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72A3C4" w14:textId="621FB62E" w:rsidR="00DB3E23" w:rsidRDefault="000854AD" w:rsidP="00556AB8">
      <w:pPr>
        <w:spacing w:line="480" w:lineRule="auto"/>
        <w:jc w:val="both"/>
        <w:rPr>
          <w:b/>
        </w:rPr>
      </w:pPr>
      <w:r>
        <w:rPr>
          <w:b/>
        </w:rPr>
        <w:t>W</w:t>
      </w:r>
      <w:r w:rsidR="00DB3E23" w:rsidRPr="001E2390">
        <w:rPr>
          <w:b/>
        </w:rPr>
        <w:t>hole-genome-sequenc</w:t>
      </w:r>
      <w:r w:rsidR="00DB3E23">
        <w:rPr>
          <w:b/>
        </w:rPr>
        <w:t>ing of triple negative breast cancers</w:t>
      </w:r>
      <w:r>
        <w:rPr>
          <w:b/>
        </w:rPr>
        <w:t xml:space="preserve"> in a population-based clinical </w:t>
      </w:r>
      <w:r w:rsidR="00AD1CA2">
        <w:rPr>
          <w:b/>
        </w:rPr>
        <w:t>study</w:t>
      </w:r>
    </w:p>
    <w:p w14:paraId="47016135" w14:textId="77777777" w:rsidR="00DB3E23" w:rsidRPr="001E2390" w:rsidRDefault="00DB3E23" w:rsidP="00556AB8">
      <w:pPr>
        <w:spacing w:line="480" w:lineRule="auto"/>
        <w:jc w:val="both"/>
        <w:rPr>
          <w:b/>
        </w:rPr>
      </w:pPr>
    </w:p>
    <w:p w14:paraId="1AFB0147" w14:textId="77777777" w:rsidR="00DB3E23" w:rsidRPr="001E2390" w:rsidRDefault="00DB3E23" w:rsidP="00556AB8">
      <w:pPr>
        <w:spacing w:line="480" w:lineRule="auto"/>
        <w:jc w:val="both"/>
      </w:pPr>
      <w:r w:rsidRPr="001E2390">
        <w:t xml:space="preserve">Johan </w:t>
      </w:r>
      <w:proofErr w:type="spellStart"/>
      <w:r w:rsidRPr="001E2390">
        <w:t>Staaf</w:t>
      </w:r>
      <w:proofErr w:type="spellEnd"/>
      <w:r w:rsidRPr="001E2390">
        <w:t xml:space="preserve"> </w:t>
      </w:r>
      <w:r w:rsidRPr="001E2390">
        <w:rPr>
          <w:vertAlign w:val="superscript"/>
        </w:rPr>
        <w:t>1,</w:t>
      </w:r>
      <w:r w:rsidRPr="001E2390">
        <w:t>**, Dominik Glodzik</w:t>
      </w:r>
      <w:r w:rsidRPr="001E2390">
        <w:rPr>
          <w:vertAlign w:val="superscript"/>
        </w:rPr>
        <w:t>1</w:t>
      </w:r>
      <w:r>
        <w:rPr>
          <w:vertAlign w:val="superscript"/>
        </w:rPr>
        <w:t>,2,3</w:t>
      </w:r>
      <w:r w:rsidRPr="001E2390">
        <w:t>, Ana Bosch</w:t>
      </w:r>
      <w:r w:rsidRPr="001E2390">
        <w:rPr>
          <w:vertAlign w:val="superscript"/>
        </w:rPr>
        <w:t>1,</w:t>
      </w:r>
      <w:r>
        <w:rPr>
          <w:vertAlign w:val="superscript"/>
        </w:rPr>
        <w:t>4</w:t>
      </w:r>
      <w:r w:rsidRPr="001E2390">
        <w:t>, Johan Vallon-Christersson</w:t>
      </w:r>
      <w:r w:rsidRPr="001E2390">
        <w:rPr>
          <w:vertAlign w:val="superscript"/>
        </w:rPr>
        <w:t>1</w:t>
      </w:r>
      <w:r w:rsidRPr="001E2390">
        <w:t>, Christel Reuterswärd</w:t>
      </w:r>
      <w:r w:rsidRPr="001E2390">
        <w:rPr>
          <w:vertAlign w:val="superscript"/>
        </w:rPr>
        <w:t>1</w:t>
      </w:r>
      <w:r w:rsidRPr="001E2390">
        <w:t xml:space="preserve">, </w:t>
      </w:r>
      <w:proofErr w:type="spellStart"/>
      <w:r w:rsidRPr="001E2390">
        <w:t>Jari</w:t>
      </w:r>
      <w:proofErr w:type="spellEnd"/>
      <w:r w:rsidRPr="001E2390">
        <w:t xml:space="preserve"> Häkkinen</w:t>
      </w:r>
      <w:r w:rsidRPr="001E2390">
        <w:rPr>
          <w:vertAlign w:val="superscript"/>
        </w:rPr>
        <w:t>1</w:t>
      </w:r>
      <w:r w:rsidRPr="001E2390">
        <w:t>, Andrea Degasperi</w:t>
      </w:r>
      <w:r>
        <w:rPr>
          <w:vertAlign w:val="superscript"/>
        </w:rPr>
        <w:t>3</w:t>
      </w:r>
      <w:r w:rsidRPr="001E2390">
        <w:rPr>
          <w:vertAlign w:val="superscript"/>
        </w:rPr>
        <w:t>,</w:t>
      </w:r>
      <w:r>
        <w:rPr>
          <w:vertAlign w:val="superscript"/>
        </w:rPr>
        <w:t>5</w:t>
      </w:r>
      <w:r w:rsidRPr="001E2390">
        <w:t xml:space="preserve">, </w:t>
      </w:r>
      <w:proofErr w:type="spellStart"/>
      <w:r>
        <w:t>Tauanne</w:t>
      </w:r>
      <w:proofErr w:type="spellEnd"/>
      <w:r>
        <w:t xml:space="preserve"> </w:t>
      </w:r>
      <w:r w:rsidRPr="001E2390">
        <w:t>Dias</w:t>
      </w:r>
      <w:r>
        <w:t xml:space="preserve"> Amarante</w:t>
      </w:r>
      <w:r>
        <w:rPr>
          <w:vertAlign w:val="superscript"/>
        </w:rPr>
        <w:t>3</w:t>
      </w:r>
      <w:r w:rsidRPr="001E2390">
        <w:rPr>
          <w:vertAlign w:val="superscript"/>
        </w:rPr>
        <w:t>,</w:t>
      </w:r>
      <w:r>
        <w:rPr>
          <w:vertAlign w:val="superscript"/>
        </w:rPr>
        <w:t>5</w:t>
      </w:r>
      <w:r w:rsidRPr="001E2390">
        <w:t>, Lao H. Saal</w:t>
      </w:r>
      <w:r w:rsidRPr="001E2390">
        <w:rPr>
          <w:vertAlign w:val="superscript"/>
        </w:rPr>
        <w:t>1</w:t>
      </w:r>
      <w:r w:rsidRPr="001E2390">
        <w:t>, Cecilia Hegardt</w:t>
      </w:r>
      <w:r w:rsidRPr="001E2390">
        <w:rPr>
          <w:vertAlign w:val="superscript"/>
        </w:rPr>
        <w:t>1</w:t>
      </w:r>
      <w:r w:rsidRPr="001E2390">
        <w:t>, H</w:t>
      </w:r>
      <w:r>
        <w:t>ilary</w:t>
      </w:r>
      <w:r w:rsidRPr="001E2390">
        <w:t xml:space="preserve"> Stobart</w:t>
      </w:r>
      <w:r>
        <w:rPr>
          <w:vertAlign w:val="superscript"/>
        </w:rPr>
        <w:t>6</w:t>
      </w:r>
      <w:r w:rsidRPr="001E2390">
        <w:t>, Anna Ehinger</w:t>
      </w:r>
      <w:r w:rsidRPr="001E2390">
        <w:rPr>
          <w:vertAlign w:val="superscript"/>
        </w:rPr>
        <w:t>1,</w:t>
      </w:r>
      <w:r>
        <w:rPr>
          <w:vertAlign w:val="superscript"/>
        </w:rPr>
        <w:t>7</w:t>
      </w:r>
      <w:r w:rsidRPr="001E2390">
        <w:t>, Christer Larsson</w:t>
      </w:r>
      <w:r>
        <w:rPr>
          <w:vertAlign w:val="superscript"/>
        </w:rPr>
        <w:t>8</w:t>
      </w:r>
      <w:r w:rsidRPr="001E2390">
        <w:t>, Lisa Rydén</w:t>
      </w:r>
      <w:r>
        <w:rPr>
          <w:vertAlign w:val="superscript"/>
        </w:rPr>
        <w:t>9,10</w:t>
      </w:r>
      <w:r w:rsidRPr="001E2390">
        <w:t xml:space="preserve">, </w:t>
      </w:r>
      <w:proofErr w:type="spellStart"/>
      <w:r w:rsidRPr="001E2390">
        <w:t>Niklas</w:t>
      </w:r>
      <w:proofErr w:type="spellEnd"/>
      <w:r w:rsidRPr="001E2390">
        <w:t xml:space="preserve"> Loman</w:t>
      </w:r>
      <w:r w:rsidRPr="001E2390">
        <w:rPr>
          <w:vertAlign w:val="superscript"/>
        </w:rPr>
        <w:t>1</w:t>
      </w:r>
      <w:r>
        <w:rPr>
          <w:vertAlign w:val="superscript"/>
        </w:rPr>
        <w:t>,4</w:t>
      </w:r>
      <w:r w:rsidRPr="001E2390">
        <w:t>, Martin Malmber</w:t>
      </w:r>
      <w:r>
        <w:t>g</w:t>
      </w:r>
      <w:r>
        <w:rPr>
          <w:vertAlign w:val="superscript"/>
        </w:rPr>
        <w:t>1,4</w:t>
      </w:r>
      <w:r w:rsidRPr="001E2390">
        <w:t xml:space="preserve">, </w:t>
      </w:r>
      <w:r>
        <w:t>Anders Kvist</w:t>
      </w:r>
      <w:r>
        <w:rPr>
          <w:vertAlign w:val="superscript"/>
        </w:rPr>
        <w:t>1</w:t>
      </w:r>
      <w:r>
        <w:t xml:space="preserve">, </w:t>
      </w:r>
      <w:r w:rsidRPr="001E2390">
        <w:t>Hans Ehrencrona</w:t>
      </w:r>
      <w:r>
        <w:rPr>
          <w:vertAlign w:val="superscript"/>
        </w:rPr>
        <w:t>7</w:t>
      </w:r>
      <w:r w:rsidRPr="001E2390">
        <w:rPr>
          <w:vertAlign w:val="superscript"/>
        </w:rPr>
        <w:t>,</w:t>
      </w:r>
      <w:r>
        <w:rPr>
          <w:vertAlign w:val="superscript"/>
        </w:rPr>
        <w:t>11</w:t>
      </w:r>
      <w:r w:rsidRPr="001E2390">
        <w:t>, Helen</w:t>
      </w:r>
      <w:r>
        <w:t xml:space="preserve"> R.</w:t>
      </w:r>
      <w:r w:rsidRPr="001E2390">
        <w:t xml:space="preserve"> Davies</w:t>
      </w:r>
      <w:r>
        <w:rPr>
          <w:vertAlign w:val="superscript"/>
        </w:rPr>
        <w:t>3</w:t>
      </w:r>
      <w:r w:rsidRPr="001E2390">
        <w:rPr>
          <w:vertAlign w:val="superscript"/>
        </w:rPr>
        <w:t>,</w:t>
      </w:r>
      <w:r>
        <w:rPr>
          <w:vertAlign w:val="superscript"/>
        </w:rPr>
        <w:t>5,12</w:t>
      </w:r>
      <w:r w:rsidRPr="001E2390">
        <w:t>, Åke Borg</w:t>
      </w:r>
      <w:r w:rsidRPr="001E2390">
        <w:rPr>
          <w:vertAlign w:val="superscript"/>
        </w:rPr>
        <w:t>1,</w:t>
      </w:r>
      <w:r w:rsidRPr="001E2390">
        <w:t>*, Serena Nik-Zainal</w:t>
      </w:r>
      <w:r>
        <w:rPr>
          <w:vertAlign w:val="superscript"/>
        </w:rPr>
        <w:t>5</w:t>
      </w:r>
      <w:r w:rsidRPr="001E2390">
        <w:rPr>
          <w:vertAlign w:val="superscript"/>
        </w:rPr>
        <w:t>,</w:t>
      </w:r>
      <w:r>
        <w:rPr>
          <w:vertAlign w:val="superscript"/>
        </w:rPr>
        <w:t>12</w:t>
      </w:r>
      <w:r w:rsidRPr="001E2390">
        <w:t xml:space="preserve">*,** </w:t>
      </w:r>
      <w:bookmarkStart w:id="0" w:name="_GoBack"/>
      <w:bookmarkEnd w:id="0"/>
    </w:p>
    <w:p w14:paraId="2A6CBE29" w14:textId="77777777" w:rsidR="00DB3E23" w:rsidRPr="001E2390" w:rsidRDefault="00DB3E23" w:rsidP="00556AB8">
      <w:pPr>
        <w:spacing w:line="480" w:lineRule="auto"/>
        <w:jc w:val="both"/>
      </w:pPr>
    </w:p>
    <w:p w14:paraId="28C7FBAB" w14:textId="77777777" w:rsidR="00DB3E23" w:rsidRPr="001E2390" w:rsidRDefault="00DB3E23" w:rsidP="00556AB8">
      <w:pPr>
        <w:spacing w:line="480" w:lineRule="auto"/>
        <w:jc w:val="both"/>
      </w:pPr>
      <w:r w:rsidRPr="001E2390">
        <w:t>* Authors contributed equally</w:t>
      </w:r>
    </w:p>
    <w:p w14:paraId="1B0EA19F" w14:textId="77777777" w:rsidR="00DB3E23" w:rsidRPr="001E2390" w:rsidRDefault="00DB3E23" w:rsidP="00556AB8">
      <w:pPr>
        <w:spacing w:line="480" w:lineRule="auto"/>
        <w:jc w:val="both"/>
      </w:pPr>
      <w:r w:rsidRPr="001E2390">
        <w:t>** Corresponding authors</w:t>
      </w:r>
    </w:p>
    <w:p w14:paraId="1B5B03B7" w14:textId="77777777" w:rsidR="00DB3E23" w:rsidRPr="001E2390" w:rsidRDefault="00DB3E23" w:rsidP="00556AB8">
      <w:pPr>
        <w:spacing w:line="480" w:lineRule="auto"/>
        <w:jc w:val="both"/>
      </w:pPr>
    </w:p>
    <w:p w14:paraId="0DAA4ABE" w14:textId="77777777" w:rsidR="00DB3E23" w:rsidRDefault="00DB3E23" w:rsidP="00556AB8">
      <w:pPr>
        <w:spacing w:line="480" w:lineRule="auto"/>
        <w:jc w:val="both"/>
      </w:pPr>
      <w:r w:rsidRPr="001E2390">
        <w:rPr>
          <w:vertAlign w:val="superscript"/>
        </w:rPr>
        <w:t>1</w:t>
      </w:r>
      <w:r w:rsidRPr="001E2390">
        <w:t xml:space="preserve"> Division of Oncology and Pathology, Department of Clinical Sciences Lund, Lund University, </w:t>
      </w:r>
      <w:proofErr w:type="spellStart"/>
      <w:r w:rsidRPr="001E2390">
        <w:t>Medicon</w:t>
      </w:r>
      <w:proofErr w:type="spellEnd"/>
      <w:r w:rsidRPr="001E2390">
        <w:t xml:space="preserve"> Village, SE 22381 Lund, Sweden</w:t>
      </w:r>
    </w:p>
    <w:p w14:paraId="59020488" w14:textId="77777777" w:rsidR="00DB3E23" w:rsidRPr="001E2390" w:rsidRDefault="00DB3E23" w:rsidP="00556AB8">
      <w:pPr>
        <w:spacing w:line="480" w:lineRule="auto"/>
        <w:jc w:val="both"/>
      </w:pPr>
      <w:r w:rsidRPr="000F25F8">
        <w:rPr>
          <w:rFonts w:eastAsia="Times New Roman"/>
          <w:vertAlign w:val="superscript"/>
        </w:rPr>
        <w:t>2</w:t>
      </w:r>
      <w:r>
        <w:rPr>
          <w:rFonts w:eastAsia="Times New Roman"/>
        </w:rPr>
        <w:t xml:space="preserve"> Department of Epidemiology and Biostatistics, Memorial Sloan Kettering Cancer </w:t>
      </w:r>
      <w:proofErr w:type="spellStart"/>
      <w:r>
        <w:rPr>
          <w:rFonts w:eastAsia="Times New Roman"/>
        </w:rPr>
        <w:t>Center</w:t>
      </w:r>
      <w:proofErr w:type="spellEnd"/>
      <w:r w:rsidRPr="001E2390">
        <w:rPr>
          <w:rFonts w:eastAsia="Times New Roman"/>
        </w:rPr>
        <w:t xml:space="preserve">, </w:t>
      </w:r>
      <w:r>
        <w:rPr>
          <w:rFonts w:eastAsia="Times New Roman"/>
        </w:rPr>
        <w:t>New York, USA</w:t>
      </w:r>
    </w:p>
    <w:p w14:paraId="3D74C75F" w14:textId="77777777" w:rsidR="00DB3E23" w:rsidRDefault="00DB3E23" w:rsidP="00556AB8">
      <w:pPr>
        <w:spacing w:line="480" w:lineRule="auto"/>
        <w:jc w:val="both"/>
        <w:rPr>
          <w:rFonts w:eastAsia="Times New Roman"/>
        </w:rPr>
      </w:pPr>
      <w:r w:rsidRPr="001E2390">
        <w:rPr>
          <w:vertAlign w:val="superscript"/>
        </w:rPr>
        <w:t>3</w:t>
      </w:r>
      <w:r w:rsidRPr="001E2390">
        <w:t xml:space="preserve"> </w:t>
      </w:r>
      <w:proofErr w:type="spellStart"/>
      <w:r w:rsidRPr="001E2390">
        <w:rPr>
          <w:rFonts w:eastAsia="Times New Roman"/>
        </w:rPr>
        <w:t>Wellcome</w:t>
      </w:r>
      <w:proofErr w:type="spellEnd"/>
      <w:r w:rsidRPr="001E2390">
        <w:rPr>
          <w:rFonts w:eastAsia="Times New Roman"/>
        </w:rPr>
        <w:t xml:space="preserve"> Sanger Institute, </w:t>
      </w:r>
      <w:proofErr w:type="spellStart"/>
      <w:r w:rsidRPr="001E2390">
        <w:rPr>
          <w:rFonts w:eastAsia="Times New Roman"/>
        </w:rPr>
        <w:t>Wellcome</w:t>
      </w:r>
      <w:proofErr w:type="spellEnd"/>
      <w:r w:rsidRPr="001E2390">
        <w:rPr>
          <w:rFonts w:eastAsia="Times New Roman"/>
        </w:rPr>
        <w:t xml:space="preserve"> Genome Campus, CB10 1SA, Cambridge, UK</w:t>
      </w:r>
    </w:p>
    <w:p w14:paraId="44116BEA" w14:textId="77777777" w:rsidR="00DB3E23" w:rsidRPr="000F25F8" w:rsidRDefault="00DB3E23" w:rsidP="00556AB8">
      <w:pPr>
        <w:spacing w:line="480" w:lineRule="auto"/>
        <w:jc w:val="both"/>
        <w:rPr>
          <w:rFonts w:eastAsia="Times New Roman"/>
          <w:color w:val="000000"/>
        </w:rPr>
      </w:pPr>
      <w:r>
        <w:rPr>
          <w:rFonts w:eastAsia="Times New Roman"/>
          <w:color w:val="000000"/>
          <w:vertAlign w:val="superscript"/>
        </w:rPr>
        <w:t>4</w:t>
      </w:r>
      <w:r w:rsidRPr="001E2390">
        <w:rPr>
          <w:rFonts w:eastAsia="Times New Roman"/>
          <w:color w:val="000000"/>
        </w:rPr>
        <w:t xml:space="preserve"> </w:t>
      </w:r>
      <w:proofErr w:type="spellStart"/>
      <w:r w:rsidRPr="001E2390">
        <w:rPr>
          <w:lang w:val="sv-SE" w:eastAsia="sv-SE"/>
        </w:rPr>
        <w:t>Department</w:t>
      </w:r>
      <w:proofErr w:type="spellEnd"/>
      <w:r w:rsidRPr="001E2390">
        <w:rPr>
          <w:lang w:val="sv-SE" w:eastAsia="sv-SE"/>
        </w:rPr>
        <w:t xml:space="preserve"> </w:t>
      </w:r>
      <w:proofErr w:type="spellStart"/>
      <w:r w:rsidRPr="001E2390">
        <w:rPr>
          <w:lang w:val="sv-SE" w:eastAsia="sv-SE"/>
        </w:rPr>
        <w:t>of</w:t>
      </w:r>
      <w:proofErr w:type="spellEnd"/>
      <w:r w:rsidRPr="001E2390">
        <w:rPr>
          <w:lang w:val="sv-SE" w:eastAsia="sv-SE"/>
        </w:rPr>
        <w:t xml:space="preserve"> </w:t>
      </w:r>
      <w:proofErr w:type="spellStart"/>
      <w:r w:rsidRPr="001E2390">
        <w:rPr>
          <w:lang w:val="sv-SE" w:eastAsia="sv-SE"/>
        </w:rPr>
        <w:t>Oncology</w:t>
      </w:r>
      <w:proofErr w:type="spellEnd"/>
      <w:r w:rsidRPr="001E2390">
        <w:rPr>
          <w:lang w:val="sv-SE" w:eastAsia="sv-SE"/>
        </w:rPr>
        <w:t>, Skåne University Hospital, Lund, Sweden</w:t>
      </w:r>
    </w:p>
    <w:p w14:paraId="6B65D921" w14:textId="77777777" w:rsidR="00DB3E23" w:rsidRPr="001E2390" w:rsidRDefault="00DB3E23" w:rsidP="00556AB8">
      <w:pPr>
        <w:spacing w:line="480" w:lineRule="auto"/>
        <w:jc w:val="both"/>
      </w:pPr>
      <w:r>
        <w:rPr>
          <w:vertAlign w:val="superscript"/>
          <w:lang w:val="sv-SE"/>
        </w:rPr>
        <w:t>5</w:t>
      </w:r>
      <w:r w:rsidRPr="001E2390">
        <w:rPr>
          <w:lang w:val="sv-SE"/>
        </w:rPr>
        <w:t xml:space="preserve"> </w:t>
      </w:r>
      <w:r w:rsidRPr="001E2390">
        <w:rPr>
          <w:rFonts w:eastAsia="Times New Roman"/>
        </w:rPr>
        <w:t>Academic Department of Medical Genetics, The Clinical School University of Cambridge, Cambridge Biomedical Research Campus, CB2 0QQ, Cambridge</w:t>
      </w:r>
    </w:p>
    <w:p w14:paraId="3D47C11F" w14:textId="77777777" w:rsidR="00DB3E23" w:rsidRPr="001E2390" w:rsidRDefault="00DB3E23" w:rsidP="00556AB8">
      <w:pPr>
        <w:spacing w:line="480" w:lineRule="auto"/>
        <w:jc w:val="both"/>
        <w:rPr>
          <w:rFonts w:eastAsia="Times New Roman"/>
          <w:color w:val="000000"/>
        </w:rPr>
      </w:pPr>
      <w:r>
        <w:rPr>
          <w:vertAlign w:val="superscript"/>
        </w:rPr>
        <w:t>6</w:t>
      </w:r>
      <w:r w:rsidRPr="001E2390">
        <w:t xml:space="preserve"> </w:t>
      </w:r>
      <w:r w:rsidRPr="001E2390">
        <w:rPr>
          <w:rFonts w:eastAsia="Times New Roman"/>
          <w:color w:val="000000"/>
        </w:rPr>
        <w:t>Independent Cancer Patients’ Voice</w:t>
      </w:r>
      <w:r>
        <w:rPr>
          <w:rFonts w:eastAsia="Times New Roman"/>
          <w:color w:val="000000"/>
        </w:rPr>
        <w:t>, 17 Woodbridge Street, London, EC1R 0LL, UK</w:t>
      </w:r>
    </w:p>
    <w:p w14:paraId="04C89F1A" w14:textId="77777777" w:rsidR="00DB3E23" w:rsidRPr="001E2390" w:rsidRDefault="00DB3E23" w:rsidP="00556AB8">
      <w:pPr>
        <w:spacing w:line="480" w:lineRule="auto"/>
        <w:jc w:val="both"/>
        <w:rPr>
          <w:rFonts w:eastAsia="Times New Roman"/>
          <w:color w:val="000000"/>
        </w:rPr>
      </w:pPr>
      <w:r>
        <w:rPr>
          <w:rFonts w:eastAsia="Times New Roman"/>
          <w:color w:val="000000"/>
          <w:vertAlign w:val="superscript"/>
        </w:rPr>
        <w:t>7</w:t>
      </w:r>
      <w:r w:rsidRPr="001E2390">
        <w:rPr>
          <w:rFonts w:eastAsia="Times New Roman"/>
          <w:color w:val="000000"/>
        </w:rPr>
        <w:t xml:space="preserve"> </w:t>
      </w:r>
      <w:r w:rsidRPr="001E2390">
        <w:t>Department of Clinical Genetics and Pathology, Department of Laboratory Medicine, Office for Medical Services, Lund, Sweden</w:t>
      </w:r>
    </w:p>
    <w:p w14:paraId="1F8C5DF2" w14:textId="77777777" w:rsidR="00DB3E23" w:rsidRPr="001E2390" w:rsidRDefault="00DB3E23" w:rsidP="00556AB8">
      <w:pPr>
        <w:spacing w:line="480" w:lineRule="auto"/>
        <w:jc w:val="both"/>
        <w:rPr>
          <w:rFonts w:eastAsia="Times New Roman"/>
          <w:color w:val="000000"/>
        </w:rPr>
      </w:pPr>
      <w:r>
        <w:rPr>
          <w:rFonts w:eastAsia="Times New Roman"/>
          <w:color w:val="000000"/>
          <w:vertAlign w:val="superscript"/>
        </w:rPr>
        <w:t>8</w:t>
      </w:r>
      <w:r w:rsidRPr="001E2390">
        <w:rPr>
          <w:rFonts w:eastAsia="Times New Roman"/>
          <w:color w:val="000000"/>
        </w:rPr>
        <w:t xml:space="preserve"> </w:t>
      </w:r>
      <w:r w:rsidRPr="001E2390">
        <w:rPr>
          <w:lang w:val="sv-SE" w:eastAsia="sv-SE"/>
        </w:rPr>
        <w:t xml:space="preserve">Division </w:t>
      </w:r>
      <w:proofErr w:type="spellStart"/>
      <w:r w:rsidRPr="001E2390">
        <w:rPr>
          <w:lang w:val="sv-SE" w:eastAsia="sv-SE"/>
        </w:rPr>
        <w:t>of</w:t>
      </w:r>
      <w:proofErr w:type="spellEnd"/>
      <w:r w:rsidRPr="001E2390">
        <w:rPr>
          <w:lang w:val="sv-SE" w:eastAsia="sv-SE"/>
        </w:rPr>
        <w:t xml:space="preserve"> </w:t>
      </w:r>
      <w:proofErr w:type="spellStart"/>
      <w:r w:rsidRPr="001E2390">
        <w:rPr>
          <w:lang w:val="sv-SE" w:eastAsia="sv-SE"/>
        </w:rPr>
        <w:t>Translational</w:t>
      </w:r>
      <w:proofErr w:type="spellEnd"/>
      <w:r w:rsidRPr="001E2390">
        <w:rPr>
          <w:lang w:val="sv-SE" w:eastAsia="sv-SE"/>
        </w:rPr>
        <w:t xml:space="preserve"> Cancer Research, </w:t>
      </w:r>
      <w:proofErr w:type="spellStart"/>
      <w:r w:rsidRPr="001E2390">
        <w:rPr>
          <w:lang w:val="sv-SE" w:eastAsia="sv-SE"/>
        </w:rPr>
        <w:t>Department</w:t>
      </w:r>
      <w:proofErr w:type="spellEnd"/>
      <w:r w:rsidRPr="001E2390">
        <w:rPr>
          <w:lang w:val="sv-SE" w:eastAsia="sv-SE"/>
        </w:rPr>
        <w:t xml:space="preserve"> </w:t>
      </w:r>
      <w:proofErr w:type="spellStart"/>
      <w:r w:rsidRPr="001E2390">
        <w:rPr>
          <w:lang w:val="sv-SE" w:eastAsia="sv-SE"/>
        </w:rPr>
        <w:t>of</w:t>
      </w:r>
      <w:proofErr w:type="spellEnd"/>
      <w:r w:rsidRPr="001E2390">
        <w:rPr>
          <w:lang w:val="sv-SE" w:eastAsia="sv-SE"/>
        </w:rPr>
        <w:t xml:space="preserve"> </w:t>
      </w:r>
      <w:proofErr w:type="spellStart"/>
      <w:r w:rsidRPr="001E2390">
        <w:rPr>
          <w:lang w:val="sv-SE" w:eastAsia="sv-SE"/>
        </w:rPr>
        <w:t>Laboratory</w:t>
      </w:r>
      <w:proofErr w:type="spellEnd"/>
      <w:r w:rsidRPr="001E2390">
        <w:rPr>
          <w:lang w:val="sv-SE" w:eastAsia="sv-SE"/>
        </w:rPr>
        <w:t xml:space="preserve"> Medicine, Lund University, Sweden</w:t>
      </w:r>
    </w:p>
    <w:p w14:paraId="66FCDAEA" w14:textId="77777777" w:rsidR="00DB3E23" w:rsidRDefault="00DB3E23" w:rsidP="00556AB8">
      <w:pPr>
        <w:spacing w:line="480" w:lineRule="auto"/>
        <w:jc w:val="both"/>
        <w:rPr>
          <w:lang w:val="sv-SE" w:eastAsia="sv-SE"/>
        </w:rPr>
      </w:pPr>
      <w:r>
        <w:rPr>
          <w:rFonts w:eastAsia="Times New Roman"/>
          <w:color w:val="000000"/>
          <w:vertAlign w:val="superscript"/>
        </w:rPr>
        <w:lastRenderedPageBreak/>
        <w:t>9</w:t>
      </w:r>
      <w:r w:rsidRPr="001E2390">
        <w:rPr>
          <w:rFonts w:eastAsia="Times New Roman"/>
          <w:color w:val="000000"/>
        </w:rPr>
        <w:t xml:space="preserve"> </w:t>
      </w:r>
      <w:r w:rsidRPr="001E2390">
        <w:rPr>
          <w:lang w:val="sv-SE" w:eastAsia="sv-SE"/>
        </w:rPr>
        <w:t xml:space="preserve">Division </w:t>
      </w:r>
      <w:proofErr w:type="spellStart"/>
      <w:r w:rsidRPr="001E2390">
        <w:rPr>
          <w:lang w:val="sv-SE" w:eastAsia="sv-SE"/>
        </w:rPr>
        <w:t>of</w:t>
      </w:r>
      <w:proofErr w:type="spellEnd"/>
      <w:r w:rsidRPr="001E2390">
        <w:rPr>
          <w:lang w:val="sv-SE" w:eastAsia="sv-SE"/>
        </w:rPr>
        <w:t xml:space="preserve"> </w:t>
      </w:r>
      <w:proofErr w:type="spellStart"/>
      <w:r w:rsidRPr="001E2390">
        <w:rPr>
          <w:lang w:val="sv-SE" w:eastAsia="sv-SE"/>
        </w:rPr>
        <w:t>Surgery</w:t>
      </w:r>
      <w:proofErr w:type="spellEnd"/>
      <w:r w:rsidRPr="001E2390">
        <w:rPr>
          <w:lang w:val="sv-SE" w:eastAsia="sv-SE"/>
        </w:rPr>
        <w:t xml:space="preserve">, </w:t>
      </w:r>
      <w:proofErr w:type="spellStart"/>
      <w:r w:rsidRPr="001E2390">
        <w:rPr>
          <w:lang w:val="sv-SE" w:eastAsia="sv-SE"/>
        </w:rPr>
        <w:t>Department</w:t>
      </w:r>
      <w:proofErr w:type="spellEnd"/>
      <w:r w:rsidRPr="001E2390">
        <w:rPr>
          <w:lang w:val="sv-SE" w:eastAsia="sv-SE"/>
        </w:rPr>
        <w:t xml:space="preserve"> </w:t>
      </w:r>
      <w:proofErr w:type="spellStart"/>
      <w:r w:rsidRPr="001E2390">
        <w:rPr>
          <w:lang w:val="sv-SE" w:eastAsia="sv-SE"/>
        </w:rPr>
        <w:t>of</w:t>
      </w:r>
      <w:proofErr w:type="spellEnd"/>
      <w:r w:rsidRPr="001E2390">
        <w:rPr>
          <w:lang w:val="sv-SE" w:eastAsia="sv-SE"/>
        </w:rPr>
        <w:t xml:space="preserve"> Clinical Sciences, Lund University, Sweden</w:t>
      </w:r>
    </w:p>
    <w:p w14:paraId="0D672039" w14:textId="77777777" w:rsidR="00DB3E23" w:rsidRPr="001E2390" w:rsidRDefault="00DB3E23" w:rsidP="00556AB8">
      <w:pPr>
        <w:spacing w:line="480" w:lineRule="auto"/>
        <w:jc w:val="both"/>
        <w:rPr>
          <w:rFonts w:eastAsia="Times New Roman"/>
          <w:color w:val="000000"/>
        </w:rPr>
      </w:pPr>
      <w:r>
        <w:rPr>
          <w:rFonts w:eastAsia="Times New Roman"/>
          <w:color w:val="000000"/>
          <w:vertAlign w:val="superscript"/>
        </w:rPr>
        <w:t>10</w:t>
      </w:r>
      <w:r>
        <w:rPr>
          <w:rFonts w:eastAsia="Times New Roman"/>
          <w:color w:val="000000"/>
        </w:rPr>
        <w:t xml:space="preserve"> Department of Surgery, Skåne University Hospital, Lund, Sweden</w:t>
      </w:r>
    </w:p>
    <w:p w14:paraId="484BDCAF" w14:textId="77777777" w:rsidR="00DB3E23" w:rsidRDefault="00DB3E23" w:rsidP="00556AB8">
      <w:pPr>
        <w:spacing w:line="480" w:lineRule="auto"/>
        <w:jc w:val="both"/>
      </w:pPr>
      <w:r>
        <w:rPr>
          <w:vertAlign w:val="superscript"/>
        </w:rPr>
        <w:t>11</w:t>
      </w:r>
      <w:r w:rsidRPr="001E2390">
        <w:t xml:space="preserve"> Division of Clinical Genetics, Department of Laboratory Medicine, Lund University, Lund, Sweden</w:t>
      </w:r>
    </w:p>
    <w:p w14:paraId="215E0556" w14:textId="77777777" w:rsidR="00DB3E23" w:rsidRDefault="00DB3E23" w:rsidP="00556AB8">
      <w:pPr>
        <w:spacing w:line="480" w:lineRule="auto"/>
        <w:jc w:val="both"/>
      </w:pPr>
      <w:r>
        <w:rPr>
          <w:vertAlign w:val="superscript"/>
        </w:rPr>
        <w:t>12</w:t>
      </w:r>
      <w:r w:rsidRPr="001E2390">
        <w:t xml:space="preserve"> </w:t>
      </w:r>
      <w:r>
        <w:t>MRC Cancer Unit, Hutchison/MRC Research Centre, Box 197, Cambridge Biomedical Research Campus, Cambridge CB2 0XZ</w:t>
      </w:r>
    </w:p>
    <w:p w14:paraId="2EFF6CF7" w14:textId="77777777" w:rsidR="00DB3E23" w:rsidRPr="001E2390" w:rsidRDefault="00DB3E23" w:rsidP="00556AB8">
      <w:pPr>
        <w:spacing w:line="480" w:lineRule="auto"/>
        <w:jc w:val="both"/>
      </w:pPr>
    </w:p>
    <w:p w14:paraId="18040677" w14:textId="77777777" w:rsidR="00DB3E23" w:rsidRPr="001E2390" w:rsidRDefault="00DB3E23" w:rsidP="00556AB8">
      <w:pPr>
        <w:spacing w:line="480" w:lineRule="auto"/>
        <w:jc w:val="both"/>
      </w:pPr>
      <w:r w:rsidRPr="001E2390">
        <w:t xml:space="preserve">Corresponding authors: </w:t>
      </w:r>
    </w:p>
    <w:p w14:paraId="6D78C8B0" w14:textId="77777777" w:rsidR="00DB3E23" w:rsidRDefault="00DB3E23" w:rsidP="00556AB8">
      <w:pPr>
        <w:spacing w:line="480" w:lineRule="auto"/>
        <w:jc w:val="both"/>
        <w:rPr>
          <w:rFonts w:eastAsia="Times New Roman"/>
        </w:rPr>
      </w:pPr>
      <w:r w:rsidRPr="001E2390">
        <w:t xml:space="preserve">1. Serena Nik-Zainal, </w:t>
      </w:r>
      <w:r w:rsidRPr="001E2390">
        <w:rPr>
          <w:rStyle w:val="bidi"/>
          <w:rFonts w:eastAsia="Times New Roman"/>
        </w:rPr>
        <w:t>sn</w:t>
      </w:r>
      <w:r>
        <w:rPr>
          <w:rStyle w:val="bidi"/>
          <w:rFonts w:eastAsia="Times New Roman"/>
        </w:rPr>
        <w:t>z</w:t>
      </w:r>
      <w:r w:rsidRPr="001E2390">
        <w:rPr>
          <w:rStyle w:val="bidi"/>
          <w:rFonts w:eastAsia="Times New Roman"/>
        </w:rPr>
        <w:t>@</w:t>
      </w:r>
      <w:r>
        <w:rPr>
          <w:rStyle w:val="bidi"/>
          <w:rFonts w:eastAsia="Times New Roman"/>
        </w:rPr>
        <w:t>mrc-cu.</w:t>
      </w:r>
      <w:r w:rsidRPr="001E2390">
        <w:rPr>
          <w:rStyle w:val="bidi"/>
          <w:rFonts w:eastAsia="Times New Roman"/>
        </w:rPr>
        <w:t xml:space="preserve">cam.ac.uk, </w:t>
      </w:r>
      <w:r>
        <w:t>MRC Cancer Unit, Hutchison/MRC Research Centre, Box 197, Cambridge Biomedical Research Campus, Cambridge CB2 0XZ</w:t>
      </w:r>
      <w:r w:rsidRPr="001E2390" w:rsidDel="001B7821">
        <w:rPr>
          <w:rFonts w:eastAsia="Times New Roman"/>
        </w:rPr>
        <w:t xml:space="preserve"> </w:t>
      </w:r>
    </w:p>
    <w:p w14:paraId="4DB7F063" w14:textId="77777777" w:rsidR="00DB3E23" w:rsidRPr="001E2390" w:rsidRDefault="00DB3E23" w:rsidP="00556AB8">
      <w:pPr>
        <w:spacing w:line="480" w:lineRule="auto"/>
        <w:jc w:val="both"/>
      </w:pPr>
      <w:r w:rsidRPr="001E2390">
        <w:t xml:space="preserve">2. Johan </w:t>
      </w:r>
      <w:proofErr w:type="spellStart"/>
      <w:r w:rsidRPr="001E2390">
        <w:t>Staaf</w:t>
      </w:r>
      <w:proofErr w:type="spellEnd"/>
      <w:r w:rsidRPr="001E2390">
        <w:t xml:space="preserve">, johan.staaf@med.lu.se, Division of Oncology and Pathology, Department of Clinical Sciences Lund, Lund University, </w:t>
      </w:r>
      <w:proofErr w:type="spellStart"/>
      <w:r w:rsidRPr="001E2390">
        <w:t>Medicon</w:t>
      </w:r>
      <w:proofErr w:type="spellEnd"/>
      <w:r w:rsidRPr="001E2390">
        <w:t xml:space="preserve"> Village, SE 22381 Lund, Sweden</w:t>
      </w:r>
    </w:p>
    <w:p w14:paraId="248DE7E6" w14:textId="77777777" w:rsidR="00DB3E23" w:rsidRPr="001E2390" w:rsidRDefault="00DB3E23" w:rsidP="00556AB8">
      <w:pPr>
        <w:spacing w:line="480" w:lineRule="auto"/>
        <w:jc w:val="both"/>
      </w:pPr>
    </w:p>
    <w:p w14:paraId="7306258A" w14:textId="77777777" w:rsidR="00DB3E23" w:rsidRPr="001E2390" w:rsidRDefault="00DB3E23" w:rsidP="00556AB8">
      <w:pPr>
        <w:spacing w:line="480" w:lineRule="auto"/>
        <w:jc w:val="both"/>
      </w:pPr>
      <w:r w:rsidRPr="001E2390">
        <w:br w:type="page"/>
      </w:r>
    </w:p>
    <w:p w14:paraId="4DDB07CF" w14:textId="77777777" w:rsidR="00DB3E23" w:rsidRPr="001E2390" w:rsidRDefault="00DB3E23" w:rsidP="00EE420F">
      <w:pPr>
        <w:spacing w:line="480" w:lineRule="auto"/>
        <w:jc w:val="both"/>
        <w:outlineLvl w:val="0"/>
        <w:rPr>
          <w:sz w:val="32"/>
          <w:szCs w:val="32"/>
        </w:rPr>
      </w:pPr>
      <w:r>
        <w:rPr>
          <w:b/>
          <w:sz w:val="32"/>
          <w:szCs w:val="32"/>
        </w:rPr>
        <w:lastRenderedPageBreak/>
        <w:t>SUMMARY</w:t>
      </w:r>
    </w:p>
    <w:p w14:paraId="66C76098" w14:textId="5F966CF6" w:rsidR="00DB3E23" w:rsidRDefault="00DB3E23">
      <w:pPr>
        <w:spacing w:line="480" w:lineRule="auto"/>
        <w:jc w:val="both"/>
        <w:rPr>
          <w:rFonts w:eastAsia="Times New Roman"/>
          <w:color w:val="000000" w:themeColor="text1"/>
        </w:rPr>
      </w:pPr>
      <w:r w:rsidRPr="001E2390">
        <w:rPr>
          <w:rFonts w:eastAsia="Times New Roman"/>
          <w:color w:val="000000" w:themeColor="text1"/>
        </w:rPr>
        <w:t xml:space="preserve">Whole genome sequencing (WGS) brings </w:t>
      </w:r>
      <w:r>
        <w:rPr>
          <w:rFonts w:eastAsia="Times New Roman"/>
          <w:color w:val="000000" w:themeColor="text1"/>
        </w:rPr>
        <w:t>comprehensive</w:t>
      </w:r>
      <w:r w:rsidRPr="001E2390">
        <w:rPr>
          <w:rFonts w:eastAsia="Times New Roman"/>
          <w:color w:val="000000" w:themeColor="text1"/>
        </w:rPr>
        <w:t xml:space="preserve"> insights to cancer genome interpretation. </w:t>
      </w:r>
      <w:r>
        <w:rPr>
          <w:rFonts w:eastAsia="Times New Roman"/>
          <w:color w:val="000000" w:themeColor="text1"/>
        </w:rPr>
        <w:t>To explore clinical value of WGS</w:t>
      </w:r>
      <w:r w:rsidRPr="001E2390">
        <w:rPr>
          <w:rFonts w:eastAsia="Times New Roman"/>
          <w:color w:val="000000" w:themeColor="text1"/>
        </w:rPr>
        <w:t>, we sequenced</w:t>
      </w:r>
      <w:r>
        <w:rPr>
          <w:rFonts w:eastAsia="Times New Roman"/>
          <w:color w:val="000000" w:themeColor="text1"/>
        </w:rPr>
        <w:t xml:space="preserve"> </w:t>
      </w:r>
      <w:r>
        <w:rPr>
          <w:color w:val="000000" w:themeColor="text1"/>
        </w:rPr>
        <w:t>254</w:t>
      </w:r>
      <w:r w:rsidRPr="001E2390">
        <w:rPr>
          <w:color w:val="000000" w:themeColor="text1"/>
        </w:rPr>
        <w:t xml:space="preserve"> triple negative breast cancers (TNBC) </w:t>
      </w:r>
      <w:r>
        <w:rPr>
          <w:color w:val="000000" w:themeColor="text1"/>
        </w:rPr>
        <w:t xml:space="preserve">with </w:t>
      </w:r>
      <w:r w:rsidRPr="001E2390">
        <w:rPr>
          <w:color w:val="000000" w:themeColor="text1"/>
        </w:rPr>
        <w:t>associated treatment and outcome data</w:t>
      </w:r>
      <w:r>
        <w:rPr>
          <w:color w:val="000000" w:themeColor="text1"/>
        </w:rPr>
        <w:t xml:space="preserve"> </w:t>
      </w:r>
      <w:r w:rsidRPr="001E2390">
        <w:rPr>
          <w:color w:val="000000" w:themeColor="text1"/>
        </w:rPr>
        <w:t>collected between 2010-2015</w:t>
      </w:r>
      <w:r>
        <w:rPr>
          <w:color w:val="000000" w:themeColor="text1"/>
        </w:rPr>
        <w:t xml:space="preserve"> </w:t>
      </w:r>
      <w:r w:rsidRPr="001E2390">
        <w:rPr>
          <w:color w:val="000000" w:themeColor="text1"/>
        </w:rPr>
        <w:t>via</w:t>
      </w:r>
      <w:r>
        <w:rPr>
          <w:color w:val="000000" w:themeColor="text1"/>
        </w:rPr>
        <w:t xml:space="preserve"> the population-based Sweden </w:t>
      </w:r>
      <w:proofErr w:type="spellStart"/>
      <w:r>
        <w:rPr>
          <w:color w:val="000000" w:themeColor="text1"/>
        </w:rPr>
        <w:t>Cancerome</w:t>
      </w:r>
      <w:proofErr w:type="spellEnd"/>
      <w:r>
        <w:rPr>
          <w:color w:val="000000" w:themeColor="text1"/>
        </w:rPr>
        <w:t xml:space="preserve"> Analysis Network-Breast (</w:t>
      </w:r>
      <w:r w:rsidRPr="001E2390">
        <w:rPr>
          <w:color w:val="000000" w:themeColor="text1"/>
        </w:rPr>
        <w:t>SCAN-B</w:t>
      </w:r>
      <w:r>
        <w:rPr>
          <w:color w:val="000000" w:themeColor="text1"/>
        </w:rPr>
        <w:t>)</w:t>
      </w:r>
      <w:r w:rsidRPr="001E2390">
        <w:rPr>
          <w:color w:val="000000" w:themeColor="text1"/>
        </w:rPr>
        <w:t xml:space="preserve"> </w:t>
      </w:r>
      <w:r>
        <w:rPr>
          <w:color w:val="000000" w:themeColor="text1"/>
        </w:rPr>
        <w:t>project</w:t>
      </w:r>
      <w:r w:rsidRPr="001E2390">
        <w:rPr>
          <w:color w:val="000000" w:themeColor="text1"/>
        </w:rPr>
        <w:t xml:space="preserve"> (</w:t>
      </w:r>
      <w:r w:rsidRPr="001E2390">
        <w:rPr>
          <w:rFonts w:eastAsia="Times New Roman"/>
          <w:color w:val="000000" w:themeColor="text1"/>
        </w:rPr>
        <w:t xml:space="preserve">ClinicalTrials.gov </w:t>
      </w:r>
      <w:proofErr w:type="gramStart"/>
      <w:r w:rsidRPr="001E2390">
        <w:rPr>
          <w:rFonts w:eastAsia="Times New Roman"/>
          <w:color w:val="000000" w:themeColor="text1"/>
        </w:rPr>
        <w:t>ID</w:t>
      </w:r>
      <w:r>
        <w:rPr>
          <w:rFonts w:eastAsia="Times New Roman"/>
          <w:color w:val="000000" w:themeColor="text1"/>
        </w:rPr>
        <w:t>:</w:t>
      </w:r>
      <w:r w:rsidRPr="001E2390">
        <w:rPr>
          <w:rFonts w:eastAsia="Times New Roman"/>
          <w:color w:val="000000" w:themeColor="text1"/>
        </w:rPr>
        <w:t>NCT</w:t>
      </w:r>
      <w:proofErr w:type="gramEnd"/>
      <w:r w:rsidRPr="001E2390">
        <w:rPr>
          <w:rFonts w:eastAsia="Times New Roman"/>
          <w:color w:val="000000" w:themeColor="text1"/>
        </w:rPr>
        <w:t>02306096</w:t>
      </w:r>
      <w:r w:rsidRPr="001E2390">
        <w:rPr>
          <w:color w:val="000000" w:themeColor="text1"/>
        </w:rPr>
        <w:t xml:space="preserve">). </w:t>
      </w:r>
      <w:r>
        <w:rPr>
          <w:color w:val="000000" w:themeColor="text1"/>
        </w:rPr>
        <w:t xml:space="preserve">Applying the HRDetect mutational-signature-based algorithm to classify tumors, </w:t>
      </w:r>
      <w:r w:rsidRPr="001E2390">
        <w:rPr>
          <w:color w:val="000000" w:themeColor="text1"/>
        </w:rPr>
        <w:t xml:space="preserve">59% </w:t>
      </w:r>
      <w:r>
        <w:rPr>
          <w:color w:val="000000" w:themeColor="text1"/>
        </w:rPr>
        <w:t xml:space="preserve">were </w:t>
      </w:r>
      <w:r w:rsidRPr="001E2390">
        <w:rPr>
          <w:color w:val="000000" w:themeColor="text1"/>
        </w:rPr>
        <w:t xml:space="preserve">predicted to have </w:t>
      </w:r>
      <w:r>
        <w:rPr>
          <w:color w:val="000000" w:themeColor="text1"/>
        </w:rPr>
        <w:t>Homologous-recombination-repair deficiency</w:t>
      </w:r>
      <w:r w:rsidRPr="001E2390">
        <w:rPr>
          <w:color w:val="000000" w:themeColor="text1"/>
        </w:rPr>
        <w:t xml:space="preserve"> (HRDetect-high)</w:t>
      </w:r>
      <w:r>
        <w:rPr>
          <w:color w:val="000000" w:themeColor="text1"/>
        </w:rPr>
        <w:t>:</w:t>
      </w:r>
      <w:r w:rsidRPr="001E2390">
        <w:rPr>
          <w:color w:val="000000" w:themeColor="text1"/>
        </w:rPr>
        <w:t xml:space="preserve"> 67% explained by germline/somatic mutations of </w:t>
      </w:r>
      <w:r w:rsidRPr="001E2390">
        <w:rPr>
          <w:i/>
          <w:color w:val="000000" w:themeColor="text1"/>
        </w:rPr>
        <w:t>BRCA1</w:t>
      </w:r>
      <w:r w:rsidRPr="001E2390">
        <w:rPr>
          <w:color w:val="000000" w:themeColor="text1"/>
        </w:rPr>
        <w:t>/</w:t>
      </w:r>
      <w:r w:rsidRPr="001E2390">
        <w:rPr>
          <w:i/>
          <w:color w:val="000000" w:themeColor="text1"/>
        </w:rPr>
        <w:t>BRCA2</w:t>
      </w:r>
      <w:r w:rsidRPr="001E2390">
        <w:rPr>
          <w:color w:val="000000" w:themeColor="text1"/>
        </w:rPr>
        <w:t xml:space="preserve">, </w:t>
      </w:r>
      <w:r w:rsidRPr="001E2390">
        <w:rPr>
          <w:i/>
          <w:color w:val="000000" w:themeColor="text1"/>
        </w:rPr>
        <w:t>BRCA1</w:t>
      </w:r>
      <w:r>
        <w:rPr>
          <w:i/>
          <w:color w:val="000000" w:themeColor="text1"/>
        </w:rPr>
        <w:t xml:space="preserve"> </w:t>
      </w:r>
      <w:r w:rsidRPr="001E2390">
        <w:rPr>
          <w:color w:val="000000" w:themeColor="text1"/>
        </w:rPr>
        <w:t xml:space="preserve">promoter hypermethylation, </w:t>
      </w:r>
      <w:r w:rsidRPr="001E2390">
        <w:rPr>
          <w:i/>
          <w:color w:val="000000" w:themeColor="text1"/>
        </w:rPr>
        <w:t>RAD51C</w:t>
      </w:r>
      <w:r w:rsidRPr="001E2390">
        <w:rPr>
          <w:color w:val="000000" w:themeColor="text1"/>
        </w:rPr>
        <w:t xml:space="preserve"> hypermethylation or biallelic loss of </w:t>
      </w:r>
      <w:r w:rsidRPr="001E2390">
        <w:rPr>
          <w:i/>
          <w:color w:val="000000" w:themeColor="text1"/>
        </w:rPr>
        <w:t>PALB2</w:t>
      </w:r>
      <w:r w:rsidRPr="001E2390">
        <w:rPr>
          <w:color w:val="000000" w:themeColor="text1"/>
        </w:rPr>
        <w:t xml:space="preserve">. </w:t>
      </w:r>
      <w:r>
        <w:rPr>
          <w:color w:val="000000" w:themeColor="text1"/>
        </w:rPr>
        <w:t xml:space="preserve">A novel mechanism of </w:t>
      </w:r>
      <w:r w:rsidRPr="00235709">
        <w:rPr>
          <w:i/>
          <w:iCs/>
          <w:color w:val="000000" w:themeColor="text1"/>
        </w:rPr>
        <w:t>BRCA1</w:t>
      </w:r>
      <w:r>
        <w:rPr>
          <w:color w:val="000000" w:themeColor="text1"/>
        </w:rPr>
        <w:t xml:space="preserve"> abrogation was discovered via germline SINE-VNTR-Alu </w:t>
      </w:r>
      <w:proofErr w:type="spellStart"/>
      <w:r>
        <w:rPr>
          <w:color w:val="000000" w:themeColor="text1"/>
        </w:rPr>
        <w:t>retrotransposition</w:t>
      </w:r>
      <w:proofErr w:type="spellEnd"/>
      <w:r>
        <w:rPr>
          <w:color w:val="000000" w:themeColor="text1"/>
        </w:rPr>
        <w:t xml:space="preserve">. </w:t>
      </w:r>
      <w:r w:rsidRPr="001E2390">
        <w:rPr>
          <w:color w:val="000000" w:themeColor="text1"/>
        </w:rPr>
        <w:t>HRDetect provide</w:t>
      </w:r>
      <w:r>
        <w:rPr>
          <w:color w:val="000000" w:themeColor="text1"/>
        </w:rPr>
        <w:t>d</w:t>
      </w:r>
      <w:r w:rsidRPr="001E2390">
        <w:rPr>
          <w:color w:val="000000" w:themeColor="text1"/>
        </w:rPr>
        <w:t xml:space="preserve"> independent prognostic information, with HRDetect-high </w:t>
      </w:r>
      <w:r>
        <w:rPr>
          <w:color w:val="000000" w:themeColor="text1"/>
        </w:rPr>
        <w:t>patients having</w:t>
      </w:r>
      <w:r w:rsidRPr="001E2390">
        <w:rPr>
          <w:color w:val="000000" w:themeColor="text1"/>
        </w:rPr>
        <w:t xml:space="preserve"> better outcome on adjuvant chemotherapy for invasive disease-free survival (Hazard Ratio, HR=0.42, 95% confidence interval, CI=0.2-0.87), and distant relapse-free interval (HR=0.31, CI=0.13-0.76)</w:t>
      </w:r>
      <w:r>
        <w:rPr>
          <w:color w:val="000000" w:themeColor="text1"/>
        </w:rPr>
        <w:t xml:space="preserve"> compared to HRDetect-low</w:t>
      </w:r>
      <w:r w:rsidRPr="001E2390">
        <w:rPr>
          <w:color w:val="000000" w:themeColor="text1"/>
        </w:rPr>
        <w:t xml:space="preserve">, regardless of whether a genetic/epigenetic cause was identified. </w:t>
      </w:r>
      <w:r w:rsidRPr="001E2390">
        <w:rPr>
          <w:rFonts w:eastAsia="Times New Roman"/>
          <w:color w:val="000000" w:themeColor="text1"/>
        </w:rPr>
        <w:t>HRDetect</w:t>
      </w:r>
      <w:r>
        <w:rPr>
          <w:rFonts w:eastAsia="Times New Roman"/>
          <w:color w:val="000000" w:themeColor="text1"/>
        </w:rPr>
        <w:t>-intermediate, some possessing potentially targetable biological abnormalities, had poorest outcomes</w:t>
      </w:r>
      <w:r w:rsidRPr="001E2390">
        <w:rPr>
          <w:rFonts w:eastAsia="Times New Roman"/>
          <w:color w:val="000000" w:themeColor="text1"/>
        </w:rPr>
        <w:t xml:space="preserve">. </w:t>
      </w:r>
      <w:r>
        <w:rPr>
          <w:rFonts w:eastAsia="Times New Roman"/>
          <w:color w:val="000000" w:themeColor="text1"/>
        </w:rPr>
        <w:t xml:space="preserve">HRDetect-low cancers also had inadequate outcomes: </w:t>
      </w:r>
      <w:r w:rsidRPr="001E2390">
        <w:rPr>
          <w:rFonts w:eastAsia="Times New Roman"/>
          <w:color w:val="000000" w:themeColor="text1"/>
        </w:rPr>
        <w:t>~</w:t>
      </w:r>
      <w:r>
        <w:rPr>
          <w:rFonts w:eastAsia="Times New Roman"/>
          <w:color w:val="000000" w:themeColor="text1"/>
        </w:rPr>
        <w:t>4.7</w:t>
      </w:r>
      <w:r w:rsidRPr="001E2390">
        <w:rPr>
          <w:rFonts w:eastAsia="Times New Roman"/>
          <w:color w:val="000000" w:themeColor="text1"/>
        </w:rPr>
        <w:t xml:space="preserve">% </w:t>
      </w:r>
      <w:r>
        <w:rPr>
          <w:rFonts w:eastAsia="Times New Roman"/>
          <w:color w:val="000000" w:themeColor="text1"/>
        </w:rPr>
        <w:t>were</w:t>
      </w:r>
      <w:r w:rsidRPr="001E2390">
        <w:rPr>
          <w:rFonts w:eastAsia="Times New Roman"/>
          <w:color w:val="000000" w:themeColor="text1"/>
        </w:rPr>
        <w:t xml:space="preserve"> mismatch-repair</w:t>
      </w:r>
      <w:r>
        <w:rPr>
          <w:rFonts w:eastAsia="Times New Roman"/>
          <w:color w:val="000000" w:themeColor="text1"/>
        </w:rPr>
        <w:t>-</w:t>
      </w:r>
      <w:r w:rsidRPr="001E2390">
        <w:rPr>
          <w:rFonts w:eastAsia="Times New Roman"/>
          <w:color w:val="000000" w:themeColor="text1"/>
        </w:rPr>
        <w:t>deficien</w:t>
      </w:r>
      <w:r>
        <w:rPr>
          <w:rFonts w:eastAsia="Times New Roman"/>
          <w:color w:val="000000" w:themeColor="text1"/>
        </w:rPr>
        <w:t xml:space="preserve">t - </w:t>
      </w:r>
      <w:r w:rsidRPr="001E2390">
        <w:rPr>
          <w:rFonts w:eastAsia="Times New Roman"/>
          <w:color w:val="000000" w:themeColor="text1"/>
        </w:rPr>
        <w:t xml:space="preserve">another targetable </w:t>
      </w:r>
      <w:r>
        <w:rPr>
          <w:rFonts w:eastAsia="Times New Roman"/>
          <w:color w:val="000000" w:themeColor="text1"/>
        </w:rPr>
        <w:t>defect</w:t>
      </w:r>
      <w:r w:rsidRPr="001E2390">
        <w:rPr>
          <w:rFonts w:eastAsia="Times New Roman"/>
          <w:color w:val="000000" w:themeColor="text1"/>
        </w:rPr>
        <w:t xml:space="preserve">, not typically </w:t>
      </w:r>
      <w:r>
        <w:rPr>
          <w:rFonts w:eastAsia="Times New Roman"/>
          <w:color w:val="000000" w:themeColor="text1"/>
        </w:rPr>
        <w:t xml:space="preserve">sought; and was enriched for (but not restricted to) </w:t>
      </w:r>
      <w:r w:rsidRPr="00E54E9A">
        <w:rPr>
          <w:rFonts w:eastAsia="Times New Roman"/>
          <w:i/>
          <w:color w:val="000000" w:themeColor="text1"/>
        </w:rPr>
        <w:t>PIK3CA</w:t>
      </w:r>
      <w:r>
        <w:rPr>
          <w:rFonts w:eastAsia="Times New Roman"/>
          <w:color w:val="000000" w:themeColor="text1"/>
        </w:rPr>
        <w:t>/</w:t>
      </w:r>
      <w:r w:rsidRPr="00E54E9A">
        <w:rPr>
          <w:rFonts w:eastAsia="Times New Roman"/>
          <w:i/>
          <w:color w:val="000000" w:themeColor="text1"/>
        </w:rPr>
        <w:t>AKT1</w:t>
      </w:r>
      <w:r>
        <w:rPr>
          <w:rFonts w:eastAsia="Times New Roman"/>
          <w:color w:val="000000" w:themeColor="text1"/>
        </w:rPr>
        <w:t xml:space="preserve"> pathway abnormalities. New treatment options need to be considered for now-discernible HRDetect-intermediate and HRDetect-low categories. This </w:t>
      </w:r>
      <w:r w:rsidRPr="001E2390">
        <w:rPr>
          <w:rFonts w:eastAsia="Times New Roman"/>
          <w:color w:val="000000" w:themeColor="text1"/>
        </w:rPr>
        <w:t>population-</w:t>
      </w:r>
      <w:r>
        <w:rPr>
          <w:rFonts w:eastAsia="Times New Roman"/>
          <w:color w:val="000000" w:themeColor="text1"/>
        </w:rPr>
        <w:t xml:space="preserve">based study advocates for WGS of TNBC to better inform trial stratification and improve clinical decision-making.  </w:t>
      </w:r>
    </w:p>
    <w:p w14:paraId="09D1A39A" w14:textId="77777777" w:rsidR="00DB3E23" w:rsidRDefault="00DB3E23" w:rsidP="00DA0385">
      <w:pPr>
        <w:spacing w:line="480" w:lineRule="auto"/>
        <w:jc w:val="both"/>
        <w:rPr>
          <w:rFonts w:eastAsia="Times New Roman"/>
          <w:color w:val="000000" w:themeColor="text1"/>
        </w:rPr>
      </w:pPr>
    </w:p>
    <w:p w14:paraId="4A7E1280" w14:textId="77777777" w:rsidR="00DB3E23" w:rsidRDefault="00DB3E23" w:rsidP="00DA0385">
      <w:pPr>
        <w:spacing w:line="480" w:lineRule="auto"/>
        <w:jc w:val="both"/>
        <w:rPr>
          <w:rFonts w:eastAsia="Times New Roman"/>
          <w:color w:val="000000" w:themeColor="text1"/>
        </w:rPr>
      </w:pPr>
    </w:p>
    <w:p w14:paraId="6198A43F" w14:textId="77777777" w:rsidR="00DB3E23" w:rsidRDefault="00DB3E23" w:rsidP="00DA0385">
      <w:pPr>
        <w:spacing w:line="480" w:lineRule="auto"/>
        <w:jc w:val="both"/>
        <w:rPr>
          <w:rFonts w:eastAsia="Times New Roman"/>
          <w:color w:val="000000" w:themeColor="text1"/>
        </w:rPr>
      </w:pPr>
    </w:p>
    <w:p w14:paraId="37E1E65F" w14:textId="77777777" w:rsidR="00DB3E23" w:rsidRDefault="00DB3E23" w:rsidP="00DA0385">
      <w:pPr>
        <w:spacing w:line="480" w:lineRule="auto"/>
        <w:jc w:val="both"/>
        <w:rPr>
          <w:rFonts w:eastAsia="Times New Roman"/>
          <w:color w:val="000000" w:themeColor="text1"/>
        </w:rPr>
      </w:pPr>
    </w:p>
    <w:p w14:paraId="704F8A0C" w14:textId="77777777" w:rsidR="00DB3E23" w:rsidRPr="001E2390" w:rsidRDefault="00DB3E23" w:rsidP="00EE420F">
      <w:pPr>
        <w:spacing w:line="480" w:lineRule="auto"/>
        <w:jc w:val="both"/>
        <w:rPr>
          <w:b/>
          <w:sz w:val="32"/>
          <w:szCs w:val="32"/>
        </w:rPr>
      </w:pPr>
      <w:r w:rsidRPr="001E2390">
        <w:rPr>
          <w:b/>
          <w:sz w:val="32"/>
          <w:szCs w:val="32"/>
        </w:rPr>
        <w:lastRenderedPageBreak/>
        <w:t>INTRODUCTION</w:t>
      </w:r>
    </w:p>
    <w:p w14:paraId="366FEFC3" w14:textId="77777777" w:rsidR="00DB3E23" w:rsidRPr="001E2390" w:rsidRDefault="00DB3E23" w:rsidP="00EE420F">
      <w:pPr>
        <w:spacing w:line="480" w:lineRule="auto"/>
        <w:jc w:val="both"/>
      </w:pPr>
      <w:r w:rsidRPr="001E2390">
        <w:t>Recent advances in sequencing technology</w:t>
      </w:r>
      <w:r w:rsidRPr="001E2390">
        <w:rPr>
          <w:noProof/>
          <w:vertAlign w:val="superscript"/>
        </w:rPr>
        <w:t>1</w:t>
      </w:r>
      <w:r w:rsidRPr="001E2390">
        <w:t xml:space="preserve"> have significantly reduced sequencing costs. </w:t>
      </w:r>
      <w:r>
        <w:t>Cancer w</w:t>
      </w:r>
      <w:r w:rsidRPr="001E2390">
        <w:t xml:space="preserve">hole genome sequencing (WGS) </w:t>
      </w:r>
      <w:r>
        <w:t>is now</w:t>
      </w:r>
      <w:r w:rsidRPr="001E2390">
        <w:t xml:space="preserve"> feasible, with thousands of matched tumor-normal pairs successfully sequenced to date, revealing novel biological insights</w:t>
      </w:r>
      <w:r w:rsidRPr="001E2390">
        <w:rPr>
          <w:noProof/>
          <w:vertAlign w:val="superscript"/>
        </w:rPr>
        <w:t>2-4</w:t>
      </w:r>
      <w:r w:rsidRPr="001E2390">
        <w:t xml:space="preserve">. </w:t>
      </w:r>
      <w:r>
        <w:t>Yet, f</w:t>
      </w:r>
      <w:r w:rsidRPr="001E2390">
        <w:t xml:space="preserve">or WGS to become adopted clinically, systematic demonstrations of utility in well-characterised population-based studies </w:t>
      </w:r>
      <w:r>
        <w:t xml:space="preserve">and validation in clinical trials </w:t>
      </w:r>
      <w:r w:rsidRPr="001E2390">
        <w:t>are required.</w:t>
      </w:r>
      <w:r>
        <w:t xml:space="preserve"> </w:t>
      </w:r>
    </w:p>
    <w:p w14:paraId="7F4DD9FD" w14:textId="77777777" w:rsidR="00DB3E23" w:rsidRPr="001E2390" w:rsidRDefault="00DB3E23" w:rsidP="009229DA">
      <w:pPr>
        <w:spacing w:line="480" w:lineRule="auto"/>
        <w:jc w:val="both"/>
      </w:pPr>
    </w:p>
    <w:p w14:paraId="68B0AA0E" w14:textId="4545703C" w:rsidR="00DB3E23" w:rsidRDefault="00DB3E23" w:rsidP="00EE420F">
      <w:pPr>
        <w:spacing w:line="480" w:lineRule="auto"/>
        <w:jc w:val="both"/>
      </w:pPr>
      <w:r>
        <w:t>The</w:t>
      </w:r>
      <w:r w:rsidRPr="001E2390">
        <w:t xml:space="preserve"> Sweden </w:t>
      </w:r>
      <w:proofErr w:type="spellStart"/>
      <w:r w:rsidRPr="001E2390">
        <w:t>Cancerome</w:t>
      </w:r>
      <w:proofErr w:type="spellEnd"/>
      <w:r w:rsidRPr="001E2390">
        <w:t xml:space="preserve"> Analysis Network </w:t>
      </w:r>
      <w:r>
        <w:t>–</w:t>
      </w:r>
      <w:r w:rsidRPr="001E2390">
        <w:t xml:space="preserve"> Breast</w:t>
      </w:r>
      <w:r>
        <w:t xml:space="preserve"> </w:t>
      </w:r>
      <w:r w:rsidRPr="001E2390">
        <w:t>(SCAN-B</w:t>
      </w:r>
      <w:r>
        <w:t>;</w:t>
      </w:r>
      <w:r w:rsidRPr="001E2390">
        <w:t xml:space="preserve"> ClinicalTrials.gov identifier NCT02306096)</w:t>
      </w:r>
      <w:r w:rsidRPr="00052494">
        <w:rPr>
          <w:noProof/>
          <w:vertAlign w:val="superscript"/>
        </w:rPr>
        <w:t>5</w:t>
      </w:r>
      <w:r w:rsidRPr="001E2390">
        <w:t xml:space="preserve"> is an on-going population-based </w:t>
      </w:r>
      <w:r>
        <w:t xml:space="preserve">observational </w:t>
      </w:r>
      <w:r w:rsidRPr="001E2390">
        <w:t>study</w:t>
      </w:r>
      <w:r>
        <w:t xml:space="preserve"> currently involving nine hospitals in the South of Sweden serving nearly two</w:t>
      </w:r>
      <w:r w:rsidRPr="001E2390">
        <w:t xml:space="preserve"> million inhabitants </w:t>
      </w:r>
      <w:r>
        <w:t>or ~20% of the Swedish population. All patients with suspected breast cancer are offered recruitment without exception. Connection to national cancer registries ensures availability of excellent clinical and outcome data. High inclusion rates of ~85% have resulted in &gt;</w:t>
      </w:r>
      <w:r w:rsidRPr="001E2390">
        <w:t>1</w:t>
      </w:r>
      <w:r>
        <w:t>3</w:t>
      </w:r>
      <w:r w:rsidRPr="001E2390">
        <w:t>,500 patients recruited since 2010.</w:t>
      </w:r>
      <w:r>
        <w:t xml:space="preserve"> Tissue samples </w:t>
      </w:r>
      <w:r w:rsidRPr="001E2390">
        <w:t xml:space="preserve">are taken </w:t>
      </w:r>
      <w:r>
        <w:t>via</w:t>
      </w:r>
      <w:r w:rsidRPr="001E2390">
        <w:t xml:space="preserve"> standard clinical diagnostic </w:t>
      </w:r>
      <w:r>
        <w:t>pathways</w:t>
      </w:r>
      <w:r w:rsidRPr="001E2390">
        <w:t xml:space="preserve"> without special dispensation</w:t>
      </w:r>
      <w:r>
        <w:t>. Outcomes</w:t>
      </w:r>
      <w:r w:rsidRPr="001E2390">
        <w:t xml:space="preserve"> </w:t>
      </w:r>
      <w:r>
        <w:t>from</w:t>
      </w:r>
      <w:r w:rsidRPr="001E2390">
        <w:t xml:space="preserve"> </w:t>
      </w:r>
      <w:r>
        <w:t xml:space="preserve">research on </w:t>
      </w:r>
      <w:r w:rsidRPr="001E2390">
        <w:t xml:space="preserve">SCAN-B patients </w:t>
      </w:r>
      <w:r>
        <w:t xml:space="preserve">thus </w:t>
      </w:r>
      <w:r w:rsidRPr="001E2390">
        <w:t>reflect real-</w:t>
      </w:r>
      <w:r>
        <w:t>world</w:t>
      </w:r>
      <w:r w:rsidRPr="001E2390">
        <w:t xml:space="preserve"> population medicine (</w:t>
      </w:r>
      <w:r>
        <w:t>Extended</w:t>
      </w:r>
      <w:r w:rsidRPr="001E2390">
        <w:t xml:space="preserve"> </w:t>
      </w:r>
      <w:r>
        <w:t>Data</w:t>
      </w:r>
      <w:r w:rsidRPr="001E2390">
        <w:t xml:space="preserve"> 1).</w:t>
      </w:r>
    </w:p>
    <w:p w14:paraId="5C78D1B2" w14:textId="77777777" w:rsidR="00DB3E23" w:rsidRPr="001E2390" w:rsidRDefault="00DB3E23" w:rsidP="00EE420F">
      <w:pPr>
        <w:spacing w:line="480" w:lineRule="auto"/>
        <w:jc w:val="both"/>
      </w:pPr>
    </w:p>
    <w:p w14:paraId="2211881C" w14:textId="77777777" w:rsidR="00DB3E23" w:rsidRPr="00D830CE" w:rsidRDefault="00DB3E23" w:rsidP="00EE420F">
      <w:pPr>
        <w:spacing w:line="480" w:lineRule="auto"/>
        <w:jc w:val="both"/>
      </w:pPr>
      <w:r>
        <w:t>To gauge WGS value in a clinical setting and capturing sufficient outcome information, we defined a recruitment period of September 1 2010</w:t>
      </w:r>
      <w:r w:rsidRPr="001E2390">
        <w:t xml:space="preserve"> </w:t>
      </w:r>
      <w:r>
        <w:t xml:space="preserve">to March 31 2015 in the Skåne healthcare region serving ~1.3 million inhabitants. We focused on </w:t>
      </w:r>
      <w:r w:rsidRPr="001E2390">
        <w:t>an area of unmet clinical need</w:t>
      </w:r>
      <w:r>
        <w:t>:</w:t>
      </w:r>
      <w:r w:rsidRPr="001E2390">
        <w:t xml:space="preserve"> triple negative breast cancer (TNBC) (</w:t>
      </w:r>
      <w:proofErr w:type="spellStart"/>
      <w:r w:rsidRPr="001E2390">
        <w:t>estrogen</w:t>
      </w:r>
      <w:proofErr w:type="spellEnd"/>
      <w:r w:rsidRPr="001E2390">
        <w:t xml:space="preserve">-receptor [ER], progesterone-receptor [PR], </w:t>
      </w:r>
      <w:r w:rsidRPr="001E2390">
        <w:rPr>
          <w:rFonts w:eastAsia="Times New Roman"/>
          <w:shd w:val="clear" w:color="auto" w:fill="FFFFFF"/>
        </w:rPr>
        <w:t>human epidermal receptor growth factor</w:t>
      </w:r>
      <w:r w:rsidRPr="001E2390">
        <w:rPr>
          <w:rFonts w:eastAsia="Times New Roman"/>
          <w:color w:val="545454"/>
          <w:shd w:val="clear" w:color="auto" w:fill="FFFFFF"/>
        </w:rPr>
        <w:t xml:space="preserve"> 2/</w:t>
      </w:r>
      <w:r w:rsidRPr="001E2390">
        <w:rPr>
          <w:rFonts w:eastAsia="Times New Roman"/>
          <w:color w:val="222222"/>
          <w:shd w:val="clear" w:color="auto" w:fill="FFFFFF"/>
        </w:rPr>
        <w:t>erythroblastic oncogene B</w:t>
      </w:r>
      <w:r w:rsidRPr="001E2390">
        <w:rPr>
          <w:rFonts w:eastAsia="Times New Roman"/>
          <w:color w:val="545454"/>
          <w:shd w:val="clear" w:color="auto" w:fill="FFFFFF"/>
        </w:rPr>
        <w:t xml:space="preserve"> </w:t>
      </w:r>
      <w:r>
        <w:t>[</w:t>
      </w:r>
      <w:r w:rsidRPr="001E2390">
        <w:rPr>
          <w:i/>
        </w:rPr>
        <w:t>HER2</w:t>
      </w:r>
      <w:r w:rsidRPr="001E2390">
        <w:t>/</w:t>
      </w:r>
      <w:r w:rsidRPr="001E2390">
        <w:rPr>
          <w:i/>
        </w:rPr>
        <w:t>ERBB2</w:t>
      </w:r>
      <w:r>
        <w:t>]</w:t>
      </w:r>
      <w:r w:rsidRPr="001E2390">
        <w:t>-negative)</w:t>
      </w:r>
      <w:r w:rsidRPr="00052494">
        <w:rPr>
          <w:noProof/>
          <w:vertAlign w:val="superscript"/>
        </w:rPr>
        <w:t>6,7</w:t>
      </w:r>
      <w:r>
        <w:t xml:space="preserve">, historically associated with </w:t>
      </w:r>
      <w:r w:rsidRPr="001E2390">
        <w:t>poor clinical outcome</w:t>
      </w:r>
      <w:r>
        <w:t>s</w:t>
      </w:r>
      <w:r w:rsidRPr="00052494">
        <w:rPr>
          <w:noProof/>
          <w:vertAlign w:val="superscript"/>
        </w:rPr>
        <w:t>6,7</w:t>
      </w:r>
      <w:r w:rsidRPr="001E2390">
        <w:t>.</w:t>
      </w:r>
      <w:r>
        <w:t xml:space="preserve"> </w:t>
      </w:r>
      <w:r w:rsidRPr="00B20DB4">
        <w:t>4665 patients were registered with invasive breast cancer</w:t>
      </w:r>
      <w:r>
        <w:t xml:space="preserve"> in that period. Nine percent (n=</w:t>
      </w:r>
      <w:r w:rsidRPr="001E2390">
        <w:t>408</w:t>
      </w:r>
      <w:r>
        <w:t>)</w:t>
      </w:r>
      <w:r w:rsidRPr="001E2390">
        <w:t xml:space="preserve"> were TNBCs, </w:t>
      </w:r>
      <w:r>
        <w:t>consistent</w:t>
      </w:r>
      <w:r w:rsidRPr="001E2390">
        <w:t xml:space="preserve"> with national TNBC incidence (~9% in 2015)</w:t>
      </w:r>
      <w:r>
        <w:t xml:space="preserve">. </w:t>
      </w:r>
      <w:r w:rsidRPr="001E2390">
        <w:t xml:space="preserve">340 </w:t>
      </w:r>
      <w:r>
        <w:t xml:space="preserve">had </w:t>
      </w:r>
      <w:r w:rsidRPr="001E2390">
        <w:t>enrolled into SCAN-B</w:t>
      </w:r>
      <w:r>
        <w:t>. C</w:t>
      </w:r>
      <w:r w:rsidRPr="001E2390">
        <w:t>linical re-review</w:t>
      </w:r>
      <w:r>
        <w:t xml:space="preserve"> </w:t>
      </w:r>
      <w:r>
        <w:lastRenderedPageBreak/>
        <w:t xml:space="preserve">and availability of material for genomic/transcriptomic sequencing left </w:t>
      </w:r>
      <w:r w:rsidRPr="001E2390">
        <w:t xml:space="preserve">254 </w:t>
      </w:r>
      <w:r>
        <w:t>cases for</w:t>
      </w:r>
      <w:r w:rsidRPr="001E2390">
        <w:t xml:space="preserve"> </w:t>
      </w:r>
      <w:r>
        <w:t xml:space="preserve">matched tumor-normal </w:t>
      </w:r>
      <w:r w:rsidRPr="001E2390">
        <w:t>WGS</w:t>
      </w:r>
      <w:r>
        <w:t>/RNAseq</w:t>
      </w:r>
      <w:r w:rsidRPr="001E2390">
        <w:t xml:space="preserve"> analysis (170 at 30-fold and 8</w:t>
      </w:r>
      <w:r>
        <w:t>4</w:t>
      </w:r>
      <w:r w:rsidRPr="001E2390">
        <w:t xml:space="preserve"> at 15-fold sequence depth)</w:t>
      </w:r>
      <w:r>
        <w:t xml:space="preserve"> </w:t>
      </w:r>
      <w:r w:rsidRPr="001E2390">
        <w:t>(</w:t>
      </w:r>
      <w:r>
        <w:t>Figure 1</w:t>
      </w:r>
      <w:r w:rsidRPr="001E2390">
        <w:t>)</w:t>
      </w:r>
      <w:r>
        <w:t>. Among 254 patients, 2.4% had metastatic disease at diagnosis, and 6.7% received neoadjuvant treatment.</w:t>
      </w:r>
    </w:p>
    <w:p w14:paraId="159F69F9" w14:textId="77777777" w:rsidR="00DB3E23" w:rsidRPr="001E2390" w:rsidRDefault="00DB3E23" w:rsidP="00127BF7">
      <w:pPr>
        <w:spacing w:line="480" w:lineRule="auto"/>
        <w:jc w:val="both"/>
      </w:pPr>
    </w:p>
    <w:p w14:paraId="1FB13A18" w14:textId="77777777" w:rsidR="00DB3E23" w:rsidRDefault="00DB3E23" w:rsidP="00556AB8">
      <w:pPr>
        <w:spacing w:line="480" w:lineRule="auto"/>
        <w:jc w:val="both"/>
      </w:pPr>
      <w:r w:rsidRPr="001E2390">
        <w:t xml:space="preserve">237 (93%) had WGS data of sufficient quality for comprehensive genomic profiling. Failure rate was influenced by </w:t>
      </w:r>
      <w:r>
        <w:t xml:space="preserve">sequencing </w:t>
      </w:r>
      <w:r w:rsidRPr="001E2390">
        <w:t xml:space="preserve">depth: of cases sequenced to 30-fold depth, 3% failed, whereas 11% of cases failed </w:t>
      </w:r>
      <w:r>
        <w:t>when</w:t>
      </w:r>
      <w:r w:rsidRPr="001E2390">
        <w:t xml:space="preserve"> sequenced to 15-fold coverage. SCAN-B </w:t>
      </w:r>
      <w:r>
        <w:t>fresh-tissue</w:t>
      </w:r>
      <w:r w:rsidRPr="001E2390">
        <w:t xml:space="preserve"> </w:t>
      </w:r>
      <w:r>
        <w:t>procurement</w:t>
      </w:r>
      <w:r w:rsidRPr="001E2390">
        <w:t xml:space="preserve"> is fully-integrated into routine clinical diagnostic</w:t>
      </w:r>
      <w:r>
        <w:t>s</w:t>
      </w:r>
      <w:r w:rsidRPr="001E2390">
        <w:t xml:space="preserve"> across participating healthcare institutions</w:t>
      </w:r>
      <w:r w:rsidRPr="00052494">
        <w:rPr>
          <w:noProof/>
          <w:vertAlign w:val="superscript"/>
        </w:rPr>
        <w:t>5</w:t>
      </w:r>
      <w:r w:rsidRPr="001E2390">
        <w:t>.</w:t>
      </w:r>
      <w:r>
        <w:t xml:space="preserve"> F</w:t>
      </w:r>
      <w:r w:rsidRPr="001E2390">
        <w:t>ailure rate</w:t>
      </w:r>
      <w:r>
        <w:t>s</w:t>
      </w:r>
      <w:r w:rsidRPr="001E2390">
        <w:t xml:space="preserve"> of ~3% </w:t>
      </w:r>
      <w:r>
        <w:t xml:space="preserve">thus </w:t>
      </w:r>
      <w:r w:rsidRPr="001E2390">
        <w:t xml:space="preserve">provide </w:t>
      </w:r>
      <w:r>
        <w:t>true</w:t>
      </w:r>
      <w:r w:rsidRPr="001E2390">
        <w:t xml:space="preserve"> estimate</w:t>
      </w:r>
      <w:r>
        <w:t xml:space="preserve">s </w:t>
      </w:r>
      <w:r w:rsidRPr="001E2390">
        <w:t xml:space="preserve">of 30-fold WGS success </w:t>
      </w:r>
      <w:r>
        <w:t>in a clinical context, without preselection for tumor cellularity</w:t>
      </w:r>
      <w:r w:rsidRPr="001E2390">
        <w:t>. 15-fold coverage for clinical WGS is unlikely to be adequate.</w:t>
      </w:r>
    </w:p>
    <w:p w14:paraId="6D0E6CE1" w14:textId="77777777" w:rsidR="00DB3E23" w:rsidRPr="001E2390" w:rsidRDefault="00DB3E23" w:rsidP="00556AB8">
      <w:pPr>
        <w:spacing w:line="480" w:lineRule="auto"/>
        <w:jc w:val="both"/>
      </w:pPr>
    </w:p>
    <w:p w14:paraId="5D73DC7D" w14:textId="2CB17E69" w:rsidR="00DB3E23" w:rsidRDefault="00DB3E23" w:rsidP="0023414E">
      <w:pPr>
        <w:spacing w:line="480" w:lineRule="auto"/>
        <w:jc w:val="both"/>
      </w:pPr>
      <w:r>
        <w:t>P</w:t>
      </w:r>
      <w:r w:rsidRPr="001E2390">
        <w:t xml:space="preserve">redicted somatic driver mutations, pathogenic germline mutations and somatic mutational signatures were </w:t>
      </w:r>
      <w:r>
        <w:t>obtained,</w:t>
      </w:r>
      <w:r w:rsidRPr="001E2390">
        <w:t xml:space="preserve"> together with regions of copy number loss, gain and loss of heterozygosity (LOH)</w:t>
      </w:r>
      <w:r>
        <w:t>.</w:t>
      </w:r>
      <w:r w:rsidRPr="001E2390">
        <w:t xml:space="preserve"> </w:t>
      </w:r>
      <w:r>
        <w:t>T</w:t>
      </w:r>
      <w:r w:rsidRPr="001E2390">
        <w:t>hese genomic features in the SCAN-B TNBC cohort were compar</w:t>
      </w:r>
      <w:r>
        <w:t>able</w:t>
      </w:r>
      <w:r w:rsidRPr="001E2390">
        <w:t xml:space="preserve"> to </w:t>
      </w:r>
      <w:r>
        <w:t xml:space="preserve">a </w:t>
      </w:r>
      <w:r w:rsidRPr="001E2390">
        <w:t>previously reported WGS cohort</w:t>
      </w:r>
      <w:r w:rsidRPr="00CF1297">
        <w:rPr>
          <w:noProof/>
          <w:vertAlign w:val="superscript"/>
        </w:rPr>
        <w:t>8</w:t>
      </w:r>
      <w:r>
        <w:t xml:space="preserve"> (Extended</w:t>
      </w:r>
      <w:r w:rsidRPr="001E2390">
        <w:t xml:space="preserve"> </w:t>
      </w:r>
      <w:r>
        <w:t>Data</w:t>
      </w:r>
      <w:r w:rsidRPr="001E2390">
        <w:t xml:space="preserve"> 2</w:t>
      </w:r>
      <w:r>
        <w:t>)</w:t>
      </w:r>
      <w:r w:rsidRPr="001E2390">
        <w:t xml:space="preserve">. </w:t>
      </w:r>
      <w:r>
        <w:t xml:space="preserve">To assess additional benefits of WGS-based stratification, we applied a </w:t>
      </w:r>
      <w:r w:rsidRPr="001E2390">
        <w:t>mutational-signature-based algorithm</w:t>
      </w:r>
      <w:r>
        <w:t>,</w:t>
      </w:r>
      <w:r w:rsidRPr="001E2390">
        <w:t xml:space="preserve"> HRDetect</w:t>
      </w:r>
      <w:r w:rsidRPr="00CF1297">
        <w:rPr>
          <w:noProof/>
          <w:vertAlign w:val="superscript"/>
        </w:rPr>
        <w:t>9</w:t>
      </w:r>
      <w:r w:rsidRPr="001E2390">
        <w:t xml:space="preserve"> </w:t>
      </w:r>
      <w:r>
        <w:t>designed to detect “</w:t>
      </w:r>
      <w:proofErr w:type="spellStart"/>
      <w:proofErr w:type="gramStart"/>
      <w:r>
        <w:t>BRCA”ness</w:t>
      </w:r>
      <w:proofErr w:type="spellEnd"/>
      <w:proofErr w:type="gramEnd"/>
      <w:r>
        <w:t xml:space="preserve"> or Homologous-recombination-repair deficiency (HRD)</w:t>
      </w:r>
      <w:r w:rsidRPr="00A13DA4">
        <w:rPr>
          <w:noProof/>
          <w:vertAlign w:val="superscript"/>
        </w:rPr>
        <w:t>10</w:t>
      </w:r>
      <w:r>
        <w:t xml:space="preserve">, </w:t>
      </w:r>
      <w:r w:rsidRPr="001E2390">
        <w:t>using default breast</w:t>
      </w:r>
      <w:r>
        <w:t>-</w:t>
      </w:r>
      <w:r w:rsidRPr="001E2390">
        <w:t>cancer</w:t>
      </w:r>
      <w:r>
        <w:t>-</w:t>
      </w:r>
      <w:r w:rsidRPr="001E2390">
        <w:t xml:space="preserve">specific parameters. More than half of TNBCs (58.6%) were classified as HRDetect-high (exceeding predefined score of 0.7, predictive of </w:t>
      </w:r>
      <w:r w:rsidRPr="001E2390">
        <w:rPr>
          <w:i/>
        </w:rPr>
        <w:t>BRCA1</w:t>
      </w:r>
      <w:r w:rsidRPr="001E2390">
        <w:t>/</w:t>
      </w:r>
      <w:r w:rsidRPr="001E2390">
        <w:rPr>
          <w:i/>
        </w:rPr>
        <w:t>BRCA2</w:t>
      </w:r>
      <w:r>
        <w:t>-</w:t>
      </w:r>
      <w:r w:rsidRPr="001E2390">
        <w:t>deficiency</w:t>
      </w:r>
      <w:r w:rsidRPr="00CF1297">
        <w:rPr>
          <w:noProof/>
          <w:vertAlign w:val="superscript"/>
        </w:rPr>
        <w:t>9</w:t>
      </w:r>
      <w:r w:rsidRPr="001E2390">
        <w:t>)</w:t>
      </w:r>
      <w:r>
        <w:t xml:space="preserve">. </w:t>
      </w:r>
      <w:r w:rsidRPr="001E2390">
        <w:t>35.9% were classified as HRDetect-low (score &lt;0.2)</w:t>
      </w:r>
      <w:r>
        <w:t xml:space="preserve">, </w:t>
      </w:r>
      <w:r w:rsidRPr="001E2390">
        <w:t>5.5% fell within an HRD-intermediate category (</w:t>
      </w:r>
      <w:r>
        <w:t>score</w:t>
      </w:r>
      <w:r w:rsidRPr="001E2390">
        <w:t xml:space="preserve"> 0.2-0.7)</w:t>
      </w:r>
      <w:r>
        <w:t xml:space="preserve"> (Figure 2A)</w:t>
      </w:r>
      <w:r w:rsidRPr="001E2390">
        <w:t xml:space="preserve">. </w:t>
      </w:r>
    </w:p>
    <w:p w14:paraId="40DE7EDA" w14:textId="77777777" w:rsidR="00DB3E23" w:rsidRPr="001E2390" w:rsidRDefault="00DB3E23" w:rsidP="00BA5966">
      <w:pPr>
        <w:spacing w:line="480" w:lineRule="auto"/>
        <w:jc w:val="both"/>
      </w:pPr>
    </w:p>
    <w:p w14:paraId="32B54A10" w14:textId="77777777" w:rsidR="00DB3E23" w:rsidRDefault="00DB3E23" w:rsidP="004E5107">
      <w:pPr>
        <w:spacing w:line="480" w:lineRule="auto"/>
        <w:jc w:val="both"/>
      </w:pPr>
      <w:r>
        <w:lastRenderedPageBreak/>
        <w:t>To compare customary breast cancer stratification methods with HRDetect, we examined age, grade and gene expression phenotypes (</w:t>
      </w:r>
      <w:r w:rsidRPr="001E2390">
        <w:t>e.g. PAM50</w:t>
      </w:r>
      <w:r w:rsidRPr="00A13DA4">
        <w:rPr>
          <w:noProof/>
          <w:sz w:val="20"/>
          <w:szCs w:val="20"/>
          <w:vertAlign w:val="superscript"/>
        </w:rPr>
        <w:t>11</w:t>
      </w:r>
      <w:r w:rsidRPr="001E2390">
        <w:t xml:space="preserve">, </w:t>
      </w:r>
      <w:r>
        <w:t>CIT</w:t>
      </w:r>
      <w:r w:rsidRPr="00A13DA4">
        <w:rPr>
          <w:noProof/>
          <w:vertAlign w:val="superscript"/>
        </w:rPr>
        <w:t>12</w:t>
      </w:r>
      <w:r w:rsidRPr="001E2390">
        <w:t>, IC10</w:t>
      </w:r>
      <w:r w:rsidRPr="00A13DA4">
        <w:rPr>
          <w:noProof/>
          <w:vertAlign w:val="superscript"/>
        </w:rPr>
        <w:t>13</w:t>
      </w:r>
      <w:r>
        <w:t>, TNBCtype</w:t>
      </w:r>
      <w:r w:rsidRPr="00A13DA4">
        <w:rPr>
          <w:noProof/>
          <w:vertAlign w:val="superscript"/>
        </w:rPr>
        <w:t>14</w:t>
      </w:r>
      <w:r>
        <w:t xml:space="preserve">) in this cohort. </w:t>
      </w:r>
      <w:r w:rsidRPr="001E2390">
        <w:t>HRDetect-high classification was enriched in expected subgroups such as young patients (88.5% of women &lt;50 years), high-grade tumors and a basal-like</w:t>
      </w:r>
      <w:r>
        <w:t xml:space="preserve"> expression subtype (</w:t>
      </w:r>
      <w:r w:rsidRPr="001E2390">
        <w:t>PAM50 basal-like</w:t>
      </w:r>
      <w:r w:rsidRPr="00A13DA4">
        <w:rPr>
          <w:noProof/>
          <w:sz w:val="20"/>
          <w:szCs w:val="20"/>
          <w:vertAlign w:val="superscript"/>
        </w:rPr>
        <w:t>11</w:t>
      </w:r>
      <w:r w:rsidRPr="001E2390">
        <w:t>, CIT basal-like</w:t>
      </w:r>
      <w:r w:rsidRPr="00A13DA4">
        <w:rPr>
          <w:noProof/>
          <w:vertAlign w:val="superscript"/>
        </w:rPr>
        <w:t>12</w:t>
      </w:r>
      <w:r w:rsidRPr="001E2390">
        <w:t xml:space="preserve">, IC10 </w:t>
      </w:r>
      <w:proofErr w:type="spellStart"/>
      <w:r>
        <w:t>IntClust</w:t>
      </w:r>
      <w:proofErr w:type="spellEnd"/>
      <w:r w:rsidRPr="001E2390">
        <w:t xml:space="preserve"> 10</w:t>
      </w:r>
      <w:r w:rsidRPr="00A13DA4">
        <w:rPr>
          <w:noProof/>
          <w:vertAlign w:val="superscript"/>
        </w:rPr>
        <w:t>13</w:t>
      </w:r>
      <w:r w:rsidRPr="001E2390">
        <w:t xml:space="preserve">, and </w:t>
      </w:r>
      <w:proofErr w:type="spellStart"/>
      <w:r>
        <w:t>TNBCtype</w:t>
      </w:r>
      <w:proofErr w:type="spellEnd"/>
      <w:r>
        <w:t xml:space="preserve"> b</w:t>
      </w:r>
      <w:r w:rsidRPr="001E2390">
        <w:t>asal-like 1</w:t>
      </w:r>
      <w:r w:rsidRPr="00A13DA4">
        <w:rPr>
          <w:noProof/>
          <w:vertAlign w:val="superscript"/>
        </w:rPr>
        <w:t>14</w:t>
      </w:r>
      <w:r>
        <w:t xml:space="preserve">) </w:t>
      </w:r>
      <w:r w:rsidRPr="001E2390">
        <w:t>(</w:t>
      </w:r>
      <w:r>
        <w:t xml:space="preserve">Supplementary </w:t>
      </w:r>
      <w:r w:rsidRPr="001E2390">
        <w:t xml:space="preserve">Table </w:t>
      </w:r>
      <w:r>
        <w:t>S1,</w:t>
      </w:r>
      <w:r w:rsidRPr="001E2390">
        <w:t xml:space="preserve"> Figure 2A)</w:t>
      </w:r>
      <w:r>
        <w:t xml:space="preserve">. </w:t>
      </w:r>
      <w:r w:rsidRPr="001E2390">
        <w:t xml:space="preserve">However, HRDetect-high </w:t>
      </w:r>
      <w:r>
        <w:t>scores</w:t>
      </w:r>
      <w:r w:rsidRPr="001E2390">
        <w:t xml:space="preserve"> were also observed in tumors with ER-staining (62.1% of cases with 1-10% ER</w:t>
      </w:r>
      <w:r>
        <w:t>-</w:t>
      </w:r>
      <w:r w:rsidRPr="001E2390">
        <w:t xml:space="preserve">staining intensity), </w:t>
      </w:r>
      <w:r>
        <w:t>in</w:t>
      </w:r>
      <w:r w:rsidRPr="001E2390">
        <w:t xml:space="preserve"> middle-aged patients (</w:t>
      </w:r>
      <w:r>
        <w:t>58% of HRDetect-high were 50-70 years</w:t>
      </w:r>
      <w:r w:rsidRPr="001E2390">
        <w:t>) and older patients (</w:t>
      </w:r>
      <w:r>
        <w:t xml:space="preserve">&gt;70 years, </w:t>
      </w:r>
      <w:r w:rsidRPr="001E2390">
        <w:t>36.4% HRDetect-high cases), as well as tumors with non-basal-like gene expression profiles (</w:t>
      </w:r>
      <w:r>
        <w:t xml:space="preserve">Supplementary </w:t>
      </w:r>
      <w:r w:rsidRPr="001E2390">
        <w:t xml:space="preserve">Table </w:t>
      </w:r>
      <w:r>
        <w:t>S1</w:t>
      </w:r>
      <w:r w:rsidRPr="001E2390">
        <w:t xml:space="preserve">). </w:t>
      </w:r>
      <w:r>
        <w:t>Consequently</w:t>
      </w:r>
      <w:r w:rsidRPr="001E2390">
        <w:t xml:space="preserve">, the HRD phenotype identified by HRDetect </w:t>
      </w:r>
      <w:r w:rsidRPr="0093511C">
        <w:t xml:space="preserve">is enriched </w:t>
      </w:r>
      <w:r>
        <w:t xml:space="preserve">for </w:t>
      </w:r>
      <w:r w:rsidRPr="0093511C">
        <w:t>but not restricted to</w:t>
      </w:r>
      <w:r w:rsidRPr="001E2390">
        <w:t xml:space="preserve"> typical basal-like tumors characteristic of young patients in TNBC.</w:t>
      </w:r>
      <w:r>
        <w:t xml:space="preserve"> The corollary is also true - expression-based profiling (e.g., PAM50) and Integrative Clusters</w:t>
      </w:r>
      <w:r w:rsidRPr="00A13DA4">
        <w:rPr>
          <w:noProof/>
          <w:vertAlign w:val="superscript"/>
        </w:rPr>
        <w:t>13,15</w:t>
      </w:r>
      <w:r>
        <w:t xml:space="preserve"> are not adequately able to discriminate HRDetect groups, suggesting that HRDetect provides a novel, independent angle to TNBC stratification. </w:t>
      </w:r>
    </w:p>
    <w:p w14:paraId="6FE70B9F" w14:textId="77777777" w:rsidR="00DB3E23" w:rsidRDefault="00DB3E23" w:rsidP="004E5107">
      <w:pPr>
        <w:spacing w:line="480" w:lineRule="auto"/>
        <w:jc w:val="both"/>
      </w:pPr>
    </w:p>
    <w:p w14:paraId="0DB5BB5D" w14:textId="77777777" w:rsidR="00DB3E23" w:rsidRPr="001E2390" w:rsidRDefault="00DB3E23" w:rsidP="00A05A3A">
      <w:pPr>
        <w:spacing w:line="480" w:lineRule="auto"/>
        <w:jc w:val="both"/>
      </w:pPr>
      <w:r>
        <w:t>Previously</w:t>
      </w:r>
      <w:r w:rsidRPr="001E2390">
        <w:t xml:space="preserve">, </w:t>
      </w:r>
      <w:r>
        <w:t>S</w:t>
      </w:r>
      <w:r w:rsidRPr="001E2390">
        <w:t xml:space="preserve">ubstitution </w:t>
      </w:r>
      <w:r>
        <w:t>S</w:t>
      </w:r>
      <w:r w:rsidRPr="001E2390">
        <w:t>ignature 3 and specific patterns of</w:t>
      </w:r>
      <w:r>
        <w:t xml:space="preserve"> copy number aberrations</w:t>
      </w:r>
      <w:r w:rsidRPr="001E2390">
        <w:t xml:space="preserve"> </w:t>
      </w:r>
      <w:r>
        <w:t>(</w:t>
      </w:r>
      <w:r w:rsidRPr="001E2390">
        <w:t>CNAs</w:t>
      </w:r>
      <w:r>
        <w:t>;</w:t>
      </w:r>
      <w:r w:rsidRPr="001E2390">
        <w:t xml:space="preserve"> “genomic scars”) have been used to infer a HRD phenotype</w:t>
      </w:r>
      <w:r w:rsidRPr="00A13DA4">
        <w:rPr>
          <w:noProof/>
          <w:vertAlign w:val="superscript"/>
        </w:rPr>
        <w:t>10,16</w:t>
      </w:r>
      <w:r w:rsidRPr="001E2390">
        <w:t xml:space="preserve">. However, choosing a </w:t>
      </w:r>
      <w:r>
        <w:t>S</w:t>
      </w:r>
      <w:r w:rsidRPr="001E2390">
        <w:t xml:space="preserve">ignature 3 </w:t>
      </w:r>
      <w:r>
        <w:t>cut-off is</w:t>
      </w:r>
      <w:r w:rsidRPr="001E2390">
        <w:t xml:space="preserve"> challenging as this signature has a featureless, flat profile, where mutations are often mis-assigned. </w:t>
      </w:r>
      <w:r>
        <w:t>T</w:t>
      </w:r>
      <w:r w:rsidRPr="001E2390">
        <w:t xml:space="preserve">he CNA-based </w:t>
      </w:r>
      <w:r>
        <w:t>“</w:t>
      </w:r>
      <w:r w:rsidRPr="001E2390">
        <w:t>HRD assay</w:t>
      </w:r>
      <w:r>
        <w:t>”</w:t>
      </w:r>
      <w:r w:rsidRPr="001E2390">
        <w:t xml:space="preserve"> has a designated cut-off of 42</w:t>
      </w:r>
      <w:r w:rsidRPr="00A13DA4">
        <w:rPr>
          <w:noProof/>
          <w:vertAlign w:val="superscript"/>
        </w:rPr>
        <w:t>10</w:t>
      </w:r>
      <w:r w:rsidRPr="001E2390">
        <w:t xml:space="preserve">. </w:t>
      </w:r>
      <w:r>
        <w:t>W</w:t>
      </w:r>
      <w:r w:rsidRPr="001E2390">
        <w:t xml:space="preserve">hen compared </w:t>
      </w:r>
      <w:r>
        <w:t>with</w:t>
      </w:r>
      <w:r w:rsidRPr="001E2390">
        <w:t xml:space="preserve"> HRDetect as reference, the </w:t>
      </w:r>
      <w:r>
        <w:t>“</w:t>
      </w:r>
      <w:r w:rsidRPr="001E2390">
        <w:t>HRD assay</w:t>
      </w:r>
      <w:r>
        <w:t>”</w:t>
      </w:r>
      <w:r w:rsidRPr="001E2390">
        <w:t xml:space="preserve"> has a false negative rate of 13%, and 16% of CNA-based HRD-high cases </w:t>
      </w:r>
      <w:r>
        <w:t>were</w:t>
      </w:r>
      <w:r w:rsidRPr="001E2390">
        <w:t xml:space="preserve"> false positives. HRDetect </w:t>
      </w:r>
      <w:r>
        <w:t xml:space="preserve">is therefore more specific than current substitution signature and CNA approaches, while </w:t>
      </w:r>
      <w:r w:rsidRPr="001E2390">
        <w:t>extend</w:t>
      </w:r>
      <w:r>
        <w:t>ing</w:t>
      </w:r>
      <w:r w:rsidRPr="001E2390">
        <w:t xml:space="preserve"> identification of HRD to a wider set of samples revealing tumors that are likely inactivated by ways other than classical mechanisms </w:t>
      </w:r>
      <w:r>
        <w:t>(Figure 2B</w:t>
      </w:r>
      <w:r w:rsidRPr="001E2390">
        <w:t xml:space="preserve">). </w:t>
      </w:r>
    </w:p>
    <w:p w14:paraId="0FE1A825" w14:textId="77777777" w:rsidR="00DB3E23" w:rsidRPr="001E2390" w:rsidRDefault="00DB3E23" w:rsidP="000B644B">
      <w:pPr>
        <w:spacing w:line="480" w:lineRule="auto"/>
        <w:jc w:val="both"/>
      </w:pPr>
    </w:p>
    <w:p w14:paraId="5EFC403F" w14:textId="77777777" w:rsidR="00DB3E23" w:rsidRPr="001E2390" w:rsidRDefault="00DB3E23" w:rsidP="002A422C">
      <w:pPr>
        <w:spacing w:line="480" w:lineRule="auto"/>
        <w:jc w:val="both"/>
      </w:pPr>
      <w:r>
        <w:lastRenderedPageBreak/>
        <w:t>Next, to comprehensively</w:t>
      </w:r>
      <w:r w:rsidRPr="001E2390">
        <w:t xml:space="preserve"> </w:t>
      </w:r>
      <w:r>
        <w:t xml:space="preserve">understand the causes of HRDetect-high scores, we </w:t>
      </w:r>
      <w:r w:rsidRPr="001E2390">
        <w:t xml:space="preserve">examined germline and somatic mutation status of </w:t>
      </w:r>
      <w:r w:rsidRPr="001E2390">
        <w:rPr>
          <w:i/>
        </w:rPr>
        <w:t>BRCA1</w:t>
      </w:r>
      <w:r w:rsidRPr="001E2390">
        <w:t xml:space="preserve">, </w:t>
      </w:r>
      <w:r w:rsidRPr="001E2390">
        <w:rPr>
          <w:i/>
        </w:rPr>
        <w:t>BRCA2</w:t>
      </w:r>
      <w:r w:rsidRPr="001E2390">
        <w:t>, a set of 163 additional HR-related or breast cancer susceptibility genes (Supplementary Data Table)</w:t>
      </w:r>
      <w:r>
        <w:t>,</w:t>
      </w:r>
      <w:r w:rsidRPr="001E2390">
        <w:t xml:space="preserve"> </w:t>
      </w:r>
      <w:r>
        <w:t>and status of remaining w</w:t>
      </w:r>
      <w:r w:rsidRPr="001E2390">
        <w:t>ild-type parental allele</w:t>
      </w:r>
      <w:r>
        <w:t xml:space="preserve"> in all samples. S</w:t>
      </w:r>
      <w:r w:rsidRPr="001E2390">
        <w:t xml:space="preserve">ystematic promoter hypermethylation </w:t>
      </w:r>
      <w:r>
        <w:t>by pyrosequencing</w:t>
      </w:r>
      <w:r w:rsidRPr="001E2390">
        <w:t xml:space="preserve"> of </w:t>
      </w:r>
      <w:r w:rsidRPr="001E2390">
        <w:rPr>
          <w:i/>
        </w:rPr>
        <w:t>BRCA1</w:t>
      </w:r>
      <w:r w:rsidRPr="001E2390">
        <w:t xml:space="preserve"> and </w:t>
      </w:r>
      <w:r w:rsidRPr="001E2390">
        <w:rPr>
          <w:i/>
        </w:rPr>
        <w:t>RAD51C</w:t>
      </w:r>
      <w:r w:rsidRPr="001E2390">
        <w:t xml:space="preserve"> </w:t>
      </w:r>
      <w:r>
        <w:t>was also performed</w:t>
      </w:r>
      <w:r w:rsidRPr="001E2390">
        <w:t xml:space="preserve">. </w:t>
      </w:r>
    </w:p>
    <w:p w14:paraId="0E39A28E" w14:textId="77777777" w:rsidR="00DB3E23" w:rsidRPr="001E2390" w:rsidRDefault="00DB3E23" w:rsidP="002A422C">
      <w:pPr>
        <w:spacing w:line="480" w:lineRule="auto"/>
        <w:jc w:val="both"/>
      </w:pPr>
    </w:p>
    <w:p w14:paraId="541DEA1E" w14:textId="77777777" w:rsidR="00DB3E23" w:rsidRDefault="00DB3E23" w:rsidP="00BD4674">
      <w:pPr>
        <w:spacing w:line="480" w:lineRule="auto"/>
        <w:jc w:val="both"/>
        <w:rPr>
          <w:color w:val="FF0000"/>
        </w:rPr>
      </w:pPr>
      <w:r w:rsidRPr="001E2390">
        <w:t xml:space="preserve">Of 139 HRDetect-high cases, 29 (21%) confirmed biallelic loss of </w:t>
      </w:r>
      <w:r w:rsidRPr="001E2390">
        <w:rPr>
          <w:i/>
        </w:rPr>
        <w:t>BRCA1</w:t>
      </w:r>
      <w:r w:rsidRPr="001E2390">
        <w:t xml:space="preserve"> or </w:t>
      </w:r>
      <w:r w:rsidRPr="001E2390">
        <w:rPr>
          <w:i/>
        </w:rPr>
        <w:t>BRCA2</w:t>
      </w:r>
      <w:r w:rsidRPr="001E2390">
        <w:t xml:space="preserve"> (i.e.</w:t>
      </w:r>
      <w:r>
        <w:t>,</w:t>
      </w:r>
      <w:r w:rsidRPr="001E2390">
        <w:t xml:space="preserve"> 20 germline and 9 somatic with LOH of the wild-type parental allele) and 55 (40%) had </w:t>
      </w:r>
      <w:r w:rsidRPr="001E2390">
        <w:rPr>
          <w:i/>
        </w:rPr>
        <w:t>BRCA1</w:t>
      </w:r>
      <w:r w:rsidRPr="001E2390">
        <w:t xml:space="preserve"> hypermethylation with loss of the other parental allele (Figure 2</w:t>
      </w:r>
      <w:r>
        <w:t>A</w:t>
      </w:r>
      <w:r w:rsidRPr="001E2390">
        <w:t xml:space="preserve">, note one case with concurrent </w:t>
      </w:r>
      <w:r w:rsidRPr="001E2390">
        <w:rPr>
          <w:i/>
        </w:rPr>
        <w:t>BRCA2</w:t>
      </w:r>
      <w:r w:rsidRPr="001E2390">
        <w:t xml:space="preserve"> biallelic alteration and </w:t>
      </w:r>
      <w:r w:rsidRPr="001E2390">
        <w:rPr>
          <w:i/>
        </w:rPr>
        <w:t>BRCA1</w:t>
      </w:r>
      <w:r w:rsidRPr="001E2390">
        <w:t xml:space="preserve"> hypermethylation). </w:t>
      </w:r>
      <w:r>
        <w:t>There were no instances of a dominantly inherited 5’ UTR variant causing methylation-associated BRCA1 silencing</w:t>
      </w:r>
      <w:r w:rsidRPr="00CF1297">
        <w:rPr>
          <w:noProof/>
          <w:vertAlign w:val="superscript"/>
        </w:rPr>
        <w:t>17</w:t>
      </w:r>
      <w:r>
        <w:t xml:space="preserve">. </w:t>
      </w:r>
    </w:p>
    <w:p w14:paraId="1AAB5425" w14:textId="77777777" w:rsidR="00DB3E23" w:rsidRPr="003E6773" w:rsidRDefault="00DB3E23" w:rsidP="00BD4674">
      <w:pPr>
        <w:spacing w:line="480" w:lineRule="auto"/>
        <w:jc w:val="both"/>
        <w:rPr>
          <w:color w:val="FF0000"/>
        </w:rPr>
      </w:pPr>
    </w:p>
    <w:p w14:paraId="39C7E1B7" w14:textId="77777777" w:rsidR="00DB3E23" w:rsidRDefault="00DB3E23">
      <w:pPr>
        <w:spacing w:line="480" w:lineRule="auto"/>
        <w:jc w:val="both"/>
      </w:pPr>
      <w:r w:rsidRPr="001E2390">
        <w:t xml:space="preserve">Five tumors had pathogenic germline </w:t>
      </w:r>
      <w:r w:rsidRPr="001E2390">
        <w:rPr>
          <w:i/>
        </w:rPr>
        <w:t>PALB2</w:t>
      </w:r>
      <w:r w:rsidRPr="001E2390">
        <w:t xml:space="preserve"> variants</w:t>
      </w:r>
      <w:r>
        <w:t>,</w:t>
      </w:r>
      <w:r w:rsidRPr="001E2390">
        <w:t xml:space="preserve"> three cases with </w:t>
      </w:r>
      <w:r w:rsidRPr="001E2390">
        <w:rPr>
          <w:rFonts w:eastAsia="Times New Roman"/>
        </w:rPr>
        <w:t xml:space="preserve">c.509_510delGA </w:t>
      </w:r>
      <w:r w:rsidRPr="001E2390">
        <w:t xml:space="preserve">variant (two biallelic, one monoallelic), one </w:t>
      </w:r>
      <w:r w:rsidRPr="001E2390">
        <w:rPr>
          <w:rFonts w:eastAsia="Times New Roman"/>
        </w:rPr>
        <w:t xml:space="preserve">c.3239_3240delAA </w:t>
      </w:r>
      <w:r w:rsidRPr="001E2390">
        <w:t xml:space="preserve">variant, one </w:t>
      </w:r>
      <w:r w:rsidRPr="001E2390">
        <w:rPr>
          <w:rFonts w:eastAsia="Times New Roman"/>
        </w:rPr>
        <w:t>c.1039G&gt;T variant</w:t>
      </w:r>
      <w:r>
        <w:t xml:space="preserve">. Four had </w:t>
      </w:r>
      <w:r w:rsidRPr="001E2390">
        <w:t xml:space="preserve">wild-type allele inactivation through somatic </w:t>
      </w:r>
      <w:r>
        <w:t xml:space="preserve">pathogenic </w:t>
      </w:r>
      <w:r w:rsidRPr="001E2390">
        <w:t>mutation in three cases and loss</w:t>
      </w:r>
      <w:r>
        <w:t>-</w:t>
      </w:r>
      <w:r w:rsidRPr="001E2390">
        <w:t>of</w:t>
      </w:r>
      <w:r>
        <w:t>-</w:t>
      </w:r>
      <w:r w:rsidRPr="001E2390">
        <w:t>heterozygosity in one instance</w:t>
      </w:r>
      <w:r>
        <w:t xml:space="preserve">. Five </w:t>
      </w:r>
      <w:r w:rsidRPr="001E2390">
        <w:rPr>
          <w:i/>
        </w:rPr>
        <w:t>RAD51C</w:t>
      </w:r>
      <w:r w:rsidRPr="001E2390">
        <w:t xml:space="preserve"> hypermethylation</w:t>
      </w:r>
      <w:r>
        <w:t xml:space="preserve"> cases</w:t>
      </w:r>
      <w:r w:rsidRPr="001E2390">
        <w:t xml:space="preserve"> were also </w:t>
      </w:r>
      <w:r>
        <w:t xml:space="preserve">observed with </w:t>
      </w:r>
      <w:r w:rsidRPr="001E2390">
        <w:t xml:space="preserve">concomitant marked downregulation of </w:t>
      </w:r>
      <w:r w:rsidRPr="001E2390">
        <w:rPr>
          <w:i/>
        </w:rPr>
        <w:t>RAD51C</w:t>
      </w:r>
      <w:r w:rsidRPr="001E2390">
        <w:t xml:space="preserve"> mRNA expression (</w:t>
      </w:r>
      <w:r>
        <w:t>Wilcoxon-</w:t>
      </w:r>
      <w:r w:rsidRPr="001E2390">
        <w:t>test p=0.0001).</w:t>
      </w:r>
      <w:r>
        <w:t xml:space="preserve"> Intriguingly, the four biallelic </w:t>
      </w:r>
      <w:r w:rsidRPr="00434953">
        <w:rPr>
          <w:i/>
        </w:rPr>
        <w:t>PALB2</w:t>
      </w:r>
      <w:r>
        <w:t xml:space="preserve"> and five </w:t>
      </w:r>
      <w:r w:rsidRPr="00434953">
        <w:rPr>
          <w:i/>
        </w:rPr>
        <w:t>RAD51C</w:t>
      </w:r>
      <w:r>
        <w:t xml:space="preserve"> cases (6.5% of HRDetect-high cases) consistently showed a BRCA2-null phenotype</w:t>
      </w:r>
      <w:r w:rsidRPr="00A13DA4">
        <w:rPr>
          <w:noProof/>
          <w:vertAlign w:val="superscript"/>
        </w:rPr>
        <w:t>16</w:t>
      </w:r>
      <w:r>
        <w:t xml:space="preserve"> </w:t>
      </w:r>
      <w:r w:rsidRPr="001E2390">
        <w:t xml:space="preserve">including elevated </w:t>
      </w:r>
      <w:r>
        <w:t>S</w:t>
      </w:r>
      <w:r w:rsidRPr="001E2390">
        <w:t xml:space="preserve">ubstitution </w:t>
      </w:r>
      <w:r>
        <w:t>S</w:t>
      </w:r>
      <w:r w:rsidRPr="001E2390">
        <w:t xml:space="preserve">ignature 3, elevated Rearrangement Signatures 2 and 5, </w:t>
      </w:r>
      <w:r>
        <w:t>and</w:t>
      </w:r>
      <w:r w:rsidRPr="001E2390">
        <w:t xml:space="preserve"> no Rearrangement Signature 3</w:t>
      </w:r>
      <w:r>
        <w:t xml:space="preserve"> (Figures 2A, 3A-D, Supplementary Data Table), evidenced also by p</w:t>
      </w:r>
      <w:r w:rsidRPr="001E2390">
        <w:t>rincipal component analysis of HRDetect components (Figure 3</w:t>
      </w:r>
      <w:r>
        <w:t>E</w:t>
      </w:r>
      <w:r w:rsidRPr="001E2390">
        <w:t xml:space="preserve">). </w:t>
      </w:r>
      <w:r w:rsidRPr="001E2390">
        <w:rPr>
          <w:i/>
        </w:rPr>
        <w:t>PALB2</w:t>
      </w:r>
      <w:r w:rsidRPr="001E2390">
        <w:t xml:space="preserve">, </w:t>
      </w:r>
      <w:r w:rsidRPr="001E2390">
        <w:rPr>
          <w:i/>
        </w:rPr>
        <w:t>RAD51C</w:t>
      </w:r>
      <w:r w:rsidRPr="001E2390">
        <w:t xml:space="preserve"> and </w:t>
      </w:r>
      <w:r w:rsidRPr="001E2390">
        <w:rPr>
          <w:i/>
        </w:rPr>
        <w:t>BRCA2</w:t>
      </w:r>
      <w:r w:rsidRPr="001E2390">
        <w:t xml:space="preserve"> are involved in a complex that stimulates strand invasion of the </w:t>
      </w:r>
      <w:r w:rsidRPr="001E2390">
        <w:rPr>
          <w:i/>
        </w:rPr>
        <w:t>RAD51</w:t>
      </w:r>
      <w:r w:rsidRPr="001E2390">
        <w:t xml:space="preserve"> nucleoprotein filament</w:t>
      </w:r>
      <w:r w:rsidRPr="006D730A">
        <w:rPr>
          <w:noProof/>
          <w:vertAlign w:val="superscript"/>
        </w:rPr>
        <w:t>18,19</w:t>
      </w:r>
      <w:r>
        <w:t>,</w:t>
      </w:r>
      <w:r w:rsidRPr="001E2390">
        <w:t xml:space="preserve"> a critical step in HR-related repair. Thus, </w:t>
      </w:r>
      <w:r>
        <w:t xml:space="preserve">their </w:t>
      </w:r>
      <w:r w:rsidRPr="001E2390">
        <w:t>BRCA2-like profiles may be explained by the</w:t>
      </w:r>
      <w:r>
        <w:t>se</w:t>
      </w:r>
      <w:r w:rsidRPr="001E2390">
        <w:t xml:space="preserve"> </w:t>
      </w:r>
      <w:r>
        <w:t>molecular relationships.</w:t>
      </w:r>
    </w:p>
    <w:p w14:paraId="442AEDE4" w14:textId="77777777" w:rsidR="00DB3E23" w:rsidRDefault="00DB3E23">
      <w:pPr>
        <w:spacing w:line="480" w:lineRule="auto"/>
        <w:jc w:val="both"/>
      </w:pPr>
    </w:p>
    <w:p w14:paraId="3DF51773" w14:textId="77777777" w:rsidR="00DB3E23" w:rsidRDefault="00DB3E23">
      <w:pPr>
        <w:spacing w:line="480" w:lineRule="auto"/>
        <w:jc w:val="both"/>
      </w:pPr>
      <w:r>
        <w:t>Caus</w:t>
      </w:r>
      <w:r w:rsidRPr="001E2390">
        <w:t>es for HRDetect-high scores in the remaining 46 (33%) samples</w:t>
      </w:r>
      <w:r>
        <w:t xml:space="preserve"> were</w:t>
      </w:r>
      <w:r w:rsidRPr="001E2390">
        <w:t xml:space="preserve"> unclear</w:t>
      </w:r>
      <w:r>
        <w:t>. S</w:t>
      </w:r>
      <w:r w:rsidRPr="001E2390">
        <w:t>ix were</w:t>
      </w:r>
      <w:r>
        <w:t xml:space="preserve"> </w:t>
      </w:r>
      <w:r w:rsidRPr="001E2390">
        <w:t xml:space="preserve">monoallelic for </w:t>
      </w:r>
      <w:r w:rsidRPr="001E2390">
        <w:rPr>
          <w:i/>
        </w:rPr>
        <w:t>BRCA1</w:t>
      </w:r>
      <w:r w:rsidRPr="001E2390">
        <w:t>/</w:t>
      </w:r>
      <w:r w:rsidRPr="001E2390">
        <w:rPr>
          <w:i/>
        </w:rPr>
        <w:t>BRCA2</w:t>
      </w:r>
      <w:r>
        <w:t xml:space="preserve"> and had low tumor cellularity</w:t>
      </w:r>
      <w:r w:rsidRPr="001E2390">
        <w:t xml:space="preserve">. </w:t>
      </w:r>
      <w:r w:rsidRPr="004A2AE6">
        <w:rPr>
          <w:i/>
        </w:rPr>
        <w:t>RAD51</w:t>
      </w:r>
      <w:r>
        <w:t xml:space="preserve"> and </w:t>
      </w:r>
      <w:r w:rsidRPr="004A2AE6">
        <w:rPr>
          <w:i/>
        </w:rPr>
        <w:t>PALB2</w:t>
      </w:r>
      <w:r>
        <w:t xml:space="preserve"> pyrosequencing did not reveal positive findings. Mobile Element analysis for 11 HR genes (</w:t>
      </w:r>
      <w:r w:rsidRPr="00E44F0D">
        <w:rPr>
          <w:i/>
        </w:rPr>
        <w:t>ATM</w:t>
      </w:r>
      <w:r>
        <w:t xml:space="preserve">, </w:t>
      </w:r>
      <w:r w:rsidRPr="00E44F0D">
        <w:rPr>
          <w:i/>
        </w:rPr>
        <w:t>BARD1</w:t>
      </w:r>
      <w:r>
        <w:t xml:space="preserve">, </w:t>
      </w:r>
      <w:r w:rsidRPr="00E44F0D">
        <w:rPr>
          <w:i/>
        </w:rPr>
        <w:t>BRCA1</w:t>
      </w:r>
      <w:r>
        <w:t xml:space="preserve">, </w:t>
      </w:r>
      <w:r w:rsidRPr="00E44F0D">
        <w:rPr>
          <w:i/>
        </w:rPr>
        <w:t>BRCA2</w:t>
      </w:r>
      <w:r>
        <w:t xml:space="preserve">, </w:t>
      </w:r>
      <w:r w:rsidRPr="00E44F0D">
        <w:rPr>
          <w:i/>
        </w:rPr>
        <w:t>BRIP1</w:t>
      </w:r>
      <w:r>
        <w:t xml:space="preserve">, </w:t>
      </w:r>
      <w:r w:rsidRPr="00E44F0D">
        <w:rPr>
          <w:i/>
        </w:rPr>
        <w:t>CHEK2</w:t>
      </w:r>
      <w:r>
        <w:t xml:space="preserve">, </w:t>
      </w:r>
      <w:r w:rsidRPr="00E44F0D">
        <w:rPr>
          <w:i/>
        </w:rPr>
        <w:t>MRE11</w:t>
      </w:r>
      <w:r>
        <w:t xml:space="preserve">, </w:t>
      </w:r>
      <w:r w:rsidRPr="00E44F0D">
        <w:rPr>
          <w:i/>
        </w:rPr>
        <w:t>NBN</w:t>
      </w:r>
      <w:r>
        <w:t xml:space="preserve">, </w:t>
      </w:r>
      <w:r w:rsidRPr="00E44F0D">
        <w:rPr>
          <w:i/>
        </w:rPr>
        <w:t>PALB2</w:t>
      </w:r>
      <w:r>
        <w:t xml:space="preserve">, </w:t>
      </w:r>
      <w:r w:rsidRPr="00E44F0D">
        <w:rPr>
          <w:i/>
        </w:rPr>
        <w:t>RAD51C</w:t>
      </w:r>
      <w:r>
        <w:t xml:space="preserve">, </w:t>
      </w:r>
      <w:r w:rsidRPr="00E44F0D">
        <w:rPr>
          <w:i/>
        </w:rPr>
        <w:t>RAD51D</w:t>
      </w:r>
      <w:r>
        <w:t xml:space="preserve">) identified </w:t>
      </w:r>
      <w:r>
        <w:rPr>
          <w:rFonts w:eastAsia="Times New Roman"/>
          <w:shd w:val="clear" w:color="auto" w:fill="FFFFFF"/>
        </w:rPr>
        <w:t>a germline SINE-VNTR-Alu (SVA) retrotransposon</w:t>
      </w:r>
      <w:r>
        <w:t xml:space="preserve"> </w:t>
      </w:r>
      <w:r>
        <w:rPr>
          <w:rFonts w:eastAsia="Times New Roman"/>
          <w:shd w:val="clear" w:color="auto" w:fill="FFFFFF"/>
        </w:rPr>
        <w:t xml:space="preserve">1.8kb downstream of the first coding exon of </w:t>
      </w:r>
      <w:r w:rsidRPr="00F965F5">
        <w:rPr>
          <w:rFonts w:eastAsia="Times New Roman"/>
          <w:i/>
          <w:shd w:val="clear" w:color="auto" w:fill="FFFFFF"/>
        </w:rPr>
        <w:t>BRCA1</w:t>
      </w:r>
      <w:r>
        <w:rPr>
          <w:rFonts w:eastAsia="Times New Roman"/>
          <w:shd w:val="clear" w:color="auto" w:fill="FFFFFF"/>
        </w:rPr>
        <w:t xml:space="preserve"> in </w:t>
      </w:r>
      <w:r>
        <w:t xml:space="preserve">one patient, </w:t>
      </w:r>
      <w:r>
        <w:rPr>
          <w:rFonts w:eastAsia="Times New Roman"/>
          <w:shd w:val="clear" w:color="auto" w:fill="FFFFFF"/>
        </w:rPr>
        <w:t xml:space="preserve">PD35958a. This specific mobile element has not been reported in the 1000 genomes dataset. Moreover, wild-type allele LOH was noted and </w:t>
      </w:r>
      <w:r w:rsidRPr="00471F05">
        <w:rPr>
          <w:rFonts w:eastAsia="Times New Roman"/>
          <w:i/>
          <w:shd w:val="clear" w:color="auto" w:fill="FFFFFF"/>
        </w:rPr>
        <w:t>BRCA1</w:t>
      </w:r>
      <w:r>
        <w:rPr>
          <w:rFonts w:eastAsia="Times New Roman"/>
          <w:shd w:val="clear" w:color="auto" w:fill="FFFFFF"/>
        </w:rPr>
        <w:t xml:space="preserve"> expression was markedly reduced. </w:t>
      </w:r>
      <w:r>
        <w:t>SVA elements have been reported as disease-causing</w:t>
      </w:r>
      <w:r w:rsidRPr="006D730A">
        <w:rPr>
          <w:noProof/>
          <w:vertAlign w:val="superscript"/>
        </w:rPr>
        <w:t>20</w:t>
      </w:r>
      <w:r>
        <w:t xml:space="preserve">, but not in </w:t>
      </w:r>
      <w:r w:rsidRPr="009A1F8E">
        <w:rPr>
          <w:i/>
        </w:rPr>
        <w:t>BRCA1</w:t>
      </w:r>
      <w:r>
        <w:t xml:space="preserve">. Thus, this observation may indicate a potential novel mechanism of germline </w:t>
      </w:r>
      <w:r w:rsidRPr="00B92CC0">
        <w:rPr>
          <w:i/>
          <w:iCs/>
        </w:rPr>
        <w:t>BRCA1</w:t>
      </w:r>
      <w:r>
        <w:t xml:space="preserve"> abrogation. </w:t>
      </w:r>
    </w:p>
    <w:p w14:paraId="7E916586" w14:textId="77777777" w:rsidR="00DB3E23" w:rsidRDefault="00DB3E23" w:rsidP="00FD447D">
      <w:pPr>
        <w:spacing w:line="480" w:lineRule="auto"/>
        <w:jc w:val="both"/>
      </w:pPr>
    </w:p>
    <w:p w14:paraId="2AF0C236" w14:textId="77777777" w:rsidR="00DB3E23" w:rsidRPr="005D3732" w:rsidRDefault="00DB3E23" w:rsidP="00FD447D">
      <w:pPr>
        <w:spacing w:line="480" w:lineRule="auto"/>
        <w:jc w:val="both"/>
        <w:rPr>
          <w:color w:val="000000" w:themeColor="text1"/>
        </w:rPr>
      </w:pPr>
      <w:r>
        <w:rPr>
          <w:color w:val="000000" w:themeColor="text1"/>
        </w:rPr>
        <w:t>Fourteen</w:t>
      </w:r>
      <w:r w:rsidRPr="005D3732">
        <w:rPr>
          <w:color w:val="000000" w:themeColor="text1"/>
        </w:rPr>
        <w:t xml:space="preserve"> </w:t>
      </w:r>
      <w:r>
        <w:rPr>
          <w:color w:val="000000" w:themeColor="text1"/>
        </w:rPr>
        <w:t xml:space="preserve">new pathogenic </w:t>
      </w:r>
      <w:r w:rsidRPr="005D3732">
        <w:rPr>
          <w:color w:val="000000" w:themeColor="text1"/>
        </w:rPr>
        <w:t xml:space="preserve">germline </w:t>
      </w:r>
      <w:r w:rsidRPr="000A25DD">
        <w:rPr>
          <w:i/>
          <w:color w:val="000000" w:themeColor="text1"/>
        </w:rPr>
        <w:t>BRCA1/</w:t>
      </w:r>
      <w:r>
        <w:rPr>
          <w:i/>
          <w:color w:val="000000" w:themeColor="text1"/>
        </w:rPr>
        <w:t>BRCA</w:t>
      </w:r>
      <w:r w:rsidRPr="000A25DD">
        <w:rPr>
          <w:i/>
          <w:color w:val="000000" w:themeColor="text1"/>
        </w:rPr>
        <w:t>2</w:t>
      </w:r>
      <w:r>
        <w:rPr>
          <w:color w:val="000000" w:themeColor="text1"/>
        </w:rPr>
        <w:t xml:space="preserve"> </w:t>
      </w:r>
      <w:r w:rsidRPr="005D3732">
        <w:rPr>
          <w:color w:val="000000" w:themeColor="text1"/>
        </w:rPr>
        <w:t xml:space="preserve">variants were identified, in addition to the 12 </w:t>
      </w:r>
      <w:r>
        <w:rPr>
          <w:color w:val="000000" w:themeColor="text1"/>
        </w:rPr>
        <w:t xml:space="preserve">hitherto </w:t>
      </w:r>
      <w:r w:rsidRPr="005D3732">
        <w:rPr>
          <w:color w:val="000000" w:themeColor="text1"/>
        </w:rPr>
        <w:t>known</w:t>
      </w:r>
      <w:r>
        <w:rPr>
          <w:color w:val="000000" w:themeColor="text1"/>
        </w:rPr>
        <w:t xml:space="preserve"> variants, raising </w:t>
      </w:r>
      <w:r w:rsidRPr="005D3732">
        <w:rPr>
          <w:color w:val="000000" w:themeColor="text1"/>
        </w:rPr>
        <w:t>clinical genetic counselling implications. In Sweden, re-contacting patients</w:t>
      </w:r>
      <w:r>
        <w:rPr>
          <w:color w:val="000000" w:themeColor="text1"/>
        </w:rPr>
        <w:t>/families</w:t>
      </w:r>
      <w:r w:rsidRPr="005D3732">
        <w:rPr>
          <w:color w:val="000000" w:themeColor="text1"/>
        </w:rPr>
        <w:t xml:space="preserve"> based on</w:t>
      </w:r>
      <w:r>
        <w:rPr>
          <w:color w:val="000000" w:themeColor="text1"/>
        </w:rPr>
        <w:t xml:space="preserve"> </w:t>
      </w:r>
      <w:r w:rsidRPr="000A25DD">
        <w:rPr>
          <w:i/>
          <w:color w:val="000000" w:themeColor="text1"/>
        </w:rPr>
        <w:t>BRCA1/</w:t>
      </w:r>
      <w:r>
        <w:rPr>
          <w:i/>
          <w:color w:val="000000" w:themeColor="text1"/>
        </w:rPr>
        <w:t>BRCA</w:t>
      </w:r>
      <w:r w:rsidRPr="000A25DD">
        <w:rPr>
          <w:i/>
          <w:color w:val="000000" w:themeColor="text1"/>
        </w:rPr>
        <w:t>2</w:t>
      </w:r>
      <w:r w:rsidRPr="005D3732">
        <w:rPr>
          <w:color w:val="000000" w:themeColor="text1"/>
        </w:rPr>
        <w:t xml:space="preserve"> incidental findings has been perceived positively</w:t>
      </w:r>
      <w:r w:rsidRPr="005D3732">
        <w:rPr>
          <w:noProof/>
          <w:color w:val="000000" w:themeColor="text1"/>
          <w:vertAlign w:val="superscript"/>
        </w:rPr>
        <w:t>21</w:t>
      </w:r>
      <w:r w:rsidRPr="005D3732">
        <w:rPr>
          <w:color w:val="000000" w:themeColor="text1"/>
        </w:rPr>
        <w:t xml:space="preserve"> supporting the added value </w:t>
      </w:r>
      <w:r>
        <w:rPr>
          <w:color w:val="000000" w:themeColor="text1"/>
        </w:rPr>
        <w:t>that</w:t>
      </w:r>
      <w:r w:rsidRPr="005D3732">
        <w:rPr>
          <w:color w:val="000000" w:themeColor="text1"/>
        </w:rPr>
        <w:t xml:space="preserve"> tumor-directed </w:t>
      </w:r>
      <w:r>
        <w:rPr>
          <w:color w:val="000000" w:themeColor="text1"/>
        </w:rPr>
        <w:t>WGS</w:t>
      </w:r>
      <w:r w:rsidRPr="005D3732">
        <w:rPr>
          <w:color w:val="000000" w:themeColor="text1"/>
        </w:rPr>
        <w:t xml:space="preserve"> brings to </w:t>
      </w:r>
      <w:r>
        <w:rPr>
          <w:color w:val="000000" w:themeColor="text1"/>
        </w:rPr>
        <w:t>family</w:t>
      </w:r>
      <w:r w:rsidRPr="005D3732">
        <w:rPr>
          <w:color w:val="000000" w:themeColor="text1"/>
        </w:rPr>
        <w:t xml:space="preserve"> counselling.</w:t>
      </w:r>
    </w:p>
    <w:p w14:paraId="71576742" w14:textId="77777777" w:rsidR="00DB3E23" w:rsidRPr="003E6773" w:rsidRDefault="00DB3E23" w:rsidP="00FD447D">
      <w:pPr>
        <w:spacing w:line="480" w:lineRule="auto"/>
        <w:jc w:val="both"/>
        <w:rPr>
          <w:color w:val="FF0000"/>
        </w:rPr>
      </w:pPr>
    </w:p>
    <w:p w14:paraId="4121406B" w14:textId="6D5199A0" w:rsidR="00DB3E23" w:rsidRDefault="00DB3E23" w:rsidP="004D4C67">
      <w:pPr>
        <w:spacing w:line="480" w:lineRule="auto"/>
        <w:jc w:val="both"/>
      </w:pPr>
      <w:r>
        <w:t xml:space="preserve">To seek distinguishing features between different HRDetect groups, we examined driver alterations. </w:t>
      </w:r>
      <w:r w:rsidRPr="000A25DD">
        <w:rPr>
          <w:color w:val="000000" w:themeColor="text1"/>
        </w:rPr>
        <w:t xml:space="preserve">HRDetect-high and HRDetect-intermediate cases </w:t>
      </w:r>
      <w:r>
        <w:rPr>
          <w:color w:val="000000" w:themeColor="text1"/>
        </w:rPr>
        <w:t>tended</w:t>
      </w:r>
      <w:r w:rsidRPr="000A25DD">
        <w:rPr>
          <w:color w:val="000000" w:themeColor="text1"/>
        </w:rPr>
        <w:t xml:space="preserve"> towards more driver amplifications (e.g. </w:t>
      </w:r>
      <w:r w:rsidRPr="000A25DD">
        <w:rPr>
          <w:i/>
          <w:color w:val="000000" w:themeColor="text1"/>
        </w:rPr>
        <w:t>MYC</w:t>
      </w:r>
      <w:r w:rsidRPr="000A25DD">
        <w:rPr>
          <w:color w:val="000000" w:themeColor="text1"/>
        </w:rPr>
        <w:t xml:space="preserve"> and </w:t>
      </w:r>
      <w:r w:rsidRPr="000A25DD">
        <w:rPr>
          <w:i/>
          <w:color w:val="000000" w:themeColor="text1"/>
        </w:rPr>
        <w:t>MCL1</w:t>
      </w:r>
      <w:r w:rsidRPr="000A25DD">
        <w:rPr>
          <w:color w:val="000000" w:themeColor="text1"/>
        </w:rPr>
        <w:t>) than HRDetect-low (</w:t>
      </w:r>
      <w:r>
        <w:rPr>
          <w:color w:val="000000" w:themeColor="text1"/>
        </w:rPr>
        <w:t>Extended</w:t>
      </w:r>
      <w:r w:rsidRPr="000A25DD">
        <w:rPr>
          <w:color w:val="000000" w:themeColor="text1"/>
        </w:rPr>
        <w:t xml:space="preserve"> </w:t>
      </w:r>
      <w:r>
        <w:rPr>
          <w:color w:val="000000" w:themeColor="text1"/>
        </w:rPr>
        <w:t>Data</w:t>
      </w:r>
      <w:r w:rsidRPr="000A25DD">
        <w:rPr>
          <w:color w:val="000000" w:themeColor="text1"/>
        </w:rPr>
        <w:t xml:space="preserve"> </w:t>
      </w:r>
      <w:r>
        <w:rPr>
          <w:color w:val="000000" w:themeColor="text1"/>
        </w:rPr>
        <w:t>3</w:t>
      </w:r>
      <w:r w:rsidRPr="000A25DD">
        <w:rPr>
          <w:color w:val="000000" w:themeColor="text1"/>
        </w:rPr>
        <w:t>).</w:t>
      </w:r>
      <w:r w:rsidRPr="003E6773">
        <w:rPr>
          <w:color w:val="FF0000"/>
        </w:rPr>
        <w:t xml:space="preserve"> </w:t>
      </w:r>
      <w:r>
        <w:t>E</w:t>
      </w:r>
      <w:r w:rsidRPr="000A25DD">
        <w:t xml:space="preserve">ight </w:t>
      </w:r>
      <w:r>
        <w:t>substitution/indel driver</w:t>
      </w:r>
      <w:r w:rsidRPr="000A25DD">
        <w:t xml:space="preserve"> genes were enriched</w:t>
      </w:r>
      <w:r>
        <w:t>, albeit</w:t>
      </w:r>
      <w:r w:rsidRPr="000A25DD">
        <w:t xml:space="preserve"> no</w:t>
      </w:r>
      <w:r>
        <w:t>n-discriminatory</w:t>
      </w:r>
      <w:r w:rsidRPr="000A25DD">
        <w:t xml:space="preserve"> between groups (</w:t>
      </w:r>
      <w:r w:rsidRPr="000A25DD">
        <w:rPr>
          <w:i/>
        </w:rPr>
        <w:t>TP53</w:t>
      </w:r>
      <w:r w:rsidRPr="000A25DD">
        <w:t xml:space="preserve">, </w:t>
      </w:r>
      <w:r w:rsidRPr="000A25DD">
        <w:rPr>
          <w:i/>
        </w:rPr>
        <w:t>PTEN</w:t>
      </w:r>
      <w:r w:rsidRPr="000A25DD">
        <w:t xml:space="preserve">, </w:t>
      </w:r>
      <w:r w:rsidRPr="000A25DD">
        <w:rPr>
          <w:i/>
        </w:rPr>
        <w:t>ARID1B</w:t>
      </w:r>
      <w:r w:rsidRPr="000A25DD">
        <w:t xml:space="preserve">, </w:t>
      </w:r>
      <w:r w:rsidRPr="000A25DD">
        <w:rPr>
          <w:i/>
        </w:rPr>
        <w:t>MLLT4</w:t>
      </w:r>
      <w:r w:rsidRPr="000A25DD">
        <w:t xml:space="preserve"> for HRDetect-high, </w:t>
      </w:r>
      <w:r w:rsidRPr="000A25DD">
        <w:rPr>
          <w:i/>
        </w:rPr>
        <w:t>PIK3CA</w:t>
      </w:r>
      <w:r w:rsidRPr="000A25DD">
        <w:t xml:space="preserve"> and </w:t>
      </w:r>
      <w:r w:rsidRPr="000A25DD">
        <w:rPr>
          <w:i/>
        </w:rPr>
        <w:t xml:space="preserve">AKT1 </w:t>
      </w:r>
      <w:r w:rsidRPr="000A25DD">
        <w:t xml:space="preserve">for HRDetect-low, and </w:t>
      </w:r>
      <w:r w:rsidRPr="000A25DD">
        <w:rPr>
          <w:i/>
        </w:rPr>
        <w:t>RB1</w:t>
      </w:r>
      <w:r w:rsidRPr="000A25DD">
        <w:t xml:space="preserve"> and </w:t>
      </w:r>
      <w:r w:rsidRPr="000A25DD">
        <w:rPr>
          <w:i/>
        </w:rPr>
        <w:t>FBXW7</w:t>
      </w:r>
      <w:r w:rsidRPr="000A25DD">
        <w:t xml:space="preserve"> for HRDetect-high and HRDetect-intermediate) (Chi-square test p&lt;0.05, </w:t>
      </w:r>
      <w:r>
        <w:t>Extended</w:t>
      </w:r>
      <w:r w:rsidRPr="000A25DD">
        <w:t xml:space="preserve"> </w:t>
      </w:r>
      <w:r>
        <w:t>Data</w:t>
      </w:r>
      <w:r w:rsidRPr="000A25DD">
        <w:t xml:space="preserve"> </w:t>
      </w:r>
      <w:r>
        <w:t>3</w:t>
      </w:r>
      <w:r w:rsidRPr="000A25DD">
        <w:t xml:space="preserve">). Of interest, </w:t>
      </w:r>
      <w:r w:rsidRPr="000A25DD">
        <w:rPr>
          <w:i/>
        </w:rPr>
        <w:t>PTEN</w:t>
      </w:r>
      <w:r>
        <w:t xml:space="preserve"> </w:t>
      </w:r>
      <w:r w:rsidRPr="000A25DD">
        <w:t xml:space="preserve">driver mutations and activating </w:t>
      </w:r>
      <w:r w:rsidRPr="000A25DD">
        <w:rPr>
          <w:i/>
        </w:rPr>
        <w:t>PIK3CA</w:t>
      </w:r>
      <w:r w:rsidRPr="000A25DD">
        <w:t xml:space="preserve"> and </w:t>
      </w:r>
      <w:r w:rsidRPr="000A25DD">
        <w:rPr>
          <w:i/>
        </w:rPr>
        <w:t>AKT1</w:t>
      </w:r>
      <w:r w:rsidRPr="000A25DD">
        <w:t xml:space="preserve"> mutations are differently enriched between HRDetect-high and HRDetect-low groups: (29% versus 14% for </w:t>
      </w:r>
      <w:r w:rsidRPr="000A25DD">
        <w:rPr>
          <w:i/>
        </w:rPr>
        <w:lastRenderedPageBreak/>
        <w:t>PTEN</w:t>
      </w:r>
      <w:r w:rsidRPr="000A25DD">
        <w:t xml:space="preserve">, 2.2% versus 25% for </w:t>
      </w:r>
      <w:r w:rsidRPr="000A25DD">
        <w:rPr>
          <w:i/>
        </w:rPr>
        <w:t>PIK3CA</w:t>
      </w:r>
      <w:r>
        <w:t>,</w:t>
      </w:r>
      <w:r w:rsidRPr="000A25DD">
        <w:t xml:space="preserve"> and 0.7% versus 7.1% for </w:t>
      </w:r>
      <w:r w:rsidRPr="000A25DD">
        <w:rPr>
          <w:i/>
        </w:rPr>
        <w:t>AKT1</w:t>
      </w:r>
      <w:r w:rsidRPr="000A25DD">
        <w:t xml:space="preserve"> for HRDetect-high versus HRDetect-low, respectively). Thus, </w:t>
      </w:r>
      <w:r w:rsidRPr="000A25DD">
        <w:rPr>
          <w:i/>
        </w:rPr>
        <w:t>PIK3CA</w:t>
      </w:r>
      <w:r w:rsidRPr="000A25DD">
        <w:t>/</w:t>
      </w:r>
      <w:r w:rsidRPr="000A25DD">
        <w:rPr>
          <w:i/>
        </w:rPr>
        <w:t>AKT1</w:t>
      </w:r>
      <w:r w:rsidRPr="000A25DD">
        <w:t>/</w:t>
      </w:r>
      <w:r w:rsidRPr="000A25DD">
        <w:rPr>
          <w:i/>
        </w:rPr>
        <w:t>PTEN</w:t>
      </w:r>
      <w:r w:rsidRPr="000A25DD">
        <w:t xml:space="preserve"> pathway dysregulation is not restricted to a particular HRDetect group. </w:t>
      </w:r>
      <w:r>
        <w:t xml:space="preserve">This has </w:t>
      </w:r>
      <w:r w:rsidRPr="000A25DD">
        <w:t xml:space="preserve">potential implications for patient selection </w:t>
      </w:r>
      <w:r>
        <w:t>in</w:t>
      </w:r>
      <w:r w:rsidRPr="000A25DD">
        <w:t xml:space="preserve"> clinical trials using PI3K-AKT-mTOR pathway agents, as mis-stratifying patients based on single mutations </w:t>
      </w:r>
      <w:r>
        <w:t>may</w:t>
      </w:r>
      <w:r w:rsidRPr="000A25DD">
        <w:t xml:space="preserve"> affect clinical trial success. </w:t>
      </w:r>
    </w:p>
    <w:p w14:paraId="33B12303" w14:textId="77777777" w:rsidR="00DB3E23" w:rsidRPr="00D732AA" w:rsidRDefault="00DB3E23" w:rsidP="004D4C67">
      <w:pPr>
        <w:spacing w:line="480" w:lineRule="auto"/>
        <w:jc w:val="both"/>
      </w:pPr>
    </w:p>
    <w:p w14:paraId="2D98F146" w14:textId="18A8E474" w:rsidR="00DB3E23" w:rsidRPr="001E2390" w:rsidRDefault="00DB3E23" w:rsidP="00BA5966">
      <w:pPr>
        <w:spacing w:line="480" w:lineRule="auto"/>
        <w:jc w:val="both"/>
      </w:pPr>
      <w:r>
        <w:t>To investigate whether HRDetect groups were simply genetic portraits of traditional transcriptional TNBC subgroups, we performed unsupervised group discovery and machine-learning based supervised classification using matched RNAseq data (Extended</w:t>
      </w:r>
      <w:r w:rsidRPr="001E2390">
        <w:t xml:space="preserve"> </w:t>
      </w:r>
      <w:r>
        <w:t>Data</w:t>
      </w:r>
      <w:r w:rsidRPr="001E2390">
        <w:t xml:space="preserve"> </w:t>
      </w:r>
      <w:r>
        <w:t>4). Two approaches of unsupervised consensus clustering were used. Neither was able to find distinct transcriptional patterns distinguishing HRDetect-high and HRDetect-low groups (Extended</w:t>
      </w:r>
      <w:r w:rsidRPr="001E2390">
        <w:t xml:space="preserve"> </w:t>
      </w:r>
      <w:r>
        <w:t>Data</w:t>
      </w:r>
      <w:r w:rsidRPr="001E2390">
        <w:t xml:space="preserve"> </w:t>
      </w:r>
      <w:r>
        <w:t>4A-E). Likewise, exhaustive machine-learning-based exploration could also not achieve high prediction accuracy for HRDetect-high and HRDetect-low subgroups (Extended</w:t>
      </w:r>
      <w:r w:rsidRPr="001E2390">
        <w:t xml:space="preserve"> </w:t>
      </w:r>
      <w:r>
        <w:t>Data</w:t>
      </w:r>
      <w:r w:rsidRPr="001E2390">
        <w:t xml:space="preserve"> </w:t>
      </w:r>
      <w:r>
        <w:t>4F-G). Further, tumor-infiltrating-lymphocytes (TILs) are increasingly implicated as a predictor of relapse in breast cancer. We examined CD8/CD3/CD4 and CD247 infiltration using matched transcriptomic data for all patients in this cohort. None was differentially expressed between HRDetect groups (Kruskal-Wallis p&gt;0.05, Extended Data 4H). Together this implies that the mutational-signature-based algorithm HRDetect captures distinctive, pathognomonic phenotypes of TNBC that are not apparent at bulk tissue transcriptional level.</w:t>
      </w:r>
    </w:p>
    <w:p w14:paraId="5F6CD355" w14:textId="77777777" w:rsidR="00DB3E23" w:rsidRDefault="00DB3E23" w:rsidP="000956CD">
      <w:pPr>
        <w:spacing w:line="480" w:lineRule="auto"/>
        <w:jc w:val="both"/>
      </w:pPr>
    </w:p>
    <w:p w14:paraId="6CF459F7" w14:textId="2ADC8343" w:rsidR="00DB3E23" w:rsidRDefault="00DB3E23" w:rsidP="00101B49">
      <w:pPr>
        <w:spacing w:line="480" w:lineRule="auto"/>
        <w:jc w:val="both"/>
      </w:pPr>
      <w:r>
        <w:t xml:space="preserve">HRDetect categorizes tumors differently to customary TNBC classifiers. We thus evaluated whether </w:t>
      </w:r>
      <w:proofErr w:type="spellStart"/>
      <w:r>
        <w:t>HRDetect’s</w:t>
      </w:r>
      <w:proofErr w:type="spellEnd"/>
      <w:r>
        <w:t xml:space="preserve"> signature-based stratification had prognostic potential. </w:t>
      </w:r>
      <w:r w:rsidRPr="001E2390">
        <w:t>TNBC patients that did not receive adjuvant treatment</w:t>
      </w:r>
      <w:r>
        <w:t xml:space="preserve"> due to age and/or poor performance status</w:t>
      </w:r>
      <w:r w:rsidRPr="001E2390">
        <w:t xml:space="preserve"> </w:t>
      </w:r>
      <w:r>
        <w:t>were considered a particular subgroup and assessed separately</w:t>
      </w:r>
      <w:r w:rsidR="000854AD">
        <w:t xml:space="preserve"> (Supplementary Table S2)</w:t>
      </w:r>
      <w:r>
        <w:t>. For these patients, t</w:t>
      </w:r>
      <w:r w:rsidRPr="001E2390">
        <w:t xml:space="preserve">here were no differences observed in overall survival (OS), invasive disease-free survival </w:t>
      </w:r>
      <w:r w:rsidRPr="001E2390">
        <w:lastRenderedPageBreak/>
        <w:t>(IDFS), or distant relapse-free interval (DRFI) between HRDetect-high and HRDetect-low categories (log-rank p&gt;0.05).</w:t>
      </w:r>
      <w:r>
        <w:t xml:space="preserve"> </w:t>
      </w:r>
      <w:r w:rsidRPr="001E2390">
        <w:t xml:space="preserve"> </w:t>
      </w:r>
    </w:p>
    <w:p w14:paraId="752C3CC2" w14:textId="77777777" w:rsidR="00DB3E23" w:rsidRDefault="00DB3E23" w:rsidP="00101B49">
      <w:pPr>
        <w:spacing w:line="480" w:lineRule="auto"/>
        <w:jc w:val="both"/>
      </w:pPr>
      <w:r>
        <w:t xml:space="preserve"> </w:t>
      </w:r>
    </w:p>
    <w:p w14:paraId="3D23CB33" w14:textId="77777777" w:rsidR="00DB3E23" w:rsidRDefault="00DB3E23" w:rsidP="00101B49">
      <w:pPr>
        <w:spacing w:line="480" w:lineRule="auto"/>
        <w:jc w:val="both"/>
      </w:pPr>
      <w:r>
        <w:t>In distinct analyses of</w:t>
      </w:r>
      <w:r w:rsidRPr="001E2390">
        <w:t xml:space="preserve"> </w:t>
      </w:r>
      <w:r>
        <w:t>patients that</w:t>
      </w:r>
      <w:r w:rsidRPr="001E2390">
        <w:t xml:space="preserve"> recei</w:t>
      </w:r>
      <w:r>
        <w:t>ved</w:t>
      </w:r>
      <w:r w:rsidRPr="001E2390">
        <w:t xml:space="preserve"> </w:t>
      </w:r>
      <w:r>
        <w:t xml:space="preserve">standard-of-care </w:t>
      </w:r>
      <w:r w:rsidRPr="001E2390">
        <w:t>adjuvant chemotherapy</w:t>
      </w:r>
      <w:r>
        <w:t xml:space="preserve"> (typically </w:t>
      </w:r>
      <w:proofErr w:type="spellStart"/>
      <w:r>
        <w:t>FEC±docetaxel</w:t>
      </w:r>
      <w:proofErr w:type="spellEnd"/>
      <w:r>
        <w:t>, Supplementary Data Table)</w:t>
      </w:r>
      <w:r w:rsidRPr="001E2390">
        <w:t xml:space="preserve">, </w:t>
      </w:r>
      <w:r>
        <w:t xml:space="preserve">patients with </w:t>
      </w:r>
      <w:r w:rsidRPr="001E2390">
        <w:t xml:space="preserve">HRDetect-high </w:t>
      </w:r>
      <w:r>
        <w:t xml:space="preserve">tumors </w:t>
      </w:r>
      <w:r w:rsidRPr="001E2390">
        <w:t>significant</w:t>
      </w:r>
      <w:r>
        <w:t>ly improved</w:t>
      </w:r>
      <w:r w:rsidRPr="001E2390">
        <w:t xml:space="preserve"> IDFS and DRFI</w:t>
      </w:r>
      <w:r>
        <w:t xml:space="preserve"> (log-rank p=0.009 and p=0.01) compared to those with HRDetect-low tumors (</w:t>
      </w:r>
      <w:r w:rsidRPr="001E2390">
        <w:t>Figures 4A</w:t>
      </w:r>
      <w:r>
        <w:t>-B)</w:t>
      </w:r>
      <w:r w:rsidRPr="001E2390">
        <w:t>. An improve</w:t>
      </w:r>
      <w:r>
        <w:t>d</w:t>
      </w:r>
      <w:r w:rsidRPr="001E2390">
        <w:t xml:space="preserve"> OS</w:t>
      </w:r>
      <w:r>
        <w:t xml:space="preserve"> was also observed</w:t>
      </w:r>
      <w:r w:rsidRPr="001E2390">
        <w:t xml:space="preserve"> (log-rank p=0.06</w:t>
      </w:r>
      <w:r>
        <w:t>, Figure 4C),</w:t>
      </w:r>
      <w:r w:rsidRPr="001E2390">
        <w:t xml:space="preserve"> albeit non-significant because of limited follow-up interval. </w:t>
      </w:r>
      <w:r>
        <w:t>T</w:t>
      </w:r>
      <w:r w:rsidRPr="001E2390">
        <w:t xml:space="preserve">his </w:t>
      </w:r>
      <w:r>
        <w:t>suggests</w:t>
      </w:r>
      <w:r w:rsidRPr="001E2390">
        <w:t xml:space="preserve"> that TNBC patients with HRDetect-high scores </w:t>
      </w:r>
      <w:r>
        <w:t>have a higher degree of chemosensitivity</w:t>
      </w:r>
      <w:r w:rsidRPr="001E2390">
        <w:t xml:space="preserve"> </w:t>
      </w:r>
      <w:r>
        <w:t>than HRDetect-low cases and are worth identifying.</w:t>
      </w:r>
    </w:p>
    <w:p w14:paraId="21372C96" w14:textId="77777777" w:rsidR="00DB3E23" w:rsidRDefault="00DB3E23" w:rsidP="00101B49">
      <w:pPr>
        <w:spacing w:line="480" w:lineRule="auto"/>
        <w:jc w:val="both"/>
      </w:pPr>
    </w:p>
    <w:p w14:paraId="5CB62DCA" w14:textId="77777777" w:rsidR="00DB3E23" w:rsidRPr="001E2390" w:rsidRDefault="00DB3E23" w:rsidP="00101B49">
      <w:pPr>
        <w:spacing w:line="480" w:lineRule="auto"/>
        <w:jc w:val="both"/>
      </w:pPr>
      <w:r>
        <w:t xml:space="preserve">Strikingly, chemotherapy-treated HRDetect-low patients had a similar IDFS to patients that did not receive adjuvant chemotherapy, in spite of superior fitness and lower age of diagnosis (75% &lt;70 years) (Figures 4D-E). Soberingly, this suggests that HRDetect-low cases are deriving limited benefit from current standard-of-care, </w:t>
      </w:r>
      <w:r w:rsidRPr="001E2390">
        <w:t>warranting a re-appraisal of systemic therapies for</w:t>
      </w:r>
      <w:r w:rsidDel="00A71ABC">
        <w:t xml:space="preserve"> </w:t>
      </w:r>
      <w:r>
        <w:t xml:space="preserve">this now-identifiable subgroup with poor outcome. </w:t>
      </w:r>
    </w:p>
    <w:p w14:paraId="54077A2B" w14:textId="77777777" w:rsidR="00DB3E23" w:rsidRPr="001E2390" w:rsidRDefault="00DB3E23" w:rsidP="00101B49">
      <w:pPr>
        <w:spacing w:line="480" w:lineRule="auto"/>
        <w:jc w:val="both"/>
      </w:pPr>
    </w:p>
    <w:p w14:paraId="3DE6B104" w14:textId="77777777" w:rsidR="00DB3E23" w:rsidRPr="001E2390" w:rsidRDefault="00DB3E23" w:rsidP="00101B49">
      <w:pPr>
        <w:spacing w:line="480" w:lineRule="auto"/>
        <w:jc w:val="both"/>
      </w:pPr>
      <w:r w:rsidRPr="001E2390">
        <w:t xml:space="preserve">To test independent prognostic value of HRDetect in patients receiving </w:t>
      </w:r>
      <w:r>
        <w:t>adjuvant chemotherapy</w:t>
      </w:r>
      <w:r w:rsidRPr="001E2390">
        <w:t xml:space="preserve">, we performed multivariable Cox regression, adjusting for tumor size (≤20mm, &gt;20mm), patient age (&lt;50, ≥50 years), tumor grade (1, 2, 3), and lymph node status (N0, N+). We found that HRDetect classification </w:t>
      </w:r>
      <w:r>
        <w:t xml:space="preserve">amongst chemotherapy-treated patients </w:t>
      </w:r>
      <w:r w:rsidRPr="001E2390">
        <w:t xml:space="preserve">provided independent prognostic information favouring a better outcome in HRDetect-high cases </w:t>
      </w:r>
      <w:r>
        <w:t xml:space="preserve">compared to HRDetect-low cases, </w:t>
      </w:r>
      <w:r w:rsidRPr="001E2390">
        <w:t>for IDFS (Hazard ratio, HR=0.42, 95% confidence interval, CI=0.20-0.87) and DRFI (HR=0.31, CI=0.13-0.76)</w:t>
      </w:r>
      <w:r>
        <w:t>. Although not significant for</w:t>
      </w:r>
      <w:r w:rsidRPr="001E2390">
        <w:t xml:space="preserve"> OS (HR=0.46, </w:t>
      </w:r>
      <w:r w:rsidRPr="001E2390">
        <w:lastRenderedPageBreak/>
        <w:t>CI=0.19-1.13)</w:t>
      </w:r>
      <w:r>
        <w:t xml:space="preserve">, it implies a potential effect with longer follow-up time </w:t>
      </w:r>
      <w:r w:rsidRPr="001E2390">
        <w:t xml:space="preserve">(60% of the </w:t>
      </w:r>
      <w:r>
        <w:t>chemotherapy-treated</w:t>
      </w:r>
      <w:r w:rsidRPr="001E2390">
        <w:t xml:space="preserve"> cases had ≤5 years follow-up).</w:t>
      </w:r>
    </w:p>
    <w:p w14:paraId="5621C7C9" w14:textId="77777777" w:rsidR="00DB3E23" w:rsidRPr="001E2390" w:rsidRDefault="00DB3E23" w:rsidP="00101B49">
      <w:pPr>
        <w:spacing w:line="480" w:lineRule="auto"/>
        <w:jc w:val="both"/>
      </w:pPr>
    </w:p>
    <w:p w14:paraId="68FA41FC" w14:textId="77777777" w:rsidR="00DB3E23" w:rsidRDefault="00DB3E23" w:rsidP="00101B49">
      <w:pPr>
        <w:spacing w:line="480" w:lineRule="auto"/>
        <w:jc w:val="both"/>
      </w:pPr>
      <w:r>
        <w:t>Notably, w</w:t>
      </w:r>
      <w:r w:rsidRPr="001E2390">
        <w:t xml:space="preserve">ithin the HRDetect-high group, </w:t>
      </w:r>
      <w:r>
        <w:t>we observed</w:t>
      </w:r>
      <w:r w:rsidRPr="001E2390">
        <w:t xml:space="preserve"> no difference in patient outcomes (OS, IDFS, DRFI) between cases </w:t>
      </w:r>
      <w:r>
        <w:t>with</w:t>
      </w:r>
      <w:r w:rsidRPr="001E2390">
        <w:t xml:space="preserve"> confirmed </w:t>
      </w:r>
      <w:r w:rsidRPr="001E2390">
        <w:rPr>
          <w:i/>
        </w:rPr>
        <w:t>BRCA1</w:t>
      </w:r>
      <w:r>
        <w:t>/</w:t>
      </w:r>
      <w:r w:rsidRPr="001E2390">
        <w:rPr>
          <w:i/>
        </w:rPr>
        <w:t>BRCA2</w:t>
      </w:r>
      <w:r w:rsidRPr="001E2390">
        <w:t xml:space="preserve"> loss and cases where it </w:t>
      </w:r>
      <w:r>
        <w:t>w</w:t>
      </w:r>
      <w:r w:rsidRPr="001E2390">
        <w:t>as not possible to confirm genetic/epigenetic abrogation of these genes (log-rank p=0.79, 0.51, 0.67, respectively, Figure 4</w:t>
      </w:r>
      <w:r>
        <w:t>F</w:t>
      </w:r>
      <w:r w:rsidRPr="001E2390">
        <w:t>).</w:t>
      </w:r>
      <w:r>
        <w:t xml:space="preserve"> Lending further credence, survival analysis excluding known </w:t>
      </w:r>
      <w:r w:rsidRPr="00991A68">
        <w:rPr>
          <w:i/>
        </w:rPr>
        <w:t>BRCA1</w:t>
      </w:r>
      <w:r>
        <w:t>/</w:t>
      </w:r>
      <w:r w:rsidRPr="00991A68">
        <w:rPr>
          <w:i/>
        </w:rPr>
        <w:t>BRCA</w:t>
      </w:r>
      <w:r>
        <w:rPr>
          <w:i/>
        </w:rPr>
        <w:t>2</w:t>
      </w:r>
      <w:r>
        <w:t xml:space="preserve"> cases showed that HRDetect-high classification remained significantly associated with improved IDFS in remaining patients (log-rank p=0.008, multivariable Cox regression HR=0.41, CI=0.19-0.91, p=0.03).</w:t>
      </w:r>
      <w:r w:rsidRPr="001E2390">
        <w:t xml:space="preserve"> </w:t>
      </w:r>
      <w:r w:rsidRPr="00CD3526">
        <w:rPr>
          <w:i/>
        </w:rPr>
        <w:t>BRCA1</w:t>
      </w:r>
      <w:r>
        <w:t>/</w:t>
      </w:r>
      <w:r w:rsidRPr="00CD3526">
        <w:rPr>
          <w:i/>
        </w:rPr>
        <w:t>BRCA2</w:t>
      </w:r>
      <w:r>
        <w:t xml:space="preserve"> abrogated status was next added as a covariate to the multivariable Cox regression. HRDetect classification persisted as a meaningful independent positive prognostic indicator for IDFS (</w:t>
      </w:r>
      <w:r w:rsidRPr="001E2390">
        <w:t>HR=</w:t>
      </w:r>
      <w:r>
        <w:t>0.38</w:t>
      </w:r>
      <w:r w:rsidRPr="001E2390">
        <w:t>, CI=0.</w:t>
      </w:r>
      <w:r>
        <w:t>17</w:t>
      </w:r>
      <w:r w:rsidRPr="001E2390">
        <w:t>-0.8</w:t>
      </w:r>
      <w:r>
        <w:t>5, p=0.02</w:t>
      </w:r>
      <w:r w:rsidRPr="001E2390">
        <w:t>)</w:t>
      </w:r>
      <w:r>
        <w:t xml:space="preserve">. </w:t>
      </w:r>
      <w:r w:rsidRPr="001E2390">
        <w:t>Th</w:t>
      </w:r>
      <w:r>
        <w:t>is</w:t>
      </w:r>
      <w:r w:rsidRPr="001E2390">
        <w:t xml:space="preserve"> </w:t>
      </w:r>
      <w:r>
        <w:t>strengthens the argument</w:t>
      </w:r>
      <w:r w:rsidRPr="001E2390">
        <w:t xml:space="preserve"> that even in the absence of confirmation of the genetic/epigenetic aetiology, th</w:t>
      </w:r>
      <w:r>
        <w:t>e</w:t>
      </w:r>
      <w:r w:rsidRPr="001E2390">
        <w:t xml:space="preserve"> mutational signature-based approach</w:t>
      </w:r>
      <w:r>
        <w:t xml:space="preserve"> is capable of </w:t>
      </w:r>
      <w:r w:rsidRPr="001E2390">
        <w:t xml:space="preserve">predicting potential clinical benefit for </w:t>
      </w:r>
      <w:r>
        <w:t>adjuvant chemotherapy. Critically,</w:t>
      </w:r>
      <w:r w:rsidRPr="001E2390">
        <w:t xml:space="preserve"> </w:t>
      </w:r>
      <w:r>
        <w:t xml:space="preserve">it </w:t>
      </w:r>
      <w:r w:rsidRPr="001E2390">
        <w:t>expand</w:t>
      </w:r>
      <w:r>
        <w:t>s</w:t>
      </w:r>
      <w:r w:rsidRPr="001E2390">
        <w:t xml:space="preserve"> the number of TNBC patients eligible for treatment strategies targeting DNA repair mechanisms</w:t>
      </w:r>
      <w:r>
        <w:t xml:space="preserve"> such as PARP inhibitors</w:t>
      </w:r>
      <w:r w:rsidRPr="003A09B0">
        <w:rPr>
          <w:noProof/>
          <w:vertAlign w:val="superscript"/>
        </w:rPr>
        <w:t>22</w:t>
      </w:r>
      <w:r w:rsidRPr="001E2390">
        <w:rPr>
          <w:vertAlign w:val="superscript"/>
        </w:rPr>
        <w:t>,27</w:t>
      </w:r>
      <w:r>
        <w:t>.</w:t>
      </w:r>
      <w:r>
        <w:rPr>
          <w:vertAlign w:val="superscript"/>
        </w:rPr>
        <w:t xml:space="preserve"> </w:t>
      </w:r>
    </w:p>
    <w:p w14:paraId="63C243D3" w14:textId="77777777" w:rsidR="00DB3E23" w:rsidRDefault="00DB3E23" w:rsidP="000956CD">
      <w:pPr>
        <w:spacing w:line="480" w:lineRule="auto"/>
        <w:jc w:val="both"/>
      </w:pPr>
    </w:p>
    <w:p w14:paraId="2EB0E958" w14:textId="1D7D40BC" w:rsidR="00DB3E23" w:rsidRPr="008A6A38" w:rsidRDefault="00DB3E23" w:rsidP="00EF3036">
      <w:pPr>
        <w:spacing w:line="480" w:lineRule="auto"/>
        <w:jc w:val="both"/>
        <w:rPr>
          <w:b/>
          <w:color w:val="000000" w:themeColor="text1"/>
          <w:sz w:val="32"/>
          <w:szCs w:val="32"/>
        </w:rPr>
      </w:pPr>
      <w:r>
        <w:t xml:space="preserve">We note </w:t>
      </w:r>
      <w:r w:rsidRPr="008A6A38">
        <w:rPr>
          <w:color w:val="000000" w:themeColor="text1"/>
        </w:rPr>
        <w:t xml:space="preserve">that four HRDetect-low patients </w:t>
      </w:r>
      <w:r>
        <w:rPr>
          <w:color w:val="000000" w:themeColor="text1"/>
        </w:rPr>
        <w:t xml:space="preserve">(4.7%) </w:t>
      </w:r>
      <w:r w:rsidRPr="008A6A38">
        <w:rPr>
          <w:color w:val="000000" w:themeColor="text1"/>
        </w:rPr>
        <w:t>had mismatch-repair deficient (</w:t>
      </w:r>
      <w:proofErr w:type="spellStart"/>
      <w:r w:rsidRPr="008A6A38">
        <w:rPr>
          <w:color w:val="000000" w:themeColor="text1"/>
        </w:rPr>
        <w:t>MMRd</w:t>
      </w:r>
      <w:proofErr w:type="spellEnd"/>
      <w:r w:rsidRPr="008A6A38">
        <w:rPr>
          <w:color w:val="000000" w:themeColor="text1"/>
        </w:rPr>
        <w:t>) tumors</w:t>
      </w:r>
      <w:r w:rsidRPr="003A09B0">
        <w:rPr>
          <w:noProof/>
          <w:color w:val="000000" w:themeColor="text1"/>
          <w:vertAlign w:val="superscript"/>
        </w:rPr>
        <w:t>23</w:t>
      </w:r>
      <w:r>
        <w:rPr>
          <w:color w:val="000000" w:themeColor="text1"/>
        </w:rPr>
        <w:t xml:space="preserve"> </w:t>
      </w:r>
      <w:r w:rsidRPr="008A6A38">
        <w:rPr>
          <w:color w:val="000000" w:themeColor="text1"/>
        </w:rPr>
        <w:t>(</w:t>
      </w:r>
      <w:r>
        <w:rPr>
          <w:color w:val="000000" w:themeColor="text1"/>
        </w:rPr>
        <w:t>Extended</w:t>
      </w:r>
      <w:r w:rsidRPr="008A6A38">
        <w:rPr>
          <w:color w:val="000000" w:themeColor="text1"/>
        </w:rPr>
        <w:t xml:space="preserve"> </w:t>
      </w:r>
      <w:r>
        <w:rPr>
          <w:color w:val="000000" w:themeColor="text1"/>
        </w:rPr>
        <w:t>Data</w:t>
      </w:r>
      <w:r w:rsidRPr="008A6A38">
        <w:rPr>
          <w:color w:val="000000" w:themeColor="text1"/>
        </w:rPr>
        <w:t xml:space="preserve"> </w:t>
      </w:r>
      <w:r>
        <w:rPr>
          <w:color w:val="000000" w:themeColor="text1"/>
        </w:rPr>
        <w:t>5</w:t>
      </w:r>
      <w:r w:rsidRPr="008A6A38">
        <w:rPr>
          <w:color w:val="000000" w:themeColor="text1"/>
        </w:rPr>
        <w:t>). One occurred in association with HRD. Despite lack of genetic/epigenetic confirmation of MMR abrogation in these cases, independent analyses by protein immunohistochemistry (IHC) confirmed tumor-cell-specific loss of MLH1 and PMS2 expression in all cases (</w:t>
      </w:r>
      <w:r>
        <w:rPr>
          <w:color w:val="000000" w:themeColor="text1"/>
        </w:rPr>
        <w:t>Extended</w:t>
      </w:r>
      <w:r w:rsidRPr="008A6A38">
        <w:rPr>
          <w:color w:val="000000" w:themeColor="text1"/>
        </w:rPr>
        <w:t xml:space="preserve"> </w:t>
      </w:r>
      <w:r>
        <w:rPr>
          <w:color w:val="000000" w:themeColor="text1"/>
        </w:rPr>
        <w:t>Data</w:t>
      </w:r>
      <w:r w:rsidRPr="008A6A38">
        <w:rPr>
          <w:color w:val="000000" w:themeColor="text1"/>
        </w:rPr>
        <w:t xml:space="preserve"> </w:t>
      </w:r>
      <w:r>
        <w:rPr>
          <w:color w:val="000000" w:themeColor="text1"/>
        </w:rPr>
        <w:t>5</w:t>
      </w:r>
      <w:r w:rsidRPr="008A6A38">
        <w:rPr>
          <w:color w:val="000000" w:themeColor="text1"/>
        </w:rPr>
        <w:t>). This is of particular interest</w:t>
      </w:r>
      <w:r>
        <w:rPr>
          <w:color w:val="000000" w:themeColor="text1"/>
        </w:rPr>
        <w:t xml:space="preserve">, </w:t>
      </w:r>
      <w:r w:rsidRPr="008A6A38">
        <w:rPr>
          <w:color w:val="000000" w:themeColor="text1"/>
        </w:rPr>
        <w:t xml:space="preserve">as checkpoint inhibitors have been FDA-approved for </w:t>
      </w:r>
      <w:proofErr w:type="spellStart"/>
      <w:r w:rsidRPr="008A6A38">
        <w:rPr>
          <w:color w:val="000000" w:themeColor="text1"/>
        </w:rPr>
        <w:t>MMRd</w:t>
      </w:r>
      <w:proofErr w:type="spellEnd"/>
      <w:r w:rsidRPr="008A6A38">
        <w:rPr>
          <w:color w:val="000000" w:themeColor="text1"/>
        </w:rPr>
        <w:t xml:space="preserve"> in the metastatic setting irrespective of tumor of origin, </w:t>
      </w:r>
      <w:r w:rsidRPr="008A6A38">
        <w:rPr>
          <w:color w:val="000000" w:themeColor="text1"/>
        </w:rPr>
        <w:lastRenderedPageBreak/>
        <w:t>emphasising the therapeutically valuable incidental insights that can be obtained via a WGS-based approach.</w:t>
      </w:r>
    </w:p>
    <w:p w14:paraId="53F499D4" w14:textId="77777777" w:rsidR="00DB3E23" w:rsidRPr="001E2390" w:rsidRDefault="00DB3E23" w:rsidP="00556AB8">
      <w:pPr>
        <w:spacing w:line="480" w:lineRule="auto"/>
        <w:jc w:val="both"/>
      </w:pPr>
    </w:p>
    <w:p w14:paraId="69BE3115" w14:textId="77777777" w:rsidR="00DB3E23" w:rsidRPr="005843DF" w:rsidRDefault="00DB3E23" w:rsidP="00466584">
      <w:pPr>
        <w:spacing w:line="480" w:lineRule="auto"/>
        <w:jc w:val="both"/>
        <w:rPr>
          <w:iCs/>
        </w:rPr>
      </w:pPr>
      <w:r w:rsidRPr="005843DF">
        <w:t xml:space="preserve">Finally, we explored the </w:t>
      </w:r>
      <w:r w:rsidRPr="005843DF">
        <w:rPr>
          <w:iCs/>
        </w:rPr>
        <w:t xml:space="preserve">HRDetect-intermediate cohort </w:t>
      </w:r>
      <w:r w:rsidRPr="005843DF">
        <w:t xml:space="preserve">(scores 0.2-0.7, n=13, 5.5%). We noted that 83.5% of HRDetect-high tumors had scores exceeding 0.99, and nearly all were </w:t>
      </w:r>
      <w:r w:rsidRPr="005843DF">
        <w:rPr>
          <w:i/>
        </w:rPr>
        <w:t>BRCA1</w:t>
      </w:r>
      <w:r w:rsidRPr="005843DF">
        <w:t>/</w:t>
      </w:r>
      <w:r w:rsidRPr="005843DF">
        <w:rPr>
          <w:i/>
        </w:rPr>
        <w:t>BRCA2</w:t>
      </w:r>
      <w:r w:rsidRPr="005843DF">
        <w:t xml:space="preserve">-null tumors. Additionally, based on mutational, indel and rearrangement signature patterns, cases with HRDetect-intermediate scores had different characteristics (Figure 2A). </w:t>
      </w:r>
    </w:p>
    <w:p w14:paraId="406DCF04" w14:textId="77777777" w:rsidR="00DB3E23" w:rsidRPr="005843DF" w:rsidRDefault="00DB3E23" w:rsidP="00466584">
      <w:pPr>
        <w:spacing w:line="480" w:lineRule="auto"/>
        <w:jc w:val="both"/>
      </w:pPr>
    </w:p>
    <w:p w14:paraId="4FABA4DE" w14:textId="6F95FF91" w:rsidR="00DB3E23" w:rsidRDefault="00DB3E23">
      <w:pPr>
        <w:spacing w:line="480" w:lineRule="auto"/>
        <w:jc w:val="both"/>
      </w:pPr>
      <w:r w:rsidRPr="005843DF">
        <w:t>We thus broadened the HRDetect-intermediate category to scores between 0.1-0.9 (n=32). Driver alterations and mutational signatures for the re-defined groups were examined in a new analysis (</w:t>
      </w:r>
      <w:r>
        <w:t>Extended</w:t>
      </w:r>
      <w:r w:rsidRPr="005843DF">
        <w:t xml:space="preserve"> </w:t>
      </w:r>
      <w:r>
        <w:t>Data</w:t>
      </w:r>
      <w:r w:rsidRPr="005843DF">
        <w:t xml:space="preserve"> 6). The broadened HRDetect-intermediate group had high prevalence of driver amplifications (75%, 24/32 cases) and </w:t>
      </w:r>
      <w:proofErr w:type="spellStart"/>
      <w:r w:rsidRPr="005843DF">
        <w:t>harbored</w:t>
      </w:r>
      <w:proofErr w:type="spellEnd"/>
      <w:r w:rsidRPr="005843DF">
        <w:t xml:space="preserve"> 47% of all </w:t>
      </w:r>
      <w:r w:rsidRPr="005843DF">
        <w:rPr>
          <w:i/>
        </w:rPr>
        <w:t>CCNE1</w:t>
      </w:r>
      <w:r w:rsidRPr="005843DF">
        <w:t xml:space="preserve"> amplifications. </w:t>
      </w:r>
      <w:r w:rsidRPr="005843DF">
        <w:rPr>
          <w:i/>
        </w:rPr>
        <w:t>CCNE1</w:t>
      </w:r>
      <w:r w:rsidRPr="005843DF">
        <w:t xml:space="preserve"> was the most enriched amplification constituting 25% of all amplifications in this new intermediate group. This is interesting, as </w:t>
      </w:r>
      <w:r w:rsidRPr="005843DF">
        <w:rPr>
          <w:i/>
        </w:rPr>
        <w:t>CCNE1</w:t>
      </w:r>
      <w:r w:rsidRPr="005843DF">
        <w:t xml:space="preserve"> is implicated in oncogene-induced replicative stress</w:t>
      </w:r>
      <w:r w:rsidRPr="00C6773F">
        <w:rPr>
          <w:noProof/>
          <w:vertAlign w:val="superscript"/>
        </w:rPr>
        <w:t>24,25</w:t>
      </w:r>
      <w:r w:rsidRPr="005843DF">
        <w:t xml:space="preserve">.  </w:t>
      </w:r>
      <w:r>
        <w:t>T</w:t>
      </w:r>
      <w:r w:rsidRPr="005843DF">
        <w:t xml:space="preserve">he intermediate category is </w:t>
      </w:r>
      <w:r>
        <w:t xml:space="preserve">also </w:t>
      </w:r>
      <w:r w:rsidRPr="005843DF">
        <w:t xml:space="preserve">enriched for </w:t>
      </w:r>
      <w:r>
        <w:t>hypermut</w:t>
      </w:r>
      <w:r w:rsidRPr="005843DF">
        <w:t>a</w:t>
      </w:r>
      <w:r>
        <w:t xml:space="preserve">tors of a rearrangement signature of </w:t>
      </w:r>
      <w:r w:rsidRPr="005843DF">
        <w:t>long tandem</w:t>
      </w:r>
      <w:r>
        <w:t>-</w:t>
      </w:r>
      <w:r w:rsidRPr="005843DF">
        <w:t>duplications (RS1)</w:t>
      </w:r>
      <w:r>
        <w:t xml:space="preserve"> (where RS1 is predominant, exceeding 100 RS1 rearrangements)</w:t>
      </w:r>
      <w:r w:rsidRPr="003A09B0">
        <w:rPr>
          <w:noProof/>
          <w:vertAlign w:val="superscript"/>
        </w:rPr>
        <w:t>26</w:t>
      </w:r>
      <w:r w:rsidRPr="00A71ABC">
        <w:t>. This pattern has been shown in prostate cancer</w:t>
      </w:r>
      <w:r w:rsidRPr="003A09B0">
        <w:rPr>
          <w:noProof/>
          <w:vertAlign w:val="superscript"/>
        </w:rPr>
        <w:t>26</w:t>
      </w:r>
      <w:r w:rsidRPr="00A71ABC">
        <w:t>, and in ovarian</w:t>
      </w:r>
      <w:r w:rsidRPr="003A09B0">
        <w:rPr>
          <w:noProof/>
          <w:vertAlign w:val="superscript"/>
        </w:rPr>
        <w:t>27,28</w:t>
      </w:r>
      <w:r w:rsidRPr="00A71ABC">
        <w:t xml:space="preserve"> cancer associated with </w:t>
      </w:r>
      <w:r w:rsidRPr="00A71ABC">
        <w:rPr>
          <w:i/>
        </w:rPr>
        <w:t>CDK12</w:t>
      </w:r>
      <w:r w:rsidRPr="00A71ABC">
        <w:t xml:space="preserve"> mutations. </w:t>
      </w:r>
      <w:r w:rsidRPr="00A71ABC">
        <w:rPr>
          <w:i/>
        </w:rPr>
        <w:t>CCNE1</w:t>
      </w:r>
      <w:r w:rsidRPr="00A71ABC">
        <w:t xml:space="preserve"> and </w:t>
      </w:r>
      <w:r w:rsidRPr="00A71ABC">
        <w:rPr>
          <w:i/>
        </w:rPr>
        <w:t>CDK12</w:t>
      </w:r>
      <w:r w:rsidRPr="00A71ABC">
        <w:t xml:space="preserve"> over-expression has been shown to deregulate cell cycle progression and disrupt DNA replication during S phase</w:t>
      </w:r>
      <w:r>
        <w:t xml:space="preserve"> </w:t>
      </w:r>
      <w:r w:rsidRPr="00D153C5">
        <w:rPr>
          <w:i/>
          <w:iCs/>
        </w:rPr>
        <w:t>in vitro</w:t>
      </w:r>
      <w:r w:rsidRPr="003A09B0">
        <w:rPr>
          <w:noProof/>
          <w:vertAlign w:val="superscript"/>
        </w:rPr>
        <w:t>29,30</w:t>
      </w:r>
      <w:r w:rsidRPr="00A71ABC">
        <w:t xml:space="preserve">. Recently, inhibitors of replication stress response such as Wee1 kinase inhibitors, ATR inhibitors and CHK1-inhibitors </w:t>
      </w:r>
      <w:r>
        <w:t>were</w:t>
      </w:r>
      <w:r w:rsidRPr="00A71ABC">
        <w:t xml:space="preserve"> developed targeting tumors with hallmarks of replication stress</w:t>
      </w:r>
      <w:r w:rsidRPr="003A09B0">
        <w:rPr>
          <w:noProof/>
          <w:vertAlign w:val="superscript"/>
        </w:rPr>
        <w:t>31</w:t>
      </w:r>
      <w:r>
        <w:t xml:space="preserve"> and</w:t>
      </w:r>
      <w:r w:rsidRPr="00A71ABC">
        <w:t xml:space="preserve"> CCNE1 overexpression </w:t>
      </w:r>
      <w:r>
        <w:t xml:space="preserve">was reported to </w:t>
      </w:r>
      <w:r w:rsidRPr="00A71ABC">
        <w:t>sensitize TNBCs to these compounds</w:t>
      </w:r>
      <w:r w:rsidRPr="003A09B0">
        <w:rPr>
          <w:noProof/>
          <w:vertAlign w:val="superscript"/>
        </w:rPr>
        <w:t>32</w:t>
      </w:r>
      <w:r w:rsidRPr="00A71ABC">
        <w:t>. When assessing outcomes, the broadened intermediate group showed poorer IDFS regardless of whether the patients received adjuvant chemotherapy or not (</w:t>
      </w:r>
      <w:r>
        <w:t>Extended</w:t>
      </w:r>
      <w:r w:rsidRPr="00A71ABC">
        <w:t xml:space="preserve"> </w:t>
      </w:r>
      <w:r>
        <w:t>Data</w:t>
      </w:r>
      <w:r w:rsidRPr="00A71ABC">
        <w:t xml:space="preserve"> 6). Therefore, </w:t>
      </w:r>
      <w:r w:rsidRPr="00A71ABC">
        <w:lastRenderedPageBreak/>
        <w:t>the HRDetect-intermediate group is a subset of tumors that are difficult to distinguish using customary genomic scar approaches or individual substitution signatures but are important to recognize because their idiosyncratic tumor biology is a harbinger of poor outcome and may be differently targetable in terms of therapeutics.</w:t>
      </w:r>
      <w:r>
        <w:t xml:space="preserve"> </w:t>
      </w:r>
    </w:p>
    <w:p w14:paraId="06E0BF61" w14:textId="77777777" w:rsidR="00DB3E23" w:rsidRDefault="00DB3E23" w:rsidP="00466584">
      <w:pPr>
        <w:spacing w:line="480" w:lineRule="auto"/>
        <w:jc w:val="both"/>
      </w:pPr>
    </w:p>
    <w:p w14:paraId="771AA0D6" w14:textId="77777777" w:rsidR="00DB3E23" w:rsidRPr="001E2390" w:rsidRDefault="00DB3E23" w:rsidP="00E12147">
      <w:pPr>
        <w:spacing w:line="480" w:lineRule="auto"/>
        <w:jc w:val="both"/>
      </w:pPr>
      <w:r>
        <w:t xml:space="preserve">This population-based study of TNBC in a routine diagnostic setting demonstrates what can be revealed by WGS. We surmise that it is valuable to identify HRDetect status whether high, intermediate or low: all groups are informative. Combinations of targeted-sequencing, MSI-assays and CNA approaches may be used increasingly. However, the value of holistic WGS as a single assay is reinforced when we consider three matters. First, patients may be mis-classified based on individual mutations. For example, we show that </w:t>
      </w:r>
      <w:r w:rsidRPr="00AE7CBF">
        <w:rPr>
          <w:i/>
          <w:iCs/>
        </w:rPr>
        <w:t>PIK3CA</w:t>
      </w:r>
      <w:r>
        <w:rPr>
          <w:i/>
          <w:iCs/>
        </w:rPr>
        <w:t>/AKT1/PTEN</w:t>
      </w:r>
      <w:r>
        <w:t xml:space="preserve"> mutations identified through targeted sequencing are differentially enriched in HRDetect categories, with different survival likelihoods. Using mutations alone to stratify patients should thus be carefully considered in clinical trials. Second, it is possible to identify poor responders to current standard-of-care that cannot be detected by any other method. The HRDetect low category has many more patients than would be detected by binary </w:t>
      </w:r>
      <w:r w:rsidRPr="00AE7CBF">
        <w:rPr>
          <w:i/>
          <w:iCs/>
        </w:rPr>
        <w:t>PIK3CA</w:t>
      </w:r>
      <w:r>
        <w:rPr>
          <w:i/>
          <w:iCs/>
        </w:rPr>
        <w:t>/AKT1/PTEN</w:t>
      </w:r>
      <w:r>
        <w:t xml:space="preserve"> targeted assays alone. These limited assays will also not identify the HRDetect-intermediate category, an interesting now-detectable subset in which to explore alternative therapeutic strategies. Third, limited sequencing assays will miss the substantial proportion of tumors with HRD signatures that do not have genetic/epigenetic drivers but are predicted to have good </w:t>
      </w:r>
      <w:r w:rsidRPr="001E2390">
        <w:t>outcome</w:t>
      </w:r>
      <w:r>
        <w:t>s</w:t>
      </w:r>
      <w:r w:rsidRPr="001E2390">
        <w:t xml:space="preserve">. </w:t>
      </w:r>
      <w:r>
        <w:t>In short, this study argues for WGS to improve TNBC patient stratification.</w:t>
      </w:r>
    </w:p>
    <w:p w14:paraId="53991F36" w14:textId="77777777" w:rsidR="00DB3E23" w:rsidRDefault="00DB3E23" w:rsidP="00230A4F">
      <w:pPr>
        <w:spacing w:line="480" w:lineRule="auto"/>
        <w:jc w:val="both"/>
        <w:rPr>
          <w:b/>
        </w:rPr>
      </w:pPr>
    </w:p>
    <w:p w14:paraId="344F42FE" w14:textId="77777777" w:rsidR="0072432B" w:rsidRDefault="0072432B" w:rsidP="00230A4F">
      <w:pPr>
        <w:spacing w:line="480" w:lineRule="auto"/>
        <w:jc w:val="both"/>
        <w:rPr>
          <w:b/>
        </w:rPr>
      </w:pPr>
    </w:p>
    <w:p w14:paraId="5FC9E516" w14:textId="77777777" w:rsidR="0072432B" w:rsidRPr="001E2390" w:rsidRDefault="0072432B" w:rsidP="0072432B">
      <w:pPr>
        <w:spacing w:line="480" w:lineRule="auto"/>
        <w:jc w:val="both"/>
        <w:outlineLvl w:val="0"/>
        <w:rPr>
          <w:b/>
          <w:sz w:val="32"/>
          <w:szCs w:val="32"/>
        </w:rPr>
      </w:pPr>
      <w:r>
        <w:rPr>
          <w:b/>
          <w:sz w:val="32"/>
          <w:szCs w:val="32"/>
        </w:rPr>
        <w:t>REFERENCES</w:t>
      </w:r>
      <w:r w:rsidRPr="001E2390">
        <w:rPr>
          <w:b/>
          <w:sz w:val="32"/>
          <w:szCs w:val="32"/>
        </w:rPr>
        <w:t xml:space="preserve"> </w:t>
      </w:r>
    </w:p>
    <w:p w14:paraId="5F665C86" w14:textId="77777777" w:rsidR="0072432B" w:rsidRPr="00EF7B61" w:rsidRDefault="0072432B" w:rsidP="0072432B">
      <w:pPr>
        <w:pStyle w:val="EndNoteBibliography"/>
        <w:ind w:left="720" w:hanging="720"/>
        <w:rPr>
          <w:noProof/>
        </w:rPr>
      </w:pPr>
      <w:r w:rsidRPr="00EF7B61">
        <w:rPr>
          <w:noProof/>
        </w:rPr>
        <w:t>1</w:t>
      </w:r>
      <w:r w:rsidRPr="00EF7B61">
        <w:rPr>
          <w:noProof/>
        </w:rPr>
        <w:tab/>
        <w:t>Bentley, D. R.</w:t>
      </w:r>
      <w:r w:rsidRPr="00EF7B61">
        <w:rPr>
          <w:i/>
          <w:noProof/>
        </w:rPr>
        <w:t xml:space="preserve"> et al.</w:t>
      </w:r>
      <w:r w:rsidRPr="00EF7B61">
        <w:rPr>
          <w:noProof/>
        </w:rPr>
        <w:t xml:space="preserve"> Accurate whole human genome sequencing using reversible terminator chemistry. </w:t>
      </w:r>
      <w:r w:rsidRPr="00EF7B61">
        <w:rPr>
          <w:i/>
          <w:noProof/>
        </w:rPr>
        <w:t>Nature</w:t>
      </w:r>
      <w:r w:rsidRPr="00EF7B61">
        <w:rPr>
          <w:noProof/>
        </w:rPr>
        <w:t xml:space="preserve"> </w:t>
      </w:r>
      <w:r w:rsidRPr="00EF7B61">
        <w:rPr>
          <w:b/>
          <w:noProof/>
        </w:rPr>
        <w:t>456</w:t>
      </w:r>
      <w:r w:rsidRPr="00EF7B61">
        <w:rPr>
          <w:noProof/>
        </w:rPr>
        <w:t>, 53-59, doi:10.1038/nature07517 (2008).</w:t>
      </w:r>
    </w:p>
    <w:p w14:paraId="74F87138" w14:textId="77777777" w:rsidR="0072432B" w:rsidRPr="00EF7B61" w:rsidRDefault="0072432B" w:rsidP="0072432B">
      <w:pPr>
        <w:pStyle w:val="EndNoteBibliography"/>
        <w:ind w:left="720" w:hanging="720"/>
        <w:rPr>
          <w:noProof/>
        </w:rPr>
      </w:pPr>
      <w:r w:rsidRPr="00EF7B61">
        <w:rPr>
          <w:noProof/>
        </w:rPr>
        <w:lastRenderedPageBreak/>
        <w:t>2</w:t>
      </w:r>
      <w:r w:rsidRPr="00EF7B61">
        <w:rPr>
          <w:noProof/>
        </w:rPr>
        <w:tab/>
        <w:t>Nik-Zainal, S.</w:t>
      </w:r>
      <w:r w:rsidRPr="00EF7B61">
        <w:rPr>
          <w:i/>
          <w:noProof/>
        </w:rPr>
        <w:t xml:space="preserve"> et al.</w:t>
      </w:r>
      <w:r w:rsidRPr="00EF7B61">
        <w:rPr>
          <w:noProof/>
        </w:rPr>
        <w:t xml:space="preserve"> Mutational processes molding the genomes of 21 breast cancers. </w:t>
      </w:r>
      <w:r w:rsidRPr="00EF7B61">
        <w:rPr>
          <w:i/>
          <w:noProof/>
        </w:rPr>
        <w:t>Cell</w:t>
      </w:r>
      <w:r w:rsidRPr="00EF7B61">
        <w:rPr>
          <w:noProof/>
        </w:rPr>
        <w:t xml:space="preserve"> </w:t>
      </w:r>
      <w:r w:rsidRPr="00EF7B61">
        <w:rPr>
          <w:b/>
          <w:noProof/>
        </w:rPr>
        <w:t>149</w:t>
      </w:r>
      <w:r w:rsidRPr="00EF7B61">
        <w:rPr>
          <w:noProof/>
        </w:rPr>
        <w:t>, 979-993, doi:S0092-8674(12)00528-4 [pii]</w:t>
      </w:r>
    </w:p>
    <w:p w14:paraId="7A1C6ACD" w14:textId="77777777" w:rsidR="0072432B" w:rsidRPr="00EF7B61" w:rsidRDefault="0072432B" w:rsidP="0072432B">
      <w:pPr>
        <w:pStyle w:val="EndNoteBibliography"/>
        <w:ind w:left="720" w:hanging="720"/>
        <w:rPr>
          <w:noProof/>
        </w:rPr>
      </w:pPr>
      <w:r w:rsidRPr="00EF7B61">
        <w:rPr>
          <w:noProof/>
        </w:rPr>
        <w:t>10.1016/j.cell.2012.04.024 (2012).</w:t>
      </w:r>
    </w:p>
    <w:p w14:paraId="2F3A253F" w14:textId="77777777" w:rsidR="0072432B" w:rsidRPr="00EF7B61" w:rsidRDefault="0072432B" w:rsidP="0072432B">
      <w:pPr>
        <w:pStyle w:val="EndNoteBibliography"/>
        <w:ind w:left="720" w:hanging="720"/>
        <w:rPr>
          <w:noProof/>
        </w:rPr>
      </w:pPr>
      <w:r w:rsidRPr="00EF7B61">
        <w:rPr>
          <w:noProof/>
        </w:rPr>
        <w:t>3</w:t>
      </w:r>
      <w:r w:rsidRPr="00EF7B61">
        <w:rPr>
          <w:noProof/>
        </w:rPr>
        <w:tab/>
        <w:t>Nik-Zainal, S.</w:t>
      </w:r>
      <w:r w:rsidRPr="00EF7B61">
        <w:rPr>
          <w:i/>
          <w:noProof/>
        </w:rPr>
        <w:t xml:space="preserve"> et al.</w:t>
      </w:r>
      <w:r w:rsidRPr="00EF7B61">
        <w:rPr>
          <w:noProof/>
        </w:rPr>
        <w:t xml:space="preserve"> The life history of 21 breast cancers. </w:t>
      </w:r>
      <w:r w:rsidRPr="00EF7B61">
        <w:rPr>
          <w:i/>
          <w:noProof/>
        </w:rPr>
        <w:t>Cell</w:t>
      </w:r>
      <w:r w:rsidRPr="00EF7B61">
        <w:rPr>
          <w:noProof/>
        </w:rPr>
        <w:t xml:space="preserve"> </w:t>
      </w:r>
      <w:r w:rsidRPr="00EF7B61">
        <w:rPr>
          <w:b/>
          <w:noProof/>
        </w:rPr>
        <w:t>149</w:t>
      </w:r>
      <w:r w:rsidRPr="00EF7B61">
        <w:rPr>
          <w:noProof/>
        </w:rPr>
        <w:t>, 994-1007, doi:S0092-8674(12)00527-2 [pii]</w:t>
      </w:r>
    </w:p>
    <w:p w14:paraId="64B3B594" w14:textId="77777777" w:rsidR="0072432B" w:rsidRPr="00EF7B61" w:rsidRDefault="0072432B" w:rsidP="0072432B">
      <w:pPr>
        <w:pStyle w:val="EndNoteBibliography"/>
        <w:ind w:left="720" w:hanging="720"/>
        <w:rPr>
          <w:noProof/>
        </w:rPr>
      </w:pPr>
      <w:r w:rsidRPr="00EF7B61">
        <w:rPr>
          <w:noProof/>
        </w:rPr>
        <w:t>10.1016/j.cell.2012.04.023 (2012).</w:t>
      </w:r>
    </w:p>
    <w:p w14:paraId="5D49EAD8" w14:textId="77777777" w:rsidR="0072432B" w:rsidRPr="00EF7B61" w:rsidRDefault="0072432B" w:rsidP="0072432B">
      <w:pPr>
        <w:pStyle w:val="EndNoteBibliography"/>
        <w:ind w:left="720" w:hanging="720"/>
        <w:rPr>
          <w:noProof/>
        </w:rPr>
      </w:pPr>
      <w:r w:rsidRPr="00EF7B61">
        <w:rPr>
          <w:noProof/>
        </w:rPr>
        <w:t>4</w:t>
      </w:r>
      <w:r w:rsidRPr="00EF7B61">
        <w:rPr>
          <w:noProof/>
        </w:rPr>
        <w:tab/>
        <w:t>Coe, B. P.</w:t>
      </w:r>
      <w:r w:rsidRPr="00EF7B61">
        <w:rPr>
          <w:i/>
          <w:noProof/>
        </w:rPr>
        <w:t xml:space="preserve"> et al.</w:t>
      </w:r>
      <w:r w:rsidRPr="00EF7B61">
        <w:rPr>
          <w:noProof/>
        </w:rPr>
        <w:t xml:space="preserve"> Resolving the resolution of array CGH. </w:t>
      </w:r>
      <w:r w:rsidRPr="00EF7B61">
        <w:rPr>
          <w:i/>
          <w:noProof/>
        </w:rPr>
        <w:t>Genomics</w:t>
      </w:r>
      <w:r w:rsidRPr="00EF7B61">
        <w:rPr>
          <w:noProof/>
        </w:rPr>
        <w:t xml:space="preserve"> </w:t>
      </w:r>
      <w:r w:rsidRPr="00EF7B61">
        <w:rPr>
          <w:b/>
          <w:noProof/>
        </w:rPr>
        <w:t>89</w:t>
      </w:r>
      <w:r w:rsidRPr="00EF7B61">
        <w:rPr>
          <w:noProof/>
        </w:rPr>
        <w:t>, 647-653 (2007).</w:t>
      </w:r>
    </w:p>
    <w:p w14:paraId="77C358E0" w14:textId="77777777" w:rsidR="0072432B" w:rsidRPr="00EF7B61" w:rsidRDefault="0072432B" w:rsidP="0072432B">
      <w:pPr>
        <w:pStyle w:val="EndNoteBibliography"/>
        <w:ind w:left="720" w:hanging="720"/>
        <w:rPr>
          <w:noProof/>
        </w:rPr>
      </w:pPr>
      <w:r w:rsidRPr="00EF7B61">
        <w:rPr>
          <w:noProof/>
        </w:rPr>
        <w:t>5</w:t>
      </w:r>
      <w:r w:rsidRPr="00EF7B61">
        <w:rPr>
          <w:noProof/>
        </w:rPr>
        <w:tab/>
        <w:t>Ryden, L.</w:t>
      </w:r>
      <w:r w:rsidRPr="00EF7B61">
        <w:rPr>
          <w:i/>
          <w:noProof/>
        </w:rPr>
        <w:t xml:space="preserve"> et al.</w:t>
      </w:r>
      <w:r w:rsidRPr="00EF7B61">
        <w:rPr>
          <w:noProof/>
        </w:rPr>
        <w:t xml:space="preserve"> Minimizing inequality in access to precision medicine in breast cancer by real-time population-based molecular analysis in the SCAN-B initiative. </w:t>
      </w:r>
      <w:r w:rsidRPr="00EF7B61">
        <w:rPr>
          <w:i/>
          <w:noProof/>
        </w:rPr>
        <w:t>Br J Surg</w:t>
      </w:r>
      <w:r w:rsidRPr="00EF7B61">
        <w:rPr>
          <w:noProof/>
        </w:rPr>
        <w:t xml:space="preserve"> </w:t>
      </w:r>
      <w:r w:rsidRPr="00EF7B61">
        <w:rPr>
          <w:b/>
          <w:noProof/>
        </w:rPr>
        <w:t>105</w:t>
      </w:r>
      <w:r w:rsidRPr="00EF7B61">
        <w:rPr>
          <w:noProof/>
        </w:rPr>
        <w:t>, e158-e168, doi:10.1002/bjs.10741 (2018).</w:t>
      </w:r>
    </w:p>
    <w:p w14:paraId="1C35859C" w14:textId="77777777" w:rsidR="0072432B" w:rsidRPr="00EF7B61" w:rsidRDefault="0072432B" w:rsidP="0072432B">
      <w:pPr>
        <w:pStyle w:val="EndNoteBibliography"/>
        <w:ind w:left="720" w:hanging="720"/>
        <w:rPr>
          <w:noProof/>
        </w:rPr>
      </w:pPr>
      <w:r w:rsidRPr="00EF7B61">
        <w:rPr>
          <w:noProof/>
        </w:rPr>
        <w:t>6</w:t>
      </w:r>
      <w:r w:rsidRPr="00EF7B61">
        <w:rPr>
          <w:noProof/>
        </w:rPr>
        <w:tab/>
        <w:t>Haffty, B. G.</w:t>
      </w:r>
      <w:r w:rsidRPr="00EF7B61">
        <w:rPr>
          <w:i/>
          <w:noProof/>
        </w:rPr>
        <w:t xml:space="preserve"> et al.</w:t>
      </w:r>
      <w:r w:rsidRPr="00EF7B61">
        <w:rPr>
          <w:noProof/>
        </w:rPr>
        <w:t xml:space="preserve"> Locoregional relapse and distant metastasis in conservatively managed triple negative early-stage breast cancer. </w:t>
      </w:r>
      <w:r w:rsidRPr="00EF7B61">
        <w:rPr>
          <w:i/>
          <w:noProof/>
        </w:rPr>
        <w:t>J Clin Oncol</w:t>
      </w:r>
      <w:r w:rsidRPr="00EF7B61">
        <w:rPr>
          <w:noProof/>
        </w:rPr>
        <w:t xml:space="preserve"> </w:t>
      </w:r>
      <w:r w:rsidRPr="00EF7B61">
        <w:rPr>
          <w:b/>
          <w:noProof/>
        </w:rPr>
        <w:t>24</w:t>
      </w:r>
      <w:r w:rsidRPr="00EF7B61">
        <w:rPr>
          <w:noProof/>
        </w:rPr>
        <w:t>, 5652-5657, doi:10.1200/JCO.2006.06.5664 (2006).</w:t>
      </w:r>
    </w:p>
    <w:p w14:paraId="4C536B71" w14:textId="77777777" w:rsidR="0072432B" w:rsidRPr="00EF7B61" w:rsidRDefault="0072432B" w:rsidP="0072432B">
      <w:pPr>
        <w:pStyle w:val="EndNoteBibliography"/>
        <w:ind w:left="720" w:hanging="720"/>
        <w:rPr>
          <w:noProof/>
        </w:rPr>
      </w:pPr>
      <w:r w:rsidRPr="00EF7B61">
        <w:rPr>
          <w:noProof/>
        </w:rPr>
        <w:t>7</w:t>
      </w:r>
      <w:r w:rsidRPr="00EF7B61">
        <w:rPr>
          <w:noProof/>
        </w:rPr>
        <w:tab/>
        <w:t>Liedtke, C.</w:t>
      </w:r>
      <w:r w:rsidRPr="00EF7B61">
        <w:rPr>
          <w:i/>
          <w:noProof/>
        </w:rPr>
        <w:t xml:space="preserve"> et al.</w:t>
      </w:r>
      <w:r w:rsidRPr="00EF7B61">
        <w:rPr>
          <w:noProof/>
        </w:rPr>
        <w:t xml:space="preserve"> Response to neoadjuvant therapy and long-term survival in patients with triple-negative breast cancer. </w:t>
      </w:r>
      <w:r w:rsidRPr="00EF7B61">
        <w:rPr>
          <w:i/>
          <w:noProof/>
        </w:rPr>
        <w:t>J Clin Oncol</w:t>
      </w:r>
      <w:r w:rsidRPr="00EF7B61">
        <w:rPr>
          <w:noProof/>
        </w:rPr>
        <w:t xml:space="preserve"> </w:t>
      </w:r>
      <w:r w:rsidRPr="00EF7B61">
        <w:rPr>
          <w:b/>
          <w:noProof/>
        </w:rPr>
        <w:t>26</w:t>
      </w:r>
      <w:r w:rsidRPr="00EF7B61">
        <w:rPr>
          <w:noProof/>
        </w:rPr>
        <w:t>, 1275-1281, doi:10.1200/JCO.2007.14.4147 (2008).</w:t>
      </w:r>
    </w:p>
    <w:p w14:paraId="374DA99D" w14:textId="77777777" w:rsidR="0072432B" w:rsidRPr="00EF7B61" w:rsidRDefault="0072432B" w:rsidP="0072432B">
      <w:pPr>
        <w:pStyle w:val="EndNoteBibliography"/>
        <w:ind w:left="720" w:hanging="720"/>
        <w:rPr>
          <w:noProof/>
        </w:rPr>
      </w:pPr>
      <w:r w:rsidRPr="00EF7B61">
        <w:rPr>
          <w:noProof/>
        </w:rPr>
        <w:t>8</w:t>
      </w:r>
      <w:r w:rsidRPr="00EF7B61">
        <w:rPr>
          <w:noProof/>
        </w:rPr>
        <w:tab/>
        <w:t>Nik-Zainal, S.</w:t>
      </w:r>
      <w:r w:rsidRPr="00EF7B61">
        <w:rPr>
          <w:i/>
          <w:noProof/>
        </w:rPr>
        <w:t xml:space="preserve"> et al.</w:t>
      </w:r>
      <w:r w:rsidRPr="00EF7B61">
        <w:rPr>
          <w:noProof/>
        </w:rPr>
        <w:t xml:space="preserve"> Landscape of somatic mutations in 560 breast cancer whole-genome sequences. </w:t>
      </w:r>
      <w:r w:rsidRPr="00EF7B61">
        <w:rPr>
          <w:i/>
          <w:noProof/>
        </w:rPr>
        <w:t>Nature</w:t>
      </w:r>
      <w:r w:rsidRPr="00EF7B61">
        <w:rPr>
          <w:noProof/>
        </w:rPr>
        <w:t xml:space="preserve"> </w:t>
      </w:r>
      <w:r w:rsidRPr="00EF7B61">
        <w:rPr>
          <w:b/>
          <w:noProof/>
        </w:rPr>
        <w:t>534</w:t>
      </w:r>
      <w:r w:rsidRPr="00EF7B61">
        <w:rPr>
          <w:noProof/>
        </w:rPr>
        <w:t>, 47-54, doi:10.1038/nature17676 (2016).</w:t>
      </w:r>
    </w:p>
    <w:p w14:paraId="3970C487" w14:textId="77777777" w:rsidR="0072432B" w:rsidRPr="00EF7B61" w:rsidRDefault="0072432B" w:rsidP="0072432B">
      <w:pPr>
        <w:pStyle w:val="EndNoteBibliography"/>
        <w:ind w:left="720" w:hanging="720"/>
        <w:rPr>
          <w:noProof/>
        </w:rPr>
      </w:pPr>
      <w:r w:rsidRPr="00EF7B61">
        <w:rPr>
          <w:noProof/>
        </w:rPr>
        <w:t>9</w:t>
      </w:r>
      <w:r w:rsidRPr="00EF7B61">
        <w:rPr>
          <w:noProof/>
        </w:rPr>
        <w:tab/>
        <w:t>Davies, H.</w:t>
      </w:r>
      <w:r w:rsidRPr="00EF7B61">
        <w:rPr>
          <w:i/>
          <w:noProof/>
        </w:rPr>
        <w:t xml:space="preserve"> et al.</w:t>
      </w:r>
      <w:r w:rsidRPr="00EF7B61">
        <w:rPr>
          <w:noProof/>
        </w:rPr>
        <w:t xml:space="preserve"> HRDetect is a predictor of BRCA1 and BRCA2 deficiency based on mutational signatures. </w:t>
      </w:r>
      <w:r w:rsidRPr="00EF7B61">
        <w:rPr>
          <w:i/>
          <w:noProof/>
        </w:rPr>
        <w:t>Nature medicine</w:t>
      </w:r>
      <w:r w:rsidRPr="00EF7B61">
        <w:rPr>
          <w:noProof/>
        </w:rPr>
        <w:t xml:space="preserve"> </w:t>
      </w:r>
      <w:r w:rsidRPr="00EF7B61">
        <w:rPr>
          <w:b/>
          <w:noProof/>
        </w:rPr>
        <w:t>23</w:t>
      </w:r>
      <w:r w:rsidRPr="00EF7B61">
        <w:rPr>
          <w:noProof/>
        </w:rPr>
        <w:t>, 517-525, doi:10.1038/nm.4292 (2017).</w:t>
      </w:r>
    </w:p>
    <w:p w14:paraId="36303660" w14:textId="77777777" w:rsidR="0072432B" w:rsidRPr="00EF7B61" w:rsidRDefault="0072432B" w:rsidP="0072432B">
      <w:pPr>
        <w:pStyle w:val="EndNoteBibliography"/>
        <w:ind w:left="720" w:hanging="720"/>
        <w:rPr>
          <w:noProof/>
        </w:rPr>
      </w:pPr>
      <w:r w:rsidRPr="00EF7B61">
        <w:rPr>
          <w:noProof/>
        </w:rPr>
        <w:t>10</w:t>
      </w:r>
      <w:r w:rsidRPr="00EF7B61">
        <w:rPr>
          <w:noProof/>
        </w:rPr>
        <w:tab/>
        <w:t>Telli, M. L.</w:t>
      </w:r>
      <w:r w:rsidRPr="00EF7B61">
        <w:rPr>
          <w:i/>
          <w:noProof/>
        </w:rPr>
        <w:t xml:space="preserve"> et al.</w:t>
      </w:r>
      <w:r w:rsidRPr="00EF7B61">
        <w:rPr>
          <w:noProof/>
        </w:rPr>
        <w:t xml:space="preserve"> Homologous Recombination Deficiency (HRD) Score Predicts Response to Platinum-Containing Neoadjuvant Chemotherapy in Patients with Triple-Negative Breast Cancer. </w:t>
      </w:r>
      <w:r w:rsidRPr="00EF7B61">
        <w:rPr>
          <w:i/>
          <w:noProof/>
        </w:rPr>
        <w:t>Clin Cancer Res</w:t>
      </w:r>
      <w:r w:rsidRPr="00EF7B61">
        <w:rPr>
          <w:noProof/>
        </w:rPr>
        <w:t xml:space="preserve"> </w:t>
      </w:r>
      <w:r w:rsidRPr="00EF7B61">
        <w:rPr>
          <w:b/>
          <w:noProof/>
        </w:rPr>
        <w:t>22</w:t>
      </w:r>
      <w:r w:rsidRPr="00EF7B61">
        <w:rPr>
          <w:noProof/>
        </w:rPr>
        <w:t>, 3764-3773, doi:10.1158/1078-0432.CCR-15-2477 (2016).</w:t>
      </w:r>
    </w:p>
    <w:p w14:paraId="72A2D7B7" w14:textId="77777777" w:rsidR="0072432B" w:rsidRPr="00EF7B61" w:rsidRDefault="0072432B" w:rsidP="0072432B">
      <w:pPr>
        <w:pStyle w:val="EndNoteBibliography"/>
        <w:ind w:left="720" w:hanging="720"/>
        <w:rPr>
          <w:noProof/>
        </w:rPr>
      </w:pPr>
      <w:r w:rsidRPr="00EF7B61">
        <w:rPr>
          <w:noProof/>
        </w:rPr>
        <w:t>11</w:t>
      </w:r>
      <w:r w:rsidRPr="00EF7B61">
        <w:rPr>
          <w:noProof/>
        </w:rPr>
        <w:tab/>
        <w:t xml:space="preserve">Paquet, E. R. &amp; Hallett, M. T. Absolute Assignment of Breast Cancer Intrinsic Molecular Subtype. </w:t>
      </w:r>
      <w:r w:rsidRPr="00EF7B61">
        <w:rPr>
          <w:i/>
          <w:noProof/>
        </w:rPr>
        <w:t>Journal of the National Cancer Institute</w:t>
      </w:r>
      <w:r w:rsidRPr="00EF7B61">
        <w:rPr>
          <w:noProof/>
        </w:rPr>
        <w:t xml:space="preserve"> </w:t>
      </w:r>
      <w:r w:rsidRPr="00EF7B61">
        <w:rPr>
          <w:b/>
          <w:noProof/>
        </w:rPr>
        <w:t>107</w:t>
      </w:r>
      <w:r w:rsidRPr="00EF7B61">
        <w:rPr>
          <w:noProof/>
        </w:rPr>
        <w:t>, doi:10.1093/jnci/dju357 (2015).</w:t>
      </w:r>
    </w:p>
    <w:p w14:paraId="6C3A7553" w14:textId="77777777" w:rsidR="0072432B" w:rsidRPr="00EF7B61" w:rsidRDefault="0072432B" w:rsidP="0072432B">
      <w:pPr>
        <w:pStyle w:val="EndNoteBibliography"/>
        <w:ind w:left="720" w:hanging="720"/>
        <w:rPr>
          <w:noProof/>
        </w:rPr>
      </w:pPr>
      <w:r w:rsidRPr="00EF7B61">
        <w:rPr>
          <w:noProof/>
        </w:rPr>
        <w:t>12</w:t>
      </w:r>
      <w:r w:rsidRPr="00EF7B61">
        <w:rPr>
          <w:noProof/>
        </w:rPr>
        <w:tab/>
        <w:t>Guedj, M.</w:t>
      </w:r>
      <w:r w:rsidRPr="00EF7B61">
        <w:rPr>
          <w:i/>
          <w:noProof/>
        </w:rPr>
        <w:t xml:space="preserve"> et al.</w:t>
      </w:r>
      <w:r w:rsidRPr="00EF7B61">
        <w:rPr>
          <w:noProof/>
        </w:rPr>
        <w:t xml:space="preserve"> A refined molecular taxonomy of breast cancer. </w:t>
      </w:r>
      <w:r w:rsidRPr="00EF7B61">
        <w:rPr>
          <w:i/>
          <w:noProof/>
        </w:rPr>
        <w:t>Oncogene</w:t>
      </w:r>
      <w:r w:rsidRPr="00EF7B61">
        <w:rPr>
          <w:noProof/>
        </w:rPr>
        <w:t xml:space="preserve"> </w:t>
      </w:r>
      <w:r w:rsidRPr="00EF7B61">
        <w:rPr>
          <w:b/>
          <w:noProof/>
        </w:rPr>
        <w:t>31</w:t>
      </w:r>
      <w:r w:rsidRPr="00EF7B61">
        <w:rPr>
          <w:noProof/>
        </w:rPr>
        <w:t>, 1196-1206, doi:10.1038/onc.2011.301 (2012).</w:t>
      </w:r>
    </w:p>
    <w:p w14:paraId="19B3D615" w14:textId="77777777" w:rsidR="0072432B" w:rsidRPr="00EF7B61" w:rsidRDefault="0072432B" w:rsidP="0072432B">
      <w:pPr>
        <w:pStyle w:val="EndNoteBibliography"/>
        <w:ind w:left="720" w:hanging="720"/>
        <w:rPr>
          <w:noProof/>
        </w:rPr>
      </w:pPr>
      <w:r w:rsidRPr="00EF7B61">
        <w:rPr>
          <w:noProof/>
        </w:rPr>
        <w:t>13</w:t>
      </w:r>
      <w:r w:rsidRPr="00EF7B61">
        <w:rPr>
          <w:noProof/>
        </w:rPr>
        <w:tab/>
        <w:t>Curtis, C.</w:t>
      </w:r>
      <w:r w:rsidRPr="00EF7B61">
        <w:rPr>
          <w:i/>
          <w:noProof/>
        </w:rPr>
        <w:t xml:space="preserve"> et al.</w:t>
      </w:r>
      <w:r w:rsidRPr="00EF7B61">
        <w:rPr>
          <w:noProof/>
        </w:rPr>
        <w:t xml:space="preserve"> The genomic and transcriptomic architecture of 2,000 breast tumours reveals novel subgroups. </w:t>
      </w:r>
      <w:r w:rsidRPr="00EF7B61">
        <w:rPr>
          <w:i/>
          <w:noProof/>
        </w:rPr>
        <w:t>Nature</w:t>
      </w:r>
      <w:r w:rsidRPr="00EF7B61">
        <w:rPr>
          <w:noProof/>
        </w:rPr>
        <w:t xml:space="preserve"> </w:t>
      </w:r>
      <w:r w:rsidRPr="00EF7B61">
        <w:rPr>
          <w:b/>
          <w:noProof/>
        </w:rPr>
        <w:t>486</w:t>
      </w:r>
      <w:r w:rsidRPr="00EF7B61">
        <w:rPr>
          <w:noProof/>
        </w:rPr>
        <w:t>, 346-352, doi:10.1038/nature10983 (2012).</w:t>
      </w:r>
    </w:p>
    <w:p w14:paraId="2328B0E2" w14:textId="77777777" w:rsidR="0072432B" w:rsidRPr="00EF7B61" w:rsidRDefault="0072432B" w:rsidP="0072432B">
      <w:pPr>
        <w:pStyle w:val="EndNoteBibliography"/>
        <w:ind w:left="720" w:hanging="720"/>
        <w:rPr>
          <w:noProof/>
        </w:rPr>
      </w:pPr>
      <w:r w:rsidRPr="00EF7B61">
        <w:rPr>
          <w:noProof/>
        </w:rPr>
        <w:t>14</w:t>
      </w:r>
      <w:r w:rsidRPr="00EF7B61">
        <w:rPr>
          <w:noProof/>
        </w:rPr>
        <w:tab/>
        <w:t>Lehmann, B. D.</w:t>
      </w:r>
      <w:r w:rsidRPr="00EF7B61">
        <w:rPr>
          <w:i/>
          <w:noProof/>
        </w:rPr>
        <w:t xml:space="preserve"> et al.</w:t>
      </w:r>
      <w:r w:rsidRPr="00EF7B61">
        <w:rPr>
          <w:noProof/>
        </w:rPr>
        <w:t xml:space="preserve"> Identification of human triple-negative breast cancer subtypes and preclinical models for selection of targeted therapies. </w:t>
      </w:r>
      <w:r w:rsidRPr="00EF7B61">
        <w:rPr>
          <w:i/>
          <w:noProof/>
        </w:rPr>
        <w:t>J Clin Invest</w:t>
      </w:r>
      <w:r w:rsidRPr="00EF7B61">
        <w:rPr>
          <w:noProof/>
        </w:rPr>
        <w:t xml:space="preserve"> </w:t>
      </w:r>
      <w:r w:rsidRPr="00EF7B61">
        <w:rPr>
          <w:b/>
          <w:noProof/>
        </w:rPr>
        <w:t>121</w:t>
      </w:r>
      <w:r w:rsidRPr="00EF7B61">
        <w:rPr>
          <w:noProof/>
        </w:rPr>
        <w:t>, 2750-2767, doi:10.1172/JCI45014 (2011).</w:t>
      </w:r>
    </w:p>
    <w:p w14:paraId="6B168BFD" w14:textId="77777777" w:rsidR="0072432B" w:rsidRPr="00EF7B61" w:rsidRDefault="0072432B" w:rsidP="0072432B">
      <w:pPr>
        <w:pStyle w:val="EndNoteBibliography"/>
        <w:ind w:left="720" w:hanging="720"/>
        <w:rPr>
          <w:noProof/>
        </w:rPr>
      </w:pPr>
      <w:r w:rsidRPr="00EF7B61">
        <w:rPr>
          <w:noProof/>
        </w:rPr>
        <w:t>15</w:t>
      </w:r>
      <w:r w:rsidRPr="00EF7B61">
        <w:rPr>
          <w:noProof/>
        </w:rPr>
        <w:tab/>
        <w:t>Ali, H. R.</w:t>
      </w:r>
      <w:r w:rsidRPr="00EF7B61">
        <w:rPr>
          <w:i/>
          <w:noProof/>
        </w:rPr>
        <w:t xml:space="preserve"> et al.</w:t>
      </w:r>
      <w:r w:rsidRPr="00EF7B61">
        <w:rPr>
          <w:noProof/>
        </w:rPr>
        <w:t xml:space="preserve"> Genome-driven integrated classification of breast cancer validated in over 7,500 samples. </w:t>
      </w:r>
      <w:r w:rsidRPr="00EF7B61">
        <w:rPr>
          <w:i/>
          <w:noProof/>
        </w:rPr>
        <w:t>Genome biology</w:t>
      </w:r>
      <w:r w:rsidRPr="00EF7B61">
        <w:rPr>
          <w:noProof/>
        </w:rPr>
        <w:t xml:space="preserve"> </w:t>
      </w:r>
      <w:r w:rsidRPr="00EF7B61">
        <w:rPr>
          <w:b/>
          <w:noProof/>
        </w:rPr>
        <w:t>15</w:t>
      </w:r>
      <w:r w:rsidRPr="00EF7B61">
        <w:rPr>
          <w:noProof/>
        </w:rPr>
        <w:t>, 431, doi:10.1186/s13059-014-0431-1 (2014).</w:t>
      </w:r>
    </w:p>
    <w:p w14:paraId="5B056A76" w14:textId="77777777" w:rsidR="0072432B" w:rsidRPr="00EF7B61" w:rsidRDefault="0072432B" w:rsidP="0072432B">
      <w:pPr>
        <w:pStyle w:val="EndNoteBibliography"/>
        <w:ind w:left="720" w:hanging="720"/>
        <w:rPr>
          <w:noProof/>
        </w:rPr>
      </w:pPr>
      <w:r w:rsidRPr="00EF7B61">
        <w:rPr>
          <w:noProof/>
        </w:rPr>
        <w:t>16</w:t>
      </w:r>
      <w:r w:rsidRPr="00EF7B61">
        <w:rPr>
          <w:noProof/>
        </w:rPr>
        <w:tab/>
        <w:t>Polak, P.</w:t>
      </w:r>
      <w:r w:rsidRPr="00EF7B61">
        <w:rPr>
          <w:i/>
          <w:noProof/>
        </w:rPr>
        <w:t xml:space="preserve"> et al.</w:t>
      </w:r>
      <w:r w:rsidRPr="00EF7B61">
        <w:rPr>
          <w:noProof/>
        </w:rPr>
        <w:t xml:space="preserve"> A mutational signature reveals alterations underlying deficient homologous recombination repair in breast cancer. </w:t>
      </w:r>
      <w:r w:rsidRPr="00EF7B61">
        <w:rPr>
          <w:i/>
          <w:noProof/>
        </w:rPr>
        <w:t>Nature genetics</w:t>
      </w:r>
      <w:r w:rsidRPr="00EF7B61">
        <w:rPr>
          <w:noProof/>
        </w:rPr>
        <w:t>, doi:10.1038/ng.3934 (2017).</w:t>
      </w:r>
    </w:p>
    <w:p w14:paraId="79D20CF3" w14:textId="77777777" w:rsidR="0072432B" w:rsidRPr="00EF7B61" w:rsidRDefault="0072432B" w:rsidP="0072432B">
      <w:pPr>
        <w:pStyle w:val="EndNoteBibliography"/>
        <w:ind w:left="720" w:hanging="720"/>
        <w:rPr>
          <w:noProof/>
        </w:rPr>
      </w:pPr>
      <w:r w:rsidRPr="00EF7B61">
        <w:rPr>
          <w:noProof/>
        </w:rPr>
        <w:t>17</w:t>
      </w:r>
      <w:r w:rsidRPr="00EF7B61">
        <w:rPr>
          <w:noProof/>
        </w:rPr>
        <w:tab/>
        <w:t>Evans, D. G. R.</w:t>
      </w:r>
      <w:r w:rsidRPr="00EF7B61">
        <w:rPr>
          <w:i/>
          <w:noProof/>
        </w:rPr>
        <w:t xml:space="preserve"> et al.</w:t>
      </w:r>
      <w:r w:rsidRPr="00EF7B61">
        <w:rPr>
          <w:noProof/>
        </w:rPr>
        <w:t xml:space="preserve"> A Dominantly Inherited 5' UTR Variant Causing Methylation-Associated Silencing of BRCA1 as a Cause of Breast and Ovarian Cancer. </w:t>
      </w:r>
      <w:r w:rsidRPr="00EF7B61">
        <w:rPr>
          <w:i/>
          <w:noProof/>
        </w:rPr>
        <w:t>American journal of human genetics</w:t>
      </w:r>
      <w:r w:rsidRPr="00EF7B61">
        <w:rPr>
          <w:noProof/>
        </w:rPr>
        <w:t xml:space="preserve"> </w:t>
      </w:r>
      <w:r w:rsidRPr="00EF7B61">
        <w:rPr>
          <w:b/>
          <w:noProof/>
        </w:rPr>
        <w:t>103</w:t>
      </w:r>
      <w:r w:rsidRPr="00EF7B61">
        <w:rPr>
          <w:noProof/>
        </w:rPr>
        <w:t>, 213-220, doi:10.1016/j.ajhg.2018.07.002 (2018).</w:t>
      </w:r>
    </w:p>
    <w:p w14:paraId="0A47CF8D" w14:textId="77777777" w:rsidR="0072432B" w:rsidRPr="00EF7B61" w:rsidRDefault="0072432B" w:rsidP="0072432B">
      <w:pPr>
        <w:pStyle w:val="EndNoteBibliography"/>
        <w:ind w:left="720" w:hanging="720"/>
        <w:rPr>
          <w:noProof/>
        </w:rPr>
      </w:pPr>
      <w:r w:rsidRPr="00EF7B61">
        <w:rPr>
          <w:noProof/>
        </w:rPr>
        <w:t>18</w:t>
      </w:r>
      <w:r w:rsidRPr="00EF7B61">
        <w:rPr>
          <w:noProof/>
        </w:rPr>
        <w:tab/>
        <w:t>Park, J. Y.</w:t>
      </w:r>
      <w:r w:rsidRPr="00EF7B61">
        <w:rPr>
          <w:i/>
          <w:noProof/>
        </w:rPr>
        <w:t xml:space="preserve"> et al.</w:t>
      </w:r>
      <w:r w:rsidRPr="00EF7B61">
        <w:rPr>
          <w:noProof/>
        </w:rPr>
        <w:t xml:space="preserve"> Breast cancer-associated missense mutants of the PALB2 WD40 domain, which directly binds RAD51C, RAD51 and BRCA2, disrupt DNA repair. </w:t>
      </w:r>
      <w:r w:rsidRPr="00EF7B61">
        <w:rPr>
          <w:i/>
          <w:noProof/>
        </w:rPr>
        <w:t>Oncogene</w:t>
      </w:r>
      <w:r w:rsidRPr="00EF7B61">
        <w:rPr>
          <w:noProof/>
        </w:rPr>
        <w:t xml:space="preserve"> </w:t>
      </w:r>
      <w:r w:rsidRPr="00EF7B61">
        <w:rPr>
          <w:b/>
          <w:noProof/>
        </w:rPr>
        <w:t>33</w:t>
      </w:r>
      <w:r w:rsidRPr="00EF7B61">
        <w:rPr>
          <w:noProof/>
        </w:rPr>
        <w:t>, 4803-4812, doi:10.1038/onc.2013.421 (2014).</w:t>
      </w:r>
    </w:p>
    <w:p w14:paraId="7FF1FEB4" w14:textId="77777777" w:rsidR="0072432B" w:rsidRPr="00EF7B61" w:rsidRDefault="0072432B" w:rsidP="0072432B">
      <w:pPr>
        <w:pStyle w:val="EndNoteBibliography"/>
        <w:ind w:left="720" w:hanging="720"/>
        <w:rPr>
          <w:noProof/>
        </w:rPr>
      </w:pPr>
      <w:r w:rsidRPr="00EF7B61">
        <w:rPr>
          <w:noProof/>
        </w:rPr>
        <w:lastRenderedPageBreak/>
        <w:t>19</w:t>
      </w:r>
      <w:r w:rsidRPr="00EF7B61">
        <w:rPr>
          <w:noProof/>
        </w:rPr>
        <w:tab/>
        <w:t xml:space="preserve">Park, J. Y., Zhang, F. &amp; Andreassen, P. R. PALB2: the hub of a network of tumor suppressors involved in DNA damage responses. </w:t>
      </w:r>
      <w:r w:rsidRPr="00EF7B61">
        <w:rPr>
          <w:i/>
          <w:noProof/>
        </w:rPr>
        <w:t>Biochim Biophys Acta</w:t>
      </w:r>
      <w:r w:rsidRPr="00EF7B61">
        <w:rPr>
          <w:noProof/>
        </w:rPr>
        <w:t xml:space="preserve"> </w:t>
      </w:r>
      <w:r w:rsidRPr="00EF7B61">
        <w:rPr>
          <w:b/>
          <w:noProof/>
        </w:rPr>
        <w:t>1846</w:t>
      </w:r>
      <w:r w:rsidRPr="00EF7B61">
        <w:rPr>
          <w:noProof/>
        </w:rPr>
        <w:t>, 263-275, doi:10.1016/j.bbcan.2014.06.003 (2014).</w:t>
      </w:r>
    </w:p>
    <w:p w14:paraId="01C53F39" w14:textId="77777777" w:rsidR="0072432B" w:rsidRPr="00EF7B61" w:rsidRDefault="0072432B" w:rsidP="0072432B">
      <w:pPr>
        <w:pStyle w:val="EndNoteBibliography"/>
        <w:ind w:left="720" w:hanging="720"/>
        <w:rPr>
          <w:noProof/>
        </w:rPr>
      </w:pPr>
      <w:r w:rsidRPr="00EF7B61">
        <w:rPr>
          <w:noProof/>
        </w:rPr>
        <w:t>20</w:t>
      </w:r>
      <w:r w:rsidRPr="00EF7B61">
        <w:rPr>
          <w:noProof/>
        </w:rPr>
        <w:tab/>
        <w:t>Qian, Y.</w:t>
      </w:r>
      <w:r w:rsidRPr="00EF7B61">
        <w:rPr>
          <w:i/>
          <w:noProof/>
        </w:rPr>
        <w:t xml:space="preserve"> et al.</w:t>
      </w:r>
      <w:r w:rsidRPr="00EF7B61">
        <w:rPr>
          <w:noProof/>
        </w:rPr>
        <w:t xml:space="preserve"> Identification of pathogenic retrotransposon insertions in cancer predisposition genes. </w:t>
      </w:r>
      <w:r w:rsidRPr="00EF7B61">
        <w:rPr>
          <w:i/>
          <w:noProof/>
        </w:rPr>
        <w:t>Cancer Genet</w:t>
      </w:r>
      <w:r w:rsidRPr="00EF7B61">
        <w:rPr>
          <w:noProof/>
        </w:rPr>
        <w:t xml:space="preserve"> </w:t>
      </w:r>
      <w:r w:rsidRPr="00EF7B61">
        <w:rPr>
          <w:b/>
          <w:noProof/>
        </w:rPr>
        <w:t>216-217</w:t>
      </w:r>
      <w:r w:rsidRPr="00EF7B61">
        <w:rPr>
          <w:noProof/>
        </w:rPr>
        <w:t>, 159-169, doi:10.1016/j.cancergen.2017.08.002 (2017).</w:t>
      </w:r>
    </w:p>
    <w:p w14:paraId="07171CB1" w14:textId="77777777" w:rsidR="0072432B" w:rsidRPr="00EF7B61" w:rsidRDefault="0072432B" w:rsidP="0072432B">
      <w:pPr>
        <w:pStyle w:val="EndNoteBibliography"/>
        <w:ind w:left="720" w:hanging="720"/>
        <w:rPr>
          <w:noProof/>
        </w:rPr>
      </w:pPr>
      <w:r w:rsidRPr="00EF7B61">
        <w:rPr>
          <w:noProof/>
        </w:rPr>
        <w:t>21</w:t>
      </w:r>
      <w:r w:rsidRPr="00EF7B61">
        <w:rPr>
          <w:noProof/>
        </w:rPr>
        <w:tab/>
        <w:t>Nilsson, M. P.</w:t>
      </w:r>
      <w:r w:rsidRPr="00EF7B61">
        <w:rPr>
          <w:i/>
          <w:noProof/>
        </w:rPr>
        <w:t xml:space="preserve"> et al.</w:t>
      </w:r>
      <w:r w:rsidRPr="00EF7B61">
        <w:rPr>
          <w:noProof/>
        </w:rPr>
        <w:t xml:space="preserve"> Germline mutations in BRCA1 and BRCA2 incidentally revealed in a biobank research study: experiences from re-contacting mutation carriers and relatives. </w:t>
      </w:r>
      <w:r w:rsidRPr="00EF7B61">
        <w:rPr>
          <w:i/>
          <w:noProof/>
        </w:rPr>
        <w:t>J Community Genet</w:t>
      </w:r>
      <w:r w:rsidRPr="00EF7B61">
        <w:rPr>
          <w:noProof/>
        </w:rPr>
        <w:t>, doi:10.1007/s12687-017-0341-5 (2017).</w:t>
      </w:r>
    </w:p>
    <w:p w14:paraId="1CB46183" w14:textId="77777777" w:rsidR="0072432B" w:rsidRPr="00EF7B61" w:rsidRDefault="0072432B" w:rsidP="0072432B">
      <w:pPr>
        <w:pStyle w:val="EndNoteBibliography"/>
        <w:ind w:left="720" w:hanging="720"/>
        <w:rPr>
          <w:noProof/>
        </w:rPr>
      </w:pPr>
      <w:r w:rsidRPr="00EF7B61">
        <w:rPr>
          <w:noProof/>
        </w:rPr>
        <w:t>22</w:t>
      </w:r>
      <w:r w:rsidRPr="00EF7B61">
        <w:rPr>
          <w:noProof/>
        </w:rPr>
        <w:tab/>
        <w:t xml:space="preserve">Sharma, P. Biology and Management of Patients With Triple-Negative Breast Cancer. </w:t>
      </w:r>
      <w:r w:rsidRPr="00EF7B61">
        <w:rPr>
          <w:i/>
          <w:noProof/>
        </w:rPr>
        <w:t>The oncologist</w:t>
      </w:r>
      <w:r w:rsidRPr="00EF7B61">
        <w:rPr>
          <w:noProof/>
        </w:rPr>
        <w:t xml:space="preserve"> </w:t>
      </w:r>
      <w:r w:rsidRPr="00EF7B61">
        <w:rPr>
          <w:b/>
          <w:noProof/>
        </w:rPr>
        <w:t>21</w:t>
      </w:r>
      <w:r w:rsidRPr="00EF7B61">
        <w:rPr>
          <w:noProof/>
        </w:rPr>
        <w:t>, 1050-1062, doi:10.1634/theoncologist.2016-0067 (2016).</w:t>
      </w:r>
    </w:p>
    <w:p w14:paraId="4F0D9354" w14:textId="77777777" w:rsidR="0072432B" w:rsidRPr="00EF7B61" w:rsidRDefault="0072432B" w:rsidP="0072432B">
      <w:pPr>
        <w:pStyle w:val="EndNoteBibliography"/>
        <w:ind w:left="720" w:hanging="720"/>
        <w:rPr>
          <w:noProof/>
        </w:rPr>
      </w:pPr>
      <w:r w:rsidRPr="00EF7B61">
        <w:rPr>
          <w:noProof/>
        </w:rPr>
        <w:t>23</w:t>
      </w:r>
      <w:r w:rsidRPr="00EF7B61">
        <w:rPr>
          <w:noProof/>
        </w:rPr>
        <w:tab/>
        <w:t>Davies, H.</w:t>
      </w:r>
      <w:r w:rsidRPr="00EF7B61">
        <w:rPr>
          <w:i/>
          <w:noProof/>
        </w:rPr>
        <w:t xml:space="preserve"> et al.</w:t>
      </w:r>
      <w:r w:rsidRPr="00EF7B61">
        <w:rPr>
          <w:noProof/>
        </w:rPr>
        <w:t xml:space="preserve"> Whole-Genome Sequencing Reveals Breast Cancers with Mismatch Repair Deficiency. </w:t>
      </w:r>
      <w:r w:rsidRPr="00EF7B61">
        <w:rPr>
          <w:i/>
          <w:noProof/>
        </w:rPr>
        <w:t>Cancer research</w:t>
      </w:r>
      <w:r w:rsidRPr="00EF7B61">
        <w:rPr>
          <w:noProof/>
        </w:rPr>
        <w:t xml:space="preserve"> </w:t>
      </w:r>
      <w:r w:rsidRPr="00EF7B61">
        <w:rPr>
          <w:b/>
          <w:noProof/>
        </w:rPr>
        <w:t>77</w:t>
      </w:r>
      <w:r w:rsidRPr="00EF7B61">
        <w:rPr>
          <w:noProof/>
        </w:rPr>
        <w:t>, 4755-4762, doi:10.1158/0008-5472.CAN-17-1083 (2017).</w:t>
      </w:r>
    </w:p>
    <w:p w14:paraId="56D9E9AC" w14:textId="77777777" w:rsidR="0072432B" w:rsidRPr="00EF7B61" w:rsidRDefault="0072432B" w:rsidP="0072432B">
      <w:pPr>
        <w:pStyle w:val="EndNoteBibliography"/>
        <w:ind w:left="720" w:hanging="720"/>
        <w:rPr>
          <w:noProof/>
        </w:rPr>
      </w:pPr>
      <w:r w:rsidRPr="00EF7B61">
        <w:rPr>
          <w:noProof/>
        </w:rPr>
        <w:t>24</w:t>
      </w:r>
      <w:r w:rsidRPr="00EF7B61">
        <w:rPr>
          <w:noProof/>
        </w:rPr>
        <w:tab/>
        <w:t xml:space="preserve">Mazouzi, A., Velimezi, G. &amp; Loizou, J. I. DNA replication stress: causes, resolution and disease. </w:t>
      </w:r>
      <w:r w:rsidRPr="00EF7B61">
        <w:rPr>
          <w:i/>
          <w:noProof/>
        </w:rPr>
        <w:t>Experimental cell research</w:t>
      </w:r>
      <w:r w:rsidRPr="00EF7B61">
        <w:rPr>
          <w:noProof/>
        </w:rPr>
        <w:t xml:space="preserve"> </w:t>
      </w:r>
      <w:r w:rsidRPr="00EF7B61">
        <w:rPr>
          <w:b/>
          <w:noProof/>
        </w:rPr>
        <w:t>329</w:t>
      </w:r>
      <w:r w:rsidRPr="00EF7B61">
        <w:rPr>
          <w:noProof/>
        </w:rPr>
        <w:t>, 85-93, doi:10.1016/j.yexcr.2014.09.030 (2014).</w:t>
      </w:r>
    </w:p>
    <w:p w14:paraId="00E66014" w14:textId="77777777" w:rsidR="0072432B" w:rsidRPr="00EF7B61" w:rsidRDefault="0072432B" w:rsidP="0072432B">
      <w:pPr>
        <w:pStyle w:val="EndNoteBibliography"/>
        <w:ind w:left="720" w:hanging="720"/>
        <w:rPr>
          <w:noProof/>
        </w:rPr>
      </w:pPr>
      <w:r w:rsidRPr="00EF7B61">
        <w:rPr>
          <w:noProof/>
        </w:rPr>
        <w:t>25</w:t>
      </w:r>
      <w:r w:rsidRPr="00EF7B61">
        <w:rPr>
          <w:noProof/>
        </w:rPr>
        <w:tab/>
        <w:t xml:space="preserve">Halazonetis, T. D., Gorgoulis, V. G. &amp; Bartek, J. An oncogene-induced DNA damage model for cancer development. </w:t>
      </w:r>
      <w:r w:rsidRPr="00EF7B61">
        <w:rPr>
          <w:i/>
          <w:noProof/>
        </w:rPr>
        <w:t>Science (New York, N.Y</w:t>
      </w:r>
      <w:r w:rsidRPr="00EF7B61">
        <w:rPr>
          <w:noProof/>
        </w:rPr>
        <w:t xml:space="preserve"> </w:t>
      </w:r>
      <w:r w:rsidRPr="00EF7B61">
        <w:rPr>
          <w:b/>
          <w:noProof/>
        </w:rPr>
        <w:t>319</w:t>
      </w:r>
      <w:r w:rsidRPr="00EF7B61">
        <w:rPr>
          <w:noProof/>
        </w:rPr>
        <w:t>, 1352-1355, doi:10.1126/science.1140735 (2008).</w:t>
      </w:r>
    </w:p>
    <w:p w14:paraId="210084A8" w14:textId="77777777" w:rsidR="0072432B" w:rsidRPr="00EF7B61" w:rsidRDefault="0072432B" w:rsidP="0072432B">
      <w:pPr>
        <w:pStyle w:val="EndNoteBibliography"/>
        <w:ind w:left="720" w:hanging="720"/>
        <w:rPr>
          <w:noProof/>
        </w:rPr>
      </w:pPr>
      <w:r w:rsidRPr="00EF7B61">
        <w:rPr>
          <w:noProof/>
        </w:rPr>
        <w:t>26</w:t>
      </w:r>
      <w:r w:rsidRPr="00EF7B61">
        <w:rPr>
          <w:noProof/>
        </w:rPr>
        <w:tab/>
        <w:t>Glodzik, D.</w:t>
      </w:r>
      <w:r w:rsidRPr="00EF7B61">
        <w:rPr>
          <w:i/>
          <w:noProof/>
        </w:rPr>
        <w:t xml:space="preserve"> et al.</w:t>
      </w:r>
      <w:r w:rsidRPr="00EF7B61">
        <w:rPr>
          <w:noProof/>
        </w:rPr>
        <w:t xml:space="preserve"> A somatic-mutational process recurrently duplicates germline susceptibility loci and tissue-specific super-enhancers in breast cancers. </w:t>
      </w:r>
      <w:r w:rsidRPr="00EF7B61">
        <w:rPr>
          <w:i/>
          <w:noProof/>
        </w:rPr>
        <w:t>Nature genetics</w:t>
      </w:r>
      <w:r w:rsidRPr="00EF7B61">
        <w:rPr>
          <w:noProof/>
        </w:rPr>
        <w:t xml:space="preserve"> </w:t>
      </w:r>
      <w:r w:rsidRPr="00EF7B61">
        <w:rPr>
          <w:b/>
          <w:noProof/>
        </w:rPr>
        <w:t>49</w:t>
      </w:r>
      <w:r w:rsidRPr="00EF7B61">
        <w:rPr>
          <w:noProof/>
        </w:rPr>
        <w:t>, 341-348, doi:10.1038/ng.3771 (2017).</w:t>
      </w:r>
    </w:p>
    <w:p w14:paraId="2BEDED03" w14:textId="77777777" w:rsidR="0072432B" w:rsidRPr="00EF7B61" w:rsidRDefault="0072432B" w:rsidP="0072432B">
      <w:pPr>
        <w:pStyle w:val="EndNoteBibliography"/>
        <w:ind w:left="720" w:hanging="720"/>
        <w:rPr>
          <w:noProof/>
        </w:rPr>
      </w:pPr>
      <w:r w:rsidRPr="00EF7B61">
        <w:rPr>
          <w:noProof/>
        </w:rPr>
        <w:t>27</w:t>
      </w:r>
      <w:r w:rsidRPr="00EF7B61">
        <w:rPr>
          <w:noProof/>
        </w:rPr>
        <w:tab/>
        <w:t>Popova, T.</w:t>
      </w:r>
      <w:r w:rsidRPr="00EF7B61">
        <w:rPr>
          <w:i/>
          <w:noProof/>
        </w:rPr>
        <w:t xml:space="preserve"> et al.</w:t>
      </w:r>
      <w:r w:rsidRPr="00EF7B61">
        <w:rPr>
          <w:noProof/>
        </w:rPr>
        <w:t xml:space="preserve"> Ovarian Cancers Harboring Inactivating Mutations in CDK12 Display a Distinct Genomic Instability Pattern Characterized by Large Tandem Duplications. </w:t>
      </w:r>
      <w:r w:rsidRPr="00EF7B61">
        <w:rPr>
          <w:i/>
          <w:noProof/>
        </w:rPr>
        <w:t>Cancer research</w:t>
      </w:r>
      <w:r w:rsidRPr="00EF7B61">
        <w:rPr>
          <w:noProof/>
        </w:rPr>
        <w:t xml:space="preserve"> </w:t>
      </w:r>
      <w:r w:rsidRPr="00EF7B61">
        <w:rPr>
          <w:b/>
          <w:noProof/>
        </w:rPr>
        <w:t>76</w:t>
      </w:r>
      <w:r w:rsidRPr="00EF7B61">
        <w:rPr>
          <w:noProof/>
        </w:rPr>
        <w:t>, 1882-1891, doi:10.1158/0008-5472.CAN-15-2128 (2016).</w:t>
      </w:r>
    </w:p>
    <w:p w14:paraId="61AA521C" w14:textId="77777777" w:rsidR="0072432B" w:rsidRPr="00EF7B61" w:rsidRDefault="0072432B" w:rsidP="0072432B">
      <w:pPr>
        <w:pStyle w:val="EndNoteBibliography"/>
        <w:ind w:left="720" w:hanging="720"/>
        <w:rPr>
          <w:noProof/>
        </w:rPr>
      </w:pPr>
      <w:r w:rsidRPr="00EF7B61">
        <w:rPr>
          <w:noProof/>
        </w:rPr>
        <w:t>28</w:t>
      </w:r>
      <w:r w:rsidRPr="00EF7B61">
        <w:rPr>
          <w:noProof/>
        </w:rPr>
        <w:tab/>
        <w:t xml:space="preserve">Hillman, R. T., Chisholm, G. B., Lu, K. H. &amp; Futreal, P. A. Genomic Rearrangement Signatures and Clinical Outcomes in High-Grade Serous Ovarian Cancer. </w:t>
      </w:r>
      <w:r w:rsidRPr="00EF7B61">
        <w:rPr>
          <w:i/>
          <w:noProof/>
        </w:rPr>
        <w:t>Journal of the National Cancer Institute</w:t>
      </w:r>
      <w:r w:rsidRPr="00EF7B61">
        <w:rPr>
          <w:noProof/>
        </w:rPr>
        <w:t xml:space="preserve"> </w:t>
      </w:r>
      <w:r w:rsidRPr="00EF7B61">
        <w:rPr>
          <w:b/>
          <w:noProof/>
        </w:rPr>
        <w:t>110</w:t>
      </w:r>
      <w:r w:rsidRPr="00EF7B61">
        <w:rPr>
          <w:noProof/>
        </w:rPr>
        <w:t>, doi:10.1093/jnci/djx176 (2018).</w:t>
      </w:r>
    </w:p>
    <w:p w14:paraId="5E1CDF57" w14:textId="77777777" w:rsidR="0072432B" w:rsidRPr="00EF7B61" w:rsidRDefault="0072432B" w:rsidP="0072432B">
      <w:pPr>
        <w:pStyle w:val="EndNoteBibliography"/>
        <w:ind w:left="720" w:hanging="720"/>
        <w:rPr>
          <w:noProof/>
        </w:rPr>
      </w:pPr>
      <w:r w:rsidRPr="00EF7B61">
        <w:rPr>
          <w:noProof/>
        </w:rPr>
        <w:t>29</w:t>
      </w:r>
      <w:r w:rsidRPr="00EF7B61">
        <w:rPr>
          <w:noProof/>
        </w:rPr>
        <w:tab/>
        <w:t>Bartkova, J.</w:t>
      </w:r>
      <w:r w:rsidRPr="00EF7B61">
        <w:rPr>
          <w:i/>
          <w:noProof/>
        </w:rPr>
        <w:t xml:space="preserve"> et al.</w:t>
      </w:r>
      <w:r w:rsidRPr="00EF7B61">
        <w:rPr>
          <w:noProof/>
        </w:rPr>
        <w:t xml:space="preserve"> Oncogene-induced senescence is part of the tumorigenesis barrier imposed by DNA damage checkpoints. </w:t>
      </w:r>
      <w:r w:rsidRPr="00EF7B61">
        <w:rPr>
          <w:i/>
          <w:noProof/>
        </w:rPr>
        <w:t>Nature</w:t>
      </w:r>
      <w:r w:rsidRPr="00EF7B61">
        <w:rPr>
          <w:noProof/>
        </w:rPr>
        <w:t xml:space="preserve"> </w:t>
      </w:r>
      <w:r w:rsidRPr="00EF7B61">
        <w:rPr>
          <w:b/>
          <w:noProof/>
        </w:rPr>
        <w:t>444</w:t>
      </w:r>
      <w:r w:rsidRPr="00EF7B61">
        <w:rPr>
          <w:noProof/>
        </w:rPr>
        <w:t>, 633-637, doi:10.1038/nature05268 (2006).</w:t>
      </w:r>
    </w:p>
    <w:p w14:paraId="14B0E2A0" w14:textId="77777777" w:rsidR="0072432B" w:rsidRPr="00EF7B61" w:rsidRDefault="0072432B" w:rsidP="0072432B">
      <w:pPr>
        <w:pStyle w:val="EndNoteBibliography"/>
        <w:ind w:left="720" w:hanging="720"/>
        <w:rPr>
          <w:noProof/>
        </w:rPr>
      </w:pPr>
      <w:r w:rsidRPr="00EF7B61">
        <w:rPr>
          <w:noProof/>
        </w:rPr>
        <w:t>30</w:t>
      </w:r>
      <w:r w:rsidRPr="00EF7B61">
        <w:rPr>
          <w:noProof/>
        </w:rPr>
        <w:tab/>
        <w:t>Di Micco, R.</w:t>
      </w:r>
      <w:r w:rsidRPr="00EF7B61">
        <w:rPr>
          <w:i/>
          <w:noProof/>
        </w:rPr>
        <w:t xml:space="preserve"> et al.</w:t>
      </w:r>
      <w:r w:rsidRPr="00EF7B61">
        <w:rPr>
          <w:noProof/>
        </w:rPr>
        <w:t xml:space="preserve"> Oncogene-induced senescence is a DNA damage response triggered by DNA hyper-replication. </w:t>
      </w:r>
      <w:r w:rsidRPr="00EF7B61">
        <w:rPr>
          <w:i/>
          <w:noProof/>
        </w:rPr>
        <w:t>Nature</w:t>
      </w:r>
      <w:r w:rsidRPr="00EF7B61">
        <w:rPr>
          <w:noProof/>
        </w:rPr>
        <w:t xml:space="preserve"> </w:t>
      </w:r>
      <w:r w:rsidRPr="00EF7B61">
        <w:rPr>
          <w:b/>
          <w:noProof/>
        </w:rPr>
        <w:t>444</w:t>
      </w:r>
      <w:r w:rsidRPr="00EF7B61">
        <w:rPr>
          <w:noProof/>
        </w:rPr>
        <w:t>, 638-642, doi:10.1038/nature05327 (2006).</w:t>
      </w:r>
    </w:p>
    <w:p w14:paraId="60F2DBAE" w14:textId="77777777" w:rsidR="0072432B" w:rsidRPr="00EF7B61" w:rsidRDefault="0072432B" w:rsidP="0072432B">
      <w:pPr>
        <w:pStyle w:val="EndNoteBibliography"/>
        <w:ind w:left="720" w:hanging="720"/>
        <w:rPr>
          <w:noProof/>
        </w:rPr>
      </w:pPr>
      <w:r w:rsidRPr="00EF7B61">
        <w:rPr>
          <w:noProof/>
        </w:rPr>
        <w:t>31</w:t>
      </w:r>
      <w:r w:rsidRPr="00EF7B61">
        <w:rPr>
          <w:noProof/>
        </w:rPr>
        <w:tab/>
        <w:t xml:space="preserve">Forment, J. V. &amp; O'Connor, M. J. Targeting the replication stress response in cancer. </w:t>
      </w:r>
      <w:r w:rsidRPr="00EF7B61">
        <w:rPr>
          <w:i/>
          <w:noProof/>
        </w:rPr>
        <w:t>Pharmacol Ther</w:t>
      </w:r>
      <w:r w:rsidRPr="00EF7B61">
        <w:rPr>
          <w:noProof/>
        </w:rPr>
        <w:t xml:space="preserve"> </w:t>
      </w:r>
      <w:r w:rsidRPr="00EF7B61">
        <w:rPr>
          <w:b/>
          <w:noProof/>
        </w:rPr>
        <w:t>188</w:t>
      </w:r>
      <w:r w:rsidRPr="00EF7B61">
        <w:rPr>
          <w:noProof/>
        </w:rPr>
        <w:t>, 155-167, doi:10.1016/j.pharmthera.2018.03.005 (2018).</w:t>
      </w:r>
    </w:p>
    <w:p w14:paraId="5FE28DF5" w14:textId="77777777" w:rsidR="0072432B" w:rsidRPr="00EF7B61" w:rsidRDefault="0072432B" w:rsidP="0072432B">
      <w:pPr>
        <w:pStyle w:val="EndNoteBibliography"/>
        <w:ind w:left="720" w:hanging="720"/>
        <w:rPr>
          <w:noProof/>
        </w:rPr>
      </w:pPr>
      <w:r w:rsidRPr="00EF7B61">
        <w:rPr>
          <w:noProof/>
        </w:rPr>
        <w:t>32</w:t>
      </w:r>
      <w:r w:rsidRPr="00EF7B61">
        <w:rPr>
          <w:noProof/>
        </w:rPr>
        <w:tab/>
        <w:t>Chen, X.</w:t>
      </w:r>
      <w:r w:rsidRPr="00EF7B61">
        <w:rPr>
          <w:i/>
          <w:noProof/>
        </w:rPr>
        <w:t xml:space="preserve"> et al.</w:t>
      </w:r>
      <w:r w:rsidRPr="00EF7B61">
        <w:rPr>
          <w:noProof/>
        </w:rPr>
        <w:t xml:space="preserve"> Cyclin E Overexpression Sensitizes Triple-Negative Breast Cancer to Wee1 Kinase Inhibition. </w:t>
      </w:r>
      <w:r w:rsidRPr="00EF7B61">
        <w:rPr>
          <w:i/>
          <w:noProof/>
        </w:rPr>
        <w:t>Clin Cancer Res</w:t>
      </w:r>
      <w:r w:rsidRPr="00EF7B61">
        <w:rPr>
          <w:noProof/>
        </w:rPr>
        <w:t>, doi:10.1158/1078-0432.CCR-18-1446 (2018).</w:t>
      </w:r>
    </w:p>
    <w:p w14:paraId="116CD17D" w14:textId="77777777" w:rsidR="00DB3E23" w:rsidRPr="001E2390" w:rsidRDefault="00DB3E23" w:rsidP="00B642FE">
      <w:pPr>
        <w:spacing w:line="480" w:lineRule="auto"/>
        <w:jc w:val="both"/>
      </w:pPr>
    </w:p>
    <w:p w14:paraId="16AD67F4" w14:textId="77777777" w:rsidR="00DB3E23" w:rsidRPr="001E2390" w:rsidRDefault="00DB3E23" w:rsidP="00B642FE">
      <w:pPr>
        <w:spacing w:line="480" w:lineRule="auto"/>
        <w:jc w:val="both"/>
      </w:pPr>
    </w:p>
    <w:p w14:paraId="1579B051" w14:textId="77777777" w:rsidR="00DB3E23" w:rsidRPr="001E2390" w:rsidRDefault="00DB3E23" w:rsidP="00897BED">
      <w:pPr>
        <w:spacing w:line="480" w:lineRule="auto"/>
        <w:jc w:val="both"/>
        <w:outlineLvl w:val="0"/>
        <w:rPr>
          <w:b/>
          <w:sz w:val="32"/>
          <w:szCs w:val="32"/>
        </w:rPr>
      </w:pPr>
      <w:r w:rsidRPr="001E2390">
        <w:rPr>
          <w:b/>
          <w:sz w:val="32"/>
          <w:szCs w:val="32"/>
        </w:rPr>
        <w:t xml:space="preserve">ONLINE METHODS </w:t>
      </w:r>
    </w:p>
    <w:p w14:paraId="786DE17F" w14:textId="77777777" w:rsidR="00DB3E23" w:rsidRPr="00D20F4D" w:rsidRDefault="00DB3E23" w:rsidP="00897BED">
      <w:pPr>
        <w:spacing w:line="480" w:lineRule="auto"/>
        <w:jc w:val="both"/>
        <w:outlineLvl w:val="0"/>
      </w:pPr>
      <w:r>
        <w:lastRenderedPageBreak/>
        <w:t>A reporting summary of methods and analysis steps are found in the “Life Sciences Reporting Summary” document.</w:t>
      </w:r>
    </w:p>
    <w:p w14:paraId="2A70CFAE" w14:textId="77777777" w:rsidR="00DB3E23" w:rsidRPr="00D20F4D" w:rsidRDefault="00DB3E23" w:rsidP="00897BED">
      <w:pPr>
        <w:spacing w:line="480" w:lineRule="auto"/>
        <w:jc w:val="both"/>
        <w:outlineLvl w:val="0"/>
      </w:pPr>
    </w:p>
    <w:p w14:paraId="44DC1A81" w14:textId="77777777" w:rsidR="00DB3E23" w:rsidRPr="001E2390" w:rsidRDefault="00DB3E23" w:rsidP="00897BED">
      <w:pPr>
        <w:spacing w:line="480" w:lineRule="auto"/>
        <w:jc w:val="both"/>
        <w:outlineLvl w:val="0"/>
        <w:rPr>
          <w:i/>
        </w:rPr>
      </w:pPr>
      <w:r w:rsidRPr="001E2390">
        <w:rPr>
          <w:i/>
        </w:rPr>
        <w:t>Ethics approval and consent to participate</w:t>
      </w:r>
    </w:p>
    <w:p w14:paraId="4AF1ADF7" w14:textId="77777777" w:rsidR="00DB3E23" w:rsidRPr="001E2390" w:rsidRDefault="00DB3E23" w:rsidP="000E33D1">
      <w:pPr>
        <w:spacing w:line="480" w:lineRule="auto"/>
        <w:jc w:val="both"/>
      </w:pPr>
      <w:r w:rsidRPr="001E2390">
        <w:t xml:space="preserve">The </w:t>
      </w:r>
      <w:r>
        <w:t xml:space="preserve">SCAN-B </w:t>
      </w:r>
      <w:r w:rsidRPr="001E2390">
        <w:t>study was approved by the Regional Ethical Review Board in Lund, Sweden (</w:t>
      </w:r>
      <w:r>
        <w:t>applicable r</w:t>
      </w:r>
      <w:r w:rsidRPr="001E2390">
        <w:t>egistration n</w:t>
      </w:r>
      <w:r>
        <w:t>umbers</w:t>
      </w:r>
      <w:r w:rsidRPr="001E2390">
        <w:t xml:space="preserve"> 2009/</w:t>
      </w:r>
      <w:r w:rsidRPr="001E2390">
        <w:rPr>
          <w:noProof/>
        </w:rPr>
        <w:t>658</w:t>
      </w:r>
      <w:r>
        <w:rPr>
          <w:noProof/>
        </w:rPr>
        <w:t>, 2015/277, 2016/742, 2018/267, and 2019/01252 for this study</w:t>
      </w:r>
      <w:r w:rsidRPr="001E2390">
        <w:t>). All patients provided written informed consent prior to enrolment.</w:t>
      </w:r>
    </w:p>
    <w:p w14:paraId="34ABB42C" w14:textId="77777777" w:rsidR="00DB3E23" w:rsidRPr="001E2390" w:rsidRDefault="00DB3E23" w:rsidP="000E33D1">
      <w:pPr>
        <w:spacing w:line="480" w:lineRule="auto"/>
        <w:jc w:val="both"/>
        <w:rPr>
          <w:i/>
        </w:rPr>
      </w:pPr>
    </w:p>
    <w:p w14:paraId="3A2BD4DA" w14:textId="77777777" w:rsidR="00DB3E23" w:rsidRPr="001E2390" w:rsidRDefault="00DB3E23" w:rsidP="00897BED">
      <w:pPr>
        <w:spacing w:line="480" w:lineRule="auto"/>
        <w:jc w:val="both"/>
        <w:outlineLvl w:val="0"/>
        <w:rPr>
          <w:i/>
        </w:rPr>
      </w:pPr>
      <w:r w:rsidRPr="001E2390">
        <w:rPr>
          <w:i/>
        </w:rPr>
        <w:t>Patient cohort</w:t>
      </w:r>
    </w:p>
    <w:p w14:paraId="3E917301" w14:textId="77777777" w:rsidR="00DB3E23" w:rsidRPr="007C00D8" w:rsidRDefault="00DB3E23" w:rsidP="000E33D1">
      <w:pPr>
        <w:spacing w:line="480" w:lineRule="auto"/>
        <w:jc w:val="both"/>
        <w:rPr>
          <w:color w:val="000000" w:themeColor="text1"/>
        </w:rPr>
      </w:pPr>
      <w:r w:rsidRPr="001E2390">
        <w:t>In Sweden, the definition of TNBC is a tumor with ≤10% of cells with IHC-staining for ER and PR (thus including tumors with 1-10% stained cells) and an IHC HER2-staining score &lt; 2</w:t>
      </w:r>
      <w:r>
        <w:t>, or</w:t>
      </w:r>
      <w:r w:rsidRPr="001E2390">
        <w:t xml:space="preserve"> for patients with </w:t>
      </w:r>
      <w:r>
        <w:t xml:space="preserve">IHC </w:t>
      </w:r>
      <w:r w:rsidRPr="001E2390">
        <w:t>2</w:t>
      </w:r>
      <w:r>
        <w:t xml:space="preserve">+ </w:t>
      </w:r>
      <w:r w:rsidRPr="001E2390">
        <w:t xml:space="preserve">a non-amplified ISH-status. During </w:t>
      </w:r>
      <w:r>
        <w:t>September 1 2010 to March 31 2015</w:t>
      </w:r>
      <w:r w:rsidRPr="001E2390">
        <w:t>, 408 patients were diagnosed with TNBC (localized or advanced disease with specified treatment status) in the Skåne healthcare region in southern Sweden, Scandinavia, based on data from the Swedish national breast cancer quality registry (NKBC) (Figure 1). 340 of these patients were enrolled in the SCAN-B study</w:t>
      </w:r>
      <w:r w:rsidRPr="00F65A41">
        <w:rPr>
          <w:noProof/>
          <w:vertAlign w:val="superscript"/>
        </w:rPr>
        <w:t>5,33,34</w:t>
      </w:r>
      <w:r w:rsidRPr="001E2390">
        <w:t xml:space="preserve"> (</w:t>
      </w:r>
      <w:r w:rsidRPr="001E2390">
        <w:rPr>
          <w:rFonts w:eastAsia="Times New Roman"/>
        </w:rPr>
        <w:t>ClinicalTrials.gov ID NCT02306096</w:t>
      </w:r>
      <w:r w:rsidRPr="001E2390">
        <w:t xml:space="preserve">), which is a prospective, observational, population-based cohort study, from which 254 with concurrent RNAseq were selected for extensive clinical review and WGS. Of reviewed cases, 153 (60%) patients were eligible for OS/IDFS survival analysis after standard of care adjuvant chemotherapy (FEC-based [combination of </w:t>
      </w:r>
      <w:r w:rsidRPr="001E2390">
        <w:rPr>
          <w:rFonts w:eastAsia="Times New Roman"/>
        </w:rPr>
        <w:t xml:space="preserve">5 fluorouracil, </w:t>
      </w:r>
      <w:proofErr w:type="spellStart"/>
      <w:r w:rsidRPr="001E2390">
        <w:rPr>
          <w:rFonts w:eastAsia="Times New Roman"/>
        </w:rPr>
        <w:t>epirubicin</w:t>
      </w:r>
      <w:proofErr w:type="spellEnd"/>
      <w:r w:rsidRPr="001E2390">
        <w:rPr>
          <w:rFonts w:eastAsia="Times New Roman"/>
        </w:rPr>
        <w:t>, and cyclophosphamide</w:t>
      </w:r>
      <w:r w:rsidRPr="001E2390">
        <w:t xml:space="preserve">] ± a </w:t>
      </w:r>
      <w:proofErr w:type="spellStart"/>
      <w:r w:rsidRPr="001E2390">
        <w:t>taxane</w:t>
      </w:r>
      <w:proofErr w:type="spellEnd"/>
      <w:r w:rsidRPr="001E2390">
        <w:t xml:space="preserve"> in 96% of cases) according to national guidelines. Of these (irrespective of clinical endpoint status), 41% had ≥5 years of follow-up, 25% 4-5 years, 31% 2-4 years, and 4% &lt;2 years of follow-up. 148 of 153 patients (97%) were eligible for relapse analysis, of which 20% developed a relapse of some type (loco-regional or distant). Remaining cases received either neoadjuvant treatment, no adjuvant treatment (n=58), or were not treated in an adjuvant context </w:t>
      </w:r>
      <w:r w:rsidRPr="001E2390">
        <w:lastRenderedPageBreak/>
        <w:t>(e.g. metastatic disease at diagnosis).</w:t>
      </w:r>
      <w:r>
        <w:t xml:space="preserve"> </w:t>
      </w:r>
      <w:r w:rsidRPr="007C00D8">
        <w:rPr>
          <w:color w:val="000000" w:themeColor="text1"/>
        </w:rPr>
        <w:t xml:space="preserve">As part of routine </w:t>
      </w:r>
      <w:proofErr w:type="spellStart"/>
      <w:r w:rsidRPr="007C00D8">
        <w:rPr>
          <w:color w:val="000000" w:themeColor="text1"/>
        </w:rPr>
        <w:t>oncogenetic</w:t>
      </w:r>
      <w:proofErr w:type="spellEnd"/>
      <w:r w:rsidRPr="007C00D8">
        <w:rPr>
          <w:color w:val="000000" w:themeColor="text1"/>
        </w:rPr>
        <w:t xml:space="preserve"> clinical screening, 49 of 254 recruited patients were previously screened for pathogenic germline variants in </w:t>
      </w:r>
      <w:r w:rsidRPr="007C00D8">
        <w:rPr>
          <w:i/>
          <w:color w:val="000000" w:themeColor="text1"/>
        </w:rPr>
        <w:t>BRCA1</w:t>
      </w:r>
      <w:r w:rsidRPr="007C00D8">
        <w:rPr>
          <w:color w:val="000000" w:themeColor="text1"/>
        </w:rPr>
        <w:t xml:space="preserve"> and </w:t>
      </w:r>
      <w:r w:rsidRPr="007C00D8">
        <w:rPr>
          <w:i/>
          <w:color w:val="000000" w:themeColor="text1"/>
        </w:rPr>
        <w:t>BRCA2</w:t>
      </w:r>
      <w:r w:rsidRPr="007C00D8">
        <w:rPr>
          <w:color w:val="000000" w:themeColor="text1"/>
        </w:rPr>
        <w:t xml:space="preserve">, with 12 positive findings (nine </w:t>
      </w:r>
      <w:r w:rsidRPr="007C00D8">
        <w:rPr>
          <w:i/>
          <w:color w:val="000000" w:themeColor="text1"/>
        </w:rPr>
        <w:t>BRCA1-</w:t>
      </w:r>
      <w:r w:rsidRPr="007C00D8">
        <w:rPr>
          <w:color w:val="000000" w:themeColor="text1"/>
        </w:rPr>
        <w:t xml:space="preserve"> and three </w:t>
      </w:r>
      <w:r w:rsidRPr="007C00D8">
        <w:rPr>
          <w:i/>
          <w:color w:val="000000" w:themeColor="text1"/>
        </w:rPr>
        <w:t>BRCA2</w:t>
      </w:r>
      <w:r w:rsidRPr="007C00D8">
        <w:rPr>
          <w:color w:val="000000" w:themeColor="text1"/>
        </w:rPr>
        <w:t>-carriers).</w:t>
      </w:r>
      <w:r>
        <w:rPr>
          <w:color w:val="FF0000"/>
        </w:rPr>
        <w:t xml:space="preserve"> </w:t>
      </w:r>
      <w:r w:rsidRPr="007C00D8">
        <w:rPr>
          <w:color w:val="000000" w:themeColor="text1"/>
        </w:rPr>
        <w:t>Patient cohort characteristics, enrolled SCAN-B patients, WGS analysed SCAN-B patients, and WGS analysed SCAN-B treatment subsets are described in Supplementary Table S2. Individual patient characteristics are provided in the Supplementary Data Table.</w:t>
      </w:r>
    </w:p>
    <w:p w14:paraId="6CF5D5F6" w14:textId="77777777" w:rsidR="00DB3E23" w:rsidRPr="001E2390" w:rsidRDefault="00DB3E23" w:rsidP="000E33D1">
      <w:pPr>
        <w:spacing w:line="480" w:lineRule="auto"/>
        <w:jc w:val="both"/>
      </w:pPr>
    </w:p>
    <w:p w14:paraId="2E1E2E16" w14:textId="77777777" w:rsidR="00DB3E23" w:rsidRPr="001E2390" w:rsidRDefault="00DB3E23" w:rsidP="00897BED">
      <w:pPr>
        <w:spacing w:line="480" w:lineRule="auto"/>
        <w:jc w:val="both"/>
        <w:outlineLvl w:val="0"/>
        <w:rPr>
          <w:i/>
        </w:rPr>
      </w:pPr>
      <w:r w:rsidRPr="001E2390">
        <w:rPr>
          <w:i/>
        </w:rPr>
        <w:t>Tissue sampling, DNA and RNA extraction</w:t>
      </w:r>
    </w:p>
    <w:p w14:paraId="56DAD53D" w14:textId="77777777" w:rsidR="00DB3E23" w:rsidRPr="001E2390" w:rsidRDefault="00DB3E23" w:rsidP="000E33D1">
      <w:pPr>
        <w:spacing w:line="480" w:lineRule="auto"/>
        <w:jc w:val="both"/>
      </w:pPr>
      <w:r w:rsidRPr="001E2390">
        <w:t xml:space="preserve">Fresh tumor samples preserved in </w:t>
      </w:r>
      <w:proofErr w:type="spellStart"/>
      <w:r w:rsidRPr="001E2390">
        <w:t>RNAlater</w:t>
      </w:r>
      <w:proofErr w:type="spellEnd"/>
      <w:r w:rsidRPr="001E2390">
        <w:t xml:space="preserve"> (Qiagen, </w:t>
      </w:r>
      <w:r w:rsidRPr="001E2390">
        <w:rPr>
          <w:rFonts w:eastAsia="Cambria"/>
          <w:color w:val="131413"/>
          <w:szCs w:val="20"/>
        </w:rPr>
        <w:t>Hilden, Germany</w:t>
      </w:r>
      <w:r w:rsidRPr="001E2390">
        <w:t xml:space="preserve">) were obtained in conjunction with routine clinical sampling by a diagnostic pathologist in regional pathology departments (see </w:t>
      </w:r>
      <w:r w:rsidRPr="00052494">
        <w:rPr>
          <w:noProof/>
          <w:vertAlign w:val="superscript"/>
        </w:rPr>
        <w:t>5</w:t>
      </w:r>
      <w:r w:rsidRPr="001E2390">
        <w:t xml:space="preserve">). RNA and DNA were extracted using the Qiagen </w:t>
      </w:r>
      <w:proofErr w:type="spellStart"/>
      <w:r w:rsidRPr="001E2390">
        <w:t>Allprep</w:t>
      </w:r>
      <w:proofErr w:type="spellEnd"/>
      <w:r w:rsidRPr="001E2390">
        <w:t xml:space="preserve"> extraction kit (</w:t>
      </w:r>
      <w:r w:rsidRPr="001E2390">
        <w:rPr>
          <w:rFonts w:eastAsia="Cambria"/>
          <w:color w:val="131413"/>
          <w:szCs w:val="20"/>
        </w:rPr>
        <w:t>Qiagen</w:t>
      </w:r>
      <w:r w:rsidRPr="001E2390">
        <w:t>) as described</w:t>
      </w:r>
      <w:r w:rsidRPr="00F65A41">
        <w:rPr>
          <w:noProof/>
          <w:vertAlign w:val="superscript"/>
        </w:rPr>
        <w:t>33</w:t>
      </w:r>
      <w:r w:rsidRPr="001E2390">
        <w:t xml:space="preserve">. DNA from whole blood was extracted by the </w:t>
      </w:r>
      <w:proofErr w:type="spellStart"/>
      <w:r w:rsidRPr="001E2390">
        <w:t>Labmedicin</w:t>
      </w:r>
      <w:proofErr w:type="spellEnd"/>
      <w:r w:rsidRPr="001E2390">
        <w:t xml:space="preserve"> </w:t>
      </w:r>
      <w:proofErr w:type="spellStart"/>
      <w:r w:rsidRPr="001E2390">
        <w:t>Skåne</w:t>
      </w:r>
      <w:proofErr w:type="spellEnd"/>
      <w:r w:rsidRPr="001E2390">
        <w:t xml:space="preserve"> Biobank.</w:t>
      </w:r>
    </w:p>
    <w:p w14:paraId="2433576F" w14:textId="77777777" w:rsidR="00DB3E23" w:rsidRPr="001E2390" w:rsidRDefault="00DB3E23" w:rsidP="000E33D1">
      <w:pPr>
        <w:spacing w:line="480" w:lineRule="auto"/>
        <w:jc w:val="both"/>
      </w:pPr>
    </w:p>
    <w:p w14:paraId="60AE01BB" w14:textId="77777777" w:rsidR="00DB3E23" w:rsidRPr="001E2390" w:rsidRDefault="00DB3E23" w:rsidP="00897BED">
      <w:pPr>
        <w:spacing w:line="480" w:lineRule="auto"/>
        <w:jc w:val="both"/>
        <w:outlineLvl w:val="0"/>
        <w:rPr>
          <w:i/>
        </w:rPr>
      </w:pPr>
      <w:r w:rsidRPr="001E2390">
        <w:rPr>
          <w:i/>
        </w:rPr>
        <w:t>Whole genome sequencing</w:t>
      </w:r>
    </w:p>
    <w:p w14:paraId="0E855CEC" w14:textId="1B3C53A3" w:rsidR="00DB3E23" w:rsidRPr="001E2390" w:rsidRDefault="00DB3E23" w:rsidP="000E33D1">
      <w:pPr>
        <w:spacing w:line="480" w:lineRule="auto"/>
        <w:jc w:val="both"/>
      </w:pPr>
      <w:r w:rsidRPr="001E2390">
        <w:t xml:space="preserve">WGS of TNBCs were performed using Illumina sequencing technology to achieve average coverage of </w:t>
      </w:r>
      <w:proofErr w:type="gramStart"/>
      <w:r w:rsidRPr="001E2390">
        <w:t>15-30 fold</w:t>
      </w:r>
      <w:proofErr w:type="gramEnd"/>
      <w:r w:rsidRPr="001E2390">
        <w:t xml:space="preserve"> depth as previously described in matched tumor-normal samples</w:t>
      </w:r>
      <w:r w:rsidRPr="00CF1297">
        <w:rPr>
          <w:noProof/>
          <w:vertAlign w:val="superscript"/>
        </w:rPr>
        <w:t>8</w:t>
      </w:r>
      <w:r w:rsidRPr="001E2390">
        <w:t xml:space="preserve">. </w:t>
      </w:r>
      <w:r>
        <w:t xml:space="preserve">Each patient was sequenced only once. </w:t>
      </w:r>
      <w:r w:rsidRPr="001E2390">
        <w:t xml:space="preserve">Patients that received adjuvant chemotherapy were primarily selected for 30X coverage, whereas untreated patients were sequenced to 15-fold depth. WGS data quality, basic data analysis, variant calling, </w:t>
      </w:r>
      <w:r>
        <w:t xml:space="preserve">Mobile Element analysis, </w:t>
      </w:r>
      <w:r w:rsidRPr="001E2390">
        <w:t>and HRD classification by the HRDetect algorithm were performed as outlined</w:t>
      </w:r>
      <w:r w:rsidRPr="00CF1297">
        <w:rPr>
          <w:noProof/>
          <w:vertAlign w:val="superscript"/>
        </w:rPr>
        <w:t>8,9</w:t>
      </w:r>
      <w:r w:rsidRPr="001E2390">
        <w:t xml:space="preserve"> (Supplementary Information). </w:t>
      </w:r>
      <w:r>
        <w:t>HRDetect classification was verified for known BRCA1/BRCA2-deficient cases versus tumor cellularity by WGS or pathology estimation for both 30-fold and 15-fold sequencing depth (Extended Data 7) to demonstrate that there was no systematic bias as a result of sequencing coverage or tumor cellularity.</w:t>
      </w:r>
    </w:p>
    <w:p w14:paraId="2D4A721F" w14:textId="77777777" w:rsidR="00DB3E23" w:rsidRPr="001E2390" w:rsidRDefault="00DB3E23" w:rsidP="000E33D1">
      <w:pPr>
        <w:spacing w:line="480" w:lineRule="auto"/>
        <w:jc w:val="both"/>
      </w:pPr>
    </w:p>
    <w:p w14:paraId="1C08E56F" w14:textId="77777777" w:rsidR="00DB3E23" w:rsidRPr="001E2390" w:rsidRDefault="00DB3E23" w:rsidP="00897BED">
      <w:pPr>
        <w:spacing w:line="480" w:lineRule="auto"/>
        <w:jc w:val="both"/>
        <w:outlineLvl w:val="0"/>
        <w:rPr>
          <w:i/>
        </w:rPr>
      </w:pPr>
      <w:r w:rsidRPr="001E2390">
        <w:rPr>
          <w:i/>
        </w:rPr>
        <w:t>DNA promoter methylation analysis</w:t>
      </w:r>
    </w:p>
    <w:p w14:paraId="1C568275" w14:textId="77777777" w:rsidR="00DB3E23" w:rsidRPr="001E2390" w:rsidRDefault="00DB3E23" w:rsidP="000E33D1">
      <w:pPr>
        <w:spacing w:line="480" w:lineRule="auto"/>
        <w:jc w:val="both"/>
      </w:pPr>
      <w:r w:rsidRPr="001E2390">
        <w:t xml:space="preserve">DNA promoter hypermethylation analysis of </w:t>
      </w:r>
      <w:proofErr w:type="spellStart"/>
      <w:r w:rsidRPr="001E2390">
        <w:t>bisulfite</w:t>
      </w:r>
      <w:proofErr w:type="spellEnd"/>
      <w:r w:rsidRPr="001E2390">
        <w:t xml:space="preserve"> treated DNA for specific CpG promoter sites in </w:t>
      </w:r>
      <w:r w:rsidRPr="001E2390">
        <w:rPr>
          <w:i/>
        </w:rPr>
        <w:t>BRCA1</w:t>
      </w:r>
      <w:r w:rsidRPr="001E2390">
        <w:t xml:space="preserve">, </w:t>
      </w:r>
      <w:r w:rsidRPr="001E2390">
        <w:rPr>
          <w:i/>
        </w:rPr>
        <w:t>RAD51C</w:t>
      </w:r>
      <w:r w:rsidRPr="001E2390">
        <w:t xml:space="preserve">, </w:t>
      </w:r>
      <w:r w:rsidRPr="001E2390">
        <w:rPr>
          <w:i/>
        </w:rPr>
        <w:t>RAD51</w:t>
      </w:r>
      <w:r w:rsidRPr="001E2390">
        <w:t xml:space="preserve">, and </w:t>
      </w:r>
      <w:r w:rsidRPr="001E2390">
        <w:rPr>
          <w:i/>
        </w:rPr>
        <w:t>PALB2</w:t>
      </w:r>
      <w:r w:rsidRPr="001E2390">
        <w:t xml:space="preserve"> was performed as described (Supplementary Information).</w:t>
      </w:r>
    </w:p>
    <w:p w14:paraId="3DD77FA5" w14:textId="77777777" w:rsidR="00DB3E23" w:rsidRPr="001E2390" w:rsidRDefault="00DB3E23" w:rsidP="000E33D1">
      <w:pPr>
        <w:spacing w:line="480" w:lineRule="auto"/>
        <w:jc w:val="both"/>
      </w:pPr>
    </w:p>
    <w:p w14:paraId="0F48BF2D" w14:textId="77777777" w:rsidR="00DB3E23" w:rsidRPr="001E2390" w:rsidRDefault="00DB3E23" w:rsidP="00897BED">
      <w:pPr>
        <w:spacing w:line="480" w:lineRule="auto"/>
        <w:jc w:val="both"/>
        <w:outlineLvl w:val="0"/>
        <w:rPr>
          <w:i/>
        </w:rPr>
      </w:pPr>
      <w:r w:rsidRPr="001E2390">
        <w:rPr>
          <w:i/>
        </w:rPr>
        <w:t>Gene expression analyses</w:t>
      </w:r>
    </w:p>
    <w:p w14:paraId="74DAD9D7" w14:textId="77777777" w:rsidR="00DB3E23" w:rsidRPr="001E2390" w:rsidRDefault="00DB3E23" w:rsidP="000E33D1">
      <w:pPr>
        <w:spacing w:line="480" w:lineRule="auto"/>
        <w:jc w:val="both"/>
      </w:pPr>
      <w:r w:rsidRPr="001E2390">
        <w:t>Gene expression profiling of all TNBCs were performed using RNA sequencing as described</w:t>
      </w:r>
      <w:r w:rsidRPr="00F65A41">
        <w:rPr>
          <w:noProof/>
          <w:vertAlign w:val="superscript"/>
        </w:rPr>
        <w:t>33</w:t>
      </w:r>
      <w:r w:rsidRPr="001E2390">
        <w:t xml:space="preserve"> and data has been reported elsewhere</w:t>
      </w:r>
      <w:r w:rsidRPr="00F65A41">
        <w:rPr>
          <w:noProof/>
          <w:vertAlign w:val="superscript"/>
        </w:rPr>
        <w:t>35</w:t>
      </w:r>
      <w:r w:rsidRPr="001E2390">
        <w:t>. Molecular subtype classification according to PAM50</w:t>
      </w:r>
      <w:r>
        <w:t xml:space="preserve"> (by AIMS)</w:t>
      </w:r>
      <w:r w:rsidRPr="00A13DA4">
        <w:rPr>
          <w:noProof/>
          <w:vertAlign w:val="superscript"/>
        </w:rPr>
        <w:t>11</w:t>
      </w:r>
      <w:r w:rsidRPr="001E2390">
        <w:t>, IC</w:t>
      </w:r>
      <w:proofErr w:type="gramStart"/>
      <w:r w:rsidRPr="001E2390">
        <w:t>10</w:t>
      </w:r>
      <w:r w:rsidRPr="00A13DA4">
        <w:rPr>
          <w:noProof/>
          <w:vertAlign w:val="superscript"/>
        </w:rPr>
        <w:t>15</w:t>
      </w:r>
      <w:r w:rsidRPr="001E2390">
        <w:t>,  CIT</w:t>
      </w:r>
      <w:proofErr w:type="gramEnd"/>
      <w:r w:rsidRPr="00A13DA4">
        <w:rPr>
          <w:noProof/>
          <w:vertAlign w:val="superscript"/>
        </w:rPr>
        <w:t>12</w:t>
      </w:r>
      <w:r w:rsidRPr="001E2390">
        <w:t>, and reported TNBC subtypes (</w:t>
      </w:r>
      <w:proofErr w:type="spellStart"/>
      <w:r w:rsidRPr="001E2390">
        <w:t>TNBCtype</w:t>
      </w:r>
      <w:proofErr w:type="spellEnd"/>
      <w:r w:rsidRPr="001E2390">
        <w:t>)</w:t>
      </w:r>
      <w:r w:rsidRPr="00F65A41">
        <w:rPr>
          <w:noProof/>
          <w:vertAlign w:val="superscript"/>
        </w:rPr>
        <w:t>14,36</w:t>
      </w:r>
      <w:r>
        <w:t>, unsupervised clustering and machine-learning based supervised classification</w:t>
      </w:r>
      <w:r w:rsidRPr="001E2390">
        <w:t xml:space="preserve"> were performed as described (Supplementary Information).</w:t>
      </w:r>
    </w:p>
    <w:p w14:paraId="0AE40BAA" w14:textId="77777777" w:rsidR="00DB3E23" w:rsidRPr="001E2390" w:rsidRDefault="00DB3E23" w:rsidP="000E33D1">
      <w:pPr>
        <w:spacing w:line="480" w:lineRule="auto"/>
        <w:jc w:val="both"/>
      </w:pPr>
    </w:p>
    <w:p w14:paraId="69A0244A" w14:textId="77777777" w:rsidR="00DB3E23" w:rsidRPr="001E2390" w:rsidRDefault="00DB3E23" w:rsidP="00897BED">
      <w:pPr>
        <w:spacing w:line="480" w:lineRule="auto"/>
        <w:jc w:val="both"/>
        <w:outlineLvl w:val="0"/>
        <w:rPr>
          <w:i/>
        </w:rPr>
      </w:pPr>
      <w:r>
        <w:rPr>
          <w:i/>
        </w:rPr>
        <w:t>Statistical</w:t>
      </w:r>
      <w:r w:rsidRPr="001E2390">
        <w:rPr>
          <w:i/>
        </w:rPr>
        <w:t xml:space="preserve"> analyses</w:t>
      </w:r>
    </w:p>
    <w:p w14:paraId="3F9D192D" w14:textId="74615FD1" w:rsidR="00DB3E23" w:rsidRDefault="00DB3E23" w:rsidP="00FC4EFB">
      <w:pPr>
        <w:spacing w:line="480" w:lineRule="auto"/>
        <w:jc w:val="both"/>
        <w:rPr>
          <w:lang w:val="sv-SE" w:eastAsia="sv-SE"/>
        </w:rPr>
      </w:pPr>
      <w:r w:rsidRPr="001E2390">
        <w:t>Survival analyses were performed in R (</w:t>
      </w:r>
      <w:proofErr w:type="spellStart"/>
      <w:r w:rsidRPr="001E2390">
        <w:t>ver</w:t>
      </w:r>
      <w:proofErr w:type="spellEnd"/>
      <w:r w:rsidRPr="001E2390">
        <w:t xml:space="preserve"> 3.3.0) using the survival package with overall survival (OS), invasive disease-free survival (IDFS), or distant relapse-free interval (DRFI), as endpoints defined according with the STEEP criteria</w:t>
      </w:r>
      <w:r w:rsidRPr="00F65A41">
        <w:rPr>
          <w:noProof/>
          <w:vertAlign w:val="superscript"/>
        </w:rPr>
        <w:t>37</w:t>
      </w:r>
      <w:r w:rsidRPr="001E2390">
        <w:t xml:space="preserve"> (see Supplementary Information for endpoint definitions and analysis exclusion criteria). Survival curves were compared using Kaplan-Meier estimates and the log-rank test. Hazard ratios were calculated through univariable or multivariable Cox regression using the </w:t>
      </w:r>
      <w:proofErr w:type="spellStart"/>
      <w:r w:rsidRPr="001E2390">
        <w:t>coxph</w:t>
      </w:r>
      <w:proofErr w:type="spellEnd"/>
      <w:r w:rsidRPr="001E2390">
        <w:t xml:space="preserve"> R function. </w:t>
      </w:r>
      <w:r>
        <w:t xml:space="preserve">Harrell’s C-index was computed using the </w:t>
      </w:r>
      <w:proofErr w:type="spellStart"/>
      <w:r>
        <w:t>dynpred</w:t>
      </w:r>
      <w:proofErr w:type="spellEnd"/>
      <w:r>
        <w:t xml:space="preserve"> R package. Statistical comparisons between groups were performed using Wilcoxon’s or Kruskal-Wallis tests for numerical values, or Chi-square test for ordinal values. All p-values reported </w:t>
      </w:r>
      <w:r w:rsidRPr="00AE2828">
        <w:t xml:space="preserve">from statistical tests are two-sided if not otherwise specified. Box-plot elements correspond to: </w:t>
      </w:r>
      <w:proofErr w:type="spellStart"/>
      <w:r w:rsidRPr="00AE2828">
        <w:t>i</w:t>
      </w:r>
      <w:proofErr w:type="spellEnd"/>
      <w:r w:rsidRPr="00AE2828">
        <w:t xml:space="preserve">) </w:t>
      </w:r>
      <w:r w:rsidRPr="00AE2828">
        <w:rPr>
          <w:lang w:val="sv-SE" w:eastAsia="sv-SE"/>
        </w:rPr>
        <w:t xml:space="preserve">center </w:t>
      </w:r>
      <w:proofErr w:type="spellStart"/>
      <w:r w:rsidRPr="00AE2828">
        <w:rPr>
          <w:lang w:val="sv-SE" w:eastAsia="sv-SE"/>
        </w:rPr>
        <w:t>line</w:t>
      </w:r>
      <w:proofErr w:type="spellEnd"/>
      <w:r w:rsidRPr="00AE2828">
        <w:rPr>
          <w:lang w:val="sv-SE" w:eastAsia="sv-SE"/>
        </w:rPr>
        <w:t xml:space="preserve"> = median, ii) box limits = </w:t>
      </w:r>
      <w:proofErr w:type="spellStart"/>
      <w:r w:rsidRPr="00AE2828">
        <w:rPr>
          <w:lang w:val="sv-SE" w:eastAsia="sv-SE"/>
        </w:rPr>
        <w:t>upper</w:t>
      </w:r>
      <w:proofErr w:type="spellEnd"/>
      <w:r w:rsidRPr="00AE2828">
        <w:rPr>
          <w:lang w:val="sv-SE" w:eastAsia="sv-SE"/>
        </w:rPr>
        <w:t xml:space="preserve"> and </w:t>
      </w:r>
      <w:proofErr w:type="spellStart"/>
      <w:r w:rsidRPr="00AE2828">
        <w:rPr>
          <w:lang w:val="sv-SE" w:eastAsia="sv-SE"/>
        </w:rPr>
        <w:t>lower</w:t>
      </w:r>
      <w:proofErr w:type="spellEnd"/>
      <w:r w:rsidRPr="00AE2828">
        <w:rPr>
          <w:lang w:val="sv-SE" w:eastAsia="sv-SE"/>
        </w:rPr>
        <w:t xml:space="preserve"> </w:t>
      </w:r>
      <w:proofErr w:type="spellStart"/>
      <w:r w:rsidRPr="00AE2828">
        <w:rPr>
          <w:lang w:val="sv-SE" w:eastAsia="sv-SE"/>
        </w:rPr>
        <w:t>quartiles</w:t>
      </w:r>
      <w:proofErr w:type="spellEnd"/>
      <w:r w:rsidRPr="00AE2828">
        <w:rPr>
          <w:lang w:val="sv-SE" w:eastAsia="sv-SE"/>
        </w:rPr>
        <w:t xml:space="preserve">, iii) whiskers = 1.5x </w:t>
      </w:r>
      <w:proofErr w:type="spellStart"/>
      <w:r w:rsidRPr="00AE2828">
        <w:rPr>
          <w:lang w:val="sv-SE" w:eastAsia="sv-SE"/>
        </w:rPr>
        <w:t>interquartile</w:t>
      </w:r>
      <w:proofErr w:type="spellEnd"/>
      <w:r w:rsidRPr="00AE2828">
        <w:rPr>
          <w:lang w:val="sv-SE" w:eastAsia="sv-SE"/>
        </w:rPr>
        <w:t xml:space="preserve"> </w:t>
      </w:r>
      <w:proofErr w:type="spellStart"/>
      <w:r w:rsidRPr="00AE2828">
        <w:rPr>
          <w:lang w:val="sv-SE" w:eastAsia="sv-SE"/>
        </w:rPr>
        <w:t>range</w:t>
      </w:r>
      <w:proofErr w:type="spellEnd"/>
    </w:p>
    <w:p w14:paraId="08DBBB94" w14:textId="77777777" w:rsidR="00DB3E23" w:rsidRPr="001E2390" w:rsidRDefault="00DB3E23" w:rsidP="00FC4EFB">
      <w:pPr>
        <w:spacing w:line="480" w:lineRule="auto"/>
        <w:jc w:val="both"/>
      </w:pPr>
    </w:p>
    <w:p w14:paraId="70B7C347" w14:textId="77777777" w:rsidR="00DB3E23" w:rsidRPr="0077266D" w:rsidRDefault="00DB3E23" w:rsidP="00FC4EFB">
      <w:pPr>
        <w:spacing w:line="480" w:lineRule="auto"/>
        <w:jc w:val="both"/>
        <w:rPr>
          <w:i/>
        </w:rPr>
      </w:pPr>
      <w:r w:rsidRPr="0077266D">
        <w:rPr>
          <w:i/>
        </w:rPr>
        <w:t>Data availability statement</w:t>
      </w:r>
    </w:p>
    <w:p w14:paraId="63274628" w14:textId="77777777" w:rsidR="00635AAC" w:rsidRPr="00094B36" w:rsidRDefault="00635AAC" w:rsidP="00635AAC">
      <w:pPr>
        <w:spacing w:line="480" w:lineRule="auto"/>
        <w:rPr>
          <w:rFonts w:eastAsia="Times New Roman"/>
        </w:rPr>
      </w:pPr>
      <w:r w:rsidRPr="00094B36">
        <w:t>Somatic mutational data is available here (</w:t>
      </w:r>
      <w:hyperlink r:id="rId7" w:history="1">
        <w:r w:rsidRPr="00094B36">
          <w:rPr>
            <w:rStyle w:val="Hyperlink"/>
          </w:rPr>
          <w:t>https://data.mendeley.com/datasets/2mn4ctdpxp/1</w:t>
        </w:r>
      </w:hyperlink>
      <w:r w:rsidRPr="00094B36">
        <w:t>)</w:t>
      </w:r>
      <w:r>
        <w:t xml:space="preserve">. </w:t>
      </w:r>
    </w:p>
    <w:p w14:paraId="74BB4ADD" w14:textId="6891ED7C" w:rsidR="00635AAC" w:rsidRPr="001E2390" w:rsidRDefault="00635AAC" w:rsidP="00635AAC">
      <w:pPr>
        <w:spacing w:line="480" w:lineRule="auto"/>
        <w:jc w:val="both"/>
      </w:pPr>
      <w:r w:rsidRPr="00094B36">
        <w:t xml:space="preserve">Raw sequence data may be obtained by contacting Swedish corresponding authors </w:t>
      </w:r>
      <w:r>
        <w:t>with a</w:t>
      </w:r>
      <w:r w:rsidRPr="00094B36">
        <w:t xml:space="preserve"> request that is compliant with Swedish regulations on data protection, ethical permissions and patient consent. </w:t>
      </w:r>
    </w:p>
    <w:p w14:paraId="1991448C" w14:textId="77777777" w:rsidR="00DB3E23" w:rsidRPr="001E2390" w:rsidRDefault="00DB3E23" w:rsidP="000E33D1">
      <w:pPr>
        <w:spacing w:line="480" w:lineRule="auto"/>
        <w:jc w:val="both"/>
      </w:pPr>
    </w:p>
    <w:p w14:paraId="74FF699A" w14:textId="77777777" w:rsidR="0072432B" w:rsidRPr="001E2390" w:rsidRDefault="0072432B" w:rsidP="0072432B">
      <w:pPr>
        <w:spacing w:line="480" w:lineRule="auto"/>
        <w:jc w:val="both"/>
        <w:outlineLvl w:val="0"/>
        <w:rPr>
          <w:b/>
          <w:sz w:val="32"/>
          <w:szCs w:val="32"/>
        </w:rPr>
      </w:pPr>
      <w:r w:rsidRPr="001E2390">
        <w:rPr>
          <w:b/>
          <w:sz w:val="32"/>
          <w:szCs w:val="32"/>
        </w:rPr>
        <w:t>REFERENCES</w:t>
      </w:r>
    </w:p>
    <w:p w14:paraId="05832260" w14:textId="77777777" w:rsidR="0072432B" w:rsidRPr="00EF7B61" w:rsidRDefault="0072432B" w:rsidP="0072432B">
      <w:pPr>
        <w:pStyle w:val="EndNoteBibliography"/>
        <w:ind w:left="720" w:hanging="720"/>
        <w:rPr>
          <w:noProof/>
        </w:rPr>
      </w:pPr>
      <w:r w:rsidRPr="00EF7B61">
        <w:rPr>
          <w:noProof/>
        </w:rPr>
        <w:t>33</w:t>
      </w:r>
      <w:r w:rsidRPr="00EF7B61">
        <w:rPr>
          <w:noProof/>
        </w:rPr>
        <w:tab/>
        <w:t>Saal, L. H.</w:t>
      </w:r>
      <w:r w:rsidRPr="00EF7B61">
        <w:rPr>
          <w:i/>
          <w:noProof/>
        </w:rPr>
        <w:t xml:space="preserve"> et al.</w:t>
      </w:r>
      <w:r w:rsidRPr="00EF7B61">
        <w:rPr>
          <w:noProof/>
        </w:rPr>
        <w:t xml:space="preserve"> The Sweden Cancerome Analysis Network - Breast (SCAN-B) Initiative: a large-scale multicenter infrastructure towards implementation of breast cancer genomic analyses in the clinical routine. </w:t>
      </w:r>
      <w:r w:rsidRPr="00EF7B61">
        <w:rPr>
          <w:i/>
          <w:noProof/>
        </w:rPr>
        <w:t>Genome Med</w:t>
      </w:r>
      <w:r w:rsidRPr="00EF7B61">
        <w:rPr>
          <w:noProof/>
        </w:rPr>
        <w:t xml:space="preserve"> </w:t>
      </w:r>
      <w:r w:rsidRPr="00EF7B61">
        <w:rPr>
          <w:b/>
          <w:noProof/>
        </w:rPr>
        <w:t>7</w:t>
      </w:r>
      <w:r w:rsidRPr="00EF7B61">
        <w:rPr>
          <w:noProof/>
        </w:rPr>
        <w:t>, 20, doi:10.1186/s13073-015-0131-9 (2015).</w:t>
      </w:r>
    </w:p>
    <w:p w14:paraId="12CA5FDF" w14:textId="77777777" w:rsidR="0072432B" w:rsidRPr="00EF7B61" w:rsidRDefault="0072432B" w:rsidP="0072432B">
      <w:pPr>
        <w:pStyle w:val="EndNoteBibliography"/>
        <w:ind w:left="720" w:hanging="720"/>
        <w:rPr>
          <w:noProof/>
        </w:rPr>
      </w:pPr>
      <w:r w:rsidRPr="00EF7B61">
        <w:rPr>
          <w:noProof/>
        </w:rPr>
        <w:t>34</w:t>
      </w:r>
      <w:r w:rsidRPr="00EF7B61">
        <w:rPr>
          <w:noProof/>
        </w:rPr>
        <w:tab/>
        <w:t>Colella, S.</w:t>
      </w:r>
      <w:r w:rsidRPr="00EF7B61">
        <w:rPr>
          <w:i/>
          <w:noProof/>
        </w:rPr>
        <w:t xml:space="preserve"> et al.</w:t>
      </w:r>
      <w:r w:rsidRPr="00EF7B61">
        <w:rPr>
          <w:noProof/>
        </w:rPr>
        <w:t xml:space="preserve"> QuantiSNP: an Objective Bayes Hidden-Markov Model to detect and accurately map copy number variation using SNP genotyping data. </w:t>
      </w:r>
      <w:r w:rsidRPr="00EF7B61">
        <w:rPr>
          <w:i/>
          <w:noProof/>
        </w:rPr>
        <w:t>Nucleic acids research</w:t>
      </w:r>
      <w:r w:rsidRPr="00EF7B61">
        <w:rPr>
          <w:noProof/>
        </w:rPr>
        <w:t xml:space="preserve"> </w:t>
      </w:r>
      <w:r w:rsidRPr="00EF7B61">
        <w:rPr>
          <w:b/>
          <w:noProof/>
        </w:rPr>
        <w:t>35</w:t>
      </w:r>
      <w:r w:rsidRPr="00EF7B61">
        <w:rPr>
          <w:noProof/>
        </w:rPr>
        <w:t>, 2013-2025 (2007).</w:t>
      </w:r>
    </w:p>
    <w:p w14:paraId="78CC9AD1" w14:textId="77777777" w:rsidR="0072432B" w:rsidRPr="00EF7B61" w:rsidRDefault="0072432B" w:rsidP="0072432B">
      <w:pPr>
        <w:pStyle w:val="EndNoteBibliography"/>
        <w:ind w:left="720" w:hanging="720"/>
        <w:rPr>
          <w:noProof/>
        </w:rPr>
      </w:pPr>
      <w:r w:rsidRPr="00EF7B61">
        <w:rPr>
          <w:noProof/>
        </w:rPr>
        <w:t>35</w:t>
      </w:r>
      <w:r w:rsidRPr="00EF7B61">
        <w:rPr>
          <w:noProof/>
        </w:rPr>
        <w:tab/>
        <w:t>Brueffer, C.</w:t>
      </w:r>
      <w:r w:rsidRPr="00EF7B61">
        <w:rPr>
          <w:i/>
          <w:noProof/>
        </w:rPr>
        <w:t xml:space="preserve"> et al.</w:t>
      </w:r>
      <w:r w:rsidRPr="00EF7B61">
        <w:rPr>
          <w:noProof/>
        </w:rPr>
        <w:t xml:space="preserve"> Clinical Value of RNA Sequencing–Based Classifiers for Prediction of the Five Conventional Breast Cancer Biomarkers: A Report From the Population-Based Multicenter Sweden Cancerome Analysis Network—Breast Initiative. </w:t>
      </w:r>
      <w:r w:rsidRPr="00EF7B61">
        <w:rPr>
          <w:i/>
          <w:noProof/>
        </w:rPr>
        <w:t>JCO Precision Oncology</w:t>
      </w:r>
      <w:r w:rsidRPr="00EF7B61">
        <w:rPr>
          <w:noProof/>
        </w:rPr>
        <w:t>, 1-18, doi:10.1200/po.17.00135 (2018).</w:t>
      </w:r>
    </w:p>
    <w:p w14:paraId="5C5C3597" w14:textId="77777777" w:rsidR="0072432B" w:rsidRPr="00EF7B61" w:rsidRDefault="0072432B" w:rsidP="0072432B">
      <w:pPr>
        <w:pStyle w:val="EndNoteBibliography"/>
        <w:ind w:left="720" w:hanging="720"/>
        <w:rPr>
          <w:noProof/>
        </w:rPr>
      </w:pPr>
      <w:r w:rsidRPr="00EF7B61">
        <w:rPr>
          <w:noProof/>
        </w:rPr>
        <w:t>36</w:t>
      </w:r>
      <w:r w:rsidRPr="00EF7B61">
        <w:rPr>
          <w:noProof/>
        </w:rPr>
        <w:tab/>
        <w:t>Chen, X.</w:t>
      </w:r>
      <w:r w:rsidRPr="00EF7B61">
        <w:rPr>
          <w:i/>
          <w:noProof/>
        </w:rPr>
        <w:t xml:space="preserve"> et al.</w:t>
      </w:r>
      <w:r w:rsidRPr="00EF7B61">
        <w:rPr>
          <w:noProof/>
        </w:rPr>
        <w:t xml:space="preserve"> TNBCtype: A Subtyping Tool for Triple-Negative Breast Cancer. </w:t>
      </w:r>
      <w:r w:rsidRPr="00EF7B61">
        <w:rPr>
          <w:i/>
          <w:noProof/>
        </w:rPr>
        <w:t>Cancer Inform</w:t>
      </w:r>
      <w:r w:rsidRPr="00EF7B61">
        <w:rPr>
          <w:noProof/>
        </w:rPr>
        <w:t xml:space="preserve"> </w:t>
      </w:r>
      <w:r w:rsidRPr="00EF7B61">
        <w:rPr>
          <w:b/>
          <w:noProof/>
        </w:rPr>
        <w:t>11</w:t>
      </w:r>
      <w:r w:rsidRPr="00EF7B61">
        <w:rPr>
          <w:noProof/>
        </w:rPr>
        <w:t>, 147-156, doi:10.4137/CIN.S9983 (2012).</w:t>
      </w:r>
    </w:p>
    <w:p w14:paraId="5880D0D3" w14:textId="77777777" w:rsidR="0072432B" w:rsidRPr="00EF7B61" w:rsidRDefault="0072432B" w:rsidP="0072432B">
      <w:pPr>
        <w:pStyle w:val="EndNoteBibliography"/>
        <w:ind w:left="720" w:hanging="720"/>
        <w:rPr>
          <w:noProof/>
        </w:rPr>
      </w:pPr>
      <w:r w:rsidRPr="00EF7B61">
        <w:rPr>
          <w:noProof/>
        </w:rPr>
        <w:t>37</w:t>
      </w:r>
      <w:r w:rsidRPr="00EF7B61">
        <w:rPr>
          <w:noProof/>
        </w:rPr>
        <w:tab/>
        <w:t>Hudis, C. A.</w:t>
      </w:r>
      <w:r w:rsidRPr="00EF7B61">
        <w:rPr>
          <w:i/>
          <w:noProof/>
        </w:rPr>
        <w:t xml:space="preserve"> et al.</w:t>
      </w:r>
      <w:r w:rsidRPr="00EF7B61">
        <w:rPr>
          <w:noProof/>
        </w:rPr>
        <w:t xml:space="preserve"> Proposal for standardized definitions for efficacy end points in adjuvant breast cancer trials: the STEEP system. </w:t>
      </w:r>
      <w:r w:rsidRPr="00EF7B61">
        <w:rPr>
          <w:i/>
          <w:noProof/>
        </w:rPr>
        <w:t>J Clin Oncol</w:t>
      </w:r>
      <w:r w:rsidRPr="00EF7B61">
        <w:rPr>
          <w:noProof/>
        </w:rPr>
        <w:t xml:space="preserve"> </w:t>
      </w:r>
      <w:r w:rsidRPr="00EF7B61">
        <w:rPr>
          <w:b/>
          <w:noProof/>
        </w:rPr>
        <w:t>25</w:t>
      </w:r>
      <w:r w:rsidRPr="00EF7B61">
        <w:rPr>
          <w:noProof/>
        </w:rPr>
        <w:t>, 2127-2132, doi:10.1200/JCO.2006.10.3523 (2007).</w:t>
      </w:r>
    </w:p>
    <w:p w14:paraId="60D808DD" w14:textId="77777777" w:rsidR="00DB3E23" w:rsidRPr="001E2390" w:rsidRDefault="00DB3E23" w:rsidP="00B642FE">
      <w:pPr>
        <w:spacing w:line="480" w:lineRule="auto"/>
        <w:jc w:val="both"/>
      </w:pPr>
    </w:p>
    <w:p w14:paraId="5AD8FACC" w14:textId="77777777" w:rsidR="00DB3E23" w:rsidRPr="001E2390" w:rsidRDefault="00DB3E23" w:rsidP="00B642FE">
      <w:pPr>
        <w:spacing w:line="480" w:lineRule="auto"/>
        <w:jc w:val="both"/>
      </w:pPr>
    </w:p>
    <w:p w14:paraId="511A4F42" w14:textId="77777777" w:rsidR="00DB3E23" w:rsidRPr="001E2390" w:rsidRDefault="00DB3E23" w:rsidP="00897BED">
      <w:pPr>
        <w:spacing w:line="480" w:lineRule="auto"/>
        <w:jc w:val="both"/>
        <w:outlineLvl w:val="0"/>
        <w:rPr>
          <w:b/>
          <w:sz w:val="32"/>
          <w:szCs w:val="32"/>
        </w:rPr>
      </w:pPr>
      <w:r w:rsidRPr="001E2390">
        <w:rPr>
          <w:b/>
          <w:sz w:val="32"/>
          <w:szCs w:val="32"/>
        </w:rPr>
        <w:t>ACKNOWLEDGEMENTS</w:t>
      </w:r>
    </w:p>
    <w:p w14:paraId="795F6712" w14:textId="09937D14" w:rsidR="00DB3E23" w:rsidRPr="001E2390" w:rsidRDefault="00DB3E23" w:rsidP="00556AB8">
      <w:pPr>
        <w:spacing w:line="480" w:lineRule="auto"/>
        <w:jc w:val="both"/>
      </w:pPr>
      <w:r w:rsidRPr="001E2390">
        <w:t xml:space="preserve">The authors would like to acknowledge patients and clinicians participating in the SCAN-B study, the staff at the central SCAN-B laboratory at the </w:t>
      </w:r>
      <w:r>
        <w:t>Division</w:t>
      </w:r>
      <w:r w:rsidRPr="001E2390">
        <w:t xml:space="preserve"> of Oncology and Pathology, Lund University, the Swedish national breast cancer quality registry (NKBC), </w:t>
      </w:r>
      <w:r>
        <w:t xml:space="preserve">RBC Syd, </w:t>
      </w:r>
      <w:r w:rsidRPr="001E2390">
        <w:t>the South Swed</w:t>
      </w:r>
      <w:r>
        <w:t>en</w:t>
      </w:r>
      <w:r w:rsidRPr="001E2390">
        <w:t xml:space="preserve"> Breast Cancer Group (SSBCG), the CASM IT and </w:t>
      </w:r>
      <w:proofErr w:type="spellStart"/>
      <w:r w:rsidR="00635AAC" w:rsidRPr="001E2390">
        <w:t>Wellcome</w:t>
      </w:r>
      <w:proofErr w:type="spellEnd"/>
      <w:r w:rsidR="00635AAC" w:rsidRPr="001E2390">
        <w:t xml:space="preserve"> Sanger Institute </w:t>
      </w:r>
      <w:r w:rsidRPr="001E2390">
        <w:t xml:space="preserve">sequencing team for support, Dr Rebecca Harris for administrative, technical and coordination </w:t>
      </w:r>
      <w:r w:rsidRPr="001E2390">
        <w:lastRenderedPageBreak/>
        <w:t xml:space="preserve">support, Kristina </w:t>
      </w:r>
      <w:proofErr w:type="spellStart"/>
      <w:r w:rsidRPr="001E2390">
        <w:t>Lövgren</w:t>
      </w:r>
      <w:proofErr w:type="spellEnd"/>
      <w:r w:rsidRPr="001E2390">
        <w:t xml:space="preserve"> and Eva </w:t>
      </w:r>
      <w:proofErr w:type="spellStart"/>
      <w:r w:rsidRPr="001E2390">
        <w:t>Rambech</w:t>
      </w:r>
      <w:proofErr w:type="spellEnd"/>
      <w:r w:rsidRPr="001E2390">
        <w:t xml:space="preserve"> for technical assistance with </w:t>
      </w:r>
      <w:proofErr w:type="spellStart"/>
      <w:r w:rsidRPr="001E2390">
        <w:t>MMRd</w:t>
      </w:r>
      <w:proofErr w:type="spellEnd"/>
      <w:r w:rsidRPr="001E2390">
        <w:t xml:space="preserve"> cases, and </w:t>
      </w:r>
      <w:proofErr w:type="spellStart"/>
      <w:r w:rsidRPr="001E2390">
        <w:t>Pär</w:t>
      </w:r>
      <w:proofErr w:type="spellEnd"/>
      <w:r w:rsidRPr="001E2390">
        <w:t xml:space="preserve">-Ola </w:t>
      </w:r>
      <w:proofErr w:type="spellStart"/>
      <w:r w:rsidRPr="001E2390">
        <w:t>Bendahl</w:t>
      </w:r>
      <w:proofErr w:type="spellEnd"/>
      <w:r w:rsidRPr="001E2390">
        <w:t xml:space="preserve"> for statistical comments. </w:t>
      </w:r>
    </w:p>
    <w:p w14:paraId="5C022469" w14:textId="77777777" w:rsidR="00DB3E23" w:rsidRPr="001E2390" w:rsidRDefault="00DB3E23" w:rsidP="00556AB8">
      <w:pPr>
        <w:spacing w:line="480" w:lineRule="auto"/>
        <w:jc w:val="both"/>
      </w:pPr>
    </w:p>
    <w:p w14:paraId="593BA82F" w14:textId="77777777" w:rsidR="00DB3E23" w:rsidRPr="001E2390" w:rsidRDefault="00DB3E23" w:rsidP="00556AB8">
      <w:pPr>
        <w:spacing w:line="480" w:lineRule="auto"/>
        <w:jc w:val="both"/>
      </w:pPr>
    </w:p>
    <w:p w14:paraId="60AFFD52" w14:textId="77777777" w:rsidR="00DB3E23" w:rsidRPr="001E2390" w:rsidRDefault="00DB3E23" w:rsidP="00897BED">
      <w:pPr>
        <w:spacing w:line="480" w:lineRule="auto"/>
        <w:jc w:val="both"/>
        <w:outlineLvl w:val="0"/>
        <w:rPr>
          <w:b/>
          <w:sz w:val="32"/>
          <w:szCs w:val="32"/>
        </w:rPr>
      </w:pPr>
      <w:r w:rsidRPr="001E2390">
        <w:rPr>
          <w:b/>
          <w:sz w:val="32"/>
          <w:szCs w:val="32"/>
        </w:rPr>
        <w:t>FUNDING</w:t>
      </w:r>
    </w:p>
    <w:p w14:paraId="3D61A7E3" w14:textId="77777777" w:rsidR="000D6EAE" w:rsidRPr="001E2390" w:rsidRDefault="000D6EAE" w:rsidP="000D6EAE">
      <w:pPr>
        <w:spacing w:line="480" w:lineRule="auto"/>
        <w:jc w:val="both"/>
      </w:pPr>
      <w:r w:rsidRPr="001E2390">
        <w:t>Financial support for this study was provided by the Swedish Cancer Society</w:t>
      </w:r>
      <w:r>
        <w:t xml:space="preserve"> (</w:t>
      </w:r>
      <w:r>
        <w:rPr>
          <w:rFonts w:eastAsia="Times New Roman"/>
        </w:rPr>
        <w:t>CAN 2016/659, CAN 2018/685, and Senior Investigator Award SIA190013)</w:t>
      </w:r>
      <w:r w:rsidRPr="001E2390">
        <w:t>, the Mrs Berta Kamprad Foundation</w:t>
      </w:r>
      <w:r>
        <w:t xml:space="preserve"> (</w:t>
      </w:r>
      <w:r>
        <w:rPr>
          <w:rFonts w:eastAsia="Times New Roman"/>
        </w:rPr>
        <w:t>FBKS-2018-3-166 and FBKS-2018-4-146</w:t>
      </w:r>
      <w:r>
        <w:t>)</w:t>
      </w:r>
      <w:r w:rsidRPr="001E2390">
        <w:t xml:space="preserve">, the </w:t>
      </w:r>
      <w:proofErr w:type="spellStart"/>
      <w:r w:rsidRPr="001E2390">
        <w:t>Crafoord</w:t>
      </w:r>
      <w:proofErr w:type="spellEnd"/>
      <w:r w:rsidRPr="001E2390">
        <w:t xml:space="preserve"> Foundation</w:t>
      </w:r>
      <w:r>
        <w:t xml:space="preserve"> (</w:t>
      </w:r>
      <w:r>
        <w:rPr>
          <w:rFonts w:eastAsia="Times New Roman"/>
        </w:rPr>
        <w:t>20180543</w:t>
      </w:r>
      <w:r>
        <w:t>)</w:t>
      </w:r>
      <w:r w:rsidRPr="001E2390">
        <w:t>,</w:t>
      </w:r>
      <w:r>
        <w:t xml:space="preserve"> the Swedish Research Council,</w:t>
      </w:r>
      <w:r w:rsidRPr="001E2390">
        <w:t xml:space="preserve"> </w:t>
      </w:r>
      <w:r w:rsidRPr="00D66F5F">
        <w:t>the Lund-Lausanne L2-Bridge/</w:t>
      </w:r>
      <w:proofErr w:type="spellStart"/>
      <w:r w:rsidRPr="00D66F5F">
        <w:t>Biltema</w:t>
      </w:r>
      <w:proofErr w:type="spellEnd"/>
      <w:r w:rsidRPr="00D66F5F">
        <w:t xml:space="preserve"> Foundation</w:t>
      </w:r>
      <w:r>
        <w:t xml:space="preserve"> (</w:t>
      </w:r>
      <w:r>
        <w:rPr>
          <w:rFonts w:eastAsia="Times New Roman"/>
        </w:rPr>
        <w:t>F 2016/1330</w:t>
      </w:r>
      <w:r>
        <w:t>)</w:t>
      </w:r>
      <w:r w:rsidRPr="00D66F5F">
        <w:t xml:space="preserve">, the Mats </w:t>
      </w:r>
      <w:proofErr w:type="spellStart"/>
      <w:r w:rsidRPr="00D66F5F">
        <w:t>Paulsson</w:t>
      </w:r>
      <w:proofErr w:type="spellEnd"/>
      <w:r w:rsidRPr="00D66F5F">
        <w:t xml:space="preserve"> Foundation</w:t>
      </w:r>
      <w:r>
        <w:t xml:space="preserve"> (</w:t>
      </w:r>
      <w:r>
        <w:rPr>
          <w:rFonts w:eastAsia="Times New Roman"/>
        </w:rPr>
        <w:t>IACD 2017</w:t>
      </w:r>
      <w:r>
        <w:t>),</w:t>
      </w:r>
      <w:r w:rsidRPr="001E2390">
        <w:t xml:space="preserve"> the Gustav V:s Jubilee Foundation</w:t>
      </w:r>
      <w:r>
        <w:t xml:space="preserve"> (</w:t>
      </w:r>
      <w:r>
        <w:rPr>
          <w:rStyle w:val="data"/>
          <w:rFonts w:eastAsia="Times New Roman"/>
        </w:rPr>
        <w:t>174271</w:t>
      </w:r>
      <w:r>
        <w:t>)</w:t>
      </w:r>
      <w:r w:rsidRPr="001E2390">
        <w:t>,</w:t>
      </w:r>
      <w:r>
        <w:rPr>
          <w:rFonts w:eastAsia="Times New Roman"/>
        </w:rPr>
        <w:t xml:space="preserve"> Governmental Funding of Clinical Research within the National Health Service (ALF) (2018/40612</w:t>
      </w:r>
      <w:r>
        <w:t>)</w:t>
      </w:r>
      <w:r w:rsidRPr="001E2390">
        <w:t xml:space="preserve">. Whole genome sequencing and analysis was funded by a </w:t>
      </w:r>
      <w:proofErr w:type="spellStart"/>
      <w:r w:rsidRPr="001E2390">
        <w:t>Wellcome</w:t>
      </w:r>
      <w:proofErr w:type="spellEnd"/>
      <w:r w:rsidRPr="001E2390">
        <w:t xml:space="preserve"> Trust Intermediate Clinical Fellowship </w:t>
      </w:r>
      <w:r>
        <w:t>(</w:t>
      </w:r>
      <w:r w:rsidRPr="001E2390">
        <w:t>WT100183MA</w:t>
      </w:r>
      <w:r>
        <w:t>)</w:t>
      </w:r>
      <w:r w:rsidRPr="001E2390">
        <w:t xml:space="preserve"> and a CRUK Advanced Clinician Scientist Award (C60100/A23916) and a CRUK Grand Challenge Award (C60100/A25274). </w:t>
      </w:r>
    </w:p>
    <w:p w14:paraId="4CB0E8A8" w14:textId="77777777" w:rsidR="00DB3E23" w:rsidRPr="001E2390" w:rsidRDefault="00DB3E23" w:rsidP="00556AB8">
      <w:pPr>
        <w:spacing w:line="480" w:lineRule="auto"/>
        <w:jc w:val="both"/>
      </w:pPr>
    </w:p>
    <w:p w14:paraId="39DA4894" w14:textId="77777777" w:rsidR="00DB3E23" w:rsidRPr="001E2390" w:rsidRDefault="00DB3E23" w:rsidP="00556AB8">
      <w:pPr>
        <w:spacing w:line="480" w:lineRule="auto"/>
        <w:jc w:val="both"/>
      </w:pPr>
    </w:p>
    <w:p w14:paraId="061F1D8D" w14:textId="77777777" w:rsidR="00DB3E23" w:rsidRPr="001E2390" w:rsidRDefault="00DB3E23" w:rsidP="00897BED">
      <w:pPr>
        <w:spacing w:line="480" w:lineRule="auto"/>
        <w:jc w:val="both"/>
        <w:outlineLvl w:val="0"/>
        <w:rPr>
          <w:b/>
          <w:sz w:val="32"/>
          <w:szCs w:val="32"/>
        </w:rPr>
      </w:pPr>
      <w:r w:rsidRPr="001E2390">
        <w:rPr>
          <w:b/>
          <w:sz w:val="32"/>
          <w:szCs w:val="32"/>
        </w:rPr>
        <w:t>COMPETING INTERESTS</w:t>
      </w:r>
    </w:p>
    <w:p w14:paraId="72BD5E25" w14:textId="77777777" w:rsidR="00DB3E23" w:rsidRPr="001E2390" w:rsidRDefault="00DB3E23" w:rsidP="00556AB8">
      <w:pPr>
        <w:spacing w:line="480" w:lineRule="auto"/>
        <w:jc w:val="both"/>
      </w:pPr>
      <w:r w:rsidRPr="001E2390">
        <w:rPr>
          <w:rFonts w:eastAsia="Times New Roman"/>
        </w:rPr>
        <w:t xml:space="preserve">D. </w:t>
      </w:r>
      <w:proofErr w:type="spellStart"/>
      <w:r w:rsidRPr="001E2390">
        <w:rPr>
          <w:rFonts w:eastAsia="Times New Roman"/>
        </w:rPr>
        <w:t>Glodzik</w:t>
      </w:r>
      <w:proofErr w:type="spellEnd"/>
      <w:r>
        <w:rPr>
          <w:rFonts w:eastAsia="Times New Roman"/>
        </w:rPr>
        <w:t xml:space="preserve">, H.R. Davies and </w:t>
      </w:r>
      <w:r w:rsidRPr="001E2390">
        <w:rPr>
          <w:rFonts w:eastAsia="Times New Roman"/>
        </w:rPr>
        <w:t xml:space="preserve">S. Nik-Zainal are inventors on a patent encompassing the code and intellectual principle </w:t>
      </w:r>
      <w:r>
        <w:rPr>
          <w:rFonts w:eastAsia="Times New Roman"/>
        </w:rPr>
        <w:t>of</w:t>
      </w:r>
      <w:r w:rsidRPr="001E2390">
        <w:rPr>
          <w:rFonts w:eastAsia="Times New Roman"/>
        </w:rPr>
        <w:t xml:space="preserve"> the HRDetect algorithm.</w:t>
      </w:r>
      <w:r>
        <w:rPr>
          <w:rFonts w:eastAsia="Times New Roman"/>
        </w:rPr>
        <w:t xml:space="preserve"> </w:t>
      </w:r>
      <w:r w:rsidRPr="001E2390">
        <w:rPr>
          <w:rFonts w:eastAsia="Times New Roman"/>
        </w:rPr>
        <w:t xml:space="preserve">The </w:t>
      </w:r>
      <w:r>
        <w:rPr>
          <w:rFonts w:eastAsia="Times New Roman"/>
        </w:rPr>
        <w:t xml:space="preserve">remaining </w:t>
      </w:r>
      <w:r w:rsidRPr="001E2390">
        <w:rPr>
          <w:rFonts w:eastAsia="Times New Roman"/>
        </w:rPr>
        <w:t>authors declare that they have no competing interests.</w:t>
      </w:r>
    </w:p>
    <w:p w14:paraId="65D1ACEC" w14:textId="77777777" w:rsidR="00DB3E23" w:rsidRPr="001E2390" w:rsidRDefault="00DB3E23" w:rsidP="00556AB8">
      <w:pPr>
        <w:spacing w:line="480" w:lineRule="auto"/>
        <w:jc w:val="both"/>
      </w:pPr>
    </w:p>
    <w:p w14:paraId="37E3C0C3" w14:textId="77777777" w:rsidR="00DB3E23" w:rsidRPr="001E2390" w:rsidRDefault="00DB3E23" w:rsidP="00556AB8">
      <w:pPr>
        <w:spacing w:line="480" w:lineRule="auto"/>
        <w:jc w:val="both"/>
      </w:pPr>
    </w:p>
    <w:p w14:paraId="3766C950" w14:textId="77777777" w:rsidR="00DB3E23" w:rsidRPr="001E2390" w:rsidRDefault="00DB3E23" w:rsidP="00897BED">
      <w:pPr>
        <w:spacing w:line="480" w:lineRule="auto"/>
        <w:jc w:val="both"/>
        <w:outlineLvl w:val="0"/>
        <w:rPr>
          <w:b/>
          <w:sz w:val="32"/>
          <w:szCs w:val="32"/>
        </w:rPr>
      </w:pPr>
      <w:r w:rsidRPr="001E2390">
        <w:rPr>
          <w:b/>
          <w:sz w:val="32"/>
          <w:szCs w:val="32"/>
        </w:rPr>
        <w:t>AUTHORS CONTRIBUTIONS</w:t>
      </w:r>
    </w:p>
    <w:p w14:paraId="71A1D714" w14:textId="77777777" w:rsidR="000D6EAE" w:rsidRDefault="000D6EAE" w:rsidP="000D6EAE">
      <w:pPr>
        <w:spacing w:line="480" w:lineRule="auto"/>
        <w:jc w:val="both"/>
      </w:pPr>
      <w:r w:rsidRPr="0019572B">
        <w:rPr>
          <w:i/>
        </w:rPr>
        <w:t>Conception and design</w:t>
      </w:r>
      <w:r>
        <w:t>: J.S., S.N.-Z., A.B.</w:t>
      </w:r>
    </w:p>
    <w:p w14:paraId="68C51944" w14:textId="77777777" w:rsidR="000D6EAE" w:rsidRDefault="000D6EAE" w:rsidP="000D6EAE">
      <w:pPr>
        <w:spacing w:line="480" w:lineRule="auto"/>
        <w:jc w:val="both"/>
      </w:pPr>
      <w:r w:rsidRPr="0019572B">
        <w:rPr>
          <w:i/>
        </w:rPr>
        <w:lastRenderedPageBreak/>
        <w:t>Collection and assembly of data</w:t>
      </w:r>
      <w:r>
        <w:t>: J.S., S.N.-Z., D.G., A.B., C.R., J.V.-C., J.H., C.H.</w:t>
      </w:r>
    </w:p>
    <w:p w14:paraId="6C674168" w14:textId="77777777" w:rsidR="000D6EAE" w:rsidRDefault="000D6EAE" w:rsidP="000D6EAE">
      <w:pPr>
        <w:spacing w:line="480" w:lineRule="auto"/>
        <w:jc w:val="both"/>
      </w:pPr>
      <w:r w:rsidRPr="0019572B">
        <w:rPr>
          <w:i/>
        </w:rPr>
        <w:t>Provision of study material or patients</w:t>
      </w:r>
      <w:r>
        <w:t>: C.L., N.L., L.R., A.B., M.M., A.E., L.H.S., C.H., H.E.</w:t>
      </w:r>
    </w:p>
    <w:p w14:paraId="50452EB6" w14:textId="77777777" w:rsidR="000D6EAE" w:rsidRDefault="000D6EAE" w:rsidP="000D6EAE">
      <w:pPr>
        <w:spacing w:line="480" w:lineRule="auto"/>
        <w:jc w:val="both"/>
      </w:pPr>
      <w:r w:rsidRPr="0019572B">
        <w:rPr>
          <w:i/>
        </w:rPr>
        <w:t>Data analysis and interpretation</w:t>
      </w:r>
      <w:r>
        <w:t>: J.S., D.G., S.N.-Z., H.R.D., T.D.A., A.D., A.K.</w:t>
      </w:r>
    </w:p>
    <w:p w14:paraId="091DE6BE" w14:textId="77777777" w:rsidR="000D6EAE" w:rsidRDefault="000D6EAE" w:rsidP="000D6EAE">
      <w:pPr>
        <w:spacing w:line="480" w:lineRule="auto"/>
        <w:jc w:val="both"/>
      </w:pPr>
      <w:r w:rsidRPr="0019572B">
        <w:rPr>
          <w:i/>
        </w:rPr>
        <w:t>Financial support</w:t>
      </w:r>
      <w:r>
        <w:t>: S.N.-Z., A.B., J.S.</w:t>
      </w:r>
    </w:p>
    <w:p w14:paraId="5B29CCB5" w14:textId="77777777" w:rsidR="000D6EAE" w:rsidRDefault="000D6EAE" w:rsidP="000D6EAE">
      <w:pPr>
        <w:spacing w:line="480" w:lineRule="auto"/>
        <w:jc w:val="both"/>
      </w:pPr>
      <w:r w:rsidRPr="0019572B">
        <w:rPr>
          <w:i/>
        </w:rPr>
        <w:t>Administrative support</w:t>
      </w:r>
      <w:r>
        <w:t>: J.S., S.N.-Z., D.G., J.V.-C., C.H., J.H.</w:t>
      </w:r>
    </w:p>
    <w:p w14:paraId="6D9F12BE" w14:textId="77777777" w:rsidR="000D6EAE" w:rsidRDefault="000D6EAE" w:rsidP="000D6EAE">
      <w:pPr>
        <w:spacing w:line="480" w:lineRule="auto"/>
        <w:jc w:val="both"/>
      </w:pPr>
      <w:r w:rsidRPr="0019572B">
        <w:rPr>
          <w:i/>
        </w:rPr>
        <w:t>Manuscript writing</w:t>
      </w:r>
      <w:r>
        <w:t>: All authors</w:t>
      </w:r>
    </w:p>
    <w:p w14:paraId="0A9EFECF" w14:textId="77777777" w:rsidR="000D6EAE" w:rsidRDefault="000D6EAE" w:rsidP="000D6EAE">
      <w:pPr>
        <w:spacing w:line="480" w:lineRule="auto"/>
        <w:jc w:val="both"/>
      </w:pPr>
      <w:r w:rsidRPr="0019572B">
        <w:rPr>
          <w:i/>
        </w:rPr>
        <w:t>Final approval of manuscript</w:t>
      </w:r>
      <w:r>
        <w:t>: All authors</w:t>
      </w:r>
    </w:p>
    <w:p w14:paraId="10A20160" w14:textId="77777777" w:rsidR="000D6EAE" w:rsidRDefault="000D6EAE" w:rsidP="000D6EAE">
      <w:pPr>
        <w:spacing w:line="480" w:lineRule="auto"/>
        <w:jc w:val="both"/>
      </w:pPr>
      <w:r w:rsidRPr="0019572B">
        <w:rPr>
          <w:i/>
        </w:rPr>
        <w:t>Agree to be accountable for all aspects of the work</w:t>
      </w:r>
      <w:r>
        <w:t>: All authors</w:t>
      </w:r>
    </w:p>
    <w:p w14:paraId="4F2442DE" w14:textId="77777777" w:rsidR="00DB3E23" w:rsidRPr="001E2390" w:rsidRDefault="00DB3E23" w:rsidP="00556AB8">
      <w:pPr>
        <w:spacing w:line="480" w:lineRule="auto"/>
        <w:jc w:val="both"/>
        <w:rPr>
          <w:b/>
          <w:sz w:val="32"/>
          <w:szCs w:val="32"/>
        </w:rPr>
      </w:pPr>
    </w:p>
    <w:p w14:paraId="3D260BD3" w14:textId="77777777" w:rsidR="00DB3E23" w:rsidRPr="00DB6C8A" w:rsidRDefault="00DB3E23" w:rsidP="00897BED">
      <w:pPr>
        <w:spacing w:line="480" w:lineRule="auto"/>
        <w:jc w:val="both"/>
        <w:outlineLvl w:val="0"/>
      </w:pPr>
    </w:p>
    <w:p w14:paraId="77A07AEF" w14:textId="77777777" w:rsidR="00DB3E23" w:rsidRPr="001E2390" w:rsidRDefault="00DB3E23" w:rsidP="00897BED">
      <w:pPr>
        <w:spacing w:line="480" w:lineRule="auto"/>
        <w:jc w:val="both"/>
        <w:outlineLvl w:val="0"/>
        <w:rPr>
          <w:b/>
          <w:sz w:val="32"/>
          <w:szCs w:val="32"/>
        </w:rPr>
      </w:pPr>
      <w:r w:rsidRPr="001E2390">
        <w:rPr>
          <w:b/>
          <w:sz w:val="32"/>
          <w:szCs w:val="32"/>
        </w:rPr>
        <w:t>FIGURE LEGENDS</w:t>
      </w:r>
    </w:p>
    <w:p w14:paraId="6299287F" w14:textId="1A6C3BF9" w:rsidR="00DB3E23" w:rsidRPr="001E2390" w:rsidRDefault="00DB3E23" w:rsidP="00556AB8">
      <w:pPr>
        <w:spacing w:line="480" w:lineRule="auto"/>
        <w:jc w:val="both"/>
      </w:pPr>
      <w:r w:rsidRPr="001E2390">
        <w:rPr>
          <w:b/>
        </w:rPr>
        <w:t>Figure 1. CONSORT diagram of the study.</w:t>
      </w:r>
      <w:r>
        <w:rPr>
          <w:b/>
        </w:rPr>
        <w:t xml:space="preserve"> </w:t>
      </w:r>
      <w:r>
        <w:t xml:space="preserve">CONSORT diagram for patients identified during September </w:t>
      </w:r>
      <w:proofErr w:type="gramStart"/>
      <w:r>
        <w:t>1</w:t>
      </w:r>
      <w:proofErr w:type="gramEnd"/>
      <w:r>
        <w:t xml:space="preserve"> 2010 to March 31 2015 in the Skåne healthcare region with four participating SCAN-B sites: Lund, Malmö, Helsingborg, and Kristianstad.</w:t>
      </w:r>
      <w:r w:rsidRPr="001E2390">
        <w:t xml:space="preserve"> NKBC: Swedish national breast cancer quality registry.</w:t>
      </w:r>
    </w:p>
    <w:p w14:paraId="28B36BC7" w14:textId="77777777" w:rsidR="00DB3E23" w:rsidRPr="001E2390" w:rsidRDefault="00DB3E23" w:rsidP="00556AB8">
      <w:pPr>
        <w:spacing w:line="480" w:lineRule="auto"/>
        <w:jc w:val="both"/>
        <w:rPr>
          <w:b/>
        </w:rPr>
      </w:pPr>
    </w:p>
    <w:p w14:paraId="063A6A64" w14:textId="77777777" w:rsidR="00DB3E23" w:rsidRPr="001E2390" w:rsidRDefault="00DB3E23" w:rsidP="00684A11">
      <w:pPr>
        <w:spacing w:line="480" w:lineRule="auto"/>
        <w:jc w:val="both"/>
        <w:rPr>
          <w:b/>
        </w:rPr>
      </w:pPr>
      <w:r w:rsidRPr="001E2390">
        <w:rPr>
          <w:b/>
        </w:rPr>
        <w:t>Figure 2. HRDetect classification</w:t>
      </w:r>
      <w:r>
        <w:rPr>
          <w:b/>
        </w:rPr>
        <w:t xml:space="preserve"> and genomic characteristics</w:t>
      </w:r>
      <w:r w:rsidRPr="001E2390">
        <w:rPr>
          <w:b/>
        </w:rPr>
        <w:t xml:space="preserve"> in population-based TNBC. </w:t>
      </w:r>
      <w:r w:rsidRPr="001E2390">
        <w:t>(</w:t>
      </w:r>
      <w:r w:rsidRPr="001E2390">
        <w:rPr>
          <w:b/>
        </w:rPr>
        <w:t>A</w:t>
      </w:r>
      <w:r w:rsidRPr="001E2390">
        <w:t>) Bar plot of HRDetect probability obtained in 237 TNBCs</w:t>
      </w:r>
      <w:r>
        <w:t xml:space="preserve"> together with clinical and genomic characteristics obtained from WGS and RNAseq</w:t>
      </w:r>
      <w:r w:rsidRPr="001E2390">
        <w:t xml:space="preserve">. Annotation tracks for samples include </w:t>
      </w:r>
      <w:r>
        <w:t xml:space="preserve">from top to bottom </w:t>
      </w:r>
      <w:r w:rsidRPr="001E2390">
        <w:t>ER IHC scoring</w:t>
      </w:r>
      <w:r>
        <w:t xml:space="preserve">, patient age, </w:t>
      </w:r>
      <w:r w:rsidRPr="001E2390">
        <w:t>the basal-like phenotype from PAM50 classification</w:t>
      </w:r>
      <w:r w:rsidRPr="00A13DA4">
        <w:rPr>
          <w:noProof/>
          <w:vertAlign w:val="superscript"/>
        </w:rPr>
        <w:t>11</w:t>
      </w:r>
      <w:r>
        <w:t xml:space="preserve">, and </w:t>
      </w:r>
      <w:r w:rsidRPr="001E2390">
        <w:t>genetic alterations</w:t>
      </w:r>
      <w:r>
        <w:t xml:space="preserve"> in homologous recombination associated genes (</w:t>
      </w:r>
      <w:r w:rsidRPr="00560F8A">
        <w:rPr>
          <w:i/>
        </w:rPr>
        <w:t>BRCA1</w:t>
      </w:r>
      <w:r>
        <w:t xml:space="preserve">, </w:t>
      </w:r>
      <w:r w:rsidRPr="00560F8A">
        <w:rPr>
          <w:i/>
        </w:rPr>
        <w:t>BRCA2</w:t>
      </w:r>
      <w:r>
        <w:t xml:space="preserve">, </w:t>
      </w:r>
      <w:r w:rsidRPr="00560F8A">
        <w:rPr>
          <w:i/>
        </w:rPr>
        <w:t>PALB2</w:t>
      </w:r>
      <w:r>
        <w:t xml:space="preserve">, </w:t>
      </w:r>
      <w:r w:rsidRPr="00560F8A">
        <w:rPr>
          <w:i/>
        </w:rPr>
        <w:t>RAD51C</w:t>
      </w:r>
      <w:r>
        <w:t>). Further, proportions of mutational and rearrangement signatures and indel patterns are shown as bar plots.</w:t>
      </w:r>
      <w:r w:rsidRPr="001E2390">
        <w:t xml:space="preserve"> </w:t>
      </w:r>
      <w:r>
        <w:t>Mutations and copy number amplifications in key oncogenes and tumor suppressors are represented for individual samples. M</w:t>
      </w:r>
      <w:r w:rsidRPr="001E2390">
        <w:t xml:space="preserve">olecular subtype proportions in HRDetect-high and HRDetect-low cases for PAM50, CIT, IC10, and </w:t>
      </w:r>
      <w:proofErr w:type="spellStart"/>
      <w:r w:rsidRPr="001E2390">
        <w:lastRenderedPageBreak/>
        <w:t>TNBCtype</w:t>
      </w:r>
      <w:proofErr w:type="spellEnd"/>
      <w:r>
        <w:t xml:space="preserve"> are represented by pie charts</w:t>
      </w:r>
      <w:r w:rsidRPr="001E2390">
        <w:t>. Intermediary samples excluded due to low numbers. CIT subtypes</w:t>
      </w:r>
      <w:r w:rsidRPr="00A13DA4">
        <w:rPr>
          <w:noProof/>
          <w:vertAlign w:val="superscript"/>
        </w:rPr>
        <w:t>12</w:t>
      </w:r>
      <w:r w:rsidRPr="001E2390">
        <w:t xml:space="preserve">; </w:t>
      </w:r>
      <w:proofErr w:type="spellStart"/>
      <w:r w:rsidRPr="001E2390">
        <w:t>mApo</w:t>
      </w:r>
      <w:proofErr w:type="spellEnd"/>
      <w:r w:rsidRPr="001E2390">
        <w:t>, molecular apocrine. IC10 subtypes</w:t>
      </w:r>
      <w:r w:rsidRPr="00A13DA4">
        <w:rPr>
          <w:noProof/>
          <w:vertAlign w:val="superscript"/>
        </w:rPr>
        <w:t>15</w:t>
      </w:r>
      <w:r w:rsidRPr="001E2390">
        <w:t>; cl</w:t>
      </w:r>
      <w:r>
        <w:t xml:space="preserve"> (</w:t>
      </w:r>
      <w:proofErr w:type="spellStart"/>
      <w:r>
        <w:t>IntClust</w:t>
      </w:r>
      <w:proofErr w:type="spellEnd"/>
      <w:r>
        <w:t>)</w:t>
      </w:r>
      <w:r w:rsidRPr="001E2390">
        <w:t xml:space="preserve"> 10 corresponding to basal-like tumors by other subtyping schemes.  </w:t>
      </w:r>
      <w:proofErr w:type="spellStart"/>
      <w:r w:rsidRPr="001E2390">
        <w:t>TNBCtype</w:t>
      </w:r>
      <w:proofErr w:type="spellEnd"/>
      <w:r w:rsidRPr="001E2390">
        <w:t xml:space="preserve"> subtypes</w:t>
      </w:r>
      <w:r w:rsidRPr="00A13DA4">
        <w:rPr>
          <w:noProof/>
          <w:vertAlign w:val="superscript"/>
        </w:rPr>
        <w:t>14</w:t>
      </w:r>
      <w:r w:rsidRPr="001E2390">
        <w:t>; BL1, basal-like 1: BL 2, basal-like 2: IM, immunomodulatory: M, mesenchymal: MSL, mesenchymal stem-like: LAR, luminal androgen receptor: UNS, uncertain.</w:t>
      </w:r>
      <w:r>
        <w:t xml:space="preserve"> </w:t>
      </w:r>
      <w:r w:rsidRPr="001E2390">
        <w:t>(</w:t>
      </w:r>
      <w:r w:rsidRPr="001E2390">
        <w:rPr>
          <w:b/>
        </w:rPr>
        <w:t>B</w:t>
      </w:r>
      <w:r w:rsidRPr="001E2390">
        <w:t>)</w:t>
      </w:r>
      <w:r>
        <w:t xml:space="preserve"> </w:t>
      </w:r>
      <w:r w:rsidRPr="001E2390">
        <w:t>Proportions of mutational signature 3</w:t>
      </w:r>
      <w:r>
        <w:t xml:space="preserve"> (in tumors with &gt;20 events)</w:t>
      </w:r>
      <w:r w:rsidRPr="001E2390">
        <w:t xml:space="preserve"> and HRD scores according to </w:t>
      </w:r>
      <w:proofErr w:type="spellStart"/>
      <w:r w:rsidRPr="001E2390">
        <w:t>Telli</w:t>
      </w:r>
      <w:proofErr w:type="spellEnd"/>
      <w:r w:rsidRPr="001E2390">
        <w:t xml:space="preserve"> et al.</w:t>
      </w:r>
      <w:r w:rsidRPr="00A13DA4">
        <w:rPr>
          <w:noProof/>
          <w:vertAlign w:val="superscript"/>
        </w:rPr>
        <w:t>10</w:t>
      </w:r>
      <w:r w:rsidRPr="001E2390">
        <w:t xml:space="preserve"> across subgroups defined first by HRDetect cl</w:t>
      </w:r>
      <w:r>
        <w:t>ass (-low, -intermediate,</w:t>
      </w:r>
      <w:r w:rsidRPr="001E2390">
        <w:t xml:space="preserve"> and </w:t>
      </w:r>
      <w:r>
        <w:t>–</w:t>
      </w:r>
      <w:r w:rsidRPr="001E2390">
        <w:t>high</w:t>
      </w:r>
      <w:r>
        <w:t>)</w:t>
      </w:r>
      <w:r w:rsidRPr="001E2390">
        <w:t xml:space="preserve">, where the </w:t>
      </w:r>
      <w:r>
        <w:t>HRDetect</w:t>
      </w:r>
      <w:r w:rsidRPr="001E2390">
        <w:t xml:space="preserve">-high subgroup is further divided into whether </w:t>
      </w:r>
      <w:r w:rsidRPr="001E2390">
        <w:rPr>
          <w:i/>
        </w:rPr>
        <w:t>BRCA1</w:t>
      </w:r>
      <w:r w:rsidRPr="001E2390">
        <w:t>/</w:t>
      </w:r>
      <w:r w:rsidRPr="001E2390">
        <w:rPr>
          <w:i/>
        </w:rPr>
        <w:t>BRCA2</w:t>
      </w:r>
      <w:r w:rsidRPr="001E2390">
        <w:t xml:space="preserve"> was inactivated by a germline mutation, somatic mutation, promoter hypermethylation, or no mutation was identified.</w:t>
      </w:r>
      <w:r>
        <w:t xml:space="preserve"> Right axes in box-plots shows the number of patients in each group. Box-plot elements correspond</w:t>
      </w:r>
      <w:r w:rsidRPr="00AE2828">
        <w:t xml:space="preserve"> to: </w:t>
      </w:r>
      <w:proofErr w:type="spellStart"/>
      <w:r w:rsidRPr="00AE2828">
        <w:t>i</w:t>
      </w:r>
      <w:proofErr w:type="spellEnd"/>
      <w:r w:rsidRPr="00AE2828">
        <w:t xml:space="preserve">) </w:t>
      </w:r>
      <w:r w:rsidRPr="00AE2828">
        <w:rPr>
          <w:lang w:val="sv-SE" w:eastAsia="sv-SE"/>
        </w:rPr>
        <w:t xml:space="preserve">center </w:t>
      </w:r>
      <w:proofErr w:type="spellStart"/>
      <w:r w:rsidRPr="00AE2828">
        <w:rPr>
          <w:lang w:val="sv-SE" w:eastAsia="sv-SE"/>
        </w:rPr>
        <w:t>line</w:t>
      </w:r>
      <w:proofErr w:type="spellEnd"/>
      <w:r w:rsidRPr="00AE2828">
        <w:rPr>
          <w:lang w:val="sv-SE" w:eastAsia="sv-SE"/>
        </w:rPr>
        <w:t xml:space="preserve"> = median, ii) box limits = </w:t>
      </w:r>
      <w:proofErr w:type="spellStart"/>
      <w:r w:rsidRPr="00AE2828">
        <w:rPr>
          <w:lang w:val="sv-SE" w:eastAsia="sv-SE"/>
        </w:rPr>
        <w:t>upper</w:t>
      </w:r>
      <w:proofErr w:type="spellEnd"/>
      <w:r w:rsidRPr="00AE2828">
        <w:rPr>
          <w:lang w:val="sv-SE" w:eastAsia="sv-SE"/>
        </w:rPr>
        <w:t xml:space="preserve"> and </w:t>
      </w:r>
      <w:proofErr w:type="spellStart"/>
      <w:r w:rsidRPr="00AE2828">
        <w:rPr>
          <w:lang w:val="sv-SE" w:eastAsia="sv-SE"/>
        </w:rPr>
        <w:t>lower</w:t>
      </w:r>
      <w:proofErr w:type="spellEnd"/>
      <w:r w:rsidRPr="00AE2828">
        <w:rPr>
          <w:lang w:val="sv-SE" w:eastAsia="sv-SE"/>
        </w:rPr>
        <w:t xml:space="preserve"> </w:t>
      </w:r>
      <w:proofErr w:type="spellStart"/>
      <w:r w:rsidRPr="00AE2828">
        <w:rPr>
          <w:lang w:val="sv-SE" w:eastAsia="sv-SE"/>
        </w:rPr>
        <w:t>quartiles</w:t>
      </w:r>
      <w:proofErr w:type="spellEnd"/>
      <w:r w:rsidRPr="00AE2828">
        <w:rPr>
          <w:lang w:val="sv-SE" w:eastAsia="sv-SE"/>
        </w:rPr>
        <w:t xml:space="preserve">, iii) whiskers = 1.5x </w:t>
      </w:r>
      <w:proofErr w:type="spellStart"/>
      <w:r w:rsidRPr="00AE2828">
        <w:rPr>
          <w:lang w:val="sv-SE" w:eastAsia="sv-SE"/>
        </w:rPr>
        <w:t>interquartile</w:t>
      </w:r>
      <w:proofErr w:type="spellEnd"/>
      <w:r w:rsidRPr="00AE2828">
        <w:rPr>
          <w:lang w:val="sv-SE" w:eastAsia="sv-SE"/>
        </w:rPr>
        <w:t xml:space="preserve"> </w:t>
      </w:r>
      <w:proofErr w:type="spellStart"/>
      <w:r w:rsidRPr="00AE2828">
        <w:rPr>
          <w:lang w:val="sv-SE" w:eastAsia="sv-SE"/>
        </w:rPr>
        <w:t>range</w:t>
      </w:r>
      <w:proofErr w:type="spellEnd"/>
    </w:p>
    <w:p w14:paraId="0A10418B" w14:textId="77777777" w:rsidR="00DB3E23" w:rsidRPr="001E2390" w:rsidRDefault="00DB3E23" w:rsidP="00556AB8">
      <w:pPr>
        <w:spacing w:line="480" w:lineRule="auto"/>
        <w:jc w:val="both"/>
      </w:pPr>
    </w:p>
    <w:p w14:paraId="2CAF225A" w14:textId="77777777" w:rsidR="00DB3E23" w:rsidRPr="001E2390" w:rsidRDefault="00DB3E23" w:rsidP="00556AB8">
      <w:pPr>
        <w:spacing w:line="480" w:lineRule="auto"/>
        <w:jc w:val="both"/>
        <w:rPr>
          <w:b/>
        </w:rPr>
      </w:pPr>
      <w:r w:rsidRPr="001E2390">
        <w:rPr>
          <w:b/>
        </w:rPr>
        <w:t xml:space="preserve">Figure 3. Genetic characteristics of </w:t>
      </w:r>
      <w:r w:rsidRPr="001E2390">
        <w:rPr>
          <w:b/>
          <w:i/>
        </w:rPr>
        <w:t>RAD51C-</w:t>
      </w:r>
      <w:r w:rsidRPr="001E2390">
        <w:rPr>
          <w:b/>
        </w:rPr>
        <w:t xml:space="preserve"> and </w:t>
      </w:r>
      <w:r w:rsidRPr="001E2390">
        <w:rPr>
          <w:b/>
          <w:i/>
        </w:rPr>
        <w:t>PALB2-</w:t>
      </w:r>
      <w:r w:rsidRPr="001E2390">
        <w:rPr>
          <w:b/>
        </w:rPr>
        <w:t xml:space="preserve"> altered TNBCs.</w:t>
      </w:r>
      <w:r w:rsidRPr="001E2390">
        <w:t xml:space="preserve"> (</w:t>
      </w:r>
      <w:r>
        <w:rPr>
          <w:b/>
        </w:rPr>
        <w:t>A</w:t>
      </w:r>
      <w:r w:rsidRPr="001E2390">
        <w:t xml:space="preserve">) </w:t>
      </w:r>
      <w:proofErr w:type="spellStart"/>
      <w:r>
        <w:t>C</w:t>
      </w:r>
      <w:r w:rsidRPr="001E2390">
        <w:t>irco</w:t>
      </w:r>
      <w:r>
        <w:t>s</w:t>
      </w:r>
      <w:proofErr w:type="spellEnd"/>
      <w:r>
        <w:t xml:space="preserve"> plot</w:t>
      </w:r>
      <w:r w:rsidRPr="001E2390">
        <w:t xml:space="preserve"> of a </w:t>
      </w:r>
      <w:r>
        <w:rPr>
          <w:i/>
        </w:rPr>
        <w:t xml:space="preserve">BRCA1 </w:t>
      </w:r>
      <w:r>
        <w:t>germline altered TNBC</w:t>
      </w:r>
      <w:r w:rsidRPr="001E2390">
        <w:t xml:space="preserve"> case classified as HRDetect-high.</w:t>
      </w:r>
      <w:r>
        <w:t xml:space="preserve"> </w:t>
      </w:r>
      <w:proofErr w:type="spellStart"/>
      <w:r w:rsidRPr="001E2390">
        <w:t>Circos</w:t>
      </w:r>
      <w:proofErr w:type="spellEnd"/>
      <w:r w:rsidRPr="001E2390">
        <w:t xml:space="preserve"> plot depicting from outermost rings heading inwards: Karyotypic ideogram outermost. Base substitutions next, plotted as rainfall plots (log10 </w:t>
      </w:r>
      <w:proofErr w:type="spellStart"/>
      <w:r w:rsidRPr="001E2390">
        <w:t>intermutation</w:t>
      </w:r>
      <w:proofErr w:type="spellEnd"/>
      <w:r w:rsidRPr="001E2390">
        <w:t xml:space="preserve"> distance on radial axis, dot colours: blue, C&gt;A; black, C&gt;G; red, C&gt;T; grey, T&gt;A; green, T&gt;C; pink, T&gt;G). Ring with short green lines, insertions; ring with short red lines, deletions. Major copy number allele ring (green, gain), minor copy number allele ring (red, loss), Central lines represent rearrangements (green, tandem duplications; red, deletions; blue, inversions; grey, </w:t>
      </w:r>
      <w:proofErr w:type="spellStart"/>
      <w:r w:rsidRPr="001E2390">
        <w:t>interchromosomal</w:t>
      </w:r>
      <w:proofErr w:type="spellEnd"/>
      <w:r w:rsidRPr="001E2390">
        <w:t xml:space="preserve"> events</w:t>
      </w:r>
      <w:r>
        <w:t>).</w:t>
      </w:r>
      <w:r w:rsidRPr="001E2390">
        <w:t xml:space="preserve"> (</w:t>
      </w:r>
      <w:r w:rsidRPr="001E2390">
        <w:rPr>
          <w:b/>
        </w:rPr>
        <w:t>B</w:t>
      </w:r>
      <w:r w:rsidRPr="001E2390">
        <w:t xml:space="preserve">) </w:t>
      </w:r>
      <w:proofErr w:type="spellStart"/>
      <w:r w:rsidRPr="001E2390">
        <w:t>Circo</w:t>
      </w:r>
      <w:r>
        <w:t>s</w:t>
      </w:r>
      <w:proofErr w:type="spellEnd"/>
      <w:r>
        <w:t xml:space="preserve"> plot</w:t>
      </w:r>
      <w:r w:rsidRPr="001E2390">
        <w:t xml:space="preserve"> of a </w:t>
      </w:r>
      <w:r>
        <w:rPr>
          <w:i/>
        </w:rPr>
        <w:t xml:space="preserve">BRCA2 </w:t>
      </w:r>
      <w:r>
        <w:t>germline altered TNBC</w:t>
      </w:r>
      <w:r w:rsidRPr="001E2390">
        <w:t xml:space="preserve"> case classified as HRDetect-high. (</w:t>
      </w:r>
      <w:r>
        <w:rPr>
          <w:b/>
        </w:rPr>
        <w:t>C</w:t>
      </w:r>
      <w:r w:rsidRPr="001E2390">
        <w:t xml:space="preserve">) </w:t>
      </w:r>
      <w:proofErr w:type="spellStart"/>
      <w:r w:rsidRPr="001E2390">
        <w:t>Circos</w:t>
      </w:r>
      <w:proofErr w:type="spellEnd"/>
      <w:r w:rsidRPr="001E2390">
        <w:t xml:space="preserve"> plot and mutational signatures of a </w:t>
      </w:r>
      <w:r w:rsidRPr="001E2390">
        <w:rPr>
          <w:i/>
        </w:rPr>
        <w:t>PALB2</w:t>
      </w:r>
      <w:r w:rsidRPr="001E2390">
        <w:t xml:space="preserve"> biallelic altered TNBC case classified as HRDetect-high, histograms below show distribution of substitution signatures</w:t>
      </w:r>
      <w:r>
        <w:t xml:space="preserve"> (left)</w:t>
      </w:r>
      <w:r w:rsidRPr="001E2390">
        <w:t>, rearrangement signatures</w:t>
      </w:r>
      <w:r>
        <w:t xml:space="preserve"> (right)</w:t>
      </w:r>
      <w:r w:rsidRPr="001E2390">
        <w:t>, and deletions and insertions</w:t>
      </w:r>
      <w:r>
        <w:t xml:space="preserve"> (</w:t>
      </w:r>
      <w:proofErr w:type="spellStart"/>
      <w:r>
        <w:t>center</w:t>
      </w:r>
      <w:proofErr w:type="spellEnd"/>
      <w:r>
        <w:t>)</w:t>
      </w:r>
      <w:r w:rsidRPr="001E2390">
        <w:t xml:space="preserve"> as defined in</w:t>
      </w:r>
      <w:r w:rsidRPr="00CF1297">
        <w:rPr>
          <w:noProof/>
          <w:vertAlign w:val="superscript"/>
        </w:rPr>
        <w:t>8</w:t>
      </w:r>
      <w:r w:rsidRPr="001E2390">
        <w:t>. Del: deletion. (</w:t>
      </w:r>
      <w:r>
        <w:rPr>
          <w:b/>
        </w:rPr>
        <w:t>D</w:t>
      </w:r>
      <w:r w:rsidRPr="001E2390">
        <w:t xml:space="preserve">) </w:t>
      </w:r>
      <w:proofErr w:type="spellStart"/>
      <w:r w:rsidRPr="001E2390">
        <w:t>Circos</w:t>
      </w:r>
      <w:proofErr w:type="spellEnd"/>
      <w:r w:rsidRPr="001E2390">
        <w:t xml:space="preserve"> plots and mutational signatures of a </w:t>
      </w:r>
      <w:r w:rsidRPr="001E2390">
        <w:rPr>
          <w:i/>
        </w:rPr>
        <w:t>RAD51C</w:t>
      </w:r>
      <w:r w:rsidRPr="001E2390">
        <w:t xml:space="preserve"> hypermethylated TNBC case classified as </w:t>
      </w:r>
      <w:r w:rsidRPr="001E2390">
        <w:lastRenderedPageBreak/>
        <w:t>HRDetect-high. (</w:t>
      </w:r>
      <w:r>
        <w:rPr>
          <w:b/>
        </w:rPr>
        <w:t>E</w:t>
      </w:r>
      <w:r w:rsidRPr="001E2390">
        <w:t>) Principal component analysis (PCA) of the six normalized HRDetect components</w:t>
      </w:r>
      <w:r w:rsidRPr="00CF1297">
        <w:rPr>
          <w:noProof/>
          <w:vertAlign w:val="superscript"/>
        </w:rPr>
        <w:t>9</w:t>
      </w:r>
      <w:r w:rsidRPr="001E2390">
        <w:t xml:space="preserve"> for the 237 TNBC cases annotated by their </w:t>
      </w:r>
      <w:r w:rsidRPr="0006414C">
        <w:rPr>
          <w:i/>
        </w:rPr>
        <w:t>BRCA1</w:t>
      </w:r>
      <w:r w:rsidRPr="001E2390">
        <w:t xml:space="preserve">, </w:t>
      </w:r>
      <w:r w:rsidRPr="0006414C">
        <w:rPr>
          <w:i/>
        </w:rPr>
        <w:t>BRCA2</w:t>
      </w:r>
      <w:r w:rsidRPr="001E2390">
        <w:t xml:space="preserve">, </w:t>
      </w:r>
      <w:r w:rsidRPr="0006414C">
        <w:rPr>
          <w:i/>
        </w:rPr>
        <w:t>PALB2</w:t>
      </w:r>
      <w:r w:rsidRPr="001E2390">
        <w:t xml:space="preserve">, or </w:t>
      </w:r>
      <w:r w:rsidRPr="0006414C">
        <w:rPr>
          <w:i/>
        </w:rPr>
        <w:t>RAD51C</w:t>
      </w:r>
      <w:r w:rsidRPr="001E2390">
        <w:t xml:space="preserve"> status. The plot displays PCA component 1 and 3 (accounting for 92.3% of variation across the six HRDetect components), showing the separation of biallelic </w:t>
      </w:r>
      <w:r w:rsidRPr="001E2390">
        <w:rPr>
          <w:i/>
        </w:rPr>
        <w:t>BRCA2</w:t>
      </w:r>
      <w:r w:rsidRPr="001E2390">
        <w:t xml:space="preserve">, biallelic </w:t>
      </w:r>
      <w:r w:rsidRPr="001E2390">
        <w:rPr>
          <w:i/>
        </w:rPr>
        <w:t>PALB2</w:t>
      </w:r>
      <w:r w:rsidRPr="001E2390">
        <w:t xml:space="preserve">, and </w:t>
      </w:r>
      <w:r w:rsidRPr="001E2390">
        <w:rPr>
          <w:i/>
        </w:rPr>
        <w:t>RAD51C</w:t>
      </w:r>
      <w:r w:rsidRPr="001E2390">
        <w:t xml:space="preserve"> hypermethylated cases into a common sector</w:t>
      </w:r>
      <w:r>
        <w:t xml:space="preserve"> (light grey)</w:t>
      </w:r>
      <w:r w:rsidRPr="001E2390">
        <w:t xml:space="preserve">, indicating similarities of HRDetect features. </w:t>
      </w:r>
    </w:p>
    <w:p w14:paraId="55C59AA7" w14:textId="77777777" w:rsidR="00DB3E23" w:rsidRPr="001E2390" w:rsidRDefault="00DB3E23" w:rsidP="00556AB8">
      <w:pPr>
        <w:spacing w:line="480" w:lineRule="auto"/>
        <w:jc w:val="both"/>
        <w:rPr>
          <w:b/>
        </w:rPr>
      </w:pPr>
    </w:p>
    <w:p w14:paraId="18CAEF35" w14:textId="77777777" w:rsidR="00DB3E23" w:rsidRPr="001E2390" w:rsidRDefault="00DB3E23" w:rsidP="00556AB8">
      <w:pPr>
        <w:spacing w:line="480" w:lineRule="auto"/>
        <w:jc w:val="both"/>
        <w:rPr>
          <w:b/>
        </w:rPr>
      </w:pPr>
      <w:r w:rsidRPr="001E2390">
        <w:rPr>
          <w:b/>
        </w:rPr>
        <w:t xml:space="preserve">Figure 4. Association of HRDetect classification with clinical outcomes in an unselected population-based TNBC cohort. </w:t>
      </w:r>
    </w:p>
    <w:p w14:paraId="25F4F87E" w14:textId="020B509E" w:rsidR="00DB3E23" w:rsidRPr="00026C79" w:rsidRDefault="00DB3E23" w:rsidP="00635AAC">
      <w:pPr>
        <w:spacing w:line="480" w:lineRule="auto"/>
        <w:jc w:val="both"/>
        <w:rPr>
          <w:b/>
          <w:sz w:val="32"/>
          <w:szCs w:val="32"/>
        </w:rPr>
      </w:pPr>
      <w:r w:rsidRPr="001E2390">
        <w:t>Kaplan-Meier analysis of association with outcome for HRDetect classification in TNBC patients treated with standard-of-care adjuvant chemotherapy (ACT) for (</w:t>
      </w:r>
      <w:r w:rsidRPr="001E2390">
        <w:rPr>
          <w:b/>
        </w:rPr>
        <w:t>A</w:t>
      </w:r>
      <w:r w:rsidRPr="001E2390">
        <w:t>) distant relapse-free interval (DRFI) as endpoint, (</w:t>
      </w:r>
      <w:r w:rsidRPr="001E2390">
        <w:rPr>
          <w:b/>
        </w:rPr>
        <w:t>B</w:t>
      </w:r>
      <w:r w:rsidRPr="001E2390">
        <w:t>) invasive disease-free survival (IDFS) as endpoint, and (</w:t>
      </w:r>
      <w:r w:rsidRPr="001E2390">
        <w:rPr>
          <w:b/>
        </w:rPr>
        <w:t>C</w:t>
      </w:r>
      <w:r w:rsidRPr="001E2390">
        <w:t xml:space="preserve">) </w:t>
      </w:r>
      <w:r>
        <w:t>overall survival (OS)</w:t>
      </w:r>
      <w:r w:rsidRPr="001E2390">
        <w:t xml:space="preserve"> as endpoint. (</w:t>
      </w:r>
      <w:r w:rsidRPr="001E2390">
        <w:rPr>
          <w:b/>
        </w:rPr>
        <w:t>D</w:t>
      </w:r>
      <w:r w:rsidRPr="001E2390">
        <w:t>)</w:t>
      </w:r>
      <w:r>
        <w:t xml:space="preserve"> I</w:t>
      </w:r>
      <w:r w:rsidRPr="001E2390">
        <w:t>nvasive disease-free survival (IDFS) as endpoint</w:t>
      </w:r>
      <w:r>
        <w:t xml:space="preserve"> showing both </w:t>
      </w:r>
      <w:proofErr w:type="spellStart"/>
      <w:r>
        <w:t>adjuvantly</w:t>
      </w:r>
      <w:proofErr w:type="spellEnd"/>
      <w:r>
        <w:t xml:space="preserve"> treated and untreated patients stratified by HRDetect status.</w:t>
      </w:r>
      <w:r w:rsidRPr="001E2390">
        <w:t xml:space="preserve"> (</w:t>
      </w:r>
      <w:r>
        <w:rPr>
          <w:b/>
        </w:rPr>
        <w:t>E</w:t>
      </w:r>
      <w:r w:rsidRPr="001E2390">
        <w:t>)</w:t>
      </w:r>
      <w:r>
        <w:t xml:space="preserve"> Distribution of patient age between HRDetect high and low groups stratified by treatment and eligibility for IDFS analysis. Box-plot elements correspond</w:t>
      </w:r>
      <w:r w:rsidRPr="00AE2828">
        <w:t xml:space="preserve"> to: </w:t>
      </w:r>
      <w:proofErr w:type="spellStart"/>
      <w:r w:rsidRPr="00AE2828">
        <w:t>i</w:t>
      </w:r>
      <w:proofErr w:type="spellEnd"/>
      <w:r w:rsidRPr="00AE2828">
        <w:t xml:space="preserve">) </w:t>
      </w:r>
      <w:r w:rsidRPr="00AE2828">
        <w:rPr>
          <w:lang w:val="sv-SE" w:eastAsia="sv-SE"/>
        </w:rPr>
        <w:t xml:space="preserve">center </w:t>
      </w:r>
      <w:proofErr w:type="spellStart"/>
      <w:r w:rsidRPr="00AE2828">
        <w:rPr>
          <w:lang w:val="sv-SE" w:eastAsia="sv-SE"/>
        </w:rPr>
        <w:t>line</w:t>
      </w:r>
      <w:proofErr w:type="spellEnd"/>
      <w:r w:rsidRPr="00AE2828">
        <w:rPr>
          <w:lang w:val="sv-SE" w:eastAsia="sv-SE"/>
        </w:rPr>
        <w:t xml:space="preserve"> = median, ii) box limits = </w:t>
      </w:r>
      <w:proofErr w:type="spellStart"/>
      <w:r w:rsidRPr="00AE2828">
        <w:rPr>
          <w:lang w:val="sv-SE" w:eastAsia="sv-SE"/>
        </w:rPr>
        <w:t>upper</w:t>
      </w:r>
      <w:proofErr w:type="spellEnd"/>
      <w:r w:rsidRPr="00AE2828">
        <w:rPr>
          <w:lang w:val="sv-SE" w:eastAsia="sv-SE"/>
        </w:rPr>
        <w:t xml:space="preserve"> and </w:t>
      </w:r>
      <w:proofErr w:type="spellStart"/>
      <w:r w:rsidRPr="00AE2828">
        <w:rPr>
          <w:lang w:val="sv-SE" w:eastAsia="sv-SE"/>
        </w:rPr>
        <w:t>lower</w:t>
      </w:r>
      <w:proofErr w:type="spellEnd"/>
      <w:r w:rsidRPr="00AE2828">
        <w:rPr>
          <w:lang w:val="sv-SE" w:eastAsia="sv-SE"/>
        </w:rPr>
        <w:t xml:space="preserve"> </w:t>
      </w:r>
      <w:proofErr w:type="spellStart"/>
      <w:r w:rsidRPr="00AE2828">
        <w:rPr>
          <w:lang w:val="sv-SE" w:eastAsia="sv-SE"/>
        </w:rPr>
        <w:t>quartiles</w:t>
      </w:r>
      <w:proofErr w:type="spellEnd"/>
      <w:r w:rsidRPr="00AE2828">
        <w:rPr>
          <w:lang w:val="sv-SE" w:eastAsia="sv-SE"/>
        </w:rPr>
        <w:t xml:space="preserve">, iii) whiskers = 1.5x </w:t>
      </w:r>
      <w:proofErr w:type="spellStart"/>
      <w:r w:rsidRPr="00AE2828">
        <w:rPr>
          <w:lang w:val="sv-SE" w:eastAsia="sv-SE"/>
        </w:rPr>
        <w:t>interquartile</w:t>
      </w:r>
      <w:proofErr w:type="spellEnd"/>
      <w:r w:rsidRPr="00AE2828">
        <w:rPr>
          <w:lang w:val="sv-SE" w:eastAsia="sv-SE"/>
        </w:rPr>
        <w:t xml:space="preserve"> </w:t>
      </w:r>
      <w:proofErr w:type="spellStart"/>
      <w:r w:rsidRPr="00AE2828">
        <w:rPr>
          <w:lang w:val="sv-SE" w:eastAsia="sv-SE"/>
        </w:rPr>
        <w:t>range</w:t>
      </w:r>
      <w:proofErr w:type="spellEnd"/>
      <w:r>
        <w:rPr>
          <w:lang w:val="sv-SE" w:eastAsia="sv-SE"/>
        </w:rPr>
        <w:t>.</w:t>
      </w:r>
      <w:r>
        <w:t xml:space="preserve"> Right axis provides number of patients in each group.</w:t>
      </w:r>
      <w:r w:rsidRPr="001E2390">
        <w:t xml:space="preserve"> (</w:t>
      </w:r>
      <w:r>
        <w:rPr>
          <w:b/>
        </w:rPr>
        <w:t>F</w:t>
      </w:r>
      <w:r w:rsidRPr="001E2390">
        <w:t xml:space="preserve">) Kaplan-Meier analysis of association with IDFS of HRDetect-high group demonstrating no significant difference between subjects where </w:t>
      </w:r>
      <w:r w:rsidRPr="00635AAC">
        <w:rPr>
          <w:i/>
        </w:rPr>
        <w:t>BRCA</w:t>
      </w:r>
      <w:r w:rsidRPr="001E2390">
        <w:t xml:space="preserve"> alterations were and were not identified. </w:t>
      </w:r>
      <w:r>
        <w:t>All p-values in panels A-F were calculated using the log-rank test and are two-sided.</w:t>
      </w:r>
    </w:p>
    <w:p w14:paraId="41EDC8D3" w14:textId="77777777" w:rsidR="00E8591D" w:rsidRDefault="00E8591D"/>
    <w:sectPr w:rsidR="00E8591D" w:rsidSect="00CA0407">
      <w:headerReference w:type="default" r:id="rId8"/>
      <w:footerReference w:type="even" r:id="rId9"/>
      <w:footerReference w:type="default" r:id="rId10"/>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5BC407" w14:textId="77777777" w:rsidR="005E1ACD" w:rsidRDefault="005E1ACD">
      <w:r>
        <w:separator/>
      </w:r>
    </w:p>
  </w:endnote>
  <w:endnote w:type="continuationSeparator" w:id="0">
    <w:p w14:paraId="155D4425" w14:textId="77777777" w:rsidR="005E1ACD" w:rsidRDefault="005E1A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4E"/>
    <w:family w:val="auto"/>
    <w:pitch w:val="variable"/>
    <w:sig w:usb0="00000001" w:usb1="08070000" w:usb2="00000010" w:usb3="00000000" w:csb0="0002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00"/>
    <w:family w:val="auto"/>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2086D4" w14:textId="77777777" w:rsidR="00F65BD4" w:rsidRDefault="0072432B" w:rsidP="0028571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8E12C56" w14:textId="77777777" w:rsidR="00F65BD4" w:rsidRDefault="005E1ACD" w:rsidP="00E83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7D0F46" w14:textId="77777777" w:rsidR="00F65BD4" w:rsidRDefault="0072432B" w:rsidP="0028571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22DAB">
      <w:rPr>
        <w:rStyle w:val="PageNumber"/>
        <w:noProof/>
      </w:rPr>
      <w:t>21</w:t>
    </w:r>
    <w:r>
      <w:rPr>
        <w:rStyle w:val="PageNumber"/>
      </w:rPr>
      <w:fldChar w:fldCharType="end"/>
    </w:r>
  </w:p>
  <w:p w14:paraId="2BBFDBE1" w14:textId="77777777" w:rsidR="00F65BD4" w:rsidRDefault="005E1ACD" w:rsidP="00E83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D04F9F" w14:textId="77777777" w:rsidR="005E1ACD" w:rsidRDefault="005E1ACD">
      <w:r>
        <w:separator/>
      </w:r>
    </w:p>
  </w:footnote>
  <w:footnote w:type="continuationSeparator" w:id="0">
    <w:p w14:paraId="7353621F" w14:textId="77777777" w:rsidR="005E1ACD" w:rsidRDefault="005E1A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9EE878" w14:textId="77777777" w:rsidR="00F65BD4" w:rsidRDefault="0072432B">
    <w:pPr>
      <w:pStyle w:val="Header"/>
    </w:pPr>
    <w:r w:rsidRPr="00B62850">
      <w:rPr>
        <w:rFonts w:ascii="Calibri" w:hAnsi="Calibri" w:cs="Calibri"/>
        <w:b/>
        <w:color w:val="212121"/>
        <w:sz w:val="22"/>
        <w:szCs w:val="22"/>
        <w:shd w:val="clear" w:color="auto" w:fill="FFFFFF"/>
      </w:rPr>
      <w:t>NMED-A97406-T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BD252A"/>
    <w:multiLevelType w:val="hybridMultilevel"/>
    <w:tmpl w:val="B2BC88A4"/>
    <w:lvl w:ilvl="0" w:tplc="C3B6BDC4">
      <w:start w:val="254"/>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B5C70C0"/>
    <w:multiLevelType w:val="hybridMultilevel"/>
    <w:tmpl w:val="4E20ADDE"/>
    <w:lvl w:ilvl="0" w:tplc="A306C320">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08611B6"/>
    <w:multiLevelType w:val="hybridMultilevel"/>
    <w:tmpl w:val="138072CA"/>
    <w:lvl w:ilvl="0" w:tplc="EFD4457C">
      <w:start w:val="1"/>
      <w:numFmt w:val="decimal"/>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3" w15:restartNumberingAfterBreak="0">
    <w:nsid w:val="25F90D4A"/>
    <w:multiLevelType w:val="hybridMultilevel"/>
    <w:tmpl w:val="4DDEB36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71B6FE5"/>
    <w:multiLevelType w:val="hybridMultilevel"/>
    <w:tmpl w:val="59ACA43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D855A4"/>
    <w:multiLevelType w:val="hybridMultilevel"/>
    <w:tmpl w:val="60E24D6A"/>
    <w:lvl w:ilvl="0" w:tplc="DA243478">
      <w:start w:val="256"/>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CBD00A0"/>
    <w:multiLevelType w:val="hybridMultilevel"/>
    <w:tmpl w:val="4F04E5D8"/>
    <w:lvl w:ilvl="0" w:tplc="488CA84E">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EFE0A83"/>
    <w:multiLevelType w:val="hybridMultilevel"/>
    <w:tmpl w:val="5220E504"/>
    <w:lvl w:ilvl="0" w:tplc="79BEE950">
      <w:start w:val="2"/>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1A8348B"/>
    <w:multiLevelType w:val="hybridMultilevel"/>
    <w:tmpl w:val="5720C274"/>
    <w:lvl w:ilvl="0" w:tplc="1B5AA2A6">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47E0EBE"/>
    <w:multiLevelType w:val="hybridMultilevel"/>
    <w:tmpl w:val="14C64E1C"/>
    <w:lvl w:ilvl="0" w:tplc="FDC4FAB8">
      <w:numFmt w:val="bullet"/>
      <w:lvlText w:val="-"/>
      <w:lvlJc w:val="left"/>
      <w:pPr>
        <w:ind w:left="720" w:hanging="360"/>
      </w:pPr>
      <w:rPr>
        <w:rFonts w:ascii="Cambria" w:eastAsiaTheme="minorEastAsia" w:hAnsi="Cambria" w:cstheme="minorBidi"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C731CCC"/>
    <w:multiLevelType w:val="hybridMultilevel"/>
    <w:tmpl w:val="88D0FDEE"/>
    <w:lvl w:ilvl="0" w:tplc="EC0AC816">
      <w:start w:val="256"/>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55393728"/>
    <w:multiLevelType w:val="hybridMultilevel"/>
    <w:tmpl w:val="6EB2F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B22F88"/>
    <w:multiLevelType w:val="hybridMultilevel"/>
    <w:tmpl w:val="AAB67AD6"/>
    <w:lvl w:ilvl="0" w:tplc="DAD6C8B6">
      <w:start w:val="254"/>
      <w:numFmt w:val="bullet"/>
      <w:lvlText w:val="-"/>
      <w:lvlJc w:val="left"/>
      <w:pPr>
        <w:ind w:left="720" w:hanging="360"/>
      </w:pPr>
      <w:rPr>
        <w:rFonts w:ascii="Cambria" w:eastAsiaTheme="minorEastAsia" w:hAnsi="Cambria" w:cstheme="minorBidi"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8"/>
  </w:num>
  <w:num w:numId="4">
    <w:abstractNumId w:val="0"/>
  </w:num>
  <w:num w:numId="5">
    <w:abstractNumId w:val="12"/>
  </w:num>
  <w:num w:numId="6">
    <w:abstractNumId w:val="1"/>
  </w:num>
  <w:num w:numId="7">
    <w:abstractNumId w:val="7"/>
  </w:num>
  <w:num w:numId="8">
    <w:abstractNumId w:val="3"/>
  </w:num>
  <w:num w:numId="9">
    <w:abstractNumId w:val="6"/>
  </w:num>
  <w:num w:numId="10">
    <w:abstractNumId w:val="2"/>
  </w:num>
  <w:num w:numId="11">
    <w:abstractNumId w:val="4"/>
  </w:num>
  <w:num w:numId="12">
    <w:abstractNumId w:val="1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2"/>
  <w:proofState w:spelling="clean" w:grammar="clean"/>
  <w:trackRevisions/>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DB3E23"/>
    <w:rsid w:val="000854AD"/>
    <w:rsid w:val="000D6EAE"/>
    <w:rsid w:val="00125569"/>
    <w:rsid w:val="002A5988"/>
    <w:rsid w:val="00345822"/>
    <w:rsid w:val="00385E20"/>
    <w:rsid w:val="003C276B"/>
    <w:rsid w:val="005E1ACD"/>
    <w:rsid w:val="00635AAC"/>
    <w:rsid w:val="0072432B"/>
    <w:rsid w:val="00822DAB"/>
    <w:rsid w:val="009C27E9"/>
    <w:rsid w:val="009F5EF8"/>
    <w:rsid w:val="00AD1CA2"/>
    <w:rsid w:val="00CA0407"/>
    <w:rsid w:val="00CF41D0"/>
    <w:rsid w:val="00DB3E23"/>
    <w:rsid w:val="00E8591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1AE47E5"/>
  <w14:defaultImageDpi w14:val="300"/>
  <w15:docId w15:val="{76ED5C31-637B-3D45-A3F5-67795702C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3E23"/>
    <w:rPr>
      <w:rFonts w:ascii="Times New Roman" w:hAnsi="Times New Roman" w:cs="Times New Roman"/>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B3E23"/>
    <w:pPr>
      <w:tabs>
        <w:tab w:val="center" w:pos="4703"/>
        <w:tab w:val="right" w:pos="9406"/>
      </w:tabs>
    </w:pPr>
    <w:rPr>
      <w:rFonts w:asciiTheme="minorHAnsi" w:hAnsiTheme="minorHAnsi" w:cstheme="minorBidi"/>
      <w:lang w:val="en-US" w:eastAsia="sv-SE"/>
    </w:rPr>
  </w:style>
  <w:style w:type="character" w:customStyle="1" w:styleId="FooterChar">
    <w:name w:val="Footer Char"/>
    <w:basedOn w:val="DefaultParagraphFont"/>
    <w:link w:val="Footer"/>
    <w:uiPriority w:val="99"/>
    <w:rsid w:val="00DB3E23"/>
  </w:style>
  <w:style w:type="character" w:styleId="PageNumber">
    <w:name w:val="page number"/>
    <w:basedOn w:val="DefaultParagraphFont"/>
    <w:uiPriority w:val="99"/>
    <w:semiHidden/>
    <w:unhideWhenUsed/>
    <w:rsid w:val="00DB3E23"/>
  </w:style>
  <w:style w:type="paragraph" w:styleId="Header">
    <w:name w:val="header"/>
    <w:basedOn w:val="Normal"/>
    <w:link w:val="HeaderChar"/>
    <w:uiPriority w:val="99"/>
    <w:unhideWhenUsed/>
    <w:rsid w:val="00DB3E23"/>
    <w:pPr>
      <w:tabs>
        <w:tab w:val="center" w:pos="4703"/>
        <w:tab w:val="right" w:pos="9406"/>
      </w:tabs>
    </w:pPr>
    <w:rPr>
      <w:rFonts w:asciiTheme="minorHAnsi" w:hAnsiTheme="minorHAnsi" w:cstheme="minorBidi"/>
      <w:lang w:val="en-US" w:eastAsia="sv-SE"/>
    </w:rPr>
  </w:style>
  <w:style w:type="character" w:customStyle="1" w:styleId="HeaderChar">
    <w:name w:val="Header Char"/>
    <w:basedOn w:val="DefaultParagraphFont"/>
    <w:link w:val="Header"/>
    <w:uiPriority w:val="99"/>
    <w:rsid w:val="00DB3E23"/>
  </w:style>
  <w:style w:type="paragraph" w:customStyle="1" w:styleId="EndNoteBibliographyTitle">
    <w:name w:val="EndNote Bibliography Title"/>
    <w:basedOn w:val="Normal"/>
    <w:rsid w:val="00DB3E23"/>
    <w:pPr>
      <w:jc w:val="center"/>
    </w:pPr>
    <w:rPr>
      <w:rFonts w:ascii="Cambria" w:hAnsi="Cambria" w:cstheme="minorBidi"/>
      <w:lang w:val="sv-SE" w:eastAsia="sv-SE"/>
    </w:rPr>
  </w:style>
  <w:style w:type="paragraph" w:customStyle="1" w:styleId="EndNoteBibliography">
    <w:name w:val="EndNote Bibliography"/>
    <w:basedOn w:val="Normal"/>
    <w:rsid w:val="00DB3E23"/>
    <w:rPr>
      <w:rFonts w:ascii="Cambria" w:hAnsi="Cambria" w:cstheme="minorBidi"/>
      <w:lang w:val="sv-SE" w:eastAsia="sv-SE"/>
    </w:rPr>
  </w:style>
  <w:style w:type="paragraph" w:styleId="ListParagraph">
    <w:name w:val="List Paragraph"/>
    <w:basedOn w:val="Normal"/>
    <w:uiPriority w:val="34"/>
    <w:qFormat/>
    <w:rsid w:val="00DB3E23"/>
    <w:pPr>
      <w:ind w:left="720"/>
      <w:contextualSpacing/>
    </w:pPr>
    <w:rPr>
      <w:rFonts w:asciiTheme="minorHAnsi" w:hAnsiTheme="minorHAnsi" w:cstheme="minorBidi"/>
      <w:lang w:val="en-US" w:eastAsia="sv-SE"/>
    </w:rPr>
  </w:style>
  <w:style w:type="character" w:styleId="CommentReference">
    <w:name w:val="annotation reference"/>
    <w:basedOn w:val="DefaultParagraphFont"/>
    <w:uiPriority w:val="99"/>
    <w:semiHidden/>
    <w:unhideWhenUsed/>
    <w:rsid w:val="00DB3E23"/>
    <w:rPr>
      <w:sz w:val="18"/>
      <w:szCs w:val="18"/>
    </w:rPr>
  </w:style>
  <w:style w:type="paragraph" w:styleId="CommentText">
    <w:name w:val="annotation text"/>
    <w:basedOn w:val="Normal"/>
    <w:link w:val="CommentTextChar"/>
    <w:uiPriority w:val="99"/>
    <w:semiHidden/>
    <w:unhideWhenUsed/>
    <w:rsid w:val="00DB3E23"/>
    <w:rPr>
      <w:rFonts w:asciiTheme="minorHAnsi" w:hAnsiTheme="minorHAnsi" w:cstheme="minorBidi"/>
      <w:lang w:val="en-US" w:eastAsia="sv-SE"/>
    </w:rPr>
  </w:style>
  <w:style w:type="character" w:customStyle="1" w:styleId="CommentTextChar">
    <w:name w:val="Comment Text Char"/>
    <w:basedOn w:val="DefaultParagraphFont"/>
    <w:link w:val="CommentText"/>
    <w:uiPriority w:val="99"/>
    <w:semiHidden/>
    <w:rsid w:val="00DB3E23"/>
  </w:style>
  <w:style w:type="paragraph" w:styleId="CommentSubject">
    <w:name w:val="annotation subject"/>
    <w:basedOn w:val="CommentText"/>
    <w:next w:val="CommentText"/>
    <w:link w:val="CommentSubjectChar"/>
    <w:uiPriority w:val="99"/>
    <w:semiHidden/>
    <w:unhideWhenUsed/>
    <w:rsid w:val="00DB3E23"/>
    <w:rPr>
      <w:b/>
      <w:bCs/>
      <w:sz w:val="20"/>
      <w:szCs w:val="20"/>
    </w:rPr>
  </w:style>
  <w:style w:type="character" w:customStyle="1" w:styleId="CommentSubjectChar">
    <w:name w:val="Comment Subject Char"/>
    <w:basedOn w:val="CommentTextChar"/>
    <w:link w:val="CommentSubject"/>
    <w:uiPriority w:val="99"/>
    <w:semiHidden/>
    <w:rsid w:val="00DB3E23"/>
    <w:rPr>
      <w:b/>
      <w:bCs/>
      <w:sz w:val="20"/>
      <w:szCs w:val="20"/>
    </w:rPr>
  </w:style>
  <w:style w:type="paragraph" w:styleId="BalloonText">
    <w:name w:val="Balloon Text"/>
    <w:basedOn w:val="Normal"/>
    <w:link w:val="BalloonTextChar"/>
    <w:uiPriority w:val="99"/>
    <w:semiHidden/>
    <w:unhideWhenUsed/>
    <w:rsid w:val="00DB3E23"/>
    <w:rPr>
      <w:rFonts w:ascii="Lucida Grande" w:hAnsi="Lucida Grande" w:cs="Lucida Grande"/>
      <w:sz w:val="18"/>
      <w:szCs w:val="18"/>
      <w:lang w:val="en-US" w:eastAsia="sv-SE"/>
    </w:rPr>
  </w:style>
  <w:style w:type="character" w:customStyle="1" w:styleId="BalloonTextChar">
    <w:name w:val="Balloon Text Char"/>
    <w:basedOn w:val="DefaultParagraphFont"/>
    <w:link w:val="BalloonText"/>
    <w:uiPriority w:val="99"/>
    <w:semiHidden/>
    <w:rsid w:val="00DB3E23"/>
    <w:rPr>
      <w:rFonts w:ascii="Lucida Grande" w:hAnsi="Lucida Grande" w:cs="Lucida Grande"/>
      <w:sz w:val="18"/>
      <w:szCs w:val="18"/>
    </w:rPr>
  </w:style>
  <w:style w:type="table" w:styleId="TableGrid">
    <w:name w:val="Table Grid"/>
    <w:basedOn w:val="TableNormal"/>
    <w:uiPriority w:val="59"/>
    <w:rsid w:val="00DB3E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B3E23"/>
  </w:style>
  <w:style w:type="character" w:styleId="HTMLCite">
    <w:name w:val="HTML Cite"/>
    <w:basedOn w:val="DefaultParagraphFont"/>
    <w:uiPriority w:val="99"/>
    <w:semiHidden/>
    <w:unhideWhenUsed/>
    <w:rsid w:val="00DB3E23"/>
    <w:rPr>
      <w:i/>
      <w:iCs/>
    </w:rPr>
  </w:style>
  <w:style w:type="character" w:customStyle="1" w:styleId="highlight">
    <w:name w:val="highlight"/>
    <w:basedOn w:val="DefaultParagraphFont"/>
    <w:rsid w:val="00DB3E23"/>
  </w:style>
  <w:style w:type="character" w:customStyle="1" w:styleId="apple-converted-space">
    <w:name w:val="apple-converted-space"/>
    <w:basedOn w:val="DefaultParagraphFont"/>
    <w:rsid w:val="00DB3E23"/>
  </w:style>
  <w:style w:type="character" w:styleId="Hyperlink">
    <w:name w:val="Hyperlink"/>
    <w:basedOn w:val="DefaultParagraphFont"/>
    <w:uiPriority w:val="99"/>
    <w:unhideWhenUsed/>
    <w:rsid w:val="00DB3E23"/>
    <w:rPr>
      <w:color w:val="0000FF" w:themeColor="hyperlink"/>
      <w:u w:val="single"/>
    </w:rPr>
  </w:style>
  <w:style w:type="paragraph" w:customStyle="1" w:styleId="Default">
    <w:name w:val="Default"/>
    <w:rsid w:val="00DB3E23"/>
    <w:pPr>
      <w:pBdr>
        <w:top w:val="nil"/>
        <w:left w:val="nil"/>
        <w:bottom w:val="nil"/>
        <w:right w:val="nil"/>
        <w:between w:val="nil"/>
        <w:bar w:val="nil"/>
      </w:pBdr>
    </w:pPr>
    <w:rPr>
      <w:rFonts w:ascii="Helvetica Neue" w:eastAsia="Arial Unicode MS" w:hAnsi="Helvetica Neue" w:cs="Arial Unicode MS"/>
      <w:color w:val="000000"/>
      <w:sz w:val="22"/>
      <w:szCs w:val="22"/>
      <w:bdr w:val="nil"/>
      <w:lang w:val="en-GB" w:eastAsia="en-US"/>
    </w:rPr>
  </w:style>
  <w:style w:type="character" w:customStyle="1" w:styleId="bidi">
    <w:name w:val="bidi"/>
    <w:basedOn w:val="DefaultParagraphFont"/>
    <w:rsid w:val="00DB3E23"/>
  </w:style>
  <w:style w:type="character" w:styleId="FollowedHyperlink">
    <w:name w:val="FollowedHyperlink"/>
    <w:basedOn w:val="DefaultParagraphFont"/>
    <w:uiPriority w:val="99"/>
    <w:semiHidden/>
    <w:unhideWhenUsed/>
    <w:rsid w:val="00DB3E23"/>
    <w:rPr>
      <w:color w:val="800080" w:themeColor="followedHyperlink"/>
      <w:u w:val="single"/>
    </w:rPr>
  </w:style>
  <w:style w:type="character" w:customStyle="1" w:styleId="UnresolvedMention1">
    <w:name w:val="Unresolved Mention1"/>
    <w:basedOn w:val="DefaultParagraphFont"/>
    <w:uiPriority w:val="99"/>
    <w:semiHidden/>
    <w:unhideWhenUsed/>
    <w:rsid w:val="00DB3E23"/>
    <w:rPr>
      <w:color w:val="605E5C"/>
      <w:shd w:val="clear" w:color="auto" w:fill="E1DFDD"/>
    </w:rPr>
  </w:style>
  <w:style w:type="character" w:customStyle="1" w:styleId="UnresolvedMention2">
    <w:name w:val="Unresolved Mention2"/>
    <w:basedOn w:val="DefaultParagraphFont"/>
    <w:uiPriority w:val="99"/>
    <w:semiHidden/>
    <w:unhideWhenUsed/>
    <w:rsid w:val="00DB3E23"/>
    <w:rPr>
      <w:color w:val="605E5C"/>
      <w:shd w:val="clear" w:color="auto" w:fill="E1DFDD"/>
    </w:rPr>
  </w:style>
  <w:style w:type="character" w:customStyle="1" w:styleId="UnresolvedMention3">
    <w:name w:val="Unresolved Mention3"/>
    <w:basedOn w:val="DefaultParagraphFont"/>
    <w:uiPriority w:val="99"/>
    <w:semiHidden/>
    <w:unhideWhenUsed/>
    <w:rsid w:val="00DB3E23"/>
    <w:rPr>
      <w:color w:val="605E5C"/>
      <w:shd w:val="clear" w:color="auto" w:fill="E1DFDD"/>
    </w:rPr>
  </w:style>
  <w:style w:type="character" w:customStyle="1" w:styleId="data">
    <w:name w:val="data"/>
    <w:basedOn w:val="DefaultParagraphFont"/>
    <w:rsid w:val="000D6E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ata.mendeley.com/datasets/2mn4ctdpxp/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23</Pages>
  <Words>6339</Words>
  <Characters>36134</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Lund University</Company>
  <LinksUpToDate>false</LinksUpToDate>
  <CharactersWithSpaces>42389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 Staaf</dc:creator>
  <cp:keywords/>
  <dc:description/>
  <cp:lastModifiedBy>Serena Nik-Zainal</cp:lastModifiedBy>
  <cp:revision>3</cp:revision>
  <dcterms:created xsi:type="dcterms:W3CDTF">2019-08-13T07:24:00Z</dcterms:created>
  <dcterms:modified xsi:type="dcterms:W3CDTF">2019-08-13T07:31:00Z</dcterms:modified>
</cp:coreProperties>
</file>