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F75DF" w:rsidRPr="00135F94" w:rsidRDefault="004138F3" w:rsidP="004138F3">
      <w:pPr>
        <w:jc w:val="center"/>
        <w:rPr>
          <w:b/>
          <w:sz w:val="28"/>
          <w:szCs w:val="28"/>
        </w:rPr>
      </w:pPr>
      <w:r w:rsidRPr="00135F94">
        <w:rPr>
          <w:b/>
          <w:sz w:val="28"/>
          <w:szCs w:val="28"/>
        </w:rPr>
        <w:t>Dishonest strangers</w:t>
      </w:r>
    </w:p>
    <w:p w:rsidR="00FF75DF" w:rsidRDefault="00FF75DF"/>
    <w:p w:rsidR="00D049F5" w:rsidRDefault="00FF75DF">
      <w:r>
        <w:t>In this Editorial, I take my academic life in my hands a</w:t>
      </w:r>
      <w:r w:rsidR="000D004C">
        <w:t xml:space="preserve">s I cross </w:t>
      </w:r>
      <w:r w:rsidR="00F11A0A">
        <w:t>a</w:t>
      </w:r>
      <w:r w:rsidR="000D004C">
        <w:t xml:space="preserve"> boundary and trespass upon the lands of my neighbours. It is not that </w:t>
      </w:r>
      <w:r w:rsidR="004138F3">
        <w:t xml:space="preserve">I </w:t>
      </w:r>
      <w:r w:rsidR="001C0A2E">
        <w:t xml:space="preserve">do not enjoy a meaty trust dispute, nor that I </w:t>
      </w:r>
      <w:r w:rsidR="00C51B28">
        <w:t xml:space="preserve">am </w:t>
      </w:r>
      <w:r w:rsidR="000A7AD6">
        <w:t xml:space="preserve">shy about what seems to my students to be an old-fashioned and </w:t>
      </w:r>
      <w:r w:rsidR="0004666D">
        <w:t>nostalgic approach to li</w:t>
      </w:r>
      <w:r w:rsidR="00D049F5">
        <w:t>ab</w:t>
      </w:r>
      <w:r w:rsidR="0004666D">
        <w:t>ilit</w:t>
      </w:r>
      <w:r w:rsidR="00D049F5">
        <w:t>i</w:t>
      </w:r>
      <w:r w:rsidR="0004666D">
        <w:t xml:space="preserve">es consequent upon a breach of </w:t>
      </w:r>
      <w:r w:rsidR="00DE74AC">
        <w:t>trust</w:t>
      </w:r>
      <w:r w:rsidR="00FE1529">
        <w:t>.</w:t>
      </w:r>
      <w:r w:rsidR="0004666D">
        <w:rPr>
          <w:rStyle w:val="FootnoteReference"/>
        </w:rPr>
        <w:footnoteReference w:id="1"/>
      </w:r>
      <w:r w:rsidR="00FE1529">
        <w:t xml:space="preserve">It is, rather, that I know the issues I am about to touch on </w:t>
      </w:r>
      <w:r w:rsidR="00893D68">
        <w:t xml:space="preserve">arouse strong feelings in my friends and colleagues </w:t>
      </w:r>
      <w:r w:rsidR="00F11A0A">
        <w:t xml:space="preserve">whereas I just want to know the answer. I </w:t>
      </w:r>
      <w:r w:rsidR="00893D68">
        <w:t xml:space="preserve">am (usually) reluctant to </w:t>
      </w:r>
      <w:r w:rsidR="00452BFA">
        <w:t xml:space="preserve">comment </w:t>
      </w:r>
      <w:r w:rsidR="00450F5D">
        <w:t xml:space="preserve">on the vexed issue of the test for stranger liability </w:t>
      </w:r>
      <w:r w:rsidR="00DE74AC">
        <w:t>consequent</w:t>
      </w:r>
      <w:r w:rsidR="00450F5D">
        <w:t xml:space="preserve"> upon a breach of </w:t>
      </w:r>
      <w:r w:rsidR="00DE74AC">
        <w:t>trust</w:t>
      </w:r>
      <w:r w:rsidR="00450F5D">
        <w:t xml:space="preserve"> </w:t>
      </w:r>
      <w:r w:rsidR="005E4080">
        <w:t xml:space="preserve">or fiduciary duty </w:t>
      </w:r>
      <w:r w:rsidR="00450F5D">
        <w:t xml:space="preserve">because I </w:t>
      </w:r>
      <w:r w:rsidR="008A5048">
        <w:t>have so little skin in the game.</w:t>
      </w:r>
      <w:r w:rsidR="00BE484D">
        <w:t xml:space="preserve"> </w:t>
      </w:r>
      <w:r w:rsidR="00450F5D">
        <w:t xml:space="preserve">But, </w:t>
      </w:r>
      <w:r w:rsidR="00162D63">
        <w:t>and this is the main reason that prompted me to write, sometimes a case comes along where the court is so palpabl</w:t>
      </w:r>
      <w:r w:rsidR="005E4080">
        <w:t>y</w:t>
      </w:r>
      <w:r w:rsidR="00162D63">
        <w:t xml:space="preserve"> fed up with the back and forth of academic and judicial </w:t>
      </w:r>
      <w:r w:rsidR="00DE74AC">
        <w:t>debate</w:t>
      </w:r>
      <w:r w:rsidR="00162D63">
        <w:t>, that it is moved to say, in essence, “enough is enough!”</w:t>
      </w:r>
      <w:r w:rsidR="00D049F5">
        <w:t xml:space="preserve"> This seems to me to be the unambiguous message of </w:t>
      </w:r>
      <w:r w:rsidR="00D049F5" w:rsidRPr="007D307E">
        <w:rPr>
          <w:i/>
        </w:rPr>
        <w:t>Group Seven Limited v Notable Services LLP</w:t>
      </w:r>
      <w:r w:rsidR="00D049F5">
        <w:t>,</w:t>
      </w:r>
      <w:r w:rsidR="00EF15C5">
        <w:rPr>
          <w:rStyle w:val="FootnoteReference"/>
        </w:rPr>
        <w:footnoteReference w:id="2"/>
      </w:r>
      <w:r w:rsidR="00D049F5">
        <w:t xml:space="preserve"> a </w:t>
      </w:r>
      <w:r w:rsidR="007D307E">
        <w:t xml:space="preserve">punchy Court of Appeal decision </w:t>
      </w:r>
      <w:r w:rsidR="000F098D">
        <w:t xml:space="preserve">on how </w:t>
      </w:r>
      <w:r w:rsidR="00DE74AC">
        <w:t>dishonesty</w:t>
      </w:r>
      <w:r w:rsidR="000F098D">
        <w:t xml:space="preserve"> is to be established in cases of “knowing</w:t>
      </w:r>
      <w:r w:rsidR="003256F3">
        <w:t>” or “dishonest”</w:t>
      </w:r>
      <w:r w:rsidR="000F098D">
        <w:t xml:space="preserve"> assistance.</w:t>
      </w:r>
      <w:r w:rsidR="000F098D">
        <w:rPr>
          <w:rStyle w:val="FootnoteReference"/>
        </w:rPr>
        <w:footnoteReference w:id="3"/>
      </w:r>
    </w:p>
    <w:p w:rsidR="004426D0" w:rsidRDefault="002247BB" w:rsidP="00D431D6">
      <w:r>
        <w:tab/>
      </w:r>
      <w:r w:rsidRPr="002247BB">
        <w:rPr>
          <w:i/>
        </w:rPr>
        <w:t>Group Seven</w:t>
      </w:r>
      <w:r>
        <w:t xml:space="preserve"> was an appeal in a number of related actions from the judgment of Morgan J</w:t>
      </w:r>
      <w:r w:rsidR="00041C76">
        <w:t>.</w:t>
      </w:r>
      <w:r w:rsidR="00041C76">
        <w:rPr>
          <w:rStyle w:val="FootnoteReference"/>
        </w:rPr>
        <w:footnoteReference w:id="4"/>
      </w:r>
      <w:r w:rsidR="00041C76">
        <w:t xml:space="preserve"> He had </w:t>
      </w:r>
      <w:r>
        <w:t>held</w:t>
      </w:r>
      <w:r w:rsidR="005E4080">
        <w:t>, inter alia,</w:t>
      </w:r>
      <w:r>
        <w:t xml:space="preserve"> that a Mr Landman was not liable for dishonestly assisting in a breach of trust</w:t>
      </w:r>
      <w:r w:rsidR="007E51EA">
        <w:t>,</w:t>
      </w:r>
      <w:r>
        <w:t xml:space="preserve"> but that he was liable for </w:t>
      </w:r>
      <w:r w:rsidR="00DE74AC">
        <w:t>unconscionable</w:t>
      </w:r>
      <w:r>
        <w:t xml:space="preserve"> receipt of other, less extensive, funds</w:t>
      </w:r>
      <w:r w:rsidR="00041C76">
        <w:t xml:space="preserve"> (£170,000)</w:t>
      </w:r>
      <w:r>
        <w:t xml:space="preserve">. There was no appeal against the finding of </w:t>
      </w:r>
      <w:r w:rsidR="00DE74AC">
        <w:t>unconscionable</w:t>
      </w:r>
      <w:r>
        <w:t xml:space="preserve"> receipt, but the claimants pursued the knowing assistance claim </w:t>
      </w:r>
      <w:r w:rsidR="00041C76">
        <w:t xml:space="preserve">in the amount of </w:t>
      </w:r>
      <w:r w:rsidR="00475A9B">
        <w:t>€</w:t>
      </w:r>
      <w:r w:rsidR="00041C76">
        <w:t>1</w:t>
      </w:r>
      <w:r w:rsidR="008D0919">
        <w:t xml:space="preserve">2 </w:t>
      </w:r>
      <w:r w:rsidR="00041C76">
        <w:t>million,</w:t>
      </w:r>
      <w:r w:rsidR="00475A9B">
        <w:rPr>
          <w:rStyle w:val="FootnoteReference"/>
        </w:rPr>
        <w:footnoteReference w:id="5"/>
      </w:r>
      <w:r w:rsidR="00041C76">
        <w:t xml:space="preserve"> hoping to prove </w:t>
      </w:r>
      <w:r w:rsidR="00B30FA3">
        <w:t xml:space="preserve">Mr </w:t>
      </w:r>
      <w:r w:rsidR="00041C76">
        <w:t xml:space="preserve">Landman’s liability and thus open a route </w:t>
      </w:r>
      <w:r w:rsidR="003E372E">
        <w:t xml:space="preserve">via vicarious liability </w:t>
      </w:r>
      <w:r w:rsidR="00041C76">
        <w:t xml:space="preserve">to Notable LLP, </w:t>
      </w:r>
      <w:r w:rsidR="00316873">
        <w:t xml:space="preserve">a firm of </w:t>
      </w:r>
      <w:r w:rsidR="00DE74AC">
        <w:t>solicitors</w:t>
      </w:r>
      <w:r w:rsidR="00316873">
        <w:t xml:space="preserve"> in London and </w:t>
      </w:r>
      <w:r w:rsidR="00041C76">
        <w:t>his employer.</w:t>
      </w:r>
      <w:r w:rsidR="00126BF0">
        <w:t xml:space="preserve"> The fraud itself was complex</w:t>
      </w:r>
      <w:r w:rsidR="00D43A6A">
        <w:t>, and the details are immaterial for present purposes. Th</w:t>
      </w:r>
      <w:r w:rsidR="00AE1BE9">
        <w:t xml:space="preserve">e important </w:t>
      </w:r>
      <w:r w:rsidR="00DE74AC">
        <w:t>point</w:t>
      </w:r>
      <w:r w:rsidR="00402912">
        <w:t xml:space="preserve"> is, instead, that the Court of Appeal took the opportunity to be clear, </w:t>
      </w:r>
      <w:r w:rsidR="00DE74AC">
        <w:t>direct</w:t>
      </w:r>
      <w:r w:rsidR="00402912">
        <w:t xml:space="preserve"> and pointed about the scope of liability for </w:t>
      </w:r>
      <w:r w:rsidR="00DE74AC">
        <w:t>dishonest</w:t>
      </w:r>
      <w:r w:rsidR="00402912">
        <w:t xml:space="preserve"> assistance </w:t>
      </w:r>
      <w:r w:rsidR="00263E32">
        <w:t xml:space="preserve">consequent on a </w:t>
      </w:r>
      <w:r w:rsidR="00402912">
        <w:t xml:space="preserve">breach of </w:t>
      </w:r>
      <w:r w:rsidR="00DE74AC">
        <w:t>trust</w:t>
      </w:r>
      <w:r w:rsidR="00402912">
        <w:t xml:space="preserve"> or breach of </w:t>
      </w:r>
      <w:r w:rsidR="00DE74AC">
        <w:t>fiduciary</w:t>
      </w:r>
      <w:r w:rsidR="00402912">
        <w:t xml:space="preserve"> duty. As the Court concluded, its analysis is “</w:t>
      </w:r>
      <w:r w:rsidR="00402912" w:rsidRPr="00402912">
        <w:t xml:space="preserve">firmly founded on the legal principles which we have derived from </w:t>
      </w:r>
      <w:r w:rsidR="00402912" w:rsidRPr="00402912">
        <w:rPr>
          <w:i/>
          <w:iCs/>
        </w:rPr>
        <w:t>Tan</w:t>
      </w:r>
      <w:r w:rsidR="00402912" w:rsidRPr="00402912">
        <w:t xml:space="preserve">, </w:t>
      </w:r>
      <w:r w:rsidR="00402912" w:rsidRPr="00402912">
        <w:rPr>
          <w:i/>
          <w:iCs/>
        </w:rPr>
        <w:t xml:space="preserve">Barlow Clowes </w:t>
      </w:r>
      <w:r w:rsidR="00402912" w:rsidRPr="00402912">
        <w:t xml:space="preserve">and </w:t>
      </w:r>
      <w:r w:rsidR="00402912" w:rsidRPr="00402912">
        <w:rPr>
          <w:i/>
          <w:iCs/>
        </w:rPr>
        <w:t>Ivey</w:t>
      </w:r>
      <w:r w:rsidR="00402912" w:rsidRPr="00402912">
        <w:t>. Those principles can now be stated in a few sentences, and in future cases they should not need detailed exposition</w:t>
      </w:r>
      <w:r w:rsidR="00402912">
        <w:t>”.</w:t>
      </w:r>
      <w:r w:rsidR="00402912">
        <w:rPr>
          <w:rStyle w:val="FootnoteReference"/>
        </w:rPr>
        <w:footnoteReference w:id="6"/>
      </w:r>
      <w:r w:rsidR="007E51EA">
        <w:t xml:space="preserve"> Indeed, no doubt to add weight to its an</w:t>
      </w:r>
      <w:r w:rsidR="00A47235">
        <w:t>a</w:t>
      </w:r>
      <w:r w:rsidR="007E51EA">
        <w:t xml:space="preserve">lysis, when Henderson LJ delivered the judgment he was explicit in a way that is </w:t>
      </w:r>
      <w:r w:rsidR="00D431D6">
        <w:t>rare in the Court of Appeal that this “</w:t>
      </w:r>
      <w:r w:rsidR="00D431D6" w:rsidRPr="00D431D6">
        <w:t>is the judgment of the court to which each of its members has contributed</w:t>
      </w:r>
      <w:r w:rsidR="00D431D6">
        <w:t>.”</w:t>
      </w:r>
      <w:r w:rsidR="00D431D6">
        <w:rPr>
          <w:rStyle w:val="FootnoteReference"/>
        </w:rPr>
        <w:footnoteReference w:id="7"/>
      </w:r>
      <w:r w:rsidR="004426D0">
        <w:t xml:space="preserve"> Likewise, it is perhaps a measure of the strength of feeling about this that the Court, before </w:t>
      </w:r>
      <w:r w:rsidR="00986281">
        <w:t>overturning</w:t>
      </w:r>
      <w:r w:rsidR="004426D0">
        <w:t xml:space="preserve"> Morgan J on the question of dishonest assistance, reminded itself </w:t>
      </w:r>
      <w:r w:rsidR="005E4080">
        <w:t xml:space="preserve">in </w:t>
      </w:r>
      <w:r w:rsidR="005E4080">
        <w:lastRenderedPageBreak/>
        <w:t>a section of the judgment called “Appellate restraint”</w:t>
      </w:r>
      <w:r w:rsidR="004426D0">
        <w:rPr>
          <w:rStyle w:val="FootnoteReference"/>
        </w:rPr>
        <w:footnoteReference w:id="8"/>
      </w:r>
      <w:r w:rsidR="004426D0">
        <w:t xml:space="preserve"> that an </w:t>
      </w:r>
      <w:r w:rsidR="00986281">
        <w:t>appellate</w:t>
      </w:r>
      <w:r w:rsidR="004426D0">
        <w:t xml:space="preserve"> body should not </w:t>
      </w:r>
      <w:r w:rsidR="005E4080">
        <w:t>lig</w:t>
      </w:r>
      <w:r w:rsidR="00986281">
        <w:t>htly</w:t>
      </w:r>
      <w:r w:rsidR="004426D0">
        <w:t xml:space="preserve"> </w:t>
      </w:r>
      <w:r w:rsidR="00986281">
        <w:t>overturn</w:t>
      </w:r>
      <w:r w:rsidR="004426D0">
        <w:t xml:space="preserve"> a trial judge where much of </w:t>
      </w:r>
      <w:r w:rsidR="005E4080">
        <w:t xml:space="preserve">his or her </w:t>
      </w:r>
      <w:r w:rsidR="004426D0">
        <w:t xml:space="preserve">decision rested on the determination of, or deductions from, </w:t>
      </w:r>
      <w:r w:rsidR="00986281">
        <w:t>primary</w:t>
      </w:r>
      <w:r w:rsidR="004426D0">
        <w:t xml:space="preserve"> issues of fact. </w:t>
      </w:r>
      <w:r w:rsidR="00CF4DC4">
        <w:t>However, even within those confines</w:t>
      </w:r>
      <w:r w:rsidR="004C5A31">
        <w:t>, needs must when the Devil’s driving.</w:t>
      </w:r>
    </w:p>
    <w:p w:rsidR="00447D20" w:rsidRDefault="00287149" w:rsidP="000A08E5">
      <w:pPr>
        <w:ind w:firstLine="720"/>
      </w:pPr>
      <w:r>
        <w:t>The Court of Appeal took it as unarguable that four th</w:t>
      </w:r>
      <w:r w:rsidR="009465C3">
        <w:t>i</w:t>
      </w:r>
      <w:r>
        <w:t>ngs had to be established in order to make a person liable in di</w:t>
      </w:r>
      <w:r w:rsidR="009465C3">
        <w:t>s</w:t>
      </w:r>
      <w:r>
        <w:t>hon</w:t>
      </w:r>
      <w:r w:rsidR="009465C3">
        <w:t>e</w:t>
      </w:r>
      <w:r>
        <w:t>st assistance conse</w:t>
      </w:r>
      <w:r w:rsidR="009465C3">
        <w:t xml:space="preserve">quent </w:t>
      </w:r>
      <w:r>
        <w:t>on a breach of tr</w:t>
      </w:r>
      <w:r w:rsidR="009465C3">
        <w:t>ust</w:t>
      </w:r>
      <w:r>
        <w:t>.</w:t>
      </w:r>
      <w:r>
        <w:rPr>
          <w:rStyle w:val="FootnoteReference"/>
        </w:rPr>
        <w:footnoteReference w:id="9"/>
      </w:r>
      <w:r>
        <w:t xml:space="preserve"> First, that there was a </w:t>
      </w:r>
      <w:r w:rsidR="00F74391">
        <w:t>trust</w:t>
      </w:r>
      <w:r>
        <w:t xml:space="preserve"> in existence at the relevant time; second that the trustee committed a breach of that </w:t>
      </w:r>
      <w:r w:rsidR="00F74391">
        <w:t>trust</w:t>
      </w:r>
      <w:r>
        <w:t xml:space="preserve">; third, that </w:t>
      </w:r>
      <w:r w:rsidRPr="00287149">
        <w:t xml:space="preserve">the defendant assisted the trustee to commit that breach of trust; and </w:t>
      </w:r>
      <w:r>
        <w:t>fourth, that t</w:t>
      </w:r>
      <w:r w:rsidRPr="00287149">
        <w:t>he defendant’s assistance was dishonest</w:t>
      </w:r>
      <w:r>
        <w:t>. And, so that no hairs could be split later, “</w:t>
      </w:r>
      <w:r w:rsidRPr="00287149">
        <w:t>the same principles apply, mutatis mutandis, to a claim for dishonest assistance of a breach of the fiduciary duties which are owed to a company by its director in relation to dealings with the company’s assets.”</w:t>
      </w:r>
      <w:r>
        <w:rPr>
          <w:rStyle w:val="FootnoteReference"/>
        </w:rPr>
        <w:footnoteReference w:id="10"/>
      </w:r>
      <w:r>
        <w:t xml:space="preserve"> In this case, the first three cond</w:t>
      </w:r>
      <w:r w:rsidR="000A08E5">
        <w:t>i</w:t>
      </w:r>
      <w:r>
        <w:t xml:space="preserve">tions were met </w:t>
      </w:r>
      <w:r w:rsidR="00EC2914">
        <w:t>and there was no appeal from Morgan J’s findings in this regard. Thus, everything turned on w</w:t>
      </w:r>
      <w:r>
        <w:t>hether the defen</w:t>
      </w:r>
      <w:r w:rsidR="00EC2914">
        <w:t>dant’s</w:t>
      </w:r>
      <w:r>
        <w:t xml:space="preserve"> assistance was dish</w:t>
      </w:r>
      <w:r w:rsidR="00EC2914">
        <w:t>onest</w:t>
      </w:r>
      <w:r>
        <w:t>.</w:t>
      </w:r>
      <w:r w:rsidR="00EC2914">
        <w:rPr>
          <w:rStyle w:val="FootnoteReference"/>
        </w:rPr>
        <w:footnoteReference w:id="11"/>
      </w:r>
      <w:r>
        <w:t xml:space="preserve"> </w:t>
      </w:r>
      <w:r w:rsidR="000A08E5">
        <w:t>Further, and again as if to slay any lingering dragons,</w:t>
      </w:r>
      <w:r w:rsidR="004604FB">
        <w:t xml:space="preserve"> academic or judicial,</w:t>
      </w:r>
      <w:r w:rsidR="000A08E5">
        <w:t xml:space="preserve"> the Court emphasised that l</w:t>
      </w:r>
      <w:r w:rsidR="00447D20">
        <w:t>iability was not strict, no</w:t>
      </w:r>
      <w:r w:rsidR="003A51F5">
        <w:t>r</w:t>
      </w:r>
      <w:r w:rsidR="00447D20">
        <w:t xml:space="preserve"> was it based in negligence, but was triggered by the defendant’s personal </w:t>
      </w:r>
      <w:r w:rsidR="00EC4026">
        <w:t>“lack of probity”</w:t>
      </w:r>
      <w:r w:rsidR="003A51F5">
        <w:t>.</w:t>
      </w:r>
      <w:r w:rsidR="00EC4026">
        <w:rPr>
          <w:rStyle w:val="FootnoteReference"/>
        </w:rPr>
        <w:footnoteReference w:id="12"/>
      </w:r>
      <w:r w:rsidR="00344C30">
        <w:t xml:space="preserve"> But, what did “dishonesty” mean?</w:t>
      </w:r>
    </w:p>
    <w:p w:rsidR="007E51EA" w:rsidRDefault="00344C30" w:rsidP="00287149">
      <w:pPr>
        <w:ind w:firstLine="720"/>
      </w:pPr>
      <w:r>
        <w:t>I</w:t>
      </w:r>
      <w:r w:rsidR="00287149">
        <w:t xml:space="preserve">n his judgment, Morgan J </w:t>
      </w:r>
      <w:r w:rsidR="00282F8B">
        <w:t xml:space="preserve">had gone </w:t>
      </w:r>
      <w:r w:rsidR="00287149">
        <w:t>through the relevant authorities, relying principally (and correctly</w:t>
      </w:r>
      <w:r w:rsidR="0083711E">
        <w:t xml:space="preserve"> as the Court of Appeal acknowledged</w:t>
      </w:r>
      <w:r w:rsidR="00287149" w:rsidRPr="00287149">
        <w:rPr>
          <w:i/>
        </w:rPr>
        <w:t xml:space="preserve">) </w:t>
      </w:r>
      <w:r w:rsidR="0083711E">
        <w:t xml:space="preserve">on </w:t>
      </w:r>
      <w:r w:rsidR="00287149" w:rsidRPr="00287149">
        <w:rPr>
          <w:i/>
        </w:rPr>
        <w:t>Royal Brunei Airlines Sdn Bhd v Tan</w:t>
      </w:r>
      <w:r w:rsidR="00287149" w:rsidRPr="0083711E">
        <w:rPr>
          <w:rStyle w:val="FootnoteReference"/>
        </w:rPr>
        <w:footnoteReference w:id="13"/>
      </w:r>
      <w:r w:rsidR="0083711E">
        <w:t xml:space="preserve"> and </w:t>
      </w:r>
      <w:r w:rsidR="0083711E" w:rsidRPr="0083711E">
        <w:rPr>
          <w:i/>
        </w:rPr>
        <w:t>Barlow Clowes International Ltd (In Liquidation) v Eurotrust International Ltd</w:t>
      </w:r>
      <w:r w:rsidR="0083711E">
        <w:rPr>
          <w:rStyle w:val="FootnoteReference"/>
          <w:i/>
        </w:rPr>
        <w:footnoteReference w:id="14"/>
      </w:r>
      <w:r w:rsidR="0083711E">
        <w:t>,</w:t>
      </w:r>
      <w:r>
        <w:t xml:space="preserve"> </w:t>
      </w:r>
      <w:r w:rsidR="0083711E">
        <w:t xml:space="preserve">although he did not have the benefit of the Supreme Court’s decision </w:t>
      </w:r>
      <w:r w:rsidR="0083711E" w:rsidRPr="0083711E">
        <w:rPr>
          <w:i/>
        </w:rPr>
        <w:t>in Ivey v Genting Casinos UK Ltd (t/a Crockfords Club)</w:t>
      </w:r>
      <w:r w:rsidR="0083711E" w:rsidRPr="00E01939">
        <w:rPr>
          <w:rStyle w:val="FootnoteReference"/>
        </w:rPr>
        <w:footnoteReference w:id="15"/>
      </w:r>
      <w:r w:rsidR="00D112C0">
        <w:rPr>
          <w:i/>
        </w:rPr>
        <w:t xml:space="preserve"> </w:t>
      </w:r>
      <w:r w:rsidR="00E01939" w:rsidRPr="00E01939">
        <w:t xml:space="preserve">which was </w:t>
      </w:r>
      <w:r w:rsidR="00F66E47">
        <w:t xml:space="preserve">handed down </w:t>
      </w:r>
      <w:r w:rsidR="00E44E0F">
        <w:t>less than</w:t>
      </w:r>
      <w:r w:rsidR="00E01939" w:rsidRPr="00E01939">
        <w:t xml:space="preserve"> three weeks after his decision</w:t>
      </w:r>
      <w:r w:rsidR="002B0911">
        <w:t xml:space="preserve"> in </w:t>
      </w:r>
      <w:r w:rsidR="002B0911" w:rsidRPr="004604FB">
        <w:rPr>
          <w:i/>
        </w:rPr>
        <w:t>Group Seven</w:t>
      </w:r>
      <w:r w:rsidR="00E01939" w:rsidRPr="00E01939">
        <w:t>.</w:t>
      </w:r>
      <w:r>
        <w:t xml:space="preserve"> </w:t>
      </w:r>
      <w:r w:rsidR="004604FB">
        <w:t>Unsurprisingly</w:t>
      </w:r>
      <w:r w:rsidR="002C3FB6">
        <w:t>,</w:t>
      </w:r>
      <w:r w:rsidR="004604FB">
        <w:t xml:space="preserve"> (at least to me)</w:t>
      </w:r>
      <w:r>
        <w:t xml:space="preserve">, Morgan J followed </w:t>
      </w:r>
      <w:r w:rsidRPr="00344C30">
        <w:rPr>
          <w:i/>
        </w:rPr>
        <w:t>Tan</w:t>
      </w:r>
      <w:r>
        <w:t xml:space="preserve"> and </w:t>
      </w:r>
      <w:r w:rsidRPr="00344C30">
        <w:rPr>
          <w:i/>
        </w:rPr>
        <w:t>Clowes</w:t>
      </w:r>
      <w:r>
        <w:rPr>
          <w:rStyle w:val="FootnoteReference"/>
        </w:rPr>
        <w:footnoteReference w:id="16"/>
      </w:r>
      <w:r w:rsidR="00B30FA3">
        <w:rPr>
          <w:i/>
        </w:rPr>
        <w:t xml:space="preserve"> </w:t>
      </w:r>
      <w:r>
        <w:t xml:space="preserve">recognising that </w:t>
      </w:r>
      <w:r w:rsidR="004E25D6">
        <w:t>the test of dishonesty was not part-subjective, part-objective</w:t>
      </w:r>
      <w:r w:rsidR="00CE1BF9">
        <w:t xml:space="preserve">, even if this is what the majority had meant in </w:t>
      </w:r>
      <w:r w:rsidR="00CE1BF9" w:rsidRPr="00CE1BF9">
        <w:rPr>
          <w:i/>
        </w:rPr>
        <w:t>Twinsectra Ltd v Yardley</w:t>
      </w:r>
      <w:r w:rsidR="00CE1BF9">
        <w:t>.</w:t>
      </w:r>
      <w:r w:rsidR="00CE1BF9">
        <w:rPr>
          <w:rStyle w:val="FootnoteReference"/>
        </w:rPr>
        <w:footnoteReference w:id="17"/>
      </w:r>
      <w:r w:rsidR="00CE1BF9">
        <w:t xml:space="preserve"> </w:t>
      </w:r>
      <w:r w:rsidR="004604FB">
        <w:t>It was an objective test</w:t>
      </w:r>
      <w:r w:rsidR="0069065D">
        <w:t xml:space="preserve">, albeit one that was located in the particular </w:t>
      </w:r>
      <w:r w:rsidR="00DA704F">
        <w:t xml:space="preserve">conduct of the defendant. </w:t>
      </w:r>
      <w:r w:rsidR="00DC2F66">
        <w:t xml:space="preserve">On that basis, however, he held that Mr Landman was not dishonest because he </w:t>
      </w:r>
      <w:r w:rsidR="002B0911">
        <w:t xml:space="preserve">neither knew nor </w:t>
      </w:r>
      <w:r w:rsidR="00DA704F">
        <w:t xml:space="preserve">had </w:t>
      </w:r>
      <w:r w:rsidR="002B0911">
        <w:t>turned a blind eye to the fact that the monies had been transferred to Notable</w:t>
      </w:r>
      <w:r w:rsidR="00DA704F">
        <w:t xml:space="preserve"> LLP</w:t>
      </w:r>
      <w:r w:rsidR="002B0911">
        <w:t xml:space="preserve"> in breach of trust</w:t>
      </w:r>
      <w:r w:rsidR="00DA704F">
        <w:t xml:space="preserve"> a</w:t>
      </w:r>
      <w:r w:rsidR="002B0911">
        <w:t xml:space="preserve">nd it was this key finding that </w:t>
      </w:r>
      <w:r w:rsidR="00DA704F">
        <w:t>was now challenged.</w:t>
      </w:r>
    </w:p>
    <w:p w:rsidR="005D6B45" w:rsidRDefault="00D112C0" w:rsidP="00287149">
      <w:pPr>
        <w:ind w:firstLine="720"/>
      </w:pPr>
      <w:r>
        <w:lastRenderedPageBreak/>
        <w:t xml:space="preserve">The Court of Appeal </w:t>
      </w:r>
      <w:r w:rsidR="00147818">
        <w:t xml:space="preserve">of course had the benefit of </w:t>
      </w:r>
      <w:r w:rsidR="00147818" w:rsidRPr="00A22C51">
        <w:rPr>
          <w:i/>
        </w:rPr>
        <w:t>Ivey</w:t>
      </w:r>
      <w:r w:rsidR="00147818">
        <w:t xml:space="preserve"> wh</w:t>
      </w:r>
      <w:r w:rsidR="00E44E0F">
        <w:t xml:space="preserve">ere the Supreme </w:t>
      </w:r>
      <w:r w:rsidR="0065209C">
        <w:t xml:space="preserve">consigned the subjective-objective </w:t>
      </w:r>
      <w:r w:rsidR="0065209C" w:rsidRPr="0065209C">
        <w:rPr>
          <w:i/>
        </w:rPr>
        <w:t>Ghosh</w:t>
      </w:r>
      <w:r w:rsidR="0065209C">
        <w:t xml:space="preserve"> test</w:t>
      </w:r>
      <w:r w:rsidR="0065209C">
        <w:rPr>
          <w:rStyle w:val="FootnoteReference"/>
        </w:rPr>
        <w:footnoteReference w:id="18"/>
      </w:r>
      <w:r w:rsidR="0065209C">
        <w:t xml:space="preserve"> of dishonesty to the shredder of history</w:t>
      </w:r>
      <w:r w:rsidR="00D62184">
        <w:t xml:space="preserve"> and in so doing recognised that the objective test it confirmed would operate beyond the criminal law.</w:t>
      </w:r>
      <w:r w:rsidR="00D62184">
        <w:rPr>
          <w:rStyle w:val="FootnoteReference"/>
        </w:rPr>
        <w:footnoteReference w:id="19"/>
      </w:r>
      <w:r w:rsidR="005D6B45">
        <w:rPr>
          <w:rStyle w:val="FootnoteReference"/>
        </w:rPr>
        <w:t xml:space="preserve"> </w:t>
      </w:r>
      <w:r w:rsidR="005D6B45">
        <w:t xml:space="preserve">Consequently, the Court of Appeal took the view that the door was shut to any further discussion and they wanted everyone to listen and understand. </w:t>
      </w:r>
    </w:p>
    <w:p w:rsidR="005D6B45" w:rsidRDefault="005D6B45" w:rsidP="005D6B45">
      <w:pPr>
        <w:ind w:firstLine="720"/>
        <w:jc w:val="both"/>
      </w:pPr>
      <w:r>
        <w:t>“</w:t>
      </w:r>
      <w:r w:rsidRPr="005D6B45">
        <w:t xml:space="preserve">In the light of </w:t>
      </w:r>
      <w:r w:rsidRPr="005D6B45">
        <w:rPr>
          <w:i/>
          <w:iCs/>
        </w:rPr>
        <w:t>Ivey</w:t>
      </w:r>
      <w:r w:rsidRPr="005D6B45">
        <w:t xml:space="preserve">, it must in our view now be treated as settled law that the touchstone of accessory liability for breach of trust or fiduciary duty is indeed dishonesty, as Lord Nicholls so clearly explained in </w:t>
      </w:r>
      <w:r w:rsidRPr="005D6B45">
        <w:rPr>
          <w:i/>
          <w:iCs/>
        </w:rPr>
        <w:t>Tan</w:t>
      </w:r>
      <w:r w:rsidRPr="005D6B45">
        <w:t xml:space="preserve">, and that there is no room in the application of that test for the now discredited subjective second limb of the </w:t>
      </w:r>
      <w:r w:rsidRPr="005D6B45">
        <w:rPr>
          <w:i/>
          <w:iCs/>
        </w:rPr>
        <w:t xml:space="preserve">Ghosh </w:t>
      </w:r>
      <w:r w:rsidRPr="005D6B45">
        <w:t>test</w:t>
      </w:r>
      <w:r>
        <w:t>.”</w:t>
      </w:r>
      <w:r>
        <w:rPr>
          <w:rStyle w:val="FootnoteReference"/>
        </w:rPr>
        <w:footnoteReference w:id="20"/>
      </w:r>
    </w:p>
    <w:p w:rsidR="002A55D5" w:rsidRDefault="005D6B45" w:rsidP="005D6B45">
      <w:r>
        <w:t xml:space="preserve">Thus, it </w:t>
      </w:r>
      <w:r w:rsidR="00282F8B">
        <w:t>is</w:t>
      </w:r>
      <w:r>
        <w:t xml:space="preserve"> irrelevant whether the defendant appreciated that his or her conduct would be regarded as dishonest by an ordinary, reasonable person. Nor does it matter if the defendant truthfully and sincerely </w:t>
      </w:r>
      <w:r w:rsidR="00F74391">
        <w:t>believe</w:t>
      </w:r>
      <w:r>
        <w:t xml:space="preserve"> that there </w:t>
      </w:r>
      <w:r w:rsidR="00B30FA3">
        <w:t xml:space="preserve">was </w:t>
      </w:r>
      <w:r>
        <w:t xml:space="preserve">nothing wrong in his or her conduct. They may still be “dishonest”, even if genuinely amazed that anyone else should think </w:t>
      </w:r>
      <w:r w:rsidR="00282F8B">
        <w:t>so</w:t>
      </w:r>
      <w:r>
        <w:t>. A defendant cannot escape lia</w:t>
      </w:r>
      <w:r w:rsidR="00D72E1B">
        <w:t>bil</w:t>
      </w:r>
      <w:r>
        <w:t>ity</w:t>
      </w:r>
      <w:r w:rsidR="00D72E1B">
        <w:t xml:space="preserve"> </w:t>
      </w:r>
      <w:r>
        <w:t>by relying on their own moral code</w:t>
      </w:r>
      <w:r w:rsidR="00BC7A15">
        <w:t>.</w:t>
      </w:r>
      <w:r w:rsidR="006D443E">
        <w:t xml:space="preserve"> However – and this is the tricky part – this does not mean that the defendant’s “subjective knowledge and state of mind are unimportant”.</w:t>
      </w:r>
      <w:r w:rsidR="006D443E">
        <w:rPr>
          <w:rStyle w:val="FootnoteReference"/>
        </w:rPr>
        <w:footnoteReference w:id="21"/>
      </w:r>
      <w:r w:rsidR="006D443E">
        <w:t xml:space="preserve"> This is because what the defendant knew, </w:t>
      </w:r>
      <w:r w:rsidR="00F74391">
        <w:t>believed</w:t>
      </w:r>
      <w:r w:rsidR="006D443E">
        <w:t xml:space="preserve"> or understood are an important part of the factual background: “</w:t>
      </w:r>
      <w:r w:rsidR="006D443E" w:rsidRPr="006D443E">
        <w:t xml:space="preserve">the defendant’s actual state of knowledge and belief as to relevant facts forms a crucial part of the first stage of the test of dishonesty set out in </w:t>
      </w:r>
      <w:r w:rsidR="006D443E" w:rsidRPr="006D443E">
        <w:rPr>
          <w:i/>
          <w:iCs/>
        </w:rPr>
        <w:t>Tan</w:t>
      </w:r>
      <w:r w:rsidR="006D443E">
        <w:rPr>
          <w:i/>
          <w:iCs/>
        </w:rPr>
        <w:t>”</w:t>
      </w:r>
      <w:r w:rsidR="006D443E" w:rsidRPr="006D443E">
        <w:t>.</w:t>
      </w:r>
      <w:r w:rsidR="006D443E">
        <w:rPr>
          <w:rStyle w:val="FootnoteReference"/>
        </w:rPr>
        <w:footnoteReference w:id="22"/>
      </w:r>
      <w:r w:rsidR="004E7B72">
        <w:t xml:space="preserve"> </w:t>
      </w:r>
    </w:p>
    <w:p w:rsidR="00171C2F" w:rsidRDefault="004E7B72" w:rsidP="005D6B45">
      <w:r>
        <w:t xml:space="preserve">Or, to put it another way, first a court must establish as primary facts what the defendant knew or did not know in relation to the </w:t>
      </w:r>
      <w:r w:rsidR="00BC2447">
        <w:t xml:space="preserve">particular </w:t>
      </w:r>
      <w:r>
        <w:t xml:space="preserve">breach of trust or </w:t>
      </w:r>
      <w:r w:rsidR="00F74391">
        <w:t>fiduciary</w:t>
      </w:r>
      <w:r>
        <w:t xml:space="preserve"> duty that has taken place. This is nothing more than a piece of the factual background and we should not be surprised at this. It does not make the test of dishonesty even faintly subject</w:t>
      </w:r>
      <w:r w:rsidR="002A55D5">
        <w:t>ive</w:t>
      </w:r>
      <w:r>
        <w:t>: we are simply asking what it is that the defendant knew or understood</w:t>
      </w:r>
      <w:r w:rsidR="002A55D5">
        <w:t xml:space="preserve">, in the same way that we are asking did a breach of </w:t>
      </w:r>
      <w:r w:rsidR="00F74391">
        <w:t>trust</w:t>
      </w:r>
      <w:r w:rsidR="002A55D5">
        <w:t xml:space="preserve"> occur and did the defendant </w:t>
      </w:r>
      <w:r w:rsidR="00F74391">
        <w:t>factually</w:t>
      </w:r>
      <w:r w:rsidR="002A55D5">
        <w:t xml:space="preserve"> </w:t>
      </w:r>
      <w:r w:rsidR="00F74391">
        <w:t>assist</w:t>
      </w:r>
      <w:r w:rsidR="002A55D5">
        <w:t xml:space="preserve"> in it</w:t>
      </w:r>
      <w:r>
        <w:t>.</w:t>
      </w:r>
      <w:r w:rsidR="003E2857">
        <w:rPr>
          <w:rStyle w:val="FootnoteReference"/>
        </w:rPr>
        <w:footnoteReference w:id="23"/>
      </w:r>
      <w:r>
        <w:t xml:space="preserve"> Secondly, in the light of th</w:t>
      </w:r>
      <w:r w:rsidR="00BC2447">
        <w:t xml:space="preserve">is </w:t>
      </w:r>
      <w:r>
        <w:t xml:space="preserve">factual background, which includes what this defendant knew or understood, would an </w:t>
      </w:r>
      <w:r w:rsidR="00080D73">
        <w:t xml:space="preserve">ordinary person say that the </w:t>
      </w:r>
      <w:r w:rsidR="00F74391">
        <w:t>defendant</w:t>
      </w:r>
      <w:r w:rsidR="00080D73">
        <w:t xml:space="preserve"> was dishonest, irrespective of whether the defendant knew or thought or suspected they were. </w:t>
      </w:r>
    </w:p>
    <w:p w:rsidR="005D6B45" w:rsidRDefault="0090339A" w:rsidP="005D6B45">
      <w:r>
        <w:t xml:space="preserve">As it </w:t>
      </w:r>
      <w:r w:rsidR="00F74391">
        <w:t>turned</w:t>
      </w:r>
      <w:r>
        <w:t xml:space="preserve"> </w:t>
      </w:r>
      <w:r w:rsidR="00BC2447">
        <w:t>o</w:t>
      </w:r>
      <w:r>
        <w:t xml:space="preserve">ut then, the actual </w:t>
      </w:r>
      <w:r w:rsidR="00F74391">
        <w:t>thorny</w:t>
      </w:r>
      <w:r>
        <w:t xml:space="preserve"> issue in </w:t>
      </w:r>
      <w:r w:rsidR="00F74391" w:rsidRPr="00BC2447">
        <w:rPr>
          <w:i/>
        </w:rPr>
        <w:t>Group</w:t>
      </w:r>
      <w:r w:rsidRPr="00BC2447">
        <w:rPr>
          <w:i/>
        </w:rPr>
        <w:t xml:space="preserve"> Seven</w:t>
      </w:r>
      <w:r>
        <w:t xml:space="preserve"> was the nature of the inferences to be drawn from the primary facts found by Morgan J. This is </w:t>
      </w:r>
      <w:r w:rsidR="00F74391">
        <w:t>why</w:t>
      </w:r>
      <w:r>
        <w:t xml:space="preserve"> the </w:t>
      </w:r>
      <w:r w:rsidR="00F74391">
        <w:t>Court</w:t>
      </w:r>
      <w:r>
        <w:t xml:space="preserve"> of Appeal were pre-occupied with </w:t>
      </w:r>
      <w:r w:rsidR="00F74391">
        <w:t>exercising</w:t>
      </w:r>
      <w:r>
        <w:t xml:space="preserve"> “appellate rest</w:t>
      </w:r>
      <w:r w:rsidR="00F74391">
        <w:t>raint</w:t>
      </w:r>
      <w:r>
        <w:t xml:space="preserve">”. </w:t>
      </w:r>
      <w:r w:rsidR="003E2857">
        <w:t xml:space="preserve">There was no </w:t>
      </w:r>
      <w:r w:rsidR="00F74391">
        <w:t>argument</w:t>
      </w:r>
      <w:r w:rsidR="003E2857">
        <w:t xml:space="preserve"> over </w:t>
      </w:r>
      <w:r w:rsidR="00B30FA3">
        <w:t xml:space="preserve">the law, for this is </w:t>
      </w:r>
      <w:r w:rsidR="00836902">
        <w:t>what we should now regard as “</w:t>
      </w:r>
      <w:r w:rsidR="00836902" w:rsidRPr="00836902">
        <w:t>essentially a jury question, namely whether the defendant’s conduct was honest or dishonest according to the standards of ordinary decent people</w:t>
      </w:r>
      <w:r w:rsidR="00836902">
        <w:t>.”</w:t>
      </w:r>
      <w:r w:rsidR="00836902">
        <w:rPr>
          <w:rStyle w:val="FootnoteReference"/>
        </w:rPr>
        <w:footnoteReference w:id="24"/>
      </w:r>
      <w:r w:rsidR="00F13150">
        <w:t xml:space="preserve"> Morgan J had concluded that, on the facts as proven, the defendant had </w:t>
      </w:r>
      <w:r w:rsidR="00BC2447">
        <w:t xml:space="preserve">not </w:t>
      </w:r>
      <w:r w:rsidR="00F13150">
        <w:t xml:space="preserve">turned a blind-eye to the fraud and that, in consequence, he was not objectively dishonest. </w:t>
      </w:r>
      <w:r w:rsidR="003C06F5">
        <w:t xml:space="preserve">He was not objectively </w:t>
      </w:r>
      <w:r w:rsidR="00F74391">
        <w:t>dishonest</w:t>
      </w:r>
      <w:r w:rsidR="003C06F5">
        <w:t xml:space="preserve"> because, given the </w:t>
      </w:r>
      <w:r w:rsidR="00F74391">
        <w:t xml:space="preserve">primary </w:t>
      </w:r>
      <w:r w:rsidR="003C06F5">
        <w:t xml:space="preserve">facts which </w:t>
      </w:r>
      <w:r w:rsidR="00F74391">
        <w:t>included</w:t>
      </w:r>
      <w:r w:rsidR="003C06F5">
        <w:t xml:space="preserve"> what he knew, no </w:t>
      </w:r>
      <w:r w:rsidR="00F74391">
        <w:lastRenderedPageBreak/>
        <w:t>ordinary</w:t>
      </w:r>
      <w:r w:rsidR="003C06F5">
        <w:t xml:space="preserve"> person would say he was dishonest. </w:t>
      </w:r>
      <w:r w:rsidR="00F13150">
        <w:t>The Court of Appeal</w:t>
      </w:r>
      <w:r w:rsidR="003C06F5">
        <w:t>, however, drew a differen</w:t>
      </w:r>
      <w:r w:rsidR="00BC2447">
        <w:t>t</w:t>
      </w:r>
      <w:r w:rsidR="003C06F5">
        <w:t xml:space="preserve"> inference and said that, on the </w:t>
      </w:r>
      <w:r w:rsidR="00F74391">
        <w:t>facts</w:t>
      </w:r>
      <w:r w:rsidR="003C06F5">
        <w:t xml:space="preserve"> as proven, the defendant clearly understood all that was </w:t>
      </w:r>
      <w:r w:rsidR="00F74391">
        <w:t>happening</w:t>
      </w:r>
      <w:r w:rsidR="003C06F5">
        <w:t>. Consequently, given th</w:t>
      </w:r>
      <w:r w:rsidR="00417592">
        <w:t xml:space="preserve">ese primary findings of fact, and </w:t>
      </w:r>
      <w:r w:rsidR="00F74391">
        <w:t>inferences</w:t>
      </w:r>
      <w:r w:rsidR="00417592">
        <w:t xml:space="preserve"> therefrom</w:t>
      </w:r>
      <w:r w:rsidR="003C06F5">
        <w:t xml:space="preserve">, an ordinary decent person would have said he was dishonest. </w:t>
      </w:r>
      <w:r w:rsidR="00417592">
        <w:t>The appeal was allowed.</w:t>
      </w:r>
    </w:p>
    <w:p w:rsidR="00C80BA2" w:rsidRDefault="00417592" w:rsidP="005D6B45">
      <w:r>
        <w:t xml:space="preserve">Of course, it is too much to hope for that this really is the last word on this, but the Court of Appeal are trying </w:t>
      </w:r>
      <w:r w:rsidR="00F74391">
        <w:t>mightily</w:t>
      </w:r>
      <w:r>
        <w:t xml:space="preserve"> hard to say that the only grounds for appeal in the future should be where there are serious doubts as to a trial judge’s findings and i</w:t>
      </w:r>
      <w:r w:rsidR="00F74391">
        <w:t xml:space="preserve">nferences </w:t>
      </w:r>
      <w:r>
        <w:t xml:space="preserve">of fact. </w:t>
      </w:r>
      <w:r w:rsidR="00F74391">
        <w:t>Given</w:t>
      </w:r>
      <w:r>
        <w:t xml:space="preserve"> that these cases nearly always involve complex transactions that taken individually appear innocuous</w:t>
      </w:r>
      <w:r w:rsidR="00BC2447">
        <w:t xml:space="preserve"> but which together form a pattern of fraud</w:t>
      </w:r>
      <w:r>
        <w:t xml:space="preserve">, it will not be difficult to find something to argue about. But, at least, </w:t>
      </w:r>
      <w:r w:rsidR="00B30FA3">
        <w:t xml:space="preserve">this should not </w:t>
      </w:r>
      <w:r>
        <w:t xml:space="preserve">be </w:t>
      </w:r>
      <w:r w:rsidR="00B30FA3">
        <w:t xml:space="preserve">about </w:t>
      </w:r>
      <w:bookmarkStart w:id="0" w:name="_GoBack"/>
      <w:bookmarkEnd w:id="0"/>
      <w:r>
        <w:t xml:space="preserve">what the actual test of </w:t>
      </w:r>
      <w:r w:rsidR="00F74391">
        <w:t>dishonesty</w:t>
      </w:r>
      <w:r>
        <w:t xml:space="preserve"> is. </w:t>
      </w:r>
    </w:p>
    <w:p w:rsidR="00C80BA2" w:rsidRDefault="00C80BA2" w:rsidP="005D6B45"/>
    <w:p w:rsidR="00417592" w:rsidRDefault="00C80BA2" w:rsidP="005D6B45">
      <w:r>
        <w:t>MJD</w:t>
      </w:r>
      <w:r w:rsidR="00417592">
        <w:t xml:space="preserve"> </w:t>
      </w:r>
    </w:p>
    <w:sectPr w:rsidR="0041759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24CDA" w:rsidRDefault="00424CDA" w:rsidP="0004666D">
      <w:pPr>
        <w:spacing w:after="0" w:line="240" w:lineRule="auto"/>
      </w:pPr>
      <w:r>
        <w:separator/>
      </w:r>
    </w:p>
  </w:endnote>
  <w:endnote w:type="continuationSeparator" w:id="0">
    <w:p w:rsidR="00424CDA" w:rsidRDefault="00424CDA" w:rsidP="000466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24CDA" w:rsidRDefault="00424CDA" w:rsidP="0004666D">
      <w:pPr>
        <w:spacing w:after="0" w:line="240" w:lineRule="auto"/>
      </w:pPr>
      <w:r>
        <w:separator/>
      </w:r>
    </w:p>
  </w:footnote>
  <w:footnote w:type="continuationSeparator" w:id="0">
    <w:p w:rsidR="00424CDA" w:rsidRDefault="00424CDA" w:rsidP="0004666D">
      <w:pPr>
        <w:spacing w:after="0" w:line="240" w:lineRule="auto"/>
      </w:pPr>
      <w:r>
        <w:continuationSeparator/>
      </w:r>
    </w:p>
  </w:footnote>
  <w:footnote w:id="1">
    <w:p w:rsidR="000E24CA" w:rsidRDefault="000E24CA" w:rsidP="005E5421">
      <w:pPr>
        <w:pStyle w:val="FootnoteText"/>
      </w:pPr>
      <w:r>
        <w:rPr>
          <w:rStyle w:val="FootnoteReference"/>
        </w:rPr>
        <w:footnoteRef/>
      </w:r>
      <w:r>
        <w:t xml:space="preserve"> For example, I confess that I struggle with the idea that a thief can be a constructive trustee </w:t>
      </w:r>
      <w:r w:rsidRPr="005E5421">
        <w:rPr>
          <w:i/>
        </w:rPr>
        <w:t>merely</w:t>
      </w:r>
      <w:r>
        <w:t xml:space="preserve"> because of their unconscionable taking of another’s property, and I do not understand the difference between a “real” constructive trustee and that which appears to exist in unconscionable receipt cases following </w:t>
      </w:r>
      <w:r w:rsidRPr="005E5421">
        <w:rPr>
          <w:i/>
        </w:rPr>
        <w:t>Williams v Central Bank of Nigeria</w:t>
      </w:r>
      <w:r w:rsidR="005E5421">
        <w:rPr>
          <w:i/>
        </w:rPr>
        <w:t xml:space="preserve"> </w:t>
      </w:r>
      <w:r w:rsidR="005E5421">
        <w:t xml:space="preserve"> [</w:t>
      </w:r>
      <w:r w:rsidR="005E5421" w:rsidRPr="005E5421">
        <w:t>2014] UKSC 10</w:t>
      </w:r>
      <w:r w:rsidR="005E5421">
        <w:t xml:space="preserve">. </w:t>
      </w:r>
      <w:r>
        <w:t>And, while I am at it, is it really the case that some constructive trustees have no fiduciary duties at all?</w:t>
      </w:r>
      <w:r w:rsidR="003256F3">
        <w:t xml:space="preserve"> However, I am not losing sleep over the answers.</w:t>
      </w:r>
    </w:p>
  </w:footnote>
  <w:footnote w:id="2">
    <w:p w:rsidR="000E24CA" w:rsidRDefault="000E24CA" w:rsidP="00EF15C5">
      <w:pPr>
        <w:pStyle w:val="FootnoteText"/>
      </w:pPr>
      <w:r>
        <w:rPr>
          <w:rStyle w:val="FootnoteReference"/>
        </w:rPr>
        <w:footnoteRef/>
      </w:r>
      <w:r>
        <w:t xml:space="preserve"> </w:t>
      </w:r>
      <w:r w:rsidRPr="00EF15C5">
        <w:t>[2019] EWCA Civ 614</w:t>
      </w:r>
    </w:p>
  </w:footnote>
  <w:footnote w:id="3">
    <w:p w:rsidR="000E24CA" w:rsidRDefault="000E24CA">
      <w:pPr>
        <w:pStyle w:val="FootnoteText"/>
      </w:pPr>
      <w:r>
        <w:rPr>
          <w:rStyle w:val="FootnoteReference"/>
        </w:rPr>
        <w:footnoteRef/>
      </w:r>
      <w:r>
        <w:t xml:space="preserve"> I use the</w:t>
      </w:r>
      <w:r w:rsidR="003256F3">
        <w:t xml:space="preserve"> alternative </w:t>
      </w:r>
      <w:r>
        <w:t xml:space="preserve">terminology here, so that most readers will relate to the issue under discussion, but I am mindful of Lord Nicholls injunction in </w:t>
      </w:r>
      <w:r w:rsidR="003256F3" w:rsidRPr="003256F3">
        <w:rPr>
          <w:i/>
        </w:rPr>
        <w:t>Tan</w:t>
      </w:r>
      <w:r>
        <w:t xml:space="preserve"> that</w:t>
      </w:r>
      <w:r w:rsidR="003256F3">
        <w:t xml:space="preserve"> </w:t>
      </w:r>
      <w:r w:rsidR="003256F3" w:rsidRPr="003256F3">
        <w:t xml:space="preserve">“Knowingly” is better avoided as a defining ingredient of the principle, and in the context of this principle, the </w:t>
      </w:r>
      <w:r w:rsidR="003256F3" w:rsidRPr="003256F3">
        <w:rPr>
          <w:i/>
          <w:iCs/>
        </w:rPr>
        <w:t xml:space="preserve">Baden </w:t>
      </w:r>
      <w:r w:rsidR="003256F3" w:rsidRPr="003256F3">
        <w:t>[1993] 1 WLR 509 scale of knowledge is best forgotten”</w:t>
      </w:r>
      <w:r w:rsidR="003256F3">
        <w:t xml:space="preserve">, </w:t>
      </w:r>
      <w:r w:rsidR="003256F3" w:rsidRPr="00A11B57">
        <w:rPr>
          <w:i/>
        </w:rPr>
        <w:t>Tan</w:t>
      </w:r>
      <w:r w:rsidR="003256F3">
        <w:t xml:space="preserve"> judgment at </w:t>
      </w:r>
      <w:r w:rsidR="00A11B57">
        <w:t xml:space="preserve">392F. </w:t>
      </w:r>
      <w:r>
        <w:t xml:space="preserve"> </w:t>
      </w:r>
    </w:p>
  </w:footnote>
  <w:footnote w:id="4">
    <w:p w:rsidR="000E24CA" w:rsidRDefault="000E24CA">
      <w:pPr>
        <w:pStyle w:val="FootnoteText"/>
      </w:pPr>
      <w:r>
        <w:rPr>
          <w:rStyle w:val="FootnoteReference"/>
        </w:rPr>
        <w:footnoteRef/>
      </w:r>
      <w:r>
        <w:t xml:space="preserve"> </w:t>
      </w:r>
      <w:r w:rsidRPr="00041C76">
        <w:t xml:space="preserve">[2017] EWHC 2466 (Ch). </w:t>
      </w:r>
    </w:p>
  </w:footnote>
  <w:footnote w:id="5">
    <w:p w:rsidR="000E24CA" w:rsidRDefault="000E24CA">
      <w:pPr>
        <w:pStyle w:val="FootnoteText"/>
      </w:pPr>
      <w:r>
        <w:rPr>
          <w:rStyle w:val="FootnoteReference"/>
        </w:rPr>
        <w:footnoteRef/>
      </w:r>
      <w:r>
        <w:t xml:space="preserve"> The fraud netted €100 million but €88 million had been recovered by the victims prior to this litigation.</w:t>
      </w:r>
    </w:p>
  </w:footnote>
  <w:footnote w:id="6">
    <w:p w:rsidR="000E24CA" w:rsidRDefault="000E24CA">
      <w:pPr>
        <w:pStyle w:val="FootnoteText"/>
      </w:pPr>
      <w:r>
        <w:rPr>
          <w:rStyle w:val="FootnoteReference"/>
        </w:rPr>
        <w:footnoteRef/>
      </w:r>
      <w:r>
        <w:t xml:space="preserve"> Judgment at para.92</w:t>
      </w:r>
    </w:p>
  </w:footnote>
  <w:footnote w:id="7">
    <w:p w:rsidR="000E24CA" w:rsidRDefault="000E24CA">
      <w:pPr>
        <w:pStyle w:val="FootnoteText"/>
      </w:pPr>
      <w:r>
        <w:rPr>
          <w:rStyle w:val="FootnoteReference"/>
        </w:rPr>
        <w:footnoteRef/>
      </w:r>
      <w:r>
        <w:t xml:space="preserve"> Judgment at para 1. The co-authors were </w:t>
      </w:r>
      <w:r w:rsidRPr="00D431D6">
        <w:rPr>
          <w:bCs/>
        </w:rPr>
        <w:t>Lord Justice Peter Jackson and Lady Justice Asplin</w:t>
      </w:r>
      <w:r>
        <w:rPr>
          <w:bCs/>
        </w:rPr>
        <w:t>.</w:t>
      </w:r>
    </w:p>
  </w:footnote>
  <w:footnote w:id="8">
    <w:p w:rsidR="000E24CA" w:rsidRDefault="000E24CA">
      <w:pPr>
        <w:pStyle w:val="FootnoteText"/>
      </w:pPr>
      <w:r>
        <w:rPr>
          <w:rStyle w:val="FootnoteReference"/>
        </w:rPr>
        <w:footnoteRef/>
      </w:r>
      <w:r>
        <w:t xml:space="preserve"> Judgment paras. 21-24</w:t>
      </w:r>
    </w:p>
  </w:footnote>
  <w:footnote w:id="9">
    <w:p w:rsidR="000E24CA" w:rsidRDefault="000E24CA">
      <w:pPr>
        <w:pStyle w:val="FootnoteText"/>
      </w:pPr>
      <w:r>
        <w:rPr>
          <w:rStyle w:val="FootnoteReference"/>
        </w:rPr>
        <w:footnoteRef/>
      </w:r>
      <w:r>
        <w:t xml:space="preserve"> Judgment para.28.</w:t>
      </w:r>
    </w:p>
  </w:footnote>
  <w:footnote w:id="10">
    <w:p w:rsidR="000E24CA" w:rsidRDefault="000E24CA" w:rsidP="00287149">
      <w:pPr>
        <w:pStyle w:val="FootnoteText"/>
      </w:pPr>
      <w:r>
        <w:rPr>
          <w:rStyle w:val="FootnoteReference"/>
        </w:rPr>
        <w:footnoteRef/>
      </w:r>
      <w:r>
        <w:t xml:space="preserve"> Judgment para.28.</w:t>
      </w:r>
    </w:p>
  </w:footnote>
  <w:footnote w:id="11">
    <w:p w:rsidR="000E24CA" w:rsidRDefault="000E24CA">
      <w:pPr>
        <w:pStyle w:val="FootnoteText"/>
      </w:pPr>
      <w:r>
        <w:rPr>
          <w:rStyle w:val="FootnoteReference"/>
        </w:rPr>
        <w:footnoteRef/>
      </w:r>
      <w:r>
        <w:t xml:space="preserve"> Note here, that the issue is not simply whether the defendant was dishonest, but whether his or her </w:t>
      </w:r>
      <w:r w:rsidRPr="00EC2914">
        <w:rPr>
          <w:i/>
        </w:rPr>
        <w:t>assistance</w:t>
      </w:r>
      <w:r>
        <w:t xml:space="preserve"> was dishonest.</w:t>
      </w:r>
    </w:p>
  </w:footnote>
  <w:footnote w:id="12">
    <w:p w:rsidR="000E24CA" w:rsidRPr="003A51F5" w:rsidRDefault="000E24CA">
      <w:pPr>
        <w:pStyle w:val="FootnoteText"/>
      </w:pPr>
      <w:r>
        <w:rPr>
          <w:rStyle w:val="FootnoteReference"/>
        </w:rPr>
        <w:footnoteRef/>
      </w:r>
      <w:r>
        <w:t xml:space="preserve"> Judgment at para.34, quoting from Lord Nichols in </w:t>
      </w:r>
      <w:r w:rsidRPr="00EC4026">
        <w:rPr>
          <w:i/>
        </w:rPr>
        <w:t>Tan</w:t>
      </w:r>
      <w:r>
        <w:t xml:space="preserve">. As I see it, the reason for this high hurdle (with which I agree) is that the defendant has never had the asset for their own benefit (else in would be a receipt case) and must compensate the victim from their own pocket. This combination of personal liability in respect of a transaction where no material benefit may have accrued justifies the imposition of liability only when the high bar of dishonesty is </w:t>
      </w:r>
      <w:r w:rsidR="00A11B57">
        <w:t>surmounted.</w:t>
      </w:r>
    </w:p>
  </w:footnote>
  <w:footnote w:id="13">
    <w:p w:rsidR="000E24CA" w:rsidRDefault="000E24CA">
      <w:pPr>
        <w:pStyle w:val="FootnoteText"/>
      </w:pPr>
      <w:r>
        <w:rPr>
          <w:rStyle w:val="FootnoteReference"/>
        </w:rPr>
        <w:footnoteRef/>
      </w:r>
      <w:r>
        <w:t xml:space="preserve"> </w:t>
      </w:r>
      <w:r w:rsidRPr="00287149">
        <w:t>[1995] 2 AC 378</w:t>
      </w:r>
    </w:p>
  </w:footnote>
  <w:footnote w:id="14">
    <w:p w:rsidR="000E24CA" w:rsidRDefault="000E24CA">
      <w:pPr>
        <w:pStyle w:val="FootnoteText"/>
      </w:pPr>
      <w:r>
        <w:rPr>
          <w:rStyle w:val="FootnoteReference"/>
        </w:rPr>
        <w:footnoteRef/>
      </w:r>
      <w:r>
        <w:t xml:space="preserve"> </w:t>
      </w:r>
      <w:r w:rsidRPr="0083711E">
        <w:t>[2005] UKPC 37</w:t>
      </w:r>
    </w:p>
  </w:footnote>
  <w:footnote w:id="15">
    <w:p w:rsidR="000E24CA" w:rsidRDefault="000E24CA">
      <w:pPr>
        <w:pStyle w:val="FootnoteText"/>
      </w:pPr>
      <w:r>
        <w:rPr>
          <w:rStyle w:val="FootnoteReference"/>
        </w:rPr>
        <w:footnoteRef/>
      </w:r>
      <w:r>
        <w:t xml:space="preserve"> </w:t>
      </w:r>
      <w:r w:rsidRPr="0083711E">
        <w:t>[2017] UKSC 67</w:t>
      </w:r>
    </w:p>
  </w:footnote>
  <w:footnote w:id="16">
    <w:p w:rsidR="000E24CA" w:rsidRDefault="000E24CA">
      <w:pPr>
        <w:pStyle w:val="FootnoteText"/>
      </w:pPr>
      <w:r>
        <w:rPr>
          <w:rStyle w:val="FootnoteReference"/>
        </w:rPr>
        <w:footnoteRef/>
      </w:r>
      <w:r>
        <w:t xml:space="preserve"> And relying on </w:t>
      </w:r>
      <w:r w:rsidRPr="00344C30">
        <w:rPr>
          <w:i/>
        </w:rPr>
        <w:t>Starglade Properties Ltd v Nash</w:t>
      </w:r>
      <w:r>
        <w:t xml:space="preserve"> </w:t>
      </w:r>
      <w:r w:rsidRPr="00344C30">
        <w:t>[2011] 1 Lloyd’s Rep F.C. 102</w:t>
      </w:r>
      <w:r>
        <w:t xml:space="preserve"> as establishing the precedential value of these Privy Council cases.</w:t>
      </w:r>
    </w:p>
  </w:footnote>
  <w:footnote w:id="17">
    <w:p w:rsidR="000E24CA" w:rsidRPr="00147818" w:rsidRDefault="000E24CA">
      <w:pPr>
        <w:pStyle w:val="FootnoteText"/>
      </w:pPr>
      <w:r>
        <w:rPr>
          <w:rStyle w:val="FootnoteReference"/>
        </w:rPr>
        <w:footnoteRef/>
      </w:r>
      <w:r>
        <w:t xml:space="preserve"> </w:t>
      </w:r>
      <w:r w:rsidRPr="00CE1BF9">
        <w:t>[2002] UKHL 12</w:t>
      </w:r>
      <w:r>
        <w:t>. The Court here observed, generously, that “[w]</w:t>
      </w:r>
      <w:r w:rsidRPr="00147818">
        <w:t xml:space="preserve">ith the benefit of hindsight, it can be seen that this case temporarily clouded, although it did not ultimately obscure, the picture painted so clearly by Lord Nicholls in </w:t>
      </w:r>
      <w:r w:rsidRPr="00147818">
        <w:rPr>
          <w:i/>
          <w:iCs/>
        </w:rPr>
        <w:t>Tan</w:t>
      </w:r>
      <w:r>
        <w:rPr>
          <w:iCs/>
        </w:rPr>
        <w:t>”, judgment at para.38.</w:t>
      </w:r>
    </w:p>
  </w:footnote>
  <w:footnote w:id="18">
    <w:p w:rsidR="000E24CA" w:rsidRDefault="000E24CA">
      <w:pPr>
        <w:pStyle w:val="FootnoteText"/>
      </w:pPr>
      <w:r>
        <w:rPr>
          <w:rStyle w:val="FootnoteReference"/>
        </w:rPr>
        <w:footnoteRef/>
      </w:r>
      <w:r>
        <w:t xml:space="preserve"> </w:t>
      </w:r>
      <w:r w:rsidRPr="0065209C">
        <w:rPr>
          <w:i/>
        </w:rPr>
        <w:t>R v Ghosh</w:t>
      </w:r>
      <w:r w:rsidRPr="0065209C">
        <w:t xml:space="preserve"> [1982] EWCA Crim 2</w:t>
      </w:r>
      <w:r w:rsidR="00A11B57">
        <w:t>.</w:t>
      </w:r>
    </w:p>
  </w:footnote>
  <w:footnote w:id="19">
    <w:p w:rsidR="000E24CA" w:rsidRDefault="000E24CA" w:rsidP="00D62184">
      <w:pPr>
        <w:pStyle w:val="FootnoteText"/>
      </w:pPr>
      <w:r>
        <w:rPr>
          <w:rStyle w:val="FootnoteReference"/>
        </w:rPr>
        <w:footnoteRef/>
      </w:r>
      <w:r>
        <w:t xml:space="preserve"> Hughes SJC recognised explicitly that the meaning of dishonesty was particularly critical in civil proceedings for dishonest assistance, see </w:t>
      </w:r>
      <w:r w:rsidRPr="0065209C">
        <w:rPr>
          <w:i/>
        </w:rPr>
        <w:t xml:space="preserve">Ivey </w:t>
      </w:r>
      <w:r>
        <w:t>judgment at para. 62.</w:t>
      </w:r>
    </w:p>
  </w:footnote>
  <w:footnote w:id="20">
    <w:p w:rsidR="000E24CA" w:rsidRDefault="000E24CA">
      <w:pPr>
        <w:pStyle w:val="FootnoteText"/>
      </w:pPr>
      <w:r>
        <w:rPr>
          <w:rStyle w:val="FootnoteReference"/>
        </w:rPr>
        <w:footnoteRef/>
      </w:r>
      <w:r>
        <w:t xml:space="preserve"> Judgment at para.57.</w:t>
      </w:r>
    </w:p>
  </w:footnote>
  <w:footnote w:id="21">
    <w:p w:rsidR="000E24CA" w:rsidRDefault="000E24CA">
      <w:pPr>
        <w:pStyle w:val="FootnoteText"/>
      </w:pPr>
      <w:r>
        <w:rPr>
          <w:rStyle w:val="FootnoteReference"/>
        </w:rPr>
        <w:footnoteRef/>
      </w:r>
      <w:r>
        <w:t xml:space="preserve"> Judgment at para.57.</w:t>
      </w:r>
    </w:p>
  </w:footnote>
  <w:footnote w:id="22">
    <w:p w:rsidR="000E24CA" w:rsidRDefault="000E24CA">
      <w:pPr>
        <w:pStyle w:val="FootnoteText"/>
      </w:pPr>
      <w:r>
        <w:rPr>
          <w:rStyle w:val="FootnoteReference"/>
        </w:rPr>
        <w:footnoteRef/>
      </w:r>
      <w:r>
        <w:t xml:space="preserve"> Judgment at para.57.</w:t>
      </w:r>
    </w:p>
  </w:footnote>
  <w:footnote w:id="23">
    <w:p w:rsidR="000E24CA" w:rsidRDefault="000E24CA">
      <w:pPr>
        <w:pStyle w:val="FootnoteText"/>
      </w:pPr>
      <w:r>
        <w:rPr>
          <w:rStyle w:val="FootnoteReference"/>
        </w:rPr>
        <w:footnoteRef/>
      </w:r>
      <w:r>
        <w:t xml:space="preserve"> “</w:t>
      </w:r>
      <w:r w:rsidRPr="003E2857">
        <w:t>The state of a person’s mind is in principle a pure question of fact, and suspicions of all types and degrees of probability may form part of it, and thus form part of the overall picture to which the objective standard of dishonesty is to be applied</w:t>
      </w:r>
      <w:r>
        <w:t>”, judgment at para.60.</w:t>
      </w:r>
    </w:p>
  </w:footnote>
  <w:footnote w:id="24">
    <w:p w:rsidR="000E24CA" w:rsidRDefault="000E24CA">
      <w:pPr>
        <w:pStyle w:val="FootnoteText"/>
      </w:pPr>
      <w:r>
        <w:rPr>
          <w:rStyle w:val="FootnoteReference"/>
        </w:rPr>
        <w:footnoteRef/>
      </w:r>
      <w:r>
        <w:t xml:space="preserve"> Judgment </w:t>
      </w:r>
      <w:r w:rsidR="00A11B57">
        <w:t xml:space="preserve">at </w:t>
      </w:r>
      <w:r>
        <w:t>para.57.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75DF"/>
    <w:rsid w:val="00040D98"/>
    <w:rsid w:val="00041C76"/>
    <w:rsid w:val="0004666D"/>
    <w:rsid w:val="00080898"/>
    <w:rsid w:val="00080D73"/>
    <w:rsid w:val="000A08E5"/>
    <w:rsid w:val="000A7AD6"/>
    <w:rsid w:val="000D004C"/>
    <w:rsid w:val="000E24CA"/>
    <w:rsid w:val="000F098D"/>
    <w:rsid w:val="00126BF0"/>
    <w:rsid w:val="00135F94"/>
    <w:rsid w:val="00147818"/>
    <w:rsid w:val="00162D63"/>
    <w:rsid w:val="00171C2F"/>
    <w:rsid w:val="00186D60"/>
    <w:rsid w:val="001C0A2E"/>
    <w:rsid w:val="001C4EF0"/>
    <w:rsid w:val="002247BB"/>
    <w:rsid w:val="00226BD2"/>
    <w:rsid w:val="00263E32"/>
    <w:rsid w:val="002721BB"/>
    <w:rsid w:val="00282F8B"/>
    <w:rsid w:val="00287149"/>
    <w:rsid w:val="002A55D5"/>
    <w:rsid w:val="002B0911"/>
    <w:rsid w:val="002C3FB6"/>
    <w:rsid w:val="00316873"/>
    <w:rsid w:val="003256F3"/>
    <w:rsid w:val="00336423"/>
    <w:rsid w:val="00344C30"/>
    <w:rsid w:val="003A51F5"/>
    <w:rsid w:val="003C06F5"/>
    <w:rsid w:val="003E2857"/>
    <w:rsid w:val="003E372E"/>
    <w:rsid w:val="00402912"/>
    <w:rsid w:val="00411E4F"/>
    <w:rsid w:val="004138F3"/>
    <w:rsid w:val="00417592"/>
    <w:rsid w:val="00424CDA"/>
    <w:rsid w:val="004426D0"/>
    <w:rsid w:val="00447D20"/>
    <w:rsid w:val="00450F5D"/>
    <w:rsid w:val="00452BFA"/>
    <w:rsid w:val="004604FB"/>
    <w:rsid w:val="00475A9B"/>
    <w:rsid w:val="004C5A31"/>
    <w:rsid w:val="004E25D6"/>
    <w:rsid w:val="004E7B72"/>
    <w:rsid w:val="00541C2D"/>
    <w:rsid w:val="00547E98"/>
    <w:rsid w:val="005C382E"/>
    <w:rsid w:val="005D6B45"/>
    <w:rsid w:val="005E4080"/>
    <w:rsid w:val="005E5421"/>
    <w:rsid w:val="005F0DD9"/>
    <w:rsid w:val="0065209C"/>
    <w:rsid w:val="0069065D"/>
    <w:rsid w:val="006D443E"/>
    <w:rsid w:val="00700A5E"/>
    <w:rsid w:val="00731511"/>
    <w:rsid w:val="007D307E"/>
    <w:rsid w:val="007E51EA"/>
    <w:rsid w:val="007F6C05"/>
    <w:rsid w:val="00836902"/>
    <w:rsid w:val="0083711E"/>
    <w:rsid w:val="00893D68"/>
    <w:rsid w:val="008A5048"/>
    <w:rsid w:val="008D0919"/>
    <w:rsid w:val="0090339A"/>
    <w:rsid w:val="009465C3"/>
    <w:rsid w:val="00986281"/>
    <w:rsid w:val="009A3879"/>
    <w:rsid w:val="00A11B57"/>
    <w:rsid w:val="00A14BDB"/>
    <w:rsid w:val="00A22C51"/>
    <w:rsid w:val="00A47235"/>
    <w:rsid w:val="00AE1BE9"/>
    <w:rsid w:val="00B30FA3"/>
    <w:rsid w:val="00B643BC"/>
    <w:rsid w:val="00B935D6"/>
    <w:rsid w:val="00BC2447"/>
    <w:rsid w:val="00BC5F6E"/>
    <w:rsid w:val="00BC7A15"/>
    <w:rsid w:val="00BD3DF4"/>
    <w:rsid w:val="00BE484D"/>
    <w:rsid w:val="00C35001"/>
    <w:rsid w:val="00C51B28"/>
    <w:rsid w:val="00C80BA2"/>
    <w:rsid w:val="00CE1BF9"/>
    <w:rsid w:val="00CE1EA9"/>
    <w:rsid w:val="00CF4DC4"/>
    <w:rsid w:val="00D049F5"/>
    <w:rsid w:val="00D112C0"/>
    <w:rsid w:val="00D431D6"/>
    <w:rsid w:val="00D43A6A"/>
    <w:rsid w:val="00D62184"/>
    <w:rsid w:val="00D72E1B"/>
    <w:rsid w:val="00DA704F"/>
    <w:rsid w:val="00DC2F66"/>
    <w:rsid w:val="00DE74AC"/>
    <w:rsid w:val="00E01939"/>
    <w:rsid w:val="00E21DAE"/>
    <w:rsid w:val="00E44E0F"/>
    <w:rsid w:val="00E629B7"/>
    <w:rsid w:val="00EA3504"/>
    <w:rsid w:val="00EC2914"/>
    <w:rsid w:val="00EC4026"/>
    <w:rsid w:val="00EF15C5"/>
    <w:rsid w:val="00F11A0A"/>
    <w:rsid w:val="00F13150"/>
    <w:rsid w:val="00F56D3A"/>
    <w:rsid w:val="00F60F3F"/>
    <w:rsid w:val="00F66E47"/>
    <w:rsid w:val="00F74391"/>
    <w:rsid w:val="00FD0FC5"/>
    <w:rsid w:val="00FE1529"/>
    <w:rsid w:val="00FF75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12135B"/>
  <w15:chartTrackingRefBased/>
  <w15:docId w15:val="{048BEC06-119B-46B8-B9A2-A1B027DE7E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E542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4666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4666D"/>
    <w:rPr>
      <w:sz w:val="20"/>
      <w:szCs w:val="20"/>
    </w:rPr>
  </w:style>
  <w:style w:type="character" w:styleId="FootnoteReference">
    <w:name w:val="footnote reference"/>
    <w:basedOn w:val="DefaultParagraphFont"/>
    <w:uiPriority w:val="99"/>
    <w:semiHidden/>
    <w:unhideWhenUsed/>
    <w:rsid w:val="0004666D"/>
    <w:rPr>
      <w:vertAlign w:val="superscript"/>
    </w:rPr>
  </w:style>
  <w:style w:type="character" w:styleId="Hyperlink">
    <w:name w:val="Hyperlink"/>
    <w:basedOn w:val="DefaultParagraphFont"/>
    <w:uiPriority w:val="99"/>
    <w:unhideWhenUsed/>
    <w:rsid w:val="00287149"/>
    <w:rPr>
      <w:color w:val="0563C1" w:themeColor="hyperlink"/>
      <w:u w:val="single"/>
    </w:rPr>
  </w:style>
  <w:style w:type="character" w:styleId="UnresolvedMention">
    <w:name w:val="Unresolved Mention"/>
    <w:basedOn w:val="DefaultParagraphFont"/>
    <w:uiPriority w:val="99"/>
    <w:semiHidden/>
    <w:unhideWhenUsed/>
    <w:rsid w:val="00287149"/>
    <w:rPr>
      <w:color w:val="605E5C"/>
      <w:shd w:val="clear" w:color="auto" w:fill="E1DFDD"/>
    </w:rPr>
  </w:style>
  <w:style w:type="character" w:customStyle="1" w:styleId="Heading2Char">
    <w:name w:val="Heading 2 Char"/>
    <w:basedOn w:val="DefaultParagraphFont"/>
    <w:link w:val="Heading2"/>
    <w:uiPriority w:val="9"/>
    <w:semiHidden/>
    <w:rsid w:val="005E5421"/>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61009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651</TotalTime>
  <Pages>1</Pages>
  <Words>1594</Words>
  <Characters>7672</Characters>
  <Application>Microsoft Office Word</Application>
  <DocSecurity>0</DocSecurity>
  <Lines>109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M.J. Dixon</dc:creator>
  <cp:keywords/>
  <dc:description/>
  <cp:lastModifiedBy>M.J. Dixon</cp:lastModifiedBy>
  <cp:revision>117</cp:revision>
  <dcterms:created xsi:type="dcterms:W3CDTF">2019-08-28T20:18:00Z</dcterms:created>
  <dcterms:modified xsi:type="dcterms:W3CDTF">2019-08-29T07:09:00Z</dcterms:modified>
</cp:coreProperties>
</file>