
<file path=[Content_Types].xml><?xml version="1.0" encoding="utf-8"?>
<Types xmlns="http://schemas.openxmlformats.org/package/2006/content-types">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0C940F2" w14:textId="79B2AA04" w:rsidR="006F6834" w:rsidRPr="003D0C88" w:rsidRDefault="00775EA7" w:rsidP="004F68BB">
      <w:pPr>
        <w:pStyle w:val="NoSpacing"/>
        <w:jc w:val="center"/>
        <w:rPr>
          <w:rFonts w:cstheme="minorHAnsi"/>
          <w:b/>
          <w:sz w:val="24"/>
          <w:szCs w:val="24"/>
        </w:rPr>
      </w:pPr>
      <w:r w:rsidRPr="003D0C88">
        <w:rPr>
          <w:rFonts w:cstheme="minorHAnsi"/>
          <w:b/>
          <w:sz w:val="24"/>
          <w:szCs w:val="24"/>
        </w:rPr>
        <w:t xml:space="preserve">Transcranial Doppler </w:t>
      </w:r>
      <w:r w:rsidR="005F7D06" w:rsidRPr="003D0C88">
        <w:rPr>
          <w:rFonts w:cstheme="minorHAnsi"/>
          <w:b/>
          <w:sz w:val="24"/>
          <w:szCs w:val="24"/>
        </w:rPr>
        <w:t>non</w:t>
      </w:r>
      <w:r w:rsidR="00A23F3B" w:rsidRPr="003D0C88">
        <w:rPr>
          <w:rFonts w:cstheme="minorHAnsi"/>
          <w:b/>
          <w:sz w:val="24"/>
          <w:szCs w:val="24"/>
        </w:rPr>
        <w:t>-</w:t>
      </w:r>
      <w:r w:rsidR="005F7D06" w:rsidRPr="003D0C88">
        <w:rPr>
          <w:rFonts w:cstheme="minorHAnsi"/>
          <w:b/>
          <w:sz w:val="24"/>
          <w:szCs w:val="24"/>
        </w:rPr>
        <w:t>invasive a</w:t>
      </w:r>
      <w:r w:rsidR="00A65E4D" w:rsidRPr="003D0C88">
        <w:rPr>
          <w:rFonts w:cstheme="minorHAnsi"/>
          <w:b/>
          <w:sz w:val="24"/>
          <w:szCs w:val="24"/>
        </w:rPr>
        <w:t xml:space="preserve">ssessment </w:t>
      </w:r>
      <w:r w:rsidR="005F7D06" w:rsidRPr="003D0C88">
        <w:rPr>
          <w:rFonts w:cstheme="minorHAnsi"/>
          <w:b/>
          <w:sz w:val="24"/>
          <w:szCs w:val="24"/>
        </w:rPr>
        <w:t>of intracranial pressure, autoregulation of cerebral blood flow and critical closing pressure d</w:t>
      </w:r>
      <w:r w:rsidR="00A65E4D" w:rsidRPr="003D0C88">
        <w:rPr>
          <w:rFonts w:cstheme="minorHAnsi"/>
          <w:b/>
          <w:sz w:val="24"/>
          <w:szCs w:val="24"/>
        </w:rPr>
        <w:t xml:space="preserve">uring </w:t>
      </w:r>
      <w:r w:rsidR="0087543A" w:rsidRPr="003D0C88">
        <w:rPr>
          <w:rFonts w:cstheme="minorHAnsi"/>
          <w:b/>
          <w:sz w:val="24"/>
          <w:szCs w:val="24"/>
        </w:rPr>
        <w:t>o</w:t>
      </w:r>
      <w:r w:rsidR="00A65E4D" w:rsidRPr="003D0C88">
        <w:rPr>
          <w:rFonts w:cstheme="minorHAnsi"/>
          <w:b/>
          <w:sz w:val="24"/>
          <w:szCs w:val="24"/>
        </w:rPr>
        <w:t xml:space="preserve">rthotopic </w:t>
      </w:r>
      <w:r w:rsidR="0087543A" w:rsidRPr="003D0C88">
        <w:rPr>
          <w:rFonts w:cstheme="minorHAnsi"/>
          <w:b/>
          <w:sz w:val="24"/>
          <w:szCs w:val="24"/>
        </w:rPr>
        <w:t>l</w:t>
      </w:r>
      <w:r w:rsidR="00A65E4D" w:rsidRPr="003D0C88">
        <w:rPr>
          <w:rFonts w:cstheme="minorHAnsi"/>
          <w:b/>
          <w:sz w:val="24"/>
          <w:szCs w:val="24"/>
        </w:rPr>
        <w:t xml:space="preserve">iver </w:t>
      </w:r>
      <w:r w:rsidR="0087543A" w:rsidRPr="003D0C88">
        <w:rPr>
          <w:rFonts w:cstheme="minorHAnsi"/>
          <w:b/>
          <w:sz w:val="24"/>
          <w:szCs w:val="24"/>
        </w:rPr>
        <w:t>t</w:t>
      </w:r>
      <w:r w:rsidR="006F6834" w:rsidRPr="003D0C88">
        <w:rPr>
          <w:rFonts w:cstheme="minorHAnsi"/>
          <w:b/>
          <w:sz w:val="24"/>
          <w:szCs w:val="24"/>
        </w:rPr>
        <w:t>ransplant</w:t>
      </w:r>
    </w:p>
    <w:p w14:paraId="667241AF" w14:textId="77777777" w:rsidR="00AC7081" w:rsidRPr="003D0C88" w:rsidRDefault="00AC7081" w:rsidP="004F68BB">
      <w:pPr>
        <w:pStyle w:val="NoSpacing"/>
        <w:jc w:val="center"/>
        <w:rPr>
          <w:rFonts w:cstheme="minorHAnsi"/>
          <w:sz w:val="24"/>
          <w:szCs w:val="24"/>
        </w:rPr>
      </w:pPr>
    </w:p>
    <w:p w14:paraId="484ED2BB" w14:textId="1C79B946" w:rsidR="00AC7081" w:rsidRPr="003D0C88" w:rsidRDefault="00AC7081" w:rsidP="004F68BB">
      <w:pPr>
        <w:pStyle w:val="NoSpacing"/>
        <w:jc w:val="center"/>
        <w:rPr>
          <w:rFonts w:cstheme="minorHAnsi"/>
          <w:sz w:val="24"/>
          <w:szCs w:val="24"/>
        </w:rPr>
      </w:pPr>
      <w:r w:rsidRPr="003D0C88">
        <w:rPr>
          <w:rFonts w:cstheme="minorHAnsi"/>
          <w:sz w:val="24"/>
          <w:szCs w:val="24"/>
        </w:rPr>
        <w:t>Danilo Cardim</w:t>
      </w:r>
      <w:r w:rsidR="00EA7F6D" w:rsidRPr="003D0C88">
        <w:rPr>
          <w:rFonts w:cstheme="minorHAnsi"/>
          <w:sz w:val="24"/>
          <w:szCs w:val="24"/>
          <w:vertAlign w:val="superscript"/>
        </w:rPr>
        <w:t>1</w:t>
      </w:r>
      <w:r w:rsidR="00DE2C26">
        <w:rPr>
          <w:rFonts w:cstheme="minorHAnsi"/>
          <w:sz w:val="24"/>
          <w:szCs w:val="24"/>
          <w:vertAlign w:val="superscript"/>
        </w:rPr>
        <w:t>,</w:t>
      </w:r>
      <w:r w:rsidR="00811430">
        <w:rPr>
          <w:rFonts w:cstheme="minorHAnsi"/>
          <w:sz w:val="24"/>
          <w:szCs w:val="24"/>
          <w:vertAlign w:val="superscript"/>
        </w:rPr>
        <w:t>2</w:t>
      </w:r>
      <w:r w:rsidRPr="003D0C88">
        <w:rPr>
          <w:rFonts w:cstheme="minorHAnsi"/>
          <w:sz w:val="24"/>
          <w:szCs w:val="24"/>
        </w:rPr>
        <w:t>, Chiara Robba</w:t>
      </w:r>
      <w:r w:rsidR="008216F5" w:rsidRPr="003D0C88">
        <w:rPr>
          <w:rFonts w:cstheme="minorHAnsi"/>
          <w:sz w:val="24"/>
          <w:szCs w:val="24"/>
          <w:vertAlign w:val="superscript"/>
        </w:rPr>
        <w:t>1,</w:t>
      </w:r>
      <w:r w:rsidR="00DE2C26">
        <w:rPr>
          <w:rFonts w:cstheme="minorHAnsi"/>
          <w:sz w:val="24"/>
          <w:szCs w:val="24"/>
          <w:vertAlign w:val="superscript"/>
        </w:rPr>
        <w:t>3</w:t>
      </w:r>
      <w:r w:rsidRPr="003D0C88">
        <w:rPr>
          <w:rFonts w:cstheme="minorHAnsi"/>
          <w:sz w:val="24"/>
          <w:szCs w:val="24"/>
        </w:rPr>
        <w:t>, Eric Schmidt</w:t>
      </w:r>
      <w:r w:rsidR="00DE2C26">
        <w:rPr>
          <w:rFonts w:cstheme="minorHAnsi"/>
          <w:sz w:val="24"/>
          <w:szCs w:val="24"/>
          <w:vertAlign w:val="superscript"/>
        </w:rPr>
        <w:t>4</w:t>
      </w:r>
      <w:r w:rsidRPr="003D0C88">
        <w:rPr>
          <w:rFonts w:cstheme="minorHAnsi"/>
          <w:sz w:val="24"/>
          <w:szCs w:val="24"/>
        </w:rPr>
        <w:t>,</w:t>
      </w:r>
      <w:r w:rsidR="00811430">
        <w:rPr>
          <w:rFonts w:cstheme="minorHAnsi"/>
          <w:sz w:val="24"/>
          <w:szCs w:val="24"/>
        </w:rPr>
        <w:t xml:space="preserve"> Bernhard Schmidt</w:t>
      </w:r>
      <w:r w:rsidR="00811430" w:rsidRPr="008A4C70">
        <w:rPr>
          <w:rFonts w:cstheme="minorHAnsi"/>
          <w:sz w:val="24"/>
          <w:szCs w:val="24"/>
          <w:vertAlign w:val="superscript"/>
        </w:rPr>
        <w:t>5</w:t>
      </w:r>
      <w:r w:rsidR="00811430">
        <w:rPr>
          <w:rFonts w:cstheme="minorHAnsi"/>
          <w:sz w:val="24"/>
          <w:szCs w:val="24"/>
        </w:rPr>
        <w:t>,</w:t>
      </w:r>
      <w:r w:rsidRPr="003D0C88">
        <w:rPr>
          <w:rFonts w:cstheme="minorHAnsi"/>
          <w:sz w:val="24"/>
          <w:szCs w:val="24"/>
        </w:rPr>
        <w:t xml:space="preserve"> </w:t>
      </w:r>
      <w:r w:rsidR="00071AF3">
        <w:rPr>
          <w:rFonts w:cstheme="minorHAnsi"/>
          <w:sz w:val="24"/>
          <w:szCs w:val="24"/>
        </w:rPr>
        <w:t>Joseph Donnelly</w:t>
      </w:r>
      <w:r w:rsidR="00071AF3" w:rsidRPr="008A4C70">
        <w:rPr>
          <w:rFonts w:cstheme="minorHAnsi"/>
          <w:sz w:val="24"/>
          <w:szCs w:val="24"/>
          <w:vertAlign w:val="superscript"/>
        </w:rPr>
        <w:t>1,6</w:t>
      </w:r>
      <w:r w:rsidR="00071AF3">
        <w:rPr>
          <w:rFonts w:cstheme="minorHAnsi"/>
          <w:sz w:val="24"/>
          <w:szCs w:val="24"/>
        </w:rPr>
        <w:t xml:space="preserve">, </w:t>
      </w:r>
      <w:r w:rsidRPr="003D0C88">
        <w:rPr>
          <w:rFonts w:cstheme="minorHAnsi"/>
          <w:sz w:val="24"/>
          <w:szCs w:val="24"/>
        </w:rPr>
        <w:t xml:space="preserve">John </w:t>
      </w:r>
      <w:r w:rsidR="00EA7F6D" w:rsidRPr="003D0C88">
        <w:rPr>
          <w:rFonts w:cstheme="minorHAnsi"/>
          <w:sz w:val="24"/>
          <w:szCs w:val="24"/>
        </w:rPr>
        <w:t>Klinck</w:t>
      </w:r>
      <w:r w:rsidR="00071AF3">
        <w:rPr>
          <w:rFonts w:cstheme="minorHAnsi"/>
          <w:sz w:val="24"/>
          <w:szCs w:val="24"/>
          <w:vertAlign w:val="superscript"/>
        </w:rPr>
        <w:t>7</w:t>
      </w:r>
      <w:r w:rsidR="00EA7F6D" w:rsidRPr="003D0C88">
        <w:rPr>
          <w:rFonts w:cstheme="minorHAnsi"/>
          <w:sz w:val="24"/>
          <w:szCs w:val="24"/>
        </w:rPr>
        <w:t xml:space="preserve"> and Marek Czosnyka</w:t>
      </w:r>
      <w:r w:rsidR="00EA7F6D" w:rsidRPr="003D0C88">
        <w:rPr>
          <w:rFonts w:cstheme="minorHAnsi"/>
          <w:sz w:val="24"/>
          <w:szCs w:val="24"/>
          <w:vertAlign w:val="superscript"/>
        </w:rPr>
        <w:t>1,</w:t>
      </w:r>
      <w:r w:rsidR="00071AF3">
        <w:rPr>
          <w:rFonts w:cstheme="minorHAnsi"/>
          <w:sz w:val="24"/>
          <w:szCs w:val="24"/>
          <w:vertAlign w:val="superscript"/>
        </w:rPr>
        <w:t>8</w:t>
      </w:r>
    </w:p>
    <w:p w14:paraId="5A8952E2" w14:textId="613D94CD" w:rsidR="00C92A89" w:rsidRPr="003D0C88" w:rsidRDefault="00C92A89" w:rsidP="006F6834">
      <w:pPr>
        <w:pStyle w:val="NoSpacing"/>
        <w:jc w:val="both"/>
        <w:rPr>
          <w:rFonts w:cstheme="minorHAnsi"/>
          <w:b/>
          <w:sz w:val="24"/>
          <w:szCs w:val="24"/>
        </w:rPr>
      </w:pPr>
    </w:p>
    <w:p w14:paraId="38963D12" w14:textId="6D2AF80B" w:rsidR="00715992" w:rsidRDefault="00EA7F6D">
      <w:pPr>
        <w:pStyle w:val="NoSpacing"/>
        <w:jc w:val="both"/>
        <w:rPr>
          <w:rFonts w:cstheme="minorHAnsi"/>
          <w:sz w:val="24"/>
          <w:szCs w:val="24"/>
        </w:rPr>
      </w:pPr>
      <w:r w:rsidRPr="003D0C88">
        <w:rPr>
          <w:rFonts w:cstheme="minorHAnsi"/>
          <w:bCs/>
          <w:sz w:val="24"/>
          <w:szCs w:val="24"/>
          <w:vertAlign w:val="superscript"/>
        </w:rPr>
        <w:t>1</w:t>
      </w:r>
      <w:r w:rsidR="00715992" w:rsidRPr="003D0C88">
        <w:rPr>
          <w:rFonts w:cstheme="minorHAnsi"/>
          <w:bCs/>
          <w:sz w:val="24"/>
          <w:szCs w:val="24"/>
        </w:rPr>
        <w:t>Brain Physics Laboratory, Division of Neurosurgery, Department of Clinical Neurosciences, University of Cambridge, Cambridge, United Kingdom.</w:t>
      </w:r>
      <w:r w:rsidR="00715992" w:rsidRPr="003D0C88">
        <w:rPr>
          <w:rFonts w:cstheme="minorHAnsi"/>
          <w:sz w:val="24"/>
          <w:szCs w:val="24"/>
        </w:rPr>
        <w:t xml:space="preserve"> </w:t>
      </w:r>
    </w:p>
    <w:p w14:paraId="247AB8A8" w14:textId="40012AF0" w:rsidR="00DE2C26" w:rsidRPr="003D0C88" w:rsidRDefault="00DE2C26" w:rsidP="008A4C70">
      <w:pPr>
        <w:spacing w:after="0" w:line="240" w:lineRule="auto"/>
        <w:contextualSpacing/>
        <w:jc w:val="both"/>
        <w:rPr>
          <w:rFonts w:cstheme="minorHAnsi"/>
          <w:sz w:val="24"/>
          <w:szCs w:val="24"/>
        </w:rPr>
      </w:pPr>
      <w:r>
        <w:rPr>
          <w:rFonts w:cstheme="minorHAnsi"/>
          <w:sz w:val="24"/>
          <w:vertAlign w:val="superscript"/>
        </w:rPr>
        <w:t>2</w:t>
      </w:r>
      <w:r w:rsidRPr="00DE2C26">
        <w:rPr>
          <w:rFonts w:cstheme="minorHAnsi"/>
          <w:sz w:val="24"/>
        </w:rPr>
        <w:t>Department of Anesthesiology, Pharmacology and Therapeutics, Vancouver General Hospital, University of British Columbia, Vancouver, BC, Canada.</w:t>
      </w:r>
    </w:p>
    <w:p w14:paraId="0B782ADF" w14:textId="442FF7BA" w:rsidR="00715992" w:rsidRPr="00E6525F" w:rsidRDefault="00DE2C26">
      <w:pPr>
        <w:pStyle w:val="NoSpacing"/>
        <w:jc w:val="both"/>
        <w:rPr>
          <w:rFonts w:cstheme="minorHAnsi"/>
          <w:sz w:val="24"/>
          <w:szCs w:val="24"/>
          <w:lang w:val="pt-BR"/>
        </w:rPr>
      </w:pPr>
      <w:r w:rsidRPr="00E6525F">
        <w:rPr>
          <w:rFonts w:cstheme="minorHAnsi"/>
          <w:sz w:val="24"/>
          <w:szCs w:val="24"/>
          <w:vertAlign w:val="superscript"/>
          <w:lang w:val="pt-BR"/>
        </w:rPr>
        <w:t>3</w:t>
      </w:r>
      <w:r w:rsidR="00EA7F6D" w:rsidRPr="00E6525F">
        <w:rPr>
          <w:rFonts w:cstheme="minorHAnsi"/>
          <w:sz w:val="24"/>
          <w:szCs w:val="24"/>
          <w:lang w:val="pt-BR"/>
        </w:rPr>
        <w:t>Policlinico San Martino IRCCS</w:t>
      </w:r>
      <w:r w:rsidR="00E6525F" w:rsidRPr="00E6525F">
        <w:rPr>
          <w:rFonts w:cstheme="minorHAnsi"/>
          <w:sz w:val="24"/>
          <w:szCs w:val="24"/>
          <w:lang w:val="pt-BR"/>
        </w:rPr>
        <w:t xml:space="preserve">, </w:t>
      </w:r>
      <w:r w:rsidR="00715992" w:rsidRPr="00E6525F">
        <w:rPr>
          <w:rFonts w:cstheme="minorHAnsi"/>
          <w:sz w:val="24"/>
          <w:szCs w:val="24"/>
          <w:lang w:val="pt-BR"/>
        </w:rPr>
        <w:t>Genoa, Italy.</w:t>
      </w:r>
    </w:p>
    <w:p w14:paraId="57B33E8C" w14:textId="77777777" w:rsidR="00811430" w:rsidRDefault="00DE2C26">
      <w:pPr>
        <w:pStyle w:val="NoSpacing"/>
        <w:jc w:val="both"/>
        <w:rPr>
          <w:rFonts w:cstheme="minorHAnsi"/>
          <w:sz w:val="24"/>
          <w:szCs w:val="24"/>
        </w:rPr>
      </w:pPr>
      <w:r>
        <w:rPr>
          <w:rFonts w:cstheme="minorHAnsi"/>
          <w:sz w:val="24"/>
          <w:szCs w:val="24"/>
          <w:vertAlign w:val="superscript"/>
        </w:rPr>
        <w:t>4</w:t>
      </w:r>
      <w:r w:rsidR="00715992" w:rsidRPr="003D0C88">
        <w:rPr>
          <w:rFonts w:cstheme="minorHAnsi"/>
          <w:sz w:val="24"/>
          <w:szCs w:val="24"/>
        </w:rPr>
        <w:t xml:space="preserve">Service de </w:t>
      </w:r>
      <w:proofErr w:type="spellStart"/>
      <w:r w:rsidR="00715992" w:rsidRPr="003D0C88">
        <w:rPr>
          <w:rFonts w:cstheme="minorHAnsi"/>
          <w:sz w:val="24"/>
          <w:szCs w:val="24"/>
        </w:rPr>
        <w:t>Neurochirurgie</w:t>
      </w:r>
      <w:proofErr w:type="spellEnd"/>
      <w:r w:rsidR="00715992" w:rsidRPr="003D0C88">
        <w:rPr>
          <w:rFonts w:cstheme="minorHAnsi"/>
          <w:sz w:val="24"/>
          <w:szCs w:val="24"/>
        </w:rPr>
        <w:t xml:space="preserve">, </w:t>
      </w:r>
      <w:proofErr w:type="spellStart"/>
      <w:r w:rsidR="00715992" w:rsidRPr="003D0C88">
        <w:rPr>
          <w:rFonts w:cstheme="minorHAnsi"/>
          <w:sz w:val="24"/>
          <w:szCs w:val="24"/>
        </w:rPr>
        <w:t>Hôpital</w:t>
      </w:r>
      <w:proofErr w:type="spellEnd"/>
      <w:r w:rsidR="00715992" w:rsidRPr="003D0C88">
        <w:rPr>
          <w:rFonts w:cstheme="minorHAnsi"/>
          <w:sz w:val="24"/>
          <w:szCs w:val="24"/>
        </w:rPr>
        <w:t xml:space="preserve"> </w:t>
      </w:r>
      <w:proofErr w:type="spellStart"/>
      <w:r w:rsidR="00715992" w:rsidRPr="003D0C88">
        <w:rPr>
          <w:rFonts w:cstheme="minorHAnsi"/>
          <w:sz w:val="24"/>
          <w:szCs w:val="24"/>
        </w:rPr>
        <w:t>Universitaire</w:t>
      </w:r>
      <w:proofErr w:type="spellEnd"/>
      <w:r w:rsidR="00715992" w:rsidRPr="003D0C88">
        <w:rPr>
          <w:rFonts w:cstheme="minorHAnsi"/>
          <w:sz w:val="24"/>
          <w:szCs w:val="24"/>
        </w:rPr>
        <w:t xml:space="preserve"> Toulouse–</w:t>
      </w:r>
      <w:proofErr w:type="spellStart"/>
      <w:r w:rsidR="00715992" w:rsidRPr="003D0C88">
        <w:rPr>
          <w:rFonts w:cstheme="minorHAnsi"/>
          <w:sz w:val="24"/>
          <w:szCs w:val="24"/>
        </w:rPr>
        <w:t>Purpan</w:t>
      </w:r>
      <w:proofErr w:type="spellEnd"/>
      <w:r w:rsidR="00715992" w:rsidRPr="003D0C88">
        <w:rPr>
          <w:rFonts w:cstheme="minorHAnsi"/>
          <w:sz w:val="24"/>
          <w:szCs w:val="24"/>
        </w:rPr>
        <w:t>, Toulouse, France.</w:t>
      </w:r>
    </w:p>
    <w:p w14:paraId="60DF4CE3" w14:textId="77777777" w:rsidR="00071AF3" w:rsidRDefault="00811430">
      <w:pPr>
        <w:pStyle w:val="NoSpacing"/>
        <w:jc w:val="both"/>
        <w:rPr>
          <w:rFonts w:eastAsiaTheme="minorEastAsia" w:cstheme="minorHAnsi"/>
          <w:sz w:val="24"/>
          <w:szCs w:val="24"/>
        </w:rPr>
      </w:pPr>
      <w:r w:rsidRPr="008A4C70">
        <w:rPr>
          <w:rFonts w:cstheme="minorHAnsi"/>
          <w:sz w:val="24"/>
          <w:szCs w:val="24"/>
          <w:vertAlign w:val="superscript"/>
        </w:rPr>
        <w:t>5</w:t>
      </w:r>
      <w:r w:rsidRPr="008A4C70">
        <w:rPr>
          <w:rFonts w:eastAsiaTheme="minorEastAsia" w:cstheme="minorHAnsi"/>
          <w:sz w:val="24"/>
          <w:szCs w:val="24"/>
        </w:rPr>
        <w:t>Department of Neurology, University Hospital Chemnitz, Chemnitz, Germany.</w:t>
      </w:r>
    </w:p>
    <w:p w14:paraId="5576D138" w14:textId="47BA0201" w:rsidR="00071AF3" w:rsidRDefault="00071AF3">
      <w:pPr>
        <w:pStyle w:val="NoSpacing"/>
        <w:jc w:val="both"/>
        <w:rPr>
          <w:rFonts w:cstheme="minorHAnsi"/>
          <w:sz w:val="24"/>
          <w:szCs w:val="24"/>
        </w:rPr>
      </w:pPr>
      <w:r w:rsidRPr="008A4C70">
        <w:rPr>
          <w:rFonts w:cstheme="minorHAnsi"/>
          <w:sz w:val="24"/>
          <w:szCs w:val="24"/>
          <w:vertAlign w:val="superscript"/>
        </w:rPr>
        <w:t>6</w:t>
      </w:r>
      <w:r w:rsidRPr="008A4C70">
        <w:rPr>
          <w:rFonts w:cstheme="minorHAnsi"/>
          <w:sz w:val="24"/>
          <w:szCs w:val="24"/>
        </w:rPr>
        <w:t>Department of Anaesthesiology, University of Auckland, Auckland, New Zealand.</w:t>
      </w:r>
    </w:p>
    <w:p w14:paraId="1F54CDE1" w14:textId="04C565C2" w:rsidR="00DE2C26" w:rsidRPr="003D0C88" w:rsidRDefault="00071AF3">
      <w:pPr>
        <w:pStyle w:val="NoSpacing"/>
        <w:jc w:val="both"/>
        <w:rPr>
          <w:rFonts w:cstheme="minorHAnsi"/>
          <w:b/>
          <w:sz w:val="24"/>
          <w:szCs w:val="24"/>
        </w:rPr>
      </w:pPr>
      <w:r>
        <w:rPr>
          <w:rFonts w:eastAsiaTheme="minorEastAsia" w:cstheme="minorHAnsi"/>
          <w:sz w:val="24"/>
          <w:szCs w:val="20"/>
          <w:vertAlign w:val="superscript"/>
        </w:rPr>
        <w:t>7</w:t>
      </w:r>
      <w:r w:rsidR="00DE2C26" w:rsidRPr="00DE2C26">
        <w:rPr>
          <w:rFonts w:eastAsiaTheme="minorEastAsia" w:cstheme="minorHAnsi"/>
          <w:sz w:val="24"/>
          <w:szCs w:val="20"/>
        </w:rPr>
        <w:t>Department of Anaesthesia, Addenbrooke’s Hospital, Cambridge University Hospitals NHS Foundation Trust, Cambridge, U</w:t>
      </w:r>
      <w:r w:rsidR="00DE2C26">
        <w:rPr>
          <w:rFonts w:eastAsiaTheme="minorEastAsia" w:cstheme="minorHAnsi"/>
          <w:sz w:val="24"/>
          <w:szCs w:val="20"/>
        </w:rPr>
        <w:t>nite Kingdom</w:t>
      </w:r>
      <w:r w:rsidR="00DE2C26" w:rsidRPr="00DE2C26">
        <w:rPr>
          <w:rFonts w:eastAsiaTheme="minorEastAsia" w:cstheme="minorHAnsi"/>
          <w:sz w:val="24"/>
          <w:szCs w:val="20"/>
        </w:rPr>
        <w:t>.</w:t>
      </w:r>
    </w:p>
    <w:p w14:paraId="696586D3" w14:textId="23DD8737" w:rsidR="00C92A89" w:rsidRPr="003D0C88" w:rsidRDefault="00071AF3">
      <w:pPr>
        <w:pStyle w:val="NoSpacing"/>
        <w:jc w:val="both"/>
        <w:rPr>
          <w:rFonts w:cstheme="minorHAnsi"/>
          <w:bCs/>
          <w:sz w:val="24"/>
          <w:szCs w:val="24"/>
        </w:rPr>
      </w:pPr>
      <w:r>
        <w:rPr>
          <w:rFonts w:cstheme="minorHAnsi"/>
          <w:bCs/>
          <w:sz w:val="24"/>
          <w:szCs w:val="24"/>
          <w:vertAlign w:val="superscript"/>
        </w:rPr>
        <w:t>8</w:t>
      </w:r>
      <w:r w:rsidR="00715992" w:rsidRPr="003D0C88">
        <w:rPr>
          <w:rFonts w:cstheme="minorHAnsi"/>
          <w:bCs/>
          <w:sz w:val="24"/>
          <w:szCs w:val="24"/>
        </w:rPr>
        <w:t>Institute of Electronic Systems, Warsaw University of Technology, Warsaw, Poland</w:t>
      </w:r>
      <w:r w:rsidR="00DE2C26">
        <w:rPr>
          <w:rFonts w:cstheme="minorHAnsi"/>
          <w:bCs/>
          <w:sz w:val="24"/>
          <w:szCs w:val="24"/>
        </w:rPr>
        <w:t>.</w:t>
      </w:r>
    </w:p>
    <w:p w14:paraId="6EC454A5" w14:textId="77777777" w:rsidR="00EA7F6D" w:rsidRPr="003D0C88" w:rsidRDefault="00EA7F6D" w:rsidP="006F6834">
      <w:pPr>
        <w:pStyle w:val="NoSpacing"/>
        <w:jc w:val="both"/>
        <w:rPr>
          <w:rFonts w:cstheme="minorHAnsi"/>
          <w:bCs/>
          <w:sz w:val="24"/>
          <w:szCs w:val="24"/>
        </w:rPr>
      </w:pPr>
    </w:p>
    <w:p w14:paraId="66BAA4B6" w14:textId="77777777" w:rsidR="008216F5" w:rsidRPr="003D0C88" w:rsidRDefault="008216F5" w:rsidP="006F6834">
      <w:pPr>
        <w:pStyle w:val="NoSpacing"/>
        <w:jc w:val="both"/>
        <w:rPr>
          <w:rFonts w:cstheme="minorHAnsi"/>
          <w:bCs/>
          <w:sz w:val="24"/>
          <w:szCs w:val="24"/>
        </w:rPr>
      </w:pPr>
    </w:p>
    <w:p w14:paraId="214DD35A" w14:textId="77777777" w:rsidR="008216F5" w:rsidRPr="003D0C88" w:rsidRDefault="008216F5" w:rsidP="006F6834">
      <w:pPr>
        <w:pStyle w:val="NoSpacing"/>
        <w:jc w:val="both"/>
        <w:rPr>
          <w:rFonts w:cstheme="minorHAnsi"/>
          <w:bCs/>
          <w:sz w:val="24"/>
          <w:szCs w:val="24"/>
        </w:rPr>
      </w:pPr>
    </w:p>
    <w:p w14:paraId="41B1F97D" w14:textId="77777777" w:rsidR="008216F5" w:rsidRPr="003D0C88" w:rsidRDefault="008216F5" w:rsidP="008216F5">
      <w:pPr>
        <w:spacing w:line="240" w:lineRule="auto"/>
        <w:rPr>
          <w:rFonts w:cstheme="minorHAnsi"/>
          <w:b/>
          <w:sz w:val="24"/>
          <w:szCs w:val="24"/>
        </w:rPr>
      </w:pPr>
      <w:r w:rsidRPr="003D0C88">
        <w:rPr>
          <w:rFonts w:cstheme="minorHAnsi"/>
          <w:b/>
          <w:sz w:val="24"/>
          <w:szCs w:val="24"/>
        </w:rPr>
        <w:t>Corresponding author</w:t>
      </w:r>
    </w:p>
    <w:p w14:paraId="63BD096C" w14:textId="0AF8C6CD" w:rsidR="008216F5" w:rsidRPr="003D0C88" w:rsidRDefault="008216F5" w:rsidP="008216F5">
      <w:pPr>
        <w:spacing w:line="240" w:lineRule="auto"/>
        <w:rPr>
          <w:rFonts w:cstheme="minorHAnsi"/>
          <w:sz w:val="24"/>
          <w:szCs w:val="24"/>
        </w:rPr>
      </w:pPr>
      <w:r w:rsidRPr="003D0C88">
        <w:rPr>
          <w:rFonts w:cstheme="minorHAnsi"/>
          <w:sz w:val="24"/>
          <w:szCs w:val="24"/>
        </w:rPr>
        <w:t>Chiara Robba</w:t>
      </w:r>
    </w:p>
    <w:p w14:paraId="661F6C58" w14:textId="5CB26C18" w:rsidR="008216F5" w:rsidRPr="003D0C88" w:rsidRDefault="008216F5" w:rsidP="008216F5">
      <w:pPr>
        <w:spacing w:line="240" w:lineRule="auto"/>
        <w:rPr>
          <w:rFonts w:cstheme="minorHAnsi"/>
          <w:sz w:val="24"/>
          <w:szCs w:val="24"/>
        </w:rPr>
      </w:pPr>
      <w:r w:rsidRPr="003D0C88">
        <w:rPr>
          <w:rFonts w:cstheme="minorHAnsi"/>
          <w:sz w:val="24"/>
          <w:szCs w:val="24"/>
        </w:rPr>
        <w:t xml:space="preserve">Anaesthesia and Intensive Care, Genoa, Italy </w:t>
      </w:r>
    </w:p>
    <w:p w14:paraId="5E8C4C53" w14:textId="77777777" w:rsidR="008216F5" w:rsidRPr="003D0C88" w:rsidRDefault="008216F5" w:rsidP="008216F5">
      <w:pPr>
        <w:spacing w:line="240" w:lineRule="auto"/>
        <w:rPr>
          <w:rFonts w:cstheme="minorHAnsi"/>
          <w:sz w:val="24"/>
          <w:szCs w:val="24"/>
          <w:lang w:val="it-IT"/>
        </w:rPr>
      </w:pPr>
      <w:r w:rsidRPr="003D0C88">
        <w:rPr>
          <w:rFonts w:cstheme="minorHAnsi"/>
          <w:sz w:val="24"/>
          <w:szCs w:val="24"/>
          <w:lang w:val="it-IT"/>
        </w:rPr>
        <w:t xml:space="preserve">Ospedale Policlinico San Martino, Largo Rosanna Benzi 8, 16131 Genoa, Italy </w:t>
      </w:r>
    </w:p>
    <w:p w14:paraId="4758FC9F" w14:textId="7713F308" w:rsidR="008216F5" w:rsidRPr="003D0C88" w:rsidRDefault="008216F5" w:rsidP="008216F5">
      <w:pPr>
        <w:spacing w:line="240" w:lineRule="auto"/>
        <w:rPr>
          <w:rFonts w:cstheme="minorHAnsi"/>
          <w:sz w:val="24"/>
          <w:szCs w:val="24"/>
        </w:rPr>
      </w:pPr>
      <w:r w:rsidRPr="003D0C88">
        <w:rPr>
          <w:rFonts w:cstheme="minorHAnsi"/>
          <w:b/>
          <w:sz w:val="24"/>
          <w:szCs w:val="24"/>
        </w:rPr>
        <w:t>Telephone number:</w:t>
      </w:r>
      <w:r w:rsidRPr="003D0C88">
        <w:rPr>
          <w:rFonts w:cstheme="minorHAnsi"/>
          <w:sz w:val="24"/>
          <w:szCs w:val="24"/>
        </w:rPr>
        <w:t xml:space="preserve"> +39 3473912338</w:t>
      </w:r>
    </w:p>
    <w:p w14:paraId="3BE02BE4" w14:textId="1B53F9F8" w:rsidR="008216F5" w:rsidRPr="003D0C88" w:rsidRDefault="008216F5" w:rsidP="008216F5">
      <w:pPr>
        <w:spacing w:line="240" w:lineRule="auto"/>
        <w:rPr>
          <w:rStyle w:val="Hyperlink"/>
          <w:rFonts w:cstheme="minorHAnsi"/>
          <w:sz w:val="24"/>
          <w:szCs w:val="24"/>
        </w:rPr>
      </w:pPr>
      <w:r w:rsidRPr="003D0C88">
        <w:rPr>
          <w:rFonts w:cstheme="minorHAnsi"/>
          <w:b/>
          <w:sz w:val="24"/>
          <w:szCs w:val="24"/>
        </w:rPr>
        <w:t>Email:</w:t>
      </w:r>
      <w:r w:rsidRPr="003D0C88">
        <w:rPr>
          <w:rFonts w:cstheme="minorHAnsi"/>
          <w:sz w:val="24"/>
          <w:szCs w:val="24"/>
        </w:rPr>
        <w:t xml:space="preserve"> kiarobba@gmail.com</w:t>
      </w:r>
    </w:p>
    <w:p w14:paraId="7CF03FDD" w14:textId="77777777" w:rsidR="00EA7F6D" w:rsidRPr="003D0C88" w:rsidRDefault="00EA7F6D" w:rsidP="006F6834">
      <w:pPr>
        <w:pStyle w:val="NoSpacing"/>
        <w:jc w:val="both"/>
        <w:rPr>
          <w:rFonts w:cstheme="minorHAnsi"/>
          <w:bCs/>
          <w:sz w:val="24"/>
          <w:szCs w:val="24"/>
        </w:rPr>
      </w:pPr>
    </w:p>
    <w:p w14:paraId="27CF004A" w14:textId="77777777" w:rsidR="00EA7F6D" w:rsidRPr="003D0C88" w:rsidRDefault="00EA7F6D" w:rsidP="006F6834">
      <w:pPr>
        <w:pStyle w:val="NoSpacing"/>
        <w:jc w:val="both"/>
        <w:rPr>
          <w:rFonts w:cstheme="minorHAnsi"/>
          <w:bCs/>
          <w:sz w:val="24"/>
          <w:szCs w:val="24"/>
        </w:rPr>
      </w:pPr>
    </w:p>
    <w:p w14:paraId="4B4AEC3A" w14:textId="77777777" w:rsidR="00EA7F6D" w:rsidRPr="003D0C88" w:rsidRDefault="00EA7F6D" w:rsidP="006F6834">
      <w:pPr>
        <w:pStyle w:val="NoSpacing"/>
        <w:jc w:val="both"/>
        <w:rPr>
          <w:rFonts w:cstheme="minorHAnsi"/>
          <w:bCs/>
          <w:sz w:val="24"/>
          <w:szCs w:val="24"/>
        </w:rPr>
      </w:pPr>
    </w:p>
    <w:p w14:paraId="145542A4" w14:textId="77777777" w:rsidR="00EA7F6D" w:rsidRPr="003D0C88" w:rsidRDefault="00EA7F6D" w:rsidP="006F6834">
      <w:pPr>
        <w:pStyle w:val="NoSpacing"/>
        <w:jc w:val="both"/>
        <w:rPr>
          <w:rFonts w:cstheme="minorHAnsi"/>
          <w:bCs/>
          <w:sz w:val="24"/>
          <w:szCs w:val="24"/>
        </w:rPr>
      </w:pPr>
    </w:p>
    <w:p w14:paraId="25EA51B1" w14:textId="77777777" w:rsidR="00EA7F6D" w:rsidRPr="003D0C88" w:rsidRDefault="00EA7F6D" w:rsidP="006F6834">
      <w:pPr>
        <w:pStyle w:val="NoSpacing"/>
        <w:jc w:val="both"/>
        <w:rPr>
          <w:rFonts w:cstheme="minorHAnsi"/>
          <w:bCs/>
          <w:sz w:val="24"/>
          <w:szCs w:val="24"/>
        </w:rPr>
      </w:pPr>
    </w:p>
    <w:p w14:paraId="294CAB0D" w14:textId="77777777" w:rsidR="00EA7F6D" w:rsidRPr="003D0C88" w:rsidRDefault="00EA7F6D" w:rsidP="006F6834">
      <w:pPr>
        <w:pStyle w:val="NoSpacing"/>
        <w:jc w:val="both"/>
        <w:rPr>
          <w:rFonts w:cstheme="minorHAnsi"/>
          <w:bCs/>
          <w:sz w:val="24"/>
          <w:szCs w:val="24"/>
        </w:rPr>
      </w:pPr>
    </w:p>
    <w:p w14:paraId="7D4ACA97" w14:textId="77777777" w:rsidR="00EA7F6D" w:rsidRPr="003D0C88" w:rsidRDefault="00EA7F6D" w:rsidP="006F6834">
      <w:pPr>
        <w:pStyle w:val="NoSpacing"/>
        <w:jc w:val="both"/>
        <w:rPr>
          <w:rFonts w:cstheme="minorHAnsi"/>
          <w:bCs/>
          <w:sz w:val="24"/>
          <w:szCs w:val="24"/>
        </w:rPr>
      </w:pPr>
    </w:p>
    <w:p w14:paraId="394AFDE3" w14:textId="77777777" w:rsidR="00EA7F6D" w:rsidRPr="003D0C88" w:rsidRDefault="00EA7F6D" w:rsidP="006F6834">
      <w:pPr>
        <w:pStyle w:val="NoSpacing"/>
        <w:jc w:val="both"/>
        <w:rPr>
          <w:rFonts w:cstheme="minorHAnsi"/>
          <w:bCs/>
          <w:sz w:val="24"/>
          <w:szCs w:val="24"/>
        </w:rPr>
      </w:pPr>
    </w:p>
    <w:p w14:paraId="0CFAD133" w14:textId="77777777" w:rsidR="00EA7F6D" w:rsidRPr="003D0C88" w:rsidRDefault="00EA7F6D" w:rsidP="006F6834">
      <w:pPr>
        <w:pStyle w:val="NoSpacing"/>
        <w:jc w:val="both"/>
        <w:rPr>
          <w:rFonts w:cstheme="minorHAnsi"/>
          <w:bCs/>
          <w:sz w:val="24"/>
          <w:szCs w:val="24"/>
        </w:rPr>
      </w:pPr>
    </w:p>
    <w:p w14:paraId="0D383BF1" w14:textId="77777777" w:rsidR="00EA7F6D" w:rsidRPr="003D0C88" w:rsidRDefault="00EA7F6D" w:rsidP="006F6834">
      <w:pPr>
        <w:pStyle w:val="NoSpacing"/>
        <w:jc w:val="both"/>
        <w:rPr>
          <w:rFonts w:cstheme="minorHAnsi"/>
          <w:bCs/>
          <w:sz w:val="24"/>
          <w:szCs w:val="24"/>
        </w:rPr>
      </w:pPr>
    </w:p>
    <w:p w14:paraId="416038AF" w14:textId="77777777" w:rsidR="00EA7F6D" w:rsidRPr="003D0C88" w:rsidRDefault="00EA7F6D" w:rsidP="006F6834">
      <w:pPr>
        <w:pStyle w:val="NoSpacing"/>
        <w:jc w:val="both"/>
        <w:rPr>
          <w:rFonts w:cstheme="minorHAnsi"/>
          <w:bCs/>
          <w:sz w:val="24"/>
          <w:szCs w:val="24"/>
        </w:rPr>
      </w:pPr>
    </w:p>
    <w:p w14:paraId="236B6AE4" w14:textId="77777777" w:rsidR="00EA7F6D" w:rsidRPr="003D0C88" w:rsidRDefault="00EA7F6D" w:rsidP="006F6834">
      <w:pPr>
        <w:pStyle w:val="NoSpacing"/>
        <w:jc w:val="both"/>
        <w:rPr>
          <w:rFonts w:cstheme="minorHAnsi"/>
          <w:bCs/>
          <w:sz w:val="24"/>
          <w:szCs w:val="24"/>
        </w:rPr>
      </w:pPr>
    </w:p>
    <w:p w14:paraId="6AF07415" w14:textId="77777777" w:rsidR="00EA7F6D" w:rsidRPr="003D0C88" w:rsidRDefault="00EA7F6D" w:rsidP="006F6834">
      <w:pPr>
        <w:pStyle w:val="NoSpacing"/>
        <w:jc w:val="both"/>
        <w:rPr>
          <w:rFonts w:cstheme="minorHAnsi"/>
          <w:bCs/>
          <w:sz w:val="24"/>
          <w:szCs w:val="24"/>
        </w:rPr>
      </w:pPr>
    </w:p>
    <w:p w14:paraId="25A23FDE" w14:textId="77777777" w:rsidR="00EA7F6D" w:rsidRPr="003D0C88" w:rsidRDefault="00EA7F6D" w:rsidP="006F6834">
      <w:pPr>
        <w:pStyle w:val="NoSpacing"/>
        <w:jc w:val="both"/>
        <w:rPr>
          <w:rFonts w:cstheme="minorHAnsi"/>
          <w:bCs/>
          <w:sz w:val="24"/>
          <w:szCs w:val="24"/>
        </w:rPr>
      </w:pPr>
    </w:p>
    <w:p w14:paraId="5C78F366" w14:textId="77777777" w:rsidR="00EA7F6D" w:rsidRPr="003D0C88" w:rsidRDefault="00EA7F6D" w:rsidP="006F6834">
      <w:pPr>
        <w:pStyle w:val="NoSpacing"/>
        <w:jc w:val="both"/>
        <w:rPr>
          <w:rFonts w:cstheme="minorHAnsi"/>
          <w:bCs/>
          <w:sz w:val="24"/>
          <w:szCs w:val="24"/>
        </w:rPr>
      </w:pPr>
    </w:p>
    <w:p w14:paraId="271E8266" w14:textId="77777777" w:rsidR="00EA7F6D" w:rsidRPr="003D0C88" w:rsidRDefault="00EA7F6D" w:rsidP="006F6834">
      <w:pPr>
        <w:pStyle w:val="NoSpacing"/>
        <w:jc w:val="both"/>
        <w:rPr>
          <w:rFonts w:cstheme="minorHAnsi"/>
          <w:bCs/>
          <w:sz w:val="24"/>
          <w:szCs w:val="24"/>
        </w:rPr>
      </w:pPr>
    </w:p>
    <w:p w14:paraId="587D3D93" w14:textId="77777777" w:rsidR="00EA7F6D" w:rsidRPr="003D0C88" w:rsidRDefault="00EA7F6D" w:rsidP="006F6834">
      <w:pPr>
        <w:pStyle w:val="NoSpacing"/>
        <w:jc w:val="both"/>
        <w:rPr>
          <w:rFonts w:cstheme="minorHAnsi"/>
          <w:bCs/>
          <w:sz w:val="24"/>
          <w:szCs w:val="24"/>
        </w:rPr>
      </w:pPr>
    </w:p>
    <w:p w14:paraId="57B004EC" w14:textId="77777777" w:rsidR="00EA7F6D" w:rsidRPr="003D0C88" w:rsidRDefault="00EA7F6D" w:rsidP="006F6834">
      <w:pPr>
        <w:pStyle w:val="NoSpacing"/>
        <w:jc w:val="both"/>
        <w:rPr>
          <w:rFonts w:cstheme="minorHAnsi"/>
          <w:bCs/>
          <w:sz w:val="24"/>
          <w:szCs w:val="24"/>
        </w:rPr>
      </w:pPr>
    </w:p>
    <w:p w14:paraId="5DEF7978" w14:textId="77777777" w:rsidR="00C92A89" w:rsidRPr="003D0C88" w:rsidRDefault="00C92A89" w:rsidP="00C92A89">
      <w:pPr>
        <w:pStyle w:val="BodyText2"/>
        <w:framePr w:hSpace="0" w:wrap="auto" w:vAnchor="margin" w:hAnchor="text" w:xAlign="left" w:yAlign="inline"/>
        <w:spacing w:before="120" w:after="120" w:line="480" w:lineRule="auto"/>
        <w:jc w:val="both"/>
        <w:rPr>
          <w:rFonts w:asciiTheme="minorHAnsi" w:hAnsiTheme="minorHAnsi" w:cstheme="minorHAnsi"/>
          <w:sz w:val="24"/>
        </w:rPr>
      </w:pPr>
      <w:r w:rsidRPr="003D0C88">
        <w:rPr>
          <w:rFonts w:asciiTheme="minorHAnsi" w:hAnsiTheme="minorHAnsi" w:cstheme="minorHAnsi"/>
          <w:sz w:val="24"/>
        </w:rPr>
        <w:lastRenderedPageBreak/>
        <w:t>Abstract</w:t>
      </w:r>
    </w:p>
    <w:p w14:paraId="601CBE4E" w14:textId="00BADFAA" w:rsidR="003D0C88" w:rsidRDefault="00C92A89" w:rsidP="003D0C88">
      <w:pPr>
        <w:pStyle w:val="NoSpacing"/>
        <w:spacing w:line="480" w:lineRule="auto"/>
        <w:jc w:val="both"/>
        <w:rPr>
          <w:rFonts w:cstheme="minorHAnsi"/>
          <w:bCs/>
          <w:sz w:val="24"/>
          <w:szCs w:val="24"/>
        </w:rPr>
      </w:pPr>
      <w:r w:rsidRPr="003D0C88">
        <w:rPr>
          <w:rFonts w:cstheme="minorHAnsi"/>
          <w:sz w:val="24"/>
          <w:szCs w:val="24"/>
        </w:rPr>
        <w:t>Transcranial Doppler (TCD) ultrasonography allows continuous non-invasive monitoring of cerebral blood flow velocity</w:t>
      </w:r>
      <w:r w:rsidR="00FF732E" w:rsidRPr="003D0C88">
        <w:rPr>
          <w:rFonts w:cstheme="minorHAnsi"/>
          <w:sz w:val="24"/>
          <w:szCs w:val="24"/>
        </w:rPr>
        <w:t xml:space="preserve"> (FV)</w:t>
      </w:r>
      <w:r w:rsidRPr="003D0C88">
        <w:rPr>
          <w:rFonts w:cstheme="minorHAnsi"/>
          <w:sz w:val="24"/>
          <w:szCs w:val="24"/>
        </w:rPr>
        <w:t xml:space="preserve"> in a variety of clinical conditions. </w:t>
      </w:r>
      <w:r w:rsidR="003E1EEA" w:rsidRPr="003D0C88">
        <w:rPr>
          <w:rFonts w:cstheme="minorHAnsi"/>
          <w:sz w:val="24"/>
          <w:szCs w:val="24"/>
        </w:rPr>
        <w:t>Recently</w:t>
      </w:r>
      <w:r w:rsidRPr="003D0C88">
        <w:rPr>
          <w:rFonts w:cstheme="minorHAnsi"/>
          <w:sz w:val="24"/>
          <w:szCs w:val="24"/>
        </w:rPr>
        <w:t>, signal processing of TCD signals has provided several comprehensive parameters for the assessment of cerebral haemodynamics. In this work, we applied a</w:t>
      </w:r>
      <w:r w:rsidR="00FF732E" w:rsidRPr="003D0C88">
        <w:rPr>
          <w:rFonts w:cstheme="minorHAnsi"/>
          <w:sz w:val="24"/>
          <w:szCs w:val="24"/>
        </w:rPr>
        <w:t xml:space="preserve"> TCD</w:t>
      </w:r>
      <w:r w:rsidRPr="003D0C88">
        <w:rPr>
          <w:rFonts w:cstheme="minorHAnsi"/>
          <w:sz w:val="24"/>
          <w:szCs w:val="24"/>
        </w:rPr>
        <w:t xml:space="preserve"> multimodal approach in patients with acute liver failure undergoing orthotopic liver transplant (OLT) to assess the clinical feasibility of TCD for cerebral haemodynamics assessment in this setting.</w:t>
      </w:r>
      <w:r w:rsidR="003D0C88" w:rsidRPr="003D0C88">
        <w:rPr>
          <w:rFonts w:cstheme="minorHAnsi"/>
          <w:sz w:val="24"/>
          <w:szCs w:val="24"/>
        </w:rPr>
        <w:t xml:space="preserve"> </w:t>
      </w:r>
      <w:r w:rsidRPr="003D0C88">
        <w:rPr>
          <w:rFonts w:cstheme="minorHAnsi"/>
          <w:sz w:val="24"/>
          <w:szCs w:val="24"/>
        </w:rPr>
        <w:t>We retrospectively studied 6 patients undergoing OLT</w:t>
      </w:r>
      <w:r w:rsidR="00EA54B0">
        <w:rPr>
          <w:rFonts w:cstheme="minorHAnsi"/>
          <w:sz w:val="24"/>
          <w:szCs w:val="24"/>
        </w:rPr>
        <w:t xml:space="preserve"> with continuous monitoring of </w:t>
      </w:r>
      <w:r w:rsidRPr="003D0C88">
        <w:rPr>
          <w:rFonts w:cstheme="minorHAnsi"/>
          <w:sz w:val="24"/>
          <w:szCs w:val="24"/>
        </w:rPr>
        <w:t xml:space="preserve">arterial blood pressure and </w:t>
      </w:r>
      <w:r w:rsidR="00FF732E" w:rsidRPr="003D0C88">
        <w:rPr>
          <w:rFonts w:cstheme="minorHAnsi"/>
          <w:sz w:val="24"/>
          <w:szCs w:val="24"/>
        </w:rPr>
        <w:t xml:space="preserve">FV </w:t>
      </w:r>
      <w:r w:rsidRPr="003D0C88">
        <w:rPr>
          <w:rFonts w:cstheme="minorHAnsi"/>
          <w:sz w:val="24"/>
          <w:szCs w:val="24"/>
        </w:rPr>
        <w:t>in</w:t>
      </w:r>
      <w:r w:rsidR="00FF732E" w:rsidRPr="003D0C88">
        <w:rPr>
          <w:rFonts w:cstheme="minorHAnsi"/>
          <w:sz w:val="24"/>
          <w:szCs w:val="24"/>
        </w:rPr>
        <w:t xml:space="preserve"> the middle cerebral artery</w:t>
      </w:r>
      <w:r w:rsidR="009802D2">
        <w:rPr>
          <w:rFonts w:cstheme="minorHAnsi"/>
          <w:sz w:val="24"/>
          <w:szCs w:val="24"/>
        </w:rPr>
        <w:t>.</w:t>
      </w:r>
      <w:r w:rsidR="0085302B" w:rsidRPr="003D0C88">
        <w:rPr>
          <w:rFonts w:cstheme="minorHAnsi"/>
          <w:sz w:val="24"/>
          <w:szCs w:val="24"/>
        </w:rPr>
        <w:t xml:space="preserve"> Main c</w:t>
      </w:r>
      <w:r w:rsidRPr="003D0C88">
        <w:rPr>
          <w:rFonts w:cstheme="minorHAnsi"/>
          <w:sz w:val="24"/>
          <w:szCs w:val="24"/>
        </w:rPr>
        <w:t>erebral haemodynamic</w:t>
      </w:r>
      <w:r w:rsidR="003E1EEA" w:rsidRPr="003D0C88">
        <w:rPr>
          <w:rFonts w:cstheme="minorHAnsi"/>
          <w:sz w:val="24"/>
          <w:szCs w:val="24"/>
        </w:rPr>
        <w:t>s</w:t>
      </w:r>
      <w:r w:rsidRPr="003D0C88">
        <w:rPr>
          <w:rFonts w:cstheme="minorHAnsi"/>
          <w:sz w:val="24"/>
          <w:szCs w:val="24"/>
        </w:rPr>
        <w:t xml:space="preserve"> </w:t>
      </w:r>
      <w:r w:rsidR="009802D2">
        <w:rPr>
          <w:rFonts w:cstheme="minorHAnsi"/>
          <w:sz w:val="24"/>
          <w:szCs w:val="24"/>
        </w:rPr>
        <w:t>parameters</w:t>
      </w:r>
      <w:r w:rsidR="009802D2" w:rsidRPr="003D0C88">
        <w:rPr>
          <w:rFonts w:cstheme="minorHAnsi"/>
          <w:sz w:val="24"/>
          <w:szCs w:val="24"/>
        </w:rPr>
        <w:t xml:space="preserve"> </w:t>
      </w:r>
      <w:r w:rsidRPr="003D0C88">
        <w:rPr>
          <w:rFonts w:cstheme="minorHAnsi"/>
          <w:sz w:val="24"/>
          <w:szCs w:val="24"/>
        </w:rPr>
        <w:t xml:space="preserve">assessed were non-invasive intracranial pressure and cerebral perfusion pressure, cerebral autoregulation, </w:t>
      </w:r>
      <w:r w:rsidR="0085302B" w:rsidRPr="003D0C88">
        <w:rPr>
          <w:rFonts w:cstheme="minorHAnsi"/>
          <w:sz w:val="24"/>
          <w:szCs w:val="24"/>
        </w:rPr>
        <w:t xml:space="preserve">pulsatility index, </w:t>
      </w:r>
      <w:r w:rsidRPr="003D0C88">
        <w:rPr>
          <w:rFonts w:cstheme="minorHAnsi"/>
          <w:sz w:val="24"/>
          <w:szCs w:val="24"/>
        </w:rPr>
        <w:t>c</w:t>
      </w:r>
      <w:r w:rsidR="00E91243" w:rsidRPr="003D0C88">
        <w:rPr>
          <w:rFonts w:cstheme="minorHAnsi"/>
          <w:sz w:val="24"/>
          <w:szCs w:val="24"/>
        </w:rPr>
        <w:t>ritical closing pressure</w:t>
      </w:r>
      <w:r w:rsidR="00EA54B0">
        <w:rPr>
          <w:rFonts w:cstheme="minorHAnsi"/>
          <w:sz w:val="24"/>
          <w:szCs w:val="24"/>
        </w:rPr>
        <w:t xml:space="preserve"> and</w:t>
      </w:r>
      <w:r w:rsidR="0085302B" w:rsidRPr="003D0C88">
        <w:rPr>
          <w:rFonts w:cstheme="minorHAnsi"/>
          <w:sz w:val="24"/>
          <w:szCs w:val="24"/>
        </w:rPr>
        <w:t xml:space="preserve"> diastolic closing margin</w:t>
      </w:r>
      <w:r w:rsidR="00E91243" w:rsidRPr="003D0C88">
        <w:rPr>
          <w:rFonts w:cstheme="minorHAnsi"/>
          <w:sz w:val="24"/>
          <w:szCs w:val="24"/>
        </w:rPr>
        <w:t xml:space="preserve">. </w:t>
      </w:r>
      <w:r w:rsidR="0085302B" w:rsidRPr="003D0C88">
        <w:rPr>
          <w:rFonts w:cstheme="minorHAnsi"/>
          <w:bCs/>
          <w:sz w:val="24"/>
          <w:szCs w:val="24"/>
        </w:rPr>
        <w:t>TCD</w:t>
      </w:r>
      <w:r w:rsidR="00EA54B0">
        <w:rPr>
          <w:rFonts w:cstheme="minorHAnsi"/>
          <w:bCs/>
          <w:sz w:val="24"/>
          <w:szCs w:val="24"/>
        </w:rPr>
        <w:t xml:space="preserve"> monitoring revealed marked alterations</w:t>
      </w:r>
      <w:r w:rsidR="0085302B" w:rsidRPr="003D0C88">
        <w:rPr>
          <w:rFonts w:cstheme="minorHAnsi"/>
          <w:bCs/>
          <w:sz w:val="24"/>
          <w:szCs w:val="24"/>
        </w:rPr>
        <w:t xml:space="preserve"> of cerebral haemodynamics in the OLT </w:t>
      </w:r>
      <w:r w:rsidR="003D0C88" w:rsidRPr="003D0C88">
        <w:rPr>
          <w:rFonts w:cstheme="minorHAnsi"/>
          <w:bCs/>
          <w:sz w:val="24"/>
          <w:szCs w:val="24"/>
        </w:rPr>
        <w:t xml:space="preserve">setting </w:t>
      </w:r>
      <w:r w:rsidR="00EA54B0">
        <w:rPr>
          <w:rFonts w:cstheme="minorHAnsi"/>
          <w:bCs/>
          <w:sz w:val="24"/>
          <w:szCs w:val="24"/>
        </w:rPr>
        <w:t xml:space="preserve">and could provide relevant clinical information </w:t>
      </w:r>
      <w:r w:rsidR="00983BDC">
        <w:rPr>
          <w:rFonts w:cstheme="minorHAnsi"/>
          <w:bCs/>
          <w:sz w:val="24"/>
          <w:szCs w:val="24"/>
        </w:rPr>
        <w:t>wh</w:t>
      </w:r>
      <w:r w:rsidR="00EA54B0">
        <w:rPr>
          <w:rFonts w:cstheme="minorHAnsi"/>
          <w:bCs/>
          <w:sz w:val="24"/>
          <w:szCs w:val="24"/>
        </w:rPr>
        <w:t>en</w:t>
      </w:r>
      <w:r w:rsidR="00983BDC">
        <w:rPr>
          <w:rFonts w:cstheme="minorHAnsi"/>
          <w:bCs/>
          <w:sz w:val="24"/>
          <w:szCs w:val="24"/>
        </w:rPr>
        <w:t xml:space="preserve"> there is imminent</w:t>
      </w:r>
      <w:r w:rsidR="003E1EEA" w:rsidRPr="003D0C88">
        <w:rPr>
          <w:rFonts w:cstheme="minorHAnsi"/>
          <w:bCs/>
          <w:sz w:val="24"/>
          <w:szCs w:val="24"/>
        </w:rPr>
        <w:t xml:space="preserve"> risk of </w:t>
      </w:r>
      <w:r w:rsidR="0085302B" w:rsidRPr="003D0C88">
        <w:rPr>
          <w:rFonts w:cstheme="minorHAnsi"/>
          <w:bCs/>
          <w:sz w:val="24"/>
          <w:szCs w:val="24"/>
        </w:rPr>
        <w:t>neurological impairment.</w:t>
      </w:r>
    </w:p>
    <w:p w14:paraId="0E6C8B9C" w14:textId="77777777" w:rsidR="009802D2" w:rsidRPr="003D0C88" w:rsidRDefault="009802D2" w:rsidP="003D0C88">
      <w:pPr>
        <w:pStyle w:val="NoSpacing"/>
        <w:spacing w:line="480" w:lineRule="auto"/>
        <w:jc w:val="both"/>
        <w:rPr>
          <w:rFonts w:cstheme="minorHAnsi"/>
          <w:bCs/>
          <w:sz w:val="24"/>
          <w:szCs w:val="24"/>
        </w:rPr>
      </w:pPr>
    </w:p>
    <w:p w14:paraId="4A7D9169" w14:textId="72E9D804" w:rsidR="0085302B" w:rsidRDefault="0006042C" w:rsidP="003D0C88">
      <w:pPr>
        <w:pStyle w:val="NoSpacing"/>
        <w:spacing w:line="480" w:lineRule="auto"/>
        <w:jc w:val="both"/>
        <w:rPr>
          <w:rFonts w:cstheme="minorHAnsi"/>
          <w:sz w:val="24"/>
          <w:szCs w:val="24"/>
        </w:rPr>
      </w:pPr>
      <w:r w:rsidRPr="008A4C70">
        <w:rPr>
          <w:rFonts w:cstheme="minorHAnsi"/>
          <w:b/>
          <w:sz w:val="24"/>
          <w:szCs w:val="24"/>
        </w:rPr>
        <w:t>Keywords:</w:t>
      </w:r>
      <w:r w:rsidRPr="003D0C88">
        <w:rPr>
          <w:rFonts w:cstheme="minorHAnsi"/>
          <w:sz w:val="24"/>
          <w:szCs w:val="24"/>
        </w:rPr>
        <w:t xml:space="preserve"> liver failure; neuromonitoring; transcranial Doppler; cerebral oedema</w:t>
      </w:r>
      <w:r w:rsidR="00FE40B0" w:rsidRPr="003D0C88">
        <w:rPr>
          <w:rFonts w:cstheme="minorHAnsi"/>
          <w:sz w:val="24"/>
          <w:szCs w:val="24"/>
        </w:rPr>
        <w:t>; cerebral perfusion pressure</w:t>
      </w:r>
    </w:p>
    <w:p w14:paraId="10110F09" w14:textId="193AF39B" w:rsidR="009802D2" w:rsidRDefault="009802D2" w:rsidP="003D0C88">
      <w:pPr>
        <w:pStyle w:val="NoSpacing"/>
        <w:spacing w:line="480" w:lineRule="auto"/>
        <w:jc w:val="both"/>
        <w:rPr>
          <w:rFonts w:cstheme="minorHAnsi"/>
          <w:sz w:val="24"/>
          <w:szCs w:val="24"/>
        </w:rPr>
      </w:pPr>
    </w:p>
    <w:p w14:paraId="05A02E1F" w14:textId="2ED36F87" w:rsidR="00071AF3" w:rsidRDefault="00071AF3" w:rsidP="003D0C88">
      <w:pPr>
        <w:pStyle w:val="NoSpacing"/>
        <w:spacing w:line="480" w:lineRule="auto"/>
        <w:jc w:val="both"/>
        <w:rPr>
          <w:rFonts w:cstheme="minorHAnsi"/>
          <w:sz w:val="24"/>
          <w:szCs w:val="24"/>
        </w:rPr>
      </w:pPr>
    </w:p>
    <w:p w14:paraId="006A4A5D" w14:textId="787BCEC9" w:rsidR="00071AF3" w:rsidRDefault="00071AF3" w:rsidP="003D0C88">
      <w:pPr>
        <w:pStyle w:val="NoSpacing"/>
        <w:spacing w:line="480" w:lineRule="auto"/>
        <w:jc w:val="both"/>
        <w:rPr>
          <w:rFonts w:cstheme="minorHAnsi"/>
          <w:sz w:val="24"/>
          <w:szCs w:val="24"/>
        </w:rPr>
      </w:pPr>
    </w:p>
    <w:p w14:paraId="40B8F6A5" w14:textId="5EEA8A60" w:rsidR="00071AF3" w:rsidRDefault="00071AF3" w:rsidP="003D0C88">
      <w:pPr>
        <w:pStyle w:val="NoSpacing"/>
        <w:spacing w:line="480" w:lineRule="auto"/>
        <w:jc w:val="both"/>
        <w:rPr>
          <w:rFonts w:cstheme="minorHAnsi"/>
          <w:sz w:val="24"/>
          <w:szCs w:val="24"/>
        </w:rPr>
      </w:pPr>
    </w:p>
    <w:p w14:paraId="66CB6335" w14:textId="1C4FD32D" w:rsidR="00071AF3" w:rsidRDefault="00071AF3" w:rsidP="003D0C88">
      <w:pPr>
        <w:pStyle w:val="NoSpacing"/>
        <w:spacing w:line="480" w:lineRule="auto"/>
        <w:jc w:val="both"/>
        <w:rPr>
          <w:rFonts w:cstheme="minorHAnsi"/>
          <w:sz w:val="24"/>
          <w:szCs w:val="24"/>
        </w:rPr>
      </w:pPr>
    </w:p>
    <w:p w14:paraId="3D6516BA" w14:textId="5C855484" w:rsidR="00071AF3" w:rsidRDefault="00071AF3" w:rsidP="003D0C88">
      <w:pPr>
        <w:pStyle w:val="NoSpacing"/>
        <w:spacing w:line="480" w:lineRule="auto"/>
        <w:jc w:val="both"/>
        <w:rPr>
          <w:rFonts w:cstheme="minorHAnsi"/>
          <w:sz w:val="24"/>
          <w:szCs w:val="24"/>
        </w:rPr>
      </w:pPr>
    </w:p>
    <w:p w14:paraId="5B8B9429" w14:textId="4D9B3A37" w:rsidR="009032F1" w:rsidRDefault="009032F1" w:rsidP="003D0C88">
      <w:pPr>
        <w:pStyle w:val="NoSpacing"/>
        <w:spacing w:line="480" w:lineRule="auto"/>
        <w:jc w:val="both"/>
        <w:rPr>
          <w:rFonts w:cstheme="minorHAnsi"/>
          <w:b/>
          <w:sz w:val="24"/>
          <w:szCs w:val="24"/>
        </w:rPr>
      </w:pPr>
    </w:p>
    <w:p w14:paraId="57153129" w14:textId="22A82AC7" w:rsidR="009032F1" w:rsidRDefault="009032F1" w:rsidP="003D0C88">
      <w:pPr>
        <w:pStyle w:val="NoSpacing"/>
        <w:spacing w:line="480" w:lineRule="auto"/>
        <w:jc w:val="both"/>
        <w:rPr>
          <w:rFonts w:cstheme="minorHAnsi"/>
          <w:b/>
          <w:sz w:val="24"/>
          <w:szCs w:val="24"/>
        </w:rPr>
      </w:pPr>
    </w:p>
    <w:p w14:paraId="2F521910" w14:textId="77777777" w:rsidR="004006B5" w:rsidRPr="003D0C88" w:rsidRDefault="004006B5" w:rsidP="00DC2A24">
      <w:pPr>
        <w:pStyle w:val="BodyText2"/>
        <w:framePr w:hSpace="0" w:wrap="auto" w:vAnchor="margin" w:hAnchor="text" w:xAlign="left" w:yAlign="inline"/>
        <w:spacing w:before="120" w:after="120" w:line="480" w:lineRule="auto"/>
        <w:jc w:val="both"/>
        <w:rPr>
          <w:rFonts w:asciiTheme="minorHAnsi" w:hAnsiTheme="minorHAnsi" w:cstheme="minorHAnsi"/>
          <w:sz w:val="24"/>
        </w:rPr>
      </w:pPr>
      <w:r w:rsidRPr="003D0C88">
        <w:rPr>
          <w:rFonts w:asciiTheme="minorHAnsi" w:hAnsiTheme="minorHAnsi" w:cstheme="minorHAnsi"/>
          <w:sz w:val="24"/>
        </w:rPr>
        <w:lastRenderedPageBreak/>
        <w:t>Introduction</w:t>
      </w:r>
    </w:p>
    <w:p w14:paraId="7B983EC5" w14:textId="3445FFEC" w:rsidR="00DD0C81" w:rsidRPr="003D0C88" w:rsidRDefault="00693849" w:rsidP="00A1282F">
      <w:pPr>
        <w:pStyle w:val="BodyText3"/>
        <w:spacing w:line="480" w:lineRule="auto"/>
        <w:jc w:val="both"/>
        <w:rPr>
          <w:rFonts w:cstheme="minorHAnsi"/>
          <w:sz w:val="24"/>
          <w:szCs w:val="24"/>
        </w:rPr>
      </w:pPr>
      <w:r>
        <w:rPr>
          <w:rFonts w:cstheme="minorHAnsi"/>
          <w:sz w:val="24"/>
          <w:szCs w:val="24"/>
        </w:rPr>
        <w:tab/>
      </w:r>
      <w:r w:rsidR="000063B9" w:rsidRPr="003D0C88">
        <w:rPr>
          <w:rFonts w:cstheme="minorHAnsi"/>
          <w:sz w:val="24"/>
          <w:szCs w:val="24"/>
        </w:rPr>
        <w:t>The pathophysiology of hepatic encephalopathy is not completely understood, but the development of cerebral oedema resulting in intracranial hypertension (ICH) and neurologic deterioration is a well-known phenomenon of acute liver failure (ALF)</w:t>
      </w:r>
      <w:r w:rsidR="002B4EE5">
        <w:rPr>
          <w:rFonts w:cstheme="minorHAnsi"/>
          <w:sz w:val="24"/>
          <w:szCs w:val="24"/>
        </w:rPr>
        <w:t xml:space="preserve"> </w:t>
      </w:r>
      <w:r w:rsidR="000063B9" w:rsidRPr="003D0C88">
        <w:rPr>
          <w:rFonts w:cstheme="minorHAnsi"/>
          <w:sz w:val="24"/>
          <w:szCs w:val="24"/>
        </w:rPr>
        <w:fldChar w:fldCharType="begin" w:fldLock="1"/>
      </w:r>
      <w:r w:rsidR="004030CD">
        <w:rPr>
          <w:rFonts w:cstheme="minorHAnsi"/>
          <w:sz w:val="24"/>
          <w:szCs w:val="24"/>
        </w:rPr>
        <w:instrText>ADDIN CSL_CITATION {"citationItems":[{"id":"ITEM-1","itemData":{"DOI":"10.1016/j.jhep.2007.01.011","ISSN":"01688278","PMID":"17316881","author":[{"dropping-particle":"","family":"Blei","given":"Andres T.","non-dropping-particle":"","parse-names":false,"suffix":""}],"container-title":"Journal of Hepatology","id":"ITEM-1","issue":"4","issued":{"date-parts":[["2007","4"]]},"page":"564-569","title":"Brain edema in acute liver failure: Can it be prevented? Can it be treated?","type":"article-journal","volume":"46"},"uris":["http://www.mendeley.com/documents/?uuid=1fdf0981-68fc-3c3d-a00a-57e6c7e71d49","http://www.mendeley.com/documents/?uuid=206d7a03-3832-44e8-95d0-48d8ea98b7de"]}],"mendeley":{"formattedCitation":"(Blei 2007)","plainTextFormattedCitation":"(Blei 2007)","previouslyFormattedCitation":"(Blei 2007)"},"properties":{"noteIndex":0},"schema":"https://github.com/citation-style-language/schema/raw/master/csl-citation.json"}</w:instrText>
      </w:r>
      <w:r w:rsidR="000063B9" w:rsidRPr="003D0C88">
        <w:rPr>
          <w:rFonts w:cstheme="minorHAnsi"/>
          <w:sz w:val="24"/>
          <w:szCs w:val="24"/>
        </w:rPr>
        <w:fldChar w:fldCharType="separate"/>
      </w:r>
      <w:r w:rsidR="00464A24" w:rsidRPr="003D0C88">
        <w:rPr>
          <w:rFonts w:cstheme="minorHAnsi"/>
          <w:noProof/>
          <w:sz w:val="24"/>
          <w:szCs w:val="24"/>
        </w:rPr>
        <w:t>(Blei 2007)</w:t>
      </w:r>
      <w:r w:rsidR="000063B9" w:rsidRPr="003D0C88">
        <w:rPr>
          <w:rFonts w:cstheme="minorHAnsi"/>
          <w:sz w:val="24"/>
          <w:szCs w:val="24"/>
        </w:rPr>
        <w:fldChar w:fldCharType="end"/>
      </w:r>
      <w:r w:rsidR="002B4EE5">
        <w:rPr>
          <w:rFonts w:cstheme="minorHAnsi"/>
          <w:sz w:val="24"/>
          <w:szCs w:val="24"/>
        </w:rPr>
        <w:t xml:space="preserve"> </w:t>
      </w:r>
      <w:r w:rsidR="000063B9" w:rsidRPr="003D0C88">
        <w:rPr>
          <w:rFonts w:cstheme="minorHAnsi"/>
          <w:sz w:val="24"/>
          <w:szCs w:val="24"/>
        </w:rPr>
        <w:fldChar w:fldCharType="begin" w:fldLock="1"/>
      </w:r>
      <w:r w:rsidR="004030CD">
        <w:rPr>
          <w:rFonts w:cstheme="minorHAnsi"/>
          <w:sz w:val="24"/>
          <w:szCs w:val="24"/>
        </w:rPr>
        <w:instrText>ADDIN CSL_CITATION {"citationItems":[{"id":"ITEM-1","itemData":{"DOI":"10.1016/j.neuint.2005.04.009","ISSN":"01970186","PMID":"15961187","abstract":"Brain edema leading to intracranial hypertension is a cause of death in acute liver failure (ALF). The pathogenesis of this unique complication has been investigated in man, in experimental models and in isolated cell systems. From this experience, an integrated view has emerged, pointing at several mechanisms that contribute to cerebral swelling; an osmotic derangement in astrocytes, changes in cellular metabolism as well as alterations of cerebral blood flow. The ability of mild hypothermia to counteract each of these changes in experimental systems has supported the organization of a clinical trial of mild cooling in this disease. Such an advance can be viewed as the clinical translation of 20 years of research in this area. © 2005 Elsevier Ltd. All rights reserved.","author":[{"dropping-particle":"","family":"Blei","given":"Andres T.","non-dropping-particle":"","parse-names":false,"suffix":""}],"container-title":"Neurochemistry International","id":"ITEM-1","issue":"1-2 SPEC. ISS.","issued":{"date-parts":[["2005"]]},"page":"71-77","title":"The pathophysiology of brain edema in acute liver failure","type":"article-journal","volume":"47"},"uris":["http://www.mendeley.com/documents/?uuid=24856e40-5876-461d-882d-dfcdab2a673e","http://www.mendeley.com/documents/?uuid=b361e7cf-7e59-4aed-8e94-b5fdca752c0f"]}],"mendeley":{"formattedCitation":"(Blei 2005)","plainTextFormattedCitation":"(Blei 2005)","previouslyFormattedCitation":"(Blei 2005)"},"properties":{"noteIndex":0},"schema":"https://github.com/citation-style-language/schema/raw/master/csl-citation.json"}</w:instrText>
      </w:r>
      <w:r w:rsidR="000063B9" w:rsidRPr="003D0C88">
        <w:rPr>
          <w:rFonts w:cstheme="minorHAnsi"/>
          <w:sz w:val="24"/>
          <w:szCs w:val="24"/>
        </w:rPr>
        <w:fldChar w:fldCharType="separate"/>
      </w:r>
      <w:r w:rsidR="00464A24" w:rsidRPr="003D0C88">
        <w:rPr>
          <w:rFonts w:cstheme="minorHAnsi"/>
          <w:noProof/>
          <w:sz w:val="24"/>
          <w:szCs w:val="24"/>
        </w:rPr>
        <w:t>(Blei 2005)</w:t>
      </w:r>
      <w:r w:rsidR="000063B9" w:rsidRPr="003D0C88">
        <w:rPr>
          <w:rFonts w:cstheme="minorHAnsi"/>
          <w:sz w:val="24"/>
          <w:szCs w:val="24"/>
        </w:rPr>
        <w:fldChar w:fldCharType="end"/>
      </w:r>
      <w:r w:rsidR="000063B9" w:rsidRPr="003D0C88">
        <w:rPr>
          <w:rFonts w:cstheme="minorHAnsi"/>
          <w:sz w:val="24"/>
          <w:szCs w:val="24"/>
        </w:rPr>
        <w:t xml:space="preserve">. </w:t>
      </w:r>
    </w:p>
    <w:p w14:paraId="48AB3C27" w14:textId="22773003" w:rsidR="007543BE" w:rsidRPr="003D0C88" w:rsidRDefault="00693849" w:rsidP="007543BE">
      <w:pPr>
        <w:pStyle w:val="BodyText3"/>
        <w:spacing w:line="480" w:lineRule="auto"/>
        <w:jc w:val="both"/>
        <w:rPr>
          <w:rFonts w:cstheme="minorHAnsi"/>
          <w:sz w:val="24"/>
          <w:szCs w:val="24"/>
        </w:rPr>
      </w:pPr>
      <w:r>
        <w:rPr>
          <w:rFonts w:cstheme="minorHAnsi"/>
          <w:color w:val="231F20"/>
          <w:sz w:val="24"/>
          <w:szCs w:val="24"/>
        </w:rPr>
        <w:tab/>
      </w:r>
      <w:r w:rsidR="007543BE" w:rsidRPr="003D0C88">
        <w:rPr>
          <w:rFonts w:cstheme="minorHAnsi"/>
          <w:color w:val="231F20"/>
          <w:sz w:val="24"/>
          <w:szCs w:val="24"/>
        </w:rPr>
        <w:t xml:space="preserve">ICH development may be linked to both the systemic inflammatory state and effects of neurotoxins in ALF. Cerebral </w:t>
      </w:r>
      <w:r w:rsidR="007543BE" w:rsidRPr="003D0C88">
        <w:rPr>
          <w:rFonts w:cstheme="minorHAnsi"/>
          <w:noProof/>
          <w:color w:val="231F20"/>
          <w:sz w:val="24"/>
          <w:szCs w:val="24"/>
        </w:rPr>
        <w:t>hyperammonaemia</w:t>
      </w:r>
      <w:r w:rsidR="007543BE" w:rsidRPr="003D0C88">
        <w:rPr>
          <w:rFonts w:cstheme="minorHAnsi"/>
          <w:color w:val="231F20"/>
          <w:sz w:val="24"/>
          <w:szCs w:val="24"/>
        </w:rPr>
        <w:t xml:space="preserve"> due to compromised detoxification in the failing </w:t>
      </w:r>
      <w:r w:rsidR="007543BE" w:rsidRPr="003D0C88">
        <w:rPr>
          <w:rFonts w:cstheme="minorHAnsi"/>
          <w:noProof/>
          <w:color w:val="231F20"/>
          <w:sz w:val="24"/>
          <w:szCs w:val="24"/>
        </w:rPr>
        <w:t>liver</w:t>
      </w:r>
      <w:r w:rsidR="007543BE" w:rsidRPr="003D0C88">
        <w:rPr>
          <w:rFonts w:cstheme="minorHAnsi"/>
          <w:color w:val="231F20"/>
          <w:sz w:val="24"/>
          <w:szCs w:val="24"/>
        </w:rPr>
        <w:t xml:space="preserve"> results in its enzymatic conversion to osmotically active glutamine, with subsequent astrocyte swelling and brain oedema </w:t>
      </w:r>
      <w:r w:rsidR="007543BE" w:rsidRPr="003D0C88">
        <w:rPr>
          <w:rFonts w:cstheme="minorHAnsi"/>
          <w:color w:val="231F20"/>
          <w:sz w:val="24"/>
          <w:szCs w:val="24"/>
        </w:rPr>
        <w:fldChar w:fldCharType="begin" w:fldLock="1"/>
      </w:r>
      <w:r w:rsidR="004030CD">
        <w:rPr>
          <w:rFonts w:cstheme="minorHAnsi"/>
          <w:color w:val="231F20"/>
          <w:sz w:val="24"/>
          <w:szCs w:val="24"/>
        </w:rPr>
        <w:instrText>ADDIN CSL_CITATION {"citationItems":[{"id":"ITEM-1","itemData":{"DOI":"10.1007/s11011-014-9494-7","ISBN":"1101101494947","ISSN":"15737365","PMID":"24488230","abstract":"Hyperammonemia is necessary for development of the cerebral complications to liver disease including hepatic encephalopathy and cerebral edema but the mechanisms are unclear. Ammonia is taken up by the brain in proportion to its arterial concentration. The flux into the brain is most likely by both diffusion of NH3 and mediated transport of NH4 (+) . Astrocytic detoxification of ammonia involves formation of glutamine at concentrations high enough to produce cellular edema, but compensatory mechanisms reduce this effect. Glutamine can be taken up by astrocytic mitochondria and initiate the mitochondrial permeability transition but the clinical relevance is uncertain. Elevated astrocytic glutamine interferes with neurotransmission. Thus, animal studies show enhanced glutamatergic neurotransmission via the NMDA receptor which may be related to the acute cerebral complications to liver failure, while impairment of the NMDA activated glutamate-NO-cGMP pathway could relate to the behavioural changes seen in hepatic encephalopathy. Elevated glutamine also increases GABA-ergic tone, an effect which is aggravated by mitochondrial production of neurosteroids; this may relate to decreased neurotransmission and precipitation of encephalopathy by GABA targeting drugs. Hyperammonemia may compromise cerebral energy metabolism as elevated cerebral lactate is generally reported. Hypoxia is unlikely since cerebral oxygen:glucose utilisation and lactate:pyruvate ratio are both normal in clinical studies. Ammonia inhibits α-ketoglutaratedehydrogenase in isolated mitochondria, but the clinical relevance is dubious due to the observed normal cerebral oxygen:glucose utilization. Recent studies suggest that ammonia stimulates glycolysis in excess of TCA cycle activity, a hypothesis that may warrant further testing, in being in accordance with the limited clinical observations.","author":[{"dropping-particle":"","family":"Ott","given":"Peter","non-dropping-particle":"","parse-names":false,"suffix":""},{"dropping-particle":"","family":"Vilstrup","given":"Hendrik","non-dropping-particle":"","parse-names":false,"suffix":""}],"container-title":"Metabolic Brain Disease","id":"ITEM-1","issue":"4","issued":{"date-parts":[["2014"]]},"page":"901-911","title":"Cerebral effects of ammonia in liver disease: current hypotheses","type":"article-journal","volume":"29"},"uris":["http://www.mendeley.com/documents/?uuid=e5a53aef-05cc-4dc8-94f0-b02225bb0b2e","http://www.mendeley.com/documents/?uuid=6825bdb1-b067-4d94-8377-ad88ebf3aca8"]}],"mendeley":{"formattedCitation":"(Ott and Vilstrup 2014)","plainTextFormattedCitation":"(Ott and Vilstrup 2014)","previouslyFormattedCitation":"(Ott and Vilstrup 2014)"},"properties":{"noteIndex":0},"schema":"https://github.com/citation-style-language/schema/raw/master/csl-citation.json"}</w:instrText>
      </w:r>
      <w:r w:rsidR="007543BE" w:rsidRPr="003D0C88">
        <w:rPr>
          <w:rFonts w:cstheme="minorHAnsi"/>
          <w:color w:val="231F20"/>
          <w:sz w:val="24"/>
          <w:szCs w:val="24"/>
        </w:rPr>
        <w:fldChar w:fldCharType="separate"/>
      </w:r>
      <w:r w:rsidR="00464A24" w:rsidRPr="003D0C88">
        <w:rPr>
          <w:rFonts w:cstheme="minorHAnsi"/>
          <w:noProof/>
          <w:color w:val="231F20"/>
          <w:sz w:val="24"/>
          <w:szCs w:val="24"/>
        </w:rPr>
        <w:t>(Ott and Vilstrup 2014)</w:t>
      </w:r>
      <w:r w:rsidR="007543BE" w:rsidRPr="003D0C88">
        <w:rPr>
          <w:rFonts w:cstheme="minorHAnsi"/>
          <w:color w:val="231F20"/>
          <w:sz w:val="24"/>
          <w:szCs w:val="24"/>
        </w:rPr>
        <w:fldChar w:fldCharType="end"/>
      </w:r>
      <w:r w:rsidR="007543BE" w:rsidRPr="003D0C88">
        <w:rPr>
          <w:rFonts w:cstheme="minorHAnsi"/>
          <w:color w:val="231F20"/>
          <w:sz w:val="24"/>
          <w:szCs w:val="24"/>
        </w:rPr>
        <w:t xml:space="preserve">. </w:t>
      </w:r>
      <w:r w:rsidR="007543BE" w:rsidRPr="003D0C88">
        <w:rPr>
          <w:rFonts w:cstheme="minorHAnsi"/>
          <w:sz w:val="24"/>
          <w:szCs w:val="24"/>
        </w:rPr>
        <w:t xml:space="preserve">Although the prevalence and mortality caused by these complications have decreased in the past years due to advancements in treatment, the onset of oedema and ICH in ALF patients represent a leading cause </w:t>
      </w:r>
      <w:r w:rsidR="007543BE" w:rsidRPr="003D0C88">
        <w:rPr>
          <w:rFonts w:cstheme="minorHAnsi"/>
          <w:noProof/>
          <w:sz w:val="24"/>
          <w:szCs w:val="24"/>
        </w:rPr>
        <w:t>of</w:t>
      </w:r>
      <w:r w:rsidR="007543BE" w:rsidRPr="003D0C88">
        <w:rPr>
          <w:rFonts w:cstheme="minorHAnsi"/>
          <w:sz w:val="24"/>
          <w:szCs w:val="24"/>
        </w:rPr>
        <w:t xml:space="preserve"> death (mortality &gt;50%) </w:t>
      </w:r>
      <w:r w:rsidR="007543BE" w:rsidRPr="003D0C88">
        <w:rPr>
          <w:rFonts w:cstheme="minorHAnsi"/>
          <w:sz w:val="24"/>
          <w:szCs w:val="24"/>
        </w:rPr>
        <w:fldChar w:fldCharType="begin" w:fldLock="1"/>
      </w:r>
      <w:r w:rsidR="004030CD">
        <w:rPr>
          <w:rFonts w:cstheme="minorHAnsi"/>
          <w:sz w:val="24"/>
          <w:szCs w:val="24"/>
        </w:rPr>
        <w:instrText>ADDIN CSL_CITATION {"citationItems":[{"id":"ITEM-1","itemData":{"DOI":"10.1016/j.jhep.2013.02.010","ISBN":"1600-0641 (Electronic)\\r0168-8278 (Linking)","ISSN":"01688278","PMID":"23439263","abstract":"Background &amp; Aims: Acute liver failure (ALF) is a rapidly progressive critical illness with high mortality. Complex intensive care unit (ICU) protocols and emergency liver transplantation (ELT) are now often available, but rarity and severity of illness have limited its study and evidence-base for care. We reviewed patients treated over a 35-year period at a specialist high-volume ICU, quantifying changes in disease aetiology, severity and evolution of ICU support and ELT use and outcome. Methods: Review of adult patients admitted during the period 1973-2008, with acute liver dysfunction and coagulopathy with overt hepatic encephalopathy (ALF) and those without (acute liver injury; ALI). Results: 3305 patients fulfilled inclusion criteria, 2095 with ALF. Overall hospital survival increased from 30% in 1973-78 to 76% in 2004-08; in ALF from 17% to 62% (both p &lt;0.0001). In ALF patients treated without ELT, survival rose from 17% to 48% (p &lt;0.0001); in those undergoing ELT (n = 387) from 56% in 1984-88 to 86% in 2004-08 (p &lt;0.01). Coincident with drug sales-restriction, paracetamol-related admissions fell significantly. Viral admissions fell from 56% to 17% of non-paracetamol cases (p &lt;0.0001). Admission markers of liver injury severity fell significantly and the proportion of patients with intracranial hypertension (ICH) fell from 76% in 1984-88 to 20% in 2004-08 (p &lt;0.0001). In those with ICH, mortality fell from 95% to 55% (p &lt;0.0001). Conclusions: The nature and outcome of ALF have transformed over 35 years, with major improvements in survival and a fall in prevalence of cerebral oedema and ICH, likely consequent upon earlier illness recognition, improved ICU care, and use of ELT. ?? 2013 European Association for the Study of the Liver. Published.","author":[{"dropping-particle":"","family":"Bernal","given":"William","non-dropping-particle":"","parse-names":false,"suffix":""},{"dropping-particle":"","family":"Hyyrylainen","given":"Anna","non-dropping-particle":"","parse-names":false,"suffix":""},{"dropping-particle":"","family":"Gera","given":"Amit","non-dropping-particle":"","parse-names":false,"suffix":""},{"dropping-particle":"","family":"Audimoolam","given":"Vinod K.","non-dropping-particle":"","parse-names":false,"suffix":""},{"dropping-particle":"","family":"McPhail","given":"Mark J W","non-dropping-particle":"","parse-names":false,"suffix":""},{"dropping-particle":"","family":"Auzinger","given":"Georg","non-dropping-particle":"","parse-names":false,"suffix":""},{"dropping-particle":"","family":"Rela","given":"Mohammed","non-dropping-particle":"","parse-names":false,"suffix":""},{"dropping-particle":"","family":"Heaton","given":"Nigel","non-dropping-particle":"","parse-names":false,"suffix":""},{"dropping-particle":"","family":"O'Grady","given":"John G.","non-dropping-particle":"","parse-names":false,"suffix":""},{"dropping-particle":"","family":"Wendon","given":"Julia","non-dropping-particle":"","parse-names":false,"suffix":""},{"dropping-particle":"","family":"Williams","given":"Roger","non-dropping-particle":"","parse-names":false,"suffix":""}],"container-title":"Journal of Hepatology","id":"ITEM-1","issue":"1","issued":{"date-parts":[["2013"]]},"page":"74-80","title":"Lessons from look-back in acute liver failure? A single centre experience of 3300 patients","type":"article-journal","volume":"59"},"uris":["http://www.mendeley.com/documents/?uuid=8ab60685-0ebc-4c1d-b211-0229a435e4f5","http://www.mendeley.com/documents/?uuid=682f53ac-0e68-493e-9215-153972d7d5ec"]}],"mendeley":{"formattedCitation":"(Bernal et al. 2013)","plainTextFormattedCitation":"(Bernal et al. 2013)","previouslyFormattedCitation":"(Bernal et al. 2013)"},"properties":{"noteIndex":0},"schema":"https://github.com/citation-style-language/schema/raw/master/csl-citation.json"}</w:instrText>
      </w:r>
      <w:r w:rsidR="007543BE" w:rsidRPr="003D0C88">
        <w:rPr>
          <w:rFonts w:cstheme="minorHAnsi"/>
          <w:sz w:val="24"/>
          <w:szCs w:val="24"/>
        </w:rPr>
        <w:fldChar w:fldCharType="separate"/>
      </w:r>
      <w:r w:rsidR="00464A24" w:rsidRPr="003D0C88">
        <w:rPr>
          <w:rFonts w:cstheme="minorHAnsi"/>
          <w:noProof/>
          <w:sz w:val="24"/>
          <w:szCs w:val="24"/>
        </w:rPr>
        <w:t>(Bernal et al. 2013)</w:t>
      </w:r>
      <w:r w:rsidR="007543BE" w:rsidRPr="003D0C88">
        <w:rPr>
          <w:rFonts w:cstheme="minorHAnsi"/>
          <w:sz w:val="24"/>
          <w:szCs w:val="24"/>
        </w:rPr>
        <w:fldChar w:fldCharType="end"/>
      </w:r>
      <w:r w:rsidR="007543BE" w:rsidRPr="003D0C88">
        <w:rPr>
          <w:rFonts w:cstheme="minorHAnsi"/>
          <w:sz w:val="24"/>
          <w:szCs w:val="24"/>
        </w:rPr>
        <w:t xml:space="preserve"> and permanent neurological damage </w:t>
      </w:r>
      <w:r w:rsidR="007543BE" w:rsidRPr="003D0C88">
        <w:rPr>
          <w:rFonts w:cstheme="minorHAnsi"/>
          <w:sz w:val="24"/>
          <w:szCs w:val="24"/>
        </w:rPr>
        <w:fldChar w:fldCharType="begin" w:fldLock="1"/>
      </w:r>
      <w:r w:rsidR="004030CD">
        <w:rPr>
          <w:rFonts w:cstheme="minorHAnsi"/>
          <w:sz w:val="24"/>
          <w:szCs w:val="24"/>
        </w:rPr>
        <w:instrText>ADDIN CSL_CITATION {"citationItems":[{"id":"ITEM-1","itemData":{"DOI":"10.1002/lt.21931","ISBN":"1527-6473","ISSN":"15276465","abstract":"Acute liver failure continues to be associated with a high mortality\\nrate, and emergency liver transplantation is often the only life-saving\\ntreatment. The short-term outcomes are decidedly worse in comparison\\nwith those for nonurgent cases, whereas the long-term results have not\\nbeen reported as extensively. We report our center's experience with\\nurgent liver transplantation, long-term survival, and major\\ncomplications. From 1994 to 2007, 60 patients had emergency liver\\ntransplantation for acute liver failure. The waiting list mortality rate\\nwas 6%. The mean waiting time was 2.7 days. Post-transplantation, the\\nperioperative mortality rate was 15%, and complications included\\nneurological problems (13%), biliary problems (10%), and hepatic\\nartery thrombosis (5%). The 5- and 10-year patient survival rates were\\n76% and 69%, respectively, and the graft survival rates were 65% and\\n59%. Recipients of blood group-incompatible grafts had an 83%\\nretransplantation rate. Univariate analysis by Cox regression analysis\\nfound that cerebral edema and extended criteria donor grafts were\\nassociated with worse long-term survival. Severe cerebral edema on a\\ncomputed tomography scan pre-transplant was associated with either early\\nmortality or permanent neurological deficits. The keys to long-term\\nsuccess and continued progress in urgent liver transplantation are the\\nuse of good-quality whole grafts and a short waiting list time, both of\\nwhich depend on access to a sufficient pool of organ donors. Severe\\npreoperative cerebral edema should be a relative contraindication to\\ntransplantation. Liver Transpl 15: 1696-1702, 2009. (C) 2009 AASLD.","author":[{"dropping-particle":"","family":"Chan","given":"Gabriel","non-dropping-particle":"","parse-names":false,"suffix":""},{"dropping-particle":"","family":"Taqi","given":"Ali","non-dropping-particle":"","parse-names":false,"suffix":""},{"dropping-particle":"","family":"Marotta","given":"Paul","non-dropping-particle":"","parse-names":false,"suffix":""},{"dropping-particle":"","family":"Levstik","given":"Mark","non-dropping-particle":"","parse-names":false,"suffix":""},{"dropping-particle":"","family":"McAlister","given":"Vivian","non-dropping-particle":"","parse-names":false,"suffix":""},{"dropping-particle":"","family":"Wall","given":"William","non-dropping-particle":"","parse-names":false,"suffix":""},{"dropping-particle":"","family":"Quan","given":"Douglas","non-dropping-particle":"","parse-names":false,"suffix":""}],"container-title":"Liver Transplantation","id":"ITEM-1","issue":"12","issued":{"date-parts":[["2009"]]},"page":"1696-1702","title":"Long-term outcomes of emergency liver transplantation for acute liver failure","type":"article-journal","volume":"15"},"uris":["http://www.mendeley.com/documents/?uuid=190c2b5f-fd93-4206-8ee5-fa692d7d4590","http://www.mendeley.com/documents/?uuid=b1fe4f0d-57d2-45d5-9416-c0c8fb4a013e"]},{"id":"ITEM-2","itemData":{"DOI":"10.1097/TP.0b013e3182620596","ISSN":"1534-6080","PMID":"22936036","abstract":"BACKGROUND Alterations in the central nervous system in patients with acute liver failure (ALF) present unique challenges in the perioperative period. In this retrospective study, we examined pretransplant neurological presentation and the incidence, clinical presentation, and risk factors associated with severe posttransplant brain injury (BI) in ALF patients undergoing orthotopic liver transplantation (OLT). METHODS After institutional review board approval, ALF patients who underwent OLT between 2004 and 2010 at our center were reviewed. Pretransplant neurological presentation and severe posttransplant BI were examined. Risk factors for the latter were identified. RESULTS During the study period, 90 (67 adults and 23 children) ALF patients underwent primary OLT. Preoperatively, all patients developed encephalopathy, 6 had seizure activity, 32 had radiological evidence of cerebral edema, and 11 had severe cerebral edema. After OLT, 7 patients developed severe posttransplant BI. Of these 7 patients, 4 had brain death, and 3 had irreversible injury that precluded them from living independently. Severe pretransplant cerebral edema and a higher posttransplant international normalized ratio (odds ratios and 95% confidence intervals: 50.2, 5.8-433.5 [P&lt;0.001] and 3.1, 1.1-8.8 [P=0.031], respectively) were risk factors associated with severe posttransplant BI. CONCLUSIONS Pretransplant neurological complications were prevalent, and severe posttransplant BI occurred at a rate of 7.8% and was significantly associated with severe pretransplant cerebral edema and postoperative international normalized ratio. Our findings support the use of pretransplant computed tomography. If severe pretransplant cerebral edema is confirmed, efforts should be made to aggressively control intracranial pressure and select a proper donor to minimize the risk of severe posttransplant BI and futile transplantation.","author":[{"dropping-particle":"","family":"Tan","given":"Wen-Fei","non-dropping-particle":"","parse-names":false,"suffix":""},{"dropping-particle":"","family":"Steadman","given":"Randolph H","non-dropping-particle":"","parse-names":false,"suffix":""},{"dropping-particle":"","family":"Farmer","given":"Douglas G","non-dropping-particle":"","parse-names":false,"suffix":""},{"dropping-particle":"","family":"Hong","given":"Johnny C","non-dropping-particle":"","parse-names":false,"suffix":""},{"dropping-particle":"","family":"Busuttil","given":"Ronald W","non-dropping-particle":"","parse-names":false,"suffix":""},{"dropping-particle":"","family":"Apinyachon","given":"Worapot","non-dropping-particle":"","parse-names":false,"suffix":""},{"dropping-particle":"","family":"Xia","given":"Victor W","non-dropping-particle":"","parse-names":false,"suffix":""}],"container-title":"Transplantation","id":"ITEM-2","issue":"7","issued":{"date-parts":[["2012","10","15"]]},"page":"768-74","title":"Pretransplant neurological presentation and severe posttransplant brain injury in patients with acute liver failure.","type":"article-journal","volume":"94"},"uris":["http://www.mendeley.com/documents/?uuid=870aa465-ead3-44d6-ba42-efabd842d597","http://www.mendeley.com/documents/?uuid=f89f923b-ee02-35d6-a954-c471de5432d4","http://www.mendeley.com/documents/?uuid=d4c0f16a-58d6-4575-9746-cc1a153a69e2"]}],"mendeley":{"formattedCitation":"(Chan et al. 2009; Tan et al. 2012)","plainTextFormattedCitation":"(Chan et al. 2009; Tan et al. 2012)","previouslyFormattedCitation":"(Chan et al. 2009; Tan et al. 2012)"},"properties":{"noteIndex":0},"schema":"https://github.com/citation-style-language/schema/raw/master/csl-citation.json"}</w:instrText>
      </w:r>
      <w:r w:rsidR="007543BE" w:rsidRPr="003D0C88">
        <w:rPr>
          <w:rFonts w:cstheme="minorHAnsi"/>
          <w:sz w:val="24"/>
          <w:szCs w:val="24"/>
        </w:rPr>
        <w:fldChar w:fldCharType="separate"/>
      </w:r>
      <w:r w:rsidR="00464A24" w:rsidRPr="003D0C88">
        <w:rPr>
          <w:rFonts w:cstheme="minorHAnsi"/>
          <w:noProof/>
          <w:sz w:val="24"/>
          <w:szCs w:val="24"/>
        </w:rPr>
        <w:t>(Chan et al. 2009; Tan et al. 2012)</w:t>
      </w:r>
      <w:r w:rsidR="007543BE" w:rsidRPr="003D0C88">
        <w:rPr>
          <w:rFonts w:cstheme="minorHAnsi"/>
          <w:sz w:val="24"/>
          <w:szCs w:val="24"/>
        </w:rPr>
        <w:fldChar w:fldCharType="end"/>
      </w:r>
      <w:r w:rsidR="007543BE" w:rsidRPr="003D0C88">
        <w:rPr>
          <w:rFonts w:cstheme="minorHAnsi"/>
          <w:sz w:val="24"/>
          <w:szCs w:val="24"/>
        </w:rPr>
        <w:t xml:space="preserve">. </w:t>
      </w:r>
    </w:p>
    <w:p w14:paraId="6C2F7B62" w14:textId="5E420F31" w:rsidR="007543BE" w:rsidRPr="003D0C88" w:rsidRDefault="00693849" w:rsidP="007543BE">
      <w:pPr>
        <w:pStyle w:val="BodyText3"/>
        <w:spacing w:line="480" w:lineRule="auto"/>
        <w:jc w:val="both"/>
        <w:rPr>
          <w:rFonts w:cstheme="minorHAnsi"/>
          <w:sz w:val="24"/>
          <w:szCs w:val="24"/>
        </w:rPr>
      </w:pPr>
      <w:r>
        <w:rPr>
          <w:rFonts w:cstheme="minorHAnsi"/>
          <w:sz w:val="24"/>
          <w:szCs w:val="24"/>
        </w:rPr>
        <w:tab/>
      </w:r>
      <w:r w:rsidR="007543BE" w:rsidRPr="003D0C88">
        <w:rPr>
          <w:rFonts w:cstheme="minorHAnsi"/>
          <w:sz w:val="24"/>
          <w:szCs w:val="24"/>
        </w:rPr>
        <w:t xml:space="preserve">Patients with ALF are vulnerable to sudden relevant changes of ABP, causing changes in CBF in conditions of functional loss of cerebral blood flow autoregulation. For the same reason, they may be considered less suitable for major surgery with large blood losses and fluid shifts, such as orthotopic liver transplantation (OLT). Arterial hypertensive or hypotensive episodes during OLT may provoke cerebral hypoperfusion or hyperperfusion leading to either ischemia or aggravation of cerebral oedema and even cerebral haemorrhage. Failure to regain consciousness despite satisfactory graft function has also been reported after OLT </w:t>
      </w:r>
      <w:r w:rsidR="007543BE" w:rsidRPr="003D0C88">
        <w:rPr>
          <w:rFonts w:cstheme="minorHAnsi"/>
          <w:sz w:val="24"/>
          <w:szCs w:val="24"/>
        </w:rPr>
        <w:fldChar w:fldCharType="begin" w:fldLock="1"/>
      </w:r>
      <w:r w:rsidR="004030CD">
        <w:rPr>
          <w:rFonts w:cstheme="minorHAnsi"/>
          <w:sz w:val="24"/>
          <w:szCs w:val="24"/>
        </w:rPr>
        <w:instrText>ADDIN CSL_CITATION {"citationItems":[{"id":"ITEM-1","itemData":{"ISSN":"0041-1345","PMID":"2652795","author":[{"dropping-particle":"","family":"Iwatsuki","given":"S","non-dropping-particle":"","parse-names":false,"suffix":""},{"dropping-particle":"","family":"Stieber","given":"A C","non-dropping-particle":"","parse-names":false,"suffix":""},{"dropping-particle":"","family":"Marsh","given":"J W","non-dropping-particle":"","parse-names":false,"suffix":""},{"dropping-particle":"","family":"Tzakis","given":"A G","non-dropping-particle":"","parse-names":false,"suffix":""},{"dropping-particle":"","family":"Todo","given":"S","non-dropping-particle":"","parse-names":false,"suffix":""},{"dropping-particle":"","family":"Koneru","given":"B","non-dropping-particle":"","parse-names":false,"suffix":""},{"dropping-particle":"","family":"Makowka","given":"L","non-dropping-particle":"","parse-names":false,"suffix":""},{"dropping-particle":"","family":"Gordon","given":"R D","non-dropping-particle":"","parse-names":false,"suffix":""},{"dropping-particle":"","family":"Starzl","given":"T E","non-dropping-particle":"","parse-names":false,"suffix":""}],"container-title":"Transplantation proceedings","id":"ITEM-1","issue":"1 Pt 2","issued":{"date-parts":[["1989","2"]]},"page":"2431-4","publisher":"NIH Public Access","title":"Liver transplantation for fulminant hepatic failure.","type":"article-journal","volume":"21"},"uris":["http://www.mendeley.com/documents/?uuid=996c8ed2-9aaf-3942-a6a5-77e1773fe84b","http://www.mendeley.com/documents/?uuid=39c8adcb-50b5-435c-bebe-ba4259bab539"]},{"id":"ITEM-2","itemData":{"ISSN":"0003-4819","PMID":"3304049","abstract":"Orthotopic liver transplantation was done in 17 patients with fulminant hepatitis. The cause of the liver disease was infection with hepatitis B virus, or co-infection with hepatitis B virus and hepatitis D virus, or infection with hepatitis A virus in 6 patients; drug hepatotoxicity in 5; and indeterminate in 6. Grafts from incompatible blood groups, steatotic grafts, or reduced-size grafts were used in 5, 4, and 4 patients, respectively. Of the 17 patients, 5 died: 2 of early liver failure due to the poor quality of the graft, 1 presumably of accidentally transmitted acute infection with the human immunodeficiency virus, and 2 of decerebration occurring during or immediately after surgery. The 12 other patients were alive 2 to 15 months after transplantation.","author":[{"dropping-particle":"","family":"Bismuth","given":"H","non-dropping-particle":"","parse-names":false,"suffix":""},{"dropping-particle":"","family":"Samuel","given":"D","non-dropping-particle":"","parse-names":false,"suffix":""},{"dropping-particle":"","family":"Gugenheim","given":"J","non-dropping-particle":"","parse-names":false,"suffix":""},{"dropping-particle":"","family":"Castaing","given":"D","non-dropping-particle":"","parse-names":false,"suffix":""},{"dropping-particle":"","family":"Bernuau","given":"J","non-dropping-particle":"","parse-names":false,"suffix":""},{"dropping-particle":"","family":"Rueff","given":"B","non-dropping-particle":"","parse-names":false,"suffix":""},{"dropping-particle":"","family":"Benhamou","given":"J P","non-dropping-particle":"","parse-names":false,"suffix":""}],"container-title":"Annals of internal medicine","id":"ITEM-2","issue":"3","issued":{"date-parts":[["1987","9"]]},"page":"337-41","title":"Emergency liver transplantation for fulminant hepatitis.","type":"article-journal","volume":"107"},"uris":["http://www.mendeley.com/documents/?uuid=bd7ae81e-9ec9-3fcb-ac38-22d7ed72c827","http://www.mendeley.com/documents/?uuid=c4db52c8-841d-4f2a-9e28-9f2b35509e74"]},{"id":"ITEM-3","itemData":{"DOI":"10.1016/0016-5085(89)90530-1","ISSN":"00165085","author":[{"dropping-particle":"","family":"Emond","given":"Jean C.","non-dropping-particle":"","parse-names":false,"suffix":""},{"dropping-particle":"","family":"Aran","given":"Peter P.","non-dropping-particle":"","parse-names":false,"suffix":""},{"dropping-particle":"","family":"Whitington","given":"Peter F.","non-dropping-particle":"","parse-names":false,"suffix":""},{"dropping-particle":"","family":"Broelsch","given":"Christoph E.","non-dropping-particle":"","parse-names":false,"suffix":""},{"dropping-particle":"","family":"Baker","given":"Alfred L.","non-dropping-particle":"","parse-names":false,"suffix":""}],"container-title":"Gastroenterology","id":"ITEM-3","issue":"6","issued":{"date-parts":[["1989","6"]]},"page":"1583-1588","title":"Liver transplantation in the management of fulminant hepatic failure","type":"article-journal","volume":"96"},"uris":["http://www.mendeley.com/documents/?uuid=561e92dd-b003-3264-8c85-031e74fbb157","http://www.mendeley.com/documents/?uuid=043b529c-c5b1-40bd-b795-971327f2506e"]},{"id":"ITEM-4","itemData":{"ISSN":"0168-8278","PMID":"3057060","abstract":"Fulminant hepatic failure has a high mortality rate despite intensive medical treatment. Urgent hepatic transplantation was considered over a 3 year period in 26 (36%) of 73 patients with the worst prognostic features of fulminant hepatic failure. The criteria for patient selection were based on the duration of advanced hepatic coma and the deterioration of liver function. Sixteen patients were transplanted, and 9 (56%) are currently alive. The median duration of follow-up is 16 months and actuarial 1 year survival 55%. Six patients died because of the absence of offers of organ donation. Twenty-two (85%) of the 26 patients considered were referred with advanced encephalopathy or hepatorenal syndrome. Of the 57 patients not transplanted, 18 (95%) of 19 patients with grade I/II encephalopathy survived compared to 13 (34%) of 38 patients with grade III/IV encephalopathy. Transplantation does improve the chance of survival in selected patients with fulminant hepatic failure, early referral and availability or organ donation being important factors.","author":[{"dropping-particle":"","family":"Vickers","given":"C","non-dropping-particle":"","parse-names":false,"suffix":""},{"dropping-particle":"","family":"Neuberger","given":"J","non-dropping-particle":"","parse-names":false,"suffix":""},{"dropping-particle":"","family":"Buckels","given":"J","non-dropping-particle":"","parse-names":false,"suffix":""},{"dropping-particle":"","family":"McMaster","given":"P","non-dropping-particle":"","parse-names":false,"suffix":""},{"dropping-particle":"","family":"Elias","given":"E","non-dropping-particle":"","parse-names":false,"suffix":""}],"container-title":"Journal of hepatology","id":"ITEM-4","issue":"2","issued":{"date-parts":[["1988","10"]]},"page":"143-50","title":"Transplantation of the liver in adults and children with fulminant hepatic failure.","type":"article-journal","volume":"7"},"uris":["http://www.mendeley.com/documents/?uuid=6c5dc679-81f1-3003-8a55-02bdcebf4d0f","http://www.mendeley.com/documents/?uuid=1ce0be3c-4806-4ec9-8997-2c93d7274193"]}],"mendeley":{"formattedCitation":"(Bismuth et al. 1987; Emond et al. 1989; Iwatsuki et al. 1989; Vickers et al. 1988)","plainTextFormattedCitation":"(Bismuth et al. 1987; Emond et al. 1989; Iwatsuki et al. 1989; Vickers et al. 1988)","previouslyFormattedCitation":"(Bismuth et al. 1987; Emond et al. 1989; Iwatsuki et al. 1989; Vickers et al. 1988)"},"properties":{"noteIndex":0},"schema":"https://github.com/citation-style-language/schema/raw/master/csl-citation.json"}</w:instrText>
      </w:r>
      <w:r w:rsidR="007543BE" w:rsidRPr="003D0C88">
        <w:rPr>
          <w:rFonts w:cstheme="minorHAnsi"/>
          <w:sz w:val="24"/>
          <w:szCs w:val="24"/>
        </w:rPr>
        <w:fldChar w:fldCharType="separate"/>
      </w:r>
      <w:r w:rsidR="00464A24" w:rsidRPr="003D0C88">
        <w:rPr>
          <w:rFonts w:cstheme="minorHAnsi"/>
          <w:noProof/>
          <w:sz w:val="24"/>
          <w:szCs w:val="24"/>
        </w:rPr>
        <w:t>(Bismuth et al. 1987; Emond et al. 1989; Iwatsuki et al. 1989; Vickers et al. 1988)</w:t>
      </w:r>
      <w:r w:rsidR="007543BE" w:rsidRPr="003D0C88">
        <w:rPr>
          <w:rFonts w:cstheme="minorHAnsi"/>
          <w:sz w:val="24"/>
          <w:szCs w:val="24"/>
        </w:rPr>
        <w:fldChar w:fldCharType="end"/>
      </w:r>
      <w:r w:rsidR="007543BE" w:rsidRPr="003D0C88">
        <w:rPr>
          <w:rFonts w:cstheme="minorHAnsi"/>
          <w:sz w:val="24"/>
          <w:szCs w:val="24"/>
        </w:rPr>
        <w:t>, which may originate from episodes of ICH during transplantation.</w:t>
      </w:r>
    </w:p>
    <w:p w14:paraId="749D48EC" w14:textId="26B81A11" w:rsidR="007543BE" w:rsidRPr="003D0C88" w:rsidRDefault="00693849" w:rsidP="007543BE">
      <w:pPr>
        <w:pStyle w:val="BodyText3"/>
        <w:spacing w:line="480" w:lineRule="auto"/>
        <w:jc w:val="both"/>
        <w:rPr>
          <w:rFonts w:cstheme="minorHAnsi"/>
          <w:sz w:val="24"/>
          <w:szCs w:val="24"/>
        </w:rPr>
      </w:pPr>
      <w:r>
        <w:rPr>
          <w:rFonts w:cstheme="minorHAnsi"/>
          <w:sz w:val="24"/>
          <w:szCs w:val="24"/>
        </w:rPr>
        <w:tab/>
      </w:r>
      <w:r w:rsidR="007543BE" w:rsidRPr="003D0C88">
        <w:rPr>
          <w:rFonts w:cstheme="minorHAnsi"/>
          <w:sz w:val="24"/>
          <w:szCs w:val="24"/>
        </w:rPr>
        <w:t>In patients with ALF, the benefits of ICP monitoring include</w:t>
      </w:r>
      <w:r w:rsidR="00B73033" w:rsidRPr="003D0C88">
        <w:rPr>
          <w:rFonts w:cstheme="minorHAnsi"/>
          <w:sz w:val="24"/>
          <w:szCs w:val="24"/>
        </w:rPr>
        <w:t>:</w:t>
      </w:r>
      <w:r w:rsidR="007543BE" w:rsidRPr="003D0C88">
        <w:rPr>
          <w:rFonts w:cstheme="minorHAnsi"/>
          <w:sz w:val="24"/>
          <w:szCs w:val="24"/>
        </w:rPr>
        <w:t xml:space="preserve"> the precise and early detection of ICH; a correct evaluation of response to therapies; the knowledge of cerebral </w:t>
      </w:r>
      <w:r w:rsidR="007543BE" w:rsidRPr="003D0C88">
        <w:rPr>
          <w:rFonts w:cstheme="minorHAnsi"/>
          <w:sz w:val="24"/>
          <w:szCs w:val="24"/>
        </w:rPr>
        <w:lastRenderedPageBreak/>
        <w:t>perfusion pressure, which guides vasopressors administration in the setting of loss of cerebral autoregulation characteristic of ALF</w:t>
      </w:r>
      <w:r w:rsidR="002B4EE5">
        <w:rPr>
          <w:rFonts w:cstheme="minorHAnsi"/>
          <w:sz w:val="24"/>
          <w:szCs w:val="24"/>
        </w:rPr>
        <w:t xml:space="preserve"> </w:t>
      </w:r>
      <w:r w:rsidR="007543BE" w:rsidRPr="003D0C88">
        <w:rPr>
          <w:rFonts w:cstheme="minorHAnsi"/>
          <w:sz w:val="24"/>
          <w:szCs w:val="24"/>
        </w:rPr>
        <w:fldChar w:fldCharType="begin" w:fldLock="1"/>
      </w:r>
      <w:r w:rsidR="004030CD">
        <w:rPr>
          <w:rFonts w:cstheme="minorHAnsi"/>
          <w:sz w:val="24"/>
          <w:szCs w:val="24"/>
        </w:rPr>
        <w:instrText>ADDIN CSL_CITATION {"citationItems":[{"id":"ITEM-1","itemData":{"ISSN":"0168-8278 (Print) 0168-8278 (Linking)","abstract":"In management of patients with fulminant hepatic failure, it\\nis recommended that mean arterial pressure should be raised if\\ncerebral perfusion pressure is lower than 50 mmHg, but the\\ninfluence of such therapy on cerebral blood flow is unknown.\\nWe examined cerebral blood flow autoregulation in seven\\nconsecutive patients with fulminant hepatic failure during\\ntreatment of imminent insufficient cerebral perfusion\\npressure. Cerebral perfusion was evaluated by transcranial\\nDoppler assessed mean flow velocity in the middle cerebral\\nartery and by the arterio-venous difference for oxygen.\\nIntracranial pressure was recorded by a subdural transducer\\nand cerebral perfusion pressure calculated as the difference\\nbetween mean arterial pressure and intracranial pressure.\\nAfter 20 (range 10 to 43) min, mean arterial pressure was\\nraised from 74 (43-80) to 94 (76-114) mmHg by i.v.\\nnoradrenaline, cerebral perfusion pressure increased from 49\\n(26-75) to 82 (50-108) mmHg (p &lt; 0.01) as the intracranial\\npressure remained unchanged at 26 (3-35) mmHg. The mean flow\\nveolocity increased from 68 (30-134) to 108 (48-168) cm s-1\\nand the arterio-venous difference for oxygen by 46 (10-82)%\\n(p &lt; 0.05). Both mean flow velocity (r = 0.63) and\\narterio-venous difference for oxygen (r = 0.71) were\\ncorrelated to mean arterial pressure (p &lt; 0.001), and a lower\\nblood pressure limit of autoregulation could not be identified\\nin any of the patients. These data suggest that the cerebral\\nblood flow is not autoregulated in patients with fulminant\\nhepatic failure and therefore cerebral blood flow should be\\n``clamped'' within the normal physiologic range by\\nmanipulation of arterial blood pressure in order to avoid\\ncerebral hypoxia and/or hypertensive induced cerebral oedema.","author":[{"dropping-particle":"","family":"Larsen","given":"F S","non-dropping-particle":"","parse-names":false,"suffix":""},{"dropping-particle":"","family":"Ejlersen","given":"E","non-dropping-particle":"","parse-names":false,"suffix":""},{"dropping-particle":"","family":"Hansen","given":"B A","non-dropping-particle":"","parse-names":false,"suffix":""},{"dropping-particle":"","family":"Knudsen","given":"G M","non-dropping-particle":"","parse-names":false,"suffix":""},{"dropping-particle":"","family":"Tygstrup","given":"N","non-dropping-particle":"","parse-names":false,"suffix":""},{"dropping-particle":"","family":"Secher","given":"N H","non-dropping-particle":"","parse-names":false,"suffix":""}],"container-title":"J. Hepatol.","id":"ITEM-1","issue":"2","issued":{"date-parts":[["1995"]]},"page":"212-217","title":"Functional loss of cerebral blood flow autoregulation in patients with fulminant hepatic failure","type":"article-journal","volume":"23"},"uris":["http://www.mendeley.com/documents/?uuid=08966d5d-a0ef-450d-a9ae-8cf872b01aad","http://www.mendeley.com/documents/?uuid=f3711055-6af0-4e08-bfd4-1cba102238c7"]}],"mendeley":{"formattedCitation":"(Larsen et al. 1995)","plainTextFormattedCitation":"(Larsen et al. 1995)","previouslyFormattedCitation":"(Larsen et al. 1995)"},"properties":{"noteIndex":0},"schema":"https://github.com/citation-style-language/schema/raw/master/csl-citation.json"}</w:instrText>
      </w:r>
      <w:r w:rsidR="007543BE" w:rsidRPr="003D0C88">
        <w:rPr>
          <w:rFonts w:cstheme="minorHAnsi"/>
          <w:sz w:val="24"/>
          <w:szCs w:val="24"/>
        </w:rPr>
        <w:fldChar w:fldCharType="separate"/>
      </w:r>
      <w:r w:rsidR="00464A24" w:rsidRPr="003D0C88">
        <w:rPr>
          <w:rFonts w:cstheme="minorHAnsi"/>
          <w:noProof/>
          <w:sz w:val="24"/>
          <w:szCs w:val="24"/>
        </w:rPr>
        <w:t>(Larsen et al. 1995)</w:t>
      </w:r>
      <w:r w:rsidR="007543BE" w:rsidRPr="003D0C88">
        <w:rPr>
          <w:rFonts w:cstheme="minorHAnsi"/>
          <w:sz w:val="24"/>
          <w:szCs w:val="24"/>
        </w:rPr>
        <w:fldChar w:fldCharType="end"/>
      </w:r>
      <w:r w:rsidR="007543BE" w:rsidRPr="003D0C88">
        <w:rPr>
          <w:rFonts w:cstheme="minorHAnsi"/>
          <w:sz w:val="24"/>
          <w:szCs w:val="24"/>
        </w:rPr>
        <w:t>; the procurement of prognostic information, especially for deciding candidacy for transplant; the lengthening of survival time, increasing the chances for organ allocation</w:t>
      </w:r>
      <w:r w:rsidR="002B4EE5">
        <w:rPr>
          <w:rFonts w:cstheme="minorHAnsi"/>
          <w:sz w:val="24"/>
          <w:szCs w:val="24"/>
        </w:rPr>
        <w:t xml:space="preserve"> </w:t>
      </w:r>
      <w:r w:rsidR="007543BE" w:rsidRPr="003D0C88">
        <w:rPr>
          <w:rFonts w:cstheme="minorHAnsi"/>
          <w:sz w:val="24"/>
          <w:szCs w:val="24"/>
        </w:rPr>
        <w:fldChar w:fldCharType="begin" w:fldLock="1"/>
      </w:r>
      <w:r w:rsidR="004030CD">
        <w:rPr>
          <w:rFonts w:cstheme="minorHAnsi"/>
          <w:sz w:val="24"/>
          <w:szCs w:val="24"/>
        </w:rPr>
        <w:instrText>ADDIN CSL_CITATION {"citationItems":[{"id":"ITEM-1","itemData":{"ISSN":"0168-8278","PMID":"8409336","abstract":"Thirty-six of 68 consecutive patients with fulminant hepatic failure (FHF) progressing to grade 4 encephalopathy who had extradural ICP monitors inserted were reviewed to determine the safety and the value of ICP monitoring. Only minor complications were encountered. These included local wound bleeding at the burrhole site in four patients and a small cerebral hemorrhage in relation to the monitor in one other patient. No significant long-term sequelae were related to the operative procedure. ICP monitoring identified rises in ICP unaccompanied by clinical signs and as a consequence treatment was given to the monitored patients more often than the non-monitored group (median 6 vs. 2 treatments, P &lt; 0.01). The duration of survival from the onset of grade 4 encephalopathy was significantly greater in the ICP monitored group (median 60 vs. 10 h, P &lt; 0.01) although overall survival was unchanged. Monitoring also provided important prognostic information since the peak ICP was higher in non-survivors than in survivors (median 45 vs. 35 mmHg, P = 0.051). The pattern of clinical signs accompanying episodes of intracranial hypertension differed between survivors and non-survivors. Pupillary abnormalities were detected more often in non-survivors while systolic hypertension occurred more frequently amongst survivors with the peak systolic blood pressure being significantly higher. ICP monitoring proved safe and effective, provided valuable information regarding subclinical intracranial hypertension and prognosis and should be regarded as part of the routine management of intracranial hypertension complicating FHF.","author":[{"dropping-particle":"","family":"Keays","given":"R T","non-dropping-particle":"","parse-names":false,"suffix":""},{"dropping-particle":"","family":"Alexander","given":"G J","non-dropping-particle":"","parse-names":false,"suffix":""},{"dropping-particle":"","family":"Williams","given":"R","non-dropping-particle":"","parse-names":false,"suffix":""}],"container-title":"Journal of hepatology","id":"ITEM-1","issue":"2","issued":{"date-parts":[["1993","6"]]},"page":"205-9","title":"The safety and value of extradural intracranial pressure monitors in fulminant hepatic failure.","type":"article-journal","volume":"18"},"uris":["http://www.mendeley.com/documents/?uuid=2f243d97-34c2-3c8d-bb07-12d9bea26755","http://www.mendeley.com/documents/?uuid=9c8e032e-fd33-469e-9647-e0cd4c32a902"]}],"mendeley":{"formattedCitation":"(Keays et al. 1993)","plainTextFormattedCitation":"(Keays et al. 1993)","previouslyFormattedCitation":"(Keays et al. 1993)"},"properties":{"noteIndex":0},"schema":"https://github.com/citation-style-language/schema/raw/master/csl-citation.json"}</w:instrText>
      </w:r>
      <w:r w:rsidR="007543BE" w:rsidRPr="003D0C88">
        <w:rPr>
          <w:rFonts w:cstheme="minorHAnsi"/>
          <w:sz w:val="24"/>
          <w:szCs w:val="24"/>
        </w:rPr>
        <w:fldChar w:fldCharType="separate"/>
      </w:r>
      <w:r w:rsidR="00464A24" w:rsidRPr="003D0C88">
        <w:rPr>
          <w:rFonts w:cstheme="minorHAnsi"/>
          <w:noProof/>
          <w:sz w:val="24"/>
          <w:szCs w:val="24"/>
        </w:rPr>
        <w:t>(Keays et al. 1993)</w:t>
      </w:r>
      <w:r w:rsidR="007543BE" w:rsidRPr="003D0C88">
        <w:rPr>
          <w:rFonts w:cstheme="minorHAnsi"/>
          <w:sz w:val="24"/>
          <w:szCs w:val="24"/>
        </w:rPr>
        <w:fldChar w:fldCharType="end"/>
      </w:r>
      <w:r w:rsidR="007543BE" w:rsidRPr="003D0C88">
        <w:rPr>
          <w:rFonts w:cstheme="minorHAnsi"/>
          <w:sz w:val="24"/>
          <w:szCs w:val="24"/>
        </w:rPr>
        <w:t>, and the improvement of anaesthetic management during OLT, in which ICH is common</w:t>
      </w:r>
      <w:r w:rsidR="002B4EE5">
        <w:rPr>
          <w:rFonts w:cstheme="minorHAnsi"/>
          <w:sz w:val="24"/>
          <w:szCs w:val="24"/>
        </w:rPr>
        <w:t xml:space="preserve"> </w:t>
      </w:r>
      <w:r w:rsidR="007543BE" w:rsidRPr="003D0C88">
        <w:rPr>
          <w:rFonts w:cstheme="minorHAnsi"/>
          <w:sz w:val="24"/>
          <w:szCs w:val="24"/>
        </w:rPr>
        <w:fldChar w:fldCharType="begin" w:fldLock="1"/>
      </w:r>
      <w:r w:rsidR="004030CD">
        <w:rPr>
          <w:rFonts w:cstheme="minorHAnsi"/>
          <w:sz w:val="24"/>
          <w:szCs w:val="24"/>
        </w:rPr>
        <w:instrText>ADDIN CSL_CITATION {"citationItems":[{"id":"ITEM-1","itemData":{"ISSN":"0270-9139","PMID":"1618463","abstract":"Cerebral edema and intracranial hypertension, commonly present in fulminant hepatic failure, may lead to brainstem herniation and limit the survival of comatose patients awaiting liver transplantation before a donor organ becomes available. Also, they are likely responsible for postoperative neurological morbidity and mortality. Although intracranial pressure monitoring has been proposed to aid clinical decision making in this setting, its use in the prevention of brainstem herniation preoperatively, in the selection of patients for liver transplantation who have the potential for neurological recovery and in the maintenance of cerebral perfusion during liver transplantation has not been examined in detail. To address these issues, we established a protocol for intracranial pressure monitoring in comatose patients with fulminant hepatic failure as part of their preoperative and intraoperative management. Twenty adults and three children underwent intracranial pressure monitoring. Ten patients required preoperative medical therapy with mannitol, barbiturates or both for a rise in intracranial pressure above 25 mm Hg. Four patients had a sustained lowering of intracranial pressure, three of whom survived hospitalization. Six patients had intracranial hypertension refractory to medical management, were removed from a waiting list for a donor organ and died with brainstem herniation. Of the remaining 17 patients, 3 died of other causes while awaiting a donor organ, 2 recovered spontaneously without neurological sequelae and 12 underwent liver transplantation. All but one patient undergoing liver transplantation had transient intraoperative intracranial hypertension develop, requiring medical treatment. The 12 patients who had transplants recovered neurologically and were discharged from the hospital.(ABSTRACT TRUNCATED AT 250 WORDS)","author":[{"dropping-particle":"","family":"Lidofsky","given":"S D","non-dropping-particle":"","parse-names":false,"suffix":""},{"dropping-particle":"","family":"Bass","given":"N M","non-dropping-particle":"","parse-names":false,"suffix":""},{"dropping-particle":"","family":"Prager","given":"M C","non-dropping-particle":"","parse-names":false,"suffix":""},{"dropping-particle":"","family":"Washington","given":"D E","non-dropping-particle":"","parse-names":false,"suffix":""},{"dropping-particle":"","family":"Read","given":"A E","non-dropping-particle":"","parse-names":false,"suffix":""},{"dropping-particle":"","family":"Wright","given":"T L","non-dropping-particle":"","parse-names":false,"suffix":""},{"dropping-particle":"","family":"Ascher","given":"N L","non-dropping-particle":"","parse-names":false,"suffix":""},{"dropping-particle":"","family":"Roberts","given":"J P","non-dropping-particle":"","parse-names":false,"suffix":""},{"dropping-particle":"","family":"Scharschmidt","given":"B F","non-dropping-particle":"","parse-names":false,"suffix":""},{"dropping-particle":"","family":"Lake","given":"J R","non-dropping-particle":"","parse-names":false,"suffix":""}],"container-title":"Hepatology (Baltimore, Md.)","id":"ITEM-1","issue":"1","issued":{"date-parts":[["1992"]]},"page":"1-7","title":"Intracranial pressure monitoring and liver transplantation for fulminant hepatic failure.","type":"article-journal","volume":"16"},"uris":["http://www.mendeley.com/documents/?uuid=fb2e4f41-10df-4770-b1f0-e038173107c0","http://www.mendeley.com/documents/?uuid=a8f2ef39-47cb-46e9-ada4-f9974773cd75"]}],"mendeley":{"formattedCitation":"(Lidofsky et al. 1992)","plainTextFormattedCitation":"(Lidofsky et al. 1992)","previouslyFormattedCitation":"(Lidofsky et al. 1992)"},"properties":{"noteIndex":0},"schema":"https://github.com/citation-style-language/schema/raw/master/csl-citation.json"}</w:instrText>
      </w:r>
      <w:r w:rsidR="007543BE" w:rsidRPr="003D0C88">
        <w:rPr>
          <w:rFonts w:cstheme="minorHAnsi"/>
          <w:sz w:val="24"/>
          <w:szCs w:val="24"/>
        </w:rPr>
        <w:fldChar w:fldCharType="separate"/>
      </w:r>
      <w:r w:rsidR="00464A24" w:rsidRPr="003D0C88">
        <w:rPr>
          <w:rFonts w:cstheme="minorHAnsi"/>
          <w:noProof/>
          <w:sz w:val="24"/>
          <w:szCs w:val="24"/>
        </w:rPr>
        <w:t>(Lidofsky et al. 1992)</w:t>
      </w:r>
      <w:r w:rsidR="007543BE" w:rsidRPr="003D0C88">
        <w:rPr>
          <w:rFonts w:cstheme="minorHAnsi"/>
          <w:sz w:val="24"/>
          <w:szCs w:val="24"/>
        </w:rPr>
        <w:fldChar w:fldCharType="end"/>
      </w:r>
      <w:r w:rsidR="007543BE" w:rsidRPr="003D0C88">
        <w:rPr>
          <w:rFonts w:cstheme="minorHAnsi"/>
          <w:sz w:val="24"/>
          <w:szCs w:val="24"/>
        </w:rPr>
        <w:t xml:space="preserve">. </w:t>
      </w:r>
    </w:p>
    <w:p w14:paraId="51037C58" w14:textId="73C9F066" w:rsidR="007543BE" w:rsidRPr="003D0C88" w:rsidRDefault="00693849" w:rsidP="007543BE">
      <w:pPr>
        <w:pStyle w:val="BodyText3"/>
        <w:spacing w:line="480" w:lineRule="auto"/>
        <w:jc w:val="both"/>
        <w:rPr>
          <w:rFonts w:cstheme="minorHAnsi"/>
          <w:sz w:val="24"/>
          <w:szCs w:val="24"/>
        </w:rPr>
      </w:pPr>
      <w:r>
        <w:rPr>
          <w:rFonts w:cstheme="minorHAnsi"/>
          <w:sz w:val="24"/>
          <w:szCs w:val="24"/>
        </w:rPr>
        <w:tab/>
      </w:r>
      <w:r w:rsidR="007543BE" w:rsidRPr="003D0C88">
        <w:rPr>
          <w:rFonts w:cstheme="minorHAnsi"/>
          <w:sz w:val="24"/>
          <w:szCs w:val="24"/>
        </w:rPr>
        <w:t xml:space="preserve">On the other hand, in patients with hepatic failure, due to the risk of coagulopathy, the standard invasive ICP monitoring may cause some complications, like haemorrhage (approximately 49% </w:t>
      </w:r>
      <w:r w:rsidR="007543BE" w:rsidRPr="003D0C88">
        <w:rPr>
          <w:rFonts w:cstheme="minorHAnsi"/>
          <w:sz w:val="24"/>
          <w:szCs w:val="24"/>
        </w:rPr>
        <w:fldChar w:fldCharType="begin" w:fldLock="1"/>
      </w:r>
      <w:r w:rsidR="004030CD">
        <w:rPr>
          <w:rFonts w:cstheme="minorHAnsi"/>
          <w:sz w:val="24"/>
          <w:szCs w:val="24"/>
        </w:rPr>
        <w:instrText>ADDIN CSL_CITATION {"citationItems":[{"id":"ITEM-1","itemData":{"DOI":"10.1097/CCM.0000000000000144","ISSN":"1530-0293","PMID":"24351370","abstract":"OBJECTIVE To determine if intracranial pressure monitor placement in patients with acute liver failure is associated with significant clinical outcomes. DESIGN Retrospective multicenter cohort study. SETTING Academic liver transplant centers comprising the U.S. Acute Liver Failure Study Group. PATIENTS Adult critically ill patients with acute liver failure presenting with grade III/IV hepatic encephalopathy (n = 629) prospectively enrolled between March 2004 and August 2011. INTERVENTION Intracranial pressure monitored (n = 140) versus nonmonitored controls (n = 489). MEASUREMENTS AND MAIN RESULTS Intracranial pressure monitored patients were younger than controls (35 vs 43 yr, p &lt; 0.001) and more likely to be on renal replacement therapy (52% vs 38%, p = 0.003). Of 87 intracranial pressure monitored patients with detailed information, 44 (51%) had evidence of intracranial hypertension (intracranial pressure &gt; 25 mm Hg) and overall 21-day mortality was higher in patients with intracranial hypertension (43% vs 23%, p = 0.05). During the first 7 days, intracranial pressure monitored patients received more intracranial hypertension-directed therapies (mannitol, 56% vs 21%; hypertonic saline, 14% vs 7%; hypothermia, 24% vs 10%; p &lt; 0.03 for each). Forty-one percent of intracranial pressure monitored patients received liver transplant (vs 18% controls; p &lt; 0.001). Overall 21-day mortality was similar (intracranial pressure monitored 33% vs controls 38%, p = 0.24). Where data were available, hemorrhagic complications were rare in intracranial pressure monitored patients (4 of 56 [7%]; three died). When stratifying by acetaminophen status and adjusting for confounders, intracranial pressure monitor placement did not impact 21-day mortality in acetaminophen patients (p = 0.89). However, intracranial pressure monitor was associated with increased 21-day mortality in nonacetaminophen patients (odds ratio, ~ 3.04; p = 0.014). CONCLUSIONS In intracranial pressure monitored patients with acute liver failure, intracranial hypertension is commonly observed. The use of intracranial pressure monitor in acetaminophen acute liver failure did not confer a significant 21-day mortality benefit, whereas in nonacetaminophen acute liver failure, it may be associated with worse outcomes. Hemorrhagic complications from intracranial pressure monitor placement were uncommon and cannot account for mortality trends. Although our results cannot conclusively confirm or refute the utili…","author":[{"dropping-particle":"","family":"Karvellas","given":"Constantine J","non-dropping-particle":"","parse-names":false,"suffix":""},{"dropping-particle":"","family":"Fix","given":"Oren K","non-dropping-particle":"","parse-names":false,"suffix":""},{"dropping-particle":"","family":"Battenhouse","given":"Holly","non-dropping-particle":"","parse-names":false,"suffix":""},{"dropping-particle":"","family":"Durkalski","given":"Valerie","non-dropping-particle":"","parse-names":false,"suffix":""},{"dropping-particle":"","family":"Sanders","given":"Corron","non-dropping-particle":"","parse-names":false,"suffix":""},{"dropping-particle":"","family":"Lee","given":"William M","non-dropping-particle":"","parse-names":false,"suffix":""},{"dropping-particle":"","family":"U S Acute Liver Failure Study Group","given":"","non-dropping-particle":"","parse-names":false,"suffix":""}],"container-title":"Critical care medicine","id":"ITEM-1","issue":"5","issued":{"date-parts":[["2014","5"]]},"page":"1157-67","title":"Outcomes and complications of intracranial pressure monitoring in acute liver failure: a retrospective cohort study.","type":"article-journal","volume":"42"},"uris":["http://www.mendeley.com/documents/?uuid=7b674cb8-85b1-3f64-bf2f-c522420bc96f","http://www.mendeley.com/documents/?uuid=4eabfd91-4b52-48d2-8cb9-9e31e2eacfc3"]}],"mendeley":{"formattedCitation":"(Karvellas et al. 2014)","plainTextFormattedCitation":"(Karvellas et al. 2014)","previouslyFormattedCitation":"(Karvellas et al. 2014)"},"properties":{"noteIndex":0},"schema":"https://github.com/citation-style-language/schema/raw/master/csl-citation.json"}</w:instrText>
      </w:r>
      <w:r w:rsidR="007543BE" w:rsidRPr="003D0C88">
        <w:rPr>
          <w:rFonts w:cstheme="minorHAnsi"/>
          <w:sz w:val="24"/>
          <w:szCs w:val="24"/>
        </w:rPr>
        <w:fldChar w:fldCharType="separate"/>
      </w:r>
      <w:r w:rsidR="00464A24" w:rsidRPr="003D0C88">
        <w:rPr>
          <w:rFonts w:cstheme="minorHAnsi"/>
          <w:noProof/>
          <w:sz w:val="24"/>
          <w:szCs w:val="24"/>
        </w:rPr>
        <w:t>(Karvellas et al. 2014)</w:t>
      </w:r>
      <w:r w:rsidR="007543BE" w:rsidRPr="003D0C88">
        <w:rPr>
          <w:rFonts w:cstheme="minorHAnsi"/>
          <w:sz w:val="24"/>
          <w:szCs w:val="24"/>
        </w:rPr>
        <w:fldChar w:fldCharType="end"/>
      </w:r>
      <w:r w:rsidR="007543BE" w:rsidRPr="003D0C88">
        <w:rPr>
          <w:rFonts w:cstheme="minorHAnsi"/>
          <w:sz w:val="24"/>
          <w:szCs w:val="24"/>
        </w:rPr>
        <w:t xml:space="preserve">). </w:t>
      </w:r>
    </w:p>
    <w:p w14:paraId="18E89F66" w14:textId="22D2BA57" w:rsidR="00A1282F" w:rsidRPr="003D0C88" w:rsidRDefault="00693849" w:rsidP="00A1282F">
      <w:pPr>
        <w:pStyle w:val="BodyText3"/>
        <w:spacing w:line="480" w:lineRule="auto"/>
        <w:jc w:val="both"/>
        <w:rPr>
          <w:rFonts w:cstheme="minorHAnsi"/>
          <w:sz w:val="24"/>
          <w:szCs w:val="24"/>
        </w:rPr>
      </w:pPr>
      <w:r>
        <w:rPr>
          <w:rFonts w:cstheme="minorHAnsi"/>
          <w:sz w:val="24"/>
          <w:szCs w:val="24"/>
        </w:rPr>
        <w:tab/>
      </w:r>
      <w:r w:rsidR="00A1282F" w:rsidRPr="003D0C88">
        <w:rPr>
          <w:rFonts w:cstheme="minorHAnsi"/>
          <w:sz w:val="24"/>
          <w:szCs w:val="24"/>
        </w:rPr>
        <w:t xml:space="preserve">In this scenario, to avoid such complications and broaden the </w:t>
      </w:r>
      <w:r w:rsidR="00023816" w:rsidRPr="003D0C88">
        <w:rPr>
          <w:rFonts w:cstheme="minorHAnsi"/>
          <w:sz w:val="24"/>
          <w:szCs w:val="24"/>
        </w:rPr>
        <w:t>knowledge</w:t>
      </w:r>
      <w:r w:rsidR="00A1282F" w:rsidRPr="003D0C88">
        <w:rPr>
          <w:rFonts w:cstheme="minorHAnsi"/>
          <w:sz w:val="24"/>
          <w:szCs w:val="24"/>
        </w:rPr>
        <w:t xml:space="preserve"> of ICP </w:t>
      </w:r>
      <w:r w:rsidR="00CB142B" w:rsidRPr="003D0C88">
        <w:rPr>
          <w:rFonts w:cstheme="minorHAnsi"/>
          <w:sz w:val="24"/>
          <w:szCs w:val="24"/>
        </w:rPr>
        <w:t xml:space="preserve">and cerebral haemodynamics </w:t>
      </w:r>
      <w:r w:rsidR="00373EB5" w:rsidRPr="003D0C88">
        <w:rPr>
          <w:rFonts w:cstheme="minorHAnsi"/>
          <w:sz w:val="24"/>
          <w:szCs w:val="24"/>
        </w:rPr>
        <w:t>monitoring of patients with ALF during OLT</w:t>
      </w:r>
      <w:r w:rsidR="00A1282F" w:rsidRPr="003D0C88">
        <w:rPr>
          <w:rFonts w:cstheme="minorHAnsi"/>
          <w:sz w:val="24"/>
          <w:szCs w:val="24"/>
        </w:rPr>
        <w:t>, non-invasive procedures would be useful.</w:t>
      </w:r>
    </w:p>
    <w:p w14:paraId="0A090714" w14:textId="0E18F41A" w:rsidR="00A1282F" w:rsidRPr="003D0C88" w:rsidRDefault="00693849" w:rsidP="00A1282F">
      <w:pPr>
        <w:pStyle w:val="BodyTextIndent"/>
        <w:spacing w:line="480" w:lineRule="auto"/>
        <w:ind w:left="0"/>
        <w:jc w:val="both"/>
        <w:rPr>
          <w:rFonts w:cstheme="minorHAnsi"/>
          <w:sz w:val="24"/>
          <w:szCs w:val="24"/>
        </w:rPr>
      </w:pPr>
      <w:r>
        <w:rPr>
          <w:rFonts w:cstheme="minorHAnsi"/>
          <w:sz w:val="24"/>
          <w:szCs w:val="24"/>
        </w:rPr>
        <w:tab/>
      </w:r>
      <w:r w:rsidR="00A1282F" w:rsidRPr="003D0C88">
        <w:rPr>
          <w:rFonts w:cstheme="minorHAnsi"/>
          <w:sz w:val="24"/>
          <w:szCs w:val="24"/>
        </w:rPr>
        <w:t>Transcranial Doppler (TCD) ultrasonography allows continuous non-invasive monitoring of c</w:t>
      </w:r>
      <w:r w:rsidR="00DB4001" w:rsidRPr="003D0C88">
        <w:rPr>
          <w:rFonts w:cstheme="minorHAnsi"/>
          <w:sz w:val="24"/>
          <w:szCs w:val="24"/>
        </w:rPr>
        <w:t>erebral blood flow velocity</w:t>
      </w:r>
      <w:r w:rsidR="00A1282F" w:rsidRPr="003D0C88">
        <w:rPr>
          <w:rFonts w:cstheme="minorHAnsi"/>
          <w:sz w:val="24"/>
          <w:szCs w:val="24"/>
        </w:rPr>
        <w:t>. From TCD signal processing, several parameters</w:t>
      </w:r>
      <w:r w:rsidR="002B6231" w:rsidRPr="003D0C88">
        <w:rPr>
          <w:rFonts w:cstheme="minorHAnsi"/>
          <w:sz w:val="24"/>
          <w:szCs w:val="24"/>
        </w:rPr>
        <w:t xml:space="preserve"> describing cerebral haemodynamics</w:t>
      </w:r>
      <w:r w:rsidR="00A1282F" w:rsidRPr="003D0C88">
        <w:rPr>
          <w:rFonts w:cstheme="minorHAnsi"/>
          <w:sz w:val="24"/>
          <w:szCs w:val="24"/>
        </w:rPr>
        <w:t xml:space="preserve"> have been developed and applied in neurocritical care, including </w:t>
      </w:r>
      <w:r w:rsidR="00052543" w:rsidRPr="003D0C88">
        <w:rPr>
          <w:rFonts w:cstheme="minorHAnsi"/>
          <w:sz w:val="24"/>
          <w:szCs w:val="24"/>
        </w:rPr>
        <w:t>non-invasive estimations of intracranial pressure (nICP) and cerebral perfusion pressure (nCPP)</w:t>
      </w:r>
      <w:r w:rsidR="002B4EE5">
        <w:rPr>
          <w:rFonts w:cstheme="minorHAnsi"/>
          <w:sz w:val="24"/>
          <w:szCs w:val="24"/>
        </w:rPr>
        <w:t xml:space="preserve"> </w:t>
      </w:r>
      <w:r w:rsidR="0087543A" w:rsidRPr="003D0C88">
        <w:rPr>
          <w:rFonts w:cstheme="minorHAnsi"/>
          <w:sz w:val="24"/>
          <w:szCs w:val="24"/>
        </w:rPr>
        <w:fldChar w:fldCharType="begin" w:fldLock="1"/>
      </w:r>
      <w:r w:rsidR="00564100">
        <w:rPr>
          <w:rFonts w:cstheme="minorHAnsi"/>
          <w:sz w:val="24"/>
          <w:szCs w:val="24"/>
        </w:rPr>
        <w:instrText>ADDIN CSL_CITATION {"citationItems":[{"id":"ITEM-1","itemData":{"DOI":"10.1007/s12028-016-0258-6","ISSN":"1556-0961","PMID":"26940914","abstract":"Although intracranial pressure (ICP) is essential to guide management of patients suffering from acute brain diseases, this signal is often neglected outside the neurocritical care environment. This is mainly attributed to the intrinsic risks of the available invasive techniques, which have prevented ICP monitoring in many conditions affecting the intracranial homeostasis, from mild traumatic brain injury to liver encephalopathy. In such scenario, methods for non-invasive monitoring of ICP (nICP) could improve clinical management of these conditions. A review of the literature was performed on PUBMED using the search keywords 'Transcranial Doppler non-invasive intracranial pressure.' Transcranial Doppler (TCD) is a technique primarily aimed at assessing the cerebrovascular dynamics through the cerebral blood flow velocity (FV). Its applicability for nICP assessment emerged from observation that some TCD-derived parameters change during increase of ICP, such as the shape of FV pulse waveform or pulsatility index. Methods were grouped as: based on TCD pulsatility index; aimed at non-invasive estimation of cerebral perfusion pressure and model-based methods. Published studies present with different accuracies, with prediction abilities (AUCs) for detection of ICP ≥20 mmHg ranging from 0.62 to 0.92. This discrepancy could result from inconsistent assessment measures and application in different conditions, from traumatic brain injury to hydrocephalus and stroke. Most of the reports stress a potential advantage of TCD as it provides the possibility to monitor changes of ICP in time. Overall accuracy for TCD-based methods ranges around ±12 mmHg, with a great potential of tracing dynamical changes of ICP in time, particularly those of vasogenic nature.","author":[{"dropping-particle":"","family":"Cardim","given":"Danilo","non-dropping-particle":"","parse-names":false,"suffix":""},{"dropping-particle":"","family":"Robba","given":"C","non-dropping-particle":"","parse-names":false,"suffix":""},{"dropping-particle":"","family":"Bohdanowicz","given":"M","non-dropping-particle":"","parse-names":false,"suffix":""},{"dropping-particle":"","family":"Donnelly","given":"J","non-dropping-particle":"","parse-names":false,"suffix":""},{"dropping-particle":"","family":"Cabella","given":"B","non-dropping-particle":"","parse-names":false,"suffix":""},{"dropping-particle":"","family":"Liu","given":"X","non-dropping-particle":"","parse-names":false,"suffix":""},{"dropping-particle":"","family":"Cabeleira","given":"M","non-dropping-particle":"","parse-names":false,"suffix":""},{"dropping-particle":"","family":"Smielewski","given":"P","non-dropping-particle":"","parse-names":false,"suffix":""},{"dropping-particle":"","family":"Schmidt","given":"B","non-dropping-particle":"","parse-names":false,"suffix":""},{"dropping-particle":"","family":"Czosnyka","given":"M","non-dropping-particle":"","parse-names":false,"suffix":""}],"container-title":"Neurocritical care","id":"ITEM-1","issued":{"date-parts":[["2016","3","3"]]},"title":"Non-invasive Monitoring of Intracranial Pressure Using Transcranial Doppler Ultrasonography: Is It Possible?","type":"article-journal"},"uris":["http://www.mendeley.com/documents/?uuid=e303bb90-0225-4157-a323-ebb507446784"]}],"mendeley":{"formattedCitation":"(Cardim et al. 2016a)","plainTextFormattedCitation":"(Cardim et al. 2016a)","previouslyFormattedCitation":"(Cardim et al. 2016a)"},"properties":{"noteIndex":0},"schema":"https://github.com/citation-style-language/schema/raw/master/csl-citation.json"}</w:instrText>
      </w:r>
      <w:r w:rsidR="0087543A" w:rsidRPr="003D0C88">
        <w:rPr>
          <w:rFonts w:cstheme="minorHAnsi"/>
          <w:sz w:val="24"/>
          <w:szCs w:val="24"/>
        </w:rPr>
        <w:fldChar w:fldCharType="separate"/>
      </w:r>
      <w:r w:rsidR="00B23368" w:rsidRPr="00B23368">
        <w:rPr>
          <w:rFonts w:cstheme="minorHAnsi"/>
          <w:noProof/>
          <w:sz w:val="24"/>
          <w:szCs w:val="24"/>
        </w:rPr>
        <w:t>(Cardim et al. 2016a)</w:t>
      </w:r>
      <w:r w:rsidR="0087543A" w:rsidRPr="003D0C88">
        <w:rPr>
          <w:rFonts w:cstheme="minorHAnsi"/>
          <w:sz w:val="24"/>
          <w:szCs w:val="24"/>
        </w:rPr>
        <w:fldChar w:fldCharType="end"/>
      </w:r>
      <w:r w:rsidR="00052543" w:rsidRPr="003D0C88">
        <w:rPr>
          <w:rFonts w:cstheme="minorHAnsi"/>
          <w:sz w:val="24"/>
          <w:szCs w:val="24"/>
        </w:rPr>
        <w:t xml:space="preserve">, </w:t>
      </w:r>
      <w:r w:rsidR="00A1282F" w:rsidRPr="003D0C88">
        <w:rPr>
          <w:rFonts w:cstheme="minorHAnsi"/>
          <w:sz w:val="24"/>
          <w:szCs w:val="24"/>
        </w:rPr>
        <w:t>cerebral autoregulation indices</w:t>
      </w:r>
      <w:r w:rsidR="000B0215" w:rsidRPr="003D0C88">
        <w:rPr>
          <w:rFonts w:cstheme="minorHAnsi"/>
          <w:sz w:val="24"/>
          <w:szCs w:val="24"/>
        </w:rPr>
        <w:t xml:space="preserve"> (CA)</w:t>
      </w:r>
      <w:r w:rsidR="002B4EE5">
        <w:rPr>
          <w:rFonts w:cstheme="minorHAnsi"/>
          <w:sz w:val="24"/>
          <w:szCs w:val="24"/>
        </w:rPr>
        <w:t xml:space="preserve"> </w:t>
      </w:r>
      <w:r w:rsidR="0087543A" w:rsidRPr="003D0C88">
        <w:rPr>
          <w:rFonts w:cstheme="minorHAnsi"/>
          <w:sz w:val="24"/>
          <w:szCs w:val="24"/>
        </w:rPr>
        <w:fldChar w:fldCharType="begin" w:fldLock="1"/>
      </w:r>
      <w:r w:rsidR="004030CD">
        <w:rPr>
          <w:rFonts w:cstheme="minorHAnsi"/>
          <w:sz w:val="24"/>
          <w:szCs w:val="24"/>
        </w:rPr>
        <w:instrText>ADDIN CSL_CITATION {"citationItems":[{"id":"ITEM-1","itemData":{"DOI":"10.1007/s12028-008-9175-7","ISBN":"1541-6933 (Print)\\r1541-6933 (Linking)","ISSN":"15416933","PMID":"19127448","abstract":"The methods for continuous assessment of cerebral autoregulation using correlation, phase shift, or transmission (either in time- or frequency-domain) were introduced a decade ago. They express dynamic relationships between slow waves of transcranial Doppler (TCD), blood flow velocity (FV) and cerebral perfusion pressure (CPP), or arterial pressure (ABP). We review a methodology and clinical application of indices useful for monitoring cerebral autoregulation and pressure-reactivity in various scenarios of neuro-critical care. FACTS: Poor autoregulation and loss of pressure-reactivity are independent predictors of fatal outcome following head injury. Autoregulation is impaired by too low or too high CPP when compared to autoregulation with normal CPP (usually between 60 and 85 mmHg; and these limits are highly individual). Hemispheric asymmetry of the bi-laterally assessed autoregulation has been associated with asymmetry of CT scan findings: autoregulation was found to be worse ipsilateral to contusion or lateralized edema causing midline shift. The pressure-reactivity (PRx index) correlated with a state of low CBF and CMRO2 revealed using PET studies. The PRx is easier to monitor over prolonged periods of time than the TCD-based indices as it does not require fixation of external probes. Continuous monitoring with the PRx can be used to direct CPP-oriented therapy by determining the optimal CPP for pressure-reactivity. Autoregulation indices are able to reflect transient changes of autoregulation, as seen during plateau waves of ICP. However, minute-to-minute assessment of autoregulation has a poor signal-to-noise ratio. Averaging across time (30 min) or by combining with other relevant parameters improves the accuracy. MYTHS: It is debatable whether the TCD-based indices in head injured patients can be calculated using ABP instead of CPP. Thresholds for functional and disturbed autoregulation dramatically depends on arterial tension of CO2--therefore, comparison between patients cannot be performed without comparing their PaCO2. The TCD pulsatility index cannot accurately detect the lower limit of autoregulation. MISSING LINKS: We still do not know whether autoregulation-oriented therapy can be understood as a consensus between CPP-directed protocols and the Lund-concept. What are the links between endothelial function and autoregulation indices? Can autoregulation after head injury be improved with statins or EPO, as in subarachnoid hemorrhage? In c…","author":[{"dropping-particle":"","family":"Czosnyka","given":"Marek","non-dropping-particle":"","parse-names":false,"suffix":""},{"dropping-particle":"","family":"Brady","given":"Ken","non-dropping-particle":"","parse-names":false,"suffix":""},{"dropping-particle":"","family":"Reinhard","given":"Matthias","non-dropping-particle":"","parse-names":false,"suffix":""},{"dropping-particle":"","family":"Smielewski","given":"Piotr","non-dropping-particle":"","parse-names":false,"suffix":""},{"dropping-particle":"","family":"Steiner","given":"Luzius A.","non-dropping-particle":"","parse-names":false,"suffix":""}],"container-title":"Neurocritical Care","id":"ITEM-1","issue":"3","issued":{"date-parts":[["2009"]]},"page":"373-386","title":"Monitoring of cerebrovascular autoregulation: Facts, myths, and missing links","type":"article","volume":"10"},"uris":["http://www.mendeley.com/documents/?uuid=8e0467e0-2833-42c8-8466-e928afd4eafa"]}],"mendeley":{"formattedCitation":"(Czosnyka et al. 2009)","plainTextFormattedCitation":"(Czosnyka et al. 2009)","previouslyFormattedCitation":"(Czosnyka et al. 2009)"},"properties":{"noteIndex":0},"schema":"https://github.com/citation-style-language/schema/raw/master/csl-citation.json"}</w:instrText>
      </w:r>
      <w:r w:rsidR="0087543A" w:rsidRPr="003D0C88">
        <w:rPr>
          <w:rFonts w:cstheme="minorHAnsi"/>
          <w:sz w:val="24"/>
          <w:szCs w:val="24"/>
        </w:rPr>
        <w:fldChar w:fldCharType="separate"/>
      </w:r>
      <w:r w:rsidR="00464A24" w:rsidRPr="003D0C88">
        <w:rPr>
          <w:rFonts w:cstheme="minorHAnsi"/>
          <w:noProof/>
          <w:sz w:val="24"/>
          <w:szCs w:val="24"/>
        </w:rPr>
        <w:t>(Czosnyka et al. 2009)</w:t>
      </w:r>
      <w:r w:rsidR="0087543A" w:rsidRPr="003D0C88">
        <w:rPr>
          <w:rFonts w:cstheme="minorHAnsi"/>
          <w:sz w:val="24"/>
          <w:szCs w:val="24"/>
        </w:rPr>
        <w:fldChar w:fldCharType="end"/>
      </w:r>
      <w:r w:rsidR="00A1282F" w:rsidRPr="003D0C88">
        <w:rPr>
          <w:rFonts w:cstheme="minorHAnsi"/>
          <w:sz w:val="24"/>
          <w:szCs w:val="24"/>
        </w:rPr>
        <w:t>, determination of critical closing pressure (CrCP) of the cerebral circulation</w:t>
      </w:r>
      <w:r w:rsidR="002B4EE5">
        <w:rPr>
          <w:rFonts w:cstheme="minorHAnsi"/>
          <w:sz w:val="24"/>
          <w:szCs w:val="24"/>
        </w:rPr>
        <w:t xml:space="preserve"> </w:t>
      </w:r>
      <w:r w:rsidR="0087543A" w:rsidRPr="003D0C88">
        <w:rPr>
          <w:rFonts w:cstheme="minorHAnsi"/>
          <w:sz w:val="24"/>
          <w:szCs w:val="24"/>
        </w:rPr>
        <w:fldChar w:fldCharType="begin" w:fldLock="1"/>
      </w:r>
      <w:r w:rsidR="004030CD">
        <w:rPr>
          <w:rFonts w:cstheme="minorHAnsi"/>
          <w:sz w:val="24"/>
          <w:szCs w:val="24"/>
        </w:rPr>
        <w:instrText>ADDIN CSL_CITATION {"citationItems":[{"id":"ITEM-1","itemData":{"DOI":"10.1038/jcbfm.2012.161","ISSN":"1559-7016","PMID":"23149558","abstract":"Critical closing pressure (CCP) is the arterial blood pressure (ABP) at which brain vessels collapse and cerebral blood flow (CBF) ceases. Using the concept of impedance to CBF, CCP can be expressed with brain-monitoring parameters: cerebral perfusion pressure (CPP), ABP, blood flow velocity (FV), and heart rate. The novel multiparameter method (CCPm) was compared with traditional transcranial Doppler (TCD) calculations of CCP (CCP1). Digital recordings of ABP, intracranial pressure (ICP), and TCD-based FV from previously published studies of 29 New Zealand White rabbits were reanalyzed. Overall, CCP1 and CCPm showed correlation across wide ranges of ABP, ICP, and PaCO2 (R=0.93, P&lt;0.001). Three physiological perturbations were studied: increase in ICP (n=29) causing both CCP1 and CCPm to increase (P&lt;0.001 for both); reduction of ABP (n=10) resulting in decrease of CCP1 (P=0.006) and CCPm (P=0.002); and controlled increase of PaCO2 (n=8) to hypercapnic levels, which decreased CCP1 and CCPm, albeit insignificantly (P=0.123 and P=0.306 respectively), caused by a spontaneous significant increase in ABP (P=0.025). Multiparameter mathematical model of critical closing pressure explains the relationship of CCP on brain-monitoring variables, allowing the estimation of CCP during cases such as hypercapnia-induced hyperemia, where traditional calculations, like CCP1, often reach negative non-physiological values.","author":[{"dropping-particle":"V.","family":"Varsos","given":"Georgios","non-dropping-particle":"","parse-names":false,"suffix":""},{"dropping-particle":"","family":"Richards","given":"Hugh","non-dropping-particle":"","parse-names":false,"suffix":""},{"dropping-particle":"","family":"Kasprowicz","given":"Magdalena","non-dropping-particle":"","parse-names":false,"suffix":""},{"dropping-particle":"","family":"Budohoski","given":"Karol P","non-dropping-particle":"","parse-names":false,"suffix":""},{"dropping-particle":"","family":"Brady","given":"Ken M","non-dropping-particle":"","parse-names":false,"suffix":""},{"dropping-particle":"","family":"Reinhard","given":"Matthias","non-dropping-particle":"","parse-names":false,"suffix":""},{"dropping-particle":"","family":"Avolio","given":"Alberto","non-dropping-particle":"","parse-names":false,"suffix":""},{"dropping-particle":"","family":"Smielewski","given":"Peter","non-dropping-particle":"","parse-names":false,"suffix":""},{"dropping-particle":"","family":"Pickard","given":"John D","non-dropping-particle":"","parse-names":false,"suffix":""},{"dropping-particle":"","family":"Czosnyka","given":"Marek","non-dropping-particle":"","parse-names":false,"suffix":""}],"container-title":"Journal of cerebral blood flow and metabolism : official journal of the International Society of Cerebral Blood Flow and Metabolism","id":"ITEM-1","issue":"2","issued":{"date-parts":[["2013"]]},"page":"235-43","title":"Critical closing pressure determined with a model of cerebrovascular impedance.","type":"article-journal","volume":"33"},"uris":["http://www.mendeley.com/documents/?uuid=dcb9b746-f68f-4fb8-9662-dabc552e47fa"]}],"mendeley":{"formattedCitation":"(Varsos et al. 2013)","plainTextFormattedCitation":"(Varsos et al. 2013)","previouslyFormattedCitation":"(Varsos et al. 2013)"},"properties":{"noteIndex":0},"schema":"https://github.com/citation-style-language/schema/raw/master/csl-citation.json"}</w:instrText>
      </w:r>
      <w:r w:rsidR="0087543A" w:rsidRPr="003D0C88">
        <w:rPr>
          <w:rFonts w:cstheme="minorHAnsi"/>
          <w:sz w:val="24"/>
          <w:szCs w:val="24"/>
        </w:rPr>
        <w:fldChar w:fldCharType="separate"/>
      </w:r>
      <w:r w:rsidR="00464A24" w:rsidRPr="003D0C88">
        <w:rPr>
          <w:rFonts w:cstheme="minorHAnsi"/>
          <w:noProof/>
          <w:sz w:val="24"/>
          <w:szCs w:val="24"/>
        </w:rPr>
        <w:t>(Varsos et al. 2013)</w:t>
      </w:r>
      <w:r w:rsidR="0087543A" w:rsidRPr="003D0C88">
        <w:rPr>
          <w:rFonts w:cstheme="minorHAnsi"/>
          <w:sz w:val="24"/>
          <w:szCs w:val="24"/>
        </w:rPr>
        <w:fldChar w:fldCharType="end"/>
      </w:r>
      <w:r w:rsidR="00052543" w:rsidRPr="003D0C88">
        <w:rPr>
          <w:rFonts w:cstheme="minorHAnsi"/>
          <w:sz w:val="24"/>
          <w:szCs w:val="24"/>
        </w:rPr>
        <w:t xml:space="preserve">, etc. </w:t>
      </w:r>
      <w:r w:rsidR="00B73033" w:rsidRPr="003D0C88">
        <w:rPr>
          <w:rFonts w:cstheme="minorHAnsi"/>
          <w:sz w:val="24"/>
          <w:szCs w:val="24"/>
        </w:rPr>
        <w:t xml:space="preserve">Considering these implications, this study aims to test the feasibility of nICP monitoring in association with a TCD </w:t>
      </w:r>
      <w:r w:rsidR="00B73033" w:rsidRPr="003D0C88">
        <w:rPr>
          <w:rFonts w:cstheme="minorHAnsi"/>
          <w:noProof/>
          <w:sz w:val="24"/>
          <w:szCs w:val="24"/>
        </w:rPr>
        <w:t>multiparameter</w:t>
      </w:r>
      <w:r w:rsidR="00B73033" w:rsidRPr="003D0C88">
        <w:rPr>
          <w:rFonts w:cstheme="minorHAnsi"/>
          <w:sz w:val="24"/>
          <w:szCs w:val="24"/>
        </w:rPr>
        <w:t xml:space="preserve"> approach for cerebral haemodynamics assessment in patients with ALF undergoing OLT. W</w:t>
      </w:r>
      <w:r w:rsidR="00A1282F" w:rsidRPr="003D0C88">
        <w:rPr>
          <w:rFonts w:cstheme="minorHAnsi"/>
          <w:sz w:val="24"/>
          <w:szCs w:val="24"/>
        </w:rPr>
        <w:t>e applied</w:t>
      </w:r>
      <w:r w:rsidR="00023816" w:rsidRPr="003D0C88">
        <w:rPr>
          <w:rFonts w:cstheme="minorHAnsi"/>
          <w:sz w:val="24"/>
          <w:szCs w:val="24"/>
        </w:rPr>
        <w:t xml:space="preserve"> a</w:t>
      </w:r>
      <w:r w:rsidR="00D75A21" w:rsidRPr="003D0C88">
        <w:rPr>
          <w:rFonts w:cstheme="minorHAnsi"/>
          <w:sz w:val="24"/>
          <w:szCs w:val="24"/>
        </w:rPr>
        <w:t xml:space="preserve"> multimodal approach</w:t>
      </w:r>
      <w:r w:rsidR="00A1282F" w:rsidRPr="003D0C88">
        <w:rPr>
          <w:rFonts w:cstheme="minorHAnsi"/>
          <w:sz w:val="24"/>
          <w:szCs w:val="24"/>
        </w:rPr>
        <w:t xml:space="preserve"> </w:t>
      </w:r>
      <w:r w:rsidR="00023816" w:rsidRPr="003D0C88">
        <w:rPr>
          <w:rFonts w:cstheme="minorHAnsi"/>
          <w:sz w:val="24"/>
          <w:szCs w:val="24"/>
        </w:rPr>
        <w:t>in</w:t>
      </w:r>
      <w:r w:rsidR="00A1282F" w:rsidRPr="003D0C88">
        <w:rPr>
          <w:rFonts w:cstheme="minorHAnsi"/>
          <w:sz w:val="24"/>
          <w:szCs w:val="24"/>
        </w:rPr>
        <w:t xml:space="preserve"> patients with ALF undergoing OLT to assess the clinical feasibility of TCD for cerebral haemodynamics assessment in </w:t>
      </w:r>
      <w:r w:rsidR="003B58E1" w:rsidRPr="003D0C88">
        <w:rPr>
          <w:rFonts w:cstheme="minorHAnsi"/>
          <w:sz w:val="24"/>
          <w:szCs w:val="24"/>
        </w:rPr>
        <w:t>this setting</w:t>
      </w:r>
      <w:r w:rsidR="00A1282F" w:rsidRPr="003D0C88">
        <w:rPr>
          <w:rFonts w:cstheme="minorHAnsi"/>
          <w:sz w:val="24"/>
          <w:szCs w:val="24"/>
        </w:rPr>
        <w:t>.</w:t>
      </w:r>
    </w:p>
    <w:p w14:paraId="10C8FB89" w14:textId="4FB8E9FA" w:rsidR="00791E0C" w:rsidRDefault="00791E0C" w:rsidP="00DC2A24">
      <w:pPr>
        <w:pStyle w:val="BodyTextIndent"/>
        <w:spacing w:line="480" w:lineRule="auto"/>
        <w:ind w:left="0"/>
        <w:jc w:val="both"/>
        <w:rPr>
          <w:rFonts w:cstheme="minorHAnsi"/>
          <w:sz w:val="24"/>
          <w:szCs w:val="24"/>
        </w:rPr>
      </w:pPr>
    </w:p>
    <w:p w14:paraId="3E80414E" w14:textId="16A6EAB2" w:rsidR="009A3D56" w:rsidRPr="003D0C88" w:rsidRDefault="009A3D56" w:rsidP="00DC2A24">
      <w:pPr>
        <w:pStyle w:val="BodyText2"/>
        <w:framePr w:hSpace="0" w:wrap="auto" w:vAnchor="margin" w:hAnchor="text" w:xAlign="left" w:yAlign="inline"/>
        <w:spacing w:before="120" w:after="120" w:line="480" w:lineRule="auto"/>
        <w:jc w:val="both"/>
        <w:rPr>
          <w:rFonts w:asciiTheme="minorHAnsi" w:hAnsiTheme="minorHAnsi" w:cstheme="minorHAnsi"/>
          <w:sz w:val="24"/>
        </w:rPr>
      </w:pPr>
      <w:r w:rsidRPr="003D0C88">
        <w:rPr>
          <w:rFonts w:asciiTheme="minorHAnsi" w:hAnsiTheme="minorHAnsi" w:cstheme="minorHAnsi"/>
          <w:sz w:val="24"/>
        </w:rPr>
        <w:lastRenderedPageBreak/>
        <w:t>Material</w:t>
      </w:r>
      <w:r w:rsidR="00B73033" w:rsidRPr="003D0C88">
        <w:rPr>
          <w:rFonts w:asciiTheme="minorHAnsi" w:hAnsiTheme="minorHAnsi" w:cstheme="minorHAnsi"/>
          <w:sz w:val="24"/>
        </w:rPr>
        <w:t>s</w:t>
      </w:r>
      <w:r w:rsidRPr="003D0C88">
        <w:rPr>
          <w:rFonts w:asciiTheme="minorHAnsi" w:hAnsiTheme="minorHAnsi" w:cstheme="minorHAnsi"/>
          <w:sz w:val="24"/>
        </w:rPr>
        <w:t xml:space="preserve"> &amp; Methods</w:t>
      </w:r>
    </w:p>
    <w:p w14:paraId="59562633" w14:textId="77777777" w:rsidR="009A3D56" w:rsidRPr="003D0C88" w:rsidRDefault="009A3D56" w:rsidP="00DC2A24">
      <w:pPr>
        <w:pStyle w:val="BodyText2"/>
        <w:framePr w:hSpace="0" w:wrap="auto" w:vAnchor="margin" w:hAnchor="text" w:xAlign="left" w:yAlign="inline"/>
        <w:spacing w:before="120" w:after="120" w:line="480" w:lineRule="auto"/>
        <w:jc w:val="both"/>
        <w:rPr>
          <w:rFonts w:asciiTheme="minorHAnsi" w:hAnsiTheme="minorHAnsi" w:cstheme="minorHAnsi"/>
          <w:b w:val="0"/>
          <w:sz w:val="24"/>
        </w:rPr>
      </w:pPr>
    </w:p>
    <w:p w14:paraId="59045CB3" w14:textId="77777777" w:rsidR="009A3D56" w:rsidRPr="003D0C88" w:rsidRDefault="009A3D56" w:rsidP="00DC2A24">
      <w:pPr>
        <w:pStyle w:val="BodyText2"/>
        <w:framePr w:hSpace="0" w:wrap="auto" w:vAnchor="margin" w:hAnchor="text" w:xAlign="left" w:yAlign="inline"/>
        <w:spacing w:before="120" w:after="120" w:line="480" w:lineRule="auto"/>
        <w:jc w:val="both"/>
        <w:rPr>
          <w:rFonts w:asciiTheme="minorHAnsi" w:hAnsiTheme="minorHAnsi" w:cstheme="minorHAnsi"/>
          <w:sz w:val="24"/>
        </w:rPr>
      </w:pPr>
      <w:r w:rsidRPr="003D0C88">
        <w:rPr>
          <w:rFonts w:asciiTheme="minorHAnsi" w:hAnsiTheme="minorHAnsi" w:cstheme="minorHAnsi"/>
          <w:sz w:val="24"/>
        </w:rPr>
        <w:t>Patient population</w:t>
      </w:r>
    </w:p>
    <w:p w14:paraId="176527A1" w14:textId="0D405C80" w:rsidR="009A3D56" w:rsidRPr="003D0C88" w:rsidRDefault="00693849" w:rsidP="00684D8B">
      <w:pPr>
        <w:pStyle w:val="BodyText2"/>
        <w:framePr w:hSpace="0" w:wrap="auto" w:vAnchor="margin" w:hAnchor="text" w:xAlign="left" w:yAlign="inline"/>
        <w:spacing w:before="120" w:after="120" w:line="480" w:lineRule="auto"/>
        <w:jc w:val="both"/>
        <w:rPr>
          <w:rFonts w:asciiTheme="minorHAnsi" w:hAnsiTheme="minorHAnsi" w:cstheme="minorHAnsi"/>
          <w:b w:val="0"/>
          <w:sz w:val="24"/>
        </w:rPr>
      </w:pPr>
      <w:r>
        <w:rPr>
          <w:rFonts w:asciiTheme="minorHAnsi" w:hAnsiTheme="minorHAnsi" w:cstheme="minorHAnsi"/>
          <w:b w:val="0"/>
          <w:sz w:val="24"/>
        </w:rPr>
        <w:tab/>
      </w:r>
      <w:r w:rsidR="009A3D56" w:rsidRPr="003D0C88">
        <w:rPr>
          <w:rFonts w:asciiTheme="minorHAnsi" w:hAnsiTheme="minorHAnsi" w:cstheme="minorHAnsi"/>
          <w:b w:val="0"/>
          <w:sz w:val="24"/>
        </w:rPr>
        <w:t xml:space="preserve">We retrospectively studied </w:t>
      </w:r>
      <w:r w:rsidR="00DC547A" w:rsidRPr="003D0C88">
        <w:rPr>
          <w:rFonts w:asciiTheme="minorHAnsi" w:hAnsiTheme="minorHAnsi" w:cstheme="minorHAnsi"/>
          <w:b w:val="0"/>
          <w:sz w:val="24"/>
        </w:rPr>
        <w:t>6</w:t>
      </w:r>
      <w:r w:rsidR="009A3D56" w:rsidRPr="003D0C88">
        <w:rPr>
          <w:rFonts w:asciiTheme="minorHAnsi" w:hAnsiTheme="minorHAnsi" w:cstheme="minorHAnsi"/>
          <w:b w:val="0"/>
          <w:sz w:val="24"/>
        </w:rPr>
        <w:t xml:space="preserve"> patients undergoing orthotopic liver transplant surgery (OLT) admitted to </w:t>
      </w:r>
      <w:r w:rsidR="00EE4BA6" w:rsidRPr="003D0C88">
        <w:rPr>
          <w:rFonts w:asciiTheme="minorHAnsi" w:hAnsiTheme="minorHAnsi" w:cstheme="minorHAnsi"/>
          <w:b w:val="0"/>
          <w:sz w:val="24"/>
        </w:rPr>
        <w:t xml:space="preserve">the Transplant Unit at </w:t>
      </w:r>
      <w:r w:rsidR="009A3D56" w:rsidRPr="003D0C88">
        <w:rPr>
          <w:rFonts w:asciiTheme="minorHAnsi" w:hAnsiTheme="minorHAnsi" w:cstheme="minorHAnsi"/>
          <w:b w:val="0"/>
          <w:sz w:val="24"/>
        </w:rPr>
        <w:t>Addenbrooke’s Ho</w:t>
      </w:r>
      <w:r w:rsidR="00EE399D" w:rsidRPr="003D0C88">
        <w:rPr>
          <w:rFonts w:asciiTheme="minorHAnsi" w:hAnsiTheme="minorHAnsi" w:cstheme="minorHAnsi"/>
          <w:b w:val="0"/>
          <w:sz w:val="24"/>
        </w:rPr>
        <w:t xml:space="preserve">spital, Cambridge, UK between </w:t>
      </w:r>
      <w:r w:rsidR="009C197F" w:rsidRPr="003D0C88">
        <w:rPr>
          <w:rFonts w:asciiTheme="minorHAnsi" w:hAnsiTheme="minorHAnsi" w:cstheme="minorHAnsi"/>
          <w:b w:val="0"/>
          <w:sz w:val="24"/>
        </w:rPr>
        <w:t xml:space="preserve">December 2002 to March </w:t>
      </w:r>
      <w:r w:rsidR="00EE399D" w:rsidRPr="003D0C88">
        <w:rPr>
          <w:rFonts w:asciiTheme="minorHAnsi" w:hAnsiTheme="minorHAnsi" w:cstheme="minorHAnsi"/>
          <w:b w:val="0"/>
          <w:sz w:val="24"/>
        </w:rPr>
        <w:t>2003</w:t>
      </w:r>
      <w:r w:rsidR="009A3D56" w:rsidRPr="003D0C88">
        <w:rPr>
          <w:rFonts w:asciiTheme="minorHAnsi" w:hAnsiTheme="minorHAnsi" w:cstheme="minorHAnsi"/>
          <w:b w:val="0"/>
          <w:sz w:val="24"/>
        </w:rPr>
        <w:t xml:space="preserve">. The median age </w:t>
      </w:r>
      <w:r w:rsidR="00EE399D" w:rsidRPr="003D0C88">
        <w:rPr>
          <w:rFonts w:asciiTheme="minorHAnsi" w:hAnsiTheme="minorHAnsi" w:cstheme="minorHAnsi"/>
          <w:b w:val="0"/>
          <w:sz w:val="24"/>
        </w:rPr>
        <w:t>was 56 years (range 51-65</w:t>
      </w:r>
      <w:r w:rsidR="00023816" w:rsidRPr="003D0C88">
        <w:rPr>
          <w:rFonts w:asciiTheme="minorHAnsi" w:hAnsiTheme="minorHAnsi" w:cstheme="minorHAnsi"/>
          <w:b w:val="0"/>
          <w:sz w:val="24"/>
        </w:rPr>
        <w:t xml:space="preserve"> years; 67</w:t>
      </w:r>
      <w:r w:rsidR="009A3D56" w:rsidRPr="003D0C88">
        <w:rPr>
          <w:rFonts w:asciiTheme="minorHAnsi" w:hAnsiTheme="minorHAnsi" w:cstheme="minorHAnsi"/>
          <w:b w:val="0"/>
          <w:sz w:val="24"/>
        </w:rPr>
        <w:t>% males).</w:t>
      </w:r>
      <w:r w:rsidR="00EE4BA6" w:rsidRPr="003D0C88">
        <w:rPr>
          <w:rFonts w:asciiTheme="minorHAnsi" w:hAnsiTheme="minorHAnsi" w:cstheme="minorHAnsi"/>
          <w:b w:val="0"/>
          <w:sz w:val="24"/>
        </w:rPr>
        <w:t xml:space="preserve"> Inclusion criteria for this study were the presence of chronic hepatic failure requiring OLT and </w:t>
      </w:r>
      <w:r w:rsidR="00023816" w:rsidRPr="003D0C88">
        <w:rPr>
          <w:rFonts w:asciiTheme="minorHAnsi" w:hAnsiTheme="minorHAnsi" w:cstheme="minorHAnsi"/>
          <w:b w:val="0"/>
          <w:sz w:val="24"/>
        </w:rPr>
        <w:t>acute liver</w:t>
      </w:r>
      <w:r w:rsidR="00EE4BA6" w:rsidRPr="003D0C88">
        <w:rPr>
          <w:rFonts w:asciiTheme="minorHAnsi" w:hAnsiTheme="minorHAnsi" w:cstheme="minorHAnsi"/>
          <w:b w:val="0"/>
          <w:sz w:val="24"/>
        </w:rPr>
        <w:t xml:space="preserve"> failure requiring OLT. Exclusion criterion was the contraindication for OLT.</w:t>
      </w:r>
      <w:r w:rsidR="007757A8" w:rsidRPr="003D0C88">
        <w:rPr>
          <w:rFonts w:asciiTheme="minorHAnsi" w:hAnsiTheme="minorHAnsi" w:cstheme="minorHAnsi"/>
          <w:b w:val="0"/>
          <w:sz w:val="24"/>
        </w:rPr>
        <w:t xml:space="preserve"> </w:t>
      </w:r>
      <w:r w:rsidR="002B4EE5" w:rsidRPr="003D0C88">
        <w:rPr>
          <w:rFonts w:asciiTheme="minorHAnsi" w:hAnsiTheme="minorHAnsi" w:cstheme="minorHAnsi"/>
          <w:b w:val="0"/>
          <w:sz w:val="24"/>
        </w:rPr>
        <w:t>Long-time</w:t>
      </w:r>
      <w:r w:rsidR="007757A8" w:rsidRPr="003D0C88">
        <w:rPr>
          <w:rFonts w:asciiTheme="minorHAnsi" w:hAnsiTheme="minorHAnsi" w:cstheme="minorHAnsi"/>
          <w:b w:val="0"/>
          <w:sz w:val="24"/>
        </w:rPr>
        <w:t xml:space="preserve"> </w:t>
      </w:r>
      <w:r w:rsidR="00FD3AC2" w:rsidRPr="003D0C88">
        <w:rPr>
          <w:rFonts w:asciiTheme="minorHAnsi" w:hAnsiTheme="minorHAnsi" w:cstheme="minorHAnsi"/>
          <w:b w:val="0"/>
          <w:sz w:val="24"/>
        </w:rPr>
        <w:t>delay between</w:t>
      </w:r>
      <w:r w:rsidR="007757A8" w:rsidRPr="003D0C88">
        <w:rPr>
          <w:rFonts w:asciiTheme="minorHAnsi" w:hAnsiTheme="minorHAnsi" w:cstheme="minorHAnsi"/>
          <w:b w:val="0"/>
          <w:sz w:val="24"/>
        </w:rPr>
        <w:t xml:space="preserve"> monitoring and </w:t>
      </w:r>
      <w:r w:rsidR="000F6C98" w:rsidRPr="003D0C88">
        <w:rPr>
          <w:rFonts w:asciiTheme="minorHAnsi" w:hAnsiTheme="minorHAnsi" w:cstheme="minorHAnsi"/>
          <w:b w:val="0"/>
          <w:sz w:val="24"/>
        </w:rPr>
        <w:t xml:space="preserve">retrospective data </w:t>
      </w:r>
      <w:r w:rsidR="007757A8" w:rsidRPr="003D0C88">
        <w:rPr>
          <w:rFonts w:asciiTheme="minorHAnsi" w:hAnsiTheme="minorHAnsi" w:cstheme="minorHAnsi"/>
          <w:b w:val="0"/>
          <w:sz w:val="24"/>
        </w:rPr>
        <w:t>analysis was</w:t>
      </w:r>
      <w:r w:rsidR="00FD3AC2" w:rsidRPr="003D0C88">
        <w:rPr>
          <w:rFonts w:asciiTheme="minorHAnsi" w:hAnsiTheme="minorHAnsi" w:cstheme="minorHAnsi"/>
          <w:b w:val="0"/>
          <w:sz w:val="24"/>
        </w:rPr>
        <w:t xml:space="preserve"> due to </w:t>
      </w:r>
      <w:r w:rsidR="007757A8" w:rsidRPr="003D0C88">
        <w:rPr>
          <w:rFonts w:asciiTheme="minorHAnsi" w:hAnsiTheme="minorHAnsi" w:cstheme="minorHAnsi"/>
          <w:b w:val="0"/>
          <w:sz w:val="24"/>
        </w:rPr>
        <w:t>the fact that</w:t>
      </w:r>
      <w:r w:rsidR="000F6C98" w:rsidRPr="003D0C88">
        <w:rPr>
          <w:rFonts w:asciiTheme="minorHAnsi" w:hAnsiTheme="minorHAnsi" w:cstheme="minorHAnsi"/>
          <w:b w:val="0"/>
          <w:sz w:val="24"/>
        </w:rPr>
        <w:t xml:space="preserve"> </w:t>
      </w:r>
      <w:r w:rsidR="00FD3AC2" w:rsidRPr="003D0C88">
        <w:rPr>
          <w:rFonts w:asciiTheme="minorHAnsi" w:hAnsiTheme="minorHAnsi" w:cstheme="minorHAnsi"/>
          <w:b w:val="0"/>
          <w:sz w:val="24"/>
        </w:rPr>
        <w:t>many</w:t>
      </w:r>
      <w:r w:rsidR="000F6C98" w:rsidRPr="003D0C88">
        <w:rPr>
          <w:rFonts w:asciiTheme="minorHAnsi" w:hAnsiTheme="minorHAnsi" w:cstheme="minorHAnsi"/>
          <w:b w:val="0"/>
          <w:sz w:val="24"/>
        </w:rPr>
        <w:t xml:space="preserve"> improved </w:t>
      </w:r>
      <w:r w:rsidR="00FD3AC2" w:rsidRPr="003D0C88">
        <w:rPr>
          <w:rFonts w:asciiTheme="minorHAnsi" w:hAnsiTheme="minorHAnsi" w:cstheme="minorHAnsi"/>
          <w:b w:val="0"/>
          <w:sz w:val="24"/>
        </w:rPr>
        <w:t xml:space="preserve">analytical </w:t>
      </w:r>
      <w:r w:rsidR="000F6C98" w:rsidRPr="003D0C88">
        <w:rPr>
          <w:rFonts w:asciiTheme="minorHAnsi" w:hAnsiTheme="minorHAnsi" w:cstheme="minorHAnsi"/>
          <w:b w:val="0"/>
          <w:sz w:val="24"/>
        </w:rPr>
        <w:t xml:space="preserve">procedures </w:t>
      </w:r>
      <w:r w:rsidR="007757A8" w:rsidRPr="003D0C88">
        <w:rPr>
          <w:rFonts w:asciiTheme="minorHAnsi" w:hAnsiTheme="minorHAnsi" w:cstheme="minorHAnsi"/>
          <w:b w:val="0"/>
          <w:sz w:val="24"/>
        </w:rPr>
        <w:t xml:space="preserve">were introduced only recently to the software we use for brain signal </w:t>
      </w:r>
      <w:r w:rsidR="004F68BB" w:rsidRPr="003D0C88">
        <w:rPr>
          <w:rFonts w:asciiTheme="minorHAnsi" w:hAnsiTheme="minorHAnsi" w:cstheme="minorHAnsi"/>
          <w:b w:val="0"/>
          <w:sz w:val="24"/>
        </w:rPr>
        <w:t>processing (</w:t>
      </w:r>
      <w:r w:rsidR="000F6C98" w:rsidRPr="003D0C88">
        <w:rPr>
          <w:rFonts w:asciiTheme="minorHAnsi" w:hAnsiTheme="minorHAnsi" w:cstheme="minorHAnsi"/>
          <w:b w:val="0"/>
          <w:sz w:val="24"/>
        </w:rPr>
        <w:t>ICM+®</w:t>
      </w:r>
      <w:r w:rsidR="002B4EE5">
        <w:rPr>
          <w:rFonts w:asciiTheme="minorHAnsi" w:hAnsiTheme="minorHAnsi" w:cstheme="minorHAnsi"/>
          <w:b w:val="0"/>
          <w:sz w:val="24"/>
        </w:rPr>
        <w:t>,</w:t>
      </w:r>
      <w:r w:rsidR="000F6C98" w:rsidRPr="003D0C88">
        <w:rPr>
          <w:rFonts w:asciiTheme="minorHAnsi" w:hAnsiTheme="minorHAnsi" w:cstheme="minorHAnsi"/>
          <w:b w:val="0"/>
          <w:sz w:val="24"/>
        </w:rPr>
        <w:t xml:space="preserve"> Cambridge Enterprise</w:t>
      </w:r>
      <w:r w:rsidR="002B4EE5">
        <w:rPr>
          <w:rFonts w:asciiTheme="minorHAnsi" w:hAnsiTheme="minorHAnsi" w:cstheme="minorHAnsi"/>
          <w:b w:val="0"/>
          <w:sz w:val="24"/>
        </w:rPr>
        <w:t>, Cambridge, United Kingdom)</w:t>
      </w:r>
      <w:r w:rsidR="000F6C98" w:rsidRPr="003D0C88">
        <w:rPr>
          <w:rFonts w:asciiTheme="minorHAnsi" w:hAnsiTheme="minorHAnsi" w:cstheme="minorHAnsi"/>
          <w:b w:val="0"/>
          <w:sz w:val="24"/>
        </w:rPr>
        <w:t xml:space="preserve">, including non-invasive </w:t>
      </w:r>
      <w:r w:rsidR="00CD744D">
        <w:rPr>
          <w:rFonts w:asciiTheme="minorHAnsi" w:hAnsiTheme="minorHAnsi" w:cstheme="minorHAnsi"/>
          <w:b w:val="0"/>
          <w:sz w:val="24"/>
        </w:rPr>
        <w:t>nICP</w:t>
      </w:r>
      <w:r w:rsidR="002B4EE5">
        <w:rPr>
          <w:rFonts w:asciiTheme="minorHAnsi" w:hAnsiTheme="minorHAnsi" w:cstheme="minorHAnsi"/>
          <w:b w:val="0"/>
          <w:sz w:val="24"/>
        </w:rPr>
        <w:t xml:space="preserve"> </w:t>
      </w:r>
      <w:r w:rsidR="000F6C98" w:rsidRPr="003D0C88">
        <w:rPr>
          <w:rFonts w:asciiTheme="minorHAnsi" w:hAnsiTheme="minorHAnsi" w:cstheme="minorHAnsi"/>
          <w:b w:val="0"/>
          <w:sz w:val="24"/>
        </w:rPr>
        <w:fldChar w:fldCharType="begin" w:fldLock="1"/>
      </w:r>
      <w:r w:rsidR="004030CD">
        <w:rPr>
          <w:rFonts w:asciiTheme="minorHAnsi" w:hAnsiTheme="minorHAnsi" w:cstheme="minorHAnsi"/>
          <w:b w:val="0"/>
          <w:sz w:val="24"/>
        </w:rPr>
        <w:instrText>ADDIN CSL_CITATION {"citationItems":[{"id":"ITEM-1","itemData":{"DOI":"10.1161/01.STR.28.12.2465","ISSN":"0039-2499, 1524-4628","abstract":"Background and Purpose Until now the assessment of intracranial pressure (ICP) required invasive methods. The objective of this study was to introduce an approach to a noninvasive assessment of continuous ICP curves.\\nMethods The intracranial compartment was considered a “black box” system with an input signal, the arterial blood pressure (ABP), and an output signal, the ICP. A so-called weight function described the relationship between ABP and ICP curves. Certain parameters, called transcranial Doppler (TCD) characteristics, were calculated from the cerebral blood flow velocity (FV) and the ABP curves and were used to estimate this weight function. From simultaneously sampled FV, ABP, and (invasively measured) ICP curves of a defined group of patients with severe head injuries, the TCD characteristics and the weight function were computed. Multiple regression analysis revealed a mathematical formula for calculating the weight function from TCD characteristics. This formula was used to generate the ICP simulation. FV, ABP, and ICP recordings from 11 patients (mean age, 46±14 years) with severe head injury were studied. In each patient, ICP was computed by a simulation procedure, generated from the data of the remaining 10 patients. The simulation period was 100 seconds.\\nResults Corresponding pressure trends with a mean absolute difference of 4.0±1.8 mm Hg between computed and measured ICP were observed. Shapes of pulse and respiratory ICP modulations were clearly predicted.\\nConclusions These results demonstrate that this method constitutes a promising step toward a noninvasive ICP prediction that may be clinically applicable under well-defined conditions.","author":[{"dropping-particle":"","family":"Schmidt","given":"Bernhard","non-dropping-particle":"","parse-names":false,"suffix":""},{"dropping-particle":"","family":"Klingelhöfer","given":"Jürgen","non-dropping-particle":"","parse-names":false,"suffix":""},{"dropping-particle":"","family":"Schwarze","given":"Jens Jürgen","non-dropping-particle":"","parse-names":false,"suffix":""},{"dropping-particle":"","family":"Sander","given":"Dirk","non-dropping-particle":"","parse-names":false,"suffix":""},{"dropping-particle":"","family":"Wittich","given":"Ingo","non-dropping-particle":"","parse-names":false,"suffix":""}],"container-title":"Stroke","id":"ITEM-1","issue":"12","issued":{"date-parts":[["1997"]]},"page":"2465-2472","title":"Noninvasive Prediction of Intracranial Pressure Curves Using Transcranial Doppler Ultrasonography and Blood Pressure Curves","type":"article-journal","volume":"28"},"uris":["http://www.mendeley.com/documents/?uuid=33ae1afa-ac67-487f-a0d7-cb35e46b447d"]}],"mendeley":{"formattedCitation":"(Schmidt et al. 1997)","plainTextFormattedCitation":"(Schmidt et al. 1997)","previouslyFormattedCitation":"(Schmidt et al. 1997)"},"properties":{"noteIndex":0},"schema":"https://github.com/citation-style-language/schema/raw/master/csl-citation.json"}</w:instrText>
      </w:r>
      <w:r w:rsidR="000F6C98" w:rsidRPr="003D0C88">
        <w:rPr>
          <w:rFonts w:asciiTheme="minorHAnsi" w:hAnsiTheme="minorHAnsi" w:cstheme="minorHAnsi"/>
          <w:b w:val="0"/>
          <w:sz w:val="24"/>
        </w:rPr>
        <w:fldChar w:fldCharType="separate"/>
      </w:r>
      <w:r w:rsidR="00464A24" w:rsidRPr="003D0C88">
        <w:rPr>
          <w:rFonts w:asciiTheme="minorHAnsi" w:hAnsiTheme="minorHAnsi" w:cstheme="minorHAnsi"/>
          <w:b w:val="0"/>
          <w:noProof/>
          <w:sz w:val="24"/>
        </w:rPr>
        <w:t>(Schmidt et al. 1997)</w:t>
      </w:r>
      <w:r w:rsidR="000F6C98" w:rsidRPr="003D0C88">
        <w:rPr>
          <w:rFonts w:asciiTheme="minorHAnsi" w:hAnsiTheme="minorHAnsi" w:cstheme="minorHAnsi"/>
          <w:b w:val="0"/>
          <w:sz w:val="24"/>
        </w:rPr>
        <w:fldChar w:fldCharType="end"/>
      </w:r>
      <w:r w:rsidR="000F6C98" w:rsidRPr="003D0C88">
        <w:rPr>
          <w:rFonts w:asciiTheme="minorHAnsi" w:hAnsiTheme="minorHAnsi" w:cstheme="minorHAnsi"/>
          <w:b w:val="0"/>
          <w:sz w:val="24"/>
        </w:rPr>
        <w:t>, modelled CrCP</w:t>
      </w:r>
      <w:r w:rsidR="002B4EE5">
        <w:rPr>
          <w:rFonts w:asciiTheme="minorHAnsi" w:hAnsiTheme="minorHAnsi" w:cstheme="minorHAnsi"/>
          <w:b w:val="0"/>
          <w:sz w:val="24"/>
        </w:rPr>
        <w:t xml:space="preserve"> </w:t>
      </w:r>
      <w:r w:rsidR="000F6C98" w:rsidRPr="003D0C88">
        <w:rPr>
          <w:rFonts w:asciiTheme="minorHAnsi" w:hAnsiTheme="minorHAnsi" w:cstheme="minorHAnsi"/>
          <w:b w:val="0"/>
          <w:sz w:val="24"/>
        </w:rPr>
        <w:fldChar w:fldCharType="begin" w:fldLock="1"/>
      </w:r>
      <w:r w:rsidR="004030CD">
        <w:rPr>
          <w:rFonts w:asciiTheme="minorHAnsi" w:hAnsiTheme="minorHAnsi" w:cstheme="minorHAnsi"/>
          <w:b w:val="0"/>
          <w:sz w:val="24"/>
        </w:rPr>
        <w:instrText>ADDIN CSL_CITATION {"citationItems":[{"id":"ITEM-1","itemData":{"DOI":"10.1038/jcbfm.2012.161","ISSN":"1559-7016","PMID":"23149558","abstract":"Critical closing pressure (CCP) is the arterial blood pressure (ABP) at which brain vessels collapse and cerebral blood flow (CBF) ceases. Using the concept of impedance to CBF, CCP can be expressed with brain-monitoring parameters: cerebral perfusion pressure (CPP), ABP, blood flow velocity (FV), and heart rate. The novel multiparameter method (CCPm) was compared with traditional transcranial Doppler (TCD) calculations of CCP (CCP1). Digital recordings of ABP, intracranial pressure (ICP), and TCD-based FV from previously published studies of 29 New Zealand White rabbits were reanalyzed. Overall, CCP1 and CCPm showed correlation across wide ranges of ABP, ICP, and PaCO2 (R=0.93, P&lt;0.001). Three physiological perturbations were studied: increase in ICP (n=29) causing both CCP1 and CCPm to increase (P&lt;0.001 for both); reduction of ABP (n=10) resulting in decrease of CCP1 (P=0.006) and CCPm (P=0.002); and controlled increase of PaCO2 (n=8) to hypercapnic levels, which decreased CCP1 and CCPm, albeit insignificantly (P=0.123 and P=0.306 respectively), caused by a spontaneous significant increase in ABP (P=0.025). Multiparameter mathematical model of critical closing pressure explains the relationship of CCP on brain-monitoring variables, allowing the estimation of CCP during cases such as hypercapnia-induced hyperemia, where traditional calculations, like CCP1, often reach negative non-physiological values.","author":[{"dropping-particle":"V.","family":"Varsos","given":"Georgios","non-dropping-particle":"","parse-names":false,"suffix":""},{"dropping-particle":"","family":"Richards","given":"Hugh","non-dropping-particle":"","parse-names":false,"suffix":""},{"dropping-particle":"","family":"Kasprowicz","given":"Magdalena","non-dropping-particle":"","parse-names":false,"suffix":""},{"dropping-particle":"","family":"Budohoski","given":"Karol P","non-dropping-particle":"","parse-names":false,"suffix":""},{"dropping-particle":"","family":"Brady","given":"Ken M","non-dropping-particle":"","parse-names":false,"suffix":""},{"dropping-particle":"","family":"Reinhard","given":"Matthias","non-dropping-particle":"","parse-names":false,"suffix":""},{"dropping-particle":"","family":"Avolio","given":"Alberto","non-dropping-particle":"","parse-names":false,"suffix":""},{"dropping-particle":"","family":"Smielewski","given":"Peter","non-dropping-particle":"","parse-names":false,"suffix":""},{"dropping-particle":"","family":"Pickard","given":"John D","non-dropping-particle":"","parse-names":false,"suffix":""},{"dropping-particle":"","family":"Czosnyka","given":"Marek","non-dropping-particle":"","parse-names":false,"suffix":""}],"container-title":"Journal of cerebral blood flow and metabolism : official journal of the International Society of Cerebral Blood Flow and Metabolism","id":"ITEM-1","issue":"2","issued":{"date-parts":[["2013"]]},"page":"235-43","title":"Critical closing pressure determined with a model of cerebrovascular impedance.","type":"article-journal","volume":"33"},"uris":["http://www.mendeley.com/documents/?uuid=dcb9b746-f68f-4fb8-9662-dabc552e47fa"]}],"mendeley":{"formattedCitation":"(Varsos et al. 2013)","plainTextFormattedCitation":"(Varsos et al. 2013)","previouslyFormattedCitation":"(Varsos et al. 2013)"},"properties":{"noteIndex":0},"schema":"https://github.com/citation-style-language/schema/raw/master/csl-citation.json"}</w:instrText>
      </w:r>
      <w:r w:rsidR="000F6C98" w:rsidRPr="003D0C88">
        <w:rPr>
          <w:rFonts w:asciiTheme="minorHAnsi" w:hAnsiTheme="minorHAnsi" w:cstheme="minorHAnsi"/>
          <w:b w:val="0"/>
          <w:sz w:val="24"/>
        </w:rPr>
        <w:fldChar w:fldCharType="separate"/>
      </w:r>
      <w:r w:rsidR="00464A24" w:rsidRPr="003D0C88">
        <w:rPr>
          <w:rFonts w:asciiTheme="minorHAnsi" w:hAnsiTheme="minorHAnsi" w:cstheme="minorHAnsi"/>
          <w:b w:val="0"/>
          <w:noProof/>
          <w:sz w:val="24"/>
        </w:rPr>
        <w:t>(Varsos et al. 2013)</w:t>
      </w:r>
      <w:r w:rsidR="000F6C98" w:rsidRPr="003D0C88">
        <w:rPr>
          <w:rFonts w:asciiTheme="minorHAnsi" w:hAnsiTheme="minorHAnsi" w:cstheme="minorHAnsi"/>
          <w:b w:val="0"/>
          <w:sz w:val="24"/>
        </w:rPr>
        <w:fldChar w:fldCharType="end"/>
      </w:r>
      <w:r w:rsidR="000F6C98" w:rsidRPr="003D0C88">
        <w:rPr>
          <w:rFonts w:asciiTheme="minorHAnsi" w:hAnsiTheme="minorHAnsi" w:cstheme="minorHAnsi"/>
          <w:b w:val="0"/>
          <w:sz w:val="24"/>
        </w:rPr>
        <w:t xml:space="preserve">, refined methods </w:t>
      </w:r>
      <w:r w:rsidR="00FD3AC2" w:rsidRPr="003D0C88">
        <w:rPr>
          <w:rFonts w:asciiTheme="minorHAnsi" w:hAnsiTheme="minorHAnsi" w:cstheme="minorHAnsi"/>
          <w:b w:val="0"/>
          <w:sz w:val="24"/>
        </w:rPr>
        <w:t>for</w:t>
      </w:r>
      <w:r w:rsidR="000F6C98" w:rsidRPr="003D0C88">
        <w:rPr>
          <w:rFonts w:asciiTheme="minorHAnsi" w:hAnsiTheme="minorHAnsi" w:cstheme="minorHAnsi"/>
          <w:b w:val="0"/>
          <w:sz w:val="24"/>
        </w:rPr>
        <w:t xml:space="preserve"> cerebral autoregulation</w:t>
      </w:r>
      <w:r w:rsidR="00FD3AC2" w:rsidRPr="003D0C88">
        <w:rPr>
          <w:rFonts w:asciiTheme="minorHAnsi" w:hAnsiTheme="minorHAnsi" w:cstheme="minorHAnsi"/>
          <w:b w:val="0"/>
          <w:sz w:val="24"/>
        </w:rPr>
        <w:t xml:space="preserve"> assessment</w:t>
      </w:r>
      <w:r w:rsidR="00421C70">
        <w:rPr>
          <w:rFonts w:asciiTheme="minorHAnsi" w:hAnsiTheme="minorHAnsi" w:cstheme="minorHAnsi"/>
          <w:b w:val="0"/>
          <w:sz w:val="24"/>
        </w:rPr>
        <w:t xml:space="preserve"> </w:t>
      </w:r>
      <w:r w:rsidR="000F6C98" w:rsidRPr="003D0C88">
        <w:rPr>
          <w:rFonts w:asciiTheme="minorHAnsi" w:hAnsiTheme="minorHAnsi" w:cstheme="minorHAnsi"/>
          <w:b w:val="0"/>
          <w:sz w:val="24"/>
        </w:rPr>
        <w:fldChar w:fldCharType="begin" w:fldLock="1"/>
      </w:r>
      <w:r w:rsidR="004030CD">
        <w:rPr>
          <w:rFonts w:asciiTheme="minorHAnsi" w:hAnsiTheme="minorHAnsi" w:cstheme="minorHAnsi"/>
          <w:b w:val="0"/>
          <w:sz w:val="24"/>
        </w:rPr>
        <w:instrText>ADDIN CSL_CITATION {"citationItems":[{"id":"ITEM-1","itemData":{"DOI":"10.1007/s12028-008-9175-7","ISBN":"1541-6933 (Print)\\r1541-6933 (Linking)","ISSN":"15416933","PMID":"19127448","abstract":"The methods for continuous assessment of cerebral autoregulation using correlation, phase shift, or transmission (either in time- or frequency-domain) were introduced a decade ago. They express dynamic relationships between slow waves of transcranial Doppler (TCD), blood flow velocity (FV) and cerebral perfusion pressure (CPP), or arterial pressure (ABP). We review a methodology and clinical application of indices useful for monitoring cerebral autoregulation and pressure-reactivity in various scenarios of neuro-critical care. FACTS: Poor autoregulation and loss of pressure-reactivity are independent predictors of fatal outcome following head injury. Autoregulation is impaired by too low or too high CPP when compared to autoregulation with normal CPP (usually between 60 and 85 mmHg; and these limits are highly individual). Hemispheric asymmetry of the bi-laterally assessed autoregulation has been associated with asymmetry of CT scan findings: autoregulation was found to be worse ipsilateral to contusion or lateralized edema causing midline shift. The pressure-reactivity (PRx index) correlated with a state of low CBF and CMRO2 revealed using PET studies. The PRx is easier to monitor over prolonged periods of time than the TCD-based indices as it does not require fixation of external probes. Continuous monitoring with the PRx can be used to direct CPP-oriented therapy by determining the optimal CPP for pressure-reactivity. Autoregulation indices are able to reflect transient changes of autoregulation, as seen during plateau waves of ICP. However, minute-to-minute assessment of autoregulation has a poor signal-to-noise ratio. Averaging across time (30 min) or by combining with other relevant parameters improves the accuracy. MYTHS: It is debatable whether the TCD-based indices in head injured patients can be calculated using ABP instead of CPP. Thresholds for functional and disturbed autoregulation dramatically depends on arterial tension of CO2--therefore, comparison between patients cannot be performed without comparing their PaCO2. The TCD pulsatility index cannot accurately detect the lower limit of autoregulation. MISSING LINKS: We still do not know whether autoregulation-oriented therapy can be understood as a consensus between CPP-directed protocols and the Lund-concept. What are the links between endothelial function and autoregulation indices? Can autoregulation after head injury be improved with statins or EPO, as in subarachnoid hemorrhage? In c…","author":[{"dropping-particle":"","family":"Czosnyka","given":"Marek","non-dropping-particle":"","parse-names":false,"suffix":""},{"dropping-particle":"","family":"Brady","given":"Ken","non-dropping-particle":"","parse-names":false,"suffix":""},{"dropping-particle":"","family":"Reinhard","given":"Matthias","non-dropping-particle":"","parse-names":false,"suffix":""},{"dropping-particle":"","family":"Smielewski","given":"Piotr","non-dropping-particle":"","parse-names":false,"suffix":""},{"dropping-particle":"","family":"Steiner","given":"Luzius A.","non-dropping-particle":"","parse-names":false,"suffix":""}],"container-title":"Neurocritical Care","id":"ITEM-1","issue":"3","issued":{"date-parts":[["2009"]]},"page":"373-386","title":"Monitoring of cerebrovascular autoregulation: Facts, myths, and missing links","type":"article","volume":"10"},"uris":["http://www.mendeley.com/documents/?uuid=8e0467e0-2833-42c8-8466-e928afd4eafa"]}],"mendeley":{"formattedCitation":"(Czosnyka et al. 2009)","plainTextFormattedCitation":"(Czosnyka et al. 2009)","previouslyFormattedCitation":"(Czosnyka et al. 2009)"},"properties":{"noteIndex":0},"schema":"https://github.com/citation-style-language/schema/raw/master/csl-citation.json"}</w:instrText>
      </w:r>
      <w:r w:rsidR="000F6C98" w:rsidRPr="003D0C88">
        <w:rPr>
          <w:rFonts w:asciiTheme="minorHAnsi" w:hAnsiTheme="minorHAnsi" w:cstheme="minorHAnsi"/>
          <w:b w:val="0"/>
          <w:sz w:val="24"/>
        </w:rPr>
        <w:fldChar w:fldCharType="separate"/>
      </w:r>
      <w:r w:rsidR="00464A24" w:rsidRPr="003D0C88">
        <w:rPr>
          <w:rFonts w:asciiTheme="minorHAnsi" w:hAnsiTheme="minorHAnsi" w:cstheme="minorHAnsi"/>
          <w:b w:val="0"/>
          <w:noProof/>
          <w:sz w:val="24"/>
        </w:rPr>
        <w:t>(Czosnyka et al. 2009)</w:t>
      </w:r>
      <w:r w:rsidR="000F6C98" w:rsidRPr="003D0C88">
        <w:rPr>
          <w:rFonts w:asciiTheme="minorHAnsi" w:hAnsiTheme="minorHAnsi" w:cstheme="minorHAnsi"/>
          <w:b w:val="0"/>
          <w:sz w:val="24"/>
        </w:rPr>
        <w:fldChar w:fldCharType="end"/>
      </w:r>
      <w:r w:rsidR="000F6C98" w:rsidRPr="003D0C88">
        <w:rPr>
          <w:rFonts w:asciiTheme="minorHAnsi" w:hAnsiTheme="minorHAnsi" w:cstheme="minorHAnsi"/>
          <w:b w:val="0"/>
          <w:sz w:val="24"/>
        </w:rPr>
        <w:t>.</w:t>
      </w:r>
    </w:p>
    <w:p w14:paraId="7624BCA3" w14:textId="37E75AC9" w:rsidR="00E555D7" w:rsidRPr="003D0C88" w:rsidRDefault="00693849" w:rsidP="00DC2A24">
      <w:pPr>
        <w:pStyle w:val="BodyText2"/>
        <w:framePr w:hSpace="0" w:wrap="auto" w:vAnchor="margin" w:hAnchor="text" w:xAlign="left" w:yAlign="inline"/>
        <w:spacing w:before="120" w:after="120" w:line="480" w:lineRule="auto"/>
        <w:jc w:val="both"/>
        <w:rPr>
          <w:rFonts w:asciiTheme="minorHAnsi" w:hAnsiTheme="minorHAnsi" w:cstheme="minorHAnsi"/>
          <w:b w:val="0"/>
          <w:sz w:val="24"/>
          <w:highlight w:val="yellow"/>
        </w:rPr>
      </w:pPr>
      <w:r>
        <w:rPr>
          <w:rFonts w:asciiTheme="minorHAnsi" w:hAnsiTheme="minorHAnsi" w:cstheme="minorHAnsi"/>
          <w:b w:val="0"/>
          <w:sz w:val="24"/>
        </w:rPr>
        <w:tab/>
      </w:r>
      <w:r w:rsidR="009A3D56" w:rsidRPr="003D0C88">
        <w:rPr>
          <w:rFonts w:asciiTheme="minorHAnsi" w:hAnsiTheme="minorHAnsi" w:cstheme="minorHAnsi"/>
          <w:b w:val="0"/>
          <w:sz w:val="24"/>
        </w:rPr>
        <w:t xml:space="preserve">General </w:t>
      </w:r>
      <w:r w:rsidR="00912ED3" w:rsidRPr="003D0C88">
        <w:rPr>
          <w:rFonts w:asciiTheme="minorHAnsi" w:hAnsiTheme="minorHAnsi" w:cstheme="minorHAnsi"/>
          <w:b w:val="0"/>
          <w:sz w:val="24"/>
        </w:rPr>
        <w:t>a</w:t>
      </w:r>
      <w:r w:rsidR="00E555D7" w:rsidRPr="003D0C88">
        <w:rPr>
          <w:rFonts w:asciiTheme="minorHAnsi" w:hAnsiTheme="minorHAnsi" w:cstheme="minorHAnsi"/>
          <w:b w:val="0"/>
          <w:sz w:val="24"/>
          <w:shd w:val="clear" w:color="auto" w:fill="FFFFFF"/>
        </w:rPr>
        <w:t>naesthesia was maintained with intravenous infusions of remifentanil and atracurium combined with</w:t>
      </w:r>
      <w:r w:rsidR="00912ED3" w:rsidRPr="003D0C88">
        <w:rPr>
          <w:rFonts w:asciiTheme="minorHAnsi" w:hAnsiTheme="minorHAnsi" w:cstheme="minorHAnsi"/>
          <w:b w:val="0"/>
          <w:sz w:val="24"/>
          <w:shd w:val="clear" w:color="auto" w:fill="FFFFFF"/>
        </w:rPr>
        <w:t xml:space="preserve"> a mixture</w:t>
      </w:r>
      <w:r w:rsidR="00E555D7" w:rsidRPr="003D0C88">
        <w:rPr>
          <w:rFonts w:asciiTheme="minorHAnsi" w:hAnsiTheme="minorHAnsi" w:cstheme="minorHAnsi"/>
          <w:b w:val="0"/>
          <w:sz w:val="24"/>
          <w:shd w:val="clear" w:color="auto" w:fill="FFFFFF"/>
        </w:rPr>
        <w:t xml:space="preserve"> air/</w:t>
      </w:r>
      <w:r w:rsidR="00912ED3" w:rsidRPr="003D0C88">
        <w:rPr>
          <w:rFonts w:asciiTheme="minorHAnsi" w:hAnsiTheme="minorHAnsi" w:cstheme="minorHAnsi"/>
          <w:b w:val="0"/>
          <w:sz w:val="24"/>
          <w:shd w:val="clear" w:color="auto" w:fill="FFFFFF"/>
        </w:rPr>
        <w:t>oxygen</w:t>
      </w:r>
      <w:r w:rsidR="00E555D7" w:rsidRPr="003D0C88">
        <w:rPr>
          <w:rFonts w:asciiTheme="minorHAnsi" w:hAnsiTheme="minorHAnsi" w:cstheme="minorHAnsi"/>
          <w:b w:val="0"/>
          <w:sz w:val="24"/>
          <w:shd w:val="clear" w:color="auto" w:fill="FFFFFF"/>
        </w:rPr>
        <w:t>/isoflu</w:t>
      </w:r>
      <w:r w:rsidR="00CC1751" w:rsidRPr="003D0C88">
        <w:rPr>
          <w:rFonts w:asciiTheme="minorHAnsi" w:hAnsiTheme="minorHAnsi" w:cstheme="minorHAnsi"/>
          <w:b w:val="0"/>
          <w:sz w:val="24"/>
          <w:shd w:val="clear" w:color="auto" w:fill="FFFFFF"/>
        </w:rPr>
        <w:t>rane at sub-minimum alveolar</w:t>
      </w:r>
      <w:r w:rsidR="00912ED3" w:rsidRPr="003D0C88">
        <w:rPr>
          <w:rFonts w:asciiTheme="minorHAnsi" w:hAnsiTheme="minorHAnsi" w:cstheme="minorHAnsi"/>
          <w:b w:val="0"/>
          <w:sz w:val="24"/>
          <w:shd w:val="clear" w:color="auto" w:fill="FFFFFF"/>
        </w:rPr>
        <w:t xml:space="preserve"> concentrations.</w:t>
      </w:r>
      <w:r w:rsidR="00E555D7" w:rsidRPr="003D0C88">
        <w:rPr>
          <w:rFonts w:asciiTheme="minorHAnsi" w:hAnsiTheme="minorHAnsi" w:cstheme="minorHAnsi"/>
          <w:b w:val="0"/>
          <w:sz w:val="24"/>
          <w:shd w:val="clear" w:color="auto" w:fill="FFFFFF"/>
        </w:rPr>
        <w:t xml:space="preserve"> </w:t>
      </w:r>
    </w:p>
    <w:p w14:paraId="176275A4" w14:textId="4192A577" w:rsidR="009A3D56" w:rsidRDefault="009A3D56" w:rsidP="00DC2A24">
      <w:pPr>
        <w:pStyle w:val="BodyText2"/>
        <w:framePr w:hSpace="0" w:wrap="auto" w:vAnchor="margin" w:hAnchor="text" w:xAlign="left" w:yAlign="inline"/>
        <w:spacing w:before="120" w:after="120" w:line="480" w:lineRule="auto"/>
        <w:jc w:val="both"/>
        <w:rPr>
          <w:rFonts w:asciiTheme="minorHAnsi" w:hAnsiTheme="minorHAnsi" w:cstheme="minorHAnsi"/>
          <w:b w:val="0"/>
          <w:sz w:val="24"/>
        </w:rPr>
      </w:pPr>
    </w:p>
    <w:p w14:paraId="3747DFE2" w14:textId="77777777" w:rsidR="009A3D56" w:rsidRPr="003D0C88" w:rsidRDefault="009A3D56" w:rsidP="00DC2A24">
      <w:pPr>
        <w:pStyle w:val="BodyText2"/>
        <w:framePr w:hSpace="0" w:wrap="auto" w:vAnchor="margin" w:hAnchor="text" w:xAlign="left" w:yAlign="inline"/>
        <w:spacing w:before="120" w:after="120" w:line="480" w:lineRule="auto"/>
        <w:jc w:val="both"/>
        <w:rPr>
          <w:rFonts w:asciiTheme="minorHAnsi" w:hAnsiTheme="minorHAnsi" w:cstheme="minorHAnsi"/>
          <w:sz w:val="24"/>
        </w:rPr>
      </w:pPr>
      <w:r w:rsidRPr="003D0C88">
        <w:rPr>
          <w:rFonts w:asciiTheme="minorHAnsi" w:hAnsiTheme="minorHAnsi" w:cstheme="minorHAnsi"/>
          <w:sz w:val="24"/>
        </w:rPr>
        <w:t>Monitoring</w:t>
      </w:r>
      <w:r w:rsidR="00B17A08" w:rsidRPr="003D0C88">
        <w:rPr>
          <w:rFonts w:asciiTheme="minorHAnsi" w:hAnsiTheme="minorHAnsi" w:cstheme="minorHAnsi"/>
          <w:sz w:val="24"/>
        </w:rPr>
        <w:t xml:space="preserve"> and data analysis</w:t>
      </w:r>
    </w:p>
    <w:p w14:paraId="5B64A9A1" w14:textId="353F4C2D" w:rsidR="005B6751" w:rsidRPr="003D0C88" w:rsidRDefault="00693849" w:rsidP="4F3A44BE">
      <w:pPr>
        <w:pStyle w:val="BodyText2"/>
        <w:framePr w:hSpace="0" w:wrap="auto" w:vAnchor="margin" w:hAnchor="text" w:xAlign="left" w:yAlign="inline"/>
        <w:spacing w:before="120" w:after="120" w:line="480" w:lineRule="auto"/>
        <w:jc w:val="both"/>
        <w:rPr>
          <w:rFonts w:asciiTheme="minorHAnsi" w:hAnsiTheme="minorHAnsi" w:cstheme="minorBidi"/>
          <w:b w:val="0"/>
          <w:bCs w:val="0"/>
          <w:sz w:val="24"/>
        </w:rPr>
      </w:pPr>
      <w:r>
        <w:rPr>
          <w:rFonts w:asciiTheme="minorHAnsi" w:hAnsiTheme="minorHAnsi" w:cstheme="minorHAnsi"/>
          <w:b w:val="0"/>
          <w:sz w:val="24"/>
        </w:rPr>
        <w:tab/>
      </w:r>
      <w:r w:rsidR="0020118F" w:rsidRPr="4F3A44BE">
        <w:rPr>
          <w:rFonts w:asciiTheme="minorHAnsi" w:hAnsiTheme="minorHAnsi" w:cstheme="minorBidi"/>
          <w:b w:val="0"/>
          <w:bCs w:val="0"/>
          <w:sz w:val="24"/>
        </w:rPr>
        <w:t>During</w:t>
      </w:r>
      <w:r w:rsidR="009A3D56" w:rsidRPr="4F3A44BE">
        <w:rPr>
          <w:rFonts w:asciiTheme="minorHAnsi" w:hAnsiTheme="minorHAnsi" w:cstheme="minorBidi"/>
          <w:b w:val="0"/>
          <w:bCs w:val="0"/>
          <w:sz w:val="24"/>
        </w:rPr>
        <w:t xml:space="preserve"> surgery, as a routine clinical procedure, arterial blood pressure (ABP) was invasively monitored</w:t>
      </w:r>
      <w:r w:rsidR="009A3D56" w:rsidRPr="4F3A44BE">
        <w:rPr>
          <w:rFonts w:asciiTheme="minorHAnsi" w:eastAsiaTheme="minorEastAsia" w:hAnsiTheme="minorHAnsi" w:cstheme="minorBidi"/>
          <w:b w:val="0"/>
          <w:bCs w:val="0"/>
          <w:sz w:val="24"/>
        </w:rPr>
        <w:t xml:space="preserve"> (</w:t>
      </w:r>
      <w:r w:rsidR="4F3A44BE" w:rsidRPr="4F3A44BE">
        <w:rPr>
          <w:rFonts w:asciiTheme="minorHAnsi" w:eastAsiaTheme="minorEastAsia" w:hAnsiTheme="minorHAnsi" w:cstheme="minorBidi"/>
          <w:b w:val="0"/>
          <w:bCs w:val="0"/>
          <w:sz w:val="24"/>
        </w:rPr>
        <w:t>Baxter Healthcare Corp. Cardio Vascular Group, Irvine, California, United States</w:t>
      </w:r>
      <w:r w:rsidR="009A3D56" w:rsidRPr="4F3A44BE">
        <w:rPr>
          <w:rFonts w:asciiTheme="minorHAnsi" w:eastAsiaTheme="minorEastAsia" w:hAnsiTheme="minorHAnsi" w:cstheme="minorBidi"/>
          <w:b w:val="0"/>
          <w:bCs w:val="0"/>
          <w:sz w:val="24"/>
        </w:rPr>
        <w:t>)</w:t>
      </w:r>
      <w:r w:rsidR="00B17A08" w:rsidRPr="4F3A44BE">
        <w:rPr>
          <w:rFonts w:asciiTheme="minorHAnsi" w:eastAsiaTheme="minorEastAsia" w:hAnsiTheme="minorHAnsi" w:cstheme="minorBidi"/>
          <w:b w:val="0"/>
          <w:bCs w:val="0"/>
          <w:sz w:val="24"/>
        </w:rPr>
        <w:t>.</w:t>
      </w:r>
      <w:r w:rsidR="005B6751" w:rsidRPr="4F3A44BE">
        <w:rPr>
          <w:rFonts w:asciiTheme="minorHAnsi" w:eastAsiaTheme="minorEastAsia" w:hAnsiTheme="minorHAnsi" w:cstheme="minorBidi"/>
          <w:b w:val="0"/>
          <w:bCs w:val="0"/>
          <w:sz w:val="24"/>
        </w:rPr>
        <w:t xml:space="preserve"> </w:t>
      </w:r>
      <w:r w:rsidR="005B6751" w:rsidRPr="4F3A44BE">
        <w:rPr>
          <w:rFonts w:asciiTheme="minorHAnsi" w:hAnsiTheme="minorHAnsi" w:cstheme="minorBidi"/>
          <w:b w:val="0"/>
          <w:bCs w:val="0"/>
          <w:sz w:val="24"/>
        </w:rPr>
        <w:t>C</w:t>
      </w:r>
      <w:r w:rsidR="009A3D56" w:rsidRPr="4F3A44BE">
        <w:rPr>
          <w:rFonts w:asciiTheme="minorHAnsi" w:hAnsiTheme="minorHAnsi" w:cstheme="minorBidi"/>
          <w:b w:val="0"/>
          <w:bCs w:val="0"/>
          <w:sz w:val="24"/>
        </w:rPr>
        <w:t xml:space="preserve">erebral blood flow velocity (FV) was assessed using transcranial Doppler (TCD </w:t>
      </w:r>
      <w:proofErr w:type="spellStart"/>
      <w:r w:rsidR="009A3D56" w:rsidRPr="4F3A44BE">
        <w:rPr>
          <w:rFonts w:asciiTheme="minorHAnsi" w:hAnsiTheme="minorHAnsi" w:cstheme="minorBidi"/>
          <w:b w:val="0"/>
          <w:bCs w:val="0"/>
          <w:sz w:val="24"/>
        </w:rPr>
        <w:t>Intraview</w:t>
      </w:r>
      <w:proofErr w:type="spellEnd"/>
      <w:r w:rsidR="009A3D56" w:rsidRPr="4F3A44BE">
        <w:rPr>
          <w:rFonts w:asciiTheme="minorHAnsi" w:hAnsiTheme="minorHAnsi" w:cstheme="minorBidi"/>
          <w:b w:val="0"/>
          <w:bCs w:val="0"/>
          <w:sz w:val="24"/>
        </w:rPr>
        <w:t xml:space="preserve">, Rimed™, </w:t>
      </w:r>
      <w:proofErr w:type="spellStart"/>
      <w:r w:rsidR="009A3D56" w:rsidRPr="4F3A44BE">
        <w:rPr>
          <w:rFonts w:asciiTheme="minorHAnsi" w:hAnsiTheme="minorHAnsi" w:cstheme="minorBidi"/>
          <w:b w:val="0"/>
          <w:bCs w:val="0"/>
          <w:sz w:val="24"/>
        </w:rPr>
        <w:t>Ra’anana</w:t>
      </w:r>
      <w:proofErr w:type="spellEnd"/>
      <w:r w:rsidR="009A3D56" w:rsidRPr="4F3A44BE">
        <w:rPr>
          <w:rFonts w:asciiTheme="minorHAnsi" w:hAnsiTheme="minorHAnsi" w:cstheme="minorBidi"/>
          <w:b w:val="0"/>
          <w:bCs w:val="0"/>
          <w:sz w:val="24"/>
        </w:rPr>
        <w:t>, Israel) in the middle cerebral artery</w:t>
      </w:r>
      <w:r w:rsidR="00F374B1" w:rsidRPr="4F3A44BE">
        <w:rPr>
          <w:rFonts w:asciiTheme="minorHAnsi" w:hAnsiTheme="minorHAnsi" w:cstheme="minorBidi"/>
          <w:b w:val="0"/>
          <w:bCs w:val="0"/>
          <w:sz w:val="24"/>
        </w:rPr>
        <w:t xml:space="preserve"> bilaterally</w:t>
      </w:r>
      <w:r w:rsidR="009A3D56" w:rsidRPr="4F3A44BE">
        <w:rPr>
          <w:rFonts w:asciiTheme="minorHAnsi" w:hAnsiTheme="minorHAnsi" w:cstheme="minorBidi"/>
          <w:b w:val="0"/>
          <w:bCs w:val="0"/>
          <w:sz w:val="24"/>
        </w:rPr>
        <w:t>.</w:t>
      </w:r>
      <w:r w:rsidR="00F374B1" w:rsidRPr="4F3A44BE">
        <w:rPr>
          <w:rFonts w:asciiTheme="minorHAnsi" w:hAnsiTheme="minorHAnsi" w:cstheme="minorBidi"/>
          <w:b w:val="0"/>
          <w:bCs w:val="0"/>
          <w:sz w:val="24"/>
        </w:rPr>
        <w:t xml:space="preserve"> The probes were </w:t>
      </w:r>
      <w:r w:rsidR="00F374B1" w:rsidRPr="4F3A44BE">
        <w:rPr>
          <w:rFonts w:asciiTheme="minorHAnsi" w:hAnsiTheme="minorHAnsi" w:cstheme="minorBidi"/>
          <w:b w:val="0"/>
          <w:bCs w:val="0"/>
          <w:sz w:val="24"/>
        </w:rPr>
        <w:lastRenderedPageBreak/>
        <w:t>held in place during the entire recording using a head band or frame provided by the TCD device manufacturer.</w:t>
      </w:r>
      <w:r w:rsidR="00FD2BA7" w:rsidRPr="4F3A44BE">
        <w:rPr>
          <w:rFonts w:asciiTheme="minorHAnsi" w:hAnsiTheme="minorHAnsi" w:cstheme="minorBidi"/>
          <w:b w:val="0"/>
          <w:bCs w:val="0"/>
          <w:sz w:val="24"/>
        </w:rPr>
        <w:t xml:space="preserve"> </w:t>
      </w:r>
      <w:r w:rsidR="005B6751" w:rsidRPr="4F3A44BE">
        <w:rPr>
          <w:rFonts w:asciiTheme="minorHAnsi" w:hAnsiTheme="minorHAnsi" w:cstheme="minorBidi"/>
          <w:b w:val="0"/>
          <w:bCs w:val="0"/>
          <w:sz w:val="24"/>
        </w:rPr>
        <w:t>The experimental protocol and informed consent were approved by the Institutional Review Board (</w:t>
      </w:r>
      <w:r w:rsidR="00EE4BA6" w:rsidRPr="4F3A44BE">
        <w:rPr>
          <w:rFonts w:asciiTheme="minorHAnsi" w:hAnsiTheme="minorHAnsi" w:cstheme="minorBidi"/>
          <w:b w:val="0"/>
          <w:bCs w:val="0"/>
          <w:sz w:val="24"/>
        </w:rPr>
        <w:t>REC 02/308</w:t>
      </w:r>
      <w:r w:rsidR="00133E14" w:rsidRPr="4F3A44BE">
        <w:rPr>
          <w:rFonts w:asciiTheme="minorHAnsi" w:hAnsiTheme="minorHAnsi" w:cstheme="minorBidi"/>
          <w:b w:val="0"/>
          <w:bCs w:val="0"/>
          <w:sz w:val="24"/>
        </w:rPr>
        <w:t>, 2002</w:t>
      </w:r>
      <w:r w:rsidR="005B6751" w:rsidRPr="4F3A44BE">
        <w:rPr>
          <w:rFonts w:asciiTheme="minorHAnsi" w:hAnsiTheme="minorHAnsi" w:cstheme="minorBidi"/>
          <w:b w:val="0"/>
          <w:bCs w:val="0"/>
          <w:sz w:val="24"/>
        </w:rPr>
        <w:t>).</w:t>
      </w:r>
      <w:r w:rsidR="00335646" w:rsidRPr="4F3A44BE">
        <w:rPr>
          <w:rFonts w:asciiTheme="minorHAnsi" w:hAnsiTheme="minorHAnsi" w:cstheme="minorBidi"/>
          <w:b w:val="0"/>
          <w:bCs w:val="0"/>
          <w:sz w:val="24"/>
        </w:rPr>
        <w:t xml:space="preserve"> Informed consent was obtained from all individual participants included in the study. </w:t>
      </w:r>
    </w:p>
    <w:p w14:paraId="3FCC7F19" w14:textId="6963E34C" w:rsidR="007B073E" w:rsidRPr="003D0C88" w:rsidRDefault="00693849" w:rsidP="007B073E">
      <w:pPr>
        <w:pStyle w:val="BodyText2"/>
        <w:framePr w:hSpace="0" w:wrap="auto" w:vAnchor="margin" w:hAnchor="text" w:xAlign="left" w:yAlign="inline"/>
        <w:spacing w:before="120" w:after="120" w:line="480" w:lineRule="auto"/>
        <w:jc w:val="both"/>
        <w:rPr>
          <w:rFonts w:asciiTheme="minorHAnsi" w:hAnsiTheme="minorHAnsi" w:cstheme="minorHAnsi"/>
          <w:b w:val="0"/>
          <w:sz w:val="24"/>
        </w:rPr>
      </w:pPr>
      <w:r>
        <w:rPr>
          <w:rFonts w:asciiTheme="minorHAnsi" w:hAnsiTheme="minorHAnsi" w:cstheme="minorHAnsi"/>
          <w:b w:val="0"/>
          <w:sz w:val="24"/>
        </w:rPr>
        <w:tab/>
      </w:r>
      <w:r w:rsidR="007B073E" w:rsidRPr="003D0C88">
        <w:rPr>
          <w:rFonts w:asciiTheme="minorHAnsi" w:hAnsiTheme="minorHAnsi" w:cstheme="minorHAnsi"/>
          <w:b w:val="0"/>
          <w:sz w:val="24"/>
        </w:rPr>
        <w:t>During every surgery, we defined three time periods: the dissection phase (T0), i.e., from surgical start till portal vein has been clamped; the anhepatic phase (T1), when the portal vein is clamped; and at last the reperfusion phase (T2), when the portal vein is released until the completion of the surgery. All haemodynamic indices were calculated for each time period and averaged.</w:t>
      </w:r>
      <w:r w:rsidR="00646125" w:rsidRPr="003D0C88">
        <w:rPr>
          <w:rFonts w:asciiTheme="minorHAnsi" w:hAnsiTheme="minorHAnsi" w:cstheme="minorHAnsi"/>
          <w:b w:val="0"/>
          <w:sz w:val="24"/>
        </w:rPr>
        <w:t xml:space="preserve"> The mean recording time was 6 hours.</w:t>
      </w:r>
    </w:p>
    <w:p w14:paraId="2334B45B" w14:textId="0CEBBB17" w:rsidR="007B073E" w:rsidRPr="003D0C88" w:rsidRDefault="00693849" w:rsidP="4F3A44BE">
      <w:pPr>
        <w:pStyle w:val="BodyText2"/>
        <w:framePr w:hSpace="0" w:wrap="auto" w:vAnchor="margin" w:hAnchor="text" w:xAlign="left" w:yAlign="inline"/>
        <w:spacing w:before="120" w:after="120" w:line="480" w:lineRule="auto"/>
        <w:jc w:val="both"/>
        <w:rPr>
          <w:rFonts w:asciiTheme="minorHAnsi" w:hAnsiTheme="minorHAnsi" w:cstheme="minorBidi"/>
          <w:b w:val="0"/>
          <w:bCs w:val="0"/>
          <w:sz w:val="24"/>
        </w:rPr>
      </w:pPr>
      <w:r>
        <w:rPr>
          <w:rFonts w:asciiTheme="minorHAnsi" w:hAnsiTheme="minorHAnsi" w:cstheme="minorHAnsi"/>
          <w:b w:val="0"/>
          <w:sz w:val="24"/>
        </w:rPr>
        <w:tab/>
      </w:r>
      <w:r w:rsidR="007B073E" w:rsidRPr="4F3A44BE">
        <w:rPr>
          <w:rFonts w:asciiTheme="minorHAnsi" w:hAnsiTheme="minorHAnsi" w:cstheme="minorBidi"/>
          <w:b w:val="0"/>
          <w:bCs w:val="0"/>
          <w:sz w:val="24"/>
        </w:rPr>
        <w:t>Raw signals were digitized using an analog–digital converter (DT 2814, Data Translation®, Marlborough, California, United States) sampled at a frequency of 50 Hz, recorded using an in-house built software and post-processed with ICM+®. The recorded signals were subjected to manual artefacts removal and analysed with ICM+</w:t>
      </w:r>
      <w:r w:rsidR="00684D8B" w:rsidRPr="4F3A44BE">
        <w:rPr>
          <w:rFonts w:asciiTheme="minorHAnsi" w:hAnsiTheme="minorHAnsi" w:cstheme="minorBidi"/>
          <w:b w:val="0"/>
          <w:bCs w:val="0"/>
          <w:sz w:val="24"/>
        </w:rPr>
        <w:t>®</w:t>
      </w:r>
      <w:r w:rsidR="007B073E" w:rsidRPr="4F3A44BE">
        <w:rPr>
          <w:rFonts w:asciiTheme="minorHAnsi" w:hAnsiTheme="minorHAnsi" w:cstheme="minorBidi"/>
          <w:b w:val="0"/>
          <w:bCs w:val="0"/>
          <w:sz w:val="24"/>
        </w:rPr>
        <w:t xml:space="preserve">. All the calculations were performed over a 10 s long-sliding window. nICP estimation was performed using a plugin developed for ICM+ software. </w:t>
      </w:r>
    </w:p>
    <w:p w14:paraId="37F7CB78" w14:textId="77777777" w:rsidR="007B073E" w:rsidRPr="003D0C88" w:rsidRDefault="007B073E" w:rsidP="007B073E">
      <w:pPr>
        <w:pStyle w:val="BodyText2"/>
        <w:framePr w:hSpace="0" w:wrap="auto" w:vAnchor="margin" w:hAnchor="text" w:xAlign="left" w:yAlign="inline"/>
        <w:spacing w:before="120" w:after="120" w:line="480" w:lineRule="auto"/>
        <w:jc w:val="both"/>
        <w:rPr>
          <w:rFonts w:asciiTheme="minorHAnsi" w:hAnsiTheme="minorHAnsi" w:cstheme="minorHAnsi"/>
          <w:b w:val="0"/>
          <w:sz w:val="24"/>
        </w:rPr>
      </w:pPr>
      <w:r w:rsidRPr="003D0C88">
        <w:rPr>
          <w:rFonts w:asciiTheme="minorHAnsi" w:hAnsiTheme="minorHAnsi" w:cstheme="minorHAnsi"/>
          <w:b w:val="0"/>
          <w:sz w:val="24"/>
        </w:rPr>
        <w:t>Analysis considered the calculations of the left–right sides mean value of each TCD-derived parameter evaluated.</w:t>
      </w:r>
    </w:p>
    <w:p w14:paraId="346E6C9C" w14:textId="77777777" w:rsidR="00693849" w:rsidRPr="003D0C88" w:rsidRDefault="00693849" w:rsidP="007B073E">
      <w:pPr>
        <w:pStyle w:val="BodyText2"/>
        <w:framePr w:hSpace="0" w:wrap="auto" w:vAnchor="margin" w:hAnchor="text" w:xAlign="left" w:yAlign="inline"/>
        <w:spacing w:before="120" w:after="120" w:line="480" w:lineRule="auto"/>
        <w:jc w:val="both"/>
        <w:rPr>
          <w:rFonts w:asciiTheme="minorHAnsi" w:hAnsiTheme="minorHAnsi" w:cstheme="minorHAnsi"/>
          <w:b w:val="0"/>
          <w:sz w:val="24"/>
        </w:rPr>
      </w:pPr>
    </w:p>
    <w:p w14:paraId="5F6DA2BA" w14:textId="77777777" w:rsidR="007B073E" w:rsidRPr="003D0C88" w:rsidRDefault="00DF253B" w:rsidP="007B073E">
      <w:pPr>
        <w:pStyle w:val="BodyText2"/>
        <w:framePr w:hSpace="0" w:wrap="auto" w:vAnchor="margin" w:hAnchor="text" w:xAlign="left" w:yAlign="inline"/>
        <w:spacing w:before="120" w:after="120" w:line="480" w:lineRule="auto"/>
        <w:jc w:val="both"/>
        <w:rPr>
          <w:rFonts w:asciiTheme="minorHAnsi" w:hAnsiTheme="minorHAnsi" w:cstheme="minorHAnsi"/>
          <w:sz w:val="24"/>
        </w:rPr>
      </w:pPr>
      <w:r w:rsidRPr="003D0C88">
        <w:rPr>
          <w:rFonts w:asciiTheme="minorHAnsi" w:hAnsiTheme="minorHAnsi" w:cstheme="minorHAnsi"/>
          <w:sz w:val="24"/>
        </w:rPr>
        <w:t xml:space="preserve">TCD-derived multimodal </w:t>
      </w:r>
      <w:r w:rsidR="00DD0C81" w:rsidRPr="003D0C88">
        <w:rPr>
          <w:rFonts w:asciiTheme="minorHAnsi" w:hAnsiTheme="minorHAnsi" w:cstheme="minorHAnsi"/>
          <w:sz w:val="24"/>
        </w:rPr>
        <w:t>assessment</w:t>
      </w:r>
    </w:p>
    <w:p w14:paraId="453ED8F0" w14:textId="5A0A4339" w:rsidR="007B073E" w:rsidRPr="003D0C88" w:rsidRDefault="009F14F5" w:rsidP="007B073E">
      <w:pPr>
        <w:pStyle w:val="BodyText2"/>
        <w:framePr w:hSpace="0" w:wrap="auto" w:vAnchor="margin" w:hAnchor="text" w:xAlign="left" w:yAlign="inline"/>
        <w:spacing w:before="120" w:after="120" w:line="480" w:lineRule="auto"/>
        <w:jc w:val="both"/>
        <w:rPr>
          <w:rFonts w:asciiTheme="minorHAnsi" w:hAnsiTheme="minorHAnsi" w:cstheme="minorHAnsi"/>
          <w:b w:val="0"/>
          <w:i/>
          <w:sz w:val="24"/>
        </w:rPr>
      </w:pPr>
      <w:r w:rsidRPr="003D0C88">
        <w:rPr>
          <w:rFonts w:asciiTheme="minorHAnsi" w:hAnsiTheme="minorHAnsi" w:cstheme="minorHAnsi"/>
          <w:b w:val="0"/>
          <w:i/>
          <w:sz w:val="24"/>
        </w:rPr>
        <w:t>Non-invasive</w:t>
      </w:r>
      <w:r w:rsidR="00052543" w:rsidRPr="003D0C88">
        <w:rPr>
          <w:rFonts w:asciiTheme="minorHAnsi" w:hAnsiTheme="minorHAnsi" w:cstheme="minorHAnsi"/>
          <w:b w:val="0"/>
          <w:i/>
          <w:sz w:val="24"/>
        </w:rPr>
        <w:t xml:space="preserve"> estimation of ICP and </w:t>
      </w:r>
      <w:r w:rsidR="00650E7A" w:rsidRPr="003D0C88">
        <w:rPr>
          <w:rFonts w:asciiTheme="minorHAnsi" w:hAnsiTheme="minorHAnsi" w:cstheme="minorHAnsi"/>
          <w:b w:val="0"/>
          <w:i/>
          <w:sz w:val="24"/>
        </w:rPr>
        <w:t>CPP</w:t>
      </w:r>
    </w:p>
    <w:p w14:paraId="171552B2" w14:textId="51D61ABE" w:rsidR="005B6751" w:rsidRPr="003D0C88" w:rsidRDefault="00693849" w:rsidP="4F3A44BE">
      <w:pPr>
        <w:pStyle w:val="BodyText2"/>
        <w:framePr w:hSpace="0" w:wrap="auto" w:vAnchor="margin" w:hAnchor="text" w:xAlign="left" w:yAlign="inline"/>
        <w:spacing w:before="120" w:after="120" w:line="480" w:lineRule="auto"/>
        <w:jc w:val="both"/>
        <w:rPr>
          <w:rFonts w:asciiTheme="minorHAnsi" w:hAnsiTheme="minorHAnsi" w:cstheme="minorBidi"/>
          <w:b w:val="0"/>
          <w:bCs w:val="0"/>
          <w:sz w:val="24"/>
        </w:rPr>
      </w:pPr>
      <w:r>
        <w:rPr>
          <w:rFonts w:asciiTheme="minorHAnsi" w:hAnsiTheme="minorHAnsi" w:cstheme="minorHAnsi"/>
          <w:b w:val="0"/>
          <w:sz w:val="24"/>
        </w:rPr>
        <w:tab/>
      </w:r>
      <w:r w:rsidR="005B6751" w:rsidRPr="4F3A44BE">
        <w:rPr>
          <w:rFonts w:asciiTheme="minorHAnsi" w:hAnsiTheme="minorHAnsi" w:cstheme="minorBidi"/>
          <w:b w:val="0"/>
          <w:bCs w:val="0"/>
          <w:sz w:val="24"/>
        </w:rPr>
        <w:t>The nICP assessment was perfo</w:t>
      </w:r>
      <w:r w:rsidR="00EA32C5" w:rsidRPr="4F3A44BE">
        <w:rPr>
          <w:rFonts w:asciiTheme="minorHAnsi" w:hAnsiTheme="minorHAnsi" w:cstheme="minorBidi"/>
          <w:b w:val="0"/>
          <w:bCs w:val="0"/>
          <w:sz w:val="24"/>
        </w:rPr>
        <w:t>rmed using a</w:t>
      </w:r>
      <w:r w:rsidR="00F374B1" w:rsidRPr="4F3A44BE">
        <w:rPr>
          <w:rFonts w:asciiTheme="minorHAnsi" w:hAnsiTheme="minorHAnsi" w:cstheme="minorBidi"/>
          <w:b w:val="0"/>
          <w:bCs w:val="0"/>
          <w:sz w:val="24"/>
        </w:rPr>
        <w:t xml:space="preserve"> </w:t>
      </w:r>
      <w:r w:rsidR="00052543" w:rsidRPr="4F3A44BE">
        <w:rPr>
          <w:rFonts w:asciiTheme="minorHAnsi" w:hAnsiTheme="minorHAnsi" w:cstheme="minorBidi"/>
          <w:b w:val="0"/>
          <w:bCs w:val="0"/>
          <w:sz w:val="24"/>
        </w:rPr>
        <w:t>‘</w:t>
      </w:r>
      <w:r w:rsidR="00F374B1" w:rsidRPr="4F3A44BE">
        <w:rPr>
          <w:rFonts w:asciiTheme="minorHAnsi" w:hAnsiTheme="minorHAnsi" w:cstheme="minorBidi"/>
          <w:b w:val="0"/>
          <w:bCs w:val="0"/>
          <w:sz w:val="24"/>
        </w:rPr>
        <w:t>black-box</w:t>
      </w:r>
      <w:r w:rsidR="00052543" w:rsidRPr="4F3A44BE">
        <w:rPr>
          <w:rFonts w:asciiTheme="minorHAnsi" w:hAnsiTheme="minorHAnsi" w:cstheme="minorBidi"/>
          <w:b w:val="0"/>
          <w:bCs w:val="0"/>
          <w:sz w:val="24"/>
        </w:rPr>
        <w:t>’</w:t>
      </w:r>
      <w:r w:rsidR="00EA32C5" w:rsidRPr="4F3A44BE">
        <w:rPr>
          <w:rFonts w:asciiTheme="minorHAnsi" w:hAnsiTheme="minorHAnsi" w:cstheme="minorBidi"/>
          <w:b w:val="0"/>
          <w:bCs w:val="0"/>
          <w:sz w:val="24"/>
        </w:rPr>
        <w:t xml:space="preserve"> mathematical</w:t>
      </w:r>
      <w:r w:rsidR="00F374B1" w:rsidRPr="4F3A44BE">
        <w:rPr>
          <w:rFonts w:asciiTheme="minorHAnsi" w:hAnsiTheme="minorHAnsi" w:cstheme="minorBidi"/>
          <w:b w:val="0"/>
          <w:bCs w:val="0"/>
          <w:sz w:val="24"/>
        </w:rPr>
        <w:t xml:space="preserve"> model </w:t>
      </w:r>
      <w:r w:rsidR="00EA32C5" w:rsidRPr="4F3A44BE">
        <w:fldChar w:fldCharType="begin" w:fldLock="1"/>
      </w:r>
      <w:r w:rsidR="004030CD">
        <w:rPr>
          <w:rFonts w:asciiTheme="minorHAnsi" w:hAnsiTheme="minorHAnsi" w:cstheme="minorHAnsi"/>
          <w:b w:val="0"/>
          <w:sz w:val="24"/>
        </w:rPr>
        <w:instrText>ADDIN CSL_CITATION {"citationItems":[{"id":"ITEM-1","itemData":{"DOI":"10.1161/01.STR.28.12.2465","ISSN":"0039-2499, 1524-4628","abstract":"Background and Purpose Until now the assessment of intracranial pressure (ICP) required invasive methods. The objective of this study was to introduce an approach to a noninvasive assessment of continuous ICP curves.\\nMethods The intracranial compartment was considered a “black box” system with an input signal, the arterial blood pressure (ABP), and an output signal, the ICP. A so-called weight function described the relationship between ABP and ICP curves. Certain parameters, called transcranial Doppler (TCD) characteristics, were calculated from the cerebral blood flow velocity (FV) and the ABP curves and were used to estimate this weight function. From simultaneously sampled FV, ABP, and (invasively measured) ICP curves of a defined group of patients with severe head injuries, the TCD characteristics and the weight function were computed. Multiple regression analysis revealed a mathematical formula for calculating the weight function from TCD characteristics. This formula was used to generate the ICP simulation. FV, ABP, and ICP recordings from 11 patients (mean age, 46±14 years) with severe head injury were studied. In each patient, ICP was computed by a simulation procedure, generated from the data of the remaining 10 patients. The simulation period was 100 seconds.\\nResults Corresponding pressure trends with a mean absolute difference of 4.0±1.8 mm Hg between computed and measured ICP were observed. Shapes of pulse and respiratory ICP modulations were clearly predicted.\\nConclusions These results demonstrate that this method constitutes a promising step toward a noninvasive ICP prediction that may be clinically applicable under well-defined conditions.","author":[{"dropping-particle":"","family":"Schmidt","given":"Bernhard","non-dropping-particle":"","parse-names":false,"suffix":""},{"dropping-particle":"","family":"Klingelhöfer","given":"Jürgen","non-dropping-particle":"","parse-names":false,"suffix":""},{"dropping-particle":"","family":"Schwarze","given":"Jens Jürgen","non-dropping-particle":"","parse-names":false,"suffix":""},{"dropping-particle":"","family":"Sander","given":"Dirk","non-dropping-particle":"","parse-names":false,"suffix":""},{"dropping-particle":"","family":"Wittich","given":"Ingo","non-dropping-particle":"","parse-names":false,"suffix":""}],"container-title":"Stroke","id":"ITEM-1","issue":"12","issued":{"date-parts":[["1997"]]},"page":"2465-2472","title":"Noninvasive Prediction of Intracranial Pressure Curves Using Transcranial Doppler Ultrasonography and Blood Pressure Curves","type":"article-journal","volume":"28"},"uris":["http://www.mendeley.com/documents/?uuid=33ae1afa-ac67-487f-a0d7-cb35e46b447d"]}],"mendeley":{"formattedCitation":"(Schmidt et al. 1997)","plainTextFormattedCitation":"(Schmidt et al. 1997)","previouslyFormattedCitation":"(Schmidt et al. 1997)"},"properties":{"noteIndex":0},"schema":"https://github.com/citation-style-language/schema/raw/master/csl-citation.json"}</w:instrText>
      </w:r>
      <w:r w:rsidR="00EA32C5" w:rsidRPr="4F3A44BE">
        <w:rPr>
          <w:rFonts w:asciiTheme="minorHAnsi" w:hAnsiTheme="minorHAnsi" w:cstheme="minorHAnsi"/>
          <w:b w:val="0"/>
          <w:sz w:val="24"/>
        </w:rPr>
        <w:fldChar w:fldCharType="separate"/>
      </w:r>
      <w:r w:rsidR="00464A24" w:rsidRPr="4F3A44BE">
        <w:rPr>
          <w:rFonts w:asciiTheme="minorHAnsi" w:hAnsiTheme="minorHAnsi" w:cstheme="minorBidi"/>
          <w:b w:val="0"/>
          <w:bCs w:val="0"/>
          <w:noProof/>
          <w:sz w:val="24"/>
        </w:rPr>
        <w:t>(Schmidt et al. 1997)</w:t>
      </w:r>
      <w:r w:rsidR="00EA32C5" w:rsidRPr="4F3A44BE">
        <w:fldChar w:fldCharType="end"/>
      </w:r>
      <w:r w:rsidR="005B6751" w:rsidRPr="4F3A44BE">
        <w:rPr>
          <w:rFonts w:asciiTheme="minorHAnsi" w:hAnsiTheme="minorHAnsi" w:cstheme="minorBidi"/>
          <w:b w:val="0"/>
          <w:bCs w:val="0"/>
          <w:sz w:val="24"/>
        </w:rPr>
        <w:t xml:space="preserve">. In this model, the intracranial compartment </w:t>
      </w:r>
      <w:r w:rsidR="002C4D68" w:rsidRPr="4F3A44BE">
        <w:rPr>
          <w:rFonts w:asciiTheme="minorHAnsi" w:hAnsiTheme="minorHAnsi" w:cstheme="minorBidi"/>
          <w:b w:val="0"/>
          <w:bCs w:val="0"/>
          <w:sz w:val="24"/>
        </w:rPr>
        <w:t>is</w:t>
      </w:r>
      <w:r w:rsidR="005B6751" w:rsidRPr="4F3A44BE">
        <w:rPr>
          <w:rFonts w:asciiTheme="minorHAnsi" w:hAnsiTheme="minorHAnsi" w:cstheme="minorBidi"/>
          <w:b w:val="0"/>
          <w:bCs w:val="0"/>
          <w:sz w:val="24"/>
        </w:rPr>
        <w:t xml:space="preserve"> considered a black-box system, </w:t>
      </w:r>
      <w:r w:rsidR="005B6751" w:rsidRPr="4F3A44BE">
        <w:rPr>
          <w:rFonts w:asciiTheme="minorHAnsi" w:hAnsiTheme="minorHAnsi" w:cstheme="minorBidi"/>
          <w:b w:val="0"/>
          <w:bCs w:val="0"/>
          <w:sz w:val="24"/>
        </w:rPr>
        <w:lastRenderedPageBreak/>
        <w:t>described in terms of a transfer f</w:t>
      </w:r>
      <w:r w:rsidR="00F374B1" w:rsidRPr="4F3A44BE">
        <w:rPr>
          <w:rFonts w:asciiTheme="minorHAnsi" w:hAnsiTheme="minorHAnsi" w:cstheme="minorBidi"/>
          <w:b w:val="0"/>
          <w:bCs w:val="0"/>
          <w:sz w:val="24"/>
        </w:rPr>
        <w:t>unction between ABP and ICP</w:t>
      </w:r>
      <w:r w:rsidR="005B6751" w:rsidRPr="4F3A44BE">
        <w:rPr>
          <w:rFonts w:asciiTheme="minorHAnsi" w:hAnsiTheme="minorHAnsi" w:cstheme="minorBidi"/>
          <w:b w:val="0"/>
          <w:bCs w:val="0"/>
          <w:sz w:val="24"/>
        </w:rPr>
        <w:t>. The transfer function is controlled by TCD and ABP derived parameters, including ICP-related parameters and an ABP to TCD transfer function obtained from datasets of reference patients</w:t>
      </w:r>
      <w:r w:rsidR="003B113B" w:rsidRPr="4F3A44BE">
        <w:rPr>
          <w:rFonts w:asciiTheme="minorHAnsi" w:hAnsiTheme="minorHAnsi" w:cstheme="minorBidi"/>
          <w:b w:val="0"/>
          <w:bCs w:val="0"/>
          <w:sz w:val="24"/>
        </w:rPr>
        <w:t xml:space="preserve"> with traumatic brain injury (TBI)</w:t>
      </w:r>
      <w:r w:rsidR="0004413C" w:rsidRPr="4F3A44BE">
        <w:rPr>
          <w:rFonts w:asciiTheme="minorHAnsi" w:hAnsiTheme="minorHAnsi" w:cstheme="minorBidi"/>
          <w:b w:val="0"/>
          <w:bCs w:val="0"/>
          <w:sz w:val="24"/>
        </w:rPr>
        <w:t xml:space="preserve"> </w:t>
      </w:r>
      <w:r w:rsidR="00EA32C5" w:rsidRPr="4F3A44BE">
        <w:fldChar w:fldCharType="begin" w:fldLock="1"/>
      </w:r>
      <w:r w:rsidR="004030CD">
        <w:rPr>
          <w:rFonts w:asciiTheme="minorHAnsi" w:hAnsiTheme="minorHAnsi" w:cstheme="minorHAnsi"/>
          <w:b w:val="0"/>
          <w:sz w:val="24"/>
        </w:rPr>
        <w:instrText>ADDIN CSL_CITATION {"citationItems":[{"id":"ITEM-1","itemData":{"DOI":"10.1161/01.STR.28.12.2465","ISSN":"0039-2499, 1524-4628","abstract":"Background and Purpose Until now the assessment of intracranial pressure (ICP) required invasive methods. The objective of this study was to introduce an approach to a noninvasive assessment of continuous ICP curves.\\nMethods The intracranial compartment was considered a “black box” system with an input signal, the arterial blood pressure (ABP), and an output signal, the ICP. A so-called weight function described the relationship between ABP and ICP curves. Certain parameters, called transcranial Doppler (TCD) characteristics, were calculated from the cerebral blood flow velocity (FV) and the ABP curves and were used to estimate this weight function. From simultaneously sampled FV, ABP, and (invasively measured) ICP curves of a defined group of patients with severe head injuries, the TCD characteristics and the weight function were computed. Multiple regression analysis revealed a mathematical formula for calculating the weight function from TCD characteristics. This formula was used to generate the ICP simulation. FV, ABP, and ICP recordings from 11 patients (mean age, 46±14 years) with severe head injury were studied. In each patient, ICP was computed by a simulation procedure, generated from the data of the remaining 10 patients. The simulation period was 100 seconds.\\nResults Corresponding pressure trends with a mean absolute difference of 4.0±1.8 mm Hg between computed and measured ICP were observed. Shapes of pulse and respiratory ICP modulations were clearly predicted.\\nConclusions These results demonstrate that this method constitutes a promising step toward a noninvasive ICP prediction that may be clinically applicable under well-defined conditions.","author":[{"dropping-particle":"","family":"Schmidt","given":"Bernhard","non-dropping-particle":"","parse-names":false,"suffix":""},{"dropping-particle":"","family":"Klingelhöfer","given":"Jürgen","non-dropping-particle":"","parse-names":false,"suffix":""},{"dropping-particle":"","family":"Schwarze","given":"Jens Jürgen","non-dropping-particle":"","parse-names":false,"suffix":""},{"dropping-particle":"","family":"Sander","given":"Dirk","non-dropping-particle":"","parse-names":false,"suffix":""},{"dropping-particle":"","family":"Wittich","given":"Ingo","non-dropping-particle":"","parse-names":false,"suffix":""}],"container-title":"Stroke","id":"ITEM-1","issue":"12","issued":{"date-parts":[["1997"]]},"page":"2465-2472","title":"Noninvasive Prediction of Intracranial Pressure Curves Using Transcranial Doppler Ultrasonography and Blood Pressure Curves","type":"article-journal","volume":"28"},"uris":["http://www.mendeley.com/documents/?uuid=33ae1afa-ac67-487f-a0d7-cb35e46b447d"]}],"mendeley":{"formattedCitation":"(Schmidt et al. 1997)","plainTextFormattedCitation":"(Schmidt et al. 1997)","previouslyFormattedCitation":"(Schmidt et al. 1997)"},"properties":{"noteIndex":0},"schema":"https://github.com/citation-style-language/schema/raw/master/csl-citation.json"}</w:instrText>
      </w:r>
      <w:r w:rsidR="00EA32C5" w:rsidRPr="4F3A44BE">
        <w:rPr>
          <w:rFonts w:asciiTheme="minorHAnsi" w:hAnsiTheme="minorHAnsi" w:cstheme="minorHAnsi"/>
          <w:b w:val="0"/>
          <w:sz w:val="24"/>
        </w:rPr>
        <w:fldChar w:fldCharType="separate"/>
      </w:r>
      <w:r w:rsidR="00464A24" w:rsidRPr="4F3A44BE">
        <w:rPr>
          <w:rFonts w:asciiTheme="minorHAnsi" w:hAnsiTheme="minorHAnsi" w:cstheme="minorBidi"/>
          <w:b w:val="0"/>
          <w:bCs w:val="0"/>
          <w:noProof/>
          <w:sz w:val="24"/>
        </w:rPr>
        <w:t>(Schmidt et al. 1997)</w:t>
      </w:r>
      <w:r w:rsidR="00EA32C5" w:rsidRPr="4F3A44BE">
        <w:fldChar w:fldCharType="end"/>
      </w:r>
      <w:r w:rsidR="005B6751" w:rsidRPr="4F3A44BE">
        <w:rPr>
          <w:rFonts w:asciiTheme="minorHAnsi" w:hAnsiTheme="minorHAnsi" w:cstheme="minorBidi"/>
          <w:b w:val="0"/>
          <w:bCs w:val="0"/>
          <w:sz w:val="24"/>
        </w:rPr>
        <w:t>.</w:t>
      </w:r>
      <w:r w:rsidR="002B6231" w:rsidRPr="4F3A44BE">
        <w:rPr>
          <w:rFonts w:asciiTheme="minorHAnsi" w:hAnsiTheme="minorHAnsi" w:cstheme="minorBidi"/>
          <w:b w:val="0"/>
          <w:bCs w:val="0"/>
          <w:sz w:val="24"/>
        </w:rPr>
        <w:t xml:space="preserve"> </w:t>
      </w:r>
    </w:p>
    <w:p w14:paraId="22D95C47" w14:textId="77777777" w:rsidR="00650E7A" w:rsidRPr="003D0C88" w:rsidRDefault="00650E7A" w:rsidP="00DC2A24">
      <w:pPr>
        <w:pStyle w:val="BodyText2"/>
        <w:framePr w:hSpace="0" w:wrap="auto" w:vAnchor="margin" w:hAnchor="text" w:xAlign="left" w:yAlign="inline"/>
        <w:spacing w:before="120" w:after="120" w:line="480" w:lineRule="auto"/>
        <w:jc w:val="both"/>
        <w:rPr>
          <w:rFonts w:asciiTheme="minorHAnsi" w:hAnsiTheme="minorHAnsi" w:cstheme="minorHAnsi"/>
          <w:b w:val="0"/>
          <w:i/>
          <w:sz w:val="24"/>
        </w:rPr>
      </w:pPr>
    </w:p>
    <w:p w14:paraId="18DE8AE5" w14:textId="005A4A19" w:rsidR="007B073E" w:rsidRPr="003D0C88" w:rsidRDefault="007B073E" w:rsidP="00DC2A24">
      <w:pPr>
        <w:pStyle w:val="BodyText2"/>
        <w:framePr w:hSpace="0" w:wrap="auto" w:vAnchor="margin" w:hAnchor="text" w:xAlign="left" w:yAlign="inline"/>
        <w:spacing w:before="120" w:after="120" w:line="480" w:lineRule="auto"/>
        <w:jc w:val="both"/>
        <w:rPr>
          <w:rFonts w:asciiTheme="minorHAnsi" w:hAnsiTheme="minorHAnsi" w:cstheme="minorHAnsi"/>
          <w:b w:val="0"/>
          <w:i/>
          <w:sz w:val="24"/>
        </w:rPr>
      </w:pPr>
      <w:r w:rsidRPr="003D0C88">
        <w:rPr>
          <w:rFonts w:asciiTheme="minorHAnsi" w:hAnsiTheme="minorHAnsi" w:cstheme="minorHAnsi"/>
          <w:b w:val="0"/>
          <w:i/>
          <w:sz w:val="24"/>
        </w:rPr>
        <w:t xml:space="preserve">Cerebral autoregulation </w:t>
      </w:r>
    </w:p>
    <w:p w14:paraId="2C834504" w14:textId="78452212" w:rsidR="00D659DD" w:rsidRPr="003D0C88" w:rsidRDefault="00693849" w:rsidP="002224DE">
      <w:pPr>
        <w:pStyle w:val="BodyText2"/>
        <w:framePr w:hSpace="0" w:wrap="auto" w:vAnchor="margin" w:hAnchor="text" w:xAlign="left" w:yAlign="inline"/>
        <w:spacing w:before="120" w:after="120" w:line="480" w:lineRule="auto"/>
        <w:jc w:val="both"/>
        <w:rPr>
          <w:rFonts w:asciiTheme="minorHAnsi" w:hAnsiTheme="minorHAnsi" w:cstheme="minorHAnsi"/>
          <w:b w:val="0"/>
          <w:sz w:val="24"/>
        </w:rPr>
      </w:pPr>
      <w:r>
        <w:rPr>
          <w:rFonts w:asciiTheme="minorHAnsi" w:eastAsiaTheme="minorHAnsi" w:hAnsiTheme="minorHAnsi" w:cstheme="minorHAnsi"/>
          <w:b w:val="0"/>
          <w:bCs w:val="0"/>
          <w:color w:val="000000"/>
          <w:sz w:val="24"/>
        </w:rPr>
        <w:tab/>
      </w:r>
      <w:r w:rsidR="00256402" w:rsidRPr="003D0C88">
        <w:rPr>
          <w:rFonts w:asciiTheme="minorHAnsi" w:eastAsiaTheme="minorHAnsi" w:hAnsiTheme="minorHAnsi" w:cstheme="minorHAnsi"/>
          <w:b w:val="0"/>
          <w:bCs w:val="0"/>
          <w:color w:val="000000"/>
          <w:sz w:val="24"/>
        </w:rPr>
        <w:t>Cerebral autoregulation describes the intrinsic ability of the cerebral vasculature to maintain a stable cerebral blood flow over a wide range of arterial blood pressures</w:t>
      </w:r>
      <w:r w:rsidR="00E9369D">
        <w:rPr>
          <w:rFonts w:asciiTheme="minorHAnsi" w:eastAsiaTheme="minorHAnsi" w:hAnsiTheme="minorHAnsi" w:cstheme="minorHAnsi"/>
          <w:b w:val="0"/>
          <w:bCs w:val="0"/>
          <w:color w:val="000000"/>
          <w:sz w:val="24"/>
        </w:rPr>
        <w:t xml:space="preserve"> </w:t>
      </w:r>
      <w:r w:rsidR="00E9369D" w:rsidRPr="003D0C88">
        <w:rPr>
          <w:rFonts w:asciiTheme="minorHAnsi" w:hAnsiTheme="minorHAnsi" w:cstheme="minorHAnsi"/>
          <w:b w:val="0"/>
          <w:sz w:val="24"/>
        </w:rPr>
        <w:fldChar w:fldCharType="begin" w:fldLock="1"/>
      </w:r>
      <w:r w:rsidR="00F53B96">
        <w:rPr>
          <w:rFonts w:asciiTheme="minorHAnsi" w:hAnsiTheme="minorHAnsi" w:cstheme="minorHAnsi"/>
          <w:b w:val="0"/>
          <w:sz w:val="24"/>
        </w:rPr>
        <w:instrText>ADDIN CSL_CITATION {"citationItems":[{"id":"ITEM-1","itemData":{"DOI":"10.1161/01.STR.27.10.1829","ISBN":"0039-2499","ISSN":"0039-2499","PMID":"8841340","abstract":"BACKGROUND AND PURPOSE: Disturbed cerebral autoregulation has been reported to correlate with an unfavorable outcome after head injury. Using transcranial Doppler ultrasonography, we investigated whether hemodynamic responses to spontaneous variations of cerebral perfusion pressure (CPP) provide reliable information on cerebral autoregulatory reserve. METHODS: We studied 82 patients with head injury daily. Waveforms of intracranial pressure (ICP), arterial pressure, and transcranial Doppler flow velocity (FV) were captured during 2-hour periods. Time-averaged mean FV (FVm) and the FV during cardiac systole (FVs) were resolved. The correlation coefficient indices between FVm and CPP (Mx) and between FVs and CPP (Sx) during spontaneous fluctuations of CPP were calculated during 3-minute epochs and averaged for each investigation. RESULTS: Mx and Sx correlated with CPP (r = -.34, P = &lt; .002; r = -.2, P = NS. respectively), with ICP (r = .46, P &lt; .0001; r = .34, P &lt; .003, respectively), with admission Glasgow Coma Scale score (r = -.34, P &lt; .0025; r = -.38, P &lt; .0008, respectively), and with outcome after head injury (r = .41, P &lt; .0002; r = .48, P &lt; .00009, respectively). In patients who died, cerebral autoregulation was severely disturbed during the first 2 days after injury. CONCLUSIONS: Indices derived from spontaneous fluctuations of FV waveform and CPP describe cerebral vascular pressure reactivity. They correlate with outcome after head injury and therefore may be used to guide autoregulation-oriented intensive therapy.","author":[{"dropping-particle":"","family":"Czosnyka","given":"M","non-dropping-particle":"","parse-names":false,"suffix":""},{"dropping-particle":"","family":"Smielewski","given":"P","non-dropping-particle":"","parse-names":false,"suffix":""},{"dropping-particle":"","family":"Kirkpatrick","given":"P","non-dropping-particle":"","parse-names":false,"suffix":""},{"dropping-particle":"","family":"Menon","given":"D K","non-dropping-particle":"","parse-names":false,"suffix":""},{"dropping-particle":"","family":"Pickard","given":"J D","non-dropping-particle":"","parse-names":false,"suffix":""}],"container-title":"Stroke","id":"ITEM-1","issue":"10","issued":{"date-parts":[["1996"]]},"page":"1829-1834","title":"Monitoring of cerebral autoregulation in head-injured patients","type":"article-journal","volume":"27"},"uris":["http://www.mendeley.com/documents/?uuid=4cfbb0e3-5722-4087-ba31-fa3f8b0d6174"]}],"mendeley":{"formattedCitation":"(Czosnyka et al. 1996)","plainTextFormattedCitation":"(Czosnyka et al. 1996)","previouslyFormattedCitation":"(Czosnyka et al. 1996)"},"properties":{"noteIndex":0},"schema":"https://github.com/citation-style-language/schema/raw/master/csl-citation.json"}</w:instrText>
      </w:r>
      <w:r w:rsidR="00E9369D" w:rsidRPr="003D0C88">
        <w:rPr>
          <w:rFonts w:asciiTheme="minorHAnsi" w:hAnsiTheme="minorHAnsi" w:cstheme="minorHAnsi"/>
          <w:b w:val="0"/>
          <w:sz w:val="24"/>
        </w:rPr>
        <w:fldChar w:fldCharType="separate"/>
      </w:r>
      <w:r w:rsidR="00E9369D" w:rsidRPr="00E9369D">
        <w:rPr>
          <w:rFonts w:asciiTheme="minorHAnsi" w:hAnsiTheme="minorHAnsi" w:cstheme="minorHAnsi"/>
          <w:b w:val="0"/>
          <w:noProof/>
          <w:sz w:val="24"/>
        </w:rPr>
        <w:t>(Czosnyka et al. 1996)</w:t>
      </w:r>
      <w:r w:rsidR="00E9369D" w:rsidRPr="003D0C88">
        <w:rPr>
          <w:rFonts w:asciiTheme="minorHAnsi" w:hAnsiTheme="minorHAnsi" w:cstheme="minorHAnsi"/>
          <w:b w:val="0"/>
          <w:sz w:val="24"/>
        </w:rPr>
        <w:fldChar w:fldCharType="end"/>
      </w:r>
      <w:r w:rsidR="00256402" w:rsidRPr="003D0C88">
        <w:rPr>
          <w:rFonts w:asciiTheme="minorHAnsi" w:eastAsiaTheme="minorHAnsi" w:hAnsiTheme="minorHAnsi" w:cstheme="minorHAnsi"/>
          <w:b w:val="0"/>
          <w:bCs w:val="0"/>
          <w:color w:val="000000"/>
          <w:sz w:val="24"/>
        </w:rPr>
        <w:t>.</w:t>
      </w:r>
      <w:r w:rsidR="00256402" w:rsidRPr="003D0C88">
        <w:rPr>
          <w:rFonts w:asciiTheme="minorHAnsi" w:eastAsiaTheme="minorHAnsi" w:hAnsiTheme="minorHAnsi" w:cstheme="minorHAnsi"/>
          <w:b w:val="0"/>
          <w:bCs w:val="0"/>
          <w:sz w:val="24"/>
        </w:rPr>
        <w:t xml:space="preserve"> </w:t>
      </w:r>
      <w:r w:rsidR="00133E14" w:rsidRPr="003D0C88">
        <w:rPr>
          <w:rFonts w:asciiTheme="minorHAnsi" w:hAnsiTheme="minorHAnsi" w:cstheme="minorHAnsi"/>
          <w:b w:val="0"/>
          <w:sz w:val="24"/>
        </w:rPr>
        <w:t xml:space="preserve">Continuous indices of cerebral autoregulation can be calculated from spontaneous fluctuations of ABP and FV. </w:t>
      </w:r>
      <w:r w:rsidR="008E279E" w:rsidRPr="003D0C88">
        <w:rPr>
          <w:rFonts w:asciiTheme="minorHAnsi" w:hAnsiTheme="minorHAnsi" w:cstheme="minorHAnsi"/>
          <w:b w:val="0"/>
          <w:sz w:val="24"/>
        </w:rPr>
        <w:t>In this work, t</w:t>
      </w:r>
      <w:r w:rsidR="002224DE" w:rsidRPr="003D0C88">
        <w:rPr>
          <w:rFonts w:asciiTheme="minorHAnsi" w:hAnsiTheme="minorHAnsi" w:cstheme="minorHAnsi"/>
          <w:b w:val="0"/>
          <w:sz w:val="24"/>
        </w:rPr>
        <w:t xml:space="preserve">he correlation coefficient </w:t>
      </w:r>
      <w:r w:rsidR="0066292B" w:rsidRPr="003D0C88">
        <w:rPr>
          <w:rFonts w:asciiTheme="minorHAnsi" w:hAnsiTheme="minorHAnsi" w:cstheme="minorHAnsi"/>
          <w:b w:val="0"/>
          <w:sz w:val="24"/>
        </w:rPr>
        <w:t>between</w:t>
      </w:r>
      <w:r w:rsidR="002224DE" w:rsidRPr="003D0C88">
        <w:rPr>
          <w:rFonts w:asciiTheme="minorHAnsi" w:hAnsiTheme="minorHAnsi" w:cstheme="minorHAnsi"/>
          <w:b w:val="0"/>
          <w:sz w:val="24"/>
        </w:rPr>
        <w:t xml:space="preserve"> ABP and FV, termed Mxa (mean flow ind</w:t>
      </w:r>
      <w:r w:rsidR="00F30B18" w:rsidRPr="003D0C88">
        <w:rPr>
          <w:rFonts w:asciiTheme="minorHAnsi" w:hAnsiTheme="minorHAnsi" w:cstheme="minorHAnsi"/>
          <w:b w:val="0"/>
          <w:sz w:val="24"/>
        </w:rPr>
        <w:t>ex</w:t>
      </w:r>
      <w:r w:rsidR="002224DE" w:rsidRPr="003D0C88">
        <w:rPr>
          <w:rFonts w:asciiTheme="minorHAnsi" w:hAnsiTheme="minorHAnsi" w:cstheme="minorHAnsi"/>
          <w:b w:val="0"/>
          <w:sz w:val="24"/>
        </w:rPr>
        <w:t>)</w:t>
      </w:r>
      <w:r w:rsidR="008E279E" w:rsidRPr="003D0C88">
        <w:rPr>
          <w:rFonts w:asciiTheme="minorHAnsi" w:hAnsiTheme="minorHAnsi" w:cstheme="minorHAnsi"/>
          <w:b w:val="0"/>
          <w:sz w:val="24"/>
        </w:rPr>
        <w:t xml:space="preserve">, </w:t>
      </w:r>
      <w:r w:rsidR="00F30B18" w:rsidRPr="003D0C88">
        <w:rPr>
          <w:rFonts w:asciiTheme="minorHAnsi" w:hAnsiTheme="minorHAnsi" w:cstheme="minorHAnsi"/>
          <w:b w:val="0"/>
          <w:sz w:val="24"/>
        </w:rPr>
        <w:t>was</w:t>
      </w:r>
      <w:r w:rsidR="002224DE" w:rsidRPr="003D0C88">
        <w:rPr>
          <w:rFonts w:asciiTheme="minorHAnsi" w:hAnsiTheme="minorHAnsi" w:cstheme="minorHAnsi"/>
          <w:b w:val="0"/>
          <w:sz w:val="24"/>
        </w:rPr>
        <w:t xml:space="preserve"> calculated</w:t>
      </w:r>
      <w:r w:rsidR="0004413C">
        <w:rPr>
          <w:rFonts w:asciiTheme="minorHAnsi" w:hAnsiTheme="minorHAnsi" w:cstheme="minorHAnsi"/>
          <w:b w:val="0"/>
          <w:sz w:val="24"/>
        </w:rPr>
        <w:t xml:space="preserve"> </w:t>
      </w:r>
      <w:r w:rsidR="002224DE" w:rsidRPr="003D0C88">
        <w:rPr>
          <w:rFonts w:asciiTheme="minorHAnsi" w:hAnsiTheme="minorHAnsi" w:cstheme="minorHAnsi"/>
          <w:b w:val="0"/>
          <w:sz w:val="24"/>
        </w:rPr>
        <w:fldChar w:fldCharType="begin" w:fldLock="1"/>
      </w:r>
      <w:r w:rsidR="004030CD">
        <w:rPr>
          <w:rFonts w:asciiTheme="minorHAnsi" w:hAnsiTheme="minorHAnsi" w:cstheme="minorHAnsi"/>
          <w:b w:val="0"/>
          <w:sz w:val="24"/>
        </w:rPr>
        <w:instrText>ADDIN CSL_CITATION {"citationItems":[{"id":"ITEM-1","itemData":{"DOI":"10.1007/s12028-008-9175-7","ISBN":"1541-6933 (Print)\\r1541-6933 (Linking)","ISSN":"15416933","PMID":"19127448","abstract":"The methods for continuous assessment of cerebral autoregulation using correlation, phase shift, or transmission (either in time- or frequency-domain) were introduced a decade ago. They express dynamic relationships between slow waves of transcranial Doppler (TCD), blood flow velocity (FV) and cerebral perfusion pressure (CPP), or arterial pressure (ABP). We review a methodology and clinical application of indices useful for monitoring cerebral autoregulation and pressure-reactivity in various scenarios of neuro-critical care. FACTS: Poor autoregulation and loss of pressure-reactivity are independent predictors of fatal outcome following head injury. Autoregulation is impaired by too low or too high CPP when compared to autoregulation with normal CPP (usually between 60 and 85 mmHg; and these limits are highly individual). Hemispheric asymmetry of the bi-laterally assessed autoregulation has been associated with asymmetry of CT scan findings: autoregulation was found to be worse ipsilateral to contusion or lateralized edema causing midline shift. The pressure-reactivity (PRx index) correlated with a state of low CBF and CMRO2 revealed using PET studies. The PRx is easier to monitor over prolonged periods of time than the TCD-based indices as it does not require fixation of external probes. Continuous monitoring with the PRx can be used to direct CPP-oriented therapy by determining the optimal CPP for pressure-reactivity. Autoregulation indices are able to reflect transient changes of autoregulation, as seen during plateau waves of ICP. However, minute-to-minute assessment of autoregulation has a poor signal-to-noise ratio. Averaging across time (30 min) or by combining with other relevant parameters improves the accuracy. MYTHS: It is debatable whether the TCD-based indices in head injured patients can be calculated using ABP instead of CPP. Thresholds for functional and disturbed autoregulation dramatically depends on arterial tension of CO2--therefore, comparison between patients cannot be performed without comparing their PaCO2. The TCD pulsatility index cannot accurately detect the lower limit of autoregulation. MISSING LINKS: We still do not know whether autoregulation-oriented therapy can be understood as a consensus between CPP-directed protocols and the Lund-concept. What are the links between endothelial function and autoregulation indices? Can autoregulation after head injury be improved with statins or EPO, as in subarachnoid hemorrhage? In c…","author":[{"dropping-particle":"","family":"Czosnyka","given":"Marek","non-dropping-particle":"","parse-names":false,"suffix":""},{"dropping-particle":"","family":"Brady","given":"Ken","non-dropping-particle":"","parse-names":false,"suffix":""},{"dropping-particle":"","family":"Reinhard","given":"Matthias","non-dropping-particle":"","parse-names":false,"suffix":""},{"dropping-particle":"","family":"Smielewski","given":"Piotr","non-dropping-particle":"","parse-names":false,"suffix":""},{"dropping-particle":"","family":"Steiner","given":"Luzius A.","non-dropping-particle":"","parse-names":false,"suffix":""}],"container-title":"Neurocritical Care","id":"ITEM-1","issue":"3","issued":{"date-parts":[["2009"]]},"page":"373-386","title":"Monitoring of cerebrovascular autoregulation: Facts, myths, and missing links","type":"article","volume":"10"},"uris":["http://www.mendeley.com/documents/?uuid=8e0467e0-2833-42c8-8466-e928afd4eafa"]}],"mendeley":{"formattedCitation":"(Czosnyka et al. 2009)","plainTextFormattedCitation":"(Czosnyka et al. 2009)","previouslyFormattedCitation":"(Czosnyka et al. 2009)"},"properties":{"noteIndex":0},"schema":"https://github.com/citation-style-language/schema/raw/master/csl-citation.json"}</w:instrText>
      </w:r>
      <w:r w:rsidR="002224DE" w:rsidRPr="003D0C88">
        <w:rPr>
          <w:rFonts w:asciiTheme="minorHAnsi" w:hAnsiTheme="minorHAnsi" w:cstheme="minorHAnsi"/>
          <w:b w:val="0"/>
          <w:sz w:val="24"/>
        </w:rPr>
        <w:fldChar w:fldCharType="separate"/>
      </w:r>
      <w:r w:rsidR="00464A24" w:rsidRPr="003D0C88">
        <w:rPr>
          <w:rFonts w:asciiTheme="minorHAnsi" w:hAnsiTheme="minorHAnsi" w:cstheme="minorHAnsi"/>
          <w:b w:val="0"/>
          <w:noProof/>
          <w:sz w:val="24"/>
        </w:rPr>
        <w:t>(Czosnyka et al. 2009)</w:t>
      </w:r>
      <w:r w:rsidR="002224DE" w:rsidRPr="003D0C88">
        <w:rPr>
          <w:rFonts w:asciiTheme="minorHAnsi" w:hAnsiTheme="minorHAnsi" w:cstheme="minorHAnsi"/>
          <w:b w:val="0"/>
          <w:sz w:val="24"/>
        </w:rPr>
        <w:fldChar w:fldCharType="end"/>
      </w:r>
      <w:r w:rsidR="002224DE" w:rsidRPr="003D0C88">
        <w:rPr>
          <w:rFonts w:asciiTheme="minorHAnsi" w:hAnsiTheme="minorHAnsi" w:cstheme="minorHAnsi"/>
          <w:b w:val="0"/>
          <w:sz w:val="24"/>
        </w:rPr>
        <w:t xml:space="preserve">. Mxa close to +1 denotes that slow fluctuations in ABP produce synchronized slow changes in FV indicating </w:t>
      </w:r>
      <w:r w:rsidR="007E5E2D">
        <w:rPr>
          <w:rFonts w:asciiTheme="minorHAnsi" w:hAnsiTheme="minorHAnsi" w:cstheme="minorHAnsi"/>
          <w:b w:val="0"/>
          <w:sz w:val="24"/>
        </w:rPr>
        <w:t>dysfunctional</w:t>
      </w:r>
      <w:r w:rsidR="00E9369D" w:rsidRPr="003D0C88">
        <w:rPr>
          <w:rFonts w:asciiTheme="minorHAnsi" w:hAnsiTheme="minorHAnsi" w:cstheme="minorHAnsi"/>
          <w:b w:val="0"/>
          <w:sz w:val="24"/>
        </w:rPr>
        <w:t xml:space="preserve"> </w:t>
      </w:r>
      <w:r w:rsidR="002224DE" w:rsidRPr="003D0C88">
        <w:rPr>
          <w:rFonts w:asciiTheme="minorHAnsi" w:hAnsiTheme="minorHAnsi" w:cstheme="minorHAnsi"/>
          <w:b w:val="0"/>
          <w:sz w:val="24"/>
        </w:rPr>
        <w:t>cerebral autoregulation. Based on previous studies</w:t>
      </w:r>
      <w:r w:rsidR="0003011A" w:rsidRPr="003D0C88">
        <w:rPr>
          <w:rFonts w:asciiTheme="minorHAnsi" w:hAnsiTheme="minorHAnsi" w:cstheme="minorHAnsi"/>
          <w:b w:val="0"/>
          <w:sz w:val="24"/>
        </w:rPr>
        <w:t xml:space="preserve"> considering TBI patients</w:t>
      </w:r>
      <w:r w:rsidR="002224DE" w:rsidRPr="003D0C88">
        <w:rPr>
          <w:rFonts w:asciiTheme="minorHAnsi" w:hAnsiTheme="minorHAnsi" w:cstheme="minorHAnsi"/>
          <w:b w:val="0"/>
          <w:sz w:val="24"/>
        </w:rPr>
        <w:t xml:space="preserve">, negative values or values less than 0.3 indicate intact </w:t>
      </w:r>
      <w:r w:rsidR="00E9369D">
        <w:rPr>
          <w:rFonts w:asciiTheme="minorHAnsi" w:hAnsiTheme="minorHAnsi" w:cstheme="minorHAnsi"/>
          <w:b w:val="0"/>
          <w:sz w:val="24"/>
        </w:rPr>
        <w:t>cerebral autoregulation</w:t>
      </w:r>
      <w:r w:rsidR="002224DE" w:rsidRPr="003D0C88">
        <w:rPr>
          <w:rFonts w:asciiTheme="minorHAnsi" w:hAnsiTheme="minorHAnsi" w:cstheme="minorHAnsi"/>
          <w:b w:val="0"/>
          <w:sz w:val="24"/>
        </w:rPr>
        <w:t xml:space="preserve">, while positive values above 0.3 indicate failure of </w:t>
      </w:r>
      <w:r w:rsidR="00E9369D">
        <w:rPr>
          <w:rFonts w:asciiTheme="minorHAnsi" w:hAnsiTheme="minorHAnsi" w:cstheme="minorHAnsi"/>
          <w:b w:val="0"/>
          <w:sz w:val="24"/>
        </w:rPr>
        <w:t xml:space="preserve">cerebral autoregulation </w:t>
      </w:r>
      <w:r w:rsidR="002224DE" w:rsidRPr="003D0C88">
        <w:rPr>
          <w:rFonts w:asciiTheme="minorHAnsi" w:hAnsiTheme="minorHAnsi" w:cstheme="minorHAnsi"/>
          <w:b w:val="0"/>
          <w:sz w:val="24"/>
        </w:rPr>
        <w:fldChar w:fldCharType="begin" w:fldLock="1"/>
      </w:r>
      <w:r w:rsidR="004030CD">
        <w:rPr>
          <w:rFonts w:asciiTheme="minorHAnsi" w:hAnsiTheme="minorHAnsi" w:cstheme="minorHAnsi"/>
          <w:b w:val="0"/>
          <w:sz w:val="24"/>
        </w:rPr>
        <w:instrText>ADDIN CSL_CITATION {"citationItems":[{"id":"ITEM-1","itemData":{"DOI":"10.1161/01.STR.27.10.1829","ISBN":"0039-2499","ISSN":"0039-2499","PMID":"8841340","abstract":"BACKGROUND AND PURPOSE: Disturbed cerebral autoregulation has been reported to correlate with an unfavorable outcome after head injury. Using transcranial Doppler ultrasonography, we investigated whether hemodynamic responses to spontaneous variations of cerebral perfusion pressure (CPP) provide reliable information on cerebral autoregulatory reserve. METHODS: We studied 82 patients with head injury daily. Waveforms of intracranial pressure (ICP), arterial pressure, and transcranial Doppler flow velocity (FV) were captured during 2-hour periods. Time-averaged mean FV (FVm) and the FV during cardiac systole (FVs) were resolved. The correlation coefficient indices between FVm and CPP (Mx) and between FVs and CPP (Sx) during spontaneous fluctuations of CPP were calculated during 3-minute epochs and averaged for each investigation. RESULTS: Mx and Sx correlated with CPP (r = -.34, P = &lt; .002; r = -.2, P = NS. respectively), with ICP (r = .46, P &lt; .0001; r = .34, P &lt; .003, respectively), with admission Glasgow Coma Scale score (r = -.34, P &lt; .0025; r = -.38, P &lt; .0008, respectively), and with outcome after head injury (r = .41, P &lt; .0002; r = .48, P &lt; .00009, respectively). In patients who died, cerebral autoregulation was severely disturbed during the first 2 days after injury. CONCLUSIONS: Indices derived from spontaneous fluctuations of FV waveform and CPP describe cerebral vascular pressure reactivity. They correlate with outcome after head injury and therefore may be used to guide autoregulation-oriented intensive therapy.","author":[{"dropping-particle":"","family":"Czosnyka","given":"M","non-dropping-particle":"","parse-names":false,"suffix":""},{"dropping-particle":"","family":"Smielewski","given":"P","non-dropping-particle":"","parse-names":false,"suffix":""},{"dropping-particle":"","family":"Kirkpatrick","given":"P","non-dropping-particle":"","parse-names":false,"suffix":""},{"dropping-particle":"","family":"Menon","given":"D K","non-dropping-particle":"","parse-names":false,"suffix":""},{"dropping-particle":"","family":"Pickard","given":"J D","non-dropping-particle":"","parse-names":false,"suffix":""}],"container-title":"Stroke","id":"ITEM-1","issue":"10","issued":{"date-parts":[["1996"]]},"page":"1829-1834","title":"Monitoring of cerebral autoregulation in head-injured patients","type":"article-journal","volume":"27"},"uris":["http://www.mendeley.com/documents/?uuid=4cfbb0e3-5722-4087-ba31-fa3f8b0d6174"]},{"id":"ITEM-2","itemData":{"DOI":"10.3171/jns.2001.95.5.0756","ISBN":"0022-3085","ISSN":"0022-3085","PMID":"11702864","abstract":"OBJECT: The goal of this study was to examine the relationship between cerebral autoregulation, intracranial pressure (ICP), arterial blood pressure (ABP), and cerebral perfusion pressure (CPP) after head injury by using transcranial Doppler (TCD) ultrasonography. METHODS: Using ICP monitoring and TCD ultrasonography, the authors previously investigated whether the response of flow velocity (FV) in the middle cerebral artery to spontaneous variations in ABP or CPP provides reliable information about cerebral autoregulatory reserve. In the present study, this method was validated in 187 head-injured patients who were sedated and receiving mechanical ventilation. Waveforms of ICP, ABP, and FV were recorded over intervals lasting 20 to 120 minutes. Time-averaged mean FV and CPP were determined. The correlation coefficient index between FV and CPP (the mean index of autoregulation [Mx]) was calculated over 4-minute epochs and averaged for each investigation. The distribution of averaged mean FV values converged with the shape of the autoregulatory curve, indicating lower (CPP &lt; 55 mm Hg) and upper (CPP &gt; 105 mm Hg) thresholds of autoregulation. The relationship between the Mx and either the CPP or ABP was depicted as a U-shaped curve. Autoregulation was disturbed in the presence of intracranial hypertension (ICP &gt; or = 25 mm Hg) and when mean ABP was too low (ABP &lt; 75 mm Hg) or too high (ABP &gt; 125 mm Hg). Disturbed autoregulation (p &lt; 0.005) and higher ICP (p &lt; 0.005) occurred more often in patients with unfavorable outcomes than in those with favorable outcomes. CONCLUSIONS: Autoregulation not only is impaired when associated with a high ICP or low ABP, but it can also be disturbed by too high a CPP. The Mx can be used to guide intensive care therapy when CPP-oriented protocols are used.","author":[{"dropping-particle":"","family":"Czosnyka","given":"M","non-dropping-particle":"","parse-names":false,"suffix":""},{"dropping-particle":"","family":"Smielewski","given":"P","non-dropping-particle":"","parse-names":false,"suffix":""},{"dropping-particle":"","family":"Piechnik","given":"S","non-dropping-particle":"","parse-names":false,"suffix":""},{"dropping-particle":"","family":"Steiner","given":"L a","non-dropping-particle":"","parse-names":false,"suffix":""},{"dropping-particle":"","family":"Pickard","given":"J D","non-dropping-particle":"","parse-names":false,"suffix":""}],"container-title":"Journal of neurosurgery","id":"ITEM-2","issue":"5","issued":{"date-parts":[["2001"]]},"page":"756-763","title":"Cerebral autoregulation following head injury.","type":"article-journal","volume":"95"},"uris":["http://www.mendeley.com/documents/?uuid=6d51ad8c-4d33-41f2-a501-693b7159e93a"]}],"mendeley":{"formattedCitation":"(Czosnyka et al. 1996; Czosnyka et al. 2001)","plainTextFormattedCitation":"(Czosnyka et al. 1996; Czosnyka et al. 2001)","previouslyFormattedCitation":"(Czosnyka et al. 1996; Czosnyka et al. 2001)"},"properties":{"noteIndex":0},"schema":"https://github.com/citation-style-language/schema/raw/master/csl-citation.json"}</w:instrText>
      </w:r>
      <w:r w:rsidR="002224DE" w:rsidRPr="003D0C88">
        <w:rPr>
          <w:rFonts w:asciiTheme="minorHAnsi" w:hAnsiTheme="minorHAnsi" w:cstheme="minorHAnsi"/>
          <w:b w:val="0"/>
          <w:sz w:val="24"/>
        </w:rPr>
        <w:fldChar w:fldCharType="separate"/>
      </w:r>
      <w:r w:rsidR="00464A24" w:rsidRPr="003D0C88">
        <w:rPr>
          <w:rFonts w:asciiTheme="minorHAnsi" w:hAnsiTheme="minorHAnsi" w:cstheme="minorHAnsi"/>
          <w:b w:val="0"/>
          <w:noProof/>
          <w:sz w:val="24"/>
        </w:rPr>
        <w:t>(Czosnyka et al. 1996; Czosnyka et al. 2001)</w:t>
      </w:r>
      <w:r w:rsidR="002224DE" w:rsidRPr="003D0C88">
        <w:rPr>
          <w:rFonts w:asciiTheme="minorHAnsi" w:hAnsiTheme="minorHAnsi" w:cstheme="minorHAnsi"/>
          <w:b w:val="0"/>
          <w:sz w:val="24"/>
        </w:rPr>
        <w:fldChar w:fldCharType="end"/>
      </w:r>
      <w:r w:rsidR="002224DE" w:rsidRPr="003D0C88">
        <w:rPr>
          <w:rFonts w:asciiTheme="minorHAnsi" w:hAnsiTheme="minorHAnsi" w:cstheme="minorHAnsi"/>
          <w:b w:val="0"/>
          <w:sz w:val="24"/>
        </w:rPr>
        <w:t>.</w:t>
      </w:r>
      <w:r w:rsidR="008E4A11" w:rsidRPr="003D0C88">
        <w:rPr>
          <w:rFonts w:asciiTheme="minorHAnsi" w:hAnsiTheme="minorHAnsi" w:cstheme="minorHAnsi"/>
          <w:b w:val="0"/>
          <w:sz w:val="24"/>
        </w:rPr>
        <w:t xml:space="preserve"> </w:t>
      </w:r>
      <w:r w:rsidR="00133E14" w:rsidRPr="003D0C88">
        <w:rPr>
          <w:rFonts w:asciiTheme="minorHAnsi" w:hAnsiTheme="minorHAnsi" w:cstheme="minorHAnsi"/>
          <w:b w:val="0"/>
          <w:sz w:val="24"/>
        </w:rPr>
        <w:t xml:space="preserve"> </w:t>
      </w:r>
    </w:p>
    <w:p w14:paraId="4254ADDB" w14:textId="77777777" w:rsidR="007B073E" w:rsidRPr="003D0C88" w:rsidRDefault="007B073E" w:rsidP="00DC2A24">
      <w:pPr>
        <w:pStyle w:val="BodyText2"/>
        <w:framePr w:hSpace="0" w:wrap="auto" w:vAnchor="margin" w:hAnchor="text" w:xAlign="left" w:yAlign="inline"/>
        <w:spacing w:before="120" w:after="120" w:line="480" w:lineRule="auto"/>
        <w:jc w:val="both"/>
        <w:rPr>
          <w:rFonts w:asciiTheme="minorHAnsi" w:hAnsiTheme="minorHAnsi" w:cstheme="minorHAnsi"/>
          <w:b w:val="0"/>
          <w:sz w:val="24"/>
        </w:rPr>
      </w:pPr>
    </w:p>
    <w:p w14:paraId="459E770F" w14:textId="77777777" w:rsidR="007B073E" w:rsidRPr="003D0C88" w:rsidRDefault="007B073E" w:rsidP="00DC2A24">
      <w:pPr>
        <w:pStyle w:val="BodyText2"/>
        <w:framePr w:hSpace="0" w:wrap="auto" w:vAnchor="margin" w:hAnchor="text" w:xAlign="left" w:yAlign="inline"/>
        <w:spacing w:before="120" w:after="120" w:line="480" w:lineRule="auto"/>
        <w:jc w:val="both"/>
        <w:rPr>
          <w:rFonts w:asciiTheme="minorHAnsi" w:hAnsiTheme="minorHAnsi" w:cstheme="minorHAnsi"/>
          <w:b w:val="0"/>
          <w:i/>
          <w:sz w:val="24"/>
        </w:rPr>
      </w:pPr>
      <w:r w:rsidRPr="003D0C88">
        <w:rPr>
          <w:rFonts w:asciiTheme="minorHAnsi" w:hAnsiTheme="minorHAnsi" w:cstheme="minorHAnsi"/>
          <w:b w:val="0"/>
          <w:i/>
          <w:sz w:val="24"/>
        </w:rPr>
        <w:t>Pulsatility index</w:t>
      </w:r>
    </w:p>
    <w:p w14:paraId="1E134ACB" w14:textId="22970639" w:rsidR="00EB3352" w:rsidRPr="003D0C88" w:rsidRDefault="00693849" w:rsidP="00DC2A24">
      <w:pPr>
        <w:pStyle w:val="BodyText2"/>
        <w:framePr w:hSpace="0" w:wrap="auto" w:vAnchor="margin" w:hAnchor="text" w:xAlign="left" w:yAlign="inline"/>
        <w:spacing w:before="120" w:after="120" w:line="480" w:lineRule="auto"/>
        <w:jc w:val="both"/>
        <w:rPr>
          <w:rFonts w:asciiTheme="minorHAnsi" w:hAnsiTheme="minorHAnsi" w:cstheme="minorHAnsi"/>
          <w:b w:val="0"/>
          <w:sz w:val="24"/>
        </w:rPr>
      </w:pPr>
      <w:r>
        <w:rPr>
          <w:rFonts w:asciiTheme="minorHAnsi" w:hAnsiTheme="minorHAnsi" w:cstheme="minorHAnsi"/>
          <w:b w:val="0"/>
          <w:sz w:val="24"/>
        </w:rPr>
        <w:tab/>
      </w:r>
      <w:r w:rsidR="00BC22F4" w:rsidRPr="003D0C88">
        <w:rPr>
          <w:rFonts w:asciiTheme="minorHAnsi" w:hAnsiTheme="minorHAnsi" w:cstheme="minorHAnsi"/>
          <w:b w:val="0"/>
          <w:sz w:val="24"/>
        </w:rPr>
        <w:t>Pulsatility index describes quantitativ</w:t>
      </w:r>
      <w:r w:rsidR="00684D8B" w:rsidRPr="003D0C88">
        <w:rPr>
          <w:rFonts w:asciiTheme="minorHAnsi" w:hAnsiTheme="minorHAnsi" w:cstheme="minorHAnsi"/>
          <w:b w:val="0"/>
          <w:sz w:val="24"/>
        </w:rPr>
        <w:t>e</w:t>
      </w:r>
      <w:r w:rsidR="00BC22F4" w:rsidRPr="003D0C88">
        <w:rPr>
          <w:rFonts w:asciiTheme="minorHAnsi" w:hAnsiTheme="minorHAnsi" w:cstheme="minorHAnsi"/>
          <w:b w:val="0"/>
          <w:sz w:val="24"/>
        </w:rPr>
        <w:t xml:space="preserve"> and qualitativ</w:t>
      </w:r>
      <w:r w:rsidR="00684D8B" w:rsidRPr="003D0C88">
        <w:rPr>
          <w:rFonts w:asciiTheme="minorHAnsi" w:hAnsiTheme="minorHAnsi" w:cstheme="minorHAnsi"/>
          <w:b w:val="0"/>
          <w:sz w:val="24"/>
        </w:rPr>
        <w:t>e</w:t>
      </w:r>
      <w:r w:rsidR="00BC22F4" w:rsidRPr="003D0C88">
        <w:rPr>
          <w:rFonts w:asciiTheme="minorHAnsi" w:hAnsiTheme="minorHAnsi" w:cstheme="minorHAnsi"/>
          <w:b w:val="0"/>
          <w:sz w:val="24"/>
        </w:rPr>
        <w:t xml:space="preserve"> changes in the morphology of the TCD waveform resulting from cerebral perfusion pressure changes. It represents a relationship between the difference of FV</w:t>
      </w:r>
      <w:r w:rsidR="00BC22F4" w:rsidRPr="003D0C88">
        <w:rPr>
          <w:rFonts w:asciiTheme="minorHAnsi" w:hAnsiTheme="minorHAnsi" w:cstheme="minorHAnsi"/>
          <w:b w:val="0"/>
          <w:sz w:val="24"/>
          <w:vertAlign w:val="subscript"/>
        </w:rPr>
        <w:t>s</w:t>
      </w:r>
      <w:r w:rsidR="00BC22F4" w:rsidRPr="003D0C88">
        <w:rPr>
          <w:rFonts w:asciiTheme="minorHAnsi" w:hAnsiTheme="minorHAnsi" w:cstheme="minorHAnsi"/>
          <w:b w:val="0"/>
          <w:sz w:val="24"/>
        </w:rPr>
        <w:t xml:space="preserve"> (systolic flow velocity) and FV</w:t>
      </w:r>
      <w:r w:rsidR="00BC22F4" w:rsidRPr="003D0C88">
        <w:rPr>
          <w:rFonts w:asciiTheme="minorHAnsi" w:hAnsiTheme="minorHAnsi" w:cstheme="minorHAnsi"/>
          <w:b w:val="0"/>
          <w:sz w:val="24"/>
          <w:vertAlign w:val="subscript"/>
        </w:rPr>
        <w:t>d</w:t>
      </w:r>
      <w:r w:rsidR="00BC22F4" w:rsidRPr="003D0C88">
        <w:rPr>
          <w:rFonts w:asciiTheme="minorHAnsi" w:hAnsiTheme="minorHAnsi" w:cstheme="minorHAnsi"/>
          <w:b w:val="0"/>
          <w:sz w:val="24"/>
        </w:rPr>
        <w:t xml:space="preserve"> </w:t>
      </w:r>
      <w:r w:rsidR="00421C70" w:rsidRPr="003D0C88">
        <w:rPr>
          <w:rFonts w:asciiTheme="minorHAnsi" w:hAnsiTheme="minorHAnsi" w:cstheme="minorHAnsi"/>
          <w:b w:val="0"/>
          <w:sz w:val="24"/>
        </w:rPr>
        <w:t>(</w:t>
      </w:r>
      <w:r w:rsidR="00421C70">
        <w:rPr>
          <w:rFonts w:asciiTheme="minorHAnsi" w:hAnsiTheme="minorHAnsi" w:cstheme="minorHAnsi"/>
          <w:b w:val="0"/>
          <w:sz w:val="24"/>
        </w:rPr>
        <w:t>dias</w:t>
      </w:r>
      <w:r w:rsidR="00421C70" w:rsidRPr="003D0C88">
        <w:rPr>
          <w:rFonts w:asciiTheme="minorHAnsi" w:hAnsiTheme="minorHAnsi" w:cstheme="minorHAnsi"/>
          <w:b w:val="0"/>
          <w:sz w:val="24"/>
        </w:rPr>
        <w:t xml:space="preserve">tolic flow velocity) </w:t>
      </w:r>
      <w:r w:rsidR="00BC22F4" w:rsidRPr="003D0C88">
        <w:rPr>
          <w:rFonts w:asciiTheme="minorHAnsi" w:hAnsiTheme="minorHAnsi" w:cstheme="minorHAnsi"/>
          <w:b w:val="0"/>
          <w:sz w:val="24"/>
        </w:rPr>
        <w:t>divided by FV</w:t>
      </w:r>
      <w:r w:rsidR="00BC22F4" w:rsidRPr="003D0C88">
        <w:rPr>
          <w:rFonts w:asciiTheme="minorHAnsi" w:hAnsiTheme="minorHAnsi" w:cstheme="minorHAnsi"/>
          <w:b w:val="0"/>
          <w:sz w:val="24"/>
          <w:vertAlign w:val="subscript"/>
        </w:rPr>
        <w:t>m</w:t>
      </w:r>
      <w:r w:rsidR="00BC22F4" w:rsidRPr="003D0C88">
        <w:rPr>
          <w:rFonts w:asciiTheme="minorHAnsi" w:hAnsiTheme="minorHAnsi" w:cstheme="minorHAnsi"/>
          <w:b w:val="0"/>
          <w:sz w:val="24"/>
        </w:rPr>
        <w:t xml:space="preserve"> (mean flow velocity).</w:t>
      </w:r>
      <w:r w:rsidR="00D21AAC" w:rsidRPr="003D0C88">
        <w:rPr>
          <w:rFonts w:asciiTheme="minorHAnsi" w:hAnsiTheme="minorHAnsi" w:cstheme="minorHAnsi"/>
          <w:b w:val="0"/>
          <w:sz w:val="24"/>
        </w:rPr>
        <w:t xml:space="preserve"> </w:t>
      </w:r>
    </w:p>
    <w:p w14:paraId="26B7BD94" w14:textId="77777777" w:rsidR="007B073E" w:rsidRPr="003D0C88" w:rsidRDefault="007B073E" w:rsidP="00DC2A24">
      <w:pPr>
        <w:pStyle w:val="BodyText2"/>
        <w:framePr w:hSpace="0" w:wrap="auto" w:vAnchor="margin" w:hAnchor="text" w:xAlign="left" w:yAlign="inline"/>
        <w:spacing w:before="120" w:after="120" w:line="480" w:lineRule="auto"/>
        <w:jc w:val="both"/>
        <w:rPr>
          <w:rFonts w:asciiTheme="minorHAnsi" w:hAnsiTheme="minorHAnsi" w:cstheme="minorHAnsi"/>
          <w:b w:val="0"/>
          <w:i/>
          <w:sz w:val="24"/>
        </w:rPr>
      </w:pPr>
      <w:r w:rsidRPr="003D0C88">
        <w:rPr>
          <w:rFonts w:asciiTheme="minorHAnsi" w:hAnsiTheme="minorHAnsi" w:cstheme="minorHAnsi"/>
          <w:b w:val="0"/>
          <w:i/>
          <w:sz w:val="24"/>
        </w:rPr>
        <w:lastRenderedPageBreak/>
        <w:t>Critical Closing Pressure</w:t>
      </w:r>
    </w:p>
    <w:p w14:paraId="7C10BB17" w14:textId="5B7109FA" w:rsidR="00D54FC0" w:rsidRPr="008A4C70" w:rsidRDefault="00693849" w:rsidP="008A4C70">
      <w:pPr>
        <w:pStyle w:val="BodyText2"/>
        <w:framePr w:hSpace="0" w:wrap="auto" w:vAnchor="margin" w:hAnchor="text" w:xAlign="left" w:yAlign="inline"/>
        <w:spacing w:before="120" w:after="120" w:line="480" w:lineRule="auto"/>
        <w:jc w:val="both"/>
        <w:rPr>
          <w:rFonts w:asciiTheme="minorHAnsi" w:hAnsiTheme="minorHAnsi" w:cstheme="minorHAnsi"/>
          <w:b w:val="0"/>
          <w:sz w:val="24"/>
        </w:rPr>
      </w:pPr>
      <w:r>
        <w:rPr>
          <w:rFonts w:asciiTheme="minorHAnsi" w:hAnsiTheme="minorHAnsi" w:cstheme="minorHAnsi"/>
          <w:b w:val="0"/>
          <w:noProof/>
          <w:sz w:val="24"/>
        </w:rPr>
        <w:tab/>
      </w:r>
      <w:r w:rsidR="002D60E4" w:rsidRPr="003D0C88">
        <w:rPr>
          <w:rFonts w:asciiTheme="minorHAnsi" w:hAnsiTheme="minorHAnsi" w:cstheme="minorHAnsi"/>
          <w:b w:val="0"/>
          <w:noProof/>
          <w:sz w:val="24"/>
        </w:rPr>
        <w:t>The concept of critical c</w:t>
      </w:r>
      <w:r w:rsidR="00CD26DA" w:rsidRPr="003D0C88">
        <w:rPr>
          <w:rFonts w:asciiTheme="minorHAnsi" w:hAnsiTheme="minorHAnsi" w:cstheme="minorHAnsi"/>
          <w:b w:val="0"/>
          <w:noProof/>
          <w:sz w:val="24"/>
        </w:rPr>
        <w:t>losing p</w:t>
      </w:r>
      <w:r w:rsidR="003B113B" w:rsidRPr="003D0C88">
        <w:rPr>
          <w:rFonts w:asciiTheme="minorHAnsi" w:hAnsiTheme="minorHAnsi" w:cstheme="minorHAnsi"/>
          <w:b w:val="0"/>
          <w:noProof/>
          <w:sz w:val="24"/>
        </w:rPr>
        <w:t>ressure (CrCP) was first introduced by Burton’s model</w:t>
      </w:r>
      <w:r w:rsidR="003B113B" w:rsidRPr="003D0C88">
        <w:rPr>
          <w:rFonts w:asciiTheme="minorHAnsi" w:hAnsiTheme="minorHAnsi" w:cstheme="minorHAnsi"/>
          <w:b w:val="0"/>
          <w:sz w:val="24"/>
        </w:rPr>
        <w:t xml:space="preserve">, </w:t>
      </w:r>
      <w:r w:rsidR="003B113B" w:rsidRPr="003D0C88">
        <w:rPr>
          <w:rFonts w:asciiTheme="minorHAnsi" w:hAnsiTheme="minorHAnsi" w:cstheme="minorHAnsi"/>
          <w:b w:val="0"/>
          <w:noProof/>
          <w:sz w:val="24"/>
        </w:rPr>
        <w:t>described</w:t>
      </w:r>
      <w:r w:rsidR="003B113B" w:rsidRPr="003D0C88">
        <w:rPr>
          <w:rFonts w:asciiTheme="minorHAnsi" w:hAnsiTheme="minorHAnsi" w:cstheme="minorHAnsi"/>
          <w:b w:val="0"/>
          <w:sz w:val="24"/>
        </w:rPr>
        <w:t xml:space="preserve"> as the sum of ICP and vascular </w:t>
      </w:r>
      <w:r w:rsidR="003B113B" w:rsidRPr="003D0C88">
        <w:rPr>
          <w:rFonts w:asciiTheme="minorHAnsi" w:hAnsiTheme="minorHAnsi" w:cstheme="minorHAnsi"/>
          <w:b w:val="0"/>
          <w:noProof/>
          <w:sz w:val="24"/>
        </w:rPr>
        <w:t>wa</w:t>
      </w:r>
      <w:r w:rsidR="00AE44A6" w:rsidRPr="003D0C88">
        <w:rPr>
          <w:rFonts w:asciiTheme="minorHAnsi" w:hAnsiTheme="minorHAnsi" w:cstheme="minorHAnsi"/>
          <w:b w:val="0"/>
          <w:noProof/>
          <w:sz w:val="24"/>
        </w:rPr>
        <w:t>ll tension (WT)</w:t>
      </w:r>
      <w:r w:rsidR="0004413C">
        <w:rPr>
          <w:rFonts w:asciiTheme="minorHAnsi" w:hAnsiTheme="minorHAnsi" w:cstheme="minorHAnsi"/>
          <w:b w:val="0"/>
          <w:noProof/>
          <w:sz w:val="24"/>
        </w:rPr>
        <w:t xml:space="preserve"> </w:t>
      </w:r>
      <w:r w:rsidR="003B113B" w:rsidRPr="003D0C88">
        <w:rPr>
          <w:rFonts w:cstheme="minorHAnsi"/>
          <w:b w:val="0"/>
          <w:noProof/>
          <w:sz w:val="24"/>
        </w:rPr>
        <w:fldChar w:fldCharType="begin" w:fldLock="1"/>
      </w:r>
      <w:r w:rsidR="00E9369D">
        <w:rPr>
          <w:rFonts w:asciiTheme="minorHAnsi" w:hAnsiTheme="minorHAnsi" w:cstheme="minorHAnsi"/>
          <w:b w:val="0"/>
          <w:noProof/>
          <w:sz w:val="24"/>
        </w:rPr>
        <w:instrText>ADDIN CSL_CITATION {"citationItems":[{"id":"ITEM-1","itemData":{"ISSN":"0002-9513","PMID":"14810938","author":[{"dropping-particle":"","family":"Nichol","given":"J","non-dropping-particle":"","parse-names":false,"suffix":""},{"dropping-particle":"","family":"Girling","given":"F","non-dropping-particle":"","parse-names":false,"suffix":""},{"dropping-particle":"","family":"Jerrard","given":"W","non-dropping-particle":"","parse-names":false,"suffix":""},{"dropping-particle":"","family":"Claxton","given":"E B","non-dropping-particle":"","parse-names":false,"suffix":""},{"dropping-particle":"","family":"Burton","given":"A C","non-dropping-particle":"","parse-names":false,"suffix":""}],"container-title":"The American journal of physiology","id":"ITEM-1","issue":"2","issued":{"date-parts":[["1951","2"]]},"page":"330-44","title":"Fundamental instability of the small blood vessels and critical closing pressures in vascular beds.","type":"article-journal","volume":"164"},"uris":["http://www.mendeley.com/documents/?uuid=32ff86f9-8dd6-41b6-931e-242e20c66140"]}],"mendeley":{"formattedCitation":"(Nichol et al. 1951)","plainTextFormattedCitation":"(Nichol et al. 1951)","previouslyFormattedCitation":"(Nichol et al. 1951)"},"properties":{"noteIndex":0},"schema":"https://github.com/citation-style-language/schema/raw/master/csl-citation.json"}</w:instrText>
      </w:r>
      <w:r w:rsidR="003B113B" w:rsidRPr="003D0C88">
        <w:rPr>
          <w:rFonts w:cstheme="minorHAnsi"/>
          <w:b w:val="0"/>
          <w:noProof/>
          <w:sz w:val="24"/>
        </w:rPr>
        <w:fldChar w:fldCharType="separate"/>
      </w:r>
      <w:r w:rsidR="004030CD" w:rsidRPr="004030CD">
        <w:rPr>
          <w:rFonts w:asciiTheme="minorHAnsi" w:hAnsiTheme="minorHAnsi" w:cstheme="minorHAnsi"/>
          <w:b w:val="0"/>
          <w:noProof/>
          <w:sz w:val="24"/>
        </w:rPr>
        <w:t>(Nichol et al. 1951)</w:t>
      </w:r>
      <w:r w:rsidR="003B113B" w:rsidRPr="003D0C88">
        <w:rPr>
          <w:rFonts w:cstheme="minorHAnsi"/>
          <w:b w:val="0"/>
          <w:noProof/>
          <w:sz w:val="24"/>
        </w:rPr>
        <w:fldChar w:fldCharType="end"/>
      </w:r>
      <w:r w:rsidR="003B113B" w:rsidRPr="003D0C88">
        <w:rPr>
          <w:rFonts w:asciiTheme="minorHAnsi" w:hAnsiTheme="minorHAnsi" w:cstheme="minorHAnsi"/>
          <w:b w:val="0"/>
          <w:noProof/>
          <w:sz w:val="24"/>
        </w:rPr>
        <w:t>. WT represents the active</w:t>
      </w:r>
      <w:r w:rsidR="003B113B" w:rsidRPr="003D0C88">
        <w:rPr>
          <w:rFonts w:asciiTheme="minorHAnsi" w:hAnsiTheme="minorHAnsi" w:cstheme="minorHAnsi"/>
          <w:b w:val="0"/>
          <w:sz w:val="24"/>
        </w:rPr>
        <w:t xml:space="preserve"> cerebral vasomotor tone that combined with ICP determines the CrCP. Clinically, CrCP represents the lower threshold of ABP below which blood pressure in the brain microvasculature is inadequate to prevent the </w:t>
      </w:r>
      <w:r w:rsidR="003B113B" w:rsidRPr="003D0C88">
        <w:rPr>
          <w:rFonts w:asciiTheme="minorHAnsi" w:hAnsiTheme="minorHAnsi" w:cstheme="minorHAnsi"/>
          <w:b w:val="0"/>
          <w:noProof/>
          <w:sz w:val="24"/>
        </w:rPr>
        <w:t>collapse and cessation of blood flow</w:t>
      </w:r>
      <w:r w:rsidR="0004413C">
        <w:rPr>
          <w:rFonts w:asciiTheme="minorHAnsi" w:hAnsiTheme="minorHAnsi" w:cstheme="minorHAnsi"/>
          <w:b w:val="0"/>
          <w:noProof/>
          <w:sz w:val="24"/>
        </w:rPr>
        <w:t xml:space="preserve"> </w:t>
      </w:r>
      <w:r w:rsidR="003B113B" w:rsidRPr="003D0C88">
        <w:rPr>
          <w:rFonts w:cstheme="minorHAnsi"/>
          <w:b w:val="0"/>
          <w:noProof/>
          <w:sz w:val="24"/>
        </w:rPr>
        <w:fldChar w:fldCharType="begin" w:fldLock="1"/>
      </w:r>
      <w:r w:rsidR="00E9369D">
        <w:rPr>
          <w:rFonts w:asciiTheme="minorHAnsi" w:hAnsiTheme="minorHAnsi" w:cstheme="minorHAnsi"/>
          <w:b w:val="0"/>
          <w:noProof/>
          <w:sz w:val="24"/>
        </w:rPr>
        <w:instrText>ADDIN CSL_CITATION {"citationItems":[{"id":"ITEM-1","itemData":{"ISSN":"0002-9513","PMID":"14810938","author":[{"dropping-particle":"","family":"Nichol","given":"J","non-dropping-particle":"","parse-names":false,"suffix":""},{"dropping-particle":"","family":"Girling","given":"F","non-dropping-particle":"","parse-names":false,"suffix":""},{"dropping-particle":"","family":"Jerrard","given":"W","non-dropping-particle":"","parse-names":false,"suffix":""},{"dropping-particle":"","family":"Claxton","given":"E B","non-dropping-particle":"","parse-names":false,"suffix":""},{"dropping-particle":"","family":"Burton","given":"A C","non-dropping-particle":"","parse-names":false,"suffix":""}],"container-title":"The American journal of physiology","id":"ITEM-1","issue":"2","issued":{"date-parts":[["1951","2"]]},"page":"330-44","title":"Fundamental instability of the small blood vessels and critical closing pressures in vascular beds.","type":"article-journal","volume":"164"},"uris":["http://www.mendeley.com/documents/?uuid=32ff86f9-8dd6-41b6-931e-242e20c66140"]}],"mendeley":{"formattedCitation":"(Nichol et al. 1951)","plainTextFormattedCitation":"(Nichol et al. 1951)","previouslyFormattedCitation":"(Nichol et al. 1951)"},"properties":{"noteIndex":0},"schema":"https://github.com/citation-style-language/schema/raw/master/csl-citation.json"}</w:instrText>
      </w:r>
      <w:r w:rsidR="003B113B" w:rsidRPr="003D0C88">
        <w:rPr>
          <w:rFonts w:cstheme="minorHAnsi"/>
          <w:b w:val="0"/>
          <w:noProof/>
          <w:sz w:val="24"/>
        </w:rPr>
        <w:fldChar w:fldCharType="separate"/>
      </w:r>
      <w:r w:rsidR="004030CD" w:rsidRPr="004030CD">
        <w:rPr>
          <w:rFonts w:asciiTheme="minorHAnsi" w:hAnsiTheme="minorHAnsi" w:cstheme="minorHAnsi"/>
          <w:b w:val="0"/>
          <w:noProof/>
          <w:sz w:val="24"/>
        </w:rPr>
        <w:t>(Nichol et al. 1951)</w:t>
      </w:r>
      <w:r w:rsidR="003B113B" w:rsidRPr="003D0C88">
        <w:rPr>
          <w:rFonts w:cstheme="minorHAnsi"/>
          <w:b w:val="0"/>
          <w:noProof/>
          <w:sz w:val="24"/>
        </w:rPr>
        <w:fldChar w:fldCharType="end"/>
      </w:r>
      <w:r w:rsidR="003B113B" w:rsidRPr="003D0C88">
        <w:rPr>
          <w:rFonts w:asciiTheme="minorHAnsi" w:hAnsiTheme="minorHAnsi" w:cstheme="minorHAnsi"/>
          <w:b w:val="0"/>
          <w:noProof/>
          <w:sz w:val="24"/>
        </w:rPr>
        <w:t>. CrCP</w:t>
      </w:r>
      <w:r w:rsidR="003B113B" w:rsidRPr="003D0C88">
        <w:rPr>
          <w:rFonts w:asciiTheme="minorHAnsi" w:hAnsiTheme="minorHAnsi" w:cstheme="minorHAnsi"/>
          <w:b w:val="0"/>
          <w:sz w:val="24"/>
        </w:rPr>
        <w:t xml:space="preserve"> can be assessed non-invasively using TCD, by </w:t>
      </w:r>
      <w:r w:rsidR="00EA596F">
        <w:rPr>
          <w:rFonts w:asciiTheme="minorHAnsi" w:hAnsiTheme="minorHAnsi" w:cstheme="minorHAnsi"/>
          <w:b w:val="0"/>
          <w:sz w:val="24"/>
        </w:rPr>
        <w:t>utilising</w:t>
      </w:r>
      <w:r w:rsidR="00EA596F" w:rsidRPr="003D0C88">
        <w:rPr>
          <w:rFonts w:asciiTheme="minorHAnsi" w:hAnsiTheme="minorHAnsi" w:cstheme="minorHAnsi"/>
          <w:b w:val="0"/>
          <w:sz w:val="24"/>
        </w:rPr>
        <w:t xml:space="preserve"> </w:t>
      </w:r>
      <w:r w:rsidR="003B113B" w:rsidRPr="003D0C88">
        <w:rPr>
          <w:rFonts w:asciiTheme="minorHAnsi" w:hAnsiTheme="minorHAnsi" w:cstheme="minorHAnsi"/>
          <w:b w:val="0"/>
          <w:sz w:val="24"/>
        </w:rPr>
        <w:t xml:space="preserve">the pulsatile waveforms of FV and ABP. </w:t>
      </w:r>
      <w:r w:rsidR="00D54FC0" w:rsidRPr="003D0C88">
        <w:rPr>
          <w:rFonts w:asciiTheme="minorHAnsi" w:hAnsiTheme="minorHAnsi" w:cstheme="minorHAnsi"/>
          <w:b w:val="0"/>
          <w:sz w:val="24"/>
        </w:rPr>
        <w:t xml:space="preserve">The critical closing pressure of </w:t>
      </w:r>
      <w:r w:rsidR="00D54FC0" w:rsidRPr="003D0C88">
        <w:rPr>
          <w:rFonts w:asciiTheme="minorHAnsi" w:hAnsiTheme="minorHAnsi" w:cstheme="minorHAnsi"/>
          <w:b w:val="0"/>
          <w:noProof/>
          <w:sz w:val="24"/>
        </w:rPr>
        <w:t>the cerebral circulation was calculated according to Varsos</w:t>
      </w:r>
      <w:r w:rsidR="00D54FC0" w:rsidRPr="003D0C88">
        <w:rPr>
          <w:rFonts w:asciiTheme="minorHAnsi" w:hAnsiTheme="minorHAnsi" w:cstheme="minorHAnsi"/>
          <w:b w:val="0"/>
          <w:sz w:val="24"/>
        </w:rPr>
        <w:t xml:space="preserve"> et al. </w:t>
      </w:r>
      <w:r w:rsidR="00D54FC0" w:rsidRPr="003D0C88">
        <w:rPr>
          <w:rFonts w:asciiTheme="minorHAnsi" w:hAnsiTheme="minorHAnsi" w:cstheme="minorHAnsi"/>
          <w:b w:val="0"/>
          <w:sz w:val="24"/>
        </w:rPr>
        <w:fldChar w:fldCharType="begin" w:fldLock="1"/>
      </w:r>
      <w:r w:rsidR="004030CD">
        <w:rPr>
          <w:rFonts w:asciiTheme="minorHAnsi" w:hAnsiTheme="minorHAnsi" w:cstheme="minorHAnsi"/>
          <w:b w:val="0"/>
          <w:sz w:val="24"/>
        </w:rPr>
        <w:instrText>ADDIN CSL_CITATION {"citationItems":[{"id":"ITEM-1","itemData":{"DOI":"10.1038/jcbfm.2012.161","ISSN":"1559-7016","PMID":"23149558","abstract":"Critical closing pressure (CCP) is the arterial blood pressure (ABP) at which brain vessels collapse and cerebral blood flow (CBF) ceases. Using the concept of impedance to CBF, CCP can be expressed with brain-monitoring parameters: cerebral perfusion pressure (CPP), ABP, blood flow velocity (FV), and heart rate. The novel multiparameter method (CCPm) was compared with traditional transcranial Doppler (TCD) calculations of CCP (CCP1). Digital recordings of ABP, intracranial pressure (ICP), and TCD-based FV from previously published studies of 29 New Zealand White rabbits were reanalyzed. Overall, CCP1 and CCPm showed correlation across wide ranges of ABP, ICP, and PaCO2 (R=0.93, P&lt;0.001). Three physiological perturbations were studied: increase in ICP (n=29) causing both CCP1 and CCPm to increase (P&lt;0.001 for both); reduction of ABP (n=10) resulting in decrease of CCP1 (P=0.006) and CCPm (P=0.002); and controlled increase of PaCO2 (n=8) to hypercapnic levels, which decreased CCP1 and CCPm, albeit insignificantly (P=0.123 and P=0.306 respectively), caused by a spontaneous significant increase in ABP (P=0.025). Multiparameter mathematical model of critical closing pressure explains the relationship of CCP on brain-monitoring variables, allowing the estimation of CCP during cases such as hypercapnia-induced hyperemia, where traditional calculations, like CCP1, often reach negative non-physiological values.","author":[{"dropping-particle":"V.","family":"Varsos","given":"Georgios","non-dropping-particle":"","parse-names":false,"suffix":""},{"dropping-particle":"","family":"Richards","given":"Hugh","non-dropping-particle":"","parse-names":false,"suffix":""},{"dropping-particle":"","family":"Kasprowicz","given":"Magdalena","non-dropping-particle":"","parse-names":false,"suffix":""},{"dropping-particle":"","family":"Budohoski","given":"Karol P","non-dropping</w:instrText>
      </w:r>
      <w:r w:rsidR="004030CD" w:rsidRPr="008A4C70">
        <w:rPr>
          <w:rFonts w:asciiTheme="minorHAnsi" w:hAnsiTheme="minorHAnsi" w:cstheme="minorHAnsi"/>
          <w:b w:val="0"/>
          <w:sz w:val="24"/>
        </w:rPr>
        <w:instrText>-particle":"","parse-names":false,"suffix":""},{"dropping-particle":"","family":"Brady","given":"Ken M","non-dropping-particle":"","parse-names":false,"suffix":""},{"dropping-particle":"","family":"Reinhard","given":"Matthias","non-dropping-particle":"","parse-names":false,"suffix":""},{"dropping-particle":"","family":"Avolio","given":"Alberto","non-dropping-particle":"","parse-names":false,"suffix":""},{"dropping-particle":"","family":"Smielewski","given":"Peter","non-dropping-particle":"","parse-names":false,"suffix":""},{"dropping-particle":"","family":"Pickard","given":"John D","non-dropping-particle":"","parse-names":false,"suffix":""},{"dropping-particle":"","family":"Czosnyka","given":"Marek","non-dropping-particle":"","parse-names":false,"suffix":""}],"container-title":"Journal of cerebral blood flow and metabolism : official journal of the International Society of Cerebral Blood Flow and Metabolism","id":"ITEM-1","issue":"2","issued":{"date-parts":[["2013"]]},"page":"235-43","title":"Critical closing pressure determined with a model of cerebrovascular impedance.","type":"article-journal","volume":"33"},"uris":["http://www.mendeley.com/documents/?uuid=dcb9b746-f68f-4fb8-9662-dabc552e47fa"]}],"mendeley":{"formattedCitation":"(Varsos et al. 2013)","plainTextFormattedCitation":"(Varsos et al. 2013)","previouslyFormattedCitation":"(Varsos et al. 2013)"},"properties":{"noteIndex":0},"schema":"https://github.com/citation-style-language/schema/raw/master/csl-citation.json"}</w:instrText>
      </w:r>
      <w:r w:rsidR="00D54FC0" w:rsidRPr="003D0C88">
        <w:rPr>
          <w:rFonts w:asciiTheme="minorHAnsi" w:hAnsiTheme="minorHAnsi" w:cstheme="minorHAnsi"/>
          <w:b w:val="0"/>
          <w:sz w:val="24"/>
        </w:rPr>
        <w:fldChar w:fldCharType="separate"/>
      </w:r>
      <w:r w:rsidR="00464A24" w:rsidRPr="008A4C70">
        <w:rPr>
          <w:rFonts w:asciiTheme="minorHAnsi" w:hAnsiTheme="minorHAnsi" w:cstheme="minorHAnsi"/>
          <w:b w:val="0"/>
          <w:noProof/>
          <w:sz w:val="24"/>
        </w:rPr>
        <w:t>(Varsos et al. 2013)</w:t>
      </w:r>
      <w:r w:rsidR="00D54FC0" w:rsidRPr="003D0C88">
        <w:rPr>
          <w:rFonts w:asciiTheme="minorHAnsi" w:hAnsiTheme="minorHAnsi" w:cstheme="minorHAnsi"/>
          <w:b w:val="0"/>
          <w:sz w:val="24"/>
        </w:rPr>
        <w:fldChar w:fldCharType="end"/>
      </w:r>
      <w:r w:rsidR="00D54FC0" w:rsidRPr="008A4C70">
        <w:rPr>
          <w:rFonts w:asciiTheme="minorHAnsi" w:hAnsiTheme="minorHAnsi" w:cstheme="minorHAnsi"/>
          <w:b w:val="0"/>
          <w:sz w:val="24"/>
        </w:rPr>
        <w:t>.</w:t>
      </w:r>
    </w:p>
    <w:p w14:paraId="34D753FB" w14:textId="62276F8B" w:rsidR="00B25321" w:rsidRPr="003D0C88" w:rsidRDefault="00693849" w:rsidP="00736D3B">
      <w:pPr>
        <w:spacing w:line="480" w:lineRule="auto"/>
        <w:jc w:val="both"/>
        <w:rPr>
          <w:rFonts w:cstheme="minorHAnsi"/>
          <w:sz w:val="24"/>
          <w:szCs w:val="24"/>
        </w:rPr>
      </w:pPr>
      <w:r w:rsidRPr="008A4C70">
        <w:rPr>
          <w:rFonts w:cstheme="minorHAnsi"/>
          <w:sz w:val="24"/>
          <w:szCs w:val="24"/>
        </w:rPr>
        <w:tab/>
      </w:r>
      <w:r w:rsidR="00465789" w:rsidRPr="008A4C70">
        <w:rPr>
          <w:rFonts w:cstheme="minorHAnsi"/>
          <w:sz w:val="24"/>
          <w:szCs w:val="24"/>
        </w:rPr>
        <w:t>Derived from CrCP and</w:t>
      </w:r>
      <w:r w:rsidR="00331127" w:rsidRPr="008A4C70">
        <w:rPr>
          <w:rFonts w:cstheme="minorHAnsi"/>
          <w:sz w:val="24"/>
          <w:szCs w:val="24"/>
        </w:rPr>
        <w:t xml:space="preserve"> diastolic</w:t>
      </w:r>
      <w:r w:rsidR="00465789" w:rsidRPr="008A4C70">
        <w:rPr>
          <w:rFonts w:cstheme="minorHAnsi"/>
          <w:sz w:val="24"/>
          <w:szCs w:val="24"/>
        </w:rPr>
        <w:t xml:space="preserve"> ABP</w:t>
      </w:r>
      <w:r w:rsidR="00331127" w:rsidRPr="008A4C70">
        <w:rPr>
          <w:rFonts w:cstheme="minorHAnsi"/>
          <w:sz w:val="24"/>
          <w:szCs w:val="24"/>
        </w:rPr>
        <w:t xml:space="preserve"> (ABP</w:t>
      </w:r>
      <w:r w:rsidR="00331127" w:rsidRPr="008A4C70">
        <w:rPr>
          <w:rFonts w:cstheme="minorHAnsi"/>
          <w:sz w:val="24"/>
          <w:szCs w:val="24"/>
          <w:vertAlign w:val="subscript"/>
        </w:rPr>
        <w:t>d</w:t>
      </w:r>
      <w:r w:rsidR="00331127" w:rsidRPr="008A4C70">
        <w:rPr>
          <w:rFonts w:cstheme="minorHAnsi"/>
          <w:sz w:val="24"/>
          <w:szCs w:val="24"/>
        </w:rPr>
        <w:t>)</w:t>
      </w:r>
      <w:r w:rsidR="00465789" w:rsidRPr="008A4C70">
        <w:rPr>
          <w:rFonts w:cstheme="minorHAnsi"/>
          <w:sz w:val="24"/>
          <w:szCs w:val="24"/>
        </w:rPr>
        <w:t>,</w:t>
      </w:r>
      <w:r w:rsidR="00EB00E3" w:rsidRPr="008A4C70">
        <w:rPr>
          <w:rFonts w:cstheme="minorHAnsi"/>
          <w:sz w:val="24"/>
          <w:szCs w:val="24"/>
        </w:rPr>
        <w:t xml:space="preserve"> </w:t>
      </w:r>
      <w:r w:rsidR="00465789" w:rsidRPr="008A4C70">
        <w:rPr>
          <w:rFonts w:cstheme="minorHAnsi"/>
          <w:sz w:val="24"/>
          <w:szCs w:val="24"/>
        </w:rPr>
        <w:t>the diastolic closing margin</w:t>
      </w:r>
      <w:r w:rsidR="00AE0D90" w:rsidRPr="008A4C70">
        <w:rPr>
          <w:rFonts w:cstheme="minorHAnsi"/>
          <w:sz w:val="24"/>
          <w:szCs w:val="24"/>
        </w:rPr>
        <w:t xml:space="preserve"> (DCM</w:t>
      </w:r>
      <w:r w:rsidR="00EF756E" w:rsidRPr="008A4C70">
        <w:rPr>
          <w:rFonts w:cstheme="minorHAnsi"/>
          <w:sz w:val="24"/>
          <w:szCs w:val="24"/>
        </w:rPr>
        <w:t xml:space="preserve"> = ABP</w:t>
      </w:r>
      <w:r w:rsidR="00EF756E" w:rsidRPr="008A4C70">
        <w:rPr>
          <w:rFonts w:cstheme="minorHAnsi"/>
          <w:sz w:val="24"/>
          <w:szCs w:val="24"/>
          <w:vertAlign w:val="subscript"/>
        </w:rPr>
        <w:t>d</w:t>
      </w:r>
      <w:r w:rsidR="00EF756E" w:rsidRPr="008A4C70">
        <w:rPr>
          <w:rFonts w:cstheme="minorHAnsi"/>
          <w:sz w:val="24"/>
          <w:szCs w:val="24"/>
        </w:rPr>
        <w:t xml:space="preserve"> - CrCP</w:t>
      </w:r>
      <w:r w:rsidR="00AE0D90" w:rsidRPr="008A4C70">
        <w:rPr>
          <w:rFonts w:cstheme="minorHAnsi"/>
          <w:sz w:val="24"/>
          <w:szCs w:val="24"/>
        </w:rPr>
        <w:t>)</w:t>
      </w:r>
      <w:r w:rsidR="0005465F" w:rsidRPr="008A4C70">
        <w:rPr>
          <w:rFonts w:cstheme="minorHAnsi"/>
          <w:sz w:val="24"/>
          <w:szCs w:val="24"/>
        </w:rPr>
        <w:t xml:space="preserve"> </w:t>
      </w:r>
      <w:r w:rsidR="00FA2DB5" w:rsidRPr="008A4C70">
        <w:rPr>
          <w:rFonts w:cstheme="minorHAnsi"/>
          <w:sz w:val="24"/>
          <w:szCs w:val="24"/>
        </w:rPr>
        <w:t xml:space="preserve">of the brain microvasculature </w:t>
      </w:r>
      <w:r w:rsidR="003A7A8B" w:rsidRPr="008A4C70">
        <w:rPr>
          <w:rFonts w:cstheme="minorHAnsi"/>
          <w:sz w:val="24"/>
          <w:szCs w:val="24"/>
        </w:rPr>
        <w:t xml:space="preserve">was also calculated </w:t>
      </w:r>
      <w:r w:rsidR="003A7A8B" w:rsidRPr="003D0C88">
        <w:rPr>
          <w:rFonts w:cstheme="minorHAnsi"/>
          <w:b/>
          <w:sz w:val="24"/>
          <w:szCs w:val="24"/>
        </w:rPr>
        <w:fldChar w:fldCharType="begin" w:fldLock="1"/>
      </w:r>
      <w:r w:rsidR="003A7A8B" w:rsidRPr="008A4C70">
        <w:rPr>
          <w:rFonts w:cstheme="minorHAnsi"/>
          <w:sz w:val="24"/>
          <w:szCs w:val="24"/>
        </w:rPr>
        <w:instrText xml:space="preserve">ADDIN CSL_CITATION {"citationItems":[{"id":"ITEM-1","itemData":{"DOI":"10.1007/s12028-013-9913-3","ISBN":"1202801399133","ISSN":"15560961","PMID":"24248737","abstract":"BACKGROUND: Reducing cerebral perfusion pressure (CPP) below the lower limit of autoregulation (LLA) causes cerebral blood flow (CBF) to become pressure passive. Further reductions in CPP can cause cessation of CBF during diastole. We hypothesized that zero diastolic flow velocity (FV) occurs when diastolic blood pressure becomes less than the critical closing pressure (CrCP). METHODS: We retrospectively analyzed studies of 34 rabbits with CPP below the LLA, induced with pharmacologic sympathectomy (N = 23) or cerebrospinal fluid infusion (N = 11). Basilar artery blood FV and cortical Laser Doppler Flow (LDF) were monitored. CrCP was trended using a model of cerebrovascular impedance. The diastolic closing margin (DCM) was monitored as the difference between diastolic blood pressure and CrCP. LDF was recorded for DCM values greater than and less than zero. RESULTS: Arterial hypotension caused a reduction of CrCP (p &lt; 0.001), consistent with decreased wall tension (p &lt; 0.001) and a drop in intracranial pressure (ICP; p = 0.004). Cerebrospinal infusion caused an increase of CrCP (p = 0.002) accounted for by increasing ICP (p &lt; 0.001). The DCM was compromised by either arterial hypotension or intracranial hypertension (p &lt; 0.001 for both). When the DCM reached zero, diastolic FV ceased for a short period during each heart cycle (R = 0.426, p &lt; 0.001). CBF pressure passivity accelerated when DCM decreased below zero (from 1.51 ± 0.51 to 2.17 ± 1.17 % </w:instrText>
      </w:r>
      <w:r w:rsidR="003A7A8B">
        <w:rPr>
          <w:rFonts w:cstheme="minorHAnsi"/>
          <w:sz w:val="24"/>
          <w:szCs w:val="24"/>
        </w:rPr>
        <w:instrText>Δ</w:instrText>
      </w:r>
      <w:r w:rsidR="003A7A8B" w:rsidRPr="008A4C70">
        <w:rPr>
          <w:rFonts w:cstheme="minorHAnsi"/>
          <w:sz w:val="24"/>
          <w:szCs w:val="24"/>
        </w:rPr>
        <w:instrText>LDF/</w:instrText>
      </w:r>
      <w:r w:rsidR="003A7A8B">
        <w:rPr>
          <w:rFonts w:cstheme="minorHAnsi"/>
          <w:sz w:val="24"/>
          <w:szCs w:val="24"/>
        </w:rPr>
        <w:instrText>Δ</w:instrText>
      </w:r>
      <w:r w:rsidR="003A7A8B" w:rsidRPr="008A4C70">
        <w:rPr>
          <w:rFonts w:cstheme="minorHAnsi"/>
          <w:sz w:val="24"/>
          <w:szCs w:val="24"/>
        </w:rPr>
        <w:instrText>mmHg; mean ± SD; p = 0.010). CONCLUSIONS: The disappearance of diastolic CBF below LLA can be explained by DCM reaching zero or negative values. Below this point the decrease in CBF accelerates with further decrements of CPP.","author":[{"dropping-particle":"V.","family":"Varsos","given":"Georgios","non-dropping-particle":"","parse-names"</w:instrText>
      </w:r>
      <w:r w:rsidR="003A7A8B" w:rsidRPr="00C502E0">
        <w:rPr>
          <w:rFonts w:cstheme="minorHAnsi"/>
          <w:sz w:val="24"/>
          <w:szCs w:val="24"/>
        </w:rPr>
        <w:instrText>:false,"suffix":""},{"dropping-particle":"","family":"Richards","given":"Hugh K.","non-dropping-particle":"","parse-names":false,"suffix":""},{"dropping-particle":"","family":"Kasprowicz","given":"Magdalena","non-dropping-particle":"","parse-names":false,"suffix":""},{"dropping-particle":"","family":"Reinhard","given":"Matthias","non-dropping-particle":"","parse-names":false,"suffix":""},{"dropping-particle":"","family":"Smielewski","given":"Peter","non-dropping-particle":"","parse-names":false,"suffix":""},{"dropping-particle":"","family":"Brady","given":"Ken M.","non-dropping-particle":"","parse-names":false,"suffix":""},{"dropping-particle":"","family":"Pickard","given":"John D.","non-dropping-particle":"","parse-names":false,"suffix":""},{"dropping-particle":"","family":"Czosnyka","given":"Marek","non-dropping-partic</w:instrText>
      </w:r>
      <w:r w:rsidR="003A7A8B">
        <w:rPr>
          <w:rFonts w:cstheme="minorHAnsi"/>
          <w:sz w:val="24"/>
          <w:szCs w:val="24"/>
        </w:rPr>
        <w:instrText>le":"","parse-names":false,"suffix":""}],"container-title":"Neurocritical Care","id":"ITEM-1","issue":"1","issued":{"date-parts":[["2014"]]},"page":"40-48","title":"Cessation of diastolic cerebral blood flow velocity: The role of critical closing pressure","type":"article-journal","volume":"20"},"uris":["http://www.mendeley.com/documents/?uuid=08196580-309a-4bb6-a351-c6cb23851b8a"]}],"mendeley":{"formattedCitation":"(Varsos et al. 2014)","plainTextFormattedCitation":"(Varsos et al. 2014)","previouslyFormattedCitation":"(Varsos et al. 2014)"},"properties":{"noteIndex":0},"schema":"https://github.com/citation-style-language/schema/raw/master/csl-citation.json"}</w:instrText>
      </w:r>
      <w:r w:rsidR="003A7A8B" w:rsidRPr="003D0C88">
        <w:rPr>
          <w:rFonts w:cstheme="minorHAnsi"/>
          <w:b/>
          <w:sz w:val="24"/>
          <w:szCs w:val="24"/>
        </w:rPr>
        <w:fldChar w:fldCharType="separate"/>
      </w:r>
      <w:r w:rsidR="003A7A8B" w:rsidRPr="003D0C88">
        <w:rPr>
          <w:rFonts w:cstheme="minorHAnsi"/>
          <w:noProof/>
          <w:sz w:val="24"/>
          <w:szCs w:val="24"/>
        </w:rPr>
        <w:t>(Varsos et al. 2014)</w:t>
      </w:r>
      <w:r w:rsidR="003A7A8B" w:rsidRPr="003D0C88">
        <w:rPr>
          <w:rFonts w:cstheme="minorHAnsi"/>
          <w:b/>
          <w:sz w:val="24"/>
          <w:szCs w:val="24"/>
        </w:rPr>
        <w:fldChar w:fldCharType="end"/>
      </w:r>
      <w:r w:rsidR="0005465F" w:rsidRPr="003D0C88">
        <w:rPr>
          <w:rFonts w:cstheme="minorHAnsi"/>
          <w:sz w:val="24"/>
          <w:szCs w:val="24"/>
        </w:rPr>
        <w:t>.</w:t>
      </w:r>
      <w:r w:rsidR="00EA596F">
        <w:rPr>
          <w:rFonts w:cstheme="minorHAnsi"/>
          <w:sz w:val="24"/>
          <w:szCs w:val="24"/>
        </w:rPr>
        <w:t xml:space="preserve"> </w:t>
      </w:r>
      <w:r w:rsidR="00EA596F" w:rsidRPr="00EA596F">
        <w:rPr>
          <w:rFonts w:cstheme="minorHAnsi"/>
          <w:sz w:val="24"/>
          <w:szCs w:val="24"/>
        </w:rPr>
        <w:t xml:space="preserve">In this context, DCM represents an indication of the </w:t>
      </w:r>
      <w:r w:rsidR="00EA596F" w:rsidRPr="008A4C70">
        <w:rPr>
          <w:rFonts w:eastAsiaTheme="minorEastAsia" w:cstheme="minorHAnsi"/>
          <w:sz w:val="24"/>
          <w:szCs w:val="24"/>
        </w:rPr>
        <w:t>pressure reserve available to avoid the cessation of cerebral blood flow.</w:t>
      </w:r>
      <w:r w:rsidR="00F45802" w:rsidRPr="003D0C88">
        <w:rPr>
          <w:rFonts w:cstheme="minorHAnsi"/>
          <w:sz w:val="24"/>
          <w:szCs w:val="24"/>
        </w:rPr>
        <w:t xml:space="preserve"> </w:t>
      </w:r>
    </w:p>
    <w:p w14:paraId="43BD8AFE" w14:textId="77777777" w:rsidR="00B25321" w:rsidRPr="003D0C88" w:rsidRDefault="00B25321" w:rsidP="00DC2A24">
      <w:pPr>
        <w:pStyle w:val="BodyText2"/>
        <w:framePr w:hSpace="0" w:wrap="auto" w:vAnchor="margin" w:hAnchor="text" w:xAlign="left" w:yAlign="inline"/>
        <w:spacing w:before="120" w:after="120" w:line="480" w:lineRule="auto"/>
        <w:jc w:val="both"/>
        <w:rPr>
          <w:rFonts w:asciiTheme="minorHAnsi" w:hAnsiTheme="minorHAnsi" w:cstheme="minorHAnsi"/>
          <w:b w:val="0"/>
          <w:i/>
          <w:sz w:val="24"/>
        </w:rPr>
      </w:pPr>
    </w:p>
    <w:p w14:paraId="5989FEB3" w14:textId="5389C3C7" w:rsidR="007B073E" w:rsidRPr="003D0C88" w:rsidRDefault="007B073E" w:rsidP="00DC2A24">
      <w:pPr>
        <w:pStyle w:val="BodyText2"/>
        <w:framePr w:hSpace="0" w:wrap="auto" w:vAnchor="margin" w:hAnchor="text" w:xAlign="left" w:yAlign="inline"/>
        <w:spacing w:before="120" w:after="120" w:line="480" w:lineRule="auto"/>
        <w:jc w:val="both"/>
        <w:rPr>
          <w:rFonts w:asciiTheme="minorHAnsi" w:hAnsiTheme="minorHAnsi" w:cstheme="minorHAnsi"/>
          <w:b w:val="0"/>
          <w:i/>
          <w:sz w:val="24"/>
        </w:rPr>
      </w:pPr>
      <w:r w:rsidRPr="003D0C88">
        <w:rPr>
          <w:rFonts w:asciiTheme="minorHAnsi" w:hAnsiTheme="minorHAnsi" w:cstheme="minorHAnsi"/>
          <w:b w:val="0"/>
          <w:i/>
          <w:sz w:val="24"/>
        </w:rPr>
        <w:t>Optimal ABP</w:t>
      </w:r>
    </w:p>
    <w:p w14:paraId="1DFCFD5C" w14:textId="3EB81848" w:rsidR="00D659DD" w:rsidRPr="003D0C88" w:rsidRDefault="00693849" w:rsidP="00D75E03">
      <w:pPr>
        <w:pStyle w:val="BodyText2"/>
        <w:framePr w:hSpace="0" w:wrap="auto" w:vAnchor="margin" w:hAnchor="text" w:xAlign="left" w:yAlign="inline"/>
        <w:spacing w:before="120" w:after="120" w:line="480" w:lineRule="auto"/>
        <w:jc w:val="both"/>
        <w:rPr>
          <w:rFonts w:asciiTheme="minorHAnsi" w:eastAsiaTheme="minorHAnsi" w:hAnsiTheme="minorHAnsi" w:cstheme="minorHAnsi"/>
          <w:b w:val="0"/>
          <w:bCs w:val="0"/>
          <w:color w:val="231F20"/>
          <w:sz w:val="24"/>
        </w:rPr>
      </w:pPr>
      <w:r>
        <w:rPr>
          <w:rFonts w:asciiTheme="minorHAnsi" w:eastAsiaTheme="minorHAnsi" w:hAnsiTheme="minorHAnsi" w:cstheme="minorHAnsi"/>
          <w:b w:val="0"/>
          <w:bCs w:val="0"/>
          <w:color w:val="231F20"/>
          <w:sz w:val="24"/>
        </w:rPr>
        <w:tab/>
      </w:r>
      <w:r w:rsidR="00D75E03" w:rsidRPr="003D0C88">
        <w:rPr>
          <w:rFonts w:asciiTheme="minorHAnsi" w:eastAsiaTheme="minorHAnsi" w:hAnsiTheme="minorHAnsi" w:cstheme="minorHAnsi"/>
          <w:b w:val="0"/>
          <w:bCs w:val="0"/>
          <w:color w:val="231F20"/>
          <w:sz w:val="24"/>
        </w:rPr>
        <w:t xml:space="preserve">A method for individualization of </w:t>
      </w:r>
      <w:r w:rsidR="00A8174A">
        <w:rPr>
          <w:rFonts w:asciiTheme="minorHAnsi" w:eastAsiaTheme="minorHAnsi" w:hAnsiTheme="minorHAnsi" w:cstheme="minorHAnsi"/>
          <w:b w:val="0"/>
          <w:bCs w:val="0"/>
          <w:color w:val="231F20"/>
          <w:sz w:val="24"/>
        </w:rPr>
        <w:t>CPP-</w:t>
      </w:r>
      <w:r w:rsidR="00D75E03" w:rsidRPr="003D0C88">
        <w:rPr>
          <w:rFonts w:asciiTheme="minorHAnsi" w:eastAsiaTheme="minorHAnsi" w:hAnsiTheme="minorHAnsi" w:cstheme="minorHAnsi"/>
          <w:b w:val="0"/>
          <w:bCs w:val="0"/>
          <w:color w:val="231F20"/>
          <w:sz w:val="24"/>
        </w:rPr>
        <w:t xml:space="preserve">oriented management based on determination of cerebrovascular reactivity (using the </w:t>
      </w:r>
      <w:r w:rsidR="007B3E57" w:rsidRPr="003D0C88">
        <w:rPr>
          <w:rFonts w:asciiTheme="minorHAnsi" w:eastAsiaTheme="minorHAnsi" w:hAnsiTheme="minorHAnsi" w:cstheme="minorHAnsi"/>
          <w:b w:val="0"/>
          <w:bCs w:val="0"/>
          <w:color w:val="231F20"/>
          <w:sz w:val="24"/>
        </w:rPr>
        <w:t>pressure reactivity index (PRx)</w:t>
      </w:r>
      <w:r w:rsidR="00C9079A" w:rsidRPr="003D0C88">
        <w:rPr>
          <w:rFonts w:asciiTheme="minorHAnsi" w:eastAsiaTheme="minorHAnsi" w:hAnsiTheme="minorHAnsi" w:cstheme="minorHAnsi"/>
          <w:b w:val="0"/>
          <w:bCs w:val="0"/>
          <w:color w:val="231F20"/>
          <w:sz w:val="24"/>
        </w:rPr>
        <w:t xml:space="preserve">) </w:t>
      </w:r>
      <w:r w:rsidR="00CE30CC" w:rsidRPr="003D0C88">
        <w:rPr>
          <w:rFonts w:asciiTheme="minorHAnsi" w:eastAsiaTheme="minorHAnsi" w:hAnsiTheme="minorHAnsi" w:cstheme="minorHAnsi"/>
          <w:b w:val="0"/>
          <w:bCs w:val="0"/>
          <w:color w:val="231F20"/>
          <w:sz w:val="24"/>
        </w:rPr>
        <w:t>have been proposed</w:t>
      </w:r>
      <w:r w:rsidR="00C6031B" w:rsidRPr="003D0C88">
        <w:rPr>
          <w:rFonts w:asciiTheme="minorHAnsi" w:eastAsiaTheme="minorHAnsi" w:hAnsiTheme="minorHAnsi" w:cstheme="minorHAnsi"/>
          <w:b w:val="0"/>
          <w:bCs w:val="0"/>
          <w:color w:val="231F20"/>
          <w:sz w:val="24"/>
        </w:rPr>
        <w:t xml:space="preserve"> previously</w:t>
      </w:r>
      <w:r w:rsidR="0004413C">
        <w:rPr>
          <w:rFonts w:asciiTheme="minorHAnsi" w:eastAsiaTheme="minorHAnsi" w:hAnsiTheme="minorHAnsi" w:cstheme="minorHAnsi"/>
          <w:b w:val="0"/>
          <w:bCs w:val="0"/>
          <w:color w:val="231F20"/>
          <w:sz w:val="24"/>
        </w:rPr>
        <w:t xml:space="preserve"> </w:t>
      </w:r>
      <w:r w:rsidR="00CE30CC" w:rsidRPr="003D0C88">
        <w:rPr>
          <w:rFonts w:cstheme="minorHAnsi"/>
          <w:b w:val="0"/>
          <w:bCs w:val="0"/>
          <w:color w:val="231F20"/>
          <w:sz w:val="24"/>
        </w:rPr>
        <w:fldChar w:fldCharType="begin" w:fldLock="1"/>
      </w:r>
      <w:r w:rsidR="004030CD">
        <w:rPr>
          <w:rFonts w:asciiTheme="minorHAnsi" w:eastAsiaTheme="minorHAnsi" w:hAnsiTheme="minorHAnsi" w:cstheme="minorHAnsi"/>
          <w:b w:val="0"/>
          <w:bCs w:val="0"/>
          <w:color w:val="231F20"/>
          <w:sz w:val="24"/>
        </w:rPr>
        <w:instrText>ADDIN CSL_CITATION {"citationItems":[{"id":"ITEM-1","itemData":{"abstract":"Continuous longtime monitoring of the    in head-injured patients enabled the determination of a cerebral perfusion  at which cerebrovascular  reached its optimal value in an individual patient in almost two thirds of the ","author":[{"dropping-particle":"","family":"Steiner","given":"L","non-dropping-particle":"","parse-names":false,"suffix":""},{"dropping-particle":"","family":"Czosnyka","given":"M","non-dropping-particle":"","parse-names":false,"suffix":""},{"dropping-particle":"","family":"Piechnik","given":"S","non-dropping-particle":"","parse-names":false,"suffix":""}],"container-title":"Critical Care","id":"ITEM-1","issued":{"date-parts":[["2002"]]},"title":"Continuous monitoring of cerebrovascular pressure reactivity allows determination of optimal cerebral perfusion pressure in patients with traumatic brain injury","type":"article-journal"},"uris":["http://www.mendeley.com/documents/?uuid=d0187c8c-0d5e-4de7-8dd5-75e0773fb288","http://www.mendeley.com/documents/?uuid=88f90e0a-46e5-44ef-97f3-0afae9aef704"]},{"id":"ITEM-2","itemData":{"DOI":"10.1097/CCM.0b013e3182514eb6","ISBN":"0090-3493","ISSN":"1530-0293","PMID":"22622398","abstract":"We have sought to develop an automated methodology for the continuous updating of optimal cerebral perfusion pressure (CPPopt) for patients after severe traumatic head injury, using continuous monitoring of cerebrovascular pressure reactivity. We then validated the CPPopt algorithm by determining the association between outcome and the deviation of actual CPP from CPPopt.","author":[{"dropping-particle":"","family":"Aries","given":"Marcel J H","non-dropping-particle":"","parse-names":false,"suffix":""},{"dropping-particle":"","family":"Czosnyka","given":"Marek","non-dropping-particle":"","parse-names":false,"suffix":""},{"dropping-particle":"","family":"Budohoski","given":"Karol P","non-dropping-particle":"","parse-names":false,"suffix":""},{"dropping-particle":"","family":"Steiner","given":"Luzius A","non-dropping-particle":"","parse-names":false,"suffix":""},{"dropping-particle":"","family":"Lavinio","given":"Andrea","non-dropping-particle":"","parse-names":false,"suffix":""},{"dropping-particle":"","family":"Kolias","given":"Angelos G","non-dropping-particle":"","parse-names":false,"suffix":""},{"dropping-particle":"","family":"Hutchinson","given":"Peter J","non-dropping-particle":"","parse-names":false,"suffix":""},{"dropping-particle":"","family":"Brady","given":"Ken M","non-dropping-particle":"","parse-names":false,"suffix":""},{"dropping-particle":"","family":"Menon","given":"David K","non-dropping-particle":"","parse-names":false,"suffix":""},{"dropping-particle":"","family":"Pickard","given":"John D","non-dropping-particle":"","parse-names":false,"suffix":""},{"dropping-particle":"","family":"Smielewski","given":"Peter","non-dropping-particle":"","parse-names":false,"suffix":""}],"container-title":"Crit Care Med","id":"ITEM-2","issue":"8","issued":{"date-parts":[["2012"]]},"page":"2456-63","title":"Continuous determination of optimal cerebral perfusion pressure in traumatic brain injury.","type":"article-journal","volume":"40"},"uris":["http://www.mendeley.com/documents/?uuid=59873108-0597-477f-8dda-58f18d5486d0"]}],"mendeley":{"formattedCitation":"(Aries et al. 2012; Steiner et al. 2002)","plainTextFormattedCitation":"(Aries et al. 2012; Steiner et al. 2002)","previouslyFormattedCitation":"(Aries et al. 2012; Steiner et al. 2002)"},"properties":{"noteIndex":0},"schema":"https://github.com/citation-style-language/schema/raw/master/csl-citation.json"}</w:instrText>
      </w:r>
      <w:r w:rsidR="00CE30CC" w:rsidRPr="003D0C88">
        <w:rPr>
          <w:rFonts w:cstheme="minorHAnsi"/>
          <w:b w:val="0"/>
          <w:bCs w:val="0"/>
          <w:color w:val="231F20"/>
          <w:sz w:val="24"/>
        </w:rPr>
        <w:fldChar w:fldCharType="separate"/>
      </w:r>
      <w:r w:rsidR="00464A24" w:rsidRPr="003D0C88">
        <w:rPr>
          <w:rFonts w:asciiTheme="minorHAnsi" w:eastAsiaTheme="minorHAnsi" w:hAnsiTheme="minorHAnsi" w:cstheme="minorHAnsi"/>
          <w:b w:val="0"/>
          <w:bCs w:val="0"/>
          <w:noProof/>
          <w:color w:val="231F20"/>
          <w:sz w:val="24"/>
        </w:rPr>
        <w:t>(Aries et al. 2012; Steiner et al. 2002)</w:t>
      </w:r>
      <w:r w:rsidR="00CE30CC" w:rsidRPr="003D0C88">
        <w:rPr>
          <w:rFonts w:cstheme="minorHAnsi"/>
          <w:b w:val="0"/>
          <w:bCs w:val="0"/>
          <w:color w:val="231F20"/>
          <w:sz w:val="24"/>
        </w:rPr>
        <w:fldChar w:fldCharType="end"/>
      </w:r>
      <w:r w:rsidR="00D75E03" w:rsidRPr="003D0C88">
        <w:rPr>
          <w:rFonts w:asciiTheme="minorHAnsi" w:eastAsiaTheme="minorHAnsi" w:hAnsiTheme="minorHAnsi" w:cstheme="minorHAnsi"/>
          <w:b w:val="0"/>
          <w:bCs w:val="0"/>
          <w:color w:val="231F20"/>
          <w:sz w:val="24"/>
        </w:rPr>
        <w:t xml:space="preserve">. </w:t>
      </w:r>
      <w:r w:rsidR="00D659DD" w:rsidRPr="003D0C88">
        <w:rPr>
          <w:rFonts w:asciiTheme="minorHAnsi" w:hAnsiTheme="minorHAnsi" w:cstheme="minorHAnsi"/>
          <w:b w:val="0"/>
          <w:sz w:val="24"/>
        </w:rPr>
        <w:t>PRx is the correlation coefficient between ABP and</w:t>
      </w:r>
      <w:r w:rsidR="00A8174A">
        <w:rPr>
          <w:rFonts w:asciiTheme="minorHAnsi" w:hAnsiTheme="minorHAnsi" w:cstheme="minorHAnsi"/>
          <w:b w:val="0"/>
          <w:sz w:val="24"/>
        </w:rPr>
        <w:t xml:space="preserve"> invasive measure</w:t>
      </w:r>
      <w:r w:rsidR="00CD744D">
        <w:rPr>
          <w:rFonts w:asciiTheme="minorHAnsi" w:hAnsiTheme="minorHAnsi" w:cstheme="minorHAnsi"/>
          <w:b w:val="0"/>
          <w:sz w:val="24"/>
        </w:rPr>
        <w:t>ment</w:t>
      </w:r>
      <w:r w:rsidR="00A8174A">
        <w:rPr>
          <w:rFonts w:asciiTheme="minorHAnsi" w:hAnsiTheme="minorHAnsi" w:cstheme="minorHAnsi"/>
          <w:b w:val="0"/>
          <w:sz w:val="24"/>
        </w:rPr>
        <w:t>s of</w:t>
      </w:r>
      <w:r w:rsidR="00D659DD" w:rsidRPr="003D0C88">
        <w:rPr>
          <w:rFonts w:asciiTheme="minorHAnsi" w:hAnsiTheme="minorHAnsi" w:cstheme="minorHAnsi"/>
          <w:b w:val="0"/>
          <w:sz w:val="24"/>
        </w:rPr>
        <w:t xml:space="preserve"> ICP</w:t>
      </w:r>
      <w:r w:rsidR="00CD26DA" w:rsidRPr="003D0C88">
        <w:rPr>
          <w:rFonts w:asciiTheme="minorHAnsi" w:hAnsiTheme="minorHAnsi" w:cstheme="minorHAnsi"/>
          <w:b w:val="0"/>
          <w:sz w:val="24"/>
        </w:rPr>
        <w:t xml:space="preserve"> and describes how cerebrovascular bed reacts is in face of changes in systemic arterial blood pressure</w:t>
      </w:r>
      <w:r w:rsidR="0004413C">
        <w:rPr>
          <w:rFonts w:asciiTheme="minorHAnsi" w:hAnsiTheme="minorHAnsi" w:cstheme="minorHAnsi"/>
          <w:b w:val="0"/>
          <w:sz w:val="24"/>
        </w:rPr>
        <w:t xml:space="preserve"> </w:t>
      </w:r>
      <w:r w:rsidR="00D659DD" w:rsidRPr="003D0C88">
        <w:rPr>
          <w:rFonts w:cstheme="minorHAnsi"/>
          <w:b w:val="0"/>
          <w:sz w:val="24"/>
        </w:rPr>
        <w:fldChar w:fldCharType="begin" w:fldLock="1"/>
      </w:r>
      <w:r w:rsidR="004030CD">
        <w:rPr>
          <w:rFonts w:asciiTheme="minorHAnsi" w:hAnsiTheme="minorHAnsi" w:cstheme="minorHAnsi"/>
          <w:b w:val="0"/>
          <w:sz w:val="24"/>
        </w:rPr>
        <w:instrText>ADDIN CSL_CITATION {"citationItems":[{"id":"ITEM-1","itemData":{"ISSN":"0148-396X","PMID":"9218290","abstract":"OBJECTIVE Cerebrovascular vasomotor reactivity reflects changes in smooth muscle tone in the arterial wall in response to changes in transmural pressure or the concentration of carbon dioxide in blood. We investigated whether slow waves in arterial blood pressure (ABP) and intracranial pressure (ICP) may be used to derive an index that reflects the reactivity of vessels to changes in ABP. METHODS A method for the continuous monitoring of the association between slow spontaneous waves in ICP and arterial pressure was adopted in a group of 82 patients with head injuries. ABP, ICP, and transcranial doppler blood flow velocity in the middle cerebral artery was recorded daily (20- to 120-min time periods). A Pressure-Reactivity Index (PRx) was calculated as a moving correlation coefficient between 40 consecutive samples of values for ICP and ABP averaged for a period of 5 seconds. A moving correlation coefficient (Mean Index) between spontaneous fluctuations of mean flow velocity and cerebral perfusion pressure, which was previously reported to describe cerebral blood flow autoregulation, was also calculated. RESULTS A positive PRx correlated with high ICP (r = 0.366; P &lt; 0.001), low admission Glasgow Coma Scale score (r = 0.29; P &lt; 0.01), and poor outcome at 6 months after injury (r = 0.48; P &lt; 0.00001). During the first 2 days after injury, PRx was positive (P &lt; 0.05), although only in patients with unfavorable outcomes. The correlation between PRx and Mean index (r = 0.63) was highly significant (P &lt; 0.000001). CONCLUSION Computer analysis of slow waves in ABP and ICP is able to provide a continuous index of cerebrovascular reactivity to changes in arterial pressure, which is of prognostic significance.","author":[{"dropping-particle":"","family":"Czosnyka","given":"M","non-dropping-particle":"","parse-names":false,"suffix":""},{"dropping-particle":"","family":"Smielewski","given":"P","non-dropping-particle":"","parse-names":false,"suffix":""},{"dropping-particle":"","family":"Kirkpatrick","given":"P","non-dropping-particle":"","parse-names":false,"suffix":""},{"dropping-particle":"","family":"Laing","given":"R J","non-dropping-particle":"","parse-names":false,"suffix":""},{"dropping-particle":"","family":"Menon","given":"D","non-dropping-particle":"","parse-names":false,"suffix":""},{"dropping-particle":"","family":"Pickard","given":"J D","non-dropping-particle":"","parse-names":false,"suffix":""}],"container-title":"Neurosurgery","id":"ITEM-1","issue":"1","issued":{"date-parts":[["1997","7"]]},"page":"11-7; discussion 17-9","title":"Continuous assessment of the cerebral vasomotor reactivity in head injury.","type":"article-journal","volume":"41"},"uris":["http://www.mendeley.com/documents/?uuid=1dde8c01-ad73-319a-ae15-16ebfc9112be","http://www.mendeley.com/documents/?uuid=8df13b47-c462-4605-b89b-9a2f5ec786c4"]}],"mendeley":{"formattedCitation":"(Czosnyka et al. 1997)","plainTextFormattedCitation":"(Czosnyka et al. 1997)","previouslyFormattedCitation":"(Czosnyka et al. 1997)"},"properties":{"noteIndex":0},"schema":"https://github.com/citation-style-language/schema/raw/master/csl-citation.json"}</w:instrText>
      </w:r>
      <w:r w:rsidR="00D659DD" w:rsidRPr="003D0C88">
        <w:rPr>
          <w:rFonts w:cstheme="minorHAnsi"/>
          <w:b w:val="0"/>
          <w:sz w:val="24"/>
        </w:rPr>
        <w:fldChar w:fldCharType="separate"/>
      </w:r>
      <w:r w:rsidR="00464A24" w:rsidRPr="003D0C88">
        <w:rPr>
          <w:rFonts w:asciiTheme="minorHAnsi" w:hAnsiTheme="minorHAnsi" w:cstheme="minorHAnsi"/>
          <w:b w:val="0"/>
          <w:noProof/>
          <w:sz w:val="24"/>
        </w:rPr>
        <w:t>(Czosnyka et al. 1997)</w:t>
      </w:r>
      <w:r w:rsidR="00D659DD" w:rsidRPr="003D0C88">
        <w:rPr>
          <w:rFonts w:cstheme="minorHAnsi"/>
          <w:b w:val="0"/>
          <w:sz w:val="24"/>
        </w:rPr>
        <w:fldChar w:fldCharType="end"/>
      </w:r>
      <w:r w:rsidR="00CD26DA" w:rsidRPr="003D0C88">
        <w:rPr>
          <w:rFonts w:asciiTheme="minorHAnsi" w:hAnsiTheme="minorHAnsi" w:cstheme="minorHAnsi"/>
          <w:b w:val="0"/>
          <w:sz w:val="24"/>
        </w:rPr>
        <w:t>.</w:t>
      </w:r>
      <w:r w:rsidR="0003011A" w:rsidRPr="003D0C88">
        <w:rPr>
          <w:rFonts w:asciiTheme="minorHAnsi" w:hAnsiTheme="minorHAnsi" w:cstheme="minorHAnsi"/>
          <w:b w:val="0"/>
          <w:sz w:val="24"/>
        </w:rPr>
        <w:t xml:space="preserve"> </w:t>
      </w:r>
      <w:r w:rsidR="00CD26DA" w:rsidRPr="003D0C88">
        <w:rPr>
          <w:rFonts w:asciiTheme="minorHAnsi" w:hAnsiTheme="minorHAnsi" w:cstheme="minorHAnsi"/>
          <w:b w:val="0"/>
          <w:sz w:val="24"/>
        </w:rPr>
        <w:t>S</w:t>
      </w:r>
      <w:r w:rsidR="0003011A" w:rsidRPr="003D0C88">
        <w:rPr>
          <w:rFonts w:asciiTheme="minorHAnsi" w:hAnsiTheme="minorHAnsi" w:cstheme="minorHAnsi"/>
          <w:b w:val="0"/>
          <w:sz w:val="24"/>
        </w:rPr>
        <w:t>tudies in TBI populations have indicated that PRx &gt;0.25 is associated with impaired cerebral autoregulation in patients with poor outcome</w:t>
      </w:r>
      <w:r w:rsidR="00CD26DA" w:rsidRPr="003D0C88">
        <w:rPr>
          <w:rFonts w:asciiTheme="minorHAnsi" w:hAnsiTheme="minorHAnsi" w:cstheme="minorHAnsi"/>
          <w:b w:val="0"/>
          <w:sz w:val="24"/>
        </w:rPr>
        <w:t>, indicating that changes in ABP are being directly transmitted to the cerebrovascular bed, therefore altering cerebral perfusion</w:t>
      </w:r>
      <w:r w:rsidR="0004413C">
        <w:rPr>
          <w:rFonts w:asciiTheme="minorHAnsi" w:hAnsiTheme="minorHAnsi" w:cstheme="minorHAnsi"/>
          <w:b w:val="0"/>
          <w:sz w:val="24"/>
        </w:rPr>
        <w:t xml:space="preserve"> </w:t>
      </w:r>
      <w:r w:rsidR="001004D8" w:rsidRPr="003D0C88">
        <w:rPr>
          <w:rFonts w:cstheme="minorHAnsi"/>
          <w:b w:val="0"/>
          <w:sz w:val="24"/>
        </w:rPr>
        <w:fldChar w:fldCharType="begin" w:fldLock="1"/>
      </w:r>
      <w:r w:rsidR="004030CD">
        <w:rPr>
          <w:rFonts w:asciiTheme="minorHAnsi" w:hAnsiTheme="minorHAnsi" w:cstheme="minorHAnsi"/>
          <w:b w:val="0"/>
          <w:sz w:val="24"/>
        </w:rPr>
        <w:instrText>ADDIN CSL_CITATION {"citationItems":[{"id":"ITEM-1","itemData":{"DOI":"10.1007/s12028-011-9630-8","ISBN":"1202801196","ISSN":"15416933","PMID":"21964774","abstract":"INTRODUCTION: Pressure-reactivity index (PRx) is a useful tool in brain monitoring of trauma patients, but the question remains about its critical values. Using our TBI database, we identified the thresholds for PRx and other monitored parameters that maximize the statistical difference between death/survival and favorable/unfavorable outcomes. We also investigated how these thresholds depend on clinical factors such as age, gender and initial GCS. METHODS: A total of 459 patients from our database were eligible. Tables of 2 × 2 format were created grouping patients according to survival/death or favorable/unfavorable outcomes and varying thresholds for PRx, ICP and CPP. Pearson's chi square was calculated, and the thresholds returning the highest score were assumed to have the best discriminative value. The same procedure was repeated after division according to clinical factors. RESULTS: In all patients, we found that PRx had different thresholds for survival (0.25) and for favorable outcome (0.05). Thresholds of 70 mmHg for CPP and 22 mmHg for ICP were identified for both survival and favorable outcomes. The ICP threshold for favorable outcome was lower (18 mmHg) in females and patients older than 55 years. In logistic regression models, independent variables associating with mortality and unfavorable outcome were age, GCS, ICP and PRx. CONCLUSION: The prognostic role of PRx is confirmed but with a lower threshold of 0.05 for favorable outcome than for survival (0.25). Results for ICP are in line with current guidelines. However, the lower value in elderly and in females suggests increased vulnerability to intracranial hypertension in these groups.","author":[{"dropping-particle":"","family":"Sorrentino","given":"E.","non-dropping-particle":"","parse-names":false,"suffix":""},{"dropping-particle":"","family":"Diedler","given":"J.","non-dropping-particle":"","parse-names":false,"suffix":""},{"dropping-particle":"","family":"Kasprowicz","given":"M.","non-dropping-particle":"","parse-names":false,"suffix":""},{"dropping-particle":"","family":"Budohoski","given":"K. P.","non-dropping-particle":"","parse-names":false,"suffix":""},{"dropping-particle":"","family":"Haubrich","given":"C.","non-dropping-particle":"","parse-names":false,"suffix":""},{"dropping-particle":"","family":"Smielewski","given":"P.","non-dropping-particle":"","parse-names":false,"suffix":""},{"dropping-particle":"","family":"Outtrim","given":"J. G.","non-dropping-particle":"","parse-names":false,"suffix":""},{"dropping-particle":"","family":"Manktelow","given":"A.","non-dropping-particle":"","parse-names":false,"suffix":""},{"dropping-particle":"","family":"Hutchinson","given":"P. J.","non-dropping-particle":"","parse-names":false,"suffix":""},{"dropping-particle":"","family":"Pickard","given":"J. D.","non-dropping-particle":"","parse-names":false,"suffix":""},{"dropping-particle":"","family":"Menon","given":"D. K.","non-dropping-particle":"","parse-names":false,"suffix":""},{"dropping-particle":"","family":"Czosnyka","given":"M.","non-dropping-particle":"","parse-names":false,"suffix":""}],"container-title":"Neurocritical Care","id":"ITEM-1","issue":"2","issued":{"date-parts":[["2012"]]},"page":"258-266","title":"Critical thresholds for cerebrovascular reactivity after traumatic brain injury","type":"article-journal","volume":"16"},"uris":["http://www.mendeley.com/documents/?uuid=7d94739f-e397-4338-b748-1273e4cfad71","http://www.mendeley.com/documents/?uuid=f6787546-51f7-4c54-91c0-1c6ea1eec454"]}],"mendeley":{"formattedCitation":"(Sorrentino et al. 2012)","plainTextFormattedCitation":"(Sorrentino et al. 2012)","previouslyFormattedCitation":"(Sorrentino et al. 2012)"},"properties":{"noteIndex":0},"schema":"https://github.com/citation-style-language/schema/raw/master/csl-citation.json"}</w:instrText>
      </w:r>
      <w:r w:rsidR="001004D8" w:rsidRPr="003D0C88">
        <w:rPr>
          <w:rFonts w:cstheme="minorHAnsi"/>
          <w:b w:val="0"/>
          <w:sz w:val="24"/>
        </w:rPr>
        <w:fldChar w:fldCharType="separate"/>
      </w:r>
      <w:r w:rsidR="00464A24" w:rsidRPr="003D0C88">
        <w:rPr>
          <w:rFonts w:asciiTheme="minorHAnsi" w:hAnsiTheme="minorHAnsi" w:cstheme="minorHAnsi"/>
          <w:b w:val="0"/>
          <w:noProof/>
          <w:sz w:val="24"/>
        </w:rPr>
        <w:t>(Sorrentino et al. 2012)</w:t>
      </w:r>
      <w:r w:rsidR="001004D8" w:rsidRPr="003D0C88">
        <w:rPr>
          <w:rFonts w:cstheme="minorHAnsi"/>
          <w:b w:val="0"/>
          <w:sz w:val="24"/>
        </w:rPr>
        <w:fldChar w:fldCharType="end"/>
      </w:r>
      <w:r w:rsidR="0003011A" w:rsidRPr="003D0C88">
        <w:rPr>
          <w:rFonts w:asciiTheme="minorHAnsi" w:hAnsiTheme="minorHAnsi" w:cstheme="minorHAnsi"/>
          <w:b w:val="0"/>
          <w:sz w:val="24"/>
        </w:rPr>
        <w:t>.</w:t>
      </w:r>
      <w:r w:rsidR="000B4C54" w:rsidRPr="003D0C88">
        <w:rPr>
          <w:rFonts w:asciiTheme="minorHAnsi" w:hAnsiTheme="minorHAnsi" w:cstheme="minorHAnsi"/>
          <w:b w:val="0"/>
          <w:sz w:val="24"/>
        </w:rPr>
        <w:t xml:space="preserve"> </w:t>
      </w:r>
      <w:r w:rsidR="00EA596F">
        <w:rPr>
          <w:rFonts w:asciiTheme="minorHAnsi" w:hAnsiTheme="minorHAnsi" w:cstheme="minorHAnsi"/>
          <w:b w:val="0"/>
          <w:sz w:val="24"/>
        </w:rPr>
        <w:t xml:space="preserve">In </w:t>
      </w:r>
      <w:r w:rsidR="00EA596F">
        <w:rPr>
          <w:rFonts w:asciiTheme="minorHAnsi" w:hAnsiTheme="minorHAnsi" w:cstheme="minorHAnsi"/>
          <w:b w:val="0"/>
          <w:sz w:val="24"/>
        </w:rPr>
        <w:lastRenderedPageBreak/>
        <w:t xml:space="preserve">the present work, </w:t>
      </w:r>
      <w:r w:rsidR="00EA596F">
        <w:rPr>
          <w:rFonts w:asciiTheme="minorHAnsi" w:eastAsiaTheme="minorHAnsi" w:hAnsiTheme="minorHAnsi" w:cstheme="minorHAnsi"/>
          <w:b w:val="0"/>
          <w:color w:val="231F20"/>
          <w:sz w:val="24"/>
        </w:rPr>
        <w:t>a</w:t>
      </w:r>
      <w:r w:rsidR="000B4C54" w:rsidRPr="003D0C88">
        <w:rPr>
          <w:rFonts w:asciiTheme="minorHAnsi" w:eastAsiaTheme="minorHAnsi" w:hAnsiTheme="minorHAnsi" w:cstheme="minorHAnsi"/>
          <w:b w:val="0"/>
          <w:color w:val="231F20"/>
          <w:sz w:val="24"/>
        </w:rPr>
        <w:t xml:space="preserve">n automated curve fitting method </w:t>
      </w:r>
      <w:r w:rsidR="003E165B">
        <w:rPr>
          <w:rFonts w:asciiTheme="minorHAnsi" w:eastAsiaTheme="minorHAnsi" w:hAnsiTheme="minorHAnsi" w:cstheme="minorHAnsi"/>
          <w:b w:val="0"/>
          <w:color w:val="231F20"/>
          <w:sz w:val="24"/>
        </w:rPr>
        <w:t>(</w:t>
      </w:r>
      <w:proofErr w:type="spellStart"/>
      <w:r w:rsidR="003E165B" w:rsidRPr="008A4C70">
        <w:rPr>
          <w:rFonts w:cstheme="minorHAnsi"/>
          <w:b w:val="0"/>
          <w:i/>
          <w:color w:val="231F20"/>
          <w:sz w:val="24"/>
        </w:rPr>
        <w:t>OptimalValue</w:t>
      </w:r>
      <w:proofErr w:type="spellEnd"/>
      <w:r w:rsidR="003E165B">
        <w:rPr>
          <w:rFonts w:asciiTheme="minorHAnsi" w:eastAsiaTheme="minorHAnsi" w:hAnsiTheme="minorHAnsi" w:cstheme="minorHAnsi"/>
          <w:b w:val="0"/>
          <w:color w:val="231F20"/>
          <w:sz w:val="24"/>
        </w:rPr>
        <w:t xml:space="preserve"> function on ICM+ software) </w:t>
      </w:r>
      <w:r w:rsidR="000B4C54" w:rsidRPr="003D0C88">
        <w:rPr>
          <w:rFonts w:asciiTheme="minorHAnsi" w:eastAsiaTheme="minorHAnsi" w:hAnsiTheme="minorHAnsi" w:cstheme="minorHAnsi"/>
          <w:b w:val="0"/>
          <w:color w:val="231F20"/>
          <w:sz w:val="24"/>
        </w:rPr>
        <w:t>was applied to determine ABP at the minimum value for pressure reactivity index</w:t>
      </w:r>
      <w:r w:rsidR="007367F1" w:rsidRPr="003D0C88">
        <w:rPr>
          <w:rFonts w:asciiTheme="minorHAnsi" w:eastAsiaTheme="minorHAnsi" w:hAnsiTheme="minorHAnsi" w:cstheme="minorHAnsi"/>
          <w:b w:val="0"/>
          <w:color w:val="231F20"/>
          <w:sz w:val="24"/>
        </w:rPr>
        <w:t xml:space="preserve"> (optimal ABP)</w:t>
      </w:r>
      <w:r w:rsidR="000B4C54" w:rsidRPr="003D0C88">
        <w:rPr>
          <w:rFonts w:asciiTheme="minorHAnsi" w:eastAsiaTheme="minorHAnsi" w:hAnsiTheme="minorHAnsi" w:cstheme="minorHAnsi"/>
          <w:b w:val="0"/>
          <w:color w:val="231F20"/>
          <w:sz w:val="24"/>
        </w:rPr>
        <w:t xml:space="preserve">. </w:t>
      </w:r>
      <w:r w:rsidR="002B5766" w:rsidRPr="003D0C88">
        <w:rPr>
          <w:rFonts w:asciiTheme="minorHAnsi" w:hAnsiTheme="minorHAnsi" w:cstheme="minorHAnsi"/>
          <w:b w:val="0"/>
          <w:sz w:val="24"/>
        </w:rPr>
        <w:t>Since</w:t>
      </w:r>
      <w:r w:rsidR="0066292B" w:rsidRPr="003D0C88">
        <w:rPr>
          <w:rFonts w:asciiTheme="minorHAnsi" w:hAnsiTheme="minorHAnsi" w:cstheme="minorHAnsi"/>
          <w:b w:val="0"/>
          <w:sz w:val="24"/>
        </w:rPr>
        <w:t xml:space="preserve"> only nICP wa</w:t>
      </w:r>
      <w:r w:rsidR="00D659DD" w:rsidRPr="003D0C88">
        <w:rPr>
          <w:rFonts w:asciiTheme="minorHAnsi" w:hAnsiTheme="minorHAnsi" w:cstheme="minorHAnsi"/>
          <w:b w:val="0"/>
          <w:sz w:val="24"/>
        </w:rPr>
        <w:t xml:space="preserve">s available, we calculated the non-invasive PRx (nPRx). </w:t>
      </w:r>
      <w:r w:rsidR="00872ABA" w:rsidRPr="003D0C88">
        <w:rPr>
          <w:rFonts w:asciiTheme="minorHAnsi" w:eastAsiaTheme="minorHAnsi" w:hAnsiTheme="minorHAnsi" w:cstheme="minorHAnsi"/>
          <w:b w:val="0"/>
          <w:bCs w:val="0"/>
          <w:color w:val="231F20"/>
          <w:sz w:val="24"/>
        </w:rPr>
        <w:t xml:space="preserve">For determination of </w:t>
      </w:r>
      <w:r w:rsidR="00EE245F" w:rsidRPr="003D0C88">
        <w:rPr>
          <w:rFonts w:asciiTheme="minorHAnsi" w:eastAsiaTheme="minorHAnsi" w:hAnsiTheme="minorHAnsi" w:cstheme="minorHAnsi"/>
          <w:b w:val="0"/>
          <w:bCs w:val="0"/>
          <w:color w:val="231F20"/>
          <w:sz w:val="24"/>
        </w:rPr>
        <w:t>optimal ABP</w:t>
      </w:r>
      <w:r w:rsidR="00872ABA" w:rsidRPr="003D0C88">
        <w:rPr>
          <w:rFonts w:asciiTheme="minorHAnsi" w:eastAsiaTheme="minorHAnsi" w:hAnsiTheme="minorHAnsi" w:cstheme="minorHAnsi"/>
          <w:b w:val="0"/>
          <w:bCs w:val="0"/>
          <w:color w:val="231F20"/>
          <w:sz w:val="24"/>
        </w:rPr>
        <w:t xml:space="preserve"> in individual</w:t>
      </w:r>
      <w:r w:rsidR="00EE245F" w:rsidRPr="003D0C88">
        <w:rPr>
          <w:rFonts w:asciiTheme="minorHAnsi" w:eastAsiaTheme="minorHAnsi" w:hAnsiTheme="minorHAnsi" w:cstheme="minorHAnsi"/>
          <w:b w:val="0"/>
          <w:bCs w:val="0"/>
          <w:color w:val="231F20"/>
          <w:sz w:val="24"/>
        </w:rPr>
        <w:t xml:space="preserve"> </w:t>
      </w:r>
      <w:r w:rsidR="00872ABA" w:rsidRPr="003D0C88">
        <w:rPr>
          <w:rFonts w:asciiTheme="minorHAnsi" w:eastAsiaTheme="minorHAnsi" w:hAnsiTheme="minorHAnsi" w:cstheme="minorHAnsi"/>
          <w:b w:val="0"/>
          <w:bCs w:val="0"/>
          <w:color w:val="231F20"/>
          <w:sz w:val="24"/>
        </w:rPr>
        <w:t xml:space="preserve">patients, a </w:t>
      </w:r>
      <w:r w:rsidR="00EE245F" w:rsidRPr="003D0C88">
        <w:rPr>
          <w:rFonts w:asciiTheme="minorHAnsi" w:eastAsiaTheme="minorHAnsi" w:hAnsiTheme="minorHAnsi" w:cstheme="minorHAnsi"/>
          <w:b w:val="0"/>
          <w:bCs w:val="0"/>
          <w:color w:val="231F20"/>
          <w:sz w:val="24"/>
        </w:rPr>
        <w:t>5-min median ABP</w:t>
      </w:r>
      <w:r w:rsidR="00872ABA" w:rsidRPr="003D0C88">
        <w:rPr>
          <w:rFonts w:asciiTheme="minorHAnsi" w:eastAsiaTheme="minorHAnsi" w:hAnsiTheme="minorHAnsi" w:cstheme="minorHAnsi"/>
          <w:b w:val="0"/>
          <w:bCs w:val="0"/>
          <w:color w:val="231F20"/>
          <w:sz w:val="24"/>
        </w:rPr>
        <w:t xml:space="preserve"> time trend was</w:t>
      </w:r>
      <w:r w:rsidR="00EE245F" w:rsidRPr="003D0C88">
        <w:rPr>
          <w:rFonts w:asciiTheme="minorHAnsi" w:eastAsiaTheme="minorHAnsi" w:hAnsiTheme="minorHAnsi" w:cstheme="minorHAnsi"/>
          <w:b w:val="0"/>
          <w:bCs w:val="0"/>
          <w:color w:val="231F20"/>
          <w:sz w:val="24"/>
        </w:rPr>
        <w:t xml:space="preserve"> </w:t>
      </w:r>
      <w:r w:rsidR="00872ABA" w:rsidRPr="003D0C88">
        <w:rPr>
          <w:rFonts w:asciiTheme="minorHAnsi" w:eastAsiaTheme="minorHAnsi" w:hAnsiTheme="minorHAnsi" w:cstheme="minorHAnsi"/>
          <w:b w:val="0"/>
          <w:bCs w:val="0"/>
          <w:color w:val="231F20"/>
          <w:sz w:val="24"/>
        </w:rPr>
        <w:t>calculated alongside PRx. These PRx values</w:t>
      </w:r>
      <w:r w:rsidR="00EE245F" w:rsidRPr="003D0C88">
        <w:rPr>
          <w:rFonts w:asciiTheme="minorHAnsi" w:eastAsiaTheme="minorHAnsi" w:hAnsiTheme="minorHAnsi" w:cstheme="minorHAnsi"/>
          <w:b w:val="0"/>
          <w:bCs w:val="0"/>
          <w:color w:val="231F20"/>
          <w:sz w:val="24"/>
        </w:rPr>
        <w:t xml:space="preserve"> </w:t>
      </w:r>
      <w:r w:rsidR="00872ABA" w:rsidRPr="003D0C88">
        <w:rPr>
          <w:rFonts w:asciiTheme="minorHAnsi" w:eastAsiaTheme="minorHAnsi" w:hAnsiTheme="minorHAnsi" w:cstheme="minorHAnsi"/>
          <w:b w:val="0"/>
          <w:bCs w:val="0"/>
          <w:color w:val="231F20"/>
          <w:sz w:val="24"/>
        </w:rPr>
        <w:t xml:space="preserve">were divided and averaged into </w:t>
      </w:r>
      <w:r w:rsidR="00EE245F" w:rsidRPr="003D0C88">
        <w:rPr>
          <w:rFonts w:asciiTheme="minorHAnsi" w:eastAsiaTheme="minorHAnsi" w:hAnsiTheme="minorHAnsi" w:cstheme="minorHAnsi"/>
          <w:b w:val="0"/>
          <w:bCs w:val="0"/>
          <w:color w:val="231F20"/>
          <w:sz w:val="24"/>
        </w:rPr>
        <w:t>ABP</w:t>
      </w:r>
      <w:r w:rsidR="00872ABA" w:rsidRPr="003D0C88">
        <w:rPr>
          <w:rFonts w:asciiTheme="minorHAnsi" w:eastAsiaTheme="minorHAnsi" w:hAnsiTheme="minorHAnsi" w:cstheme="minorHAnsi"/>
          <w:b w:val="0"/>
          <w:bCs w:val="0"/>
          <w:color w:val="231F20"/>
          <w:sz w:val="24"/>
        </w:rPr>
        <w:t xml:space="preserve"> bins spanning 5 </w:t>
      </w:r>
      <w:r w:rsidR="001D110E">
        <w:rPr>
          <w:rFonts w:asciiTheme="minorHAnsi" w:eastAsiaTheme="minorHAnsi" w:hAnsiTheme="minorHAnsi" w:cstheme="minorHAnsi"/>
          <w:b w:val="0"/>
          <w:bCs w:val="0"/>
          <w:color w:val="231F20"/>
          <w:sz w:val="24"/>
        </w:rPr>
        <w:t>mmHg</w:t>
      </w:r>
      <w:r w:rsidR="00872ABA" w:rsidRPr="003D0C88">
        <w:rPr>
          <w:rFonts w:asciiTheme="minorHAnsi" w:eastAsiaTheme="minorHAnsi" w:hAnsiTheme="minorHAnsi" w:cstheme="minorHAnsi"/>
          <w:b w:val="0"/>
          <w:bCs w:val="0"/>
          <w:color w:val="231F20"/>
          <w:sz w:val="24"/>
        </w:rPr>
        <w:t xml:space="preserve">. An automatic curve </w:t>
      </w:r>
      <w:r w:rsidR="00EE245F" w:rsidRPr="003D0C88">
        <w:rPr>
          <w:rFonts w:asciiTheme="minorHAnsi" w:eastAsiaTheme="minorHAnsi" w:hAnsiTheme="minorHAnsi" w:cstheme="minorHAnsi"/>
          <w:b w:val="0"/>
          <w:bCs w:val="0"/>
          <w:color w:val="231F20"/>
          <w:sz w:val="24"/>
        </w:rPr>
        <w:t xml:space="preserve">fitting </w:t>
      </w:r>
      <w:r w:rsidR="00872ABA" w:rsidRPr="003D0C88">
        <w:rPr>
          <w:rFonts w:asciiTheme="minorHAnsi" w:eastAsiaTheme="minorHAnsi" w:hAnsiTheme="minorHAnsi" w:cstheme="minorHAnsi"/>
          <w:b w:val="0"/>
          <w:bCs w:val="0"/>
          <w:color w:val="231F20"/>
          <w:sz w:val="24"/>
        </w:rPr>
        <w:t>method was applied</w:t>
      </w:r>
      <w:r w:rsidR="00EE245F" w:rsidRPr="003D0C88">
        <w:rPr>
          <w:rFonts w:asciiTheme="minorHAnsi" w:eastAsiaTheme="minorHAnsi" w:hAnsiTheme="minorHAnsi" w:cstheme="minorHAnsi"/>
          <w:b w:val="0"/>
          <w:bCs w:val="0"/>
          <w:color w:val="231F20"/>
          <w:sz w:val="24"/>
        </w:rPr>
        <w:t xml:space="preserve"> </w:t>
      </w:r>
      <w:r w:rsidR="00872ABA" w:rsidRPr="003D0C88">
        <w:rPr>
          <w:rFonts w:asciiTheme="minorHAnsi" w:eastAsiaTheme="minorHAnsi" w:hAnsiTheme="minorHAnsi" w:cstheme="minorHAnsi"/>
          <w:b w:val="0"/>
          <w:bCs w:val="0"/>
          <w:color w:val="231F20"/>
          <w:sz w:val="24"/>
        </w:rPr>
        <w:t xml:space="preserve">to the </w:t>
      </w:r>
      <w:r w:rsidR="00EE245F" w:rsidRPr="003D0C88">
        <w:rPr>
          <w:rFonts w:asciiTheme="minorHAnsi" w:eastAsiaTheme="minorHAnsi" w:hAnsiTheme="minorHAnsi" w:cstheme="minorHAnsi"/>
          <w:b w:val="0"/>
          <w:bCs w:val="0"/>
          <w:color w:val="231F20"/>
          <w:sz w:val="24"/>
        </w:rPr>
        <w:t>binned data to determine the ABP</w:t>
      </w:r>
      <w:r w:rsidR="00872ABA" w:rsidRPr="003D0C88">
        <w:rPr>
          <w:rFonts w:asciiTheme="minorHAnsi" w:eastAsiaTheme="minorHAnsi" w:hAnsiTheme="minorHAnsi" w:cstheme="minorHAnsi"/>
          <w:b w:val="0"/>
          <w:bCs w:val="0"/>
          <w:color w:val="231F20"/>
          <w:sz w:val="24"/>
        </w:rPr>
        <w:t xml:space="preserve"> value</w:t>
      </w:r>
      <w:r w:rsidR="00EE245F" w:rsidRPr="003D0C88">
        <w:rPr>
          <w:rFonts w:asciiTheme="minorHAnsi" w:eastAsiaTheme="minorHAnsi" w:hAnsiTheme="minorHAnsi" w:cstheme="minorHAnsi"/>
          <w:b w:val="0"/>
          <w:bCs w:val="0"/>
          <w:color w:val="231F20"/>
          <w:sz w:val="24"/>
        </w:rPr>
        <w:t xml:space="preserve"> </w:t>
      </w:r>
      <w:r w:rsidR="00872ABA" w:rsidRPr="003D0C88">
        <w:rPr>
          <w:rFonts w:asciiTheme="minorHAnsi" w:eastAsiaTheme="minorHAnsi" w:hAnsiTheme="minorHAnsi" w:cstheme="minorHAnsi"/>
          <w:b w:val="0"/>
          <w:bCs w:val="0"/>
          <w:color w:val="231F20"/>
          <w:sz w:val="24"/>
        </w:rPr>
        <w:t>with the lowest associated PRx value. A time</w:t>
      </w:r>
      <w:r w:rsidR="00EE245F" w:rsidRPr="003D0C88">
        <w:rPr>
          <w:rFonts w:asciiTheme="minorHAnsi" w:eastAsiaTheme="minorHAnsi" w:hAnsiTheme="minorHAnsi" w:cstheme="minorHAnsi"/>
          <w:b w:val="0"/>
          <w:bCs w:val="0"/>
          <w:color w:val="231F20"/>
          <w:sz w:val="24"/>
        </w:rPr>
        <w:t xml:space="preserve"> </w:t>
      </w:r>
      <w:r w:rsidR="00872ABA" w:rsidRPr="003D0C88">
        <w:rPr>
          <w:rFonts w:asciiTheme="minorHAnsi" w:eastAsiaTheme="minorHAnsi" w:hAnsiTheme="minorHAnsi" w:cstheme="minorHAnsi"/>
          <w:b w:val="0"/>
          <w:bCs w:val="0"/>
          <w:color w:val="231F20"/>
          <w:sz w:val="24"/>
        </w:rPr>
        <w:t xml:space="preserve">trend of </w:t>
      </w:r>
      <w:r w:rsidR="00EE245F" w:rsidRPr="003D0C88">
        <w:rPr>
          <w:rFonts w:asciiTheme="minorHAnsi" w:eastAsiaTheme="minorHAnsi" w:hAnsiTheme="minorHAnsi" w:cstheme="minorHAnsi"/>
          <w:b w:val="0"/>
          <w:bCs w:val="0"/>
          <w:color w:val="231F20"/>
          <w:sz w:val="24"/>
        </w:rPr>
        <w:t>optimal ABP</w:t>
      </w:r>
      <w:r w:rsidR="00872ABA" w:rsidRPr="003D0C88">
        <w:rPr>
          <w:rFonts w:asciiTheme="minorHAnsi" w:eastAsiaTheme="minorHAnsi" w:hAnsiTheme="minorHAnsi" w:cstheme="minorHAnsi"/>
          <w:b w:val="0"/>
          <w:bCs w:val="0"/>
          <w:color w:val="231F20"/>
          <w:sz w:val="24"/>
        </w:rPr>
        <w:t xml:space="preserve"> </w:t>
      </w:r>
      <w:r w:rsidR="00EE245F" w:rsidRPr="003D0C88">
        <w:rPr>
          <w:rFonts w:asciiTheme="minorHAnsi" w:eastAsiaTheme="minorHAnsi" w:hAnsiTheme="minorHAnsi" w:cstheme="minorHAnsi"/>
          <w:b w:val="0"/>
          <w:bCs w:val="0"/>
          <w:color w:val="231F20"/>
          <w:sz w:val="24"/>
        </w:rPr>
        <w:t>calculated in this way was recorded from a moving 30-min</w:t>
      </w:r>
      <w:r w:rsidR="00872ABA" w:rsidRPr="003D0C88">
        <w:rPr>
          <w:rFonts w:asciiTheme="minorHAnsi" w:eastAsiaTheme="minorHAnsi" w:hAnsiTheme="minorHAnsi" w:cstheme="minorHAnsi"/>
          <w:b w:val="0"/>
          <w:bCs w:val="0"/>
          <w:color w:val="231F20"/>
          <w:sz w:val="24"/>
        </w:rPr>
        <w:t xml:space="preserve"> time window updated every minute.</w:t>
      </w:r>
      <w:r w:rsidR="003A7A8B">
        <w:rPr>
          <w:rFonts w:asciiTheme="minorHAnsi" w:eastAsiaTheme="minorHAnsi" w:hAnsiTheme="minorHAnsi" w:cstheme="minorHAnsi"/>
          <w:b w:val="0"/>
          <w:bCs w:val="0"/>
          <w:color w:val="231F20"/>
          <w:sz w:val="24"/>
        </w:rPr>
        <w:t xml:space="preserve"> </w:t>
      </w:r>
      <w:r w:rsidR="00FD68C9" w:rsidRPr="003D0C88">
        <w:rPr>
          <w:rFonts w:asciiTheme="minorHAnsi" w:eastAsiaTheme="minorHAnsi" w:hAnsiTheme="minorHAnsi" w:cstheme="minorHAnsi"/>
          <w:b w:val="0"/>
          <w:bCs w:val="0"/>
          <w:color w:val="231F20"/>
          <w:sz w:val="24"/>
        </w:rPr>
        <w:t xml:space="preserve"> </w:t>
      </w:r>
    </w:p>
    <w:p w14:paraId="279FC61C" w14:textId="377FE3E8" w:rsidR="006974A9" w:rsidRPr="003D0C88" w:rsidRDefault="006974A9" w:rsidP="00D75E03">
      <w:pPr>
        <w:pStyle w:val="BodyText2"/>
        <w:framePr w:hSpace="0" w:wrap="auto" w:vAnchor="margin" w:hAnchor="text" w:xAlign="left" w:yAlign="inline"/>
        <w:spacing w:before="120" w:after="120" w:line="480" w:lineRule="auto"/>
        <w:jc w:val="both"/>
        <w:rPr>
          <w:rFonts w:asciiTheme="minorHAnsi" w:eastAsiaTheme="minorHAnsi" w:hAnsiTheme="minorHAnsi" w:cstheme="minorHAnsi"/>
          <w:b w:val="0"/>
          <w:bCs w:val="0"/>
          <w:color w:val="231F20"/>
          <w:sz w:val="24"/>
        </w:rPr>
      </w:pPr>
    </w:p>
    <w:p w14:paraId="78E10BDE" w14:textId="77777777" w:rsidR="00741AB5" w:rsidRPr="003D0C88" w:rsidRDefault="00741AB5" w:rsidP="00DC2A24">
      <w:pPr>
        <w:spacing w:line="480" w:lineRule="auto"/>
        <w:jc w:val="both"/>
        <w:rPr>
          <w:rFonts w:eastAsia="Times New Roman" w:cstheme="minorHAnsi"/>
          <w:b/>
          <w:bCs/>
          <w:sz w:val="24"/>
          <w:szCs w:val="24"/>
        </w:rPr>
      </w:pPr>
      <w:r w:rsidRPr="003D0C88">
        <w:rPr>
          <w:rFonts w:eastAsia="Times New Roman" w:cstheme="minorHAnsi"/>
          <w:b/>
          <w:bCs/>
          <w:sz w:val="24"/>
          <w:szCs w:val="24"/>
        </w:rPr>
        <w:t>Statistical analysis</w:t>
      </w:r>
    </w:p>
    <w:p w14:paraId="6C914652" w14:textId="2E6E670A" w:rsidR="00AD3C77" w:rsidRPr="003D0C88" w:rsidRDefault="00693849" w:rsidP="00897A33">
      <w:pPr>
        <w:spacing w:line="480" w:lineRule="auto"/>
        <w:jc w:val="both"/>
        <w:rPr>
          <w:rFonts w:cstheme="minorHAnsi"/>
          <w:sz w:val="24"/>
          <w:szCs w:val="24"/>
        </w:rPr>
      </w:pPr>
      <w:r>
        <w:rPr>
          <w:rFonts w:cstheme="minorHAnsi"/>
          <w:sz w:val="24"/>
          <w:szCs w:val="24"/>
        </w:rPr>
        <w:tab/>
      </w:r>
      <w:r w:rsidR="00AD3C77" w:rsidRPr="003D0C88">
        <w:rPr>
          <w:rFonts w:cstheme="minorHAnsi"/>
          <w:sz w:val="24"/>
          <w:szCs w:val="24"/>
        </w:rPr>
        <w:t>Statistical analysis was conducted with R Studio software (R version 3.3.1). Data were tested for normal distribution using the Shapiro-Wilk test and are presented as median (interquartile range [IQR]). Statistical measurements were performed with the Kruskal-Wallis rank sum test followed by pairwise comparisons using Wilcoxon rank sum test</w:t>
      </w:r>
      <w:r w:rsidR="0066292B" w:rsidRPr="003D0C88">
        <w:rPr>
          <w:rFonts w:cstheme="minorHAnsi"/>
          <w:sz w:val="24"/>
          <w:szCs w:val="24"/>
        </w:rPr>
        <w:t xml:space="preserve"> across the different phases of OLT</w:t>
      </w:r>
      <w:r w:rsidR="00AD3C77" w:rsidRPr="003D0C88">
        <w:rPr>
          <w:rFonts w:cstheme="minorHAnsi"/>
          <w:sz w:val="24"/>
          <w:szCs w:val="24"/>
        </w:rPr>
        <w:t>.</w:t>
      </w:r>
      <w:r w:rsidR="008F4C85" w:rsidRPr="003D0C88">
        <w:rPr>
          <w:rFonts w:cstheme="minorHAnsi"/>
          <w:sz w:val="24"/>
          <w:szCs w:val="24"/>
        </w:rPr>
        <w:t xml:space="preserve"> The statistical significance level was set at p&lt;0.05.</w:t>
      </w:r>
    </w:p>
    <w:p w14:paraId="1C43AF9A" w14:textId="77777777" w:rsidR="00AD3C77" w:rsidRPr="003D0C88" w:rsidRDefault="00AD3C77" w:rsidP="00AD3C77">
      <w:pPr>
        <w:spacing w:line="360" w:lineRule="auto"/>
        <w:jc w:val="both"/>
        <w:rPr>
          <w:rFonts w:cstheme="minorHAnsi"/>
          <w:sz w:val="24"/>
          <w:szCs w:val="24"/>
        </w:rPr>
      </w:pPr>
    </w:p>
    <w:p w14:paraId="09E4CF60" w14:textId="491750BC" w:rsidR="00693849" w:rsidRDefault="00693849" w:rsidP="00DC2A24">
      <w:pPr>
        <w:spacing w:line="480" w:lineRule="auto"/>
        <w:jc w:val="both"/>
        <w:rPr>
          <w:rFonts w:cstheme="minorHAnsi"/>
          <w:b/>
          <w:sz w:val="24"/>
          <w:szCs w:val="24"/>
        </w:rPr>
      </w:pPr>
    </w:p>
    <w:p w14:paraId="1E810548" w14:textId="56B44B7C" w:rsidR="00693849" w:rsidRDefault="00693849" w:rsidP="00DC2A24">
      <w:pPr>
        <w:spacing w:line="480" w:lineRule="auto"/>
        <w:jc w:val="both"/>
        <w:rPr>
          <w:rFonts w:cstheme="minorHAnsi"/>
          <w:b/>
          <w:sz w:val="24"/>
          <w:szCs w:val="24"/>
        </w:rPr>
      </w:pPr>
    </w:p>
    <w:p w14:paraId="5DC0B3F4" w14:textId="44C484A9" w:rsidR="00693849" w:rsidRDefault="00693849" w:rsidP="00DC2A24">
      <w:pPr>
        <w:spacing w:line="480" w:lineRule="auto"/>
        <w:jc w:val="both"/>
        <w:rPr>
          <w:rFonts w:cstheme="minorHAnsi"/>
          <w:b/>
          <w:sz w:val="24"/>
          <w:szCs w:val="24"/>
        </w:rPr>
      </w:pPr>
    </w:p>
    <w:p w14:paraId="42222C40" w14:textId="66CD7B71" w:rsidR="00693849" w:rsidRDefault="00693849" w:rsidP="00DC2A24">
      <w:pPr>
        <w:spacing w:line="480" w:lineRule="auto"/>
        <w:jc w:val="both"/>
        <w:rPr>
          <w:rFonts w:cstheme="minorHAnsi"/>
          <w:b/>
          <w:sz w:val="24"/>
          <w:szCs w:val="24"/>
        </w:rPr>
      </w:pPr>
    </w:p>
    <w:p w14:paraId="74058B7B" w14:textId="6D186A11" w:rsidR="003E11BA" w:rsidRDefault="003E11BA" w:rsidP="00DC2A24">
      <w:pPr>
        <w:spacing w:line="480" w:lineRule="auto"/>
        <w:jc w:val="both"/>
        <w:rPr>
          <w:rFonts w:cstheme="minorHAnsi"/>
          <w:b/>
          <w:sz w:val="24"/>
          <w:szCs w:val="24"/>
        </w:rPr>
      </w:pPr>
    </w:p>
    <w:p w14:paraId="038D156D" w14:textId="5E381E10" w:rsidR="004006B5" w:rsidRPr="003D0C88" w:rsidRDefault="003E11BA" w:rsidP="00DC2A24">
      <w:pPr>
        <w:spacing w:line="480" w:lineRule="auto"/>
        <w:jc w:val="both"/>
        <w:rPr>
          <w:rFonts w:cstheme="minorHAnsi"/>
          <w:b/>
          <w:sz w:val="24"/>
          <w:szCs w:val="24"/>
        </w:rPr>
      </w:pPr>
      <w:r>
        <w:rPr>
          <w:rFonts w:cstheme="minorHAnsi"/>
          <w:b/>
          <w:sz w:val="24"/>
          <w:szCs w:val="24"/>
        </w:rPr>
        <w:lastRenderedPageBreak/>
        <w:t>R</w:t>
      </w:r>
      <w:r w:rsidR="00DC547A" w:rsidRPr="003D0C88">
        <w:rPr>
          <w:rFonts w:cstheme="minorHAnsi"/>
          <w:b/>
          <w:sz w:val="24"/>
          <w:szCs w:val="24"/>
        </w:rPr>
        <w:t>esults</w:t>
      </w:r>
    </w:p>
    <w:p w14:paraId="567B96E4" w14:textId="06AC0FB9" w:rsidR="008F4C85" w:rsidRPr="003D0C88" w:rsidRDefault="00693849" w:rsidP="008F4C85">
      <w:pPr>
        <w:spacing w:line="480" w:lineRule="auto"/>
        <w:jc w:val="both"/>
        <w:rPr>
          <w:rFonts w:cstheme="minorHAnsi"/>
          <w:sz w:val="24"/>
          <w:szCs w:val="24"/>
        </w:rPr>
      </w:pPr>
      <w:r>
        <w:rPr>
          <w:rFonts w:cstheme="minorHAnsi"/>
          <w:sz w:val="24"/>
          <w:szCs w:val="24"/>
        </w:rPr>
        <w:tab/>
      </w:r>
      <w:r w:rsidR="008F4C85" w:rsidRPr="003D0C88">
        <w:rPr>
          <w:rFonts w:cstheme="minorHAnsi"/>
          <w:sz w:val="24"/>
          <w:szCs w:val="24"/>
        </w:rPr>
        <w:t>Patient demographics and clinical infor</w:t>
      </w:r>
      <w:r w:rsidR="00C6634A" w:rsidRPr="003D0C88">
        <w:rPr>
          <w:rFonts w:cstheme="minorHAnsi"/>
          <w:sz w:val="24"/>
          <w:szCs w:val="24"/>
        </w:rPr>
        <w:t>mation are summarized in Table 1</w:t>
      </w:r>
      <w:r w:rsidR="008F4C85" w:rsidRPr="003D0C88">
        <w:rPr>
          <w:rFonts w:cstheme="minorHAnsi"/>
          <w:sz w:val="24"/>
          <w:szCs w:val="24"/>
        </w:rPr>
        <w:t xml:space="preserve">. </w:t>
      </w:r>
      <w:r w:rsidR="00C6634A" w:rsidRPr="003D0C88">
        <w:rPr>
          <w:rFonts w:cstheme="minorHAnsi"/>
          <w:sz w:val="24"/>
          <w:szCs w:val="24"/>
        </w:rPr>
        <w:t>Table 2</w:t>
      </w:r>
      <w:r w:rsidR="007B2706" w:rsidRPr="003D0C88">
        <w:rPr>
          <w:rFonts w:cstheme="minorHAnsi"/>
          <w:sz w:val="24"/>
          <w:szCs w:val="24"/>
        </w:rPr>
        <w:t xml:space="preserve"> shows the </w:t>
      </w:r>
      <w:r w:rsidR="00E823B1">
        <w:rPr>
          <w:rFonts w:cstheme="minorHAnsi"/>
          <w:sz w:val="24"/>
          <w:szCs w:val="24"/>
        </w:rPr>
        <w:t xml:space="preserve">median (IQR) for </w:t>
      </w:r>
      <w:r w:rsidR="009D51B4" w:rsidRPr="003D0C88">
        <w:rPr>
          <w:rFonts w:cstheme="minorHAnsi"/>
          <w:sz w:val="24"/>
          <w:szCs w:val="24"/>
        </w:rPr>
        <w:t>different variables assessed at</w:t>
      </w:r>
      <w:r w:rsidR="007B2706" w:rsidRPr="003D0C88">
        <w:rPr>
          <w:rFonts w:cstheme="minorHAnsi"/>
          <w:sz w:val="24"/>
          <w:szCs w:val="24"/>
        </w:rPr>
        <w:t xml:space="preserve"> each phase during OLT</w:t>
      </w:r>
      <w:r w:rsidR="009D51B4" w:rsidRPr="003D0C88">
        <w:rPr>
          <w:rFonts w:cstheme="minorHAnsi"/>
          <w:sz w:val="24"/>
          <w:szCs w:val="24"/>
        </w:rPr>
        <w:t xml:space="preserve"> average</w:t>
      </w:r>
      <w:r w:rsidR="000B0215" w:rsidRPr="003D0C88">
        <w:rPr>
          <w:rFonts w:cstheme="minorHAnsi"/>
          <w:sz w:val="24"/>
          <w:szCs w:val="24"/>
        </w:rPr>
        <w:t>d</w:t>
      </w:r>
      <w:r w:rsidR="009D51B4" w:rsidRPr="003D0C88">
        <w:rPr>
          <w:rFonts w:cstheme="minorHAnsi"/>
          <w:sz w:val="24"/>
          <w:szCs w:val="24"/>
        </w:rPr>
        <w:t xml:space="preserve"> by patient</w:t>
      </w:r>
      <w:r w:rsidR="007B2706" w:rsidRPr="003D0C88">
        <w:rPr>
          <w:rFonts w:cstheme="minorHAnsi"/>
          <w:sz w:val="24"/>
          <w:szCs w:val="24"/>
        </w:rPr>
        <w:t xml:space="preserve">. </w:t>
      </w:r>
    </w:p>
    <w:p w14:paraId="5E588DAE" w14:textId="11E3D4AC" w:rsidR="00DC547A" w:rsidRPr="003D0C88" w:rsidRDefault="00693849" w:rsidP="00DC2A24">
      <w:pPr>
        <w:spacing w:line="480" w:lineRule="auto"/>
        <w:jc w:val="both"/>
        <w:rPr>
          <w:rFonts w:cstheme="minorHAnsi"/>
          <w:sz w:val="24"/>
          <w:szCs w:val="24"/>
        </w:rPr>
      </w:pPr>
      <w:r>
        <w:rPr>
          <w:rFonts w:cstheme="minorHAnsi"/>
          <w:sz w:val="24"/>
          <w:szCs w:val="24"/>
        </w:rPr>
        <w:tab/>
      </w:r>
      <w:r w:rsidR="00DC547A" w:rsidRPr="00B23368">
        <w:rPr>
          <w:rFonts w:cstheme="minorHAnsi"/>
          <w:sz w:val="24"/>
          <w:szCs w:val="24"/>
        </w:rPr>
        <w:t xml:space="preserve">The variables presenting </w:t>
      </w:r>
      <w:r w:rsidR="007C1F2D" w:rsidRPr="00B23368">
        <w:rPr>
          <w:rFonts w:cstheme="minorHAnsi"/>
          <w:sz w:val="24"/>
          <w:szCs w:val="24"/>
        </w:rPr>
        <w:t xml:space="preserve">statistically </w:t>
      </w:r>
      <w:r w:rsidR="00DC547A" w:rsidRPr="00B23368">
        <w:rPr>
          <w:rFonts w:cstheme="minorHAnsi"/>
          <w:sz w:val="24"/>
          <w:szCs w:val="24"/>
        </w:rPr>
        <w:t>significant change</w:t>
      </w:r>
      <w:r w:rsidR="007C1F2D" w:rsidRPr="00B23368">
        <w:rPr>
          <w:rFonts w:cstheme="minorHAnsi"/>
          <w:sz w:val="24"/>
          <w:szCs w:val="24"/>
        </w:rPr>
        <w:t>s</w:t>
      </w:r>
      <w:r w:rsidR="00DC547A" w:rsidRPr="00B23368">
        <w:rPr>
          <w:rFonts w:cstheme="minorHAnsi"/>
          <w:sz w:val="24"/>
          <w:szCs w:val="24"/>
        </w:rPr>
        <w:t xml:space="preserve"> between surgery phases were nCP</w:t>
      </w:r>
      <w:r w:rsidR="00DC547A" w:rsidRPr="00C24EF0">
        <w:rPr>
          <w:rFonts w:cstheme="minorHAnsi"/>
          <w:sz w:val="24"/>
          <w:szCs w:val="24"/>
        </w:rPr>
        <w:t>P (</w:t>
      </w:r>
      <w:r w:rsidR="00BA1F74" w:rsidRPr="00C24EF0">
        <w:rPr>
          <w:rFonts w:cstheme="minorHAnsi"/>
          <w:sz w:val="24"/>
          <w:szCs w:val="24"/>
        </w:rPr>
        <w:t xml:space="preserve">T1-T2, mean </w:t>
      </w:r>
      <w:r w:rsidR="00EF5B96" w:rsidRPr="00C24EF0">
        <w:rPr>
          <w:rFonts w:cstheme="minorHAnsi"/>
          <w:sz w:val="24"/>
          <w:szCs w:val="24"/>
        </w:rPr>
        <w:t>decrease of</w:t>
      </w:r>
      <w:r w:rsidR="00BA1F74" w:rsidRPr="00A42945">
        <w:rPr>
          <w:rFonts w:cstheme="minorHAnsi"/>
          <w:sz w:val="24"/>
          <w:szCs w:val="24"/>
        </w:rPr>
        <w:t xml:space="preserve"> 7 mmHg</w:t>
      </w:r>
      <w:r w:rsidR="006201D1" w:rsidRPr="005F175B">
        <w:rPr>
          <w:rFonts w:cstheme="minorHAnsi"/>
          <w:sz w:val="24"/>
          <w:szCs w:val="24"/>
        </w:rPr>
        <w:t xml:space="preserve"> (</w:t>
      </w:r>
      <w:r w:rsidR="007C1F2D" w:rsidRPr="005F175B">
        <w:rPr>
          <w:rFonts w:cstheme="minorHAnsi"/>
          <w:sz w:val="24"/>
          <w:szCs w:val="24"/>
        </w:rPr>
        <w:t>p=0.03</w:t>
      </w:r>
      <w:r w:rsidR="006201D1" w:rsidRPr="005F175B">
        <w:rPr>
          <w:rFonts w:cstheme="minorHAnsi"/>
          <w:sz w:val="24"/>
          <w:szCs w:val="24"/>
        </w:rPr>
        <w:t>)</w:t>
      </w:r>
      <w:r w:rsidR="007C1F2D" w:rsidRPr="005F175B">
        <w:rPr>
          <w:rFonts w:cstheme="minorHAnsi"/>
          <w:sz w:val="24"/>
          <w:szCs w:val="24"/>
        </w:rPr>
        <w:t>)</w:t>
      </w:r>
      <w:r w:rsidR="00063FF0" w:rsidRPr="008A4C70">
        <w:rPr>
          <w:rFonts w:cstheme="minorHAnsi"/>
          <w:sz w:val="24"/>
          <w:szCs w:val="24"/>
        </w:rPr>
        <w:t xml:space="preserve"> and</w:t>
      </w:r>
      <w:r w:rsidR="007C1F2D" w:rsidRPr="00B23368">
        <w:rPr>
          <w:rFonts w:cstheme="minorHAnsi"/>
          <w:sz w:val="24"/>
          <w:szCs w:val="24"/>
        </w:rPr>
        <w:t xml:space="preserve"> D</w:t>
      </w:r>
      <w:r w:rsidR="00BA1F74" w:rsidRPr="00B23368">
        <w:rPr>
          <w:rFonts w:cstheme="minorHAnsi"/>
          <w:sz w:val="24"/>
          <w:szCs w:val="24"/>
        </w:rPr>
        <w:t xml:space="preserve">CM (T0-T1, mean </w:t>
      </w:r>
      <w:r w:rsidR="006239F2" w:rsidRPr="00B23368">
        <w:rPr>
          <w:rFonts w:cstheme="minorHAnsi"/>
          <w:sz w:val="24"/>
          <w:szCs w:val="24"/>
        </w:rPr>
        <w:t>decrease</w:t>
      </w:r>
      <w:r w:rsidR="00EF5B96" w:rsidRPr="00B23368">
        <w:rPr>
          <w:rFonts w:cstheme="minorHAnsi"/>
          <w:sz w:val="24"/>
          <w:szCs w:val="24"/>
        </w:rPr>
        <w:t xml:space="preserve"> </w:t>
      </w:r>
      <w:r w:rsidR="00BA1F74" w:rsidRPr="00B23368">
        <w:rPr>
          <w:rFonts w:cstheme="minorHAnsi"/>
          <w:sz w:val="24"/>
          <w:szCs w:val="24"/>
        </w:rPr>
        <w:t>of 6.8 mmHg</w:t>
      </w:r>
      <w:r w:rsidR="007C1F2D" w:rsidRPr="00C24EF0">
        <w:rPr>
          <w:rFonts w:cstheme="minorHAnsi"/>
          <w:sz w:val="24"/>
          <w:szCs w:val="24"/>
        </w:rPr>
        <w:t xml:space="preserve"> </w:t>
      </w:r>
      <w:r w:rsidR="006201D1" w:rsidRPr="00C24EF0">
        <w:rPr>
          <w:rFonts w:cstheme="minorHAnsi"/>
          <w:sz w:val="24"/>
          <w:szCs w:val="24"/>
        </w:rPr>
        <w:t>(</w:t>
      </w:r>
      <w:r w:rsidR="007C1F2D" w:rsidRPr="00C24EF0">
        <w:rPr>
          <w:rFonts w:cstheme="minorHAnsi"/>
          <w:sz w:val="24"/>
          <w:szCs w:val="24"/>
        </w:rPr>
        <w:t>p=0.0</w:t>
      </w:r>
      <w:r w:rsidR="00BA1F74" w:rsidRPr="00A42945">
        <w:rPr>
          <w:rFonts w:cstheme="minorHAnsi"/>
          <w:sz w:val="24"/>
          <w:szCs w:val="24"/>
        </w:rPr>
        <w:t>3</w:t>
      </w:r>
      <w:r w:rsidR="006201D1" w:rsidRPr="00A42945">
        <w:rPr>
          <w:rFonts w:cstheme="minorHAnsi"/>
          <w:sz w:val="24"/>
          <w:szCs w:val="24"/>
        </w:rPr>
        <w:t>)</w:t>
      </w:r>
      <w:r w:rsidR="00BA1F74" w:rsidRPr="005F175B">
        <w:rPr>
          <w:rFonts w:cstheme="minorHAnsi"/>
          <w:sz w:val="24"/>
          <w:szCs w:val="24"/>
        </w:rPr>
        <w:t xml:space="preserve">; T0-T2, mean </w:t>
      </w:r>
      <w:r w:rsidR="006239F2" w:rsidRPr="005F175B">
        <w:rPr>
          <w:rFonts w:cstheme="minorHAnsi"/>
          <w:sz w:val="24"/>
          <w:szCs w:val="24"/>
        </w:rPr>
        <w:t>decrease</w:t>
      </w:r>
      <w:r w:rsidR="00EF5B96" w:rsidRPr="005F175B">
        <w:rPr>
          <w:rFonts w:cstheme="minorHAnsi"/>
          <w:sz w:val="24"/>
          <w:szCs w:val="24"/>
        </w:rPr>
        <w:t xml:space="preserve"> </w:t>
      </w:r>
      <w:r w:rsidR="00BA1F74" w:rsidRPr="005F175B">
        <w:rPr>
          <w:rFonts w:cstheme="minorHAnsi"/>
          <w:sz w:val="24"/>
          <w:szCs w:val="24"/>
        </w:rPr>
        <w:t>of 9.4 mmHg</w:t>
      </w:r>
      <w:r w:rsidR="006201D1" w:rsidRPr="00EA596F">
        <w:rPr>
          <w:rFonts w:cstheme="minorHAnsi"/>
          <w:sz w:val="24"/>
          <w:szCs w:val="24"/>
        </w:rPr>
        <w:t xml:space="preserve"> (</w:t>
      </w:r>
      <w:r w:rsidR="007C1F2D" w:rsidRPr="00EA596F">
        <w:rPr>
          <w:rFonts w:cstheme="minorHAnsi"/>
          <w:sz w:val="24"/>
          <w:szCs w:val="24"/>
        </w:rPr>
        <w:t>p=0.03</w:t>
      </w:r>
      <w:r w:rsidR="006201D1" w:rsidRPr="00EA596F">
        <w:rPr>
          <w:rFonts w:cstheme="minorHAnsi"/>
          <w:sz w:val="24"/>
          <w:szCs w:val="24"/>
        </w:rPr>
        <w:t>)</w:t>
      </w:r>
      <w:r w:rsidR="007C1F2D" w:rsidRPr="00EA596F">
        <w:rPr>
          <w:rFonts w:cstheme="minorHAnsi"/>
          <w:sz w:val="24"/>
          <w:szCs w:val="24"/>
        </w:rPr>
        <w:t>).</w:t>
      </w:r>
      <w:r w:rsidR="00285188" w:rsidRPr="00EA596F">
        <w:rPr>
          <w:rFonts w:cstheme="minorHAnsi"/>
          <w:sz w:val="24"/>
          <w:szCs w:val="24"/>
        </w:rPr>
        <w:t xml:space="preserve"> ABP presented a reduction trend throughout OLT, as well as FV from</w:t>
      </w:r>
      <w:r w:rsidR="00285188" w:rsidRPr="002356D3">
        <w:rPr>
          <w:rFonts w:cstheme="minorHAnsi"/>
          <w:sz w:val="24"/>
          <w:szCs w:val="24"/>
        </w:rPr>
        <w:t xml:space="preserve"> T0 to T1. CrCP and PI presented an increasing trend</w:t>
      </w:r>
      <w:r w:rsidR="005C6A6A" w:rsidRPr="002356D3">
        <w:rPr>
          <w:rFonts w:cstheme="minorHAnsi"/>
          <w:sz w:val="24"/>
          <w:szCs w:val="24"/>
        </w:rPr>
        <w:t>,</w:t>
      </w:r>
      <w:r w:rsidR="00285188" w:rsidRPr="002356D3">
        <w:rPr>
          <w:rFonts w:cstheme="minorHAnsi"/>
          <w:sz w:val="24"/>
          <w:szCs w:val="24"/>
        </w:rPr>
        <w:t xml:space="preserve"> wherea</w:t>
      </w:r>
      <w:r w:rsidR="00285188" w:rsidRPr="001D110E">
        <w:rPr>
          <w:rFonts w:cstheme="minorHAnsi"/>
          <w:sz w:val="24"/>
          <w:szCs w:val="24"/>
        </w:rPr>
        <w:t>s nICP remained constant.</w:t>
      </w:r>
    </w:p>
    <w:p w14:paraId="064038C9" w14:textId="5C0310EB" w:rsidR="00DC1B85" w:rsidRPr="003D0C88" w:rsidRDefault="00693849" w:rsidP="00DC2A24">
      <w:pPr>
        <w:spacing w:line="480" w:lineRule="auto"/>
        <w:jc w:val="both"/>
        <w:rPr>
          <w:rFonts w:cstheme="minorHAnsi"/>
          <w:sz w:val="24"/>
          <w:szCs w:val="24"/>
        </w:rPr>
      </w:pPr>
      <w:r>
        <w:rPr>
          <w:rFonts w:cstheme="minorHAnsi"/>
          <w:sz w:val="24"/>
          <w:szCs w:val="24"/>
        </w:rPr>
        <w:tab/>
      </w:r>
      <w:r w:rsidR="00DD5416" w:rsidRPr="003D0C88">
        <w:rPr>
          <w:rFonts w:cstheme="minorHAnsi"/>
          <w:sz w:val="24"/>
          <w:szCs w:val="24"/>
        </w:rPr>
        <w:t>Considering reference values for TCD parameter</w:t>
      </w:r>
      <w:r w:rsidR="005C6A6A" w:rsidRPr="003D0C88">
        <w:rPr>
          <w:rFonts w:cstheme="minorHAnsi"/>
          <w:sz w:val="24"/>
          <w:szCs w:val="24"/>
        </w:rPr>
        <w:t>s</w:t>
      </w:r>
      <w:r w:rsidR="00DD5416" w:rsidRPr="003D0C88">
        <w:rPr>
          <w:rFonts w:cstheme="minorHAnsi"/>
          <w:sz w:val="24"/>
          <w:szCs w:val="24"/>
        </w:rPr>
        <w:t xml:space="preserve"> in a healthy population</w:t>
      </w:r>
      <w:r w:rsidR="0004413C">
        <w:rPr>
          <w:rFonts w:cstheme="minorHAnsi"/>
          <w:sz w:val="24"/>
          <w:szCs w:val="24"/>
        </w:rPr>
        <w:t xml:space="preserve"> </w:t>
      </w:r>
      <w:r w:rsidR="00DD5416" w:rsidRPr="003D0C88">
        <w:rPr>
          <w:rFonts w:cstheme="minorHAnsi"/>
          <w:sz w:val="24"/>
          <w:szCs w:val="24"/>
        </w:rPr>
        <w:fldChar w:fldCharType="begin" w:fldLock="1"/>
      </w:r>
      <w:r w:rsidR="004030CD">
        <w:rPr>
          <w:rFonts w:cstheme="minorHAnsi"/>
          <w:sz w:val="24"/>
          <w:szCs w:val="24"/>
        </w:rPr>
        <w:instrText>ADDIN CSL_CITATION {"citationItems":[{"id":"ITEM-1","itemData":{"DOI":"10.1111/j.1552-6569.2012.00711.x","ISBN":"1552-6569 (Electronic)\\n1051-2284 (Linking)","ISSN":"10512284","PMID":"23157483","abstract":"BACKGROUND: Transcranial Doppler (TCD) ultrasonography has been extensively used in the evaluation and management of patients with cerebrovascular disease since the clinical application was first described in 1982 by Aaslid and colleagues TCD is a painless, safe, and noninvasive diagnostic technique that measures blood flow velocity in various cerebral arteries. Numerous commercially available TCD devices are currently approved for use worldwide, and TCD is recognized to have an established clinical value for a variety of clinical indications and settings. Although many studies have reported normal values, there have been few recently, and none to include a large cohort of healthy subjects across age, race, and gender. As more objective, automated processes are being developed to assist with the performance and interpretation of TCD studies, and with the potential to easily compare results against a reference population, it is important to define stable normal values and variances across age, race, and gender, with clear understanding of variability of the measurements, as well as the yield from various anatomic segments. METHODS: To define normal TCD values in a healthy population, we enrolled 364 healthy subjects, ages 18-80 years, to have a complete, nonimaging TCD examination. Subjects with known or suspected cerebrovascular disorders, systemic disorders with cerebrovascular effects, as well as those with known hypertension, diabetes, stroke, coronary artery disease, or myocardial infarction, were excluded. Self-reported ethnicity, handedness, BP, and BMI were recorded. A complete TCD examination was performed by a single experienced sonographer, using a single gate nonimaging TCD device, and a standardized protocol to interrogate up to 23 arterial segments. Individual Doppler spectra were saved for each segment, with velocity and pulsatility index (PI) values calculated using the instrument's automated waveform tracking function. Descriptive analysis was done to determine the mean velocities and PI, and all data were analyzed for changes by decade of age, sex race, handedness, BMI, and BP. RESULTS: Among the key intracranial segments, mean blood flow velocities (MBFV) were highest in the MCA and lowest in the PCA across all ages, sexes, and ethnic groups. There was no difference in the MBFVs between left and right side segments of the Circle of Willis, with the exception of the distal M1 (P = .022) and the C1 (P &lt; .0001), both slightly higher on th…","author":[{"dropping-particle":"","family":"Tegeler","given":"Charles H.","non-dropping-particle":"","parse-names":false,"suffix":""},{"dropping-particle":"","family":"Crutchfield","given":"Kevin","non-dropping-particle":"","parse-names":false,"suffix":""},{"dropping-particle":"","family":"Katsnelson","given":"Michael","non-dropping-particle":"","parse-names":false,"suffix":""},{"dropping-particle":"","family":"Kim","given":"Jongyeol","non-dropping-particle":"","parse-names":false,"suffix":""},{"dropping-particle":"","family":"Tang","given":"Rong","non-dropping-particle":"","parse-names":false,"suffix":""},{"dropping-particle":"","family":"Passmore Griffin","given":"Leah","non-dropping-particle":"","parse-names":false,"suffix":""},{"dropping-particle":"","family":"Rundek","given":"Tanja","non-dropping-particle":"","parse-names":false,"suffix":""},{"dropping-particle":"","family":"Evans","given":"Greg","non-dropping-particle":"","parse-names":false,"suffix":""}],"container-title":"Journal of Neuroimaging","id":"ITEM-1","issue":"3","issued":{"date-parts":[["2013"]]},"page":"466-472","title":"Transcranial doppler velocities in a large, healthy population","type":"article-journal","volume":"23"},"uris":["http://www.mendeley.com/documents/?uuid=44138bb5-75f1-4bff-9b28-0d7035178089","http://www.mendeley.com/documents/?uuid=f3ebfc14-1105-4dd0-a2ef-03e43ad38174"]}],"mendeley":{"formattedCitation":"(Tegeler et al. 2013)","plainTextFormattedCitation":"(Tegeler et al. 2013)","previouslyFormattedCitation":"(Tegeler et al. 2013)"},"properties":{"noteIndex":0},"schema":"https://github.com/citation-style-language/schema/raw/master/csl-citation.json"}</w:instrText>
      </w:r>
      <w:r w:rsidR="00DD5416" w:rsidRPr="003D0C88">
        <w:rPr>
          <w:rFonts w:cstheme="minorHAnsi"/>
          <w:sz w:val="24"/>
          <w:szCs w:val="24"/>
        </w:rPr>
        <w:fldChar w:fldCharType="separate"/>
      </w:r>
      <w:r w:rsidR="00464A24" w:rsidRPr="003D0C88">
        <w:rPr>
          <w:rFonts w:cstheme="minorHAnsi"/>
          <w:noProof/>
          <w:sz w:val="24"/>
          <w:szCs w:val="24"/>
        </w:rPr>
        <w:t>(Tegeler et al. 2013)</w:t>
      </w:r>
      <w:r w:rsidR="00DD5416" w:rsidRPr="003D0C88">
        <w:rPr>
          <w:rFonts w:cstheme="minorHAnsi"/>
          <w:sz w:val="24"/>
          <w:szCs w:val="24"/>
        </w:rPr>
        <w:fldChar w:fldCharType="end"/>
      </w:r>
      <w:r w:rsidR="00DD5416" w:rsidRPr="003D0C88">
        <w:rPr>
          <w:rFonts w:cstheme="minorHAnsi"/>
          <w:sz w:val="24"/>
          <w:szCs w:val="24"/>
        </w:rPr>
        <w:t>, patients presented low FV in all p</w:t>
      </w:r>
      <w:r w:rsidR="00551839" w:rsidRPr="003D0C88">
        <w:rPr>
          <w:rFonts w:cstheme="minorHAnsi"/>
          <w:sz w:val="24"/>
          <w:szCs w:val="24"/>
        </w:rPr>
        <w:t xml:space="preserve">hases during OLT (FV &lt;60 cm/s). </w:t>
      </w:r>
      <w:r w:rsidR="00EE0C7F" w:rsidRPr="003D0C88">
        <w:rPr>
          <w:rFonts w:cstheme="minorHAnsi"/>
          <w:sz w:val="24"/>
          <w:szCs w:val="24"/>
        </w:rPr>
        <w:t>In an individualised analysis, patient</w:t>
      </w:r>
      <w:r w:rsidR="00551839" w:rsidRPr="003D0C88">
        <w:rPr>
          <w:rFonts w:cstheme="minorHAnsi"/>
          <w:sz w:val="24"/>
          <w:szCs w:val="24"/>
        </w:rPr>
        <w:t>s</w:t>
      </w:r>
      <w:r w:rsidR="00EE0C7F" w:rsidRPr="003D0C88">
        <w:rPr>
          <w:rFonts w:cstheme="minorHAnsi"/>
          <w:sz w:val="24"/>
          <w:szCs w:val="24"/>
        </w:rPr>
        <w:t xml:space="preserve"> 2, 3 and 6 presented low flow</w:t>
      </w:r>
      <w:r w:rsidR="00551839" w:rsidRPr="003D0C88">
        <w:rPr>
          <w:rFonts w:cstheme="minorHAnsi"/>
          <w:sz w:val="24"/>
          <w:szCs w:val="24"/>
        </w:rPr>
        <w:t xml:space="preserve"> velocity</w:t>
      </w:r>
      <w:r w:rsidR="00EE0C7F" w:rsidRPr="003D0C88">
        <w:rPr>
          <w:rFonts w:cstheme="minorHAnsi"/>
          <w:sz w:val="24"/>
          <w:szCs w:val="24"/>
        </w:rPr>
        <w:t xml:space="preserve"> patterns in all phases; patient 4 presented low flow only during T1; patient 5 during T1 and T2.</w:t>
      </w:r>
      <w:r w:rsidR="00551839" w:rsidRPr="003D0C88">
        <w:rPr>
          <w:rFonts w:cstheme="minorHAnsi"/>
          <w:sz w:val="24"/>
          <w:szCs w:val="24"/>
        </w:rPr>
        <w:t xml:space="preserve"> PI </w:t>
      </w:r>
      <w:r w:rsidR="00BE2BD6" w:rsidRPr="003D0C88">
        <w:rPr>
          <w:rFonts w:cstheme="minorHAnsi"/>
          <w:sz w:val="24"/>
          <w:szCs w:val="24"/>
        </w:rPr>
        <w:t xml:space="preserve">values deviated from normal ranges </w:t>
      </w:r>
      <w:r w:rsidR="00551839" w:rsidRPr="003D0C88">
        <w:rPr>
          <w:rFonts w:cstheme="minorHAnsi"/>
          <w:sz w:val="24"/>
          <w:szCs w:val="24"/>
        </w:rPr>
        <w:t>in all patients throughout OLT (PI &gt;0.8</w:t>
      </w:r>
      <w:r w:rsidR="0004413C">
        <w:rPr>
          <w:rFonts w:cstheme="minorHAnsi"/>
          <w:sz w:val="24"/>
          <w:szCs w:val="24"/>
        </w:rPr>
        <w:t xml:space="preserve"> </w:t>
      </w:r>
      <w:r w:rsidR="007B2706" w:rsidRPr="003D0C88">
        <w:rPr>
          <w:rFonts w:cstheme="minorHAnsi"/>
          <w:sz w:val="24"/>
          <w:szCs w:val="24"/>
        </w:rPr>
        <w:fldChar w:fldCharType="begin" w:fldLock="1"/>
      </w:r>
      <w:r w:rsidR="004030CD">
        <w:rPr>
          <w:rFonts w:cstheme="minorHAnsi"/>
          <w:sz w:val="24"/>
          <w:szCs w:val="24"/>
        </w:rPr>
        <w:instrText>ADDIN CSL_CITATION {"citationItems":[{"id":"ITEM-1","itemData":{"DOI":"10.1111/j.1552-6569.2012.00711.x","ISBN":"1552-6569 (Electronic)\\n1051-2284 (Linking)","ISSN":"10512284","PMID":"23157483","abstract":"BACKGROUND: Transcranial Doppler (TCD) ultrasonography has been extensively used in the evaluation and management of patients with cerebrovascular disease since the clinical application was first described in 1982 by Aaslid and colleagues TCD is a painless, safe, and noninvasive diagnostic technique that measures blood flow velocity in various cerebral arteries. Numerous commercially available TCD devices are currently approved for use worldwide, and TCD is recognized to have an established clinical value for a variety of clinical indications and settings. Although many studies have reported normal values, there have been few recently, and none to include a large cohort of healthy subjects across age, race, and gender. As more objective, automated processes are being developed to assist with the performance and interpretation of TCD studies, and with the potential to easily compare results against a reference population, it is important to define stable normal values and variances across age, race, and gender, with clear understanding of variability of the measurements, as well as the yield from various anatomic segments. METHODS: To define normal TCD values in a healthy population, we enrolled 364 healthy subjects, ages 18-80 years, to have a complete, nonimaging TCD examination. Subjects with known or suspected cerebrovascular disorders, systemic disorders with cerebrovascular effects, as well as those with known hypertension, diabetes, stroke, coronary artery disease, or myocardial infarction, were excluded. Self-reported ethnicity, handedness, BP, and BMI were recorded. A complete TCD examination was performed by a single experienced sonographer, using a single gate nonimaging TCD device, and a standardized protocol to interrogate up to 23 arterial segments. Individual Doppler spectra were saved for each segment, with velocity and pulsatility index (PI) values calculated using the instrument's automated waveform tracking function. Descriptive analysis was done to determine the mean velocities and PI, and all data were analyzed for changes by decade of age, sex race, handedness, BMI, and BP. RESULTS: Among the key intracranial segments, mean blood flow velocities (MBFV) were highest in the MCA and lowest in the PCA across all ages, sexes, and ethnic groups. There was no difference in the MBFVs between left and right side segments of the Circle of Willis, with the exception of the distal M1 (P = .022) and the C1 (P &lt; .0001), both slightly higher on th…","author":[{"dropping-particle":"","family":"Tegeler","given":"Charles H.","non-dropping-particle":"","parse-names":false,"suffix":""},{"dropping-particle":"","family":"Crutchfield","given":"Kevin","non-dropping-particle":"","parse-names":false,"suffix":""},{"dropping-particle":"","family":"Katsnelson","given":"Michael","non-dropping-particle":"","parse-names":false,"suffix":""},{"dropping-particle":"","family":"Kim","given":"Jongyeol","non-dropping-particle":"","parse-names":false,"suffix":""},{"dropping-particle":"","family":"Tang","given":"Rong","non-dropping-particle":"","parse-names":false,"suffix":""},{"dropping-particle":"","family":"Passmore Griffin","given":"Leah","non-dropping-particle":"","parse-names":false,"suffix":""},{"dropping-particle":"","family":"Rundek","given":"Tanja","non-dropping-particle":"","parse-names":false,"suffix":""},{"dropping-particle":"","family":"Evans","given":"Greg","non-dropping-particle":"","parse-names":false,"suffix":""}],"container-title":"Journal of Neuroimaging","id":"ITEM-1","issue":"3","issued":{"date-parts":[["2013"]]},"page":"466-472","title":"Transcranial doppler velocities in a large, healthy population","type":"article-journal","volume":"23"},"uris":["http://www.mendeley.com/documents/?uuid=f3ebfc14-1105-4dd0-a2ef-03e43ad38174","http://www.mendeley.com/documents/?uuid=44138bb5-75f1-4bff-9b28-0d7035178089"]}],"mendeley":{"formattedCitation":"(Tegeler et al. 2013)","plainTextFormattedCitation":"(Tegeler et al. 2013)","previouslyFormattedCitation":"(Tegeler et al. 2013)"},"properties":{"noteIndex":0},"schema":"https://github.com/citation-style-language/schema/raw/master/csl-citation.json"}</w:instrText>
      </w:r>
      <w:r w:rsidR="007B2706" w:rsidRPr="003D0C88">
        <w:rPr>
          <w:rFonts w:cstheme="minorHAnsi"/>
          <w:sz w:val="24"/>
          <w:szCs w:val="24"/>
        </w:rPr>
        <w:fldChar w:fldCharType="separate"/>
      </w:r>
      <w:r w:rsidR="00464A24" w:rsidRPr="003D0C88">
        <w:rPr>
          <w:rFonts w:cstheme="minorHAnsi"/>
          <w:noProof/>
          <w:sz w:val="24"/>
          <w:szCs w:val="24"/>
        </w:rPr>
        <w:t>(Tegeler et al. 2013)</w:t>
      </w:r>
      <w:r w:rsidR="007B2706" w:rsidRPr="003D0C88">
        <w:rPr>
          <w:rFonts w:cstheme="minorHAnsi"/>
          <w:sz w:val="24"/>
          <w:szCs w:val="24"/>
        </w:rPr>
        <w:fldChar w:fldCharType="end"/>
      </w:r>
      <w:r w:rsidR="00551839" w:rsidRPr="003D0C88">
        <w:rPr>
          <w:rFonts w:cstheme="minorHAnsi"/>
          <w:sz w:val="24"/>
          <w:szCs w:val="24"/>
        </w:rPr>
        <w:t>).</w:t>
      </w:r>
      <w:r w:rsidR="002B7CC8" w:rsidRPr="003D0C88">
        <w:rPr>
          <w:rFonts w:cstheme="minorHAnsi"/>
          <w:sz w:val="24"/>
          <w:szCs w:val="24"/>
        </w:rPr>
        <w:t xml:space="preserve"> </w:t>
      </w:r>
    </w:p>
    <w:p w14:paraId="68CF3210" w14:textId="7CACDEE2" w:rsidR="009344E1" w:rsidRPr="003D0C88" w:rsidRDefault="00693849" w:rsidP="00DC2A24">
      <w:pPr>
        <w:spacing w:line="480" w:lineRule="auto"/>
        <w:jc w:val="both"/>
        <w:rPr>
          <w:rFonts w:cstheme="minorHAnsi"/>
          <w:sz w:val="24"/>
          <w:szCs w:val="24"/>
        </w:rPr>
      </w:pPr>
      <w:r>
        <w:rPr>
          <w:rFonts w:cstheme="minorHAnsi"/>
          <w:sz w:val="24"/>
          <w:szCs w:val="24"/>
        </w:rPr>
        <w:tab/>
      </w:r>
      <w:r w:rsidR="009344E1" w:rsidRPr="003D0C88">
        <w:rPr>
          <w:rFonts w:cstheme="minorHAnsi"/>
          <w:sz w:val="24"/>
          <w:szCs w:val="24"/>
        </w:rPr>
        <w:t>Overall, nCPP presen</w:t>
      </w:r>
      <w:r w:rsidR="001004D8" w:rsidRPr="003D0C88">
        <w:rPr>
          <w:rFonts w:cstheme="minorHAnsi"/>
          <w:sz w:val="24"/>
          <w:szCs w:val="24"/>
        </w:rPr>
        <w:t>ted low values in all phases (&lt;</w:t>
      </w:r>
      <w:r w:rsidR="009344E1" w:rsidRPr="003D0C88">
        <w:rPr>
          <w:rFonts w:cstheme="minorHAnsi"/>
          <w:sz w:val="24"/>
          <w:szCs w:val="24"/>
        </w:rPr>
        <w:t>60 mmHg</w:t>
      </w:r>
      <w:r w:rsidR="0004413C">
        <w:rPr>
          <w:rFonts w:cstheme="minorHAnsi"/>
          <w:sz w:val="24"/>
          <w:szCs w:val="24"/>
        </w:rPr>
        <w:t xml:space="preserve"> </w:t>
      </w:r>
      <w:r w:rsidR="00957010" w:rsidRPr="003D0C88">
        <w:rPr>
          <w:rFonts w:cstheme="minorHAnsi"/>
          <w:sz w:val="24"/>
          <w:szCs w:val="24"/>
        </w:rPr>
        <w:fldChar w:fldCharType="begin" w:fldLock="1"/>
      </w:r>
      <w:r w:rsidR="004030CD">
        <w:rPr>
          <w:rFonts w:cstheme="minorHAnsi"/>
          <w:sz w:val="24"/>
          <w:szCs w:val="24"/>
        </w:rPr>
        <w:instrText>ADDIN CSL_CITATION {"citationItems":[{"id":"ITEM-1","itemData":{"DOI":"10.1089/neu.2007.9987","ISSN":"0897-7151","PMID":"17511547","author":[{"dropping-particle":"","family":"Bratton","given":"Susan L","non-dropping-particle":"","parse-names":false,"suffix":""},{"dropping-particle":"","family":"Chestnut","given":"Randall M","non-dropping-particle":"","parse-names":false,"suffix":""},{"dropping-particle":"","family":"Ghajar","given":"Jamshid","non-dropping-particle":"","parse-names":false,"suffix":""},{"dropping-particle":"","family":"McConnell Hammond","given":"Flora F","non-dropping-particle":"","parse-names":false,"suffix":""},{"dropping-particle":"","family":"Harris","given":"Odette A","non-dropping-particle":"","parse-names":false,"suffix":""},{"dropping-particle":"","family":"Hartl","given":"Roger","non-dropping-particle":"","parse-names":false,"suffix":""},{"dropping-particle":"","family":"Manley","given":"Geoffrey T","non-dropping-particle":"","parse-names":false,"suffix":""},{"dropping-particle":"","family":"Nemecek","given":"Andrew","non-dropping-particle":"","parse-names":false,"suffix":""},{"dropping-particle":"","family":"Newell","given":"David W","non-dropping-particle":"","parse-names":false,"suffix":""},{"dropping-particle":"","family":"Rosenthal","given":"Guy","non-dropping-particle":"","parse-names":false,"suffix":""},{"dropping-particle":"","family":"Schouten","given":"Joost","non-dropping-particle":"","parse-names":false,"suffix":""},{"dropping-particle":"","family":"Shutter","given":"Lori","non-dropping-particle":"","parse-names":false,"suffix":""},{"dropping-particle":"","family":"Timmons","given":"Shelly D","non-dropping-particle":"","parse-names":false,"suffix":""},{"dropping-particle":"","family":"Ullman","given":"Jamie S","non-dropping-particle":"","parse-names":false,"suffix":""},{"dropping-particle":"","family":"Videtta","given":"Walter","non-dropping-particle":"","parse-names":false,"suffix":""},{"dropping-particle":"","family":"Wilberger","given":"Jack E","non-dropping-particle":"","parse-names":false,"suffix":""},{"dropping-particle":"","family":"Wright","given":"David W","non-dropping-particle":"","parse-names":false,"suffix":""}],"container-title":"Journal of neurotrauma","id":"ITEM-1","issued":{"date-parts":[["2007","1"]]},"page":"S59-64","title":"Guidelines for the management of severe traumatic brain injury. IX. Cerebral perfusion thresholds.","type":"article-journal","volume":"24 Suppl 1"},"uris":["http://www.mendeley.com/documents/?uuid=df919c55-41ce-4d17-baa5-2bbd8e445b6a"]}],"mendeley":{"formattedCitation":"(Bratton et al. 2007)","plainTextFormattedCitation":"(Bratton et al. 2007)","previouslyFormattedCitation":"(Bratton et al. 2007)"},"properties":{"noteIndex":0},"schema":"https://github.com/citation-style-language/schema/raw/master/csl-citation.json"}</w:instrText>
      </w:r>
      <w:r w:rsidR="00957010" w:rsidRPr="003D0C88">
        <w:rPr>
          <w:rFonts w:cstheme="minorHAnsi"/>
          <w:sz w:val="24"/>
          <w:szCs w:val="24"/>
        </w:rPr>
        <w:fldChar w:fldCharType="separate"/>
      </w:r>
      <w:r w:rsidR="00464A24" w:rsidRPr="003D0C88">
        <w:rPr>
          <w:rFonts w:cstheme="minorHAnsi"/>
          <w:noProof/>
          <w:sz w:val="24"/>
          <w:szCs w:val="24"/>
        </w:rPr>
        <w:t>(Bratton et al. 2007)</w:t>
      </w:r>
      <w:r w:rsidR="00957010" w:rsidRPr="003D0C88">
        <w:rPr>
          <w:rFonts w:cstheme="minorHAnsi"/>
          <w:sz w:val="24"/>
          <w:szCs w:val="24"/>
        </w:rPr>
        <w:fldChar w:fldCharType="end"/>
      </w:r>
      <w:r w:rsidR="009344E1" w:rsidRPr="003D0C88">
        <w:rPr>
          <w:rFonts w:cstheme="minorHAnsi"/>
          <w:sz w:val="24"/>
          <w:szCs w:val="24"/>
        </w:rPr>
        <w:t>). Individually, patients 2, 3 and 6 presented low nCPP in all phases; patient 1 only from T1-T2; patient 4 only during T2; and patient 5 only during T0. nICP was below the clinical threshold of 20 mmHg for intracranial hypertension throughout OLT</w:t>
      </w:r>
      <w:r w:rsidR="000F6C98" w:rsidRPr="003D0C88">
        <w:rPr>
          <w:rFonts w:cstheme="minorHAnsi"/>
          <w:sz w:val="24"/>
          <w:szCs w:val="24"/>
        </w:rPr>
        <w:t xml:space="preserve"> in all patients</w:t>
      </w:r>
      <w:r w:rsidR="009344E1" w:rsidRPr="003D0C88">
        <w:rPr>
          <w:rFonts w:cstheme="minorHAnsi"/>
          <w:sz w:val="24"/>
          <w:szCs w:val="24"/>
        </w:rPr>
        <w:t>.</w:t>
      </w:r>
    </w:p>
    <w:p w14:paraId="6FC06EBE" w14:textId="19842525" w:rsidR="00D659DD" w:rsidRPr="003D0C88" w:rsidRDefault="00693849" w:rsidP="00DC2A24">
      <w:pPr>
        <w:spacing w:line="480" w:lineRule="auto"/>
        <w:jc w:val="both"/>
        <w:rPr>
          <w:rFonts w:cstheme="minorHAnsi"/>
          <w:sz w:val="24"/>
          <w:szCs w:val="24"/>
        </w:rPr>
      </w:pPr>
      <w:r>
        <w:rPr>
          <w:rFonts w:cstheme="minorHAnsi"/>
          <w:sz w:val="24"/>
          <w:szCs w:val="24"/>
        </w:rPr>
        <w:tab/>
      </w:r>
      <w:r w:rsidR="00802D65" w:rsidRPr="003D0C88">
        <w:rPr>
          <w:rFonts w:cstheme="minorHAnsi"/>
          <w:sz w:val="24"/>
          <w:szCs w:val="24"/>
        </w:rPr>
        <w:t>Mxa ind</w:t>
      </w:r>
      <w:r w:rsidR="006544E6" w:rsidRPr="003D0C88">
        <w:rPr>
          <w:rFonts w:cstheme="minorHAnsi"/>
          <w:sz w:val="24"/>
          <w:szCs w:val="24"/>
        </w:rPr>
        <w:t>ex</w:t>
      </w:r>
      <w:r w:rsidR="00802D65" w:rsidRPr="003D0C88">
        <w:rPr>
          <w:rFonts w:cstheme="minorHAnsi"/>
          <w:sz w:val="24"/>
          <w:szCs w:val="24"/>
        </w:rPr>
        <w:t xml:space="preserve"> showed impaired cerebral autoregulation throughout OLT</w:t>
      </w:r>
      <w:r w:rsidR="00402A65">
        <w:rPr>
          <w:rFonts w:cstheme="minorHAnsi"/>
          <w:sz w:val="24"/>
          <w:szCs w:val="24"/>
        </w:rPr>
        <w:t xml:space="preserve"> (Mxa </w:t>
      </w:r>
      <w:r w:rsidR="003E165B">
        <w:rPr>
          <w:rFonts w:cstheme="minorHAnsi"/>
          <w:sz w:val="24"/>
          <w:szCs w:val="24"/>
        </w:rPr>
        <w:t>&gt;</w:t>
      </w:r>
      <w:r w:rsidR="00402A65">
        <w:rPr>
          <w:rFonts w:cstheme="minorHAnsi"/>
          <w:sz w:val="24"/>
          <w:szCs w:val="24"/>
        </w:rPr>
        <w:t>0.3)</w:t>
      </w:r>
      <w:r w:rsidR="00802D65" w:rsidRPr="003D0C88">
        <w:rPr>
          <w:rFonts w:cstheme="minorHAnsi"/>
          <w:sz w:val="24"/>
          <w:szCs w:val="24"/>
        </w:rPr>
        <w:t>.</w:t>
      </w:r>
      <w:r w:rsidR="008E4A11" w:rsidRPr="003D0C88">
        <w:rPr>
          <w:rFonts w:cstheme="minorHAnsi"/>
          <w:sz w:val="24"/>
          <w:szCs w:val="24"/>
        </w:rPr>
        <w:t xml:space="preserve"> </w:t>
      </w:r>
      <w:r w:rsidR="00741AB5" w:rsidRPr="003D0C88">
        <w:rPr>
          <w:rFonts w:cstheme="minorHAnsi"/>
          <w:sz w:val="24"/>
          <w:szCs w:val="24"/>
        </w:rPr>
        <w:t>Mxa shows a gradual worsening of autoregulation from T0-T2</w:t>
      </w:r>
      <w:r w:rsidR="006544E6" w:rsidRPr="003D0C88">
        <w:rPr>
          <w:rFonts w:cstheme="minorHAnsi"/>
          <w:sz w:val="24"/>
          <w:szCs w:val="24"/>
        </w:rPr>
        <w:t>.</w:t>
      </w:r>
    </w:p>
    <w:p w14:paraId="4465748C" w14:textId="49746904" w:rsidR="00DF0A85" w:rsidRPr="003D0C88" w:rsidRDefault="00693849" w:rsidP="00704798">
      <w:pPr>
        <w:spacing w:line="480" w:lineRule="auto"/>
        <w:jc w:val="both"/>
        <w:rPr>
          <w:rFonts w:cstheme="minorHAnsi"/>
          <w:sz w:val="24"/>
          <w:szCs w:val="24"/>
        </w:rPr>
      </w:pPr>
      <w:r>
        <w:rPr>
          <w:rFonts w:cstheme="minorHAnsi"/>
          <w:sz w:val="24"/>
          <w:szCs w:val="24"/>
        </w:rPr>
        <w:tab/>
      </w:r>
      <w:r w:rsidR="00DF0A85" w:rsidRPr="003D0C88">
        <w:rPr>
          <w:rFonts w:cstheme="minorHAnsi"/>
          <w:sz w:val="24"/>
          <w:szCs w:val="24"/>
        </w:rPr>
        <w:t xml:space="preserve">CrCP </w:t>
      </w:r>
      <w:r w:rsidR="00FE7DE0" w:rsidRPr="003D0C88">
        <w:rPr>
          <w:rFonts w:cstheme="minorHAnsi"/>
          <w:sz w:val="24"/>
          <w:szCs w:val="24"/>
        </w:rPr>
        <w:t xml:space="preserve">was never close to ABP </w:t>
      </w:r>
      <w:r w:rsidR="001D63D5" w:rsidRPr="003D0C88">
        <w:rPr>
          <w:rFonts w:cstheme="minorHAnsi"/>
          <w:sz w:val="24"/>
          <w:szCs w:val="24"/>
        </w:rPr>
        <w:t>in any</w:t>
      </w:r>
      <w:r w:rsidR="00FE7DE0" w:rsidRPr="003D0C88">
        <w:rPr>
          <w:rFonts w:cstheme="minorHAnsi"/>
          <w:sz w:val="24"/>
          <w:szCs w:val="24"/>
        </w:rPr>
        <w:t xml:space="preserve"> phases, consequently DCM did not reach crit</w:t>
      </w:r>
      <w:r w:rsidR="00704798" w:rsidRPr="003D0C88">
        <w:rPr>
          <w:rFonts w:cstheme="minorHAnsi"/>
          <w:sz w:val="24"/>
          <w:szCs w:val="24"/>
        </w:rPr>
        <w:t>ical values</w:t>
      </w:r>
      <w:r w:rsidR="00E336D0" w:rsidRPr="003D0C88">
        <w:rPr>
          <w:rFonts w:cstheme="minorHAnsi"/>
          <w:sz w:val="24"/>
          <w:szCs w:val="24"/>
        </w:rPr>
        <w:t xml:space="preserve"> (≤</w:t>
      </w:r>
      <w:r w:rsidR="0073034B" w:rsidRPr="003D0C88">
        <w:rPr>
          <w:rFonts w:cstheme="minorHAnsi"/>
          <w:sz w:val="24"/>
          <w:szCs w:val="24"/>
        </w:rPr>
        <w:t>0 mmHg</w:t>
      </w:r>
      <w:r w:rsidR="00E336D0" w:rsidRPr="003D0C88">
        <w:rPr>
          <w:rFonts w:cstheme="minorHAnsi"/>
          <w:sz w:val="24"/>
          <w:szCs w:val="24"/>
        </w:rPr>
        <w:t>)</w:t>
      </w:r>
      <w:r w:rsidR="00704798" w:rsidRPr="003D0C88">
        <w:rPr>
          <w:rFonts w:cstheme="minorHAnsi"/>
          <w:sz w:val="24"/>
          <w:szCs w:val="24"/>
        </w:rPr>
        <w:t xml:space="preserve"> throughout OLT</w:t>
      </w:r>
      <w:r w:rsidR="007310EA" w:rsidRPr="003D0C88">
        <w:rPr>
          <w:rFonts w:cstheme="minorHAnsi"/>
          <w:sz w:val="24"/>
          <w:szCs w:val="24"/>
        </w:rPr>
        <w:t xml:space="preserve">, remaining above </w:t>
      </w:r>
      <w:r w:rsidR="0050185E" w:rsidRPr="003D0C88">
        <w:rPr>
          <w:rFonts w:cstheme="minorHAnsi"/>
          <w:sz w:val="24"/>
          <w:szCs w:val="24"/>
        </w:rPr>
        <w:t>a mean of 23 mmHg.</w:t>
      </w:r>
    </w:p>
    <w:p w14:paraId="2069D165" w14:textId="1A05925A" w:rsidR="0044219B" w:rsidRPr="003D0C88" w:rsidRDefault="00693849" w:rsidP="00DC2A24">
      <w:pPr>
        <w:spacing w:line="480" w:lineRule="auto"/>
        <w:jc w:val="both"/>
        <w:rPr>
          <w:rFonts w:cstheme="minorHAnsi"/>
          <w:sz w:val="24"/>
          <w:szCs w:val="24"/>
        </w:rPr>
      </w:pPr>
      <w:r>
        <w:rPr>
          <w:rFonts w:cstheme="minorHAnsi"/>
          <w:sz w:val="24"/>
          <w:szCs w:val="24"/>
        </w:rPr>
        <w:lastRenderedPageBreak/>
        <w:tab/>
      </w:r>
      <w:r w:rsidR="00285188" w:rsidRPr="003D0C88">
        <w:rPr>
          <w:rFonts w:cstheme="minorHAnsi"/>
          <w:sz w:val="24"/>
          <w:szCs w:val="24"/>
        </w:rPr>
        <w:t xml:space="preserve">Figure 1 </w:t>
      </w:r>
      <w:r w:rsidR="00DA291C" w:rsidRPr="003D0C88">
        <w:rPr>
          <w:rFonts w:cstheme="minorHAnsi"/>
          <w:sz w:val="24"/>
          <w:szCs w:val="24"/>
        </w:rPr>
        <w:t>shows an example of monitored</w:t>
      </w:r>
      <w:r w:rsidR="00285188" w:rsidRPr="003D0C88">
        <w:rPr>
          <w:rFonts w:cstheme="minorHAnsi"/>
          <w:sz w:val="24"/>
          <w:szCs w:val="24"/>
        </w:rPr>
        <w:t xml:space="preserve"> ABP, </w:t>
      </w:r>
      <w:r w:rsidR="00DA291C" w:rsidRPr="003D0C88">
        <w:rPr>
          <w:rFonts w:cstheme="minorHAnsi"/>
          <w:sz w:val="24"/>
          <w:szCs w:val="24"/>
        </w:rPr>
        <w:t xml:space="preserve">FV, </w:t>
      </w:r>
      <w:r w:rsidR="00285188" w:rsidRPr="003D0C88">
        <w:rPr>
          <w:rFonts w:cstheme="minorHAnsi"/>
          <w:sz w:val="24"/>
          <w:szCs w:val="24"/>
        </w:rPr>
        <w:t>nICP</w:t>
      </w:r>
      <w:r w:rsidR="00DA291C" w:rsidRPr="003D0C88">
        <w:rPr>
          <w:rFonts w:cstheme="minorHAnsi"/>
          <w:sz w:val="24"/>
          <w:szCs w:val="24"/>
        </w:rPr>
        <w:t>,</w:t>
      </w:r>
      <w:r w:rsidR="00285188" w:rsidRPr="003D0C88">
        <w:rPr>
          <w:rFonts w:cstheme="minorHAnsi"/>
          <w:sz w:val="24"/>
          <w:szCs w:val="24"/>
        </w:rPr>
        <w:t xml:space="preserve"> nCPP</w:t>
      </w:r>
      <w:r w:rsidR="00DA291C" w:rsidRPr="003D0C88">
        <w:rPr>
          <w:rFonts w:cstheme="minorHAnsi"/>
          <w:sz w:val="24"/>
          <w:szCs w:val="24"/>
        </w:rPr>
        <w:t>, CrCP and Mxa throughout OLT phases for a single patient.</w:t>
      </w:r>
      <w:r w:rsidR="00285188" w:rsidRPr="003D0C88">
        <w:rPr>
          <w:rFonts w:cstheme="minorHAnsi"/>
          <w:sz w:val="24"/>
          <w:szCs w:val="24"/>
        </w:rPr>
        <w:t xml:space="preserve"> </w:t>
      </w:r>
      <w:r w:rsidR="00650E7A" w:rsidRPr="003D0C88">
        <w:rPr>
          <w:rFonts w:cstheme="minorHAnsi"/>
          <w:sz w:val="24"/>
          <w:szCs w:val="24"/>
        </w:rPr>
        <w:t>F</w:t>
      </w:r>
      <w:r w:rsidR="00285188" w:rsidRPr="003D0C88">
        <w:rPr>
          <w:rFonts w:cstheme="minorHAnsi"/>
          <w:sz w:val="24"/>
          <w:szCs w:val="24"/>
        </w:rPr>
        <w:t xml:space="preserve">igure 2 </w:t>
      </w:r>
      <w:r w:rsidR="00DA291C" w:rsidRPr="003D0C88">
        <w:rPr>
          <w:rFonts w:cstheme="minorHAnsi"/>
          <w:sz w:val="24"/>
          <w:szCs w:val="24"/>
        </w:rPr>
        <w:t xml:space="preserve">depicts individual and mean changes </w:t>
      </w:r>
      <w:r w:rsidR="00285188" w:rsidRPr="003D0C88">
        <w:rPr>
          <w:rFonts w:cstheme="minorHAnsi"/>
          <w:sz w:val="24"/>
          <w:szCs w:val="24"/>
        </w:rPr>
        <w:t xml:space="preserve">for </w:t>
      </w:r>
      <w:r w:rsidR="00F94E5A" w:rsidRPr="003D0C88">
        <w:rPr>
          <w:rFonts w:cstheme="minorHAnsi"/>
          <w:sz w:val="24"/>
          <w:szCs w:val="24"/>
        </w:rPr>
        <w:t xml:space="preserve">ABP, nICP and nCPP; figure 3 for </w:t>
      </w:r>
      <w:r w:rsidR="00285188" w:rsidRPr="003D0C88">
        <w:rPr>
          <w:rFonts w:cstheme="minorHAnsi"/>
          <w:sz w:val="24"/>
          <w:szCs w:val="24"/>
        </w:rPr>
        <w:t xml:space="preserve">FV and PI; figure </w:t>
      </w:r>
      <w:r w:rsidR="00F94E5A" w:rsidRPr="003D0C88">
        <w:rPr>
          <w:rFonts w:cstheme="minorHAnsi"/>
          <w:sz w:val="24"/>
          <w:szCs w:val="24"/>
        </w:rPr>
        <w:t>4</w:t>
      </w:r>
      <w:r w:rsidR="00285188" w:rsidRPr="003D0C88">
        <w:rPr>
          <w:rFonts w:cstheme="minorHAnsi"/>
          <w:sz w:val="24"/>
          <w:szCs w:val="24"/>
        </w:rPr>
        <w:t xml:space="preserve"> for the </w:t>
      </w:r>
      <w:r w:rsidR="00DA291C" w:rsidRPr="003D0C88">
        <w:rPr>
          <w:rFonts w:cstheme="minorHAnsi"/>
          <w:sz w:val="24"/>
          <w:szCs w:val="24"/>
        </w:rPr>
        <w:t>autoregulation index</w:t>
      </w:r>
      <w:r w:rsidR="00402A65">
        <w:rPr>
          <w:rFonts w:cstheme="minorHAnsi"/>
          <w:sz w:val="24"/>
          <w:szCs w:val="24"/>
        </w:rPr>
        <w:t xml:space="preserve"> Mxa</w:t>
      </w:r>
      <w:r w:rsidR="0044219B" w:rsidRPr="003D0C88">
        <w:rPr>
          <w:rFonts w:cstheme="minorHAnsi"/>
          <w:sz w:val="24"/>
          <w:szCs w:val="24"/>
        </w:rPr>
        <w:t xml:space="preserve">; and figure </w:t>
      </w:r>
      <w:r w:rsidR="00F94E5A" w:rsidRPr="003D0C88">
        <w:rPr>
          <w:rFonts w:cstheme="minorHAnsi"/>
          <w:sz w:val="24"/>
          <w:szCs w:val="24"/>
        </w:rPr>
        <w:t>5</w:t>
      </w:r>
      <w:r w:rsidR="0044219B" w:rsidRPr="003D0C88">
        <w:rPr>
          <w:rFonts w:cstheme="minorHAnsi"/>
          <w:sz w:val="24"/>
          <w:szCs w:val="24"/>
        </w:rPr>
        <w:t xml:space="preserve"> for CrCP and DCM.</w:t>
      </w:r>
      <w:r w:rsidR="00DA291C" w:rsidRPr="003D0C88">
        <w:rPr>
          <w:rFonts w:cstheme="minorHAnsi"/>
          <w:sz w:val="24"/>
          <w:szCs w:val="24"/>
        </w:rPr>
        <w:t xml:space="preserve"> </w:t>
      </w:r>
      <w:r w:rsidR="00920B6D" w:rsidRPr="003D0C88">
        <w:rPr>
          <w:rFonts w:cstheme="minorHAnsi"/>
          <w:sz w:val="24"/>
          <w:szCs w:val="24"/>
        </w:rPr>
        <w:t>Figures</w:t>
      </w:r>
      <w:r w:rsidR="00F94E5A" w:rsidRPr="003D0C88">
        <w:rPr>
          <w:rFonts w:cstheme="minorHAnsi"/>
          <w:sz w:val="24"/>
          <w:szCs w:val="24"/>
        </w:rPr>
        <w:t xml:space="preserve"> 6 and 7</w:t>
      </w:r>
      <w:r w:rsidR="001617B4" w:rsidRPr="003D0C88">
        <w:rPr>
          <w:rFonts w:cstheme="minorHAnsi"/>
          <w:sz w:val="24"/>
          <w:szCs w:val="24"/>
        </w:rPr>
        <w:t xml:space="preserve"> </w:t>
      </w:r>
      <w:r w:rsidR="00FE5AAD" w:rsidRPr="003D0C88">
        <w:rPr>
          <w:rFonts w:cstheme="minorHAnsi"/>
          <w:sz w:val="24"/>
          <w:szCs w:val="24"/>
        </w:rPr>
        <w:t xml:space="preserve">show </w:t>
      </w:r>
      <w:r w:rsidR="00F61697" w:rsidRPr="003D0C88">
        <w:rPr>
          <w:rFonts w:cstheme="minorHAnsi"/>
          <w:sz w:val="24"/>
          <w:szCs w:val="24"/>
        </w:rPr>
        <w:t>examples of</w:t>
      </w:r>
      <w:r w:rsidR="00FE5AAD" w:rsidRPr="003D0C88">
        <w:rPr>
          <w:rFonts w:cstheme="minorHAnsi"/>
          <w:sz w:val="24"/>
          <w:szCs w:val="24"/>
        </w:rPr>
        <w:t xml:space="preserve"> optimal curves for ABP obtained from </w:t>
      </w:r>
      <w:r w:rsidR="0073034B" w:rsidRPr="003D0C88">
        <w:rPr>
          <w:rFonts w:cstheme="minorHAnsi"/>
          <w:sz w:val="24"/>
          <w:szCs w:val="24"/>
        </w:rPr>
        <w:t xml:space="preserve">individual </w:t>
      </w:r>
      <w:r w:rsidR="00FE5AAD" w:rsidRPr="003D0C88">
        <w:rPr>
          <w:rFonts w:cstheme="minorHAnsi"/>
          <w:sz w:val="24"/>
          <w:szCs w:val="24"/>
        </w:rPr>
        <w:t>patients</w:t>
      </w:r>
      <w:r w:rsidR="000E4B39" w:rsidRPr="003D0C88">
        <w:rPr>
          <w:rFonts w:cstheme="minorHAnsi"/>
          <w:sz w:val="24"/>
          <w:szCs w:val="24"/>
        </w:rPr>
        <w:t>,</w:t>
      </w:r>
      <w:r w:rsidR="00F61697" w:rsidRPr="003D0C88">
        <w:rPr>
          <w:rFonts w:cstheme="minorHAnsi"/>
          <w:sz w:val="24"/>
          <w:szCs w:val="24"/>
        </w:rPr>
        <w:t xml:space="preserve"> in which </w:t>
      </w:r>
      <w:r w:rsidR="00402A65">
        <w:rPr>
          <w:rFonts w:cstheme="minorHAnsi"/>
          <w:sz w:val="24"/>
          <w:szCs w:val="24"/>
        </w:rPr>
        <w:t>pressure reactivity (</w:t>
      </w:r>
      <w:r w:rsidR="00F61697" w:rsidRPr="003D0C88">
        <w:rPr>
          <w:rFonts w:cstheme="minorHAnsi"/>
          <w:sz w:val="24"/>
          <w:szCs w:val="24"/>
        </w:rPr>
        <w:t>nPRx</w:t>
      </w:r>
      <w:r w:rsidR="00402A65">
        <w:rPr>
          <w:rFonts w:cstheme="minorHAnsi"/>
          <w:sz w:val="24"/>
          <w:szCs w:val="24"/>
        </w:rPr>
        <w:t>)</w:t>
      </w:r>
      <w:r w:rsidR="00F61697" w:rsidRPr="003D0C88">
        <w:rPr>
          <w:rFonts w:cstheme="minorHAnsi"/>
          <w:sz w:val="24"/>
          <w:szCs w:val="24"/>
        </w:rPr>
        <w:t xml:space="preserve"> below levels associated with impairment of cerebral autoregulation</w:t>
      </w:r>
      <w:r w:rsidR="000E4B39" w:rsidRPr="003D0C88">
        <w:rPr>
          <w:rFonts w:cstheme="minorHAnsi"/>
          <w:sz w:val="24"/>
          <w:szCs w:val="24"/>
        </w:rPr>
        <w:t xml:space="preserve"> </w:t>
      </w:r>
      <w:r w:rsidR="00283A9C" w:rsidRPr="003D0C88">
        <w:rPr>
          <w:rFonts w:cstheme="minorHAnsi"/>
          <w:sz w:val="24"/>
          <w:szCs w:val="24"/>
        </w:rPr>
        <w:t>(</w:t>
      </w:r>
      <w:r w:rsidR="003E165B">
        <w:rPr>
          <w:rFonts w:cstheme="minorHAnsi"/>
          <w:sz w:val="24"/>
          <w:szCs w:val="24"/>
        </w:rPr>
        <w:t>&gt;</w:t>
      </w:r>
      <w:r w:rsidR="00283A9C" w:rsidRPr="003D0C88">
        <w:rPr>
          <w:rFonts w:cstheme="minorHAnsi"/>
          <w:sz w:val="24"/>
          <w:szCs w:val="24"/>
        </w:rPr>
        <w:t xml:space="preserve">0.25) </w:t>
      </w:r>
      <w:r w:rsidR="000E4B39" w:rsidRPr="003D0C88">
        <w:rPr>
          <w:rFonts w:cstheme="minorHAnsi"/>
          <w:sz w:val="24"/>
          <w:szCs w:val="24"/>
        </w:rPr>
        <w:t>revealed</w:t>
      </w:r>
      <w:r w:rsidR="00FE5AAD" w:rsidRPr="003D0C88">
        <w:rPr>
          <w:rFonts w:cstheme="minorHAnsi"/>
          <w:sz w:val="24"/>
          <w:szCs w:val="24"/>
        </w:rPr>
        <w:t xml:space="preserve"> optimal values for ABP</w:t>
      </w:r>
      <w:r w:rsidR="00FE7DE0" w:rsidRPr="003D0C88">
        <w:rPr>
          <w:rFonts w:cstheme="minorHAnsi"/>
          <w:sz w:val="24"/>
          <w:szCs w:val="24"/>
        </w:rPr>
        <w:t xml:space="preserve"> in certain cases</w:t>
      </w:r>
      <w:r w:rsidR="005F7598" w:rsidRPr="003D0C88">
        <w:rPr>
          <w:rFonts w:cstheme="minorHAnsi"/>
          <w:sz w:val="24"/>
          <w:szCs w:val="24"/>
        </w:rPr>
        <w:t xml:space="preserve"> (U-shaped curves)</w:t>
      </w:r>
      <w:r w:rsidR="00FE5AAD" w:rsidRPr="003D0C88">
        <w:rPr>
          <w:rFonts w:cstheme="minorHAnsi"/>
          <w:sz w:val="24"/>
          <w:szCs w:val="24"/>
        </w:rPr>
        <w:t>.</w:t>
      </w:r>
    </w:p>
    <w:p w14:paraId="1692C9EA" w14:textId="77777777" w:rsidR="00FE7DE0" w:rsidRPr="003D0C88" w:rsidRDefault="00FE7DE0" w:rsidP="00DC2A24">
      <w:pPr>
        <w:spacing w:line="480" w:lineRule="auto"/>
        <w:jc w:val="both"/>
        <w:rPr>
          <w:rFonts w:cstheme="minorHAnsi"/>
          <w:sz w:val="24"/>
          <w:szCs w:val="24"/>
        </w:rPr>
      </w:pPr>
    </w:p>
    <w:p w14:paraId="3618D52A" w14:textId="77777777" w:rsidR="00693849" w:rsidRDefault="00693849" w:rsidP="00DC2A24">
      <w:pPr>
        <w:spacing w:line="480" w:lineRule="auto"/>
        <w:jc w:val="both"/>
        <w:rPr>
          <w:rFonts w:cstheme="minorHAnsi"/>
          <w:sz w:val="24"/>
          <w:szCs w:val="24"/>
        </w:rPr>
      </w:pPr>
    </w:p>
    <w:p w14:paraId="024BDE5F" w14:textId="77777777" w:rsidR="00693849" w:rsidRDefault="00693849" w:rsidP="00DC2A24">
      <w:pPr>
        <w:spacing w:line="480" w:lineRule="auto"/>
        <w:jc w:val="both"/>
        <w:rPr>
          <w:rFonts w:cstheme="minorHAnsi"/>
          <w:b/>
          <w:sz w:val="24"/>
          <w:szCs w:val="24"/>
        </w:rPr>
      </w:pPr>
    </w:p>
    <w:p w14:paraId="64043291" w14:textId="77777777" w:rsidR="00693849" w:rsidRDefault="00693849" w:rsidP="00DC2A24">
      <w:pPr>
        <w:spacing w:line="480" w:lineRule="auto"/>
        <w:jc w:val="both"/>
        <w:rPr>
          <w:rFonts w:cstheme="minorHAnsi"/>
          <w:b/>
          <w:sz w:val="24"/>
          <w:szCs w:val="24"/>
        </w:rPr>
      </w:pPr>
    </w:p>
    <w:p w14:paraId="0BC0075F" w14:textId="77777777" w:rsidR="00693849" w:rsidRDefault="00693849" w:rsidP="00DC2A24">
      <w:pPr>
        <w:spacing w:line="480" w:lineRule="auto"/>
        <w:jc w:val="both"/>
        <w:rPr>
          <w:rFonts w:cstheme="minorHAnsi"/>
          <w:b/>
          <w:sz w:val="24"/>
          <w:szCs w:val="24"/>
        </w:rPr>
      </w:pPr>
    </w:p>
    <w:p w14:paraId="2CE45C62" w14:textId="777DBF3D" w:rsidR="00693849" w:rsidRDefault="00693849" w:rsidP="00DC2A24">
      <w:pPr>
        <w:spacing w:line="480" w:lineRule="auto"/>
        <w:jc w:val="both"/>
        <w:rPr>
          <w:rFonts w:cstheme="minorHAnsi"/>
          <w:b/>
          <w:sz w:val="24"/>
          <w:szCs w:val="24"/>
        </w:rPr>
      </w:pPr>
    </w:p>
    <w:p w14:paraId="2E1E6C3D" w14:textId="602B3B59" w:rsidR="00693849" w:rsidRDefault="00693849" w:rsidP="00DC2A24">
      <w:pPr>
        <w:spacing w:line="480" w:lineRule="auto"/>
        <w:jc w:val="both"/>
        <w:rPr>
          <w:rFonts w:cstheme="minorHAnsi"/>
          <w:b/>
          <w:sz w:val="24"/>
          <w:szCs w:val="24"/>
        </w:rPr>
      </w:pPr>
    </w:p>
    <w:p w14:paraId="7590A157" w14:textId="488A88E8" w:rsidR="00693849" w:rsidRDefault="00693849" w:rsidP="00DC2A24">
      <w:pPr>
        <w:spacing w:line="480" w:lineRule="auto"/>
        <w:jc w:val="both"/>
        <w:rPr>
          <w:rFonts w:cstheme="minorHAnsi"/>
          <w:b/>
          <w:sz w:val="24"/>
          <w:szCs w:val="24"/>
        </w:rPr>
      </w:pPr>
    </w:p>
    <w:p w14:paraId="05B30154" w14:textId="3F46AD36" w:rsidR="00693849" w:rsidRDefault="00693849" w:rsidP="00DC2A24">
      <w:pPr>
        <w:spacing w:line="480" w:lineRule="auto"/>
        <w:jc w:val="both"/>
        <w:rPr>
          <w:rFonts w:cstheme="minorHAnsi"/>
          <w:b/>
          <w:sz w:val="24"/>
          <w:szCs w:val="24"/>
        </w:rPr>
      </w:pPr>
    </w:p>
    <w:p w14:paraId="156FC537" w14:textId="7BED853A" w:rsidR="00693849" w:rsidRDefault="00693849" w:rsidP="00DC2A24">
      <w:pPr>
        <w:spacing w:line="480" w:lineRule="auto"/>
        <w:jc w:val="both"/>
        <w:rPr>
          <w:rFonts w:cstheme="minorHAnsi"/>
          <w:b/>
          <w:sz w:val="24"/>
          <w:szCs w:val="24"/>
        </w:rPr>
      </w:pPr>
    </w:p>
    <w:p w14:paraId="621CEF64" w14:textId="0B18A9C5" w:rsidR="00693849" w:rsidRDefault="00693849" w:rsidP="00DC2A24">
      <w:pPr>
        <w:spacing w:line="480" w:lineRule="auto"/>
        <w:jc w:val="both"/>
        <w:rPr>
          <w:rFonts w:cstheme="minorHAnsi"/>
          <w:b/>
          <w:sz w:val="24"/>
          <w:szCs w:val="24"/>
        </w:rPr>
      </w:pPr>
    </w:p>
    <w:p w14:paraId="4C35A742" w14:textId="415E6DC3" w:rsidR="00693849" w:rsidRDefault="00693849" w:rsidP="00DC2A24">
      <w:pPr>
        <w:spacing w:line="480" w:lineRule="auto"/>
        <w:jc w:val="both"/>
        <w:rPr>
          <w:rFonts w:cstheme="minorHAnsi"/>
          <w:b/>
          <w:sz w:val="24"/>
          <w:szCs w:val="24"/>
        </w:rPr>
      </w:pPr>
    </w:p>
    <w:p w14:paraId="5EA5A310" w14:textId="77777777" w:rsidR="00693849" w:rsidRDefault="00693849" w:rsidP="00DC2A24">
      <w:pPr>
        <w:spacing w:line="480" w:lineRule="auto"/>
        <w:jc w:val="both"/>
        <w:rPr>
          <w:rFonts w:cstheme="minorHAnsi"/>
          <w:b/>
          <w:sz w:val="24"/>
          <w:szCs w:val="24"/>
        </w:rPr>
      </w:pPr>
    </w:p>
    <w:p w14:paraId="0432B884" w14:textId="295237AA" w:rsidR="005B5C75" w:rsidRPr="003D0C88" w:rsidRDefault="005B5C75" w:rsidP="00DC2A24">
      <w:pPr>
        <w:spacing w:line="480" w:lineRule="auto"/>
        <w:jc w:val="both"/>
        <w:rPr>
          <w:rFonts w:cstheme="minorHAnsi"/>
          <w:b/>
          <w:sz w:val="24"/>
          <w:szCs w:val="24"/>
        </w:rPr>
      </w:pPr>
      <w:r w:rsidRPr="003D0C88">
        <w:rPr>
          <w:rFonts w:cstheme="minorHAnsi"/>
          <w:b/>
          <w:sz w:val="24"/>
          <w:szCs w:val="24"/>
        </w:rPr>
        <w:lastRenderedPageBreak/>
        <w:t>Discussion</w:t>
      </w:r>
    </w:p>
    <w:p w14:paraId="28DD53E1" w14:textId="136D72C2" w:rsidR="007310EA" w:rsidRPr="003D0C88" w:rsidRDefault="00693849" w:rsidP="00B26CD9">
      <w:pPr>
        <w:pStyle w:val="BodyTextIndent"/>
        <w:spacing w:line="480" w:lineRule="auto"/>
        <w:ind w:left="0"/>
        <w:jc w:val="both"/>
        <w:rPr>
          <w:rFonts w:cstheme="minorHAnsi"/>
          <w:sz w:val="24"/>
          <w:szCs w:val="24"/>
        </w:rPr>
      </w:pPr>
      <w:r>
        <w:rPr>
          <w:rFonts w:cstheme="minorHAnsi"/>
          <w:sz w:val="24"/>
          <w:szCs w:val="24"/>
        </w:rPr>
        <w:tab/>
      </w:r>
      <w:r w:rsidR="007310EA" w:rsidRPr="003D0C88">
        <w:rPr>
          <w:rFonts w:cstheme="minorHAnsi"/>
          <w:sz w:val="24"/>
          <w:szCs w:val="24"/>
        </w:rPr>
        <w:t xml:space="preserve">In our </w:t>
      </w:r>
      <w:r w:rsidR="000832FF" w:rsidRPr="003D0C88">
        <w:rPr>
          <w:rFonts w:cstheme="minorHAnsi"/>
          <w:sz w:val="24"/>
          <w:szCs w:val="24"/>
        </w:rPr>
        <w:t>study,</w:t>
      </w:r>
      <w:r w:rsidR="007310EA" w:rsidRPr="003D0C88">
        <w:rPr>
          <w:rFonts w:cstheme="minorHAnsi"/>
          <w:sz w:val="24"/>
          <w:szCs w:val="24"/>
        </w:rPr>
        <w:t xml:space="preserve"> we detected trends suggesting</w:t>
      </w:r>
      <w:r w:rsidR="001617B4" w:rsidRPr="003D0C88">
        <w:rPr>
          <w:rFonts w:cstheme="minorHAnsi"/>
          <w:sz w:val="24"/>
          <w:szCs w:val="24"/>
        </w:rPr>
        <w:t xml:space="preserve"> that</w:t>
      </w:r>
      <w:r w:rsidR="007310EA" w:rsidRPr="003D0C88">
        <w:rPr>
          <w:rFonts w:cstheme="minorHAnsi"/>
          <w:sz w:val="24"/>
          <w:szCs w:val="24"/>
        </w:rPr>
        <w:t>:</w:t>
      </w:r>
    </w:p>
    <w:p w14:paraId="4DE7B3DB" w14:textId="5C633DB9" w:rsidR="007310EA" w:rsidRPr="003D0C88" w:rsidRDefault="001617B4" w:rsidP="000832FF">
      <w:pPr>
        <w:pStyle w:val="BodyTextIndent"/>
        <w:numPr>
          <w:ilvl w:val="0"/>
          <w:numId w:val="1"/>
        </w:numPr>
        <w:spacing w:line="480" w:lineRule="auto"/>
        <w:jc w:val="both"/>
        <w:rPr>
          <w:rFonts w:cstheme="minorHAnsi"/>
          <w:sz w:val="24"/>
          <w:szCs w:val="24"/>
        </w:rPr>
      </w:pPr>
      <w:r w:rsidRPr="003D0C88">
        <w:rPr>
          <w:rFonts w:cstheme="minorHAnsi"/>
          <w:sz w:val="24"/>
          <w:szCs w:val="24"/>
        </w:rPr>
        <w:t xml:space="preserve">Estimated </w:t>
      </w:r>
      <w:r w:rsidR="007310EA" w:rsidRPr="003D0C88">
        <w:rPr>
          <w:rFonts w:cstheme="minorHAnsi"/>
          <w:sz w:val="24"/>
          <w:szCs w:val="24"/>
        </w:rPr>
        <w:t xml:space="preserve">ICP </w:t>
      </w:r>
      <w:r w:rsidR="000832FF" w:rsidRPr="003D0C88">
        <w:rPr>
          <w:rFonts w:cstheme="minorHAnsi"/>
          <w:sz w:val="24"/>
          <w:szCs w:val="24"/>
        </w:rPr>
        <w:t>remains constant</w:t>
      </w:r>
      <w:r w:rsidR="007310EA" w:rsidRPr="003D0C88">
        <w:rPr>
          <w:rFonts w:cstheme="minorHAnsi"/>
          <w:sz w:val="24"/>
          <w:szCs w:val="24"/>
        </w:rPr>
        <w:t xml:space="preserve"> during </w:t>
      </w:r>
      <w:r w:rsidRPr="003D0C88">
        <w:rPr>
          <w:rFonts w:cstheme="minorHAnsi"/>
          <w:sz w:val="24"/>
          <w:szCs w:val="24"/>
        </w:rPr>
        <w:t>OLT;</w:t>
      </w:r>
      <w:r w:rsidR="007310EA" w:rsidRPr="003D0C88">
        <w:rPr>
          <w:rFonts w:cstheme="minorHAnsi"/>
          <w:sz w:val="24"/>
          <w:szCs w:val="24"/>
        </w:rPr>
        <w:t xml:space="preserve"> </w:t>
      </w:r>
    </w:p>
    <w:p w14:paraId="4CEBBF96" w14:textId="51676A11" w:rsidR="007310EA" w:rsidRPr="003D0C88" w:rsidRDefault="001617B4" w:rsidP="000832FF">
      <w:pPr>
        <w:pStyle w:val="BodyTextIndent"/>
        <w:numPr>
          <w:ilvl w:val="0"/>
          <w:numId w:val="1"/>
        </w:numPr>
        <w:spacing w:line="480" w:lineRule="auto"/>
        <w:jc w:val="both"/>
        <w:rPr>
          <w:rFonts w:cstheme="minorHAnsi"/>
          <w:sz w:val="24"/>
          <w:szCs w:val="24"/>
        </w:rPr>
      </w:pPr>
      <w:r w:rsidRPr="003D0C88">
        <w:rPr>
          <w:rFonts w:cstheme="minorHAnsi"/>
          <w:sz w:val="24"/>
          <w:szCs w:val="24"/>
        </w:rPr>
        <w:t xml:space="preserve">Estimated </w:t>
      </w:r>
      <w:r w:rsidR="00237220" w:rsidRPr="003D0C88">
        <w:rPr>
          <w:rFonts w:cstheme="minorHAnsi"/>
          <w:sz w:val="24"/>
          <w:szCs w:val="24"/>
        </w:rPr>
        <w:t>CPP gradually decreased</w:t>
      </w:r>
      <w:r w:rsidR="007310EA" w:rsidRPr="003D0C88">
        <w:rPr>
          <w:rFonts w:cstheme="minorHAnsi"/>
          <w:sz w:val="24"/>
          <w:szCs w:val="24"/>
        </w:rPr>
        <w:t xml:space="preserve"> (due to general trend </w:t>
      </w:r>
      <w:r w:rsidR="00402A65">
        <w:rPr>
          <w:rFonts w:cstheme="minorHAnsi"/>
          <w:sz w:val="24"/>
          <w:szCs w:val="24"/>
        </w:rPr>
        <w:t xml:space="preserve">of decreasing </w:t>
      </w:r>
      <w:r w:rsidR="007310EA" w:rsidRPr="003D0C88">
        <w:rPr>
          <w:rFonts w:cstheme="minorHAnsi"/>
          <w:sz w:val="24"/>
          <w:szCs w:val="24"/>
        </w:rPr>
        <w:t>ABP)</w:t>
      </w:r>
      <w:r w:rsidRPr="003D0C88">
        <w:rPr>
          <w:rFonts w:cstheme="minorHAnsi"/>
          <w:sz w:val="24"/>
          <w:szCs w:val="24"/>
        </w:rPr>
        <w:t>;</w:t>
      </w:r>
    </w:p>
    <w:p w14:paraId="0B21ADF8" w14:textId="607EC2D9" w:rsidR="007310EA" w:rsidRPr="003D0C88" w:rsidRDefault="007310EA" w:rsidP="000832FF">
      <w:pPr>
        <w:pStyle w:val="BodyTextIndent"/>
        <w:numPr>
          <w:ilvl w:val="0"/>
          <w:numId w:val="1"/>
        </w:numPr>
        <w:spacing w:line="480" w:lineRule="auto"/>
        <w:jc w:val="both"/>
        <w:rPr>
          <w:rFonts w:cstheme="minorHAnsi"/>
          <w:sz w:val="24"/>
          <w:szCs w:val="24"/>
        </w:rPr>
      </w:pPr>
      <w:r w:rsidRPr="003D0C88">
        <w:rPr>
          <w:rFonts w:cstheme="minorHAnsi"/>
          <w:sz w:val="24"/>
          <w:szCs w:val="24"/>
        </w:rPr>
        <w:t>Cerebra</w:t>
      </w:r>
      <w:r w:rsidR="00E91243" w:rsidRPr="003D0C88">
        <w:rPr>
          <w:rFonts w:cstheme="minorHAnsi"/>
          <w:sz w:val="24"/>
          <w:szCs w:val="24"/>
        </w:rPr>
        <w:t>l autoregulation was</w:t>
      </w:r>
      <w:r w:rsidRPr="003D0C88">
        <w:rPr>
          <w:rFonts w:cstheme="minorHAnsi"/>
          <w:sz w:val="24"/>
          <w:szCs w:val="24"/>
        </w:rPr>
        <w:t xml:space="preserve"> generally disturbed</w:t>
      </w:r>
      <w:r w:rsidR="001617B4" w:rsidRPr="003D0C88">
        <w:rPr>
          <w:rFonts w:cstheme="minorHAnsi"/>
          <w:sz w:val="24"/>
          <w:szCs w:val="24"/>
        </w:rPr>
        <w:t>,</w:t>
      </w:r>
      <w:r w:rsidRPr="003D0C88">
        <w:rPr>
          <w:rFonts w:cstheme="minorHAnsi"/>
          <w:sz w:val="24"/>
          <w:szCs w:val="24"/>
        </w:rPr>
        <w:t xml:space="preserve"> </w:t>
      </w:r>
      <w:r w:rsidR="0073034B" w:rsidRPr="003D0C88">
        <w:rPr>
          <w:rFonts w:cstheme="minorHAnsi"/>
          <w:sz w:val="24"/>
          <w:szCs w:val="24"/>
        </w:rPr>
        <w:t xml:space="preserve">and </w:t>
      </w:r>
      <w:r w:rsidR="00E91243" w:rsidRPr="003D0C88">
        <w:rPr>
          <w:rFonts w:cstheme="minorHAnsi"/>
          <w:sz w:val="24"/>
          <w:szCs w:val="24"/>
        </w:rPr>
        <w:t>worsened</w:t>
      </w:r>
      <w:r w:rsidR="00E336D0" w:rsidRPr="003D0C88">
        <w:rPr>
          <w:rFonts w:cstheme="minorHAnsi"/>
          <w:sz w:val="24"/>
          <w:szCs w:val="24"/>
        </w:rPr>
        <w:t xml:space="preserve"> further</w:t>
      </w:r>
      <w:r w:rsidRPr="003D0C88">
        <w:rPr>
          <w:rFonts w:cstheme="minorHAnsi"/>
          <w:sz w:val="24"/>
          <w:szCs w:val="24"/>
        </w:rPr>
        <w:t xml:space="preserve"> during surgery</w:t>
      </w:r>
      <w:r w:rsidR="001617B4" w:rsidRPr="003D0C88">
        <w:rPr>
          <w:rFonts w:cstheme="minorHAnsi"/>
          <w:sz w:val="24"/>
          <w:szCs w:val="24"/>
        </w:rPr>
        <w:t>;</w:t>
      </w:r>
    </w:p>
    <w:p w14:paraId="261BB9B8" w14:textId="38BAE61B" w:rsidR="007310EA" w:rsidRPr="003D0C88" w:rsidRDefault="00E91243" w:rsidP="000832FF">
      <w:pPr>
        <w:pStyle w:val="BodyTextIndent"/>
        <w:numPr>
          <w:ilvl w:val="0"/>
          <w:numId w:val="1"/>
        </w:numPr>
        <w:spacing w:line="480" w:lineRule="auto"/>
        <w:jc w:val="both"/>
        <w:rPr>
          <w:rFonts w:cstheme="minorHAnsi"/>
          <w:sz w:val="24"/>
          <w:szCs w:val="24"/>
        </w:rPr>
      </w:pPr>
      <w:r w:rsidRPr="003D0C88">
        <w:rPr>
          <w:rFonts w:cstheme="minorHAnsi"/>
          <w:sz w:val="24"/>
          <w:szCs w:val="24"/>
        </w:rPr>
        <w:t>Critical closing pressure was</w:t>
      </w:r>
      <w:r w:rsidR="007310EA" w:rsidRPr="003D0C88">
        <w:rPr>
          <w:rFonts w:cstheme="minorHAnsi"/>
          <w:sz w:val="24"/>
          <w:szCs w:val="24"/>
        </w:rPr>
        <w:t xml:space="preserve"> moderate, not disturbing diastolic blood flow</w:t>
      </w:r>
      <w:r w:rsidRPr="003D0C88">
        <w:rPr>
          <w:rFonts w:cstheme="minorHAnsi"/>
          <w:sz w:val="24"/>
          <w:szCs w:val="24"/>
        </w:rPr>
        <w:t xml:space="preserve"> (</w:t>
      </w:r>
      <w:r w:rsidR="006A5305">
        <w:rPr>
          <w:rFonts w:cstheme="minorHAnsi"/>
          <w:sz w:val="24"/>
          <w:szCs w:val="24"/>
        </w:rPr>
        <w:t xml:space="preserve">the </w:t>
      </w:r>
      <w:r w:rsidRPr="003D0C88">
        <w:rPr>
          <w:rFonts w:cstheme="minorHAnsi"/>
          <w:sz w:val="24"/>
          <w:szCs w:val="24"/>
        </w:rPr>
        <w:t>diastolic closing margin remained</w:t>
      </w:r>
      <w:r w:rsidR="007310EA" w:rsidRPr="003D0C88">
        <w:rPr>
          <w:rFonts w:cstheme="minorHAnsi"/>
          <w:sz w:val="24"/>
          <w:szCs w:val="24"/>
        </w:rPr>
        <w:t xml:space="preserve"> above </w:t>
      </w:r>
      <w:r w:rsidR="001617B4" w:rsidRPr="003D0C88">
        <w:rPr>
          <w:rFonts w:cstheme="minorHAnsi"/>
          <w:sz w:val="24"/>
          <w:szCs w:val="24"/>
        </w:rPr>
        <w:t xml:space="preserve">a mean of 23 </w:t>
      </w:r>
      <w:r w:rsidR="000832FF" w:rsidRPr="003D0C88">
        <w:rPr>
          <w:rFonts w:cstheme="minorHAnsi"/>
          <w:sz w:val="24"/>
          <w:szCs w:val="24"/>
        </w:rPr>
        <w:t>mmHg)</w:t>
      </w:r>
      <w:r w:rsidR="001617B4" w:rsidRPr="003D0C88">
        <w:rPr>
          <w:rFonts w:cstheme="minorHAnsi"/>
          <w:sz w:val="24"/>
          <w:szCs w:val="24"/>
        </w:rPr>
        <w:t>.</w:t>
      </w:r>
    </w:p>
    <w:p w14:paraId="0B3962E9" w14:textId="075CF68E" w:rsidR="00D83B47" w:rsidRPr="003D0C88" w:rsidRDefault="00693849" w:rsidP="00D83B47">
      <w:pPr>
        <w:pStyle w:val="BodyTextIndent"/>
        <w:spacing w:line="480" w:lineRule="auto"/>
        <w:ind w:left="0"/>
        <w:jc w:val="both"/>
        <w:rPr>
          <w:rFonts w:cstheme="minorHAnsi"/>
          <w:color w:val="FF0000"/>
          <w:sz w:val="24"/>
          <w:szCs w:val="24"/>
        </w:rPr>
      </w:pPr>
      <w:r>
        <w:rPr>
          <w:rFonts w:cstheme="minorHAnsi"/>
          <w:sz w:val="24"/>
          <w:szCs w:val="24"/>
        </w:rPr>
        <w:tab/>
      </w:r>
      <w:r w:rsidR="00B733AA" w:rsidRPr="003D0C88">
        <w:rPr>
          <w:rFonts w:cstheme="minorHAnsi"/>
          <w:sz w:val="24"/>
          <w:szCs w:val="24"/>
        </w:rPr>
        <w:t>TCD has proven a valuable method in studies of cerebral haemodynamics due to its high temporal</w:t>
      </w:r>
      <w:r w:rsidR="00431093" w:rsidRPr="003D0C88">
        <w:rPr>
          <w:rFonts w:cstheme="minorHAnsi"/>
          <w:sz w:val="24"/>
          <w:szCs w:val="24"/>
        </w:rPr>
        <w:t xml:space="preserve"> </w:t>
      </w:r>
      <w:r w:rsidR="00B733AA" w:rsidRPr="003D0C88">
        <w:rPr>
          <w:rFonts w:cstheme="minorHAnsi"/>
          <w:sz w:val="24"/>
          <w:szCs w:val="24"/>
        </w:rPr>
        <w:t>resolution, non-invasiveness, portability, ability to m</w:t>
      </w:r>
      <w:r w:rsidR="00EC1F38" w:rsidRPr="003D0C88">
        <w:rPr>
          <w:rFonts w:cstheme="minorHAnsi"/>
          <w:sz w:val="24"/>
          <w:szCs w:val="24"/>
        </w:rPr>
        <w:t>onitor</w:t>
      </w:r>
      <w:r w:rsidR="00B733AA" w:rsidRPr="003D0C88">
        <w:rPr>
          <w:rFonts w:cstheme="minorHAnsi"/>
          <w:sz w:val="24"/>
          <w:szCs w:val="24"/>
        </w:rPr>
        <w:t xml:space="preserve"> FV in real time</w:t>
      </w:r>
      <w:r w:rsidR="0073034B" w:rsidRPr="003D0C88">
        <w:rPr>
          <w:rFonts w:cstheme="minorHAnsi"/>
          <w:sz w:val="24"/>
          <w:szCs w:val="24"/>
        </w:rPr>
        <w:t xml:space="preserve"> and low cost compared with other imaging techniques</w:t>
      </w:r>
      <w:r w:rsidR="00431093" w:rsidRPr="003D0C88">
        <w:rPr>
          <w:rFonts w:cstheme="minorHAnsi"/>
          <w:sz w:val="24"/>
          <w:szCs w:val="24"/>
        </w:rPr>
        <w:t xml:space="preserve">. </w:t>
      </w:r>
      <w:r w:rsidR="00D83B47" w:rsidRPr="003D0C88">
        <w:rPr>
          <w:rFonts w:cstheme="minorHAnsi"/>
          <w:sz w:val="24"/>
          <w:szCs w:val="24"/>
        </w:rPr>
        <w:t>In a variety of clinical settings, multi</w:t>
      </w:r>
      <w:r w:rsidR="006A5305">
        <w:rPr>
          <w:rFonts w:cstheme="minorHAnsi"/>
          <w:sz w:val="24"/>
          <w:szCs w:val="24"/>
        </w:rPr>
        <w:t>-</w:t>
      </w:r>
      <w:r w:rsidR="00D83B47" w:rsidRPr="003D0C88">
        <w:rPr>
          <w:rFonts w:cstheme="minorHAnsi"/>
          <w:sz w:val="24"/>
          <w:szCs w:val="24"/>
        </w:rPr>
        <w:t xml:space="preserve">modal applications of TCD may provide an early detection of the onset of cerebrovascular derangements and facilitate their clinical management. In previous studies on </w:t>
      </w:r>
      <w:r w:rsidR="006A5305">
        <w:rPr>
          <w:rFonts w:cstheme="minorHAnsi"/>
          <w:sz w:val="24"/>
          <w:szCs w:val="24"/>
        </w:rPr>
        <w:t>patients with acute liver failure</w:t>
      </w:r>
      <w:r w:rsidR="00D83B47" w:rsidRPr="003D0C88">
        <w:rPr>
          <w:rFonts w:cstheme="minorHAnsi"/>
          <w:sz w:val="24"/>
          <w:szCs w:val="24"/>
        </w:rPr>
        <w:t xml:space="preserve">, TCD provided a repeatable and reliable </w:t>
      </w:r>
      <w:r w:rsidR="00D83B47" w:rsidRPr="003D0C88">
        <w:rPr>
          <w:rFonts w:cstheme="minorHAnsi"/>
          <w:noProof/>
          <w:sz w:val="24"/>
          <w:szCs w:val="24"/>
        </w:rPr>
        <w:t>non-invasive</w:t>
      </w:r>
      <w:r w:rsidR="00D83B47" w:rsidRPr="003D0C88">
        <w:rPr>
          <w:rFonts w:cstheme="minorHAnsi"/>
          <w:sz w:val="24"/>
          <w:szCs w:val="24"/>
        </w:rPr>
        <w:t xml:space="preserve">, bedside assessment of CBF changes, allowing the evaluation of the OLT feasibility </w:t>
      </w:r>
      <w:r w:rsidR="00D83B47" w:rsidRPr="003D0C88">
        <w:rPr>
          <w:rFonts w:cstheme="minorHAnsi"/>
          <w:sz w:val="24"/>
          <w:szCs w:val="24"/>
        </w:rPr>
        <w:fldChar w:fldCharType="begin" w:fldLock="1"/>
      </w:r>
      <w:r w:rsidR="004030CD">
        <w:rPr>
          <w:rFonts w:cstheme="minorHAnsi"/>
          <w:sz w:val="24"/>
          <w:szCs w:val="24"/>
        </w:rPr>
        <w:instrText>ADDIN CSL_CITATION {"citationItems":[{"id":"ITEM-1","itemData":{"DOI":"10.1007/s10877-008-9156-6","ISSN":"1387-1307","PMID":"19112602","abstract":"Acute hepatic failure (ALF) is an uncommon disease characterized by a rapid deterioration of the hepatic function with severe derangements of the mental status in previously healthy subjects due to massive hepatocytes necrosis. Neurological impairment, due to intracranial hypertension and cerebral ischemia, is a key factor because it is a main criterion to decide when to proceed to liver transplantation, which is only treatment for these patients. Therefore, neurological monitoring holds an essential role in the clinical management of ALF patients but it needs to be performed at the point-of-care in the majority of the cases as such critically ill patients cannot be moved away from the ICU because they frequently need continuous hemodynamic, ventilatory and renal support. We herein report and discuss our experience relating to the use of transcranial sonography as a neuro-monitoring tool in ALF patients. In our series this technique allowed a repeatable and reliable non-invasive assessment of cerebral blood flow changes at the bedside thus avoiding the complications associated with the use of an intracranial probe to measure intra-cranial pressure and making it possible to correctly evaluate the timing and feasibility of liver transplantation.","author":[{"dropping-particle":"","family":"Bindi","given":"M. L.","non-dropping-particle":"","parse-names":false,"suffix":""},{"dropping-particle":"","family":"Biancofiore","given":"G.","non-dropping-particle":"","parse-names":false,"suffix":""},{"dropping-particle":"","family":"Esposito","given":"M.","non-dropping-particle":"","parse-names":false,"suffix":""},{"dropping-particle":"","family":"Meacci","given":"L.","non-dropping-particle":"","parse-names":false,"suffix":""},{"dropping-particle":"","family":"Bisà","given":"M.","non-dropping-particle":"","parse-names":false,"suffix":""},{"dropping-particle":"","family":"Mozzo","given":"R.","non-dropping-particle":"","parse-names":false,"suffix":""},{"dropping-particle":"","family":"Urbani","given":"L.","non-dropping-particle":"","parse-names":false,"suffix":""},{"dropping-particle":"","family":"Catalano","given":"G.","non-dropping-particle":"","parse-names":false,"suffix":""},{"dropping-particle":"","family":"Montin","given":"U.","non-dropping-particle":"","parse-names":false,"suffix":""},{"dropping-particle":"","family":"Filipponi","given":"F.","non-dropping-particle":"","parse-names":false,"suffix":""}],"container-title":"Journal of Clinical Monitoring and Computing","id":"ITEM-1","issue":"6","issued":{"date-parts":[["2008","12","27"]]},"page":"449-452","title":"Transcranial Doppler Sonography is Useful for the Decision-Making at the Point of Care in Patients with Acute Hepatic Failure: A Single Centre’s Experience","type":"article-journal","volume":"22"},"uris":["http://www.mendeley.com/documents/?uuid=4a0d8f80-c3f3-3116-8f17-ba016aa5f102","http://www.mendeley.com/documents/?uuid=823a60ba-6099-40a6-82e4-4f7f0af95b4a"]}],"mendeley":{"formattedCitation":"(Bindi et al. 2008)","plainTextFormattedCitation":"(Bindi et al. 2008)","previouslyFormattedCitation":"(Bindi et al. 2008)"},"properties":{"noteIndex":0},"schema":"https://github.com/citation-style-language/schema/raw/master/csl-citation.json"}</w:instrText>
      </w:r>
      <w:r w:rsidR="00D83B47" w:rsidRPr="003D0C88">
        <w:rPr>
          <w:rFonts w:cstheme="minorHAnsi"/>
          <w:sz w:val="24"/>
          <w:szCs w:val="24"/>
        </w:rPr>
        <w:fldChar w:fldCharType="separate"/>
      </w:r>
      <w:r w:rsidR="00464A24" w:rsidRPr="003D0C88">
        <w:rPr>
          <w:rFonts w:cstheme="minorHAnsi"/>
          <w:noProof/>
          <w:sz w:val="24"/>
          <w:szCs w:val="24"/>
        </w:rPr>
        <w:t>(Bindi et al. 2008)</w:t>
      </w:r>
      <w:r w:rsidR="00D83B47" w:rsidRPr="003D0C88">
        <w:rPr>
          <w:rFonts w:cstheme="minorHAnsi"/>
          <w:sz w:val="24"/>
          <w:szCs w:val="24"/>
        </w:rPr>
        <w:fldChar w:fldCharType="end"/>
      </w:r>
      <w:r w:rsidR="00D83B47" w:rsidRPr="003D0C88">
        <w:rPr>
          <w:rFonts w:cstheme="minorHAnsi"/>
          <w:sz w:val="24"/>
          <w:szCs w:val="24"/>
        </w:rPr>
        <w:t xml:space="preserve"> and the identification of predominant haemodynamic patterns </w:t>
      </w:r>
      <w:r w:rsidR="00D83B47" w:rsidRPr="003D0C88">
        <w:rPr>
          <w:rFonts w:cstheme="minorHAnsi"/>
          <w:sz w:val="24"/>
          <w:szCs w:val="24"/>
        </w:rPr>
        <w:fldChar w:fldCharType="begin" w:fldLock="1"/>
      </w:r>
      <w:r w:rsidR="004030CD">
        <w:rPr>
          <w:rFonts w:cstheme="minorHAnsi"/>
          <w:sz w:val="24"/>
          <w:szCs w:val="24"/>
        </w:rPr>
        <w:instrText>ADDIN CSL_CITATION {"citationItems":[{"id":"ITEM-1","itemData":{"DOI":"10.1016/j.transproceed.2015.10.006","ISSN":"00411345","PMID":"26680061","abstract":"INTRODUCTION About half of patients with acute liver failure (ALF) show clinical signs of cerebral edema and intracranial hypertension. Neuroimaging diagnostics and electroencephalography have poor correlation with intracranial pressure measurement. OBJECTIVE The objective of this study was to characterize the cerebral hemodynamics patterns with transcranial Doppler (TCD) sonography in patients with ALF. METHOD We studied 21 patients diagnosed with ALF, admitted to the intensive care unit (ICU) at the Centro de Investigaciones Médico Quirúrgicas of Cuba. All of these patients had a TCD performed on arrival at ICU, evaluating the following: systolic (SV), diastolic (DV), and medium (MV) flows velocities and pulsatility index (PI) in right middle cerebral artery (RMCA) via temporal windows. RESULTS The sonographic patterns of cerebral hemodynamics were as follows: low-flow, 12 patients (57.1%); high resistance, 5 patients (23.8%); and hyperemic, 4 patients (19%). Patients who died while waiting had lower MV RMCA (56.1 vs 58.1 cm/s) and higher PI (1.71 vs 1.41) than patients who could undergo transplantation (P = .800 and P = .787, respectively). CONCLUSIONS In patients diagnosed with ALF admitted to the ICU the predominating cerebral hemodynamic pattern was low-flow with resistance increase. The TCD was shown to be a useful tool in the initial evaluation for prognosis and treatment.","author":[{"dropping-particle":"","family":"Abdo","given":"A.","non-dropping-particle":"","parse-names":false,"suffix":""},{"dropping-particle":"","family":"Pérez-Bernal","given":"J.","non-dropping-particle":"","parse-names":false,"suffix":""},{"dropping-particle":"","family":"Hinojosa","given":"R.","non-dropping-particle":"","parse-names":false,"suffix":""},{"dropping-particle":"","family":"Porras","given":"F.","non-dropping-particle":"","parse-names":false,"suffix":""},{"dropping-particle":"","family":"Castellanos","given":"R.","non-dropping-particle":"","parse-names":false,"suffix":""},{"dropping-particle":"","family":"Gómez","given":"F.","non-dropping-particle":"","parse-names":false,"suffix":""},{"dropping-particle":"","family":"Gutiérrez","given":"J.","non-dropping-particle":"","parse-names":false,"suffix":""},{"dropping-particle":"","family":"Castellanos","given":"A.","non-dropping-particle":"","parse-names":false,"suffix":""},{"dropping-particle":"","family":"Leal","given":"G.","non-dropping-particle":"","parse-names":false,"suffix":""},{"dropping-particle":"","family":"Espinosa","given":"N.","non-dropping-particle":"","parse-names":false,"suffix":""},{"dropping-particle":"","family":"Gómez-Bravo","given":"M.","non-dropping-particle":"","parse-names":false,"suffix":""}],"container-title":"Transplantation Proceedings","id":"ITEM-1","issue":"9","issued":{"date-parts":[["2015","11"]]},"page":"2647-2649","title":"Cerebral Hemodynamics Patterns by Transcranial Doppler in Patients With Acute Liver Failure","type":"article-journal","volume":"47"},"uris":["http://www.mendeley.com/documents/?uuid=7433b5dc-c341-3bf3-91f5-a51f37b928e7"]}],"mendeley":{"formattedCitation":"(Abdo et al. 2015)","plainTextFormattedCitation":"(Abdo et al. 2015)","previouslyFormattedCitation":"(Abdo et al. 2015)"},"properties":{"noteIndex":0},"schema":"https://github.com/citation-style-language/schema/raw/master/csl-citation.json"}</w:instrText>
      </w:r>
      <w:r w:rsidR="00D83B47" w:rsidRPr="003D0C88">
        <w:rPr>
          <w:rFonts w:cstheme="minorHAnsi"/>
          <w:sz w:val="24"/>
          <w:szCs w:val="24"/>
        </w:rPr>
        <w:fldChar w:fldCharType="separate"/>
      </w:r>
      <w:r w:rsidR="00464A24" w:rsidRPr="003D0C88">
        <w:rPr>
          <w:rFonts w:cstheme="minorHAnsi"/>
          <w:noProof/>
          <w:sz w:val="24"/>
          <w:szCs w:val="24"/>
        </w:rPr>
        <w:t>(Abdo et al. 2015)</w:t>
      </w:r>
      <w:r w:rsidR="00D83B47" w:rsidRPr="003D0C88">
        <w:rPr>
          <w:rFonts w:cstheme="minorHAnsi"/>
          <w:sz w:val="24"/>
          <w:szCs w:val="24"/>
        </w:rPr>
        <w:fldChar w:fldCharType="end"/>
      </w:r>
      <w:r w:rsidR="00D83B47" w:rsidRPr="003D0C88">
        <w:rPr>
          <w:rFonts w:cstheme="minorHAnsi"/>
          <w:sz w:val="24"/>
          <w:szCs w:val="24"/>
        </w:rPr>
        <w:t xml:space="preserve">.  </w:t>
      </w:r>
      <w:r w:rsidR="00D83B47" w:rsidRPr="003D0C88">
        <w:rPr>
          <w:rFonts w:cstheme="minorHAnsi"/>
          <w:bCs/>
          <w:sz w:val="24"/>
          <w:szCs w:val="24"/>
        </w:rPr>
        <w:t xml:space="preserve">In the present study, different patterns of cerebral haemodynamics could be identified non-invasively during OLT using a TCD-derived multimodal approach englobing nICP, </w:t>
      </w:r>
      <w:r w:rsidR="00D83B47" w:rsidRPr="003D0C88">
        <w:rPr>
          <w:rFonts w:cstheme="minorHAnsi"/>
          <w:bCs/>
          <w:noProof/>
          <w:sz w:val="24"/>
          <w:szCs w:val="24"/>
        </w:rPr>
        <w:t>nCPP</w:t>
      </w:r>
      <w:r w:rsidR="00D83B47" w:rsidRPr="003D0C88">
        <w:rPr>
          <w:rFonts w:cstheme="minorHAnsi"/>
          <w:bCs/>
          <w:sz w:val="24"/>
          <w:szCs w:val="24"/>
        </w:rPr>
        <w:t>, cerebral autoregulation, CrCP and DCM.</w:t>
      </w:r>
    </w:p>
    <w:p w14:paraId="450C6F64" w14:textId="16996BBD" w:rsidR="00BE7DFA" w:rsidRPr="003D0C88" w:rsidRDefault="00693849" w:rsidP="00D83B47">
      <w:pPr>
        <w:pStyle w:val="BodyTextIndent"/>
        <w:spacing w:line="480" w:lineRule="auto"/>
        <w:ind w:left="0"/>
        <w:jc w:val="both"/>
        <w:rPr>
          <w:rFonts w:cstheme="minorHAnsi"/>
          <w:sz w:val="24"/>
          <w:szCs w:val="24"/>
        </w:rPr>
      </w:pPr>
      <w:r>
        <w:rPr>
          <w:rFonts w:cstheme="minorHAnsi"/>
          <w:sz w:val="24"/>
          <w:szCs w:val="24"/>
        </w:rPr>
        <w:tab/>
      </w:r>
      <w:r w:rsidR="00BE7DFA" w:rsidRPr="003D0C88">
        <w:rPr>
          <w:rFonts w:cstheme="minorHAnsi"/>
          <w:sz w:val="24"/>
          <w:szCs w:val="24"/>
        </w:rPr>
        <w:t>The assessment of cerebral</w:t>
      </w:r>
      <w:r w:rsidR="00EF3E56" w:rsidRPr="003D0C88">
        <w:rPr>
          <w:rFonts w:cstheme="minorHAnsi"/>
          <w:sz w:val="24"/>
          <w:szCs w:val="24"/>
        </w:rPr>
        <w:t xml:space="preserve"> autoregulation</w:t>
      </w:r>
      <w:r w:rsidR="008F4C85" w:rsidRPr="003D0C88">
        <w:rPr>
          <w:rFonts w:cstheme="minorHAnsi"/>
          <w:sz w:val="24"/>
          <w:szCs w:val="24"/>
        </w:rPr>
        <w:t xml:space="preserve"> with TCD</w:t>
      </w:r>
      <w:r w:rsidR="00EF3E56" w:rsidRPr="003D0C88">
        <w:rPr>
          <w:rFonts w:cstheme="minorHAnsi"/>
          <w:sz w:val="24"/>
          <w:szCs w:val="24"/>
        </w:rPr>
        <w:t xml:space="preserve"> during OLT</w:t>
      </w:r>
      <w:r w:rsidR="00BE7DFA" w:rsidRPr="003D0C88">
        <w:rPr>
          <w:rFonts w:cstheme="minorHAnsi"/>
          <w:sz w:val="24"/>
          <w:szCs w:val="24"/>
        </w:rPr>
        <w:t xml:space="preserve"> has been investigated previously</w:t>
      </w:r>
      <w:r w:rsidR="00EF3E56" w:rsidRPr="003D0C88">
        <w:rPr>
          <w:rFonts w:cstheme="minorHAnsi"/>
          <w:sz w:val="24"/>
          <w:szCs w:val="24"/>
        </w:rPr>
        <w:t>.</w:t>
      </w:r>
      <w:r w:rsidR="00BE7DFA" w:rsidRPr="003D0C88">
        <w:rPr>
          <w:rFonts w:cstheme="minorHAnsi"/>
          <w:sz w:val="24"/>
          <w:szCs w:val="24"/>
        </w:rPr>
        <w:t xml:space="preserve"> </w:t>
      </w:r>
      <w:r w:rsidR="008F4C85" w:rsidRPr="003D0C88">
        <w:rPr>
          <w:rFonts w:cstheme="minorHAnsi"/>
          <w:sz w:val="24"/>
          <w:szCs w:val="24"/>
        </w:rPr>
        <w:t xml:space="preserve">In a study of </w:t>
      </w:r>
      <w:proofErr w:type="spellStart"/>
      <w:r w:rsidR="008F4C85" w:rsidRPr="003D0C88">
        <w:rPr>
          <w:rFonts w:cstheme="minorHAnsi"/>
          <w:sz w:val="24"/>
          <w:szCs w:val="24"/>
        </w:rPr>
        <w:t>Ardizzone</w:t>
      </w:r>
      <w:proofErr w:type="spellEnd"/>
      <w:r w:rsidR="008F4C85" w:rsidRPr="003D0C88">
        <w:rPr>
          <w:rFonts w:cstheme="minorHAnsi"/>
          <w:sz w:val="24"/>
          <w:szCs w:val="24"/>
        </w:rPr>
        <w:t xml:space="preserve"> et.</w:t>
      </w:r>
      <w:r w:rsidR="008E6A52" w:rsidRPr="003D0C88">
        <w:rPr>
          <w:rFonts w:cstheme="minorHAnsi"/>
          <w:sz w:val="24"/>
          <w:szCs w:val="24"/>
        </w:rPr>
        <w:t xml:space="preserve"> </w:t>
      </w:r>
      <w:r w:rsidR="008F4C85" w:rsidRPr="003D0C88">
        <w:rPr>
          <w:rFonts w:cstheme="minorHAnsi"/>
          <w:sz w:val="24"/>
          <w:szCs w:val="24"/>
        </w:rPr>
        <w:t>al</w:t>
      </w:r>
      <w:r w:rsidR="0004413C">
        <w:rPr>
          <w:rFonts w:cstheme="minorHAnsi"/>
          <w:sz w:val="24"/>
          <w:szCs w:val="24"/>
        </w:rPr>
        <w:t xml:space="preserve"> </w:t>
      </w:r>
      <w:r w:rsidR="008F4C85" w:rsidRPr="003D0C88">
        <w:rPr>
          <w:rFonts w:cstheme="minorHAnsi"/>
          <w:sz w:val="24"/>
          <w:szCs w:val="24"/>
        </w:rPr>
        <w:fldChar w:fldCharType="begin" w:fldLock="1"/>
      </w:r>
      <w:r w:rsidR="004030CD">
        <w:rPr>
          <w:rFonts w:cstheme="minorHAnsi"/>
          <w:sz w:val="24"/>
          <w:szCs w:val="24"/>
        </w:rPr>
        <w:instrText>ADDIN CSL_CITATION {"citationItems":[{"id":"ITEM-1","itemData":{"DOI":"10.1016/j.transproceed.2004.11.014","ISSN":"00411345","PMID":"15686694","abstract":"BACKGROUND: Cerebral autoregulation and metabolism may be seriously compromised in patients with fulminant hepatic failure (FHF). The mechanism responsible for the alteration in cerebral blood flow (CBF) has not been yet clearly defined; however, it is known that it does correlate with liver function. Orthotopic liver transplant (OLT) rapidly restores normal liver function, but little is known about the restoration of cerebral metabolism and hemodynamics. To investigate the relationship between liver function and CBF, we evaluated autoregulation and metabolic changes during OLT in six patients comatose due to FHF. METHODS: We evaluated autoregulation based on a linear regression analysis between mean arterial blood pressure and parallel CBF velocity (CBFV) changes using transcranial Doppler ultrasound. Cerebral metabolism rate was estimated by the arterial-jugular venous oxygen content difference (a-jDO2), while the percentile variation in cerebral metabolic rate for oxygen (CMRO2) was estimated using CBFV percentile variation rather than CBF percentile variation (eCMRO2). RESULTS: Prior to transplant autoregulation was impaired in all patients. However it markedly improved at the end of surgery (P &lt;.05). The eCMRO2 improved as well, particularly among subjects who displayed prompt neurological recovery. In all patients the a-jDO2 was low before transplantation increasing to normal values at the end of surgery. CONCLUSIONS: A hallmark of FHF seems to be failure of autoregulation, which is linked to uncoupling between CBF and CMRO2 as attested by an a-jDO2 lower than normal in all patients (luxury perfusion). The recovery of liver function rapidly improves cerebral hemodynamics and metabolic stability. The study of autoregulation and eCMRO2 recovery using Doppler monitoring proffers the possibility to predict early graft function after liver reperfusion. In our patients eCMRO2 seemed to be associated with improved neurological outcomes.","author":[{"dropping-particle":"","family":"Ardizzone","given":"G.","non-dropping-particle":"","parse-names":false,"suffix":""},{"dropping-particle":"","family":"Arrigo","given":"A.","non-dropping-particle":"","parse-names":false,"suffix":""},{"dropping-particle":"","family":"Panaro","given":"F.","non-dropping-particle":"","parse-names":false,"suffix":""},{"dropping-particle":"","family":"Ornis","given":"S.","non-dropping-particle":"","parse-names":false,"suffix":""},{"dropping-particle":"","family":"Colombi","given":"R.","non-dropping-particle":"","parse-names":false,"suffix":""},{"dropping-particle":"","family":"Distefano","given":"S.","non-dropping-particle":"","parse-names":false,"suffix":""},{"dropping-particle":"","family":"Jarzembowski","given":"T.M.","non-dropping-particle":"","parse-names":false,"suffix":""},{"dropping-particle":"","family":"Cerruti","given":"E.","non-dropping-particle":"","parse-names":false,"suffix":""}],"container-title":"Transplantation Proceedings","id":"ITEM-1","issue":"10","issued":{"date-parts":[["2004"]]},"page":"3060-3064","title":"Cerebral hemodynamic and metabolic changes in patients with fulminant hepatic failure during liver transplantation","type":"article-journal","volume":"36"},"uris":["http://www.mendeley.com/documents/?uuid=4c0b2dfc-2371-4574-a204-051a71d21c8c","http://www.mendeley.com/documents/?uuid=5cfc9735-9c75-4887-837c-7ccc20ba5545"]}],"mendeley":{"formattedCitation":"(Ardizzone et al. 2004b)","plainTextFormattedCitation":"(Ardizzone et al. 2004b)","previouslyFormattedCitation":"(Ardizzone et al. 2004b)"},"properties":{"noteIndex":0},"schema":"https://github.com/citation-style-language/schema/raw/master/csl-citation.json"}</w:instrText>
      </w:r>
      <w:r w:rsidR="008F4C85" w:rsidRPr="003D0C88">
        <w:rPr>
          <w:rFonts w:cstheme="minorHAnsi"/>
          <w:sz w:val="24"/>
          <w:szCs w:val="24"/>
        </w:rPr>
        <w:fldChar w:fldCharType="separate"/>
      </w:r>
      <w:r w:rsidR="00464A24" w:rsidRPr="003D0C88">
        <w:rPr>
          <w:rFonts w:cstheme="minorHAnsi"/>
          <w:noProof/>
          <w:sz w:val="24"/>
          <w:szCs w:val="24"/>
        </w:rPr>
        <w:t>(Ardizzone et al. 2004b)</w:t>
      </w:r>
      <w:r w:rsidR="008F4C85" w:rsidRPr="003D0C88">
        <w:rPr>
          <w:rFonts w:cstheme="minorHAnsi"/>
          <w:sz w:val="24"/>
          <w:szCs w:val="24"/>
        </w:rPr>
        <w:fldChar w:fldCharType="end"/>
      </w:r>
      <w:r w:rsidR="008F4C85" w:rsidRPr="003D0C88">
        <w:rPr>
          <w:rFonts w:cstheme="minorHAnsi"/>
          <w:sz w:val="24"/>
          <w:szCs w:val="24"/>
        </w:rPr>
        <w:t xml:space="preserve">, CA was evaluated by investigating parallel changes in both ABP and FV during a slow phenylephrine infusion at the </w:t>
      </w:r>
      <w:r w:rsidR="008F4C85" w:rsidRPr="003D0C88">
        <w:rPr>
          <w:rFonts w:cstheme="minorHAnsi"/>
          <w:sz w:val="24"/>
          <w:szCs w:val="24"/>
        </w:rPr>
        <w:lastRenderedPageBreak/>
        <w:t>beginning and end of OLT for 1 hour at each period</w:t>
      </w:r>
      <w:r w:rsidR="008E6A52" w:rsidRPr="003D0C88">
        <w:rPr>
          <w:rFonts w:cstheme="minorHAnsi"/>
          <w:sz w:val="24"/>
          <w:szCs w:val="24"/>
        </w:rPr>
        <w:t xml:space="preserve"> compared with a baseline</w:t>
      </w:r>
      <w:r w:rsidR="008F4C85" w:rsidRPr="003D0C88">
        <w:rPr>
          <w:rFonts w:cstheme="minorHAnsi"/>
          <w:sz w:val="24"/>
          <w:szCs w:val="24"/>
        </w:rPr>
        <w:t>.</w:t>
      </w:r>
      <w:r w:rsidR="008E6A52" w:rsidRPr="003D0C88">
        <w:rPr>
          <w:rFonts w:cstheme="minorHAnsi"/>
          <w:sz w:val="24"/>
          <w:szCs w:val="24"/>
        </w:rPr>
        <w:t xml:space="preserve"> Prior to OLT, CA was impaired in all patients</w:t>
      </w:r>
      <w:r w:rsidR="008C6A29" w:rsidRPr="003D0C88">
        <w:rPr>
          <w:rFonts w:cstheme="minorHAnsi"/>
          <w:sz w:val="24"/>
          <w:szCs w:val="24"/>
        </w:rPr>
        <w:t xml:space="preserve"> (n=6)</w:t>
      </w:r>
      <w:r w:rsidR="008E6A52" w:rsidRPr="003D0C88">
        <w:rPr>
          <w:rFonts w:cstheme="minorHAnsi"/>
          <w:sz w:val="24"/>
          <w:szCs w:val="24"/>
        </w:rPr>
        <w:t>. However, it markedly improved at the end of surgery.</w:t>
      </w:r>
      <w:r w:rsidR="008C6A29" w:rsidRPr="003D0C88">
        <w:rPr>
          <w:rFonts w:cstheme="minorHAnsi"/>
          <w:sz w:val="24"/>
          <w:szCs w:val="24"/>
        </w:rPr>
        <w:t xml:space="preserve"> In another study from the same author using a larger patient cohort (n=23)</w:t>
      </w:r>
      <w:r w:rsidR="0004413C">
        <w:rPr>
          <w:rFonts w:cstheme="minorHAnsi"/>
          <w:sz w:val="24"/>
          <w:szCs w:val="24"/>
        </w:rPr>
        <w:t xml:space="preserve"> </w:t>
      </w:r>
      <w:r w:rsidR="008C6A29" w:rsidRPr="003D0C88">
        <w:rPr>
          <w:rFonts w:cstheme="minorHAnsi"/>
          <w:sz w:val="24"/>
          <w:szCs w:val="24"/>
        </w:rPr>
        <w:fldChar w:fldCharType="begin" w:fldLock="1"/>
      </w:r>
      <w:r w:rsidR="004030CD">
        <w:rPr>
          <w:rFonts w:cstheme="minorHAnsi"/>
          <w:sz w:val="24"/>
          <w:szCs w:val="24"/>
        </w:rPr>
        <w:instrText>ADDIN CSL_CITATION {"citationItems":[{"id":"ITEM-1","itemData":{"DOI":"10.1016/j.transproceed.2004.05.045","ISSN":"00411345","PMID":"15251361","abstract":"We have studied cerebral blood flow velocity (CBFV) and cerebral autoregulation (CA) in 23 orthotopic liver transplantation (OLT) patients using transcranial doppler. CBFV was continuously recorded using a fixed (helmet) 2-Mz probe through the trans-temporal window. CA changes were studied using a linear regression analysis of percentile changes in CBFV and mean arterial blood pressure (MABP) after phenylephrine infusion compared with baseline. Pearson's \"r\" coefficient was considered an index of CA. In case of autoregulation is lost \"r\" tends to 1, thus representing complete dependence of CBFV on MABP. We regarded the slope coefficient parameter \"S\" as an index of cerebral vascular resistance (CVR), namely, the ratio of the corresponding variations of CBFV to MABP. Wilcoxon test showed a significant increase in both \"r\" and \"S\" between the anhepatic versus postreperfusion phases (within the first hour) and versus recovery in the neohepatic phase (end of surgery). A decreased CVR was observed within the first hour after graft reperfusion producing a loss of CA. These phenomena lead to an increase of CBFV and exposed the brain to hyperperfusion.","author":[{"dropping-particle":"","family":"Ardizzone","given":"G.","non-dropping-particle":"","parse-names":false,"suffix":""},{"dropping-particle":"","family":"Arrigo","given":"A.","non-dropping-particle":"","parse-names":false,"suffix":""},{"dropping-particle":"","family":"Panaro","given":"F.","non-dropping-particle":"","parse-names":false,"suffix":""},{"dropping-particle":"","family":"Centanaro","given":"M.","non-dropping-particle":"","parse-names":false,"suffix":""},{"dropping-particle":"","family":"Demartini","given":"M.","non-dropping-particle":"","parse-names":false,"suffix":""},{"dropping-particle":"","family":"Pellizzari","given":"A.","non-dropping-particle":"","parse-names":false,"suffix":""},{"dropping-particle":"","family":"Cifelli","given":"A.","non-dropping-particle":"","parse-names":false,"suffix":""},{"dropping-particle":"","family":"Jarzembowsky","given":"T. M.","non-dropping-particle":"","parse-names":false,"suffix":""},{"dropping-particle":"","family":"Valente","given":"U.","non-dropping-particle":"","parse-names":false,"suffix":""},{"dropping-particle":"","family":"Siani","given":"C.","non-dropping-particle":"","parse-names":false,"suffix":""}],"container-title":"Transplantation Proceedings","id":"ITEM-1","issue":"5","issued":{"date-parts":[["2004"]]},"page":"1473-1478","title":"Modifications of cerebral vascular resistance and autoregulation after graft reperfusion during human orthotopic liver transplantation","type":"article-journal","volume":"36"},"uris":["http://www.mendeley.com/documents/?uuid=a935dfe1-8a0c-4ff6-9a58-ecc7a91eeff6","http://www.mendeley.com/documents/?uuid=55f1b57e-297a-4972-8d6f-54f85409f17d"]}],"mendeley":{"formattedCitation":"(Ardizzone et al. 2004a)","plainTextFormattedCitation":"(Ardizzone et al. 2004a)","previouslyFormattedCitation":"(Ardizzone et al. 2004a)"},"properties":{"noteIndex":0},"schema":"https://github.com/citation-style-language/schema/raw/master/csl-citation.json"}</w:instrText>
      </w:r>
      <w:r w:rsidR="008C6A29" w:rsidRPr="003D0C88">
        <w:rPr>
          <w:rFonts w:cstheme="minorHAnsi"/>
          <w:sz w:val="24"/>
          <w:szCs w:val="24"/>
        </w:rPr>
        <w:fldChar w:fldCharType="separate"/>
      </w:r>
      <w:r w:rsidR="00464A24" w:rsidRPr="003D0C88">
        <w:rPr>
          <w:rFonts w:cstheme="minorHAnsi"/>
          <w:noProof/>
          <w:sz w:val="24"/>
          <w:szCs w:val="24"/>
        </w:rPr>
        <w:t>(Ardizzone et al. 2004a)</w:t>
      </w:r>
      <w:r w:rsidR="008C6A29" w:rsidRPr="003D0C88">
        <w:rPr>
          <w:rFonts w:cstheme="minorHAnsi"/>
          <w:sz w:val="24"/>
          <w:szCs w:val="24"/>
        </w:rPr>
        <w:fldChar w:fldCharType="end"/>
      </w:r>
      <w:r w:rsidR="008C6A29" w:rsidRPr="003D0C88">
        <w:rPr>
          <w:rFonts w:cstheme="minorHAnsi"/>
          <w:sz w:val="24"/>
          <w:szCs w:val="24"/>
        </w:rPr>
        <w:t>, CA and cerebrovascular resistance were increased between the anhepatic versus postreperfusion phases (within the first hour) and versus recovery in the neohepatic phase (end of surgery).</w:t>
      </w:r>
      <w:r w:rsidR="00731A44" w:rsidRPr="003D0C88">
        <w:rPr>
          <w:rFonts w:cstheme="minorHAnsi"/>
          <w:sz w:val="24"/>
          <w:szCs w:val="24"/>
        </w:rPr>
        <w:t xml:space="preserve"> Such results </w:t>
      </w:r>
      <w:r w:rsidR="00DB44C9" w:rsidRPr="003D0C88">
        <w:rPr>
          <w:rFonts w:cstheme="minorHAnsi"/>
          <w:sz w:val="24"/>
          <w:szCs w:val="24"/>
        </w:rPr>
        <w:t>agree</w:t>
      </w:r>
      <w:r w:rsidR="00731A44" w:rsidRPr="003D0C88">
        <w:rPr>
          <w:rFonts w:cstheme="minorHAnsi"/>
          <w:sz w:val="24"/>
          <w:szCs w:val="24"/>
        </w:rPr>
        <w:t xml:space="preserve"> with ours, as throughout OLT cerebral autoregulation </w:t>
      </w:r>
      <w:r w:rsidR="00B456BA" w:rsidRPr="003D0C88">
        <w:rPr>
          <w:rFonts w:cstheme="minorHAnsi"/>
          <w:sz w:val="24"/>
          <w:szCs w:val="24"/>
        </w:rPr>
        <w:t xml:space="preserve">(Mxa, Figure </w:t>
      </w:r>
      <w:r w:rsidR="00650E7A" w:rsidRPr="003D0C88">
        <w:rPr>
          <w:rFonts w:cstheme="minorHAnsi"/>
          <w:sz w:val="24"/>
          <w:szCs w:val="24"/>
        </w:rPr>
        <w:t>4</w:t>
      </w:r>
      <w:r w:rsidR="00B456BA" w:rsidRPr="003D0C88">
        <w:rPr>
          <w:rFonts w:cstheme="minorHAnsi"/>
          <w:sz w:val="24"/>
          <w:szCs w:val="24"/>
        </w:rPr>
        <w:t xml:space="preserve">) </w:t>
      </w:r>
      <w:r w:rsidR="00731A44" w:rsidRPr="003D0C88">
        <w:rPr>
          <w:rFonts w:cstheme="minorHAnsi"/>
          <w:sz w:val="24"/>
          <w:szCs w:val="24"/>
        </w:rPr>
        <w:t>demonstrated values indicative of a non-reactive cerebrovascular bed.</w:t>
      </w:r>
    </w:p>
    <w:p w14:paraId="04101633" w14:textId="014B207E" w:rsidR="00D16CD8" w:rsidRDefault="00693849" w:rsidP="00693849">
      <w:pPr>
        <w:spacing w:line="480" w:lineRule="auto"/>
        <w:jc w:val="both"/>
        <w:rPr>
          <w:rFonts w:cstheme="minorHAnsi"/>
          <w:i/>
          <w:highlight w:val="yellow"/>
        </w:rPr>
      </w:pPr>
      <w:r>
        <w:rPr>
          <w:rFonts w:cstheme="minorHAnsi"/>
          <w:sz w:val="24"/>
          <w:szCs w:val="24"/>
        </w:rPr>
        <w:tab/>
      </w:r>
      <w:bookmarkStart w:id="0" w:name="_Hlk535145542"/>
      <w:r w:rsidR="001022C8" w:rsidRPr="003D0C88">
        <w:rPr>
          <w:rFonts w:cstheme="minorHAnsi"/>
          <w:sz w:val="24"/>
          <w:szCs w:val="24"/>
        </w:rPr>
        <w:t>The</w:t>
      </w:r>
      <w:r w:rsidR="008C51E3" w:rsidRPr="003D0C88">
        <w:rPr>
          <w:rFonts w:cstheme="minorHAnsi"/>
          <w:sz w:val="24"/>
          <w:szCs w:val="24"/>
        </w:rPr>
        <w:t xml:space="preserve"> absence of optimal cerebral autoregulation may explain the overall low flow velocity pattern presented by patients</w:t>
      </w:r>
      <w:r w:rsidR="00020894" w:rsidRPr="003D0C88">
        <w:rPr>
          <w:rFonts w:cstheme="minorHAnsi"/>
          <w:sz w:val="24"/>
          <w:szCs w:val="24"/>
        </w:rPr>
        <w:t xml:space="preserve">. </w:t>
      </w:r>
      <w:r w:rsidR="007F5AD1" w:rsidRPr="003D0C88">
        <w:rPr>
          <w:rFonts w:cstheme="minorHAnsi"/>
          <w:sz w:val="24"/>
          <w:szCs w:val="24"/>
        </w:rPr>
        <w:t xml:space="preserve">In addition, </w:t>
      </w:r>
      <w:r w:rsidR="00CD43AB" w:rsidRPr="003D0C88">
        <w:rPr>
          <w:rFonts w:cstheme="minorHAnsi"/>
          <w:sz w:val="24"/>
          <w:szCs w:val="24"/>
        </w:rPr>
        <w:t>the</w:t>
      </w:r>
      <w:r w:rsidR="00AB1C07" w:rsidRPr="003D0C88">
        <w:rPr>
          <w:rFonts w:cstheme="minorHAnsi"/>
          <w:sz w:val="24"/>
          <w:szCs w:val="24"/>
        </w:rPr>
        <w:t xml:space="preserve"> overall</w:t>
      </w:r>
      <w:r w:rsidR="00CD43AB" w:rsidRPr="003D0C88">
        <w:rPr>
          <w:rFonts w:cstheme="minorHAnsi"/>
          <w:sz w:val="24"/>
          <w:szCs w:val="24"/>
        </w:rPr>
        <w:t xml:space="preserve"> estimated </w:t>
      </w:r>
      <w:r w:rsidR="007F5AD1" w:rsidRPr="003D0C88">
        <w:rPr>
          <w:rFonts w:cstheme="minorHAnsi"/>
          <w:sz w:val="24"/>
          <w:szCs w:val="24"/>
        </w:rPr>
        <w:t>cerebral perfusion pressure below 60 mmHg may indicate that patients were on the verge of the lower limit of autoregulation</w:t>
      </w:r>
      <w:r w:rsidR="00CD43AB" w:rsidRPr="003D0C88">
        <w:rPr>
          <w:rFonts w:cstheme="minorHAnsi"/>
          <w:sz w:val="24"/>
          <w:szCs w:val="24"/>
        </w:rPr>
        <w:t>, where FV decreases passively with decreasing CPP</w:t>
      </w:r>
      <w:r w:rsidR="0004413C">
        <w:rPr>
          <w:rFonts w:cstheme="minorHAnsi"/>
          <w:sz w:val="24"/>
          <w:szCs w:val="24"/>
        </w:rPr>
        <w:t xml:space="preserve"> </w:t>
      </w:r>
      <w:r w:rsidR="00020894" w:rsidRPr="003D0C88">
        <w:rPr>
          <w:rFonts w:cstheme="minorHAnsi"/>
          <w:sz w:val="24"/>
          <w:szCs w:val="24"/>
        </w:rPr>
        <w:fldChar w:fldCharType="begin" w:fldLock="1"/>
      </w:r>
      <w:r w:rsidR="004030CD">
        <w:rPr>
          <w:rFonts w:cstheme="minorHAnsi"/>
          <w:sz w:val="24"/>
          <w:szCs w:val="24"/>
        </w:rPr>
        <w:instrText>ADDIN CSL_CITATION {"citationItems":[{"id":"ITEM-1","itemData":{"DOI":"10.3171/jns.2001.95.5.0756","ISBN":"0022-3085","ISSN":"0022-3085","PMID":"11702864","abstract":"OBJECT: The goal of this study was to examine the relationship between cerebral autoregulation, intracranial pressure (ICP), arterial blood pressure (ABP), and cerebral perfusion pressure (CPP) after head injury by using transcranial Doppler (TCD) ultrasonography. METHODS: Using ICP monitoring and TCD ultrasonography, the authors previously investigated whether the response of flow velocity (FV) in the middle cerebral artery to spontaneous variations in ABP or CPP provides reliable information about cerebral autoregulatory reserve. In the present study, this method was validated in 187 head-injured patients who were sedated and receiving mechanical ventilation. Waveforms of ICP, ABP, and FV were recorded over intervals lasting 20 to 120 minutes. Time-averaged mean FV and CPP were determined. The correlation coefficient index between FV and CPP (the mean index of autoregulation [Mx]) was calculated over 4-minute epochs and averaged for each investigation. The distribution of averaged mean FV values converged with the shape of the autoregulatory curve, indicating lower (CPP &lt; 55 mm Hg) and upper (CPP &gt; 105 mm Hg) thresholds of autoregulation. The relationship between the Mx and either the CPP or ABP was depicted as a U-shaped curve. Autoregulation was disturbed in the presence of intracranial hypertension (ICP &gt; or = 25 mm Hg) and when mean ABP was too low (ABP &lt; 75 mm Hg) or too high (ABP &gt; 125 mm Hg). Disturbed autoregulation (p &lt; 0.005) and higher ICP (p &lt; 0.005) occurred more often in patients with unfavorable outcomes than in those with favorable outcomes. CONCLUSIONS: Autoregulation not only is impaired when associated with a high ICP or low ABP, but it can also be disturbed by too high a CPP. The Mx can be used to guide intensive care therapy when CPP-oriented protocols are used.","author":[{"dropping-particle":"","family":"Czosnyka","given":"M","non-dropping-particle":"","parse-names":false,"suffix":""},{"dropping-particle":"","family":"Smielewski","given":"P","non-dropping-particle":"","parse-names":false,"suffix":""},{"dropping-particle":"","family":"Piechnik","given":"S","non-dropping-particle":"","parse-names":false,"suffix":""},{"dropping-particle":"","family":"Steiner","given":"L a","non-dropping-particle":"","parse-names":false,"suffix":""},{"dropping-particle":"","family":"Pickard","given":"J D","non-dropping-particle":"","parse-names":false,"suffix":""}],"container-title":"Journal of neurosurgery","id":"ITEM-1","issue":"5","issued":{"date-parts":[["2001"]]},"page":"756-763","title":"Cerebral autoregulation following head injury.","type":"article-journal","volume":"95"},"uris":["http://www.mendeley.com/documents/?uuid=6d51ad8c-4d33-41f2-a501-693b7159e93a"]}],"mendeley":{"formattedCitation":"(Czosnyka et al. 2001)","plainTextFormattedCitation":"(Czosnyka et al. 2001)","previouslyFormattedCitation":"(Czosnyka et al. 2001)"},"properties":{"noteIndex":0},"schema":"https://github.com/citation-style-language/schema/raw/master/csl-citation.json"}</w:instrText>
      </w:r>
      <w:r w:rsidR="00020894" w:rsidRPr="003D0C88">
        <w:rPr>
          <w:rFonts w:cstheme="minorHAnsi"/>
          <w:sz w:val="24"/>
          <w:szCs w:val="24"/>
        </w:rPr>
        <w:fldChar w:fldCharType="separate"/>
      </w:r>
      <w:r w:rsidR="00464A24" w:rsidRPr="003D0C88">
        <w:rPr>
          <w:rFonts w:cstheme="minorHAnsi"/>
          <w:noProof/>
          <w:sz w:val="24"/>
          <w:szCs w:val="24"/>
        </w:rPr>
        <w:t>(Czosnyka et al. 2001)</w:t>
      </w:r>
      <w:r w:rsidR="00020894" w:rsidRPr="003D0C88">
        <w:rPr>
          <w:rFonts w:cstheme="minorHAnsi"/>
          <w:sz w:val="24"/>
          <w:szCs w:val="24"/>
        </w:rPr>
        <w:fldChar w:fldCharType="end"/>
      </w:r>
      <w:r w:rsidR="007F5AD1" w:rsidRPr="003D0C88">
        <w:rPr>
          <w:rFonts w:cstheme="minorHAnsi"/>
          <w:sz w:val="24"/>
          <w:szCs w:val="24"/>
        </w:rPr>
        <w:t>.</w:t>
      </w:r>
      <w:r w:rsidR="00020894" w:rsidRPr="003D0C88">
        <w:rPr>
          <w:rFonts w:cstheme="minorHAnsi"/>
          <w:sz w:val="24"/>
          <w:szCs w:val="24"/>
        </w:rPr>
        <w:t xml:space="preserve"> PI, as an index describing changes in TCD waveform resulting from changes in CPP, </w:t>
      </w:r>
      <w:r w:rsidR="00E67A7A" w:rsidRPr="003D0C88">
        <w:rPr>
          <w:rFonts w:cstheme="minorHAnsi"/>
          <w:sz w:val="24"/>
          <w:szCs w:val="24"/>
        </w:rPr>
        <w:t>deviated from normal</w:t>
      </w:r>
      <w:r w:rsidR="00897A33" w:rsidRPr="003D0C88">
        <w:rPr>
          <w:rFonts w:cstheme="minorHAnsi"/>
          <w:sz w:val="24"/>
          <w:szCs w:val="24"/>
        </w:rPr>
        <w:t xml:space="preserve"> range</w:t>
      </w:r>
      <w:r w:rsidR="00020894" w:rsidRPr="003D0C88">
        <w:rPr>
          <w:rFonts w:cstheme="minorHAnsi"/>
          <w:sz w:val="24"/>
          <w:szCs w:val="24"/>
        </w:rPr>
        <w:t xml:space="preserve"> under these condition</w:t>
      </w:r>
      <w:r w:rsidR="000E2140" w:rsidRPr="003D0C88">
        <w:rPr>
          <w:rFonts w:cstheme="minorHAnsi"/>
          <w:sz w:val="24"/>
          <w:szCs w:val="24"/>
        </w:rPr>
        <w:t>s.</w:t>
      </w:r>
      <w:r w:rsidR="0071523B" w:rsidRPr="003D0C88">
        <w:rPr>
          <w:rFonts w:cstheme="minorHAnsi"/>
          <w:sz w:val="24"/>
          <w:szCs w:val="24"/>
        </w:rPr>
        <w:t xml:space="preserve"> However, PI in our study did not show increased values as demonstrated by Abdo et al. in previous works assessing cerebral haemodynamics in patients with ALF</w:t>
      </w:r>
      <w:r w:rsidR="005E74E7" w:rsidRPr="003D0C88">
        <w:rPr>
          <w:rFonts w:cstheme="minorHAnsi"/>
          <w:sz w:val="24"/>
          <w:szCs w:val="24"/>
        </w:rPr>
        <w:t xml:space="preserve"> (PI=2.4</w:t>
      </w:r>
      <w:r w:rsidR="0004413C">
        <w:rPr>
          <w:rFonts w:cstheme="minorHAnsi"/>
          <w:sz w:val="24"/>
          <w:szCs w:val="24"/>
        </w:rPr>
        <w:t xml:space="preserve"> </w:t>
      </w:r>
      <w:r w:rsidR="005E74E7" w:rsidRPr="003D0C88">
        <w:rPr>
          <w:rFonts w:cstheme="minorHAnsi"/>
          <w:sz w:val="24"/>
          <w:szCs w:val="24"/>
        </w:rPr>
        <w:fldChar w:fldCharType="begin" w:fldLock="1"/>
      </w:r>
      <w:r w:rsidR="004030CD">
        <w:rPr>
          <w:rFonts w:cstheme="minorHAnsi"/>
          <w:sz w:val="24"/>
          <w:szCs w:val="24"/>
        </w:rPr>
        <w:instrText>ADDIN CSL_CITATION {"citationItems":[{"id":"ITEM-1","itemData":{"DOI":"10.1016/S0041-1345(03)00592-X","ISSN":"00411345","PMID":"12962825","abstract":"The clinical course of patients with fulminant hepatic failure (FHF) is often worsened by the presence of cerebral edema and endocranial hypertension. In spite of the multiple studies using Transcranial Doppler Sonography (TCDS), few have shown the cerebral blood flow (CBF) pattern among patients with encephalopathy resulting from FHF. OBJECTIVE: Our objective was to characterize the CBF pattern in these patients through the use of TCDS to provide therapeutic strategies. METHOD: The TCDS pattern was assessed in five patients diagnosed with FHF and compared with a control group who displayed critical neurologic conditions not associated with FHF. Pulsatile index, systolic, diastolic, and mean velocity of the middle cerebral artery were measured. RESULTS: The mean age of patients with FHF was 45.4 years. One hundred percent were women, with viral hepatitis as the predominant etiology. A cerebral hypoperfusion pattern was found in 80% of the FHF group and 40% of the control group. In the former group there was no evidence of hyperemia, as there was among 20% of the control group. The mean values of velocity and pulsatile index were 36.6 cm/sec and 2.4, respectively, in the FHF group and 47.8 cm/s and 1.8 in the control group (P=0.268, P=0.402). CONCLUSIONS: FHF patients show a predominance of cerebral hypoperfusion pattern with mean velocities lower than normal values and an increased pulsatile index. We recommend that clinicians take appropriate measures to improve cerebral perfusion and avoid hypoxia. Hyperventilation as a first level measure is contraindicated.","author":[{"dropping-particle":"","family":"Abdo","given":"A","non-dropping-particle":"","parse-names":false,"suffix":""},{"dropping-particle":"","family":"López","given":"O","non-dropping-particle":"","parse-names":false,"suffix":""},{"dropping-particle":"","family":"Fernández","given":"A","non-dropping-particle":"","parse-names":false,"suffix":""},{"dropping-particle":"","family":"Santos","given":"J","non-dropping-particle":"","parse-names":false,"suffix":""},{"dropping-particle":"","family":"Castillo","given":"J","non-dropping-particle":"","parse-names":false,"suffix":""},{"dropping-particle":"","family":"Castellanos","given":"R","non-dropping-particle":"","parse-names":false,"suffix":""},{"dropping-particle":"","family":"González","given":"L","non-dropping-particle":"","parse-names":false,"suffix":""},{"dropping-particle":"","family":"Gómez","given":"F","non-dropping-particle":"","parse-names":false,"suffix":""},{"dropping-particle":"","family":"Limonta","given":"D","non-dropping-particle":"","parse-names":false,"suffix":""}],"container-title":"Transplantation proceedings","id":"ITEM-1","issue":"5","issued":{"date-parts":[["2003"]]},"page":"1859-1860","title":"Transcranial Doppler sonography in fulminant hepatic failure.","type":"article-journal","volume":"35"},"uris":["http://www.mendeley.com/documents/?uuid=9576f831-389e-4017-b8a2-4d93494fb5a5","http://www.mendeley.com/documents/?uuid=aadbf8d1-ab37-4ed7-8b63-df115b77c510"]}],"mendeley":{"formattedCitation":"(Abdo et al. 2003)","plainTextFormattedCitation":"(Abdo et al. 2003)","previouslyFormattedCitation":"(Abdo et al. 2003)"},"properties":{"noteIndex":0},"schema":"https://github.com/citation-style-language/schema/raw/master/csl-citation.json"}</w:instrText>
      </w:r>
      <w:r w:rsidR="005E74E7" w:rsidRPr="003D0C88">
        <w:rPr>
          <w:rFonts w:cstheme="minorHAnsi"/>
          <w:sz w:val="24"/>
          <w:szCs w:val="24"/>
        </w:rPr>
        <w:fldChar w:fldCharType="separate"/>
      </w:r>
      <w:r w:rsidR="00464A24" w:rsidRPr="003D0C88">
        <w:rPr>
          <w:rFonts w:cstheme="minorHAnsi"/>
          <w:noProof/>
          <w:sz w:val="24"/>
          <w:szCs w:val="24"/>
        </w:rPr>
        <w:t>(Abdo et al. 2003)</w:t>
      </w:r>
      <w:r w:rsidR="005E74E7" w:rsidRPr="003D0C88">
        <w:rPr>
          <w:rFonts w:cstheme="minorHAnsi"/>
          <w:sz w:val="24"/>
          <w:szCs w:val="24"/>
        </w:rPr>
        <w:fldChar w:fldCharType="end"/>
      </w:r>
      <w:r w:rsidR="005E74E7" w:rsidRPr="003D0C88">
        <w:rPr>
          <w:rFonts w:cstheme="minorHAnsi"/>
          <w:sz w:val="24"/>
          <w:szCs w:val="24"/>
        </w:rPr>
        <w:t xml:space="preserve"> or PI=1.71</w:t>
      </w:r>
      <w:r w:rsidR="0004413C">
        <w:rPr>
          <w:rFonts w:cstheme="minorHAnsi"/>
          <w:sz w:val="24"/>
          <w:szCs w:val="24"/>
        </w:rPr>
        <w:t xml:space="preserve"> </w:t>
      </w:r>
      <w:r w:rsidR="005E74E7" w:rsidRPr="003D0C88">
        <w:rPr>
          <w:rFonts w:cstheme="minorHAnsi"/>
          <w:sz w:val="24"/>
          <w:szCs w:val="24"/>
        </w:rPr>
        <w:fldChar w:fldCharType="begin" w:fldLock="1"/>
      </w:r>
      <w:r w:rsidR="004030CD">
        <w:rPr>
          <w:rFonts w:cstheme="minorHAnsi"/>
          <w:sz w:val="24"/>
          <w:szCs w:val="24"/>
        </w:rPr>
        <w:instrText>ADDIN CSL_CITATION {"citationItems":[{"id":"ITEM-1","itemData":{"DOI":"10.1016/j.transproceed.2015.10.006","ISSN":"00411345","PMID":"26680061","abstract":"INTRODUCTION About half of patients with acute liver failure (ALF) show clinical signs of cerebral edema and intracranial hypertension. Neuroimaging diagnostics and electroencephalography have poor correlation with intracranial pressure measurement. OBJECTIVE The objective of this study was to characterize the cerebral hemodynamics patterns with transcranial Doppler (TCD) sonography in patients with ALF. METHOD We studied 21 patients diagnosed with ALF, admitted to the intensive care unit (ICU) at the Centro de Investigaciones Médico Quirúrgicas of Cuba. All of these patients had a TCD performed on arrival at ICU, evaluating the following: systolic (SV), diastolic (DV), and medium (MV) flows velocities and pulsatility index (PI) in right middle cerebral artery (RMCA) via temporal windows. RESULTS The sonographic patterns of cerebral hemodynamics were as follows: low-flow, 12 patients (57.1%); high resistance, 5 patients (23.8%); and hyperemic, 4 patients (19%). Patients who died while waiting had lower MV RMCA (56.1 vs 58.1 cm/s) and higher PI (1.71 vs 1.41) than patients who could undergo transplantation (P = .800 and P = .787, respectively). CONCLUSIONS In patients diagnosed with ALF admitted to the ICU the predominating cerebral hemodynamic pattern was low-flow with resistance increase. The TCD was shown to be a useful tool in the initial evaluation for prognosis and treatment.","author":[{"dropping-particle":"","family":"Abdo","given":"A.","non-dropping-particle":"","parse-names":false,"suffix":""},{"dropping-particle":"","family":"Pérez-Bernal","given":"J.","non-dropping-particle":"","parse-names":false,"suffix":""},{"dropping-particle":"","family":"Hinojosa","given":"R.","non-dropping-particle":"","parse-names":false,"suffix":""},{"dropping-particle":"","family":"Porras","given":"F.","non-dropping-particle":"","parse-names":false,"suffix":""},{"dropping-particle":"","family":"Castellanos","given":"R.","non-dropping-particle":"","parse-names":false,"suffix":""},{"dropping-particle":"","family":"Gómez","given":"F.","non-dropping-particle":"","parse-names":false,"suffix":""},{"dropping-particle":"","family":"Gutiérrez","given":"J.","non-dropping-particle":"","parse-names":false,"suffix":""},{"dropping-particle":"","family":"Castellanos","given":"A.","non-dropping-particle":"","parse-names":false,"suffix":""},{"dropping-particle":"","family":"Leal","given":"G.","non-dropping-particle":"","parse-names":false,"suffix":""},{"dropping-particle":"","family":"Espinosa","given":"N.","non-dropping-particle":"","parse-names":false,"suffix":""},{"dropping-particle":"","family":"Gómez-Bravo","given":"M.","non-dropping-particle":"","parse-names":false,"suffix":""}],"container-title":"Transplantation Proceedings","id":"ITEM-1","issue":"9","issued":{"date-parts":[["2015","11"]]},"page":"2647-2649","title":"Cerebral Hemodynamics Patterns by Transcranial Doppler in Patients With Acute Liver Failure","type":"article-journal","volume":"47"},"uris":["http://www.mendeley.com/documents/?uuid=7433b5dc-c341-3bf3-91f5-a51f37b928e7"]}],"mendeley":{"formattedCitation":"(Abdo et al. 2015)","plainTextFormattedCitation":"(Abdo et al. 2015)","previouslyFormattedCitation":"(Abdo et al. 2015)"},"properties":{"noteIndex":0},"schema":"https://github.com/citation-style-language/schema/raw/master/csl-citation.json"}</w:instrText>
      </w:r>
      <w:r w:rsidR="005E74E7" w:rsidRPr="003D0C88">
        <w:rPr>
          <w:rFonts w:cstheme="minorHAnsi"/>
          <w:sz w:val="24"/>
          <w:szCs w:val="24"/>
        </w:rPr>
        <w:fldChar w:fldCharType="separate"/>
      </w:r>
      <w:r w:rsidR="00464A24" w:rsidRPr="003D0C88">
        <w:rPr>
          <w:rFonts w:cstheme="minorHAnsi"/>
          <w:noProof/>
          <w:sz w:val="24"/>
          <w:szCs w:val="24"/>
        </w:rPr>
        <w:t>(Abdo et al. 2015)</w:t>
      </w:r>
      <w:r w:rsidR="005E74E7" w:rsidRPr="003D0C88">
        <w:rPr>
          <w:rFonts w:cstheme="minorHAnsi"/>
          <w:sz w:val="24"/>
          <w:szCs w:val="24"/>
        </w:rPr>
        <w:fldChar w:fldCharType="end"/>
      </w:r>
      <w:r w:rsidR="005E74E7" w:rsidRPr="003D0C88">
        <w:rPr>
          <w:rFonts w:cstheme="minorHAnsi"/>
          <w:sz w:val="24"/>
          <w:szCs w:val="24"/>
        </w:rPr>
        <w:t>)</w:t>
      </w:r>
      <w:r w:rsidR="0071523B" w:rsidRPr="003D0C88">
        <w:rPr>
          <w:rFonts w:cstheme="minorHAnsi"/>
          <w:sz w:val="24"/>
          <w:szCs w:val="24"/>
        </w:rPr>
        <w:t>.</w:t>
      </w:r>
      <w:r w:rsidR="00D16CD8">
        <w:rPr>
          <w:rFonts w:cstheme="minorHAnsi"/>
          <w:sz w:val="24"/>
          <w:szCs w:val="24"/>
        </w:rPr>
        <w:t xml:space="preserve"> </w:t>
      </w:r>
      <w:bookmarkStart w:id="1" w:name="_Hlk511924572"/>
      <w:r w:rsidR="00D16CD8" w:rsidRPr="008A4C70">
        <w:rPr>
          <w:rFonts w:eastAsiaTheme="minorEastAsia" w:cstheme="minorHAnsi"/>
          <w:sz w:val="24"/>
        </w:rPr>
        <w:t xml:space="preserve">The driving force for such patterns could be related to decreasing arterial blood pressures </w:t>
      </w:r>
      <w:bookmarkEnd w:id="1"/>
      <w:r w:rsidR="00D16CD8" w:rsidRPr="008A4C70">
        <w:rPr>
          <w:rFonts w:eastAsiaTheme="minorEastAsia" w:cstheme="minorHAnsi"/>
          <w:sz w:val="24"/>
        </w:rPr>
        <w:t>observed throughout the surgery. If left unmanaged, significant reductions in cerebral blood flow in the absence of functional cerebral autoregulation may result in brain ischaemia</w:t>
      </w:r>
      <w:r w:rsidR="001D0473" w:rsidRPr="008A4C70">
        <w:rPr>
          <w:rFonts w:eastAsiaTheme="minorEastAsia" w:cstheme="minorHAnsi"/>
          <w:sz w:val="24"/>
        </w:rPr>
        <w:t>, cerebral oedema with</w:t>
      </w:r>
      <w:r w:rsidR="00D16CD8" w:rsidRPr="008A4C70">
        <w:rPr>
          <w:rFonts w:eastAsiaTheme="minorEastAsia" w:cstheme="minorHAnsi"/>
          <w:sz w:val="24"/>
        </w:rPr>
        <w:t xml:space="preserve"> postoperative neurologic damage</w:t>
      </w:r>
      <w:r w:rsidR="001D0473" w:rsidRPr="008A4C70">
        <w:rPr>
          <w:rFonts w:eastAsiaTheme="minorEastAsia" w:cstheme="minorHAnsi"/>
          <w:sz w:val="24"/>
        </w:rPr>
        <w:t xml:space="preserve"> associated with secondary hypoxic ischaemic brain injury</w:t>
      </w:r>
      <w:r w:rsidR="00D16CD8" w:rsidRPr="008A4C70">
        <w:rPr>
          <w:rFonts w:eastAsiaTheme="minorEastAsia" w:cstheme="minorHAnsi"/>
          <w:sz w:val="24"/>
        </w:rPr>
        <w:t>.</w:t>
      </w:r>
      <w:r w:rsidR="00D16CD8" w:rsidRPr="008A4C70">
        <w:rPr>
          <w:rFonts w:cstheme="minorHAnsi"/>
          <w:sz w:val="24"/>
        </w:rPr>
        <w:t xml:space="preserve"> These findings </w:t>
      </w:r>
      <w:r w:rsidR="001D0473" w:rsidRPr="008A4C70">
        <w:rPr>
          <w:rFonts w:cstheme="minorHAnsi"/>
          <w:sz w:val="24"/>
        </w:rPr>
        <w:t xml:space="preserve">are potentially aggravating </w:t>
      </w:r>
      <w:r w:rsidR="00D16CD8" w:rsidRPr="008A4C70">
        <w:rPr>
          <w:rFonts w:cstheme="minorHAnsi"/>
          <w:sz w:val="24"/>
        </w:rPr>
        <w:t xml:space="preserve">in patients with history of cerebrovascular disease, in whom </w:t>
      </w:r>
      <w:r w:rsidR="001D0473" w:rsidRPr="008A4C70">
        <w:rPr>
          <w:rFonts w:cstheme="minorHAnsi"/>
          <w:sz w:val="24"/>
        </w:rPr>
        <w:t xml:space="preserve">the intrinsic disfunction in cerebral autoregulation may </w:t>
      </w:r>
      <w:r w:rsidR="002356D3" w:rsidRPr="008A4C70">
        <w:rPr>
          <w:rFonts w:cstheme="minorHAnsi"/>
          <w:sz w:val="24"/>
        </w:rPr>
        <w:t xml:space="preserve">lead to unsalvageable </w:t>
      </w:r>
      <w:r w:rsidR="001D0473" w:rsidRPr="008A4C70">
        <w:rPr>
          <w:rFonts w:cstheme="minorHAnsi"/>
          <w:sz w:val="24"/>
        </w:rPr>
        <w:t>brain ischaemia</w:t>
      </w:r>
      <w:r w:rsidR="002356D3" w:rsidRPr="008A4C70">
        <w:rPr>
          <w:rFonts w:cstheme="minorHAnsi"/>
          <w:sz w:val="24"/>
        </w:rPr>
        <w:t>.</w:t>
      </w:r>
      <w:bookmarkEnd w:id="0"/>
    </w:p>
    <w:p w14:paraId="4C2002FD" w14:textId="78AEBF5D" w:rsidR="0003571A" w:rsidRPr="003D0C88" w:rsidRDefault="00693849" w:rsidP="00693849">
      <w:pPr>
        <w:widowControl w:val="0"/>
        <w:autoSpaceDE w:val="0"/>
        <w:autoSpaceDN w:val="0"/>
        <w:adjustRightInd w:val="0"/>
        <w:spacing w:after="240" w:line="480" w:lineRule="auto"/>
        <w:jc w:val="both"/>
        <w:rPr>
          <w:rFonts w:cstheme="minorHAnsi"/>
          <w:sz w:val="24"/>
          <w:szCs w:val="24"/>
        </w:rPr>
      </w:pPr>
      <w:r>
        <w:rPr>
          <w:rFonts w:cstheme="minorHAnsi"/>
          <w:sz w:val="24"/>
          <w:szCs w:val="24"/>
        </w:rPr>
        <w:tab/>
      </w:r>
      <w:r w:rsidR="00F278AB" w:rsidRPr="003D0C88">
        <w:rPr>
          <w:rFonts w:cstheme="minorHAnsi"/>
          <w:sz w:val="24"/>
          <w:szCs w:val="24"/>
        </w:rPr>
        <w:t xml:space="preserve">Although ICP monitoring is not an uncommon practice in patients with ALF developing </w:t>
      </w:r>
      <w:r w:rsidR="00F278AB" w:rsidRPr="003D0C88">
        <w:rPr>
          <w:rFonts w:cstheme="minorHAnsi"/>
          <w:sz w:val="24"/>
          <w:szCs w:val="24"/>
        </w:rPr>
        <w:lastRenderedPageBreak/>
        <w:t>severe hepatic encephalopathy</w:t>
      </w:r>
      <w:r>
        <w:rPr>
          <w:rFonts w:cstheme="minorHAnsi"/>
          <w:sz w:val="24"/>
          <w:szCs w:val="24"/>
        </w:rPr>
        <w:t xml:space="preserve"> </w:t>
      </w:r>
      <w:r w:rsidR="00F278AB" w:rsidRPr="003D0C88">
        <w:rPr>
          <w:rFonts w:cstheme="minorHAnsi"/>
          <w:sz w:val="24"/>
          <w:szCs w:val="24"/>
        </w:rPr>
        <w:fldChar w:fldCharType="begin" w:fldLock="1"/>
      </w:r>
      <w:r w:rsidR="004030CD">
        <w:rPr>
          <w:rFonts w:cstheme="minorHAnsi"/>
          <w:sz w:val="24"/>
          <w:szCs w:val="24"/>
        </w:rPr>
        <w:instrText>ADDIN CSL_CITATION {"citationItems":[{"id":"ITEM-1","itemData":{"DOI":"10.1097/CCM.0b013e31818029a3","ISBN":"1530-0293","ISSN":"0090-3493","PMID":"18664779","abstract":"OBJECTIVE: To assess the safety and efficacy of a protocol to support management of intracerebral pressure in patients with fulminant liver failure (FLF). DESIGN AND SETTING: A prospective series was conducted between May 2004 and September 2006 at Banner Good Samaritan Medical Center, a 650-bed teaching hospital in Phoenix, Arizona. PATIENTS: We recruited consecutive patients with FLF and stage 3 or 4 encephalopathy. INTERVENTIONS: We placed an intracranial pressure monitor in each patient and employed a protocol to support decisions regarding hemostatic management and prevention and treatment of intracranial hypertension (IHTN). Treatment modalities included hypothermia, hypocarbia, intravenous pentobarbital, intravenous mannitol and vasopressor titration for maintenance of cerebral perfusion pressure. The main outcome measure was survival in transplant candidates. MEASUREMENTS AND MAIN RESULTS: Twenty-two patients entered the study and 21 (95%) had at least one episode of IHTN. Eighty-two discrete episodes of IHTN occurred, and 78 of these (95%) resolved with treatment. Overall survival was 55%. Eleven of 18 (61%) of transplant candidates survived with good neurologic outcome. No patient died from isolated cerebral edema. Three patients had intracranial hemorrhages related to the intracranial pressure monitor. CONCLUSIONS: Protocol-driven management of intracranial pressure in FLF can result in good clinical outcomes in most transplant candidates, even if IHTN occurs.","author":[{"dropping-particle":"","family":"Raschke","given":"Robert A","non-dropping-particle":"","parse-names":false,"suffix":""},{"dropping-particle":"","family":"Curry","given":"Steven C","non-dropping-particle":"","parse-names":false,"suffix":""},{"dropping-particle":"","family":"Rempe","given":"Silke","non-dropping-particle":"","parse-names":false,"suffix":""},{"dropping-particle":"","family":"Gerkin","given":"Richard","non-dropping-particle":"","parse-names":false,"suffix":""},{"dropping-particle":"","family":"Little","given":"Ester","non-dropping-particle":"","parse-names":false,"suffix":""},{"dropping-particle":"","family":"Manch","given":"Richard","non-dropping-particle":"","parse-names":false,"suffix":""},{"dropping-particle":"","family":"Wong","given":"Mark","non-dropping-particle":"","parse-names":false,"suffix":""},{"dropping-particle":"","family":"Ramos","given":"Alberto","non-dropping-particle":"","parse-names":false,"suffix":""},{"dropping-particle":"","family":"Leibowitz","given":"Alan I","non-dropping-particle":"","parse-names":false,"suffix":""}],"container-title":"Critical care medicine","id":"ITEM-1","issue":"8","issued":{"date-parts":[["2008"]]},"page":"2244-2248","title":"Results of a protocol for the management of patients with fulminant liver failure.","type":"article-journal","volume":"36"},"uris":["http://www.mendeley.com/documents/?uuid=1fc4409f-96a0-47a6-8a52-5ff254207486","http://www.mendeley.com/documents/?uuid=8887ad12-f1ed-4435-9c70-0b3c9b1c59d8"]},{"id":"ITEM-2","itemData":{"DOI":"10.1007/s12028-016-0261-y","ISBN":"1541-6933","ISSN":"15560961","PMID":"26966022","abstract":"Acute liver failure (ALF) has been associated with cerebral edema and elevated intracranial pressure (ICP), which may be managed utilizing an ICP monitor. The most feared complication of placement is catastrophic intracranial hemorrhage in the setting of severe coagulopathy. Previous studies reported hemorrhage rates between 3.8-22 % among various devices, with epidural catheters having lower hemorrhage rates and precision relative to subdural bolts and intraparenchymal catheters. We sought to identify institutional hemorrhagic rates of ICP monitoring in ALF and its associated factors in a modern series guided by protocol implantation. Patient records treated for ALF with ICP monitoring at Mayo Clinic in Rochester, MN from 1995 to 2014 were reviewed. Protocalized since 1995, epidural (EP) ICP monitors were first used followed by intraparenchymal (IP) for stage III-IV hepatic encephalopathy. The following variables and outcomes were collected: patient demographics, ICPs and treatment methods, laboratory data, imaging studies, number of days for ICP monitoring, radiographic and symptomatic hemorrhage rates, orthotopic liver transplantation rates, and death. A total of 20 ICP monitors were placed for ALF, 7 EP, and 13 IP. International normalized ratio (INR) at placement of an EP monitor was 2.4 (1.7-3.2) with maximum of 2.7 (2.0-3.6) over the following 2.3 (1-3) days. Mean EP ICP at placement was 36.3 (11-55) and maximum of 43.1 (20-70) mm Hg. INR at placement of an IP monitor was 1.3 (&lt;0.8-3.0) with maximum value of 2.9 (1.6-5.4) over the following 4.2 (2-6) days. Mean IP ICP at placement was 9.9 (2-19) and maximum was 39.8 (11-100) mm Hg. There was one asymptomatic hemorrhage in the EP group (14.3 % hemorrhage rate) and two hemorrhages in the IP group (hemorrhage rate was 15.4 %), both of which were fatal. Overall mortality rate in the EP group was 71.4 % (5/7) with two patients receiving transplantation, and one death in the transplant group. Overall mortality in the IP group was 38.5 % (5/13) with nine liver transplantations; three of the transplanted patients died, including one of the fatal hemorrhages due to monitor placement. Intracranial hypertension is common in patients with ALF with severe hepatic encephalopathy. Monitored patients in both groups experienced elevations of ICP in the setting of intermittent coagulopathy. Severity of coagulopathy did not influence hemorrhage rate. Yet, hemorrhages related to IP monitoring can be catastrophic and…","author":[{"dropping-particle":"","family":"Maloney","given":"Patrick R.","non-dropping-particle":"","parse-names":false,"suffix":""},{"dropping-particle":"","family":"Mallory","given":"Grant W.","non-dropping-particle":"","parse-names":false,"suffix":""},{"dropping-particle":"","family":"Atkinson","given":"John L D","non-dropping-particle":"","parse-names":false,"suffix":""},{"dropping-particle":"","family":"Wijdicks","given":"Eelco F.","non-dropping-particle":"","parse-names":false,"suffix":""},{"dropping-particle":"","family":"Rabinstein","given":"Alejandro A.","non-dropping-particle":"","parse-names":false,"suffix":""},{"dropping-particle":"","family":"Gompel","given":"Jamie J.","non-dropping-particle":"Van","parse-names":false,"suffix":""}],"container-title":"Neurocritical Care","id":"ITEM-2","issue":"1","issued":{"date-parts":[["2016"]]},"page":"86-93","title":"Intracranial Pressure Monitoring in Acute Liver Failure: Institutional Case Series","type":"article-journal","volume":"25"},"uris":["http://www.mendeley.com/documents/?uuid=2dabaf53-7a69-47ae-a8ae-4539225e370a","http://www.mendeley.com/documents/?uuid=96d94ec4-6e87-48ec-9fda-9bb7ace37aa8"]}],"mendeley":{"formattedCitation":"(Maloney et al. 2016; Raschke et al. 2008)","plainTextFormattedCitation":"(Maloney et al. 2016; Raschke et al. 2008)","previouslyFormattedCitation":"(Maloney et al. 2016; Raschke et al. 2008)"},"properties":{"noteIndex":0},"schema":"https://github.com/citation-style-language/schema/raw/master/csl-citation.json"}</w:instrText>
      </w:r>
      <w:r w:rsidR="00F278AB" w:rsidRPr="003D0C88">
        <w:rPr>
          <w:rFonts w:cstheme="minorHAnsi"/>
          <w:sz w:val="24"/>
          <w:szCs w:val="24"/>
        </w:rPr>
        <w:fldChar w:fldCharType="separate"/>
      </w:r>
      <w:r w:rsidR="00464A24" w:rsidRPr="003D0C88">
        <w:rPr>
          <w:rFonts w:cstheme="minorHAnsi"/>
          <w:noProof/>
          <w:sz w:val="24"/>
          <w:szCs w:val="24"/>
        </w:rPr>
        <w:t>(Maloney et al. 2016; Raschke et al. 2008)</w:t>
      </w:r>
      <w:r w:rsidR="00F278AB" w:rsidRPr="003D0C88">
        <w:rPr>
          <w:rFonts w:cstheme="minorHAnsi"/>
          <w:sz w:val="24"/>
          <w:szCs w:val="24"/>
        </w:rPr>
        <w:fldChar w:fldCharType="end"/>
      </w:r>
      <w:r w:rsidR="00F278AB" w:rsidRPr="003D0C88">
        <w:rPr>
          <w:rFonts w:cstheme="minorHAnsi"/>
          <w:sz w:val="24"/>
          <w:szCs w:val="24"/>
        </w:rPr>
        <w:t xml:space="preserve">, </w:t>
      </w:r>
      <w:r w:rsidR="001340A4" w:rsidRPr="003D0C88">
        <w:rPr>
          <w:rFonts w:cstheme="minorHAnsi"/>
          <w:sz w:val="24"/>
          <w:szCs w:val="24"/>
        </w:rPr>
        <w:t xml:space="preserve">ICP behaviour during OLT has been reported </w:t>
      </w:r>
      <w:r w:rsidR="00736D3B" w:rsidRPr="003D0C88">
        <w:rPr>
          <w:rFonts w:cstheme="minorHAnsi"/>
          <w:sz w:val="24"/>
          <w:szCs w:val="24"/>
        </w:rPr>
        <w:t xml:space="preserve">only </w:t>
      </w:r>
      <w:r w:rsidR="001340A4" w:rsidRPr="003D0C88">
        <w:rPr>
          <w:rFonts w:cstheme="minorHAnsi"/>
          <w:sz w:val="24"/>
          <w:szCs w:val="24"/>
        </w:rPr>
        <w:t xml:space="preserve">in </w:t>
      </w:r>
      <w:r w:rsidR="000B7ABB" w:rsidRPr="003D0C88">
        <w:rPr>
          <w:rFonts w:cstheme="minorHAnsi"/>
          <w:sz w:val="24"/>
          <w:szCs w:val="24"/>
        </w:rPr>
        <w:t>few studies</w:t>
      </w:r>
      <w:r w:rsidR="001340A4" w:rsidRPr="003D0C88">
        <w:rPr>
          <w:rFonts w:cstheme="minorHAnsi"/>
          <w:sz w:val="24"/>
          <w:szCs w:val="24"/>
        </w:rPr>
        <w:t xml:space="preserve">. </w:t>
      </w:r>
      <w:r w:rsidR="0003571A" w:rsidRPr="003D0C88">
        <w:rPr>
          <w:rFonts w:cstheme="minorHAnsi"/>
          <w:sz w:val="24"/>
          <w:szCs w:val="24"/>
        </w:rPr>
        <w:t xml:space="preserve">In a study of six cases from </w:t>
      </w:r>
      <w:proofErr w:type="spellStart"/>
      <w:r w:rsidR="0003571A" w:rsidRPr="003D0C88">
        <w:rPr>
          <w:rFonts w:cstheme="minorHAnsi"/>
          <w:sz w:val="24"/>
          <w:szCs w:val="24"/>
        </w:rPr>
        <w:t>Keays</w:t>
      </w:r>
      <w:proofErr w:type="spellEnd"/>
      <w:r w:rsidR="0003571A" w:rsidRPr="003D0C88">
        <w:rPr>
          <w:rFonts w:cstheme="minorHAnsi"/>
          <w:sz w:val="24"/>
          <w:szCs w:val="24"/>
        </w:rPr>
        <w:t xml:space="preserve"> et al.</w:t>
      </w:r>
      <w:r w:rsidR="0004413C">
        <w:rPr>
          <w:rFonts w:cstheme="minorHAnsi"/>
          <w:sz w:val="24"/>
          <w:szCs w:val="24"/>
        </w:rPr>
        <w:t xml:space="preserve"> </w:t>
      </w:r>
      <w:r w:rsidR="0003571A" w:rsidRPr="003D0C88">
        <w:rPr>
          <w:rFonts w:cstheme="minorHAnsi"/>
          <w:sz w:val="24"/>
          <w:szCs w:val="24"/>
        </w:rPr>
        <w:fldChar w:fldCharType="begin" w:fldLock="1"/>
      </w:r>
      <w:r w:rsidR="004030CD">
        <w:rPr>
          <w:rFonts w:cstheme="minorHAnsi"/>
          <w:sz w:val="24"/>
          <w:szCs w:val="24"/>
        </w:rPr>
        <w:instrText>ADDIN CSL_CITATION {"citationItems":[{"id":"ITEM-1","itemData":{"ISBN":"0033-5622 (Print)\\r0033-5622 (Linking)","PMID":"1924677","abstract":"Several centres that perform liver transplantation for fulminant hepatic failure have experience of patients who have not regained consciousness despite adequate graft function. In some of these, decerebration because of elevation in intracranial pressure was thought to have occurred intraoperatively or in the early post-operative period. In the present study six patients with fulminant hepatic failure who were transplanted had extradural monitors inserted before operation. Intracranial pressure had been controlled prior to transplantation and rose during the pre-clamp phase of the operation. Levels fell during the anhepatic phase but rose again during the reperfusion phase (p = 0.033). Overall, from the induction of anaesthesia to the reperfusion phase there was a significant increase in mean intracranial pressure (p less than 0.01). The cerebral perfusion pressure fell after induction of anaesthesia from a median 54 mmHg (range 46-62) to a median 35 mmHg (range 19-49, p less than 0.001) in the pre-clamp phase and remained low throughout the operation. During the first 10 hours after transplantation, three patients had further episodes of intracranial hypertension requiring treatment and it is important that monitoring should be continued through this period.","author":[{"dropping-particle":"","family":"Keays","given":"R","non-dropping-particle":"","parse-names":false,"suffix":""},{"dropping-particle":"","family":"Potter","given":"D","non-dropping-particle":"","parse-names":false,"suffix":""},{"dropping-particle":"","family":"O'Grady","given":"J","non-dropping-particle":"","parse-names":false,"suffix":""},{"dropping-particle":"","family":"Peachey","given":"T","non-dropping-particle":"","parse-names":false,"suffix":""},{"dropping-particle":"","family":"Alexander","given":"G","non-dropping-particle":"","parse-names":false,"suffix":""},{"dropping-particle":"","family":"Williams","given":"R","non-dropping-particle":"","parse-names":false,"suffix":""}],"container-title":"Q J Med","id":"ITEM-1","issue":"289","issued":{"date-parts":[["1991"]]},"page":"425-433","title":"Intracranial and cerebral perfusion pressure changes before, during and immediately after orthotopic liver transplantation for fulminant hepatic failure","type":"article-journal","volume":"79"},"uris":["http://www.mendeley.com/documents/?uuid=a21b7bb4-2e36-4952-8446-8b5a16cf6f36","http://www.mendeley.com/documents/?uuid=0ae3d36a-3c3a-4b0d-9414-b33623e81478"]}],"mendeley":{"formattedCitation":"(Keays et al. 1991)","plainTextFormattedCitation":"(Keays et al. 1991)","previouslyFormattedCitation":"(Keays et al. 1991)"},"properties":{"noteIndex":0},"schema":"https://github.com/citation-style-language/schema/raw/master/csl-citation.json"}</w:instrText>
      </w:r>
      <w:r w:rsidR="0003571A" w:rsidRPr="003D0C88">
        <w:rPr>
          <w:rFonts w:cstheme="minorHAnsi"/>
          <w:sz w:val="24"/>
          <w:szCs w:val="24"/>
        </w:rPr>
        <w:fldChar w:fldCharType="separate"/>
      </w:r>
      <w:r w:rsidR="00464A24" w:rsidRPr="003D0C88">
        <w:rPr>
          <w:rFonts w:cstheme="minorHAnsi"/>
          <w:noProof/>
          <w:sz w:val="24"/>
          <w:szCs w:val="24"/>
        </w:rPr>
        <w:t>(Keays et al. 1991)</w:t>
      </w:r>
      <w:r w:rsidR="0003571A" w:rsidRPr="003D0C88">
        <w:rPr>
          <w:rFonts w:cstheme="minorHAnsi"/>
          <w:sz w:val="24"/>
          <w:szCs w:val="24"/>
        </w:rPr>
        <w:fldChar w:fldCharType="end"/>
      </w:r>
      <w:r w:rsidR="0003571A" w:rsidRPr="003D0C88">
        <w:rPr>
          <w:rFonts w:cstheme="minorHAnsi"/>
          <w:sz w:val="24"/>
          <w:szCs w:val="24"/>
        </w:rPr>
        <w:t>, the mean ICP level was higher during the “</w:t>
      </w:r>
      <w:proofErr w:type="spellStart"/>
      <w:r w:rsidR="0003571A" w:rsidRPr="003D0C88">
        <w:rPr>
          <w:rFonts w:cstheme="minorHAnsi"/>
          <w:sz w:val="24"/>
          <w:szCs w:val="24"/>
        </w:rPr>
        <w:t>preclamp</w:t>
      </w:r>
      <w:proofErr w:type="spellEnd"/>
      <w:r w:rsidR="0003571A" w:rsidRPr="003D0C88">
        <w:rPr>
          <w:rFonts w:cstheme="minorHAnsi"/>
          <w:sz w:val="24"/>
          <w:szCs w:val="24"/>
        </w:rPr>
        <w:t xml:space="preserve"> phase” and the “graft reperfusion” phase than the “anhepatic phase”. </w:t>
      </w:r>
      <w:proofErr w:type="spellStart"/>
      <w:r w:rsidR="001340A4" w:rsidRPr="003D0C88">
        <w:rPr>
          <w:rFonts w:cstheme="minorHAnsi"/>
          <w:sz w:val="24"/>
          <w:szCs w:val="24"/>
        </w:rPr>
        <w:t>Lidofsky</w:t>
      </w:r>
      <w:proofErr w:type="spellEnd"/>
      <w:r w:rsidR="001340A4" w:rsidRPr="003D0C88">
        <w:rPr>
          <w:rFonts w:cstheme="minorHAnsi"/>
          <w:sz w:val="24"/>
          <w:szCs w:val="24"/>
        </w:rPr>
        <w:t xml:space="preserve"> et al.</w:t>
      </w:r>
      <w:r>
        <w:rPr>
          <w:rFonts w:cstheme="minorHAnsi"/>
          <w:sz w:val="24"/>
          <w:szCs w:val="24"/>
        </w:rPr>
        <w:t xml:space="preserve"> </w:t>
      </w:r>
      <w:r w:rsidR="001340A4" w:rsidRPr="003D0C88">
        <w:rPr>
          <w:rFonts w:cstheme="minorHAnsi"/>
          <w:sz w:val="24"/>
          <w:szCs w:val="24"/>
        </w:rPr>
        <w:fldChar w:fldCharType="begin" w:fldLock="1"/>
      </w:r>
      <w:r w:rsidR="004030CD">
        <w:rPr>
          <w:rFonts w:cstheme="minorHAnsi"/>
          <w:sz w:val="24"/>
          <w:szCs w:val="24"/>
        </w:rPr>
        <w:instrText>ADDIN CSL_CITATION {"citationItems":[{"id":"ITEM-1","itemData":{"ISSN":"0270-9139","PMID":"1618463","abstract":"Cerebral edema and intracranial hypertension, commonly present in fulminant hepatic failure, may lead to brainstem herniation and limit the survival of comatose patients awaiting liver transplantation before a donor organ becomes available. Also, they are likely responsible for postoperative neurological morbidity and mortality. Although intracranial pressure monitoring has been proposed to aid clinical decision making in this setting, its use in the prevention of brainstem herniation preoperatively, in the selection of patients for liver transplantation who have the potential for neurological recovery and in the maintenance of cerebral perfusion during liver transplantation has not been examined in detail. To address these issues, we established a protocol for intracranial pressure monitoring in comatose patients with fulminant hepatic failure as part of their preoperative and intraoperative management. Twenty adults and three children underwent intracranial pressure monitoring. Ten patients required preoperative medical therapy with mannitol, barbiturates or both for a rise in intracranial pressure above 25 mm Hg. Four patients had a sustained lowering of intracranial pressure, three of whom survived hospitalization. Six patients had intracranial hypertension refractory to medical management, were removed from a waiting list for a donor organ and died with brainstem herniation. Of the remaining 17 patients, 3 died of other causes while awaiting a donor organ, 2 recovered spontaneously without neurological sequelae and 12 underwent liver transplantation. All but one patient undergoing liver transplantation had transient intraoperative intracranial hypertension develop, requiring medical treatment. The 12 patients who had transplants recovered neurologically and were discharged from the hospital.(ABSTRACT TRUNCATED AT 250 WORDS)","author":[{"dropping-particle":"","family":"Lidofsky","given":"S D","non-dropping-particle":"","parse-names":false,"suffix":""},{"dropping-particle":"","family":"Bass","given":"N M","non-dropping-particle":"","parse-names":false,"suffix":""},{"dropping-particle":"","family":"Prager","given":"M C","non-dropping-particle":"","parse-names":false,"suffix":""},{"dropping-particle":"","family":"Washington","given":"D E","non-dropping-particle":"","parse-names":false,"suffix":""},{"dropping-particle":"","family":"Read","given":"A E","non-dropping-particle":"","parse-names":false,"suffix":""},{"dropping-particle":"","family":"Wright","given":"T L","non-dropping-particle":"","parse-names":false,"suffix":""},{"dropping-particle":"","family":"Ascher","given":"N L","non-dropping-particle":"","parse-names":false,"suffix":""},{"dropping-particle":"","family":"Roberts","given":"J P","non-dropping-particle":"","parse-names":false,"suffix":""},{"dropping-particle":"","family":"Scharschmidt","given":"B F","non-dropping-particle":"","parse-names":false,"suffix":""},{"dropping-particle":"","family":"Lake","given":"J R","non-dropping-particle":"","parse-names":false,"suffix":""}],"container-title":"Hepatology (Baltimore, Md.)","id":"ITEM-1","issue":"1","issued":{"date-parts":[["1992"]]},"page":"1-7","title":"Intracranial pressure monitoring and liver transplantation for fulminant hepatic failure.","type":"article-journal","volume":"16"},"uris":["http://www.mendeley.com/documents/?uuid=a8f2ef39-47cb-46e9-ada4-f9974773cd75","http://www.mendeley.com/documents/?uuid=fb2e4f41-10df-4770-b1f0-e038173107c0"]}],"mendeley":{"formattedCitation":"(Lidofsky et al. 1992)","plainTextFormattedCitation":"(Lidofsky et al. 1992)","previouslyFormattedCitation":"(Lidofsky et al. 1992)"},"properties":{"noteIndex":0},"schema":"https://github.com/citation-style-language/schema/raw/master/csl-citation.json"}</w:instrText>
      </w:r>
      <w:r w:rsidR="001340A4" w:rsidRPr="003D0C88">
        <w:rPr>
          <w:rFonts w:cstheme="minorHAnsi"/>
          <w:sz w:val="24"/>
          <w:szCs w:val="24"/>
        </w:rPr>
        <w:fldChar w:fldCharType="separate"/>
      </w:r>
      <w:r w:rsidR="00464A24" w:rsidRPr="003D0C88">
        <w:rPr>
          <w:rFonts w:cstheme="minorHAnsi"/>
          <w:noProof/>
          <w:sz w:val="24"/>
          <w:szCs w:val="24"/>
        </w:rPr>
        <w:t>(Lidofsky et al. 1992)</w:t>
      </w:r>
      <w:r w:rsidR="001340A4" w:rsidRPr="003D0C88">
        <w:rPr>
          <w:rFonts w:cstheme="minorHAnsi"/>
          <w:sz w:val="24"/>
          <w:szCs w:val="24"/>
        </w:rPr>
        <w:fldChar w:fldCharType="end"/>
      </w:r>
      <w:r w:rsidR="001340A4" w:rsidRPr="003D0C88">
        <w:rPr>
          <w:rFonts w:cstheme="minorHAnsi"/>
          <w:sz w:val="24"/>
          <w:szCs w:val="24"/>
        </w:rPr>
        <w:t xml:space="preserve"> have shown that ICP tends to vary significantly intraoperatively during the surgery. It initially increases during the dissection phase, then decreases in the anhepatic phase, and again increases during the reperfusion phase. </w:t>
      </w:r>
      <w:proofErr w:type="spellStart"/>
      <w:r w:rsidR="0003571A" w:rsidRPr="003D0C88">
        <w:rPr>
          <w:rFonts w:cstheme="minorHAnsi"/>
          <w:sz w:val="24"/>
          <w:szCs w:val="24"/>
        </w:rPr>
        <w:t>Detry</w:t>
      </w:r>
      <w:proofErr w:type="spellEnd"/>
      <w:r w:rsidR="0003571A" w:rsidRPr="003D0C88">
        <w:rPr>
          <w:rFonts w:cstheme="minorHAnsi"/>
          <w:sz w:val="24"/>
          <w:szCs w:val="24"/>
        </w:rPr>
        <w:t xml:space="preserve"> et al.’s study</w:t>
      </w:r>
      <w:r w:rsidR="0004413C">
        <w:rPr>
          <w:rFonts w:cstheme="minorHAnsi"/>
          <w:sz w:val="24"/>
          <w:szCs w:val="24"/>
        </w:rPr>
        <w:t xml:space="preserve"> </w:t>
      </w:r>
      <w:r w:rsidR="001E2403" w:rsidRPr="003D0C88">
        <w:rPr>
          <w:rFonts w:cstheme="minorHAnsi"/>
          <w:sz w:val="24"/>
          <w:szCs w:val="24"/>
        </w:rPr>
        <w:fldChar w:fldCharType="begin" w:fldLock="1"/>
      </w:r>
      <w:r w:rsidR="004030CD">
        <w:rPr>
          <w:rFonts w:cstheme="minorHAnsi"/>
          <w:sz w:val="24"/>
          <w:szCs w:val="24"/>
        </w:rPr>
        <w:instrText>ADDIN CSL_CITATION {"citationItems":[{"id":"ITEM-1","itemData":{"ISSN":"0041-1337","PMID":"10096539","abstract":"During orthotopic liver transplantation (OLT) for fulminant hepatic failure (FHF), some patients develop cerebral injury secondary to intracranial hypertension. We monitored intracranial pressure (ICP) and cerebral perfusion pressure (CPP) before and during OLT in 12 FHF patients undergoing transplantation. All four patients who had normal ICP preoperatively maintained normal ICP/CPP throughout OLT. During OLT, four of the eight patients with pretransplant intracranial hypertension had six episodes of ICP increase. These episodes of intracranial hypertension occurred during failing liver dissection (n=3) and graft reperfusion (n=3). At the end of the anhepatic phase, the ICP was lower than the preoperative ICP in all patients, and was below 15 mmHg in all but one patient. These data suggest that in FHF patients who develop intracranial hypertension before OLT, dissection of the native liver and graft reperfusion are associated with a risk of brain injury resulting from intracranial hypertension and cerebral hypoperfusion.","author":[{"dropping-particle":"","family":"Detry","given":"O","non-dropping-particle":"","parse-names":false,"suffix":""},{"dropping-particle":"","family":"Arkadopoulos","given":"N","non-dropping-particle":"","parse-names":false,"suffix":""},{"dropping-particle":"","family":"Ting","given":"P","non-dropping-particle":"","parse-names":false,"suffix":""},{"dropping-particle":"","family":"Kahaku","given":"E","non-dropping-particle":"","parse-names":false,"suffix":""},{"dropping-particle":"","family":"Margulies","given":"J","non-dropping-particle":"","parse-names":false,"suffix":""},{"dropping-particle":"","family":"Arnaout","given":"W","non-dropping-particle":"","parse-names":false,"suffix":""},{"dropping-particle":"","family":"Colquhoun","given":"S D","non-dropping-particle":"","parse-names":false,"suffix":""},{"dropping-particle":"","family":"Rozga","given":"J","non-dropping-particle":"","parse-names":false,"suffix":""},{"dropping-particle":"","family":"Demetriou","given":"A A","non-dropping-particle":"","parse-names":false,"suffix":""}],"container-title":"Transplantation","id":"ITEM-1","issue":"5","issued":{"date-parts":[["1999"]]},"page":"767-70","title":"Intracranial pressure during liver transplantation for fulminant hepatic failure.","type":"article-journal","volume":"67"},"uris":["http://www.mendeley.com/documents/?uuid=8977e40e-ddb9-46bc-a5d9-a58ade737c7c","http://www.mendeley.com/documents/?uuid=64ad9c9c-7988-4031-b042-c60ddd30fcf0"]}],"mendeley":{"formattedCitation":"(Detry et al. 1999)","plainTextFormattedCitation":"(Detry et al. 1999)","previouslyFormattedCitation":"(Detry et al. 1999)"},"properties":{"noteIndex":0},"schema":"https://github.com/citation-style-language/schema/raw/master/csl-citation.json"}</w:instrText>
      </w:r>
      <w:r w:rsidR="001E2403" w:rsidRPr="003D0C88">
        <w:rPr>
          <w:rFonts w:cstheme="minorHAnsi"/>
          <w:sz w:val="24"/>
          <w:szCs w:val="24"/>
        </w:rPr>
        <w:fldChar w:fldCharType="separate"/>
      </w:r>
      <w:r w:rsidR="00464A24" w:rsidRPr="003D0C88">
        <w:rPr>
          <w:rFonts w:cstheme="minorHAnsi"/>
          <w:noProof/>
          <w:sz w:val="24"/>
          <w:szCs w:val="24"/>
        </w:rPr>
        <w:t>(Detry et al. 1999)</w:t>
      </w:r>
      <w:r w:rsidR="001E2403" w:rsidRPr="003D0C88">
        <w:rPr>
          <w:rFonts w:cstheme="minorHAnsi"/>
          <w:sz w:val="24"/>
          <w:szCs w:val="24"/>
        </w:rPr>
        <w:fldChar w:fldCharType="end"/>
      </w:r>
      <w:r w:rsidR="0003571A" w:rsidRPr="003D0C88">
        <w:rPr>
          <w:rFonts w:cstheme="minorHAnsi"/>
          <w:sz w:val="24"/>
          <w:szCs w:val="24"/>
        </w:rPr>
        <w:t xml:space="preserve"> suggested that in ALF patients, but particularly in those who developed intracranial hypertension before OLT,</w:t>
      </w:r>
      <w:r w:rsidR="00BD1A9C">
        <w:rPr>
          <w:rFonts w:cstheme="minorHAnsi"/>
          <w:sz w:val="24"/>
          <w:szCs w:val="24"/>
        </w:rPr>
        <w:t xml:space="preserve"> the</w:t>
      </w:r>
      <w:r w:rsidR="0003571A" w:rsidRPr="003D0C88">
        <w:rPr>
          <w:rFonts w:cstheme="minorHAnsi"/>
          <w:sz w:val="24"/>
          <w:szCs w:val="24"/>
        </w:rPr>
        <w:t xml:space="preserve"> dissection </w:t>
      </w:r>
      <w:r w:rsidR="001E2403" w:rsidRPr="003D0C88">
        <w:rPr>
          <w:rFonts w:cstheme="minorHAnsi"/>
          <w:sz w:val="24"/>
          <w:szCs w:val="24"/>
        </w:rPr>
        <w:t>and</w:t>
      </w:r>
      <w:r w:rsidR="0003571A" w:rsidRPr="003D0C88">
        <w:rPr>
          <w:rFonts w:cstheme="minorHAnsi"/>
          <w:sz w:val="24"/>
          <w:szCs w:val="24"/>
        </w:rPr>
        <w:t xml:space="preserve"> reperfusion</w:t>
      </w:r>
      <w:r w:rsidR="001E2403" w:rsidRPr="003D0C88">
        <w:rPr>
          <w:rFonts w:cstheme="minorHAnsi"/>
          <w:sz w:val="24"/>
          <w:szCs w:val="24"/>
        </w:rPr>
        <w:t xml:space="preserve"> phases</w:t>
      </w:r>
      <w:r w:rsidR="00BC4B4E" w:rsidRPr="003D0C88">
        <w:rPr>
          <w:rFonts w:cstheme="minorHAnsi"/>
          <w:sz w:val="24"/>
          <w:szCs w:val="24"/>
        </w:rPr>
        <w:t xml:space="preserve"> were</w:t>
      </w:r>
      <w:r w:rsidR="0003571A" w:rsidRPr="003D0C88">
        <w:rPr>
          <w:rFonts w:cstheme="minorHAnsi"/>
          <w:sz w:val="24"/>
          <w:szCs w:val="24"/>
        </w:rPr>
        <w:t xml:space="preserve"> associated with a risk of brain injury secondary to elevated ICP and low CPP</w:t>
      </w:r>
      <w:r w:rsidR="009C2CB2" w:rsidRPr="003D0C88">
        <w:rPr>
          <w:rFonts w:cstheme="minorHAnsi"/>
          <w:sz w:val="24"/>
          <w:szCs w:val="24"/>
        </w:rPr>
        <w:t xml:space="preserve">. The anhepatic phase, </w:t>
      </w:r>
      <w:r w:rsidR="001E2403" w:rsidRPr="003D0C88">
        <w:rPr>
          <w:rFonts w:cstheme="minorHAnsi"/>
          <w:sz w:val="24"/>
          <w:szCs w:val="24"/>
        </w:rPr>
        <w:t>similarly to the previous studies, seemed</w:t>
      </w:r>
      <w:r w:rsidR="0003571A" w:rsidRPr="003D0C88">
        <w:rPr>
          <w:rFonts w:cstheme="minorHAnsi"/>
          <w:sz w:val="24"/>
          <w:szCs w:val="24"/>
        </w:rPr>
        <w:t xml:space="preserve"> to be associated with an ICP decrease.</w:t>
      </w:r>
      <w:r w:rsidR="00D40FE3" w:rsidRPr="003D0C88">
        <w:rPr>
          <w:rFonts w:cstheme="minorHAnsi"/>
          <w:sz w:val="24"/>
          <w:szCs w:val="24"/>
        </w:rPr>
        <w:t xml:space="preserve"> Lastly, a recent study</w:t>
      </w:r>
      <w:r w:rsidR="0004413C">
        <w:rPr>
          <w:rFonts w:cstheme="minorHAnsi"/>
          <w:sz w:val="24"/>
          <w:szCs w:val="24"/>
        </w:rPr>
        <w:t xml:space="preserve"> </w:t>
      </w:r>
      <w:r w:rsidR="00D40FE3" w:rsidRPr="003D0C88">
        <w:rPr>
          <w:rFonts w:cstheme="minorHAnsi"/>
          <w:sz w:val="24"/>
          <w:szCs w:val="24"/>
        </w:rPr>
        <w:fldChar w:fldCharType="begin" w:fldLock="1"/>
      </w:r>
      <w:r w:rsidR="004030CD">
        <w:rPr>
          <w:rFonts w:cstheme="minorHAnsi"/>
          <w:sz w:val="24"/>
          <w:szCs w:val="24"/>
        </w:rPr>
        <w:instrText>ADDIN CSL_CITATION {"citationItems":[{"id":"ITEM-1","itemData":{"DOI":"10.1007/s12028-018-0540-x","ISSN":"15560961","PMID":"29948998","abstract":"Background: Elevated intracranial pressure (ICP) is an important cause of death following acute liver failure (ALF). While invasive ICP monitoring (IICPM) is most accurate, the presence of coagulopathy increases bleeding risk in ALF. Our objective was to evaluate the accuracy of three noninvasive ultrasound-based measures for the detection of concurrent ICP elevation in ALF—optic nerve sheath diameter (ONSD) using optic nerve ultrasound (ONUS); middle cerebral artery pulsatility index (PI) on transcranial Doppler (TCD); and ICP calculated from TCD flow velocities (ICPtcd) using the estimated cerebral perfusion pressure (CPPe) technique. Methods: In this retrospective study, consecutive ALF patients admitted over a 6-year period who underwent IICPM as well as measurement of ONSD, TCD-PI or ICPtcd were included. ONSD was measured offline by a blinded investigator from deidentified videos. The ability of highest ONSD, TCD-PI, and ICPtcd to detect concurrent invasive ICP &gt; 20 mmHg was assessed using receiver operating characteristic (ROC) curves. The ROC area under the curve (AUC) was calculated with 95% confidence interval (95% CI) and evaluated against the null hypothesis of AUC = 0.5. Noninvasive measures were also evaluated as predictors of in-hospital death. Results: Forty-one ALF patients were admitted during the study period. In total, 27 (66%) underwent IICPM, of these, 23 underwent ONUS and 21 underwent TCD. Eleven out of 23 (48%) patients died (two from intracranial hyperten-sion). Results of ROC analysis for detection of concurrent ICP &gt; 20 mmHg were as follows: ONSD AUC = 0.59 (95% CI 0.37–0.79, p = 0.54); TCD-PI AUC = 0.55 (95% CI 0.34–0.75, p = 0.70); and ICPtcd AUC = 0.90 (0.72–0.98, p &lt; 0.0001). None of the noninvasive measures were significant predictors of death. Conclusions: In patients with ALF, neither ONSD nor TCD-PI reliably detected concurrent ICP elevation on invasive monitoring. Estimation of ICP (ICPtcd) using the TCD CPPe technique was associated with concurrent ICP elevation. Additional studies of TCD CPPe in larger numbers of ALF patients may prove worthwhile.","author":[{"dropping-particle":"","family":"Rajajee","given":"Venkatakrishna","non-dropping-particle":"","parse-names":false,"suffix":""},{"dropping-particle":"","family":"Williamson","given":"Craig A.","non-dropping-particle":"","parse-names":false,"suffix":""},{"dropping-particle":"","family":"Fontana","given":"Robert J.","non-dropping-particle":"","parse-names":false,"suffix":""},{"dropping-particle":"","family":"Courey","given":"Anthony J.","non-dropping-particle":"","parse-names":false,"suffix":""},{"dropping-particle":"","family":"Patil","given":"Parag G.","non-dropping-particle":"","parse-names":false,"suffix":""}],"container-title":"Neurocritical Care","id":"ITEM-1","issued":{"date-parts":[["2018"]]},"page":"1-11","title":"Noninvasive Intracranial Pressure Assessment in Acute Liver Failure","type":"article-newspaper"},"uris":["http://www.mendeley.com/documents/?uuid=80787e3d-ee5b-4e0e-846e-1f2b512abc4c","http://www.mendeley.com/documents/?uuid=25909c01-989b-4cee-9405-9b7ed94d7cc9"]}],"mendeley":{"formattedCitation":"(Rajajee et al. 2018)","plainTextFormattedCitation":"(Rajajee et al. 2018)","previouslyFormattedCitation":"(Rajajee et al. 2018)"},"properties":{"noteIndex":0},"schema":"https://github.com/citation-style-language/schema/raw/master/csl-citation.json"}</w:instrText>
      </w:r>
      <w:r w:rsidR="00D40FE3" w:rsidRPr="003D0C88">
        <w:rPr>
          <w:rFonts w:cstheme="minorHAnsi"/>
          <w:sz w:val="24"/>
          <w:szCs w:val="24"/>
        </w:rPr>
        <w:fldChar w:fldCharType="separate"/>
      </w:r>
      <w:r w:rsidR="00464A24" w:rsidRPr="003D0C88">
        <w:rPr>
          <w:rFonts w:cstheme="minorHAnsi"/>
          <w:noProof/>
          <w:sz w:val="24"/>
          <w:szCs w:val="24"/>
        </w:rPr>
        <w:t>(Rajajee et al. 2018)</w:t>
      </w:r>
      <w:r w:rsidR="00D40FE3" w:rsidRPr="003D0C88">
        <w:rPr>
          <w:rFonts w:cstheme="minorHAnsi"/>
          <w:sz w:val="24"/>
          <w:szCs w:val="24"/>
        </w:rPr>
        <w:fldChar w:fldCharType="end"/>
      </w:r>
      <w:r w:rsidR="00D40FE3" w:rsidRPr="003D0C88">
        <w:rPr>
          <w:rFonts w:cstheme="minorHAnsi"/>
          <w:sz w:val="24"/>
          <w:szCs w:val="24"/>
        </w:rPr>
        <w:t xml:space="preserve"> comparing different TCD-derived methods and the measurement of the optic nerve sheath diameter</w:t>
      </w:r>
      <w:r w:rsidR="00BD1A9C">
        <w:rPr>
          <w:rFonts w:cstheme="minorHAnsi"/>
          <w:sz w:val="24"/>
          <w:szCs w:val="24"/>
        </w:rPr>
        <w:t xml:space="preserve"> compared</w:t>
      </w:r>
      <w:r w:rsidR="00D40FE3" w:rsidRPr="003D0C88">
        <w:rPr>
          <w:rFonts w:cstheme="minorHAnsi"/>
          <w:sz w:val="24"/>
          <w:szCs w:val="24"/>
        </w:rPr>
        <w:t xml:space="preserve"> </w:t>
      </w:r>
      <w:r w:rsidR="00D73BD5" w:rsidRPr="003D0C88">
        <w:rPr>
          <w:rFonts w:cstheme="minorHAnsi"/>
          <w:sz w:val="24"/>
          <w:szCs w:val="24"/>
        </w:rPr>
        <w:t>with invasive ICP demonstrated</w:t>
      </w:r>
      <w:r w:rsidR="00D73BD5" w:rsidRPr="003D0C88">
        <w:rPr>
          <w:rFonts w:cstheme="minorHAnsi"/>
          <w:color w:val="000000"/>
          <w:sz w:val="24"/>
          <w:szCs w:val="24"/>
          <w:lang w:val="en-US"/>
        </w:rPr>
        <w:t xml:space="preserve"> that ICP calculated from TCD flow velocities using </w:t>
      </w:r>
      <w:r w:rsidR="00F53B96">
        <w:rPr>
          <w:rFonts w:cstheme="minorHAnsi"/>
          <w:color w:val="000000"/>
          <w:sz w:val="24"/>
          <w:szCs w:val="24"/>
          <w:lang w:val="en-US"/>
        </w:rPr>
        <w:t>a method for</w:t>
      </w:r>
      <w:r w:rsidR="00F53B96" w:rsidRPr="003D0C88">
        <w:rPr>
          <w:rFonts w:cstheme="minorHAnsi"/>
          <w:color w:val="000000"/>
          <w:sz w:val="24"/>
          <w:szCs w:val="24"/>
          <w:lang w:val="en-US"/>
        </w:rPr>
        <w:t xml:space="preserve"> </w:t>
      </w:r>
      <w:r w:rsidR="00D73BD5" w:rsidRPr="003D0C88">
        <w:rPr>
          <w:rFonts w:cstheme="minorHAnsi"/>
          <w:color w:val="000000"/>
          <w:sz w:val="24"/>
          <w:szCs w:val="24"/>
          <w:lang w:val="en-US"/>
        </w:rPr>
        <w:t>estimat</w:t>
      </w:r>
      <w:r w:rsidR="00F53B96">
        <w:rPr>
          <w:rFonts w:cstheme="minorHAnsi"/>
          <w:color w:val="000000"/>
          <w:sz w:val="24"/>
          <w:szCs w:val="24"/>
          <w:lang w:val="en-US"/>
        </w:rPr>
        <w:t>ing</w:t>
      </w:r>
      <w:r w:rsidR="00D73BD5" w:rsidRPr="003D0C88">
        <w:rPr>
          <w:rFonts w:cstheme="minorHAnsi"/>
          <w:color w:val="000000"/>
          <w:sz w:val="24"/>
          <w:szCs w:val="24"/>
          <w:lang w:val="en-US"/>
        </w:rPr>
        <w:t xml:space="preserve"> cerebral perfusion pressure </w:t>
      </w:r>
      <w:r w:rsidR="00F53B96">
        <w:rPr>
          <w:rFonts w:cstheme="minorHAnsi"/>
          <w:color w:val="000000"/>
          <w:sz w:val="24"/>
          <w:szCs w:val="24"/>
          <w:lang w:val="en-US"/>
        </w:rPr>
        <w:t>could</w:t>
      </w:r>
      <w:r w:rsidR="00D73BD5" w:rsidRPr="003D0C88">
        <w:rPr>
          <w:rFonts w:cstheme="minorHAnsi"/>
          <w:color w:val="000000"/>
          <w:sz w:val="24"/>
          <w:szCs w:val="24"/>
          <w:lang w:val="en-US"/>
        </w:rPr>
        <w:t xml:space="preserve"> detect </w:t>
      </w:r>
      <w:r w:rsidR="00F53B96">
        <w:rPr>
          <w:rFonts w:cstheme="minorHAnsi"/>
          <w:color w:val="000000"/>
          <w:sz w:val="24"/>
          <w:szCs w:val="24"/>
          <w:lang w:val="en-US"/>
        </w:rPr>
        <w:t xml:space="preserve">intracranial hypertension </w:t>
      </w:r>
      <w:r w:rsidR="00D73BD5" w:rsidRPr="003D0C88">
        <w:rPr>
          <w:rFonts w:cstheme="minorHAnsi"/>
          <w:color w:val="000000"/>
          <w:sz w:val="24"/>
          <w:szCs w:val="24"/>
          <w:lang w:val="en-US"/>
        </w:rPr>
        <w:t xml:space="preserve">with </w:t>
      </w:r>
      <w:r w:rsidR="00BD1A9C">
        <w:rPr>
          <w:rFonts w:cstheme="minorHAnsi"/>
          <w:color w:val="000000"/>
          <w:sz w:val="24"/>
          <w:szCs w:val="24"/>
          <w:lang w:val="en-US"/>
        </w:rPr>
        <w:t xml:space="preserve">strong </w:t>
      </w:r>
      <w:r w:rsidR="00D73BD5" w:rsidRPr="003D0C88">
        <w:rPr>
          <w:rFonts w:cstheme="minorHAnsi"/>
          <w:color w:val="000000"/>
          <w:sz w:val="24"/>
          <w:szCs w:val="24"/>
          <w:lang w:val="en-US"/>
        </w:rPr>
        <w:t xml:space="preserve">accuracy, </w:t>
      </w:r>
      <w:r w:rsidR="00F53B96">
        <w:rPr>
          <w:rFonts w:cstheme="minorHAnsi"/>
          <w:color w:val="000000"/>
          <w:sz w:val="24"/>
          <w:szCs w:val="24"/>
          <w:lang w:val="en-US"/>
        </w:rPr>
        <w:t>showing</w:t>
      </w:r>
      <w:r w:rsidR="00D73BD5" w:rsidRPr="003D0C88">
        <w:rPr>
          <w:rFonts w:cstheme="minorHAnsi"/>
          <w:color w:val="000000"/>
          <w:sz w:val="24"/>
          <w:szCs w:val="24"/>
          <w:lang w:val="en-US"/>
        </w:rPr>
        <w:t xml:space="preserve"> </w:t>
      </w:r>
      <w:r w:rsidR="00F53B96">
        <w:rPr>
          <w:rFonts w:cstheme="minorHAnsi"/>
          <w:color w:val="000000"/>
          <w:sz w:val="24"/>
          <w:szCs w:val="24"/>
          <w:lang w:val="en-US"/>
        </w:rPr>
        <w:t xml:space="preserve">as </w:t>
      </w:r>
      <w:r w:rsidR="00D73BD5" w:rsidRPr="003D0C88">
        <w:rPr>
          <w:rFonts w:cstheme="minorHAnsi"/>
          <w:color w:val="000000"/>
          <w:sz w:val="24"/>
          <w:szCs w:val="24"/>
          <w:lang w:val="en-US"/>
        </w:rPr>
        <w:t xml:space="preserve">area under the </w:t>
      </w:r>
      <w:r w:rsidR="00F53B96">
        <w:rPr>
          <w:rFonts w:cstheme="minorHAnsi"/>
          <w:color w:val="000000"/>
          <w:sz w:val="24"/>
          <w:szCs w:val="24"/>
          <w:lang w:val="en-US"/>
        </w:rPr>
        <w:t xml:space="preserve">receiver operating </w:t>
      </w:r>
      <w:r w:rsidR="00D73BD5" w:rsidRPr="003D0C88">
        <w:rPr>
          <w:rFonts w:cstheme="minorHAnsi"/>
          <w:color w:val="000000"/>
          <w:sz w:val="24"/>
          <w:szCs w:val="24"/>
          <w:lang w:val="en-US"/>
        </w:rPr>
        <w:t xml:space="preserve">curve (AUC) </w:t>
      </w:r>
      <w:r w:rsidR="00F53B96">
        <w:rPr>
          <w:rFonts w:cstheme="minorHAnsi"/>
          <w:color w:val="000000"/>
          <w:sz w:val="24"/>
          <w:szCs w:val="24"/>
          <w:lang w:val="en-US"/>
        </w:rPr>
        <w:t xml:space="preserve">of </w:t>
      </w:r>
      <w:r w:rsidR="00D73BD5" w:rsidRPr="003D0C88">
        <w:rPr>
          <w:rFonts w:cstheme="minorHAnsi"/>
          <w:color w:val="000000"/>
          <w:sz w:val="24"/>
          <w:szCs w:val="24"/>
          <w:lang w:val="en-US"/>
        </w:rPr>
        <w:t xml:space="preserve">0.90 (0.72–0.98, </w:t>
      </w:r>
      <w:r w:rsidR="00D73BD5" w:rsidRPr="003D0C88">
        <w:rPr>
          <w:rFonts w:cstheme="minorHAnsi"/>
          <w:i/>
          <w:iCs/>
          <w:color w:val="000000"/>
          <w:sz w:val="24"/>
          <w:szCs w:val="24"/>
          <w:lang w:val="en-US"/>
        </w:rPr>
        <w:t xml:space="preserve">p </w:t>
      </w:r>
      <w:r w:rsidR="00D73BD5" w:rsidRPr="003D0C88">
        <w:rPr>
          <w:rFonts w:cstheme="minorHAnsi"/>
          <w:color w:val="000000"/>
          <w:sz w:val="24"/>
          <w:szCs w:val="24"/>
          <w:lang w:val="en-US"/>
        </w:rPr>
        <w:t xml:space="preserve">&lt; 0.0001). </w:t>
      </w:r>
    </w:p>
    <w:p w14:paraId="031F9428" w14:textId="02A9D95F" w:rsidR="00F05745" w:rsidRPr="003D0C88" w:rsidRDefault="00693849" w:rsidP="00F278AB">
      <w:pPr>
        <w:spacing w:line="480" w:lineRule="auto"/>
        <w:jc w:val="both"/>
        <w:rPr>
          <w:rFonts w:cstheme="minorHAnsi"/>
          <w:sz w:val="24"/>
          <w:szCs w:val="24"/>
        </w:rPr>
      </w:pPr>
      <w:r>
        <w:rPr>
          <w:rFonts w:cstheme="minorHAnsi"/>
          <w:sz w:val="24"/>
          <w:szCs w:val="24"/>
        </w:rPr>
        <w:tab/>
      </w:r>
      <w:r w:rsidR="002D02CC" w:rsidRPr="003D0C88">
        <w:rPr>
          <w:rFonts w:cstheme="minorHAnsi"/>
          <w:sz w:val="24"/>
          <w:szCs w:val="24"/>
        </w:rPr>
        <w:t xml:space="preserve">In our cohort, </w:t>
      </w:r>
      <w:r w:rsidR="00BC4B4E" w:rsidRPr="003D0C88">
        <w:rPr>
          <w:rFonts w:cstheme="minorHAnsi"/>
          <w:sz w:val="24"/>
          <w:szCs w:val="24"/>
        </w:rPr>
        <w:t xml:space="preserve">overall </w:t>
      </w:r>
      <w:r w:rsidR="002D02CC" w:rsidRPr="003D0C88">
        <w:rPr>
          <w:rFonts w:cstheme="minorHAnsi"/>
          <w:sz w:val="24"/>
          <w:szCs w:val="24"/>
        </w:rPr>
        <w:t xml:space="preserve">nICP behaviour was </w:t>
      </w:r>
      <w:r w:rsidR="00F34B69" w:rsidRPr="003D0C88">
        <w:rPr>
          <w:rFonts w:cstheme="minorHAnsi"/>
          <w:sz w:val="24"/>
          <w:szCs w:val="24"/>
        </w:rPr>
        <w:t xml:space="preserve">kept relatively </w:t>
      </w:r>
      <w:r w:rsidR="002D02CC" w:rsidRPr="003D0C88">
        <w:rPr>
          <w:rFonts w:cstheme="minorHAnsi"/>
          <w:sz w:val="24"/>
          <w:szCs w:val="24"/>
        </w:rPr>
        <w:t>constant</w:t>
      </w:r>
      <w:r w:rsidR="00BC4B4E" w:rsidRPr="003D0C88">
        <w:rPr>
          <w:rFonts w:cstheme="minorHAnsi"/>
          <w:sz w:val="24"/>
          <w:szCs w:val="24"/>
        </w:rPr>
        <w:t xml:space="preserve"> throughout OLT. An exception was</w:t>
      </w:r>
      <w:r w:rsidR="002D02CC" w:rsidRPr="003D0C88">
        <w:rPr>
          <w:rFonts w:cstheme="minorHAnsi"/>
          <w:sz w:val="24"/>
          <w:szCs w:val="24"/>
        </w:rPr>
        <w:t xml:space="preserve"> patient 5</w:t>
      </w:r>
      <w:r w:rsidR="0032411A" w:rsidRPr="003D0C88">
        <w:rPr>
          <w:rFonts w:cstheme="minorHAnsi"/>
          <w:sz w:val="24"/>
          <w:szCs w:val="24"/>
        </w:rPr>
        <w:t xml:space="preserve"> (figure 1)</w:t>
      </w:r>
      <w:r w:rsidR="002D02CC" w:rsidRPr="003D0C88">
        <w:rPr>
          <w:rFonts w:cstheme="minorHAnsi"/>
          <w:sz w:val="24"/>
          <w:szCs w:val="24"/>
        </w:rPr>
        <w:t xml:space="preserve">, who </w:t>
      </w:r>
      <w:r w:rsidR="00EC13F7" w:rsidRPr="003D0C88">
        <w:rPr>
          <w:rFonts w:cstheme="minorHAnsi"/>
          <w:sz w:val="24"/>
          <w:szCs w:val="24"/>
        </w:rPr>
        <w:t>presented</w:t>
      </w:r>
      <w:r w:rsidR="002D02CC" w:rsidRPr="003D0C88">
        <w:rPr>
          <w:rFonts w:cstheme="minorHAnsi"/>
          <w:sz w:val="24"/>
          <w:szCs w:val="24"/>
        </w:rPr>
        <w:t xml:space="preserve"> a similar</w:t>
      </w:r>
      <w:r w:rsidR="001F3475" w:rsidRPr="003D0C88">
        <w:rPr>
          <w:rFonts w:cstheme="minorHAnsi"/>
          <w:sz w:val="24"/>
          <w:szCs w:val="24"/>
        </w:rPr>
        <w:t xml:space="preserve"> </w:t>
      </w:r>
      <w:r w:rsidR="002D02CC" w:rsidRPr="003D0C88">
        <w:rPr>
          <w:rFonts w:cstheme="minorHAnsi"/>
          <w:sz w:val="24"/>
          <w:szCs w:val="24"/>
        </w:rPr>
        <w:t xml:space="preserve">pattern </w:t>
      </w:r>
      <w:r w:rsidR="0095253F" w:rsidRPr="003D0C88">
        <w:rPr>
          <w:rFonts w:cstheme="minorHAnsi"/>
          <w:sz w:val="24"/>
          <w:szCs w:val="24"/>
        </w:rPr>
        <w:t>of</w:t>
      </w:r>
      <w:r w:rsidR="00F53B96">
        <w:rPr>
          <w:rFonts w:cstheme="minorHAnsi"/>
          <w:sz w:val="24"/>
          <w:szCs w:val="24"/>
        </w:rPr>
        <w:t xml:space="preserve"> ICP</w:t>
      </w:r>
      <w:r w:rsidR="0095253F" w:rsidRPr="003D0C88">
        <w:rPr>
          <w:rFonts w:cstheme="minorHAnsi"/>
          <w:sz w:val="24"/>
          <w:szCs w:val="24"/>
        </w:rPr>
        <w:t xml:space="preserve"> decrease during anhepatic phase and increase during reperfusion</w:t>
      </w:r>
      <w:r w:rsidR="00BB6E11" w:rsidRPr="003D0C88">
        <w:rPr>
          <w:rFonts w:cstheme="minorHAnsi"/>
          <w:sz w:val="24"/>
          <w:szCs w:val="24"/>
        </w:rPr>
        <w:t xml:space="preserve"> as previously described</w:t>
      </w:r>
      <w:r w:rsidR="0004413C">
        <w:rPr>
          <w:rFonts w:cstheme="minorHAnsi"/>
          <w:sz w:val="24"/>
          <w:szCs w:val="24"/>
        </w:rPr>
        <w:t xml:space="preserve"> </w:t>
      </w:r>
      <w:r w:rsidR="00BB6E11" w:rsidRPr="003D0C88">
        <w:rPr>
          <w:rFonts w:cstheme="minorHAnsi"/>
          <w:sz w:val="24"/>
          <w:szCs w:val="24"/>
        </w:rPr>
        <w:fldChar w:fldCharType="begin" w:fldLock="1"/>
      </w:r>
      <w:r w:rsidR="004030CD">
        <w:rPr>
          <w:rFonts w:cstheme="minorHAnsi"/>
          <w:sz w:val="24"/>
          <w:szCs w:val="24"/>
        </w:rPr>
        <w:instrText>ADDIN CSL_CITATION {"citationItems":[{"id":"ITEM-1","itemData":{"ISBN":"0033-5622 (Print)\\r0033-5622 (Linking)","PMID":"1924677","abstract":"Several centres that perform liver transplantation for fulminant hepatic failure have experience of patients who have not regained consciousness despite adequate graft function. In some of these, decerebration because of elevation in intracranial pressure was thought to have occurred intraoperatively or in the early post-operative period. In the present study six patients with fulminant hepatic failure who were transplanted had extradural monitors inserted before operation. Intracranial pressure had been controlled prior to transplantation and rose during the pre-clamp phase of the operation. Levels fell during the anhepatic phase but rose again during the reperfusion phase (p = 0.033). Overall, from the induction of anaesthesia to the reperfusion phase there was a significant increase in mean intracranial pressure (p less than 0.01). The cerebral perfusion pressure fell after induction of anaesthesia from a median 54 mmHg (range 46-62) to a median 35 mmHg (range 19-49, p less than 0.001) in the pre-clamp phase and remained low throughout the operation. During the first 10 hours after transplantation, three patients had further episodes of intracranial hypertension requiring treatment and it is important that monitoring should be continued through this period.","author":[{"dropping-particle":"","family":"Keays","given":"R","non-dropping-particle":"","parse-names":false,"suffix":""},{"dropping-particle":"","family":"Potter","given":"D","non-dropping-particle":"","parse-names":false,"suffix":""},{"dropping-particle":"","family":"O'Grady","given":"J","non-dropping-particle":"","parse-names":false,"suffix":""},{"dropping-particle":"","family":"Peachey","given":"T","non-dropping-particle":"","parse-names":false,"suffix":""},{"dropping-particle":"","family":"Alexander","given":"G","non-dropping-particle":"","parse-names":false,"suffix":""},{"dropping-particle":"","family":"Williams","given":"R","non-dropping-particle":"","parse-names":false,"suffix":""}],"container-title":"Q J Med","id":"ITEM-1","issue":"289","issued":{"date-parts":[["1991"]]},"page":"425-433","title":"Intracranial and cerebral perfusion pressure changes before, during and immediately after orthotopic liver transplantation for fulminant hepatic failure","type":"article-journal","volume":"79"},"uris":["http://www.mendeley.com/documents/?uuid=0ae3d36a-3c3a-4b0d-9414-b33623e81478","http://www.mendeley.com/documents/?uuid=a21b7bb4-2e36-4952-8446-8b5a16cf6f36"]},{"id":"ITEM-2","itemData":{"ISSN":"0041-1337","PMID":"10096539","abstract":"During orthotopic liver transplantation (OLT) for fulminant hepatic failure (FHF), some patients develop cerebral injury secondary to intracranial hypertension. We monitored intracranial pressure (ICP) and cerebral perfusion pressure (CPP) before and during OLT in 12 FHF patients undergoing transplantation. All four patients who had normal ICP preoperatively maintained normal ICP/CPP throughout OLT. During OLT, four of the eight patients with pretransplant intracranial hypertension had six episodes of ICP increase. These episodes of intracranial hypertension occurred during failing liver dissection (n=3) and graft reperfusion (n=3). At the end of the anhepatic phase, the ICP was lower than the preoperative ICP in all patients, and was below 15 mmHg in all but one patient. These data suggest that in FHF patients who develop intracranial hypertension before OLT, dissection of the native liver and graft reperfusion are associated with a risk of brain injury resulting from intracranial hypertension and cerebral hypoperfusion.","author":[{"dropping-particle":"","family":"Detry","given":"O","non-dropping-particle":"","parse-names":false,"suffix":""},{"dropping-particle":"","family":"Arkadopoulos","given":"N","non-dropping-particle":"","parse-names":false,"suffix":""},{"dropping-particle":"","family":"Ting","given":"P","non-dropping-particle":"","parse-names":false,"suffix":""},{"dropping-particle":"","family":"Kahaku","given":"E","non-dropping-particle":"","parse-names":false,"suffix":""},{"dropping-particle":"","family":"Margulies","given":"J","non-dropping-particle":"","parse-names":false,"suffix":""},{"dropping-particle":"","family":"Arnaout","given":"W","non-dropping-particle":"","parse-names":false,"suffix":""},{"dropping-particle":"","family":"Colquhoun","given":"S D","non-dropping-particle":"","parse-names":false,"suffix":""},{"dropping-particle":"","family":"Rozga","given":"J","non-dropping-particle":"","parse-names":false,"suffix":""},{"dropping-particle":"","family":"Demetriou","given":"A A","non-dropping-particle":"","parse-names":false,"suffix":""}],"container-title":"Transplantation","id":"ITEM-2","issue":"5","issued":{"date-parts":[["1999"]]},"page":"767-70","title":"Intracranial pressure during liver transplantation for fulminant hepatic failure.","type":"article-journal","volume":"67"},"uris":["http://www.mendeley.com/documents/?uuid=64ad9c9c-7988-4031-b042-c60ddd30fcf0","http://www.mendeley.com/documents/?uuid=8977e40e-ddb9-46bc-a5d9-a58ade737c7c","http://www.mendeley.com/documents/?uuid=fcbeb4bd-58c9-4dca-87c9-c62c77fa2624"]},{"id":"ITEM-3","itemData":{"ISSN":"0270-9139","PMID":"1618463","abstract":"Cerebral edema and intracranial hypertension, commonly present in fulminant hepatic failure, may lead to brainstem herniation and limit the survival of comatose patients awaiting liver transplantation before a donor organ becomes available. Also, they are likely responsible for postoperative neurological morbidity and mortality. Although intracranial pressure monitoring has been proposed to aid clinical decision making in this setting, its use in the prevention of brainstem herniation preoperatively, in the selection of patients for liver transplantation who have the potential for neurological recovery and in the maintenance of cerebral perfusion during liver transplantation has not been examined in detail. To address these issues, we established a protocol for intracranial pressure monitoring in comatose patients with fulminant hepatic failure as part of their preoperative and intraoperative management. Twenty adults and three children underwent intracranial pressure monitoring. Ten patients required preoperative medical therapy with mannitol, barbiturates or both for a rise in intracranial pressure above 25 mm Hg. Four patients had a sustained lowering of intracranial pressure, three of whom survived hospitalization. Six patients had intracranial hypertension refractory to medical management, were removed from a waiting list for a donor organ and died with brainstem herniation. Of the remaining 17 patients, 3 died of other causes while awaiting a donor organ, 2 recovered spontaneously without neurological sequelae and 12 underwent liver transplantation. All but one patient undergoing liver transplantation had transient intraoperative intracranial hypertension develop, requiring medical treatment. The 12 patients who had transplants recovered neurologically and were discharged from the hospital.(ABSTRACT TRUNCATED AT 250 WORDS)","author":[{"dropping-particle":"","family":"Lidofsky","given":"S D","non-dropping-particle":"","parse-names":false,"suffix":""},{"dropping-particle":"","family":"Bass","given":"N M","non-dropping-particle":"","parse-names":false,"suffix":""},{"dropping-particle":"","family":"Prager","given":"M C","non-dropping-particle":"","parse-names":false,"suffix":""},{"dropping-particle":"","family":"Washington","given":"D E","non-dropping-particle":"","parse-names":false,"suffix":""},{"dropping-particle":"","family":"Read","given":"A E","non-dropping-particle":"","parse-names":false,"suffix":""},{"dropping-particle":"","family":"Wright","given":"T L","non-dropping-particle":"","parse-names":false,"suffix":""},{"dropping-particle":"","family":"Ascher","given":"N L","non-dropping-particle":"","parse-names":false,"suffix":""},{"dropping-particle":"","family":"Roberts","given":"J P","non-dropping-particle":"","parse-names":false,"suffix":""},{"dropping-particle":"","family":"Scharschmidt","given":"B F","non-dropping-particle":"","parse-names":false,"suffix":""},{"dropping-particle":"","family":"Lake","given":"J R","non-dropping-particle":"","parse-names":false,"suffix":""}],"container-title":"Hepatology (Baltimore, Md.)","id":"ITEM-3","issue":"1","issued":{"date-parts":[["1992"]]},"page":"1-7","title":"Intracranial pressure monitoring and liver transplantation for fulminant hepatic failure.","type":"article-journal","volume":"16"},"uris":["http://www.mendeley.com/documents/?uuid=a8f2ef39-47cb-46e9-ada4-f9974773cd75","http://www.mendeley.com/documents/?uuid=fb2e4f41-10df-4770-b1f0-e038173107c0","http://www.mendeley.com/documents/?uuid=0de97251-3677-4255-ab91-ac4f3c5b93ae"]}],"mendeley":{"formattedCitation":"(Detry et al. 1999; Keays et al. 1991; Lidofsky et al. 1992)","plainTextFormattedCitation":"(Detry et al. 1999; Keays et al. 1991; Lidofsky et al. 1992)","previouslyFormattedCitation":"(Detry et al. 1999; Keays et al. 1991; Lidofsky et al. 1992)"},"properties":{"noteIndex":0},"schema":"https://github.com/citation-style-language/schema/raw/master/csl-citation.json"}</w:instrText>
      </w:r>
      <w:r w:rsidR="00BB6E11" w:rsidRPr="003D0C88">
        <w:rPr>
          <w:rFonts w:cstheme="minorHAnsi"/>
          <w:sz w:val="24"/>
          <w:szCs w:val="24"/>
        </w:rPr>
        <w:fldChar w:fldCharType="separate"/>
      </w:r>
      <w:r w:rsidR="00464A24" w:rsidRPr="003D0C88">
        <w:rPr>
          <w:rFonts w:cstheme="minorHAnsi"/>
          <w:noProof/>
          <w:sz w:val="24"/>
          <w:szCs w:val="24"/>
        </w:rPr>
        <w:t>(Detry et al. 1999; Keays et al. 1991; Lidofsky et al. 1992)</w:t>
      </w:r>
      <w:r w:rsidR="00BB6E11" w:rsidRPr="003D0C88">
        <w:rPr>
          <w:rFonts w:cstheme="minorHAnsi"/>
          <w:sz w:val="24"/>
          <w:szCs w:val="24"/>
        </w:rPr>
        <w:fldChar w:fldCharType="end"/>
      </w:r>
      <w:r w:rsidR="002D02CC" w:rsidRPr="003D0C88">
        <w:rPr>
          <w:rFonts w:cstheme="minorHAnsi"/>
          <w:sz w:val="24"/>
          <w:szCs w:val="24"/>
        </w:rPr>
        <w:t>; however, changes between phases were not significantly different and nICP mean values were not associated with intracranial hypertension.</w:t>
      </w:r>
      <w:r w:rsidR="00F34B69" w:rsidRPr="003D0C88">
        <w:rPr>
          <w:rFonts w:cstheme="minorHAnsi"/>
          <w:sz w:val="24"/>
          <w:szCs w:val="24"/>
        </w:rPr>
        <w:t xml:space="preserve"> </w:t>
      </w:r>
      <w:r w:rsidR="00BC4B4E" w:rsidRPr="003D0C88">
        <w:rPr>
          <w:rFonts w:cstheme="minorHAnsi"/>
          <w:sz w:val="24"/>
          <w:szCs w:val="24"/>
        </w:rPr>
        <w:t xml:space="preserve"> </w:t>
      </w:r>
    </w:p>
    <w:p w14:paraId="6D8379C0" w14:textId="69D3600A" w:rsidR="00C01F0D" w:rsidRPr="003D0C88" w:rsidRDefault="00693849" w:rsidP="00F278AB">
      <w:pPr>
        <w:spacing w:line="480" w:lineRule="auto"/>
        <w:jc w:val="both"/>
        <w:rPr>
          <w:rFonts w:cstheme="minorHAnsi"/>
          <w:sz w:val="24"/>
          <w:szCs w:val="24"/>
        </w:rPr>
      </w:pPr>
      <w:r>
        <w:rPr>
          <w:rFonts w:cstheme="minorHAnsi"/>
          <w:sz w:val="24"/>
          <w:szCs w:val="24"/>
        </w:rPr>
        <w:lastRenderedPageBreak/>
        <w:tab/>
      </w:r>
      <w:r w:rsidR="001022C8" w:rsidRPr="003D0C88">
        <w:rPr>
          <w:rFonts w:cstheme="minorHAnsi"/>
          <w:sz w:val="24"/>
          <w:szCs w:val="24"/>
        </w:rPr>
        <w:t>Overall,</w:t>
      </w:r>
      <w:r w:rsidR="00C01F0D" w:rsidRPr="003D0C88">
        <w:rPr>
          <w:rFonts w:cstheme="minorHAnsi"/>
          <w:sz w:val="24"/>
          <w:szCs w:val="24"/>
        </w:rPr>
        <w:t xml:space="preserve"> nCPP </w:t>
      </w:r>
      <w:r w:rsidR="00A67451" w:rsidRPr="003D0C88">
        <w:rPr>
          <w:rFonts w:cstheme="minorHAnsi"/>
          <w:sz w:val="24"/>
          <w:szCs w:val="24"/>
        </w:rPr>
        <w:t>presented a stronger tendency of decrease, particularly from anhepatic to reperfusion phases, in which all patients presented nCPP decrease. As nICP remained relatively constant during this period, the observed changes can be attributed to decreases in ABP (Figure 1).</w:t>
      </w:r>
    </w:p>
    <w:p w14:paraId="67E2B5EF" w14:textId="2113DE60" w:rsidR="000E14E4" w:rsidRPr="003D0C88" w:rsidRDefault="00693849" w:rsidP="00F278AB">
      <w:pPr>
        <w:spacing w:line="480" w:lineRule="auto"/>
        <w:jc w:val="both"/>
        <w:rPr>
          <w:rFonts w:cstheme="minorHAnsi"/>
          <w:sz w:val="24"/>
          <w:szCs w:val="24"/>
        </w:rPr>
      </w:pPr>
      <w:r>
        <w:rPr>
          <w:rFonts w:cstheme="minorHAnsi"/>
          <w:sz w:val="24"/>
          <w:szCs w:val="24"/>
        </w:rPr>
        <w:tab/>
      </w:r>
      <w:r w:rsidR="000E14E4" w:rsidRPr="003D0C88">
        <w:rPr>
          <w:rFonts w:cstheme="minorHAnsi"/>
          <w:sz w:val="24"/>
          <w:szCs w:val="24"/>
        </w:rPr>
        <w:t xml:space="preserve">Considering that cerebral autoregulation is subject to haemodynamic changes such as in ABP, ICP and CPP in pathological conditions, the determination of optimal thresholds for these parameters according </w:t>
      </w:r>
      <w:r w:rsidR="00250931" w:rsidRPr="003D0C88">
        <w:rPr>
          <w:rFonts w:cstheme="minorHAnsi"/>
          <w:sz w:val="24"/>
          <w:szCs w:val="24"/>
        </w:rPr>
        <w:t xml:space="preserve">to </w:t>
      </w:r>
      <w:r w:rsidR="009C43DC" w:rsidRPr="003D0C88">
        <w:rPr>
          <w:rFonts w:cstheme="minorHAnsi"/>
          <w:sz w:val="24"/>
          <w:szCs w:val="24"/>
        </w:rPr>
        <w:t>an</w:t>
      </w:r>
      <w:r w:rsidR="00250931" w:rsidRPr="003D0C88">
        <w:rPr>
          <w:rFonts w:cstheme="minorHAnsi"/>
          <w:sz w:val="24"/>
          <w:szCs w:val="24"/>
        </w:rPr>
        <w:t xml:space="preserve"> optimal state of</w:t>
      </w:r>
      <w:r w:rsidR="000E14E4" w:rsidRPr="003D0C88">
        <w:rPr>
          <w:rFonts w:cstheme="minorHAnsi"/>
          <w:sz w:val="24"/>
          <w:szCs w:val="24"/>
        </w:rPr>
        <w:t xml:space="preserve"> cerebral autoregulation could </w:t>
      </w:r>
      <w:r w:rsidR="00FE6E3A" w:rsidRPr="003D0C88">
        <w:rPr>
          <w:rFonts w:cstheme="minorHAnsi"/>
          <w:sz w:val="24"/>
          <w:szCs w:val="24"/>
        </w:rPr>
        <w:t>provide</w:t>
      </w:r>
      <w:r w:rsidR="000E14E4" w:rsidRPr="003D0C88">
        <w:rPr>
          <w:rFonts w:cstheme="minorHAnsi"/>
          <w:sz w:val="24"/>
          <w:szCs w:val="24"/>
        </w:rPr>
        <w:t xml:space="preserve"> more reasonable</w:t>
      </w:r>
      <w:r w:rsidR="009A3A9F" w:rsidRPr="003D0C88">
        <w:rPr>
          <w:rFonts w:cstheme="minorHAnsi"/>
          <w:sz w:val="24"/>
          <w:szCs w:val="24"/>
        </w:rPr>
        <w:t>, individualised</w:t>
      </w:r>
      <w:r w:rsidR="000E14E4" w:rsidRPr="003D0C88">
        <w:rPr>
          <w:rFonts w:cstheme="minorHAnsi"/>
          <w:sz w:val="24"/>
          <w:szCs w:val="24"/>
        </w:rPr>
        <w:t xml:space="preserve"> management</w:t>
      </w:r>
      <w:r w:rsidR="009A3A9F" w:rsidRPr="003D0C88">
        <w:rPr>
          <w:rFonts w:cstheme="minorHAnsi"/>
          <w:sz w:val="24"/>
          <w:szCs w:val="24"/>
        </w:rPr>
        <w:t xml:space="preserve"> of cerebral haemodynamics</w:t>
      </w:r>
      <w:r w:rsidR="000E14E4" w:rsidRPr="003D0C88">
        <w:rPr>
          <w:rFonts w:cstheme="minorHAnsi"/>
          <w:sz w:val="24"/>
          <w:szCs w:val="24"/>
        </w:rPr>
        <w:t xml:space="preserve"> in critical situations</w:t>
      </w:r>
      <w:r w:rsidR="009A3A9F" w:rsidRPr="003D0C88">
        <w:rPr>
          <w:rFonts w:cstheme="minorHAnsi"/>
          <w:sz w:val="24"/>
          <w:szCs w:val="24"/>
        </w:rPr>
        <w:t>, such as ICP surges</w:t>
      </w:r>
      <w:r w:rsidR="000E14E4" w:rsidRPr="003D0C88">
        <w:rPr>
          <w:rFonts w:cstheme="minorHAnsi"/>
          <w:sz w:val="24"/>
          <w:szCs w:val="24"/>
        </w:rPr>
        <w:t>.</w:t>
      </w:r>
      <w:r w:rsidR="00250931" w:rsidRPr="003D0C88">
        <w:rPr>
          <w:rFonts w:cstheme="minorHAnsi"/>
          <w:sz w:val="24"/>
          <w:szCs w:val="24"/>
        </w:rPr>
        <w:t xml:space="preserve"> </w:t>
      </w:r>
      <w:r w:rsidR="009C43DC" w:rsidRPr="003D0C88">
        <w:rPr>
          <w:rFonts w:cstheme="minorHAnsi"/>
          <w:sz w:val="24"/>
          <w:szCs w:val="24"/>
        </w:rPr>
        <w:t>Based on these assumptions, a previous study could identify a narrow CPP target (</w:t>
      </w:r>
      <w:r w:rsidR="00AB16DB" w:rsidRPr="003D0C88">
        <w:rPr>
          <w:rFonts w:cstheme="minorHAnsi"/>
          <w:sz w:val="24"/>
          <w:szCs w:val="24"/>
        </w:rPr>
        <w:t xml:space="preserve">optimal CPP - </w:t>
      </w:r>
      <w:r w:rsidR="009C43DC" w:rsidRPr="003D0C88">
        <w:rPr>
          <w:rFonts w:cstheme="minorHAnsi"/>
          <w:sz w:val="24"/>
          <w:szCs w:val="24"/>
        </w:rPr>
        <w:t>CPP</w:t>
      </w:r>
      <w:r w:rsidR="009C43DC" w:rsidRPr="003D0C88">
        <w:rPr>
          <w:rFonts w:cstheme="minorHAnsi"/>
          <w:sz w:val="24"/>
          <w:szCs w:val="24"/>
          <w:vertAlign w:val="subscript"/>
        </w:rPr>
        <w:t>opt</w:t>
      </w:r>
      <w:r w:rsidR="009C43DC" w:rsidRPr="003D0C88">
        <w:rPr>
          <w:rFonts w:cstheme="minorHAnsi"/>
          <w:sz w:val="24"/>
          <w:szCs w:val="24"/>
        </w:rPr>
        <w:t xml:space="preserve">) by defining the level of best cerebrovascular reactivity, using PRx. </w:t>
      </w:r>
      <w:r w:rsidR="00AB16DB" w:rsidRPr="003D0C88">
        <w:rPr>
          <w:rFonts w:cstheme="minorHAnsi"/>
          <w:sz w:val="24"/>
          <w:szCs w:val="24"/>
        </w:rPr>
        <w:t>In such study, t</w:t>
      </w:r>
      <w:r w:rsidR="009C43DC" w:rsidRPr="003D0C88">
        <w:rPr>
          <w:rFonts w:cstheme="minorHAnsi"/>
          <w:sz w:val="24"/>
          <w:szCs w:val="24"/>
        </w:rPr>
        <w:t>he deviation from CPP</w:t>
      </w:r>
      <w:r w:rsidR="009C43DC" w:rsidRPr="003D0C88">
        <w:rPr>
          <w:rFonts w:cstheme="minorHAnsi"/>
          <w:sz w:val="24"/>
          <w:szCs w:val="24"/>
          <w:vertAlign w:val="subscript"/>
        </w:rPr>
        <w:t>opt</w:t>
      </w:r>
      <w:r w:rsidR="009C43DC" w:rsidRPr="003D0C88">
        <w:rPr>
          <w:rFonts w:cstheme="minorHAnsi"/>
          <w:sz w:val="24"/>
          <w:szCs w:val="24"/>
        </w:rPr>
        <w:t xml:space="preserve"> was associated with worse outcome</w:t>
      </w:r>
      <w:r w:rsidR="00AB16DB" w:rsidRPr="003D0C88">
        <w:rPr>
          <w:rFonts w:cstheme="minorHAnsi"/>
          <w:sz w:val="24"/>
          <w:szCs w:val="24"/>
        </w:rPr>
        <w:t xml:space="preserve"> in TBI patients</w:t>
      </w:r>
      <w:r w:rsidR="0004413C">
        <w:rPr>
          <w:rFonts w:cstheme="minorHAnsi"/>
          <w:sz w:val="24"/>
          <w:szCs w:val="24"/>
        </w:rPr>
        <w:t xml:space="preserve"> </w:t>
      </w:r>
      <w:r w:rsidR="009C43DC" w:rsidRPr="003D0C88">
        <w:rPr>
          <w:rFonts w:cstheme="minorHAnsi"/>
          <w:sz w:val="24"/>
          <w:szCs w:val="24"/>
        </w:rPr>
        <w:fldChar w:fldCharType="begin" w:fldLock="1"/>
      </w:r>
      <w:r w:rsidR="004030CD">
        <w:rPr>
          <w:rFonts w:cstheme="minorHAnsi"/>
          <w:sz w:val="24"/>
          <w:szCs w:val="24"/>
        </w:rPr>
        <w:instrText>ADDIN CSL_CITATION {"citationItems":[{"id":"ITEM-1","itemData":{"DOI":"10.1097/CCM.0b013e3182514eb6","ISBN":"0090-3493","ISSN":"1530-0293","PMID":"22622398","abstract":"We have sought to develop an automated methodology for the continuous updating of optimal cerebral perfusion pressure (CPPopt) for patients after severe traumatic head injury, using continuous monitoring of cerebrovascular pressure reactivity. We then validated the CPPopt algorithm by determining the association between outcome and the deviation of actual CPP from CPPopt.","author":[{"dropping-particle":"","family":"Aries","given":"Marcel J H","non-dropping-particle":"","parse-names":false,"suffix":""},{"dropping-particle":"","family":"Czosnyka","given":"Marek","non-dropping-particle":"","parse-names":false,"suffix":""},{"dropping-particle":"","family":"Budohoski","given":"Karol P","non-dropping-particle":"","parse-names":false,"suffix":""},{"dropping-particle":"","family":"Steiner","given":"Luzius A","non-dropping-particle":"","parse-names":false,"suffix":""},{"dropping-particle":"","family":"Lavinio","given":"Andrea","non-dropping-particle":"","parse-names":false,"suffix":""},{"dropping-particle":"","family":"Kolias","given":"Angelos G","non-dropping-particle":"","parse-names":false,"suffix":""},{"dropping-particle":"","family":"Hutchinson","given":"Peter J","non-dropping-particle":"","parse-names":false,"suffix":""},{"dropping-particle":"","family":"Brady","given":"Ken M","non-dropping-particle":"","parse-names":false,"suffix":""},{"dropping-particle":"","family":"Menon","given":"David K","non-dropping-particle":"","parse-names":false,"suffix":""},{"dropping-particle":"","family":"Pickard","given":"John D","non-dropping-particle":"","parse-names":false,"suffix":""},{"dropping-particle":"","family":"Smielewski","given":"Peter","non-dropping-particle":"","parse-names":false,"suffix":""}],"container-title":"Crit Care Med","id":"ITEM-1","issue":"8","issued":{"date-parts":[["2012"]]},"page":"2456-63","title":"Continuous determination of optimal cerebral perfusion pressure in traumatic brain injury.","type":"article-journal","volume":"40"},"uris":["http://www.mendeley.com/documents/?uuid=59873108-0597-477f-8dda-58f18d5486d0"]}],"mendeley":{"formattedCitation":"(Aries et al. 2012)","plainTextFormattedCitation":"(Aries et al. 2012)","previouslyFormattedCitation":"(Aries et al. 2012)"},"properties":{"noteIndex":0},"schema":"https://github.com/citation-style-language/schema/raw/master/csl-citation.json"}</w:instrText>
      </w:r>
      <w:r w:rsidR="009C43DC" w:rsidRPr="003D0C88">
        <w:rPr>
          <w:rFonts w:cstheme="minorHAnsi"/>
          <w:sz w:val="24"/>
          <w:szCs w:val="24"/>
        </w:rPr>
        <w:fldChar w:fldCharType="separate"/>
      </w:r>
      <w:r w:rsidR="00464A24" w:rsidRPr="003D0C88">
        <w:rPr>
          <w:rFonts w:cstheme="minorHAnsi"/>
          <w:noProof/>
          <w:sz w:val="24"/>
          <w:szCs w:val="24"/>
        </w:rPr>
        <w:t>(Aries et al. 2012)</w:t>
      </w:r>
      <w:r w:rsidR="009C43DC" w:rsidRPr="003D0C88">
        <w:rPr>
          <w:rFonts w:cstheme="minorHAnsi"/>
          <w:sz w:val="24"/>
          <w:szCs w:val="24"/>
        </w:rPr>
        <w:fldChar w:fldCharType="end"/>
      </w:r>
      <w:r w:rsidR="009C43DC" w:rsidRPr="003D0C88">
        <w:rPr>
          <w:rFonts w:cstheme="minorHAnsi"/>
          <w:sz w:val="24"/>
          <w:szCs w:val="24"/>
        </w:rPr>
        <w:t>.</w:t>
      </w:r>
      <w:r w:rsidR="00F95476" w:rsidRPr="003D0C88">
        <w:rPr>
          <w:rFonts w:cstheme="minorHAnsi"/>
          <w:sz w:val="24"/>
          <w:szCs w:val="24"/>
        </w:rPr>
        <w:t xml:space="preserve"> In our study</w:t>
      </w:r>
      <w:r w:rsidR="00CB6D52" w:rsidRPr="003D0C88">
        <w:rPr>
          <w:rFonts w:cstheme="minorHAnsi"/>
          <w:sz w:val="24"/>
          <w:szCs w:val="24"/>
        </w:rPr>
        <w:t>, we could</w:t>
      </w:r>
      <w:r w:rsidR="001022C8" w:rsidRPr="003D0C88">
        <w:rPr>
          <w:rFonts w:cstheme="minorHAnsi"/>
          <w:sz w:val="24"/>
          <w:szCs w:val="24"/>
        </w:rPr>
        <w:t xml:space="preserve"> obtain</w:t>
      </w:r>
      <w:r w:rsidR="00CB6D52" w:rsidRPr="003D0C88">
        <w:rPr>
          <w:rFonts w:cstheme="minorHAnsi"/>
          <w:sz w:val="24"/>
          <w:szCs w:val="24"/>
        </w:rPr>
        <w:t xml:space="preserve"> optimal ABP in </w:t>
      </w:r>
      <w:r w:rsidR="0037207E" w:rsidRPr="003D0C88">
        <w:rPr>
          <w:rFonts w:cstheme="minorHAnsi"/>
          <w:sz w:val="24"/>
          <w:szCs w:val="24"/>
        </w:rPr>
        <w:t xml:space="preserve">certain </w:t>
      </w:r>
      <w:r w:rsidR="00CB6D52" w:rsidRPr="003D0C88">
        <w:rPr>
          <w:rFonts w:cstheme="minorHAnsi"/>
          <w:sz w:val="24"/>
          <w:szCs w:val="24"/>
        </w:rPr>
        <w:t>patients</w:t>
      </w:r>
      <w:r w:rsidR="00F95476" w:rsidRPr="003D0C88">
        <w:rPr>
          <w:rFonts w:cstheme="minorHAnsi"/>
          <w:sz w:val="24"/>
          <w:szCs w:val="24"/>
        </w:rPr>
        <w:t>, demonstrating th</w:t>
      </w:r>
      <w:r w:rsidR="0037207E" w:rsidRPr="003D0C88">
        <w:rPr>
          <w:rFonts w:cstheme="minorHAnsi"/>
          <w:sz w:val="24"/>
          <w:szCs w:val="24"/>
        </w:rPr>
        <w:t>e feasibility of</w:t>
      </w:r>
      <w:r w:rsidR="00F95476" w:rsidRPr="003D0C88">
        <w:rPr>
          <w:rFonts w:cstheme="minorHAnsi"/>
          <w:sz w:val="24"/>
          <w:szCs w:val="24"/>
        </w:rPr>
        <w:t xml:space="preserve"> </w:t>
      </w:r>
      <w:r w:rsidR="00DF5C18" w:rsidRPr="003D0C88">
        <w:rPr>
          <w:rFonts w:cstheme="minorHAnsi"/>
          <w:sz w:val="24"/>
          <w:szCs w:val="24"/>
        </w:rPr>
        <w:t xml:space="preserve">identifying </w:t>
      </w:r>
      <w:r w:rsidR="00F95476" w:rsidRPr="003D0C88">
        <w:rPr>
          <w:rFonts w:cstheme="minorHAnsi"/>
          <w:sz w:val="24"/>
          <w:szCs w:val="24"/>
        </w:rPr>
        <w:t>these targets during OLT by means of non-invasive monitoring using TCD</w:t>
      </w:r>
      <w:r w:rsidR="00860B1F" w:rsidRPr="003D0C88">
        <w:rPr>
          <w:rFonts w:cstheme="minorHAnsi"/>
          <w:sz w:val="24"/>
          <w:szCs w:val="24"/>
        </w:rPr>
        <w:t xml:space="preserve"> (Figures</w:t>
      </w:r>
      <w:r w:rsidR="007B470A" w:rsidRPr="003D0C88">
        <w:rPr>
          <w:rFonts w:cstheme="minorHAnsi"/>
          <w:sz w:val="24"/>
          <w:szCs w:val="24"/>
        </w:rPr>
        <w:t xml:space="preserve"> 6</w:t>
      </w:r>
      <w:r w:rsidR="00650E7A" w:rsidRPr="003D0C88">
        <w:rPr>
          <w:rFonts w:cstheme="minorHAnsi"/>
          <w:sz w:val="24"/>
          <w:szCs w:val="24"/>
        </w:rPr>
        <w:t xml:space="preserve"> and 7</w:t>
      </w:r>
      <w:r w:rsidR="00B418D8" w:rsidRPr="003D0C88">
        <w:rPr>
          <w:rFonts w:cstheme="minorHAnsi"/>
          <w:sz w:val="24"/>
          <w:szCs w:val="24"/>
        </w:rPr>
        <w:t>)</w:t>
      </w:r>
      <w:r w:rsidR="00F95476" w:rsidRPr="003D0C88">
        <w:rPr>
          <w:rFonts w:cstheme="minorHAnsi"/>
          <w:sz w:val="24"/>
          <w:szCs w:val="24"/>
        </w:rPr>
        <w:t>.</w:t>
      </w:r>
      <w:r w:rsidR="009A3A9F" w:rsidRPr="003D0C88">
        <w:rPr>
          <w:rFonts w:cstheme="minorHAnsi"/>
          <w:sz w:val="24"/>
          <w:szCs w:val="24"/>
        </w:rPr>
        <w:t xml:space="preserve"> </w:t>
      </w:r>
    </w:p>
    <w:p w14:paraId="7F6A740D" w14:textId="0E83D06D" w:rsidR="00AA2B21" w:rsidRPr="003D0C88" w:rsidRDefault="00693849" w:rsidP="00AA2B21">
      <w:pPr>
        <w:spacing w:line="480" w:lineRule="auto"/>
        <w:jc w:val="both"/>
        <w:rPr>
          <w:rFonts w:cstheme="minorHAnsi"/>
          <w:sz w:val="24"/>
          <w:szCs w:val="24"/>
        </w:rPr>
      </w:pPr>
      <w:r>
        <w:rPr>
          <w:rFonts w:cstheme="minorHAnsi"/>
          <w:sz w:val="24"/>
          <w:szCs w:val="24"/>
        </w:rPr>
        <w:tab/>
      </w:r>
      <w:r w:rsidR="007B031F" w:rsidRPr="003D0C88">
        <w:rPr>
          <w:rFonts w:cstheme="minorHAnsi"/>
          <w:sz w:val="24"/>
          <w:szCs w:val="24"/>
        </w:rPr>
        <w:t xml:space="preserve">Critical closing pressure is another useful TCD-derived parameter associated with the determination of a critical threshold for ABP. </w:t>
      </w:r>
      <w:r w:rsidR="00AA2B21" w:rsidRPr="003D0C88">
        <w:rPr>
          <w:rFonts w:cstheme="minorHAnsi"/>
          <w:sz w:val="24"/>
          <w:szCs w:val="24"/>
        </w:rPr>
        <w:t xml:space="preserve">By monitoring CrCP, the DCM can also be trended and may represent an important clinical threshold in patients with </w:t>
      </w:r>
      <w:r w:rsidR="00B418D8" w:rsidRPr="003D0C88">
        <w:rPr>
          <w:rFonts w:cstheme="minorHAnsi"/>
          <w:sz w:val="24"/>
          <w:szCs w:val="24"/>
        </w:rPr>
        <w:t xml:space="preserve">arterial </w:t>
      </w:r>
      <w:r w:rsidR="00AA2B21" w:rsidRPr="003D0C88">
        <w:rPr>
          <w:rFonts w:cstheme="minorHAnsi"/>
          <w:sz w:val="24"/>
          <w:szCs w:val="24"/>
        </w:rPr>
        <w:t xml:space="preserve">hypotension, </w:t>
      </w:r>
      <w:r w:rsidR="00F53B96">
        <w:rPr>
          <w:rFonts w:cstheme="minorHAnsi"/>
          <w:sz w:val="24"/>
          <w:szCs w:val="24"/>
        </w:rPr>
        <w:t>intracranial hypertension</w:t>
      </w:r>
      <w:r w:rsidR="00AA2B21" w:rsidRPr="003D0C88">
        <w:rPr>
          <w:rFonts w:cstheme="minorHAnsi"/>
          <w:sz w:val="24"/>
          <w:szCs w:val="24"/>
        </w:rPr>
        <w:t xml:space="preserve"> or with pathologically </w:t>
      </w:r>
      <w:r w:rsidR="00B418D8" w:rsidRPr="003D0C88">
        <w:rPr>
          <w:rFonts w:cstheme="minorHAnsi"/>
          <w:sz w:val="24"/>
          <w:szCs w:val="24"/>
        </w:rPr>
        <w:t>increased vascular wall tension</w:t>
      </w:r>
      <w:r w:rsidR="0004413C">
        <w:rPr>
          <w:rFonts w:cstheme="minorHAnsi"/>
          <w:sz w:val="24"/>
          <w:szCs w:val="24"/>
        </w:rPr>
        <w:t xml:space="preserve"> </w:t>
      </w:r>
      <w:r w:rsidR="00AA2B21" w:rsidRPr="003D0C88">
        <w:rPr>
          <w:rFonts w:cstheme="minorHAnsi"/>
          <w:sz w:val="24"/>
          <w:szCs w:val="24"/>
        </w:rPr>
        <w:fldChar w:fldCharType="begin" w:fldLock="1"/>
      </w:r>
      <w:r w:rsidR="004030CD">
        <w:rPr>
          <w:rFonts w:cstheme="minorHAnsi"/>
          <w:sz w:val="24"/>
          <w:szCs w:val="24"/>
        </w:rPr>
        <w:instrText>ADDIN CSL_CITATION {"citationItems":[{"id":"ITEM-1","itemData":{"DOI":"10.1007/s12028-013-9913-3","ISBN":"1202801399133","ISSN":"15560961","PMID":"24248737","abstract":"BACKGROUND: Reducing cerebral perfusion pressure (CPP) below the lower limit of autoregulation (LLA) causes cerebral blood flow (CBF) to become pressure passive. Further reductions in CPP can cause cessation of CBF during diastole. We hypothesized that zero diastolic flow velocity (FV) occurs when diastolic blood pressure becomes less than the critical closing pressure (CrCP). METHODS: We retrospectively analyzed studies of 34 rabbits with CPP below the LLA, induced with pharmacologic sympathectomy (N = 23) or cerebrospinal fluid infusion (N = 11). Basilar artery blood FV and cortical Laser Doppler Flow (LDF) were monitored. CrCP was trended using a model of cerebrovascular impedance. The diastolic closing margin (DCM) was monitored as the difference between diastolic blood pressure and CrCP. LDF was recorded for DCM values greater than and less than zero. RESULTS: Arterial hypotension caused a reduction of CrCP (p &lt; 0.001), consistent with decreased wall tension (p &lt; 0.001) and a drop in intracranial pressure (ICP; p = 0.004). Cerebrospinal infusion caused an increase of CrCP (p = 0.002) accounted for by increasing ICP (p &lt; 0.001). The DCM was compromised by either arterial hypotension or intracranial hypertension (p &lt; 0.001 for both). When the DCM reached zero, diastolic FV ceased for a short period during each heart cycle (R = 0.426, p &lt; 0.001). CBF pressure passivity accelerated when DCM decreased below zero (from 1.51 ± 0.51 to 2.17 ± 1.17 % ΔLDF/ΔmmHg; mean ± SD; p = 0.010). CONCLUSIONS: The disappearance of diastolic CBF below LLA can be explained by DCM reaching zero or negative values. Below this point the decrease in CBF accelerates with further decrements of CPP.","author":[{"dropping-particle":"V.","family":"Varsos","given":"Georgios","non-dropping-particle":"","parse-names":false,"suffix":""},{"dropping-particle":"","family":"Richards","given":"Hugh K.","non-dropping-particle":"","parse-names":false,"suffix":""},{"dropping-particle":"","family":"Kasprowicz","given":"Magdalena","non-dropping-particle":"","parse-names":false,"suffix":""},{"dropping-particle":"","family":"Reinhard","given":"Matthias","non-dropping-particle":"","parse-names":false,"suffix":""},{"dropping-particle":"","family":"Smielewski","given":"Peter","non-dropping-particle":"","parse-names":false,"suffix":""},{"dropping-particle":"","family":"Brady","given":"Ken M.","non-dropping-particle":"","parse-names":false,"suffix":""},{"dropping-particle":"","family":"Pickard","given":"John D.","non-dropping-particle":"","parse-names":false,"suffix":""},{"dropping-particle":"","family":"Czosnyka","given":"Marek","non-dropping-particle":"","parse-names":false,"suffix":""}],"container-title":"Neurocritical Care","id":"ITEM-1","issue":"1","issued":{"date-parts":[["2014"]]},"page":"40-48","title":"Cessation of diastolic cerebral blood flow velocity: The role of critical closing pressure","type":"article-journal","volume":"20"},"uris":["http://www.mendeley.com/documents/?uuid=08196580-309a-4bb6-a351-c6cb23851b8a"]}],"mendeley":{"formattedCitation":"(Varsos et al. 2014)","plainTextFormattedCitation":"(Varsos et al. 2014)","previouslyFormattedCitation":"(Varsos et al. 2014)"},"properties":{"noteIndex":0},"schema":"https://github.com/citation-style-language/schema/raw/master/csl-citation.json"}</w:instrText>
      </w:r>
      <w:r w:rsidR="00AA2B21" w:rsidRPr="003D0C88">
        <w:rPr>
          <w:rFonts w:cstheme="minorHAnsi"/>
          <w:sz w:val="24"/>
          <w:szCs w:val="24"/>
        </w:rPr>
        <w:fldChar w:fldCharType="separate"/>
      </w:r>
      <w:r w:rsidR="00464A24" w:rsidRPr="003D0C88">
        <w:rPr>
          <w:rFonts w:cstheme="minorHAnsi"/>
          <w:noProof/>
          <w:sz w:val="24"/>
          <w:szCs w:val="24"/>
        </w:rPr>
        <w:t>(Varsos et al. 2014)</w:t>
      </w:r>
      <w:r w:rsidR="00AA2B21" w:rsidRPr="003D0C88">
        <w:rPr>
          <w:rFonts w:cstheme="minorHAnsi"/>
          <w:sz w:val="24"/>
          <w:szCs w:val="24"/>
        </w:rPr>
        <w:fldChar w:fldCharType="end"/>
      </w:r>
      <w:r w:rsidR="00AA2B21" w:rsidRPr="003D0C88">
        <w:rPr>
          <w:rFonts w:cstheme="minorHAnsi"/>
          <w:sz w:val="24"/>
          <w:szCs w:val="24"/>
        </w:rPr>
        <w:t>.</w:t>
      </w:r>
      <w:r w:rsidR="009E1EF0" w:rsidRPr="009E1EF0">
        <w:rPr>
          <w:rFonts w:cstheme="minorHAnsi"/>
          <w:sz w:val="24"/>
          <w:szCs w:val="24"/>
        </w:rPr>
        <w:t xml:space="preserve"> In t</w:t>
      </w:r>
      <w:r w:rsidR="009E1EF0" w:rsidRPr="001D110E">
        <w:rPr>
          <w:rFonts w:cstheme="minorHAnsi"/>
          <w:sz w:val="24"/>
          <w:szCs w:val="24"/>
        </w:rPr>
        <w:t>his sce</w:t>
      </w:r>
      <w:r w:rsidR="009E1EF0" w:rsidRPr="006E6A39">
        <w:rPr>
          <w:rFonts w:cstheme="minorHAnsi"/>
          <w:sz w:val="24"/>
          <w:szCs w:val="24"/>
        </w:rPr>
        <w:t>nario,</w:t>
      </w:r>
      <w:r w:rsidR="009E1EF0" w:rsidRPr="00EB3352">
        <w:rPr>
          <w:rFonts w:cstheme="minorHAnsi"/>
          <w:sz w:val="24"/>
          <w:szCs w:val="24"/>
        </w:rPr>
        <w:t xml:space="preserve"> </w:t>
      </w:r>
      <w:r w:rsidR="009E1EF0" w:rsidRPr="008A4C70">
        <w:rPr>
          <w:rFonts w:eastAsia="Arial" w:cstheme="minorHAnsi"/>
          <w:color w:val="222222"/>
          <w:sz w:val="24"/>
          <w:szCs w:val="24"/>
        </w:rPr>
        <w:t xml:space="preserve">critical closing pressure would provide information on which blood pressure target the clinician should avoid </w:t>
      </w:r>
      <w:r w:rsidR="00EB3352">
        <w:rPr>
          <w:rFonts w:eastAsia="Arial" w:cstheme="minorHAnsi"/>
          <w:color w:val="222222"/>
          <w:sz w:val="24"/>
          <w:szCs w:val="24"/>
        </w:rPr>
        <w:t xml:space="preserve">in order </w:t>
      </w:r>
      <w:r w:rsidR="009E1EF0" w:rsidRPr="008A4C70">
        <w:rPr>
          <w:rFonts w:eastAsia="Arial" w:cstheme="minorHAnsi"/>
          <w:color w:val="222222"/>
          <w:sz w:val="24"/>
          <w:szCs w:val="24"/>
        </w:rPr>
        <w:t xml:space="preserve">to prevent a circulatory arrest. Diastolic closing margin, on the other hand, would indicate quantitatively a safety margin to avoid such event from happening. In a scenario where neuromonitoring is essential to the management of patients, these modelled parameters could provide precision to certain </w:t>
      </w:r>
      <w:r w:rsidR="009E1EF0" w:rsidRPr="008A4C70">
        <w:rPr>
          <w:rFonts w:eastAsia="Arial" w:cstheme="minorHAnsi"/>
          <w:color w:val="222222"/>
          <w:sz w:val="24"/>
          <w:szCs w:val="24"/>
        </w:rPr>
        <w:lastRenderedPageBreak/>
        <w:t>interventions and individualise the treatment.</w:t>
      </w:r>
      <w:r w:rsidR="009E1EF0">
        <w:rPr>
          <w:rFonts w:eastAsia="Arial" w:cstheme="minorHAnsi"/>
          <w:color w:val="222222"/>
          <w:sz w:val="24"/>
          <w:szCs w:val="24"/>
        </w:rPr>
        <w:t xml:space="preserve"> </w:t>
      </w:r>
      <w:r w:rsidR="00AA2B21" w:rsidRPr="003D0C88">
        <w:rPr>
          <w:rFonts w:cstheme="minorHAnsi"/>
          <w:sz w:val="24"/>
          <w:szCs w:val="24"/>
        </w:rPr>
        <w:t xml:space="preserve"> </w:t>
      </w:r>
      <w:r w:rsidR="001B4CBC" w:rsidRPr="003D0C88">
        <w:rPr>
          <w:rFonts w:cstheme="minorHAnsi"/>
          <w:sz w:val="24"/>
          <w:szCs w:val="24"/>
        </w:rPr>
        <w:t xml:space="preserve">In our six cases, we could not identify any </w:t>
      </w:r>
      <w:r w:rsidR="00E336D0" w:rsidRPr="003D0C88">
        <w:rPr>
          <w:rFonts w:cstheme="minorHAnsi"/>
          <w:sz w:val="24"/>
          <w:szCs w:val="24"/>
        </w:rPr>
        <w:t>cases in which</w:t>
      </w:r>
      <w:r w:rsidR="001B4CBC" w:rsidRPr="003D0C88">
        <w:rPr>
          <w:rFonts w:cstheme="minorHAnsi"/>
          <w:sz w:val="24"/>
          <w:szCs w:val="24"/>
        </w:rPr>
        <w:t xml:space="preserve"> DCM</w:t>
      </w:r>
      <w:r w:rsidR="00B9191B" w:rsidRPr="003D0C88">
        <w:rPr>
          <w:rFonts w:cstheme="minorHAnsi"/>
          <w:sz w:val="24"/>
          <w:szCs w:val="24"/>
        </w:rPr>
        <w:t xml:space="preserve"> decreased to 0 </w:t>
      </w:r>
      <w:r w:rsidR="001D110E">
        <w:rPr>
          <w:rFonts w:cstheme="minorHAnsi"/>
          <w:sz w:val="24"/>
          <w:szCs w:val="24"/>
        </w:rPr>
        <w:t>mmHg</w:t>
      </w:r>
      <w:r w:rsidR="001B4CBC" w:rsidRPr="003D0C88">
        <w:rPr>
          <w:rFonts w:cstheme="minorHAnsi"/>
          <w:sz w:val="24"/>
          <w:szCs w:val="24"/>
        </w:rPr>
        <w:t>, although it decreased significantly throughout OLT</w:t>
      </w:r>
      <w:r w:rsidR="00B418D8" w:rsidRPr="003D0C88">
        <w:rPr>
          <w:rFonts w:cstheme="minorHAnsi"/>
          <w:sz w:val="24"/>
          <w:szCs w:val="24"/>
        </w:rPr>
        <w:t xml:space="preserve"> (Figure 4)</w:t>
      </w:r>
      <w:r w:rsidR="001B4CBC" w:rsidRPr="003D0C88">
        <w:rPr>
          <w:rFonts w:cstheme="minorHAnsi"/>
          <w:sz w:val="24"/>
          <w:szCs w:val="24"/>
        </w:rPr>
        <w:t>.</w:t>
      </w:r>
      <w:r w:rsidR="009E1EF0">
        <w:rPr>
          <w:rFonts w:cstheme="minorHAnsi"/>
          <w:sz w:val="24"/>
          <w:szCs w:val="24"/>
        </w:rPr>
        <w:t xml:space="preserve"> </w:t>
      </w:r>
    </w:p>
    <w:p w14:paraId="31F31BF2" w14:textId="77777777" w:rsidR="00B25321" w:rsidRPr="003D0C88" w:rsidRDefault="00B25321" w:rsidP="007B031F">
      <w:pPr>
        <w:spacing w:line="480" w:lineRule="auto"/>
        <w:jc w:val="both"/>
        <w:rPr>
          <w:rFonts w:cstheme="minorHAnsi"/>
          <w:b/>
          <w:sz w:val="24"/>
          <w:szCs w:val="24"/>
        </w:rPr>
      </w:pPr>
    </w:p>
    <w:p w14:paraId="5683EB41" w14:textId="77777777" w:rsidR="00AA2B21" w:rsidRPr="003D0C88" w:rsidRDefault="00B87A17" w:rsidP="007B031F">
      <w:pPr>
        <w:spacing w:line="480" w:lineRule="auto"/>
        <w:jc w:val="both"/>
        <w:rPr>
          <w:rFonts w:cstheme="minorHAnsi"/>
          <w:b/>
          <w:sz w:val="24"/>
          <w:szCs w:val="24"/>
        </w:rPr>
      </w:pPr>
      <w:r w:rsidRPr="003D0C88">
        <w:rPr>
          <w:rFonts w:cstheme="minorHAnsi"/>
          <w:b/>
          <w:sz w:val="24"/>
          <w:szCs w:val="24"/>
        </w:rPr>
        <w:t>Limitations</w:t>
      </w:r>
    </w:p>
    <w:p w14:paraId="1DE4FC60" w14:textId="5743F5FA" w:rsidR="00B87A17" w:rsidRPr="003D0C88" w:rsidRDefault="00693849" w:rsidP="007B031F">
      <w:pPr>
        <w:spacing w:line="480" w:lineRule="auto"/>
        <w:jc w:val="both"/>
        <w:rPr>
          <w:rFonts w:cstheme="minorHAnsi"/>
          <w:sz w:val="24"/>
          <w:szCs w:val="24"/>
        </w:rPr>
      </w:pPr>
      <w:r>
        <w:rPr>
          <w:rFonts w:cstheme="minorHAnsi"/>
          <w:sz w:val="24"/>
          <w:szCs w:val="24"/>
        </w:rPr>
        <w:tab/>
      </w:r>
      <w:r w:rsidR="00AE7D80" w:rsidRPr="003D0C88">
        <w:rPr>
          <w:rFonts w:cstheme="minorHAnsi"/>
          <w:sz w:val="24"/>
          <w:szCs w:val="24"/>
        </w:rPr>
        <w:t>This is a retrospective, observational study with a limited sample size (n=6)</w:t>
      </w:r>
      <w:r w:rsidR="00B87A17" w:rsidRPr="003D0C88">
        <w:rPr>
          <w:rFonts w:cstheme="minorHAnsi"/>
          <w:sz w:val="24"/>
          <w:szCs w:val="24"/>
        </w:rPr>
        <w:t xml:space="preserve">. Another potential limitation is the absence of the gold standard invasive technique for ICP monitoring, which would have allowed </w:t>
      </w:r>
      <w:r w:rsidR="00AE7D80" w:rsidRPr="003D0C88">
        <w:rPr>
          <w:rFonts w:cstheme="minorHAnsi"/>
          <w:sz w:val="24"/>
          <w:szCs w:val="24"/>
        </w:rPr>
        <w:t>to determine the degree of ac</w:t>
      </w:r>
      <w:r w:rsidR="006D5989" w:rsidRPr="003D0C88">
        <w:rPr>
          <w:rFonts w:cstheme="minorHAnsi"/>
          <w:sz w:val="24"/>
          <w:szCs w:val="24"/>
        </w:rPr>
        <w:t xml:space="preserve">curacy of TCD </w:t>
      </w:r>
      <w:r w:rsidR="00AA4B9A" w:rsidRPr="003D0C88">
        <w:rPr>
          <w:rFonts w:cstheme="minorHAnsi"/>
          <w:sz w:val="24"/>
          <w:szCs w:val="24"/>
        </w:rPr>
        <w:t>for</w:t>
      </w:r>
      <w:r w:rsidR="006D5989" w:rsidRPr="003D0C88">
        <w:rPr>
          <w:rFonts w:cstheme="minorHAnsi"/>
          <w:sz w:val="24"/>
          <w:szCs w:val="24"/>
        </w:rPr>
        <w:t xml:space="preserve"> estimating ICP and</w:t>
      </w:r>
      <w:r w:rsidR="00AE7D80" w:rsidRPr="003D0C88">
        <w:rPr>
          <w:rFonts w:cstheme="minorHAnsi"/>
          <w:sz w:val="24"/>
          <w:szCs w:val="24"/>
        </w:rPr>
        <w:t xml:space="preserve"> CPP.</w:t>
      </w:r>
      <w:r w:rsidR="005555B0" w:rsidRPr="003D0C88">
        <w:rPr>
          <w:rFonts w:cstheme="minorHAnsi"/>
          <w:sz w:val="24"/>
          <w:szCs w:val="24"/>
        </w:rPr>
        <w:t xml:space="preserve"> </w:t>
      </w:r>
      <w:r w:rsidR="00A71A38" w:rsidRPr="003D0C88">
        <w:rPr>
          <w:rFonts w:cstheme="minorHAnsi"/>
          <w:sz w:val="24"/>
          <w:szCs w:val="24"/>
        </w:rPr>
        <w:t xml:space="preserve">In TBI patients, </w:t>
      </w:r>
      <w:r w:rsidR="005555B0" w:rsidRPr="003D0C88">
        <w:rPr>
          <w:rFonts w:cstheme="minorHAnsi"/>
          <w:sz w:val="24"/>
          <w:szCs w:val="24"/>
        </w:rPr>
        <w:t>the nICP</w:t>
      </w:r>
      <w:r w:rsidR="007F2002" w:rsidRPr="003D0C88">
        <w:rPr>
          <w:rFonts w:cstheme="minorHAnsi"/>
          <w:sz w:val="24"/>
          <w:szCs w:val="24"/>
        </w:rPr>
        <w:t xml:space="preserve"> estimation</w:t>
      </w:r>
      <w:r w:rsidR="005555B0" w:rsidRPr="003D0C88">
        <w:rPr>
          <w:rFonts w:cstheme="minorHAnsi"/>
          <w:sz w:val="24"/>
          <w:szCs w:val="24"/>
        </w:rPr>
        <w:t xml:space="preserve"> method used </w:t>
      </w:r>
      <w:r w:rsidR="00A71A38" w:rsidRPr="003D0C88">
        <w:rPr>
          <w:rFonts w:cstheme="minorHAnsi"/>
          <w:sz w:val="24"/>
          <w:szCs w:val="24"/>
        </w:rPr>
        <w:t>in this work showed a 95% confidence interval for</w:t>
      </w:r>
      <w:r w:rsidR="006D5989" w:rsidRPr="003D0C88">
        <w:rPr>
          <w:rFonts w:cstheme="minorHAnsi"/>
          <w:sz w:val="24"/>
          <w:szCs w:val="24"/>
        </w:rPr>
        <w:t xml:space="preserve"> ICP</w:t>
      </w:r>
      <w:r w:rsidR="00A71A38" w:rsidRPr="003D0C88">
        <w:rPr>
          <w:rFonts w:cstheme="minorHAnsi"/>
          <w:sz w:val="24"/>
          <w:szCs w:val="24"/>
        </w:rPr>
        <w:t xml:space="preserve"> prediction of </w:t>
      </w:r>
      <w:r w:rsidR="009047E5" w:rsidRPr="003D0C88">
        <w:rPr>
          <w:rFonts w:cstheme="minorHAnsi"/>
          <w:sz w:val="24"/>
          <w:szCs w:val="24"/>
        </w:rPr>
        <w:t>±</w:t>
      </w:r>
      <w:r w:rsidR="00A71A38" w:rsidRPr="003D0C88">
        <w:rPr>
          <w:rFonts w:cstheme="minorHAnsi"/>
          <w:sz w:val="24"/>
          <w:szCs w:val="24"/>
        </w:rPr>
        <w:t>9.94 mmHg</w:t>
      </w:r>
      <w:r w:rsidR="00B23368">
        <w:rPr>
          <w:rFonts w:cstheme="minorHAnsi"/>
          <w:sz w:val="24"/>
          <w:szCs w:val="24"/>
        </w:rPr>
        <w:t xml:space="preserve"> </w:t>
      </w:r>
      <w:r w:rsidR="00B23368">
        <w:rPr>
          <w:rFonts w:cstheme="minorHAnsi"/>
          <w:sz w:val="24"/>
          <w:szCs w:val="24"/>
        </w:rPr>
        <w:fldChar w:fldCharType="begin" w:fldLock="1"/>
      </w:r>
      <w:r w:rsidR="00564100">
        <w:rPr>
          <w:rFonts w:cstheme="minorHAnsi"/>
          <w:sz w:val="24"/>
          <w:szCs w:val="24"/>
        </w:rPr>
        <w:instrText>ADDIN CSL_CITATION {"citationItems":[{"id":"ITEM-1","itemData":{"DOI":"10.1089/neu.2015.4134","ISBN":"0891-2963","ISSN":"0897-7151","PMID":"26414916","abstract":"Elevation of intracranial pressure (ICP) may occur in many diseases, and therefore the ability to measure it noninvasively would be useful. Flow velocity signals from transcranial Doppler (TCD) have been used to estimate ICP; however, the relative accuracy of these methods is unclear. This study aimed to compare four previously described TCD-based methods with directly measured ICP in a prospective cohort of traumatic brain-injured patients. Noninvasive ICP (nICP) was obtained using the following methods: 1) a mathematical \"black-box\" model based on interaction between TCD and arterial blood pressure (nICP_BB); 2) based on diastolic flow velocity (nICP_FVd); 3) based on critical closing pressure (nICP_CrCP); and 4) based on TCD-derived pulsatility index (nICP_PI). In time domain, for recordings including spontaneous changes in ICP greater than 7 mm Hg, nICP_PI showed the best correlation with measured ICP (R = 0.61). Considering every TCD recording as an independent event, nICP_BB generally showed to be the best estimator of measured ICP (R = 0.39; p &lt; 0.05; 95% confidence interval [CI] = 9.94 mm Hg; area under the curve [AUC] = 0.66; p &lt; 0.05). For nICP_FVd, although it presented similar correlation coefficient to nICP_BB and marginally better AUC (0.70; p &lt; 0.05), it demonstrated a greater 95% CI for prediction of ICP (14.62 mm Hg). nICP_CrCP presented a moderate correlation coefficient (R = 0.35; p &lt; 0.05) and similar 95% CI to nICP_BB (9.19 mm Hg), but failed to distinguish between normal and raised ICP (AUC = 0.64; p &gt; 0.05). nICP_PI was not related to measured ICP using any of the above statistical indicators. We also introduced a new estimator (nICP_Av) based on the average of three methods (nICP_BB, nICP_FVd, and nICP_CrCP), which overall presented improved statistical indicators (R = 0.47; p &lt; 0.05; 95% CI = 9.17 mm Hg; AUC = 0.73; p &lt; 0.05). nICP_PI appeared to reflect changes in ICP in time most accurately. nICP_BB was the best estimator for ICP \"as a number.\" nICP_Av demonstrated to improve the accuracy of measured ICP estimation.","author":[{"dropping-particle":"","family":"Cardim","given":"Danilo","non-dropping-particle":"","parse-names":false,"suffix":""},{"dropping-particle":"","family":"Robba","given":"Chiara","non-dropping-particle":"","parse-names":false,"suffix":""},{"dropping-particle":"","family":"Donnelly","given":"Joseph","non-dropping-particle":"","parse-names":false,"suffix":""},{"dropping-particle":"","family":"Bohdanowicz","given":"Michal","non-dropping-particle":"","parse-names":false,"suffix":""},{"dropping-particle":"","family":"Schmidt","given":"Bernhard","non-dropping-particle":"","parse-names":false,"suffix":""},{"dropping-particle":"","family":"Damian","given":"Maxwell","non-dropping-particle":"","parse-names":false,"suffix":""},{"dropping-particle":"V.","family":"Varsos","given":"Georgios","non-dropping-particle":"","parse-names":false,"suffix":""},{"dropping-particle":"","family":"Liu","given":"Xiuyun","non-dropping-particle":"","parse-names":false,"suffix":""},{"dropping-particle":"","family":"Cabeleira","given":"Manuel","non-dropping-particle":"","parse-names":false,"suffix":""},{"dropping-particle":"","family":"Frigieri","given":"Gustavo","non-dropping-particle":"","parse-names":false,"suffix":""},{"dropping-particle":"","family":"Cabella","given":"Brenno","non-dropping-particle":"","parse-names":false,"suffix":""},{"dropping-particle":"","family":"Smielewski","given":"Peter","non-dropping-particle":"","parse-names":false,"suffix":""},{"dropping-particle":"","family":"Mascarenhas","given":"Sergio","non-dropping-particle":"","parse-names":false,"suffix":""},{"dropping-particle":"","family":"Czosnyka","given":"Marek","non-dropping-particle":"","parse-names":false,"suffix":""}],"container-title":"Journal of Neurotrauma","id":"ITEM-1","issue":"8","issued":{"date-parts":[["2016"]]},"page":"792-802","title":"Prospective Study on Noninvasive Assessment of Intracranial Pressure in Traumatic Brain-Injured Patients: Comparison of Four Methods","type":"article-journal","volume":"33"},"uris":["http://www.mendeley.com/documents/?uuid=15c401e8-9b4a-30ff-9eda-b8c03841e714"]}],"mendeley":{"formattedCitation":"(Cardim et al. 2016b)","plainTextFormattedCitation":"(Cardim et al. 2016b)","previouslyFormattedCitation":"(Cardim et al. 2016b)"},"properties":{"noteIndex":0},"schema":"https://github.com/citation-style-language/schema/raw/master/csl-citation.json"}</w:instrText>
      </w:r>
      <w:r w:rsidR="00B23368">
        <w:rPr>
          <w:rFonts w:cstheme="minorHAnsi"/>
          <w:sz w:val="24"/>
          <w:szCs w:val="24"/>
        </w:rPr>
        <w:fldChar w:fldCharType="separate"/>
      </w:r>
      <w:r w:rsidR="00B23368" w:rsidRPr="00B23368">
        <w:rPr>
          <w:rFonts w:cstheme="minorHAnsi"/>
          <w:noProof/>
          <w:sz w:val="24"/>
          <w:szCs w:val="24"/>
        </w:rPr>
        <w:t>(Cardim et al. 2016b)</w:t>
      </w:r>
      <w:r w:rsidR="00B23368">
        <w:rPr>
          <w:rFonts w:cstheme="minorHAnsi"/>
          <w:sz w:val="24"/>
          <w:szCs w:val="24"/>
        </w:rPr>
        <w:fldChar w:fldCharType="end"/>
      </w:r>
      <w:r w:rsidR="00A71A38" w:rsidRPr="003D0C88">
        <w:rPr>
          <w:rFonts w:cstheme="minorHAnsi"/>
          <w:sz w:val="24"/>
          <w:szCs w:val="24"/>
        </w:rPr>
        <w:t>. Although the accuracy of the method is not ideal</w:t>
      </w:r>
      <w:r w:rsidR="006268BD" w:rsidRPr="003D0C88">
        <w:rPr>
          <w:rFonts w:cstheme="minorHAnsi"/>
          <w:sz w:val="24"/>
          <w:szCs w:val="24"/>
        </w:rPr>
        <w:t xml:space="preserve"> at the current stage of development</w:t>
      </w:r>
      <w:r w:rsidR="00A71A38" w:rsidRPr="003D0C88">
        <w:rPr>
          <w:rFonts w:cstheme="minorHAnsi"/>
          <w:sz w:val="24"/>
          <w:szCs w:val="24"/>
        </w:rPr>
        <w:t xml:space="preserve">, it has </w:t>
      </w:r>
      <w:r w:rsidR="007F2002" w:rsidRPr="003D0C88">
        <w:rPr>
          <w:rFonts w:cstheme="minorHAnsi"/>
          <w:sz w:val="24"/>
          <w:szCs w:val="24"/>
        </w:rPr>
        <w:t xml:space="preserve">shown good prediction ability for detection of </w:t>
      </w:r>
      <w:r w:rsidR="009A3A9F" w:rsidRPr="003D0C88">
        <w:rPr>
          <w:rFonts w:cstheme="minorHAnsi"/>
          <w:sz w:val="24"/>
          <w:szCs w:val="24"/>
        </w:rPr>
        <w:t>ICP</w:t>
      </w:r>
      <w:r w:rsidR="007F2002" w:rsidRPr="003D0C88">
        <w:rPr>
          <w:rFonts w:cstheme="minorHAnsi"/>
          <w:sz w:val="24"/>
          <w:szCs w:val="24"/>
        </w:rPr>
        <w:t xml:space="preserve"> </w:t>
      </w:r>
      <w:r w:rsidR="00A71A38" w:rsidRPr="003D0C88">
        <w:rPr>
          <w:rFonts w:cstheme="minorHAnsi"/>
          <w:sz w:val="24"/>
          <w:szCs w:val="24"/>
        </w:rPr>
        <w:t>increases</w:t>
      </w:r>
      <w:r w:rsidR="007F2002" w:rsidRPr="003D0C88">
        <w:rPr>
          <w:rFonts w:cstheme="minorHAnsi"/>
          <w:sz w:val="24"/>
          <w:szCs w:val="24"/>
        </w:rPr>
        <w:t xml:space="preserve"> associated with changes in cerebral blood volume</w:t>
      </w:r>
      <w:r w:rsidR="009047E5" w:rsidRPr="003D0C88">
        <w:rPr>
          <w:rFonts w:cstheme="minorHAnsi"/>
          <w:sz w:val="24"/>
          <w:szCs w:val="24"/>
        </w:rPr>
        <w:t xml:space="preserve"> (receiver operating</w:t>
      </w:r>
      <w:r w:rsidR="007E29D6" w:rsidRPr="003D0C88">
        <w:rPr>
          <w:rFonts w:cstheme="minorHAnsi"/>
          <w:sz w:val="24"/>
          <w:szCs w:val="24"/>
        </w:rPr>
        <w:t xml:space="preserve"> area under the curve of 0.82),</w:t>
      </w:r>
      <w:r w:rsidR="00A71A38" w:rsidRPr="003D0C88">
        <w:rPr>
          <w:rFonts w:cstheme="minorHAnsi"/>
          <w:sz w:val="24"/>
          <w:szCs w:val="24"/>
        </w:rPr>
        <w:t xml:space="preserve"> as well as</w:t>
      </w:r>
      <w:r w:rsidR="007E29D6" w:rsidRPr="003D0C88">
        <w:rPr>
          <w:rFonts w:cstheme="minorHAnsi"/>
          <w:sz w:val="24"/>
          <w:szCs w:val="24"/>
        </w:rPr>
        <w:t xml:space="preserve"> good correlation with standard </w:t>
      </w:r>
      <w:r w:rsidR="0055774C" w:rsidRPr="003D0C88">
        <w:rPr>
          <w:rFonts w:cstheme="minorHAnsi"/>
          <w:sz w:val="24"/>
          <w:szCs w:val="24"/>
        </w:rPr>
        <w:t xml:space="preserve">invasive </w:t>
      </w:r>
      <w:r w:rsidR="007E29D6" w:rsidRPr="003D0C88">
        <w:rPr>
          <w:rFonts w:cstheme="minorHAnsi"/>
          <w:sz w:val="24"/>
          <w:szCs w:val="24"/>
        </w:rPr>
        <w:t>methods</w:t>
      </w:r>
      <w:r w:rsidR="00A71A38" w:rsidRPr="003D0C88">
        <w:rPr>
          <w:rFonts w:cstheme="minorHAnsi"/>
          <w:sz w:val="24"/>
          <w:szCs w:val="24"/>
        </w:rPr>
        <w:t xml:space="preserve"> to track changes of ICP in time</w:t>
      </w:r>
      <w:r w:rsidR="007E29D6" w:rsidRPr="003D0C88">
        <w:rPr>
          <w:rFonts w:cstheme="minorHAnsi"/>
          <w:sz w:val="24"/>
          <w:szCs w:val="24"/>
        </w:rPr>
        <w:t xml:space="preserve"> non-invasively</w:t>
      </w:r>
      <w:r w:rsidR="00A71A38" w:rsidRPr="003D0C88">
        <w:rPr>
          <w:rFonts w:cstheme="minorHAnsi"/>
          <w:sz w:val="24"/>
          <w:szCs w:val="24"/>
        </w:rPr>
        <w:t xml:space="preserve"> (R=0.80)</w:t>
      </w:r>
      <w:r w:rsidR="0004413C">
        <w:rPr>
          <w:rFonts w:cstheme="minorHAnsi"/>
          <w:sz w:val="24"/>
          <w:szCs w:val="24"/>
        </w:rPr>
        <w:t xml:space="preserve"> </w:t>
      </w:r>
      <w:r w:rsidR="007F2002" w:rsidRPr="003D0C88">
        <w:rPr>
          <w:rFonts w:cstheme="minorHAnsi"/>
          <w:sz w:val="24"/>
          <w:szCs w:val="24"/>
        </w:rPr>
        <w:fldChar w:fldCharType="begin" w:fldLock="1"/>
      </w:r>
      <w:r w:rsidR="00F53B96">
        <w:rPr>
          <w:rFonts w:cstheme="minorHAnsi"/>
          <w:sz w:val="24"/>
          <w:szCs w:val="24"/>
        </w:rPr>
        <w:instrText>ADDIN CSL_CITATION {"citationItems":[{"id":"ITEM-1","itemData":{"DOI":"10.1007/s12028-016-0356-5","ISSN":"15560961","PMID":"28000131","abstract":"BACKGROUND Transcranial Doppler (TCD) has been used to estimate ICP noninvasively (nICP); however, its accuracy varies depending on different types of intracranial hypertension. Given the high specificity of TCD to detect cerebrovascular events, this study aimed to compare four TCD-based nICP methods during plateau waves of ICP. METHODS A total of 36 plateau waves were identified in 27 patients (traumatic brain injury) with TCD, ICP, and ABP simultaneous recordings. The nICP methods were based on: (1) interaction between flow velocity (FV) and ABP using a \"black-box\" mathematical model (nICP_BB); (2) diastolic FV (nICP_FV d ); (3) critical closing pressure (nICP_CrCP), and (4) pulsatility index (nICP_PI). Analyses focused on relative changes in time domain between ICP and noninvasive estimators during plateau waves and the magnitude of changes (∆ between baseline and plateau) in real ICP and its estimators. A ROC analysis for an ICP threshold of 35 mmHg was performed. RESULTS In time domain, nICP_PI, nICP_BB, and nICP_CrCP presented similar correlations: 0.80 ± 0.24, 0.78 ± 0.15, and 0.78 ± 0.30, respectively. nICP_FV d presented a weaker correlation (R = 0.62 ± 0.46). Correlations between ∆ICP and ∆nICP were better represented by nICP_CrCP and BB, R = 0.48, 0.44 (p &lt; 0.05), respectively. nICP_FV d and PI presented nonsignificant ∆ correlations. ROC analysis showed moderate to good areas under the curve for all methods: nICP_BB, 0.82; nICP_FV d , 0.77; nICP_CrCP, 0.79; and nICP_PI, 0.81. CONCLUSIONS Changes of ICP in time domain during plateau waves were replicated by nICP methods with strong correlations. In addition, the methods presented high performance for detection of intracranial hypertension. However, absolute accuracy for noninvasive ICP assessment using TCD is still low and requires further improvement.","author":[{"dropping-particle":"","family":"Cardim","given":"Danilo","non-dropping-particle":"","parse-names":false,"suffix":""},{"dropping-particle":"","family":"Schmidt","given":"Bernhard","non-dropping-particle":"","parse-names":false,"suffix":""},{"dropping-particle":"","family":"Robba","given":"Chiara","non-dropping-particle":"","parse-names":false,"suffix":""},{"dropping-particle":"","family":"Donnelly","given":"Joseph","non-dropping-particle":"","parse-names":false,"suffix":""},{"dropping-particle":"","family":"Puppo","given":"Corina","non-dropping-particle":"","parse-names":false,"suffix":""},{"dropping-particle":"","family":"Czosnyka","given":"Marek","non-dropping-particle":"","parse-names":false,"suffix":""},{"dropping-particle":"","family":"Smielewski","given":"Peter","non-dropping-particle":"","parse-names":false,"suffix":""}],"container-title":"Neurocritical Care","id":"ITEM-1","issue":"3","issued":{"date-parts":[["2017","12","20"]]},"page":"330-338","publisher":"Springer US","title":"Transcranial Doppler Monitoring of Intracranial Pressure Plateau Waves","type":"article-journal","volume":"26"},"uris":["http://www.mendeley.com/documents/?uuid=3965ce6d-a64c-31a6-acbf-ebe4100b8794"]}],"mendeley":{"formattedCitation":"(Cardim et al. 2017)","plainTextFormattedCitation":"(Cardim et al. 2017)","previouslyFormattedCitation":"(Cardim et al. 2017)"},"properties":{"noteIndex":0},"schema":"https://github.com/citation-style-language/schema/raw/master/csl-citation.json"}</w:instrText>
      </w:r>
      <w:r w:rsidR="007F2002" w:rsidRPr="003D0C88">
        <w:rPr>
          <w:rFonts w:cstheme="minorHAnsi"/>
          <w:sz w:val="24"/>
          <w:szCs w:val="24"/>
        </w:rPr>
        <w:fldChar w:fldCharType="separate"/>
      </w:r>
      <w:r w:rsidR="00E9369D" w:rsidRPr="00E9369D">
        <w:rPr>
          <w:rFonts w:cstheme="minorHAnsi"/>
          <w:noProof/>
          <w:sz w:val="24"/>
          <w:szCs w:val="24"/>
        </w:rPr>
        <w:t>(Cardim et al. 2017)</w:t>
      </w:r>
      <w:r w:rsidR="007F2002" w:rsidRPr="003D0C88">
        <w:rPr>
          <w:rFonts w:cstheme="minorHAnsi"/>
          <w:sz w:val="24"/>
          <w:szCs w:val="24"/>
        </w:rPr>
        <w:fldChar w:fldCharType="end"/>
      </w:r>
      <w:r w:rsidR="007E29D6" w:rsidRPr="003D0C88">
        <w:rPr>
          <w:rFonts w:cstheme="minorHAnsi"/>
          <w:sz w:val="24"/>
          <w:szCs w:val="24"/>
        </w:rPr>
        <w:t>.</w:t>
      </w:r>
    </w:p>
    <w:p w14:paraId="74B2A798" w14:textId="77777777" w:rsidR="00F05745" w:rsidRPr="003D0C88" w:rsidRDefault="00F05745" w:rsidP="007B031F">
      <w:pPr>
        <w:spacing w:line="480" w:lineRule="auto"/>
        <w:jc w:val="both"/>
        <w:rPr>
          <w:rFonts w:cstheme="minorHAnsi"/>
          <w:sz w:val="24"/>
          <w:szCs w:val="24"/>
        </w:rPr>
      </w:pPr>
    </w:p>
    <w:p w14:paraId="04D45F51" w14:textId="77777777" w:rsidR="007714AE" w:rsidRPr="003D0C88" w:rsidRDefault="007714AE" w:rsidP="007B031F">
      <w:pPr>
        <w:spacing w:line="480" w:lineRule="auto"/>
        <w:jc w:val="both"/>
        <w:rPr>
          <w:rFonts w:cstheme="minorHAnsi"/>
          <w:sz w:val="24"/>
          <w:szCs w:val="24"/>
        </w:rPr>
      </w:pPr>
    </w:p>
    <w:p w14:paraId="62596BE2" w14:textId="77777777" w:rsidR="007714AE" w:rsidRPr="003D0C88" w:rsidRDefault="007714AE" w:rsidP="007B031F">
      <w:pPr>
        <w:spacing w:line="480" w:lineRule="auto"/>
        <w:jc w:val="both"/>
        <w:rPr>
          <w:rFonts w:cstheme="minorHAnsi"/>
          <w:sz w:val="24"/>
          <w:szCs w:val="24"/>
        </w:rPr>
      </w:pPr>
    </w:p>
    <w:p w14:paraId="1B8CA58E" w14:textId="77777777" w:rsidR="007714AE" w:rsidRPr="003D0C88" w:rsidRDefault="007714AE" w:rsidP="007B031F">
      <w:pPr>
        <w:spacing w:line="480" w:lineRule="auto"/>
        <w:jc w:val="both"/>
        <w:rPr>
          <w:rFonts w:cstheme="minorHAnsi"/>
          <w:sz w:val="24"/>
          <w:szCs w:val="24"/>
        </w:rPr>
      </w:pPr>
    </w:p>
    <w:p w14:paraId="7DB7F400" w14:textId="07A16413" w:rsidR="007714AE" w:rsidRDefault="007714AE" w:rsidP="007B031F">
      <w:pPr>
        <w:spacing w:line="480" w:lineRule="auto"/>
        <w:jc w:val="both"/>
        <w:rPr>
          <w:rFonts w:cstheme="minorHAnsi"/>
          <w:sz w:val="24"/>
          <w:szCs w:val="24"/>
        </w:rPr>
      </w:pPr>
    </w:p>
    <w:p w14:paraId="5588D5BD" w14:textId="20A08418" w:rsidR="00693849" w:rsidRDefault="00693849" w:rsidP="007B031F">
      <w:pPr>
        <w:spacing w:line="480" w:lineRule="auto"/>
        <w:jc w:val="both"/>
        <w:rPr>
          <w:rFonts w:cstheme="minorHAnsi"/>
          <w:sz w:val="24"/>
          <w:szCs w:val="24"/>
        </w:rPr>
      </w:pPr>
    </w:p>
    <w:p w14:paraId="48F8467D" w14:textId="77777777" w:rsidR="003E11BA" w:rsidRDefault="003E11BA" w:rsidP="007B031F">
      <w:pPr>
        <w:spacing w:line="480" w:lineRule="auto"/>
        <w:jc w:val="both"/>
        <w:rPr>
          <w:rFonts w:cstheme="minorHAnsi"/>
          <w:sz w:val="24"/>
          <w:szCs w:val="24"/>
        </w:rPr>
      </w:pPr>
    </w:p>
    <w:p w14:paraId="6F9548B1" w14:textId="77777777" w:rsidR="00C0241E" w:rsidRPr="003D0C88" w:rsidRDefault="00C0241E" w:rsidP="007B031F">
      <w:pPr>
        <w:spacing w:line="480" w:lineRule="auto"/>
        <w:jc w:val="both"/>
        <w:rPr>
          <w:rFonts w:cstheme="minorHAnsi"/>
          <w:b/>
          <w:sz w:val="24"/>
          <w:szCs w:val="24"/>
        </w:rPr>
      </w:pPr>
      <w:r w:rsidRPr="003D0C88">
        <w:rPr>
          <w:rFonts w:cstheme="minorHAnsi"/>
          <w:b/>
          <w:sz w:val="24"/>
          <w:szCs w:val="24"/>
        </w:rPr>
        <w:lastRenderedPageBreak/>
        <w:t>Conclusion</w:t>
      </w:r>
    </w:p>
    <w:p w14:paraId="49FFE69F" w14:textId="47093DEE" w:rsidR="00B9191B" w:rsidRPr="003D0C88" w:rsidRDefault="00693849" w:rsidP="00D75A21">
      <w:pPr>
        <w:spacing w:line="480" w:lineRule="auto"/>
        <w:jc w:val="both"/>
        <w:rPr>
          <w:rFonts w:cstheme="minorHAnsi"/>
          <w:bCs/>
          <w:sz w:val="24"/>
          <w:szCs w:val="24"/>
        </w:rPr>
      </w:pPr>
      <w:r>
        <w:rPr>
          <w:rFonts w:cstheme="minorHAnsi"/>
          <w:bCs/>
          <w:sz w:val="24"/>
          <w:szCs w:val="24"/>
        </w:rPr>
        <w:tab/>
      </w:r>
      <w:r w:rsidR="009047E5" w:rsidRPr="003D0C88">
        <w:rPr>
          <w:rFonts w:cstheme="minorHAnsi"/>
          <w:bCs/>
          <w:sz w:val="24"/>
          <w:szCs w:val="24"/>
        </w:rPr>
        <w:t>O</w:t>
      </w:r>
      <w:r w:rsidR="00B9191B" w:rsidRPr="003D0C88">
        <w:rPr>
          <w:rFonts w:cstheme="minorHAnsi"/>
          <w:bCs/>
          <w:sz w:val="24"/>
          <w:szCs w:val="24"/>
        </w:rPr>
        <w:t xml:space="preserve">ur results indicated an alteration of cerebral autoregulation, normal ICP and decreasing </w:t>
      </w:r>
      <w:r w:rsidR="006974A9" w:rsidRPr="003D0C88">
        <w:rPr>
          <w:rFonts w:cstheme="minorHAnsi"/>
          <w:bCs/>
          <w:sz w:val="24"/>
          <w:szCs w:val="24"/>
        </w:rPr>
        <w:t>CPP during</w:t>
      </w:r>
      <w:r w:rsidR="00B9191B" w:rsidRPr="003D0C88">
        <w:rPr>
          <w:rFonts w:cstheme="minorHAnsi"/>
          <w:bCs/>
          <w:sz w:val="24"/>
          <w:szCs w:val="24"/>
        </w:rPr>
        <w:t xml:space="preserve"> OLT. Moreover, an attempt to obtain</w:t>
      </w:r>
      <w:r w:rsidR="00661DFD" w:rsidRPr="003D0C88">
        <w:rPr>
          <w:rFonts w:cstheme="minorHAnsi"/>
          <w:bCs/>
          <w:sz w:val="24"/>
          <w:szCs w:val="24"/>
        </w:rPr>
        <w:t xml:space="preserve"> optimal values for ABP</w:t>
      </w:r>
      <w:r w:rsidR="00B9191B" w:rsidRPr="003D0C88">
        <w:rPr>
          <w:rFonts w:cstheme="minorHAnsi"/>
          <w:bCs/>
          <w:sz w:val="24"/>
          <w:szCs w:val="24"/>
        </w:rPr>
        <w:t xml:space="preserve"> throughout OLF seemed feasible. </w:t>
      </w:r>
    </w:p>
    <w:p w14:paraId="4D12A85C" w14:textId="0541FD29" w:rsidR="00D75A21" w:rsidRPr="003D0C88" w:rsidRDefault="00693849" w:rsidP="00D75A21">
      <w:pPr>
        <w:spacing w:line="480" w:lineRule="auto"/>
        <w:jc w:val="both"/>
        <w:rPr>
          <w:rFonts w:cstheme="minorHAnsi"/>
          <w:sz w:val="24"/>
          <w:szCs w:val="24"/>
        </w:rPr>
      </w:pPr>
      <w:r>
        <w:rPr>
          <w:rFonts w:cstheme="minorHAnsi"/>
          <w:bCs/>
          <w:sz w:val="24"/>
          <w:szCs w:val="24"/>
        </w:rPr>
        <w:tab/>
      </w:r>
      <w:r w:rsidR="001F3475" w:rsidRPr="003D0C88">
        <w:rPr>
          <w:rFonts w:cstheme="minorHAnsi"/>
          <w:bCs/>
          <w:sz w:val="24"/>
          <w:szCs w:val="24"/>
        </w:rPr>
        <w:t xml:space="preserve">TCD appears to be a versatile tool for assessment of cerebral haemodynamics in the OLT </w:t>
      </w:r>
      <w:r w:rsidRPr="003D0C88">
        <w:rPr>
          <w:rFonts w:cstheme="minorHAnsi"/>
          <w:bCs/>
          <w:sz w:val="24"/>
          <w:szCs w:val="24"/>
        </w:rPr>
        <w:t>setting and</w:t>
      </w:r>
      <w:r w:rsidR="001F3475" w:rsidRPr="003D0C88">
        <w:rPr>
          <w:rFonts w:cstheme="minorHAnsi"/>
          <w:bCs/>
          <w:sz w:val="24"/>
          <w:szCs w:val="24"/>
        </w:rPr>
        <w:t xml:space="preserve"> could provide clinically relevant information for patient management in such conditions, where there is a high risk </w:t>
      </w:r>
      <w:r w:rsidR="009F64E7" w:rsidRPr="003D0C88">
        <w:rPr>
          <w:rFonts w:cstheme="minorHAnsi"/>
          <w:bCs/>
          <w:sz w:val="24"/>
          <w:szCs w:val="24"/>
        </w:rPr>
        <w:t>of</w:t>
      </w:r>
      <w:r w:rsidR="001F3475" w:rsidRPr="003D0C88">
        <w:rPr>
          <w:rFonts w:cstheme="minorHAnsi"/>
          <w:bCs/>
          <w:sz w:val="24"/>
          <w:szCs w:val="24"/>
        </w:rPr>
        <w:t xml:space="preserve"> neurological impairment.</w:t>
      </w:r>
      <w:r w:rsidR="00AE7D80" w:rsidRPr="003D0C88">
        <w:rPr>
          <w:rFonts w:cstheme="minorHAnsi"/>
          <w:bCs/>
          <w:sz w:val="24"/>
          <w:szCs w:val="24"/>
        </w:rPr>
        <w:t xml:space="preserve"> </w:t>
      </w:r>
    </w:p>
    <w:p w14:paraId="5FD1A737" w14:textId="77777777" w:rsidR="00C0241E" w:rsidRPr="003D0C88" w:rsidRDefault="00C0241E" w:rsidP="007B031F">
      <w:pPr>
        <w:spacing w:line="480" w:lineRule="auto"/>
        <w:jc w:val="both"/>
        <w:rPr>
          <w:rFonts w:cstheme="minorHAnsi"/>
          <w:sz w:val="24"/>
          <w:szCs w:val="24"/>
        </w:rPr>
      </w:pPr>
    </w:p>
    <w:p w14:paraId="0908C200" w14:textId="77777777" w:rsidR="00A67451" w:rsidRPr="003D0C88" w:rsidRDefault="00A67451" w:rsidP="00F278AB">
      <w:pPr>
        <w:spacing w:line="480" w:lineRule="auto"/>
        <w:jc w:val="both"/>
        <w:rPr>
          <w:rFonts w:cstheme="minorHAnsi"/>
          <w:sz w:val="24"/>
          <w:szCs w:val="24"/>
        </w:rPr>
      </w:pPr>
    </w:p>
    <w:p w14:paraId="49E1A973" w14:textId="31BAD0D8" w:rsidR="00FB2FE1" w:rsidRDefault="00FB2FE1" w:rsidP="00EF3E56">
      <w:pPr>
        <w:spacing w:line="360" w:lineRule="auto"/>
        <w:jc w:val="both"/>
        <w:rPr>
          <w:rFonts w:cstheme="minorHAnsi"/>
          <w:sz w:val="24"/>
          <w:szCs w:val="24"/>
        </w:rPr>
      </w:pPr>
    </w:p>
    <w:p w14:paraId="66EAAADC" w14:textId="63C4CDC1" w:rsidR="00564100" w:rsidRDefault="00564100" w:rsidP="00EF3E56">
      <w:pPr>
        <w:spacing w:line="360" w:lineRule="auto"/>
        <w:jc w:val="both"/>
        <w:rPr>
          <w:rFonts w:cstheme="minorHAnsi"/>
          <w:sz w:val="24"/>
          <w:szCs w:val="24"/>
        </w:rPr>
      </w:pPr>
    </w:p>
    <w:p w14:paraId="1016629F" w14:textId="1F79131B" w:rsidR="00564100" w:rsidRDefault="00564100" w:rsidP="00EF3E56">
      <w:pPr>
        <w:spacing w:line="360" w:lineRule="auto"/>
        <w:jc w:val="both"/>
        <w:rPr>
          <w:rFonts w:cstheme="minorHAnsi"/>
          <w:sz w:val="24"/>
          <w:szCs w:val="24"/>
        </w:rPr>
      </w:pPr>
    </w:p>
    <w:p w14:paraId="02DEBBA5" w14:textId="6444406B" w:rsidR="00564100" w:rsidRDefault="00564100" w:rsidP="00EF3E56">
      <w:pPr>
        <w:spacing w:line="360" w:lineRule="auto"/>
        <w:jc w:val="both"/>
        <w:rPr>
          <w:rFonts w:cstheme="minorHAnsi"/>
          <w:sz w:val="24"/>
          <w:szCs w:val="24"/>
        </w:rPr>
      </w:pPr>
    </w:p>
    <w:p w14:paraId="296822DD" w14:textId="77777777" w:rsidR="00564100" w:rsidRPr="003D0C88" w:rsidRDefault="00564100" w:rsidP="00EF3E56">
      <w:pPr>
        <w:spacing w:line="360" w:lineRule="auto"/>
        <w:jc w:val="both"/>
        <w:rPr>
          <w:rFonts w:cstheme="minorHAnsi"/>
          <w:sz w:val="24"/>
          <w:szCs w:val="24"/>
        </w:rPr>
      </w:pPr>
    </w:p>
    <w:p w14:paraId="712E6D0D" w14:textId="77777777" w:rsidR="00FB2FE1" w:rsidRPr="003D0C88" w:rsidRDefault="00FB2FE1" w:rsidP="00EF3E56">
      <w:pPr>
        <w:spacing w:line="360" w:lineRule="auto"/>
        <w:jc w:val="both"/>
        <w:rPr>
          <w:rFonts w:cstheme="minorHAnsi"/>
          <w:sz w:val="24"/>
          <w:szCs w:val="24"/>
        </w:rPr>
      </w:pPr>
    </w:p>
    <w:p w14:paraId="1D1A887B" w14:textId="77777777" w:rsidR="00FB2FE1" w:rsidRPr="003D0C88" w:rsidRDefault="00FB2FE1" w:rsidP="00EF3E56">
      <w:pPr>
        <w:spacing w:line="360" w:lineRule="auto"/>
        <w:jc w:val="both"/>
        <w:rPr>
          <w:rFonts w:cstheme="minorHAnsi"/>
          <w:sz w:val="24"/>
          <w:szCs w:val="24"/>
        </w:rPr>
      </w:pPr>
    </w:p>
    <w:p w14:paraId="1DF29ACC" w14:textId="77777777" w:rsidR="00FB2FE1" w:rsidRPr="003D0C88" w:rsidRDefault="00FB2FE1" w:rsidP="00EF3E56">
      <w:pPr>
        <w:spacing w:line="360" w:lineRule="auto"/>
        <w:jc w:val="both"/>
        <w:rPr>
          <w:rFonts w:cstheme="minorHAnsi"/>
          <w:sz w:val="24"/>
          <w:szCs w:val="24"/>
        </w:rPr>
      </w:pPr>
    </w:p>
    <w:p w14:paraId="7F293BDA" w14:textId="77777777" w:rsidR="00FB2FE1" w:rsidRPr="003D0C88" w:rsidRDefault="00FB2FE1" w:rsidP="00EF3E56">
      <w:pPr>
        <w:spacing w:line="360" w:lineRule="auto"/>
        <w:jc w:val="both"/>
        <w:rPr>
          <w:rFonts w:cstheme="minorHAnsi"/>
          <w:sz w:val="24"/>
          <w:szCs w:val="24"/>
        </w:rPr>
      </w:pPr>
    </w:p>
    <w:p w14:paraId="6BEA1FCA" w14:textId="77777777" w:rsidR="00FB2FE1" w:rsidRPr="003D0C88" w:rsidRDefault="00FB2FE1" w:rsidP="00EF3E56">
      <w:pPr>
        <w:spacing w:line="360" w:lineRule="auto"/>
        <w:jc w:val="both"/>
        <w:rPr>
          <w:rFonts w:cstheme="minorHAnsi"/>
          <w:sz w:val="24"/>
          <w:szCs w:val="24"/>
        </w:rPr>
      </w:pPr>
    </w:p>
    <w:p w14:paraId="0FD2837E" w14:textId="5830AD2D" w:rsidR="00FB2FE1" w:rsidRPr="003D0C88" w:rsidRDefault="00FB2FE1" w:rsidP="00EF3E56">
      <w:pPr>
        <w:spacing w:line="360" w:lineRule="auto"/>
        <w:jc w:val="both"/>
        <w:rPr>
          <w:rFonts w:cstheme="minorHAnsi"/>
          <w:sz w:val="24"/>
          <w:szCs w:val="24"/>
        </w:rPr>
      </w:pPr>
    </w:p>
    <w:p w14:paraId="5E708EC8" w14:textId="1F227D07" w:rsidR="006974A9" w:rsidRPr="003D0C88" w:rsidRDefault="006974A9" w:rsidP="00EF3E56">
      <w:pPr>
        <w:spacing w:line="360" w:lineRule="auto"/>
        <w:jc w:val="both"/>
        <w:rPr>
          <w:rFonts w:cstheme="minorHAnsi"/>
          <w:sz w:val="24"/>
          <w:szCs w:val="24"/>
        </w:rPr>
      </w:pPr>
    </w:p>
    <w:p w14:paraId="09233E60" w14:textId="77777777" w:rsidR="006974A9" w:rsidRPr="003D0C88" w:rsidRDefault="006974A9" w:rsidP="00EF3E56">
      <w:pPr>
        <w:spacing w:line="360" w:lineRule="auto"/>
        <w:jc w:val="both"/>
        <w:rPr>
          <w:rFonts w:cstheme="minorHAnsi"/>
          <w:sz w:val="24"/>
          <w:szCs w:val="24"/>
        </w:rPr>
      </w:pPr>
    </w:p>
    <w:p w14:paraId="1A0B3D09" w14:textId="77777777" w:rsidR="00FB2FE1" w:rsidRPr="003D0C88" w:rsidRDefault="00FB2FE1" w:rsidP="00EF3E56">
      <w:pPr>
        <w:spacing w:line="360" w:lineRule="auto"/>
        <w:jc w:val="both"/>
        <w:rPr>
          <w:rFonts w:cstheme="minorHAnsi"/>
          <w:b/>
          <w:sz w:val="24"/>
          <w:szCs w:val="24"/>
          <w:lang w:val="pt-BR"/>
        </w:rPr>
      </w:pPr>
      <w:r w:rsidRPr="003D0C88">
        <w:rPr>
          <w:rFonts w:cstheme="minorHAnsi"/>
          <w:b/>
          <w:sz w:val="24"/>
          <w:szCs w:val="24"/>
          <w:lang w:val="pt-BR"/>
        </w:rPr>
        <w:lastRenderedPageBreak/>
        <w:t>References</w:t>
      </w:r>
    </w:p>
    <w:p w14:paraId="0E13B7DD" w14:textId="7C29D809" w:rsidR="00564100" w:rsidRPr="008A4C70" w:rsidRDefault="00FB2FE1" w:rsidP="00564100">
      <w:pPr>
        <w:widowControl w:val="0"/>
        <w:autoSpaceDE w:val="0"/>
        <w:autoSpaceDN w:val="0"/>
        <w:adjustRightInd w:val="0"/>
        <w:spacing w:line="360" w:lineRule="auto"/>
        <w:ind w:left="480" w:hanging="480"/>
        <w:rPr>
          <w:rFonts w:ascii="Calibri" w:hAnsi="Calibri" w:cs="Calibri"/>
          <w:noProof/>
          <w:sz w:val="24"/>
          <w:szCs w:val="24"/>
          <w:lang w:val="pt-BR"/>
        </w:rPr>
      </w:pPr>
      <w:r w:rsidRPr="003D0C88">
        <w:rPr>
          <w:rFonts w:cstheme="minorHAnsi"/>
          <w:sz w:val="24"/>
          <w:szCs w:val="24"/>
        </w:rPr>
        <w:fldChar w:fldCharType="begin" w:fldLock="1"/>
      </w:r>
      <w:r w:rsidRPr="003D0C88">
        <w:rPr>
          <w:rFonts w:cstheme="minorHAnsi"/>
          <w:sz w:val="24"/>
          <w:szCs w:val="24"/>
          <w:lang w:val="pt-BR"/>
        </w:rPr>
        <w:instrText xml:space="preserve">ADDIN Mendeley Bibliography CSL_BIBLIOGRAPHY </w:instrText>
      </w:r>
      <w:r w:rsidRPr="003D0C88">
        <w:rPr>
          <w:rFonts w:cstheme="minorHAnsi"/>
          <w:sz w:val="24"/>
          <w:szCs w:val="24"/>
        </w:rPr>
        <w:fldChar w:fldCharType="separate"/>
      </w:r>
      <w:r w:rsidR="00564100" w:rsidRPr="008A4C70">
        <w:rPr>
          <w:rFonts w:ascii="Calibri" w:hAnsi="Calibri" w:cs="Calibri"/>
          <w:noProof/>
          <w:sz w:val="24"/>
          <w:szCs w:val="24"/>
          <w:lang w:val="pt-BR"/>
        </w:rPr>
        <w:t xml:space="preserve">Abdo A, López O, Fernández A, Santos J, Castillo J, Castellanos R, González L, Gómez F, Limonta D. Transcranial Doppler sonography in fulminant hepatic failure. Transplant Proc 2003;35:1859–1860. </w:t>
      </w:r>
    </w:p>
    <w:p w14:paraId="258164F7" w14:textId="28A74F18" w:rsidR="00564100" w:rsidRPr="00564100" w:rsidRDefault="00564100" w:rsidP="00564100">
      <w:pPr>
        <w:widowControl w:val="0"/>
        <w:autoSpaceDE w:val="0"/>
        <w:autoSpaceDN w:val="0"/>
        <w:adjustRightInd w:val="0"/>
        <w:spacing w:line="360" w:lineRule="auto"/>
        <w:ind w:left="480" w:hanging="480"/>
        <w:rPr>
          <w:rFonts w:ascii="Calibri" w:hAnsi="Calibri" w:cs="Calibri"/>
          <w:noProof/>
          <w:sz w:val="24"/>
          <w:szCs w:val="24"/>
        </w:rPr>
      </w:pPr>
      <w:r w:rsidRPr="008A4C70">
        <w:rPr>
          <w:rFonts w:ascii="Calibri" w:hAnsi="Calibri" w:cs="Calibri"/>
          <w:noProof/>
          <w:sz w:val="24"/>
          <w:szCs w:val="24"/>
          <w:lang w:val="pt-BR"/>
        </w:rPr>
        <w:t xml:space="preserve">Abdo A, Pérez-Bernal J, Hinojosa R, Porras F, Castellanos R, Gómez F, Gutiérrez J, Castellanos A, Leal G, Espinosa N, Gómez-Bravo M. Cerebral Hemodynamics Patterns by Transcranial Doppler in Patients With Acute Liver Failure. </w:t>
      </w:r>
      <w:r w:rsidRPr="00564100">
        <w:rPr>
          <w:rFonts w:ascii="Calibri" w:hAnsi="Calibri" w:cs="Calibri"/>
          <w:noProof/>
          <w:sz w:val="24"/>
          <w:szCs w:val="24"/>
        </w:rPr>
        <w:t xml:space="preserve">Transplant Proc 2015;47:2647–2649. </w:t>
      </w:r>
    </w:p>
    <w:p w14:paraId="700B1CBD" w14:textId="77777777" w:rsidR="00564100" w:rsidRPr="00564100" w:rsidRDefault="00564100" w:rsidP="00564100">
      <w:pPr>
        <w:widowControl w:val="0"/>
        <w:autoSpaceDE w:val="0"/>
        <w:autoSpaceDN w:val="0"/>
        <w:adjustRightInd w:val="0"/>
        <w:spacing w:line="360" w:lineRule="auto"/>
        <w:ind w:left="480" w:hanging="480"/>
        <w:rPr>
          <w:rFonts w:ascii="Calibri" w:hAnsi="Calibri" w:cs="Calibri"/>
          <w:noProof/>
          <w:sz w:val="24"/>
          <w:szCs w:val="24"/>
        </w:rPr>
      </w:pPr>
      <w:r w:rsidRPr="00564100">
        <w:rPr>
          <w:rFonts w:ascii="Calibri" w:hAnsi="Calibri" w:cs="Calibri"/>
          <w:noProof/>
          <w:sz w:val="24"/>
          <w:szCs w:val="24"/>
        </w:rPr>
        <w:t xml:space="preserve">Ardizzone G, Arrigo A, Panaro F, Centanaro M, Demartini M, Pellizzari A, Cifelli A, Jarzembowsky TM, Valente U, Siani C. Modifications of cerebral vascular resistance and autoregulation after graft reperfusion during human orthotopic liver transplantation. Transplant Proc 2004a;36:1473–1478. </w:t>
      </w:r>
    </w:p>
    <w:p w14:paraId="755A63A9" w14:textId="35922110" w:rsidR="00564100" w:rsidRPr="00564100" w:rsidRDefault="00564100" w:rsidP="00564100">
      <w:pPr>
        <w:widowControl w:val="0"/>
        <w:autoSpaceDE w:val="0"/>
        <w:autoSpaceDN w:val="0"/>
        <w:adjustRightInd w:val="0"/>
        <w:spacing w:line="360" w:lineRule="auto"/>
        <w:ind w:left="480" w:hanging="480"/>
        <w:rPr>
          <w:rFonts w:ascii="Calibri" w:hAnsi="Calibri" w:cs="Calibri"/>
          <w:noProof/>
          <w:sz w:val="24"/>
          <w:szCs w:val="24"/>
        </w:rPr>
      </w:pPr>
      <w:r w:rsidRPr="00564100">
        <w:rPr>
          <w:rFonts w:ascii="Calibri" w:hAnsi="Calibri" w:cs="Calibri"/>
          <w:noProof/>
          <w:sz w:val="24"/>
          <w:szCs w:val="24"/>
        </w:rPr>
        <w:t xml:space="preserve">Ardizzone G, Arrigo A, Panaro F, Ornis S, Colombi R, Distefano S, Jarzembowski TM, Cerruti E. Cerebral hemodynamic and metabolic changes in patients with fulminant hepatic failure during liver transplantation. Transplant Proc 2004b;36:3060–3064. </w:t>
      </w:r>
    </w:p>
    <w:p w14:paraId="27AE44E7" w14:textId="420B3861" w:rsidR="00564100" w:rsidRPr="00564100" w:rsidRDefault="00564100" w:rsidP="00564100">
      <w:pPr>
        <w:widowControl w:val="0"/>
        <w:autoSpaceDE w:val="0"/>
        <w:autoSpaceDN w:val="0"/>
        <w:adjustRightInd w:val="0"/>
        <w:spacing w:line="360" w:lineRule="auto"/>
        <w:ind w:left="480" w:hanging="480"/>
        <w:rPr>
          <w:rFonts w:ascii="Calibri" w:hAnsi="Calibri" w:cs="Calibri"/>
          <w:noProof/>
          <w:sz w:val="24"/>
          <w:szCs w:val="24"/>
        </w:rPr>
      </w:pPr>
      <w:r w:rsidRPr="00564100">
        <w:rPr>
          <w:rFonts w:ascii="Calibri" w:hAnsi="Calibri" w:cs="Calibri"/>
          <w:noProof/>
          <w:sz w:val="24"/>
          <w:szCs w:val="24"/>
        </w:rPr>
        <w:t xml:space="preserve">Aries MJH, Czosnyka M, Budohoski KP, Steiner LA, Lavinio A, Kolias AG, Hutchinson PJ, Brady KM, Menon DK, Pickard JD, Smielewski P. Continuous determination of optimal cerebral perfusion pressure in traumatic brain injury. Crit Care Med 2012;40:2456–63. </w:t>
      </w:r>
    </w:p>
    <w:p w14:paraId="63962B28" w14:textId="77777777" w:rsidR="00564100" w:rsidRPr="00564100" w:rsidRDefault="00564100" w:rsidP="00564100">
      <w:pPr>
        <w:widowControl w:val="0"/>
        <w:autoSpaceDE w:val="0"/>
        <w:autoSpaceDN w:val="0"/>
        <w:adjustRightInd w:val="0"/>
        <w:spacing w:line="360" w:lineRule="auto"/>
        <w:ind w:left="480" w:hanging="480"/>
        <w:rPr>
          <w:rFonts w:ascii="Calibri" w:hAnsi="Calibri" w:cs="Calibri"/>
          <w:noProof/>
          <w:sz w:val="24"/>
          <w:szCs w:val="24"/>
        </w:rPr>
      </w:pPr>
      <w:r w:rsidRPr="00564100">
        <w:rPr>
          <w:rFonts w:ascii="Calibri" w:hAnsi="Calibri" w:cs="Calibri"/>
          <w:noProof/>
          <w:sz w:val="24"/>
          <w:szCs w:val="24"/>
        </w:rPr>
        <w:t xml:space="preserve">Bernal W, Hyyrylainen A, Gera A, Audimoolam VK, McPhail MJW, Auzinger G, Rela M, Heaton N, O’Grady JG, Wendon J, Williams R. Lessons from look-back in acute liver failure? A single centre experience of 3300 patients. J Hepatol 2013;59:74–80. </w:t>
      </w:r>
    </w:p>
    <w:p w14:paraId="13028430" w14:textId="7259E339" w:rsidR="00564100" w:rsidRPr="00564100" w:rsidRDefault="00564100" w:rsidP="00564100">
      <w:pPr>
        <w:widowControl w:val="0"/>
        <w:autoSpaceDE w:val="0"/>
        <w:autoSpaceDN w:val="0"/>
        <w:adjustRightInd w:val="0"/>
        <w:spacing w:line="360" w:lineRule="auto"/>
        <w:ind w:left="480" w:hanging="480"/>
        <w:rPr>
          <w:rFonts w:ascii="Calibri" w:hAnsi="Calibri" w:cs="Calibri"/>
          <w:noProof/>
          <w:sz w:val="24"/>
          <w:szCs w:val="24"/>
        </w:rPr>
      </w:pPr>
      <w:r w:rsidRPr="00564100">
        <w:rPr>
          <w:rFonts w:ascii="Calibri" w:hAnsi="Calibri" w:cs="Calibri"/>
          <w:noProof/>
          <w:sz w:val="24"/>
          <w:szCs w:val="24"/>
        </w:rPr>
        <w:t xml:space="preserve">Bindi ML, Biancofiore G, Esposito M, Meacci L, Bisà M, Mozzo R, Urbani L, Catalano G, Montin U, Filipponi F. Transcranial Doppler Sonography is Useful for the Decision-Making at the Point of Care in Patients with Acute Hepatic Failure: A Single Centre’s Experience. J Clin Monit Comput 2008;22:449–452. </w:t>
      </w:r>
    </w:p>
    <w:p w14:paraId="6295D311" w14:textId="27781015" w:rsidR="00564100" w:rsidRPr="00564100" w:rsidRDefault="00564100" w:rsidP="00564100">
      <w:pPr>
        <w:widowControl w:val="0"/>
        <w:autoSpaceDE w:val="0"/>
        <w:autoSpaceDN w:val="0"/>
        <w:adjustRightInd w:val="0"/>
        <w:spacing w:line="360" w:lineRule="auto"/>
        <w:ind w:left="480" w:hanging="480"/>
        <w:rPr>
          <w:rFonts w:ascii="Calibri" w:hAnsi="Calibri" w:cs="Calibri"/>
          <w:noProof/>
          <w:sz w:val="24"/>
          <w:szCs w:val="24"/>
        </w:rPr>
      </w:pPr>
      <w:r w:rsidRPr="00564100">
        <w:rPr>
          <w:rFonts w:ascii="Calibri" w:hAnsi="Calibri" w:cs="Calibri"/>
          <w:noProof/>
          <w:sz w:val="24"/>
          <w:szCs w:val="24"/>
        </w:rPr>
        <w:t xml:space="preserve">Bismuth H, Samuel D, Gugenheim J, Castaing D, Bernuau J, Rueff B, Benhamou JP. Emergency liver transplantation for fulminant hepatitis. Ann Intern Med 1987;107:337–41. </w:t>
      </w:r>
    </w:p>
    <w:p w14:paraId="28CF24C5" w14:textId="77777777" w:rsidR="00564100" w:rsidRPr="00564100" w:rsidRDefault="00564100" w:rsidP="00564100">
      <w:pPr>
        <w:widowControl w:val="0"/>
        <w:autoSpaceDE w:val="0"/>
        <w:autoSpaceDN w:val="0"/>
        <w:adjustRightInd w:val="0"/>
        <w:spacing w:line="360" w:lineRule="auto"/>
        <w:ind w:left="480" w:hanging="480"/>
        <w:rPr>
          <w:rFonts w:ascii="Calibri" w:hAnsi="Calibri" w:cs="Calibri"/>
          <w:noProof/>
          <w:sz w:val="24"/>
          <w:szCs w:val="24"/>
        </w:rPr>
      </w:pPr>
      <w:r w:rsidRPr="00564100">
        <w:rPr>
          <w:rFonts w:ascii="Calibri" w:hAnsi="Calibri" w:cs="Calibri"/>
          <w:noProof/>
          <w:sz w:val="24"/>
          <w:szCs w:val="24"/>
        </w:rPr>
        <w:lastRenderedPageBreak/>
        <w:t xml:space="preserve">Blei AT. The pathophysiology of brain edema in acute liver failure. Neurochem Int 2005;47:71–77. </w:t>
      </w:r>
    </w:p>
    <w:p w14:paraId="2DC25B21" w14:textId="5DA12583" w:rsidR="00564100" w:rsidRPr="00564100" w:rsidRDefault="00564100" w:rsidP="00564100">
      <w:pPr>
        <w:widowControl w:val="0"/>
        <w:autoSpaceDE w:val="0"/>
        <w:autoSpaceDN w:val="0"/>
        <w:adjustRightInd w:val="0"/>
        <w:spacing w:line="360" w:lineRule="auto"/>
        <w:ind w:left="480" w:hanging="480"/>
        <w:rPr>
          <w:rFonts w:ascii="Calibri" w:hAnsi="Calibri" w:cs="Calibri"/>
          <w:noProof/>
          <w:sz w:val="24"/>
          <w:szCs w:val="24"/>
        </w:rPr>
      </w:pPr>
      <w:r w:rsidRPr="00564100">
        <w:rPr>
          <w:rFonts w:ascii="Calibri" w:hAnsi="Calibri" w:cs="Calibri"/>
          <w:noProof/>
          <w:sz w:val="24"/>
          <w:szCs w:val="24"/>
        </w:rPr>
        <w:t xml:space="preserve">Blei AT. Brain edema in acute liver failure: Can it be prevented? Can it be treated? J Hepatol 2007;46:564–569. </w:t>
      </w:r>
    </w:p>
    <w:p w14:paraId="142ED85C" w14:textId="77777777" w:rsidR="00564100" w:rsidRPr="00564100" w:rsidRDefault="00564100" w:rsidP="00564100">
      <w:pPr>
        <w:widowControl w:val="0"/>
        <w:autoSpaceDE w:val="0"/>
        <w:autoSpaceDN w:val="0"/>
        <w:adjustRightInd w:val="0"/>
        <w:spacing w:line="360" w:lineRule="auto"/>
        <w:ind w:left="480" w:hanging="480"/>
        <w:rPr>
          <w:rFonts w:ascii="Calibri" w:hAnsi="Calibri" w:cs="Calibri"/>
          <w:noProof/>
          <w:sz w:val="24"/>
          <w:szCs w:val="24"/>
        </w:rPr>
      </w:pPr>
      <w:r w:rsidRPr="00564100">
        <w:rPr>
          <w:rFonts w:ascii="Calibri" w:hAnsi="Calibri" w:cs="Calibri"/>
          <w:noProof/>
          <w:sz w:val="24"/>
          <w:szCs w:val="24"/>
        </w:rPr>
        <w:t xml:space="preserve">Bratton SL, Chestnut RM, Ghajar J, McConnell Hammond FF, Harris OA, Hartl R, Manley GT, Nemecek A, Newell DW, Rosenthal G, Schouten J, Shutter L, Timmons SD, Ullman JS, Videtta W, Wilberger JE, Wright DW. Guidelines for the management of severe traumatic brain injury. IX. Cerebral perfusion thresholds. J Neurotrauma 2007;24 Suppl 1:S59-64. </w:t>
      </w:r>
    </w:p>
    <w:p w14:paraId="642EECF4" w14:textId="5E95CE8C" w:rsidR="00564100" w:rsidRPr="00564100" w:rsidRDefault="00564100" w:rsidP="00564100">
      <w:pPr>
        <w:widowControl w:val="0"/>
        <w:autoSpaceDE w:val="0"/>
        <w:autoSpaceDN w:val="0"/>
        <w:adjustRightInd w:val="0"/>
        <w:spacing w:line="360" w:lineRule="auto"/>
        <w:ind w:left="480" w:hanging="480"/>
        <w:rPr>
          <w:rFonts w:ascii="Calibri" w:hAnsi="Calibri" w:cs="Calibri"/>
          <w:noProof/>
          <w:sz w:val="24"/>
          <w:szCs w:val="24"/>
        </w:rPr>
      </w:pPr>
      <w:r w:rsidRPr="00564100">
        <w:rPr>
          <w:rFonts w:ascii="Calibri" w:hAnsi="Calibri" w:cs="Calibri"/>
          <w:noProof/>
          <w:sz w:val="24"/>
          <w:szCs w:val="24"/>
        </w:rPr>
        <w:t>Cardim D, Robba C, Bohdanowicz M, Donnelly J, Cabella B, Liu X, Cabeleira M, Smielewski P, Schmidt B, Czosnyka M. Non-invasive Monitoring of Intracranial Pressure Using Transcranial Doppler Ultrasonography: Is It Possible? Neurocrit Care 2016</w:t>
      </w:r>
      <w:r w:rsidRPr="008A4C70">
        <w:rPr>
          <w:rFonts w:cstheme="minorHAnsi"/>
          <w:noProof/>
          <w:sz w:val="24"/>
          <w:szCs w:val="24"/>
        </w:rPr>
        <w:t>a</w:t>
      </w:r>
      <w:r w:rsidRPr="008A4C70">
        <w:rPr>
          <w:rFonts w:cstheme="minorHAnsi"/>
          <w:color w:val="000000"/>
          <w:sz w:val="24"/>
          <w:szCs w:val="24"/>
          <w:shd w:val="clear" w:color="auto" w:fill="FFFFFF"/>
        </w:rPr>
        <w:t>;25(3):473-491.</w:t>
      </w:r>
      <w:r w:rsidRPr="008A4C70">
        <w:rPr>
          <w:rFonts w:cstheme="minorHAnsi"/>
          <w:noProof/>
          <w:sz w:val="24"/>
          <w:szCs w:val="24"/>
        </w:rPr>
        <w:t xml:space="preserve"> </w:t>
      </w:r>
    </w:p>
    <w:p w14:paraId="77453AEF" w14:textId="3421AD66" w:rsidR="00564100" w:rsidRPr="00564100" w:rsidRDefault="00564100" w:rsidP="00564100">
      <w:pPr>
        <w:widowControl w:val="0"/>
        <w:autoSpaceDE w:val="0"/>
        <w:autoSpaceDN w:val="0"/>
        <w:adjustRightInd w:val="0"/>
        <w:spacing w:line="360" w:lineRule="auto"/>
        <w:ind w:left="480" w:hanging="480"/>
        <w:rPr>
          <w:rFonts w:ascii="Calibri" w:hAnsi="Calibri" w:cs="Calibri"/>
          <w:noProof/>
          <w:sz w:val="24"/>
          <w:szCs w:val="24"/>
        </w:rPr>
      </w:pPr>
      <w:r w:rsidRPr="00564100">
        <w:rPr>
          <w:rFonts w:ascii="Calibri" w:hAnsi="Calibri" w:cs="Calibri"/>
          <w:noProof/>
          <w:sz w:val="24"/>
          <w:szCs w:val="24"/>
        </w:rPr>
        <w:t>Cardim D, Robba C, Donnelly J, Bohdanowicz M, Schmidt B, Damian M, Varsos G V., Liu X, Cabeleira M, Frigieri G, Cabella B, Smielewski P, Mascarenhas S, Czosnyka M. Prospective Study on Noninvasive Assessment of Intracranial Pressure in Traumatic Brain-Injured Patients: Comparison of Four Methods. J Neurotrauma 2016b;33:792–802.</w:t>
      </w:r>
    </w:p>
    <w:p w14:paraId="35F2CB0D" w14:textId="3475B066" w:rsidR="00564100" w:rsidRPr="00564100" w:rsidRDefault="00564100" w:rsidP="00564100">
      <w:pPr>
        <w:widowControl w:val="0"/>
        <w:autoSpaceDE w:val="0"/>
        <w:autoSpaceDN w:val="0"/>
        <w:adjustRightInd w:val="0"/>
        <w:spacing w:line="360" w:lineRule="auto"/>
        <w:ind w:left="480" w:hanging="480"/>
        <w:rPr>
          <w:rFonts w:ascii="Calibri" w:hAnsi="Calibri" w:cs="Calibri"/>
          <w:noProof/>
          <w:sz w:val="24"/>
          <w:szCs w:val="24"/>
        </w:rPr>
      </w:pPr>
      <w:r w:rsidRPr="00564100">
        <w:rPr>
          <w:rFonts w:ascii="Calibri" w:hAnsi="Calibri" w:cs="Calibri"/>
          <w:noProof/>
          <w:sz w:val="24"/>
          <w:szCs w:val="24"/>
        </w:rPr>
        <w:t xml:space="preserve">Cardim D, Schmidt B, Robba C, Donnelly J, Puppo C, Czosnyka M, Smielewski P. Transcranial Doppler Monitoring of Intracranial Pressure Plateau Waves. Neurocrit Care Springer US, 2017;26:330–338. </w:t>
      </w:r>
    </w:p>
    <w:p w14:paraId="3E647EAD" w14:textId="77777777" w:rsidR="00564100" w:rsidRPr="00564100" w:rsidRDefault="00564100" w:rsidP="00564100">
      <w:pPr>
        <w:widowControl w:val="0"/>
        <w:autoSpaceDE w:val="0"/>
        <w:autoSpaceDN w:val="0"/>
        <w:adjustRightInd w:val="0"/>
        <w:spacing w:line="360" w:lineRule="auto"/>
        <w:ind w:left="480" w:hanging="480"/>
        <w:rPr>
          <w:rFonts w:ascii="Calibri" w:hAnsi="Calibri" w:cs="Calibri"/>
          <w:noProof/>
          <w:sz w:val="24"/>
          <w:szCs w:val="24"/>
        </w:rPr>
      </w:pPr>
      <w:r w:rsidRPr="00564100">
        <w:rPr>
          <w:rFonts w:ascii="Calibri" w:hAnsi="Calibri" w:cs="Calibri"/>
          <w:noProof/>
          <w:sz w:val="24"/>
          <w:szCs w:val="24"/>
        </w:rPr>
        <w:t xml:space="preserve">Chan G, Taqi A, Marotta P, Levstik M, McAlister V, Wall W, Quan D. Long-term outcomes of emergency liver transplantation for acute liver failure. Liver Transplant 2009;15:1696–1702. </w:t>
      </w:r>
    </w:p>
    <w:p w14:paraId="305C7B3B" w14:textId="77777777" w:rsidR="00564100" w:rsidRPr="00564100" w:rsidRDefault="00564100" w:rsidP="00564100">
      <w:pPr>
        <w:widowControl w:val="0"/>
        <w:autoSpaceDE w:val="0"/>
        <w:autoSpaceDN w:val="0"/>
        <w:adjustRightInd w:val="0"/>
        <w:spacing w:line="360" w:lineRule="auto"/>
        <w:ind w:left="480" w:hanging="480"/>
        <w:rPr>
          <w:rFonts w:ascii="Calibri" w:hAnsi="Calibri" w:cs="Calibri"/>
          <w:noProof/>
          <w:sz w:val="24"/>
          <w:szCs w:val="24"/>
        </w:rPr>
      </w:pPr>
      <w:r w:rsidRPr="00564100">
        <w:rPr>
          <w:rFonts w:ascii="Calibri" w:hAnsi="Calibri" w:cs="Calibri"/>
          <w:noProof/>
          <w:sz w:val="24"/>
          <w:szCs w:val="24"/>
        </w:rPr>
        <w:t xml:space="preserve">Czosnyka M, Brady K, Reinhard M, Smielewski P, Steiner LA. Monitoring of cerebrovascular autoregulation: Facts, myths, and missing links. Neurocrit. Care. 2009. pp. 373–386. </w:t>
      </w:r>
    </w:p>
    <w:p w14:paraId="66F04BBD" w14:textId="00EDD95B" w:rsidR="00564100" w:rsidRPr="00564100" w:rsidRDefault="00564100" w:rsidP="00564100">
      <w:pPr>
        <w:widowControl w:val="0"/>
        <w:autoSpaceDE w:val="0"/>
        <w:autoSpaceDN w:val="0"/>
        <w:adjustRightInd w:val="0"/>
        <w:spacing w:line="360" w:lineRule="auto"/>
        <w:ind w:left="480" w:hanging="480"/>
        <w:rPr>
          <w:rFonts w:ascii="Calibri" w:hAnsi="Calibri" w:cs="Calibri"/>
          <w:noProof/>
          <w:sz w:val="24"/>
          <w:szCs w:val="24"/>
        </w:rPr>
      </w:pPr>
      <w:r w:rsidRPr="00564100">
        <w:rPr>
          <w:rFonts w:ascii="Calibri" w:hAnsi="Calibri" w:cs="Calibri"/>
          <w:noProof/>
          <w:sz w:val="24"/>
          <w:szCs w:val="24"/>
        </w:rPr>
        <w:t xml:space="preserve">Czosnyka M, Smielewski P, Kirkpatrick P, Laing RJ, Menon D, Pickard JD. Continuous assessment of the cerebral vasomotor reactivity in head injury. Neurosurgery 1997;41:11-7; discussion 17-9. </w:t>
      </w:r>
    </w:p>
    <w:p w14:paraId="2B96928A" w14:textId="3FB82949" w:rsidR="00564100" w:rsidRPr="00564100" w:rsidRDefault="00564100" w:rsidP="00564100">
      <w:pPr>
        <w:widowControl w:val="0"/>
        <w:autoSpaceDE w:val="0"/>
        <w:autoSpaceDN w:val="0"/>
        <w:adjustRightInd w:val="0"/>
        <w:spacing w:line="360" w:lineRule="auto"/>
        <w:ind w:left="480" w:hanging="480"/>
        <w:rPr>
          <w:rFonts w:ascii="Calibri" w:hAnsi="Calibri" w:cs="Calibri"/>
          <w:noProof/>
          <w:sz w:val="24"/>
          <w:szCs w:val="24"/>
        </w:rPr>
      </w:pPr>
      <w:r w:rsidRPr="00564100">
        <w:rPr>
          <w:rFonts w:ascii="Calibri" w:hAnsi="Calibri" w:cs="Calibri"/>
          <w:noProof/>
          <w:sz w:val="24"/>
          <w:szCs w:val="24"/>
        </w:rPr>
        <w:lastRenderedPageBreak/>
        <w:t xml:space="preserve">Czosnyka M, Smielewski P, Kirkpatrick P, Menon DK, Pickard JD. Monitoring of cerebral autoregulation in head-injured patients. Stroke 1996;27:1829–1834. </w:t>
      </w:r>
    </w:p>
    <w:p w14:paraId="4A807BCB" w14:textId="77777777" w:rsidR="00564100" w:rsidRPr="00564100" w:rsidRDefault="00564100" w:rsidP="00564100">
      <w:pPr>
        <w:widowControl w:val="0"/>
        <w:autoSpaceDE w:val="0"/>
        <w:autoSpaceDN w:val="0"/>
        <w:adjustRightInd w:val="0"/>
        <w:spacing w:line="360" w:lineRule="auto"/>
        <w:ind w:left="480" w:hanging="480"/>
        <w:rPr>
          <w:rFonts w:ascii="Calibri" w:hAnsi="Calibri" w:cs="Calibri"/>
          <w:noProof/>
          <w:sz w:val="24"/>
          <w:szCs w:val="24"/>
        </w:rPr>
      </w:pPr>
      <w:r w:rsidRPr="00564100">
        <w:rPr>
          <w:rFonts w:ascii="Calibri" w:hAnsi="Calibri" w:cs="Calibri"/>
          <w:noProof/>
          <w:sz w:val="24"/>
          <w:szCs w:val="24"/>
        </w:rPr>
        <w:t xml:space="preserve">Czosnyka M, Smielewski P, Piechnik S, Steiner L a, Pickard JD. Cerebral autoregulation following head injury. J Neurosurg 2001;95:756–763. </w:t>
      </w:r>
    </w:p>
    <w:p w14:paraId="3E19F569" w14:textId="1714BC53" w:rsidR="00564100" w:rsidRPr="00564100" w:rsidRDefault="00564100" w:rsidP="00564100">
      <w:pPr>
        <w:widowControl w:val="0"/>
        <w:autoSpaceDE w:val="0"/>
        <w:autoSpaceDN w:val="0"/>
        <w:adjustRightInd w:val="0"/>
        <w:spacing w:line="360" w:lineRule="auto"/>
        <w:ind w:left="480" w:hanging="480"/>
        <w:rPr>
          <w:rFonts w:ascii="Calibri" w:hAnsi="Calibri" w:cs="Calibri"/>
          <w:noProof/>
          <w:sz w:val="24"/>
          <w:szCs w:val="24"/>
        </w:rPr>
      </w:pPr>
      <w:r w:rsidRPr="00564100">
        <w:rPr>
          <w:rFonts w:ascii="Calibri" w:hAnsi="Calibri" w:cs="Calibri"/>
          <w:noProof/>
          <w:sz w:val="24"/>
          <w:szCs w:val="24"/>
        </w:rPr>
        <w:t xml:space="preserve">Detry O, Arkadopoulos N, Ting P, Kahaku E, Margulies J, Arnaout W, Colquhoun SD, Rozga J, Demetriou AA. Intracranial pressure during liver transplantation for fulminant hepatic failure. Transplantation 1999;67:767–70. </w:t>
      </w:r>
    </w:p>
    <w:p w14:paraId="04E88EBF" w14:textId="6E1004BF" w:rsidR="00564100" w:rsidRPr="00564100" w:rsidRDefault="00564100" w:rsidP="00564100">
      <w:pPr>
        <w:widowControl w:val="0"/>
        <w:autoSpaceDE w:val="0"/>
        <w:autoSpaceDN w:val="0"/>
        <w:adjustRightInd w:val="0"/>
        <w:spacing w:line="360" w:lineRule="auto"/>
        <w:ind w:left="480" w:hanging="480"/>
        <w:rPr>
          <w:rFonts w:ascii="Calibri" w:hAnsi="Calibri" w:cs="Calibri"/>
          <w:noProof/>
          <w:sz w:val="24"/>
          <w:szCs w:val="24"/>
        </w:rPr>
      </w:pPr>
      <w:r w:rsidRPr="00564100">
        <w:rPr>
          <w:rFonts w:ascii="Calibri" w:hAnsi="Calibri" w:cs="Calibri"/>
          <w:noProof/>
          <w:sz w:val="24"/>
          <w:szCs w:val="24"/>
        </w:rPr>
        <w:t xml:space="preserve">Emond JC, Aran PP, Whitington PF, Broelsch CE, Baker AL. Liver transplantation in the management of fulminant hepatic failure. Gastroenterology 1989;96:1583–1588. </w:t>
      </w:r>
    </w:p>
    <w:p w14:paraId="68B8E171" w14:textId="5C0DCB85" w:rsidR="00564100" w:rsidRPr="00564100" w:rsidRDefault="00564100" w:rsidP="00564100">
      <w:pPr>
        <w:widowControl w:val="0"/>
        <w:autoSpaceDE w:val="0"/>
        <w:autoSpaceDN w:val="0"/>
        <w:adjustRightInd w:val="0"/>
        <w:spacing w:line="360" w:lineRule="auto"/>
        <w:ind w:left="480" w:hanging="480"/>
        <w:rPr>
          <w:rFonts w:ascii="Calibri" w:hAnsi="Calibri" w:cs="Calibri"/>
          <w:noProof/>
          <w:sz w:val="24"/>
          <w:szCs w:val="24"/>
        </w:rPr>
      </w:pPr>
      <w:r w:rsidRPr="00564100">
        <w:rPr>
          <w:rFonts w:ascii="Calibri" w:hAnsi="Calibri" w:cs="Calibri"/>
          <w:noProof/>
          <w:sz w:val="24"/>
          <w:szCs w:val="24"/>
        </w:rPr>
        <w:t xml:space="preserve">Iwatsuki S, Stieber AC, Marsh JW, Tzakis AG, Todo S, Koneru B, Makowka L, Gordon RD, Starzl TE. Liver transplantation for fulminant hepatic failure. Transplant Proc NIH Public Access, 1989;21:2431–4. </w:t>
      </w:r>
    </w:p>
    <w:p w14:paraId="17ADA4C3" w14:textId="45B70BA3" w:rsidR="00564100" w:rsidRPr="00564100" w:rsidRDefault="00564100" w:rsidP="00564100">
      <w:pPr>
        <w:widowControl w:val="0"/>
        <w:autoSpaceDE w:val="0"/>
        <w:autoSpaceDN w:val="0"/>
        <w:adjustRightInd w:val="0"/>
        <w:spacing w:line="360" w:lineRule="auto"/>
        <w:ind w:left="480" w:hanging="480"/>
        <w:rPr>
          <w:rFonts w:ascii="Calibri" w:hAnsi="Calibri" w:cs="Calibri"/>
          <w:noProof/>
          <w:sz w:val="24"/>
          <w:szCs w:val="24"/>
        </w:rPr>
      </w:pPr>
      <w:r w:rsidRPr="00564100">
        <w:rPr>
          <w:rFonts w:ascii="Calibri" w:hAnsi="Calibri" w:cs="Calibri"/>
          <w:noProof/>
          <w:sz w:val="24"/>
          <w:szCs w:val="24"/>
        </w:rPr>
        <w:t xml:space="preserve">Karvellas CJ, Fix OK, Battenhouse H, Durkalski V, Sanders C, Lee WM, U S Acute Liver Failure Study Group. Outcomes and complications of intracranial pressure monitoring in acute liver failure: a retrospective cohort study. Crit Care Med 2014;42:1157–67. </w:t>
      </w:r>
    </w:p>
    <w:p w14:paraId="7B969837" w14:textId="144B00A6" w:rsidR="00564100" w:rsidRPr="00564100" w:rsidRDefault="00564100" w:rsidP="00564100">
      <w:pPr>
        <w:widowControl w:val="0"/>
        <w:autoSpaceDE w:val="0"/>
        <w:autoSpaceDN w:val="0"/>
        <w:adjustRightInd w:val="0"/>
        <w:spacing w:line="360" w:lineRule="auto"/>
        <w:ind w:left="480" w:hanging="480"/>
        <w:rPr>
          <w:rFonts w:ascii="Calibri" w:hAnsi="Calibri" w:cs="Calibri"/>
          <w:noProof/>
          <w:sz w:val="24"/>
          <w:szCs w:val="24"/>
        </w:rPr>
      </w:pPr>
      <w:r w:rsidRPr="00564100">
        <w:rPr>
          <w:rFonts w:ascii="Calibri" w:hAnsi="Calibri" w:cs="Calibri"/>
          <w:noProof/>
          <w:sz w:val="24"/>
          <w:szCs w:val="24"/>
        </w:rPr>
        <w:t xml:space="preserve">Keays R, Potter D, O’Grady J, Peachey T, Alexander G, Williams R. Intracranial and cerebral perfusion pressure changes before, during and immediately after orthotopic liver transplantation for fulminant hepatic failure. Q J Med 1991;79:425–433. </w:t>
      </w:r>
    </w:p>
    <w:p w14:paraId="5B5A6BD7" w14:textId="5E4FD09E" w:rsidR="00564100" w:rsidRPr="00564100" w:rsidRDefault="00564100" w:rsidP="00564100">
      <w:pPr>
        <w:widowControl w:val="0"/>
        <w:autoSpaceDE w:val="0"/>
        <w:autoSpaceDN w:val="0"/>
        <w:adjustRightInd w:val="0"/>
        <w:spacing w:line="360" w:lineRule="auto"/>
        <w:ind w:left="480" w:hanging="480"/>
        <w:rPr>
          <w:rFonts w:ascii="Calibri" w:hAnsi="Calibri" w:cs="Calibri"/>
          <w:noProof/>
          <w:sz w:val="24"/>
          <w:szCs w:val="24"/>
        </w:rPr>
      </w:pPr>
      <w:r w:rsidRPr="00564100">
        <w:rPr>
          <w:rFonts w:ascii="Calibri" w:hAnsi="Calibri" w:cs="Calibri"/>
          <w:noProof/>
          <w:sz w:val="24"/>
          <w:szCs w:val="24"/>
        </w:rPr>
        <w:t xml:space="preserve">Keays RT, Alexander GJ, Williams R. The safety and value of extradural intracranial pressure monitors in fulminant hepatic failure. J Hepatol 1993;18:205–9. </w:t>
      </w:r>
    </w:p>
    <w:p w14:paraId="36E80CAB" w14:textId="77777777" w:rsidR="00564100" w:rsidRPr="00564100" w:rsidRDefault="00564100" w:rsidP="00564100">
      <w:pPr>
        <w:widowControl w:val="0"/>
        <w:autoSpaceDE w:val="0"/>
        <w:autoSpaceDN w:val="0"/>
        <w:adjustRightInd w:val="0"/>
        <w:spacing w:line="360" w:lineRule="auto"/>
        <w:ind w:left="480" w:hanging="480"/>
        <w:rPr>
          <w:rFonts w:ascii="Calibri" w:hAnsi="Calibri" w:cs="Calibri"/>
          <w:noProof/>
          <w:sz w:val="24"/>
          <w:szCs w:val="24"/>
        </w:rPr>
      </w:pPr>
      <w:r w:rsidRPr="00564100">
        <w:rPr>
          <w:rFonts w:ascii="Calibri" w:hAnsi="Calibri" w:cs="Calibri"/>
          <w:noProof/>
          <w:sz w:val="24"/>
          <w:szCs w:val="24"/>
        </w:rPr>
        <w:t xml:space="preserve">Larsen FS, Ejlersen E, Hansen BA, Knudsen GM, Tygstrup N, Secher NH. Functional loss of cerebral blood flow autoregulation in patients with fulminant hepatic failure. J Hepatol 1995;23:212–217. </w:t>
      </w:r>
    </w:p>
    <w:p w14:paraId="7F3AD5BB" w14:textId="0EEF7632" w:rsidR="00564100" w:rsidRPr="00564100" w:rsidRDefault="00564100" w:rsidP="00564100">
      <w:pPr>
        <w:widowControl w:val="0"/>
        <w:autoSpaceDE w:val="0"/>
        <w:autoSpaceDN w:val="0"/>
        <w:adjustRightInd w:val="0"/>
        <w:spacing w:line="360" w:lineRule="auto"/>
        <w:ind w:left="480" w:hanging="480"/>
        <w:rPr>
          <w:rFonts w:ascii="Calibri" w:hAnsi="Calibri" w:cs="Calibri"/>
          <w:noProof/>
          <w:sz w:val="24"/>
          <w:szCs w:val="24"/>
        </w:rPr>
      </w:pPr>
      <w:r w:rsidRPr="00564100">
        <w:rPr>
          <w:rFonts w:ascii="Calibri" w:hAnsi="Calibri" w:cs="Calibri"/>
          <w:noProof/>
          <w:sz w:val="24"/>
          <w:szCs w:val="24"/>
        </w:rPr>
        <w:t xml:space="preserve">Lidofsky SD, Bass NM, Prager MC, Washington DE, Read AE, Wright TL, Ascher NL, Roberts JP, Scharschmidt BF, Lake JR. Intracranial pressure monitoring and liver transplantation for fulminant hepatic failure. Hepatology 1992;16:1–7. </w:t>
      </w:r>
    </w:p>
    <w:p w14:paraId="0F26706E" w14:textId="77777777" w:rsidR="00564100" w:rsidRPr="00564100" w:rsidRDefault="00564100" w:rsidP="00564100">
      <w:pPr>
        <w:widowControl w:val="0"/>
        <w:autoSpaceDE w:val="0"/>
        <w:autoSpaceDN w:val="0"/>
        <w:adjustRightInd w:val="0"/>
        <w:spacing w:line="360" w:lineRule="auto"/>
        <w:ind w:left="480" w:hanging="480"/>
        <w:rPr>
          <w:rFonts w:ascii="Calibri" w:hAnsi="Calibri" w:cs="Calibri"/>
          <w:noProof/>
          <w:sz w:val="24"/>
          <w:szCs w:val="24"/>
        </w:rPr>
      </w:pPr>
      <w:r w:rsidRPr="00564100">
        <w:rPr>
          <w:rFonts w:ascii="Calibri" w:hAnsi="Calibri" w:cs="Calibri"/>
          <w:noProof/>
          <w:sz w:val="24"/>
          <w:szCs w:val="24"/>
        </w:rPr>
        <w:t xml:space="preserve">Maloney PR, Mallory GW, Atkinson JLD, Wijdicks EF, Rabinstein AA, Van Gompel JJ. Intracranial Pressure Monitoring in Acute Liver Failure: Institutional Case Series. </w:t>
      </w:r>
      <w:r w:rsidRPr="00564100">
        <w:rPr>
          <w:rFonts w:ascii="Calibri" w:hAnsi="Calibri" w:cs="Calibri"/>
          <w:noProof/>
          <w:sz w:val="24"/>
          <w:szCs w:val="24"/>
        </w:rPr>
        <w:lastRenderedPageBreak/>
        <w:t xml:space="preserve">Neurocrit Care 2016;25:86–93. </w:t>
      </w:r>
    </w:p>
    <w:p w14:paraId="50B3EB6D" w14:textId="7E13E18F" w:rsidR="00564100" w:rsidRPr="00564100" w:rsidRDefault="00564100" w:rsidP="00564100">
      <w:pPr>
        <w:widowControl w:val="0"/>
        <w:autoSpaceDE w:val="0"/>
        <w:autoSpaceDN w:val="0"/>
        <w:adjustRightInd w:val="0"/>
        <w:spacing w:line="360" w:lineRule="auto"/>
        <w:ind w:left="480" w:hanging="480"/>
        <w:rPr>
          <w:rFonts w:ascii="Calibri" w:hAnsi="Calibri" w:cs="Calibri"/>
          <w:noProof/>
          <w:sz w:val="24"/>
          <w:szCs w:val="24"/>
        </w:rPr>
      </w:pPr>
      <w:r w:rsidRPr="00564100">
        <w:rPr>
          <w:rFonts w:ascii="Calibri" w:hAnsi="Calibri" w:cs="Calibri"/>
          <w:noProof/>
          <w:sz w:val="24"/>
          <w:szCs w:val="24"/>
        </w:rPr>
        <w:t xml:space="preserve">Nichol J, Girling F, Jerrard W, Claxton EB, Burton AC. Fundamental instability of the small blood vessels and critical closing pressures in vascular beds. Am J Physiol 1951;164:330–44. </w:t>
      </w:r>
    </w:p>
    <w:p w14:paraId="215B88AB" w14:textId="77777777" w:rsidR="00564100" w:rsidRPr="00564100" w:rsidRDefault="00564100" w:rsidP="00564100">
      <w:pPr>
        <w:widowControl w:val="0"/>
        <w:autoSpaceDE w:val="0"/>
        <w:autoSpaceDN w:val="0"/>
        <w:adjustRightInd w:val="0"/>
        <w:spacing w:line="360" w:lineRule="auto"/>
        <w:ind w:left="480" w:hanging="480"/>
        <w:rPr>
          <w:rFonts w:ascii="Calibri" w:hAnsi="Calibri" w:cs="Calibri"/>
          <w:noProof/>
          <w:sz w:val="24"/>
          <w:szCs w:val="24"/>
        </w:rPr>
      </w:pPr>
      <w:r w:rsidRPr="00564100">
        <w:rPr>
          <w:rFonts w:ascii="Calibri" w:hAnsi="Calibri" w:cs="Calibri"/>
          <w:noProof/>
          <w:sz w:val="24"/>
          <w:szCs w:val="24"/>
        </w:rPr>
        <w:t xml:space="preserve">Ott P, Vilstrup H. Cerebral effects of ammonia in liver disease: current hypotheses. Metab Brain Dis 2014;29:901–911. </w:t>
      </w:r>
    </w:p>
    <w:p w14:paraId="4F96DA51" w14:textId="77777777" w:rsidR="00564100" w:rsidRPr="00564100" w:rsidRDefault="00564100" w:rsidP="00564100">
      <w:pPr>
        <w:widowControl w:val="0"/>
        <w:autoSpaceDE w:val="0"/>
        <w:autoSpaceDN w:val="0"/>
        <w:adjustRightInd w:val="0"/>
        <w:spacing w:line="360" w:lineRule="auto"/>
        <w:ind w:left="480" w:hanging="480"/>
        <w:rPr>
          <w:rFonts w:ascii="Calibri" w:hAnsi="Calibri" w:cs="Calibri"/>
          <w:noProof/>
          <w:sz w:val="24"/>
          <w:szCs w:val="24"/>
        </w:rPr>
      </w:pPr>
      <w:r w:rsidRPr="00564100">
        <w:rPr>
          <w:rFonts w:ascii="Calibri" w:hAnsi="Calibri" w:cs="Calibri"/>
          <w:noProof/>
          <w:sz w:val="24"/>
          <w:szCs w:val="24"/>
        </w:rPr>
        <w:t xml:space="preserve">Rajajee V, Williamson CA, Fontana RJ, Courey AJ, Patil PG. Noninvasive Intracranial Pressure Assessment in Acute Liver Failure. Neurocrit Care 2018;1–11. </w:t>
      </w:r>
    </w:p>
    <w:p w14:paraId="6942393A" w14:textId="77777777" w:rsidR="00564100" w:rsidRPr="00564100" w:rsidRDefault="00564100" w:rsidP="00564100">
      <w:pPr>
        <w:widowControl w:val="0"/>
        <w:autoSpaceDE w:val="0"/>
        <w:autoSpaceDN w:val="0"/>
        <w:adjustRightInd w:val="0"/>
        <w:spacing w:line="360" w:lineRule="auto"/>
        <w:ind w:left="480" w:hanging="480"/>
        <w:rPr>
          <w:rFonts w:ascii="Calibri" w:hAnsi="Calibri" w:cs="Calibri"/>
          <w:noProof/>
          <w:sz w:val="24"/>
          <w:szCs w:val="24"/>
        </w:rPr>
      </w:pPr>
      <w:r w:rsidRPr="00564100">
        <w:rPr>
          <w:rFonts w:ascii="Calibri" w:hAnsi="Calibri" w:cs="Calibri"/>
          <w:noProof/>
          <w:sz w:val="24"/>
          <w:szCs w:val="24"/>
        </w:rPr>
        <w:t xml:space="preserve">Raschke RA, Curry SC, Rempe S, Gerkin R, Little E, Manch R, Wong M, Ramos A, Leibowitz AI. Results of a protocol for the management of patients with fulminant liver failure. Crit Care Med 2008;36:2244–2248. </w:t>
      </w:r>
    </w:p>
    <w:p w14:paraId="2C9A642D" w14:textId="1B091B48" w:rsidR="00564100" w:rsidRPr="00564100" w:rsidRDefault="00564100" w:rsidP="00564100">
      <w:pPr>
        <w:widowControl w:val="0"/>
        <w:autoSpaceDE w:val="0"/>
        <w:autoSpaceDN w:val="0"/>
        <w:adjustRightInd w:val="0"/>
        <w:spacing w:line="360" w:lineRule="auto"/>
        <w:ind w:left="480" w:hanging="480"/>
        <w:rPr>
          <w:rFonts w:ascii="Calibri" w:hAnsi="Calibri" w:cs="Calibri"/>
          <w:noProof/>
          <w:sz w:val="24"/>
          <w:szCs w:val="24"/>
        </w:rPr>
      </w:pPr>
      <w:r w:rsidRPr="00564100">
        <w:rPr>
          <w:rFonts w:ascii="Calibri" w:hAnsi="Calibri" w:cs="Calibri"/>
          <w:noProof/>
          <w:sz w:val="24"/>
          <w:szCs w:val="24"/>
        </w:rPr>
        <w:t xml:space="preserve">Schmidt B, Klingelhöfer J, Schwarze JJ, Sander D, Wittich I. Noninvasive Prediction of Intracranial Pressure Curves Using Transcranial Doppler Ultrasonography and Blood Pressure Curves. Stroke 1997;28:2465–2472. </w:t>
      </w:r>
    </w:p>
    <w:p w14:paraId="3A01E0B9" w14:textId="77777777" w:rsidR="00564100" w:rsidRPr="00564100" w:rsidRDefault="00564100" w:rsidP="00564100">
      <w:pPr>
        <w:widowControl w:val="0"/>
        <w:autoSpaceDE w:val="0"/>
        <w:autoSpaceDN w:val="0"/>
        <w:adjustRightInd w:val="0"/>
        <w:spacing w:line="360" w:lineRule="auto"/>
        <w:ind w:left="480" w:hanging="480"/>
        <w:rPr>
          <w:rFonts w:ascii="Calibri" w:hAnsi="Calibri" w:cs="Calibri"/>
          <w:noProof/>
          <w:sz w:val="24"/>
          <w:szCs w:val="24"/>
        </w:rPr>
      </w:pPr>
      <w:r w:rsidRPr="00564100">
        <w:rPr>
          <w:rFonts w:ascii="Calibri" w:hAnsi="Calibri" w:cs="Calibri"/>
          <w:noProof/>
          <w:sz w:val="24"/>
          <w:szCs w:val="24"/>
        </w:rPr>
        <w:t xml:space="preserve">Sorrentino E, Diedler J, Kasprowicz M, Budohoski KP, Haubrich C, Smielewski P, Outtrim JG, Manktelow A, Hutchinson PJ, Pickard JD, Menon DK, Czosnyka M. Critical thresholds for cerebrovascular reactivity after traumatic brain injury. Neurocrit Care 2012;16:258–266. </w:t>
      </w:r>
    </w:p>
    <w:p w14:paraId="7516F2E5" w14:textId="09C07877" w:rsidR="00564100" w:rsidRPr="00564100" w:rsidRDefault="00564100" w:rsidP="00564100">
      <w:pPr>
        <w:widowControl w:val="0"/>
        <w:autoSpaceDE w:val="0"/>
        <w:autoSpaceDN w:val="0"/>
        <w:adjustRightInd w:val="0"/>
        <w:spacing w:line="360" w:lineRule="auto"/>
        <w:ind w:left="480" w:hanging="480"/>
        <w:rPr>
          <w:rFonts w:ascii="Calibri" w:hAnsi="Calibri" w:cs="Calibri"/>
          <w:noProof/>
          <w:sz w:val="24"/>
          <w:szCs w:val="24"/>
        </w:rPr>
      </w:pPr>
      <w:r w:rsidRPr="00564100">
        <w:rPr>
          <w:rFonts w:ascii="Calibri" w:hAnsi="Calibri" w:cs="Calibri"/>
          <w:noProof/>
          <w:sz w:val="24"/>
          <w:szCs w:val="24"/>
        </w:rPr>
        <w:t>Steiner L, Czosnyka M, Piechnik S. Continuous monitoring of cerebrovascular pressure reactivity allows determination of optimal cerebral perfusion pressure in patients with traumatic brain injury. Crit Care 2002</w:t>
      </w:r>
      <w:r w:rsidRPr="008A4C70">
        <w:rPr>
          <w:rFonts w:cstheme="minorHAnsi"/>
          <w:noProof/>
          <w:sz w:val="24"/>
          <w:szCs w:val="24"/>
        </w:rPr>
        <w:t>;</w:t>
      </w:r>
      <w:r w:rsidR="002B1C82" w:rsidRPr="008A4C70">
        <w:rPr>
          <w:rFonts w:cstheme="minorHAnsi"/>
          <w:color w:val="000000"/>
          <w:sz w:val="24"/>
          <w:szCs w:val="24"/>
          <w:shd w:val="clear" w:color="auto" w:fill="FFFFFF"/>
        </w:rPr>
        <w:t>30(4):733-8.</w:t>
      </w:r>
      <w:r w:rsidRPr="008A4C70">
        <w:rPr>
          <w:rFonts w:cstheme="minorHAnsi"/>
          <w:noProof/>
          <w:sz w:val="24"/>
          <w:szCs w:val="24"/>
        </w:rPr>
        <w:t xml:space="preserve"> </w:t>
      </w:r>
    </w:p>
    <w:p w14:paraId="0C71254B" w14:textId="444B46C4" w:rsidR="00564100" w:rsidRPr="00564100" w:rsidRDefault="00564100" w:rsidP="00564100">
      <w:pPr>
        <w:widowControl w:val="0"/>
        <w:autoSpaceDE w:val="0"/>
        <w:autoSpaceDN w:val="0"/>
        <w:adjustRightInd w:val="0"/>
        <w:spacing w:line="360" w:lineRule="auto"/>
        <w:ind w:left="480" w:hanging="480"/>
        <w:rPr>
          <w:rFonts w:ascii="Calibri" w:hAnsi="Calibri" w:cs="Calibri"/>
          <w:noProof/>
          <w:sz w:val="24"/>
          <w:szCs w:val="24"/>
        </w:rPr>
      </w:pPr>
      <w:r w:rsidRPr="00564100">
        <w:rPr>
          <w:rFonts w:ascii="Calibri" w:hAnsi="Calibri" w:cs="Calibri"/>
          <w:noProof/>
          <w:sz w:val="24"/>
          <w:szCs w:val="24"/>
        </w:rPr>
        <w:t xml:space="preserve">Tan W-F, Steadman RH, Farmer DG, Hong JC, Busuttil RW, Apinyachon W, Xia VW. Pretransplant neurological presentation and severe posttransplant brain injury in patients with acute liver failure. Transplantation 2012;94:768–74. </w:t>
      </w:r>
    </w:p>
    <w:p w14:paraId="6BB06983" w14:textId="77777777" w:rsidR="00564100" w:rsidRPr="00564100" w:rsidRDefault="00564100" w:rsidP="00564100">
      <w:pPr>
        <w:widowControl w:val="0"/>
        <w:autoSpaceDE w:val="0"/>
        <w:autoSpaceDN w:val="0"/>
        <w:adjustRightInd w:val="0"/>
        <w:spacing w:line="360" w:lineRule="auto"/>
        <w:ind w:left="480" w:hanging="480"/>
        <w:rPr>
          <w:rFonts w:ascii="Calibri" w:hAnsi="Calibri" w:cs="Calibri"/>
          <w:noProof/>
          <w:sz w:val="24"/>
          <w:szCs w:val="24"/>
        </w:rPr>
      </w:pPr>
      <w:r w:rsidRPr="00564100">
        <w:rPr>
          <w:rFonts w:ascii="Calibri" w:hAnsi="Calibri" w:cs="Calibri"/>
          <w:noProof/>
          <w:sz w:val="24"/>
          <w:szCs w:val="24"/>
        </w:rPr>
        <w:t xml:space="preserve">Tegeler CH, Crutchfield K, Katsnelson M, Kim J, Tang R, Passmore Griffin L, Rundek T, Evans G. Transcranial doppler velocities in a large, healthy population. J Neuroimaging 2013;23:466–472. </w:t>
      </w:r>
    </w:p>
    <w:p w14:paraId="69CCBA6D" w14:textId="16E69C08" w:rsidR="00564100" w:rsidRPr="00564100" w:rsidRDefault="00564100" w:rsidP="00564100">
      <w:pPr>
        <w:widowControl w:val="0"/>
        <w:autoSpaceDE w:val="0"/>
        <w:autoSpaceDN w:val="0"/>
        <w:adjustRightInd w:val="0"/>
        <w:spacing w:line="360" w:lineRule="auto"/>
        <w:ind w:left="480" w:hanging="480"/>
        <w:rPr>
          <w:rFonts w:ascii="Calibri" w:hAnsi="Calibri" w:cs="Calibri"/>
          <w:noProof/>
          <w:sz w:val="24"/>
          <w:szCs w:val="24"/>
        </w:rPr>
      </w:pPr>
      <w:r w:rsidRPr="00564100">
        <w:rPr>
          <w:rFonts w:ascii="Calibri" w:hAnsi="Calibri" w:cs="Calibri"/>
          <w:noProof/>
          <w:sz w:val="24"/>
          <w:szCs w:val="24"/>
        </w:rPr>
        <w:t xml:space="preserve">Varsos G V., Richards H, Kasprowicz M, Budohoski KP, Brady KM, Reinhard M, Avolio A, </w:t>
      </w:r>
      <w:r w:rsidRPr="00564100">
        <w:rPr>
          <w:rFonts w:ascii="Calibri" w:hAnsi="Calibri" w:cs="Calibri"/>
          <w:noProof/>
          <w:sz w:val="24"/>
          <w:szCs w:val="24"/>
        </w:rPr>
        <w:lastRenderedPageBreak/>
        <w:t xml:space="preserve">Smielewski P, Pickard JD, Czosnyka M. Critical closing pressure determined with a model of cerebrovascular impedance. J Cereb Blood Flow Metab 2013;33:235–43. </w:t>
      </w:r>
    </w:p>
    <w:p w14:paraId="6E18E0E7" w14:textId="77777777" w:rsidR="00564100" w:rsidRPr="00564100" w:rsidRDefault="00564100" w:rsidP="00564100">
      <w:pPr>
        <w:widowControl w:val="0"/>
        <w:autoSpaceDE w:val="0"/>
        <w:autoSpaceDN w:val="0"/>
        <w:adjustRightInd w:val="0"/>
        <w:spacing w:line="360" w:lineRule="auto"/>
        <w:ind w:left="480" w:hanging="480"/>
        <w:rPr>
          <w:rFonts w:ascii="Calibri" w:hAnsi="Calibri" w:cs="Calibri"/>
          <w:noProof/>
          <w:sz w:val="24"/>
          <w:szCs w:val="24"/>
        </w:rPr>
      </w:pPr>
      <w:r w:rsidRPr="00564100">
        <w:rPr>
          <w:rFonts w:ascii="Calibri" w:hAnsi="Calibri" w:cs="Calibri"/>
          <w:noProof/>
          <w:sz w:val="24"/>
          <w:szCs w:val="24"/>
        </w:rPr>
        <w:t xml:space="preserve">Varsos G V., Richards HK, Kasprowicz M, Reinhard M, Smielewski P, Brady KM, Pickard JD, Czosnyka M. Cessation of diastolic cerebral blood flow velocity: The role of critical closing pressure. Neurocrit Care 2014;20:40–48. </w:t>
      </w:r>
    </w:p>
    <w:p w14:paraId="4B79010B" w14:textId="20070596" w:rsidR="00564100" w:rsidRPr="00564100" w:rsidRDefault="00564100" w:rsidP="00564100">
      <w:pPr>
        <w:widowControl w:val="0"/>
        <w:autoSpaceDE w:val="0"/>
        <w:autoSpaceDN w:val="0"/>
        <w:adjustRightInd w:val="0"/>
        <w:spacing w:line="360" w:lineRule="auto"/>
        <w:ind w:left="480" w:hanging="480"/>
        <w:rPr>
          <w:rFonts w:ascii="Calibri" w:hAnsi="Calibri" w:cs="Calibri"/>
          <w:noProof/>
          <w:sz w:val="24"/>
        </w:rPr>
      </w:pPr>
      <w:r w:rsidRPr="00564100">
        <w:rPr>
          <w:rFonts w:ascii="Calibri" w:hAnsi="Calibri" w:cs="Calibri"/>
          <w:noProof/>
          <w:sz w:val="24"/>
          <w:szCs w:val="24"/>
        </w:rPr>
        <w:t xml:space="preserve">Vickers C, Neuberger J, Buckels J, McMaster P, Elias E. Transplantation of the liver in adults and children with fulminant hepatic failure. J Hepatol 1988;7:143–50. </w:t>
      </w:r>
    </w:p>
    <w:p w14:paraId="1F5DCB01" w14:textId="15126E6B" w:rsidR="00FB2FE1" w:rsidRPr="003D0C88" w:rsidRDefault="00FB2FE1" w:rsidP="00464A24">
      <w:pPr>
        <w:widowControl w:val="0"/>
        <w:autoSpaceDE w:val="0"/>
        <w:autoSpaceDN w:val="0"/>
        <w:adjustRightInd w:val="0"/>
        <w:spacing w:line="360" w:lineRule="auto"/>
        <w:ind w:left="640" w:hanging="640"/>
        <w:rPr>
          <w:rFonts w:cstheme="minorHAnsi"/>
          <w:sz w:val="24"/>
          <w:szCs w:val="24"/>
        </w:rPr>
      </w:pPr>
      <w:r w:rsidRPr="003D0C88">
        <w:rPr>
          <w:rFonts w:cstheme="minorHAnsi"/>
          <w:sz w:val="24"/>
          <w:szCs w:val="24"/>
        </w:rPr>
        <w:fldChar w:fldCharType="end"/>
      </w:r>
    </w:p>
    <w:p w14:paraId="6C419FF4" w14:textId="77777777" w:rsidR="00FB2FE1" w:rsidRPr="003D0C88" w:rsidRDefault="00FB2FE1" w:rsidP="00EF3E56">
      <w:pPr>
        <w:spacing w:line="360" w:lineRule="auto"/>
        <w:jc w:val="both"/>
        <w:rPr>
          <w:rFonts w:cstheme="minorHAnsi"/>
          <w:sz w:val="24"/>
          <w:szCs w:val="24"/>
        </w:rPr>
      </w:pPr>
    </w:p>
    <w:p w14:paraId="2CA2557E" w14:textId="77777777" w:rsidR="003827C5" w:rsidRPr="003D0C88" w:rsidRDefault="003827C5" w:rsidP="00EF3E56">
      <w:pPr>
        <w:spacing w:line="360" w:lineRule="auto"/>
        <w:jc w:val="both"/>
        <w:rPr>
          <w:rFonts w:cstheme="minorHAnsi"/>
          <w:sz w:val="24"/>
          <w:szCs w:val="24"/>
        </w:rPr>
      </w:pPr>
    </w:p>
    <w:p w14:paraId="657CC867" w14:textId="77777777" w:rsidR="003C44AE" w:rsidRPr="003D0C88" w:rsidRDefault="003C44AE" w:rsidP="00EF3E56">
      <w:pPr>
        <w:spacing w:line="360" w:lineRule="auto"/>
        <w:jc w:val="both"/>
        <w:rPr>
          <w:rFonts w:cstheme="minorHAnsi"/>
          <w:sz w:val="24"/>
          <w:szCs w:val="24"/>
        </w:rPr>
        <w:sectPr w:rsidR="003C44AE" w:rsidRPr="003D0C88" w:rsidSect="002467DE">
          <w:headerReference w:type="default" r:id="rId8"/>
          <w:footerReference w:type="default" r:id="rId9"/>
          <w:pgSz w:w="11906" w:h="16838"/>
          <w:pgMar w:top="1440" w:right="1440" w:bottom="1440" w:left="1440" w:header="708" w:footer="708" w:gutter="0"/>
          <w:lnNumType w:countBy="1" w:restart="continuous"/>
          <w:cols w:space="708"/>
          <w:docGrid w:linePitch="360"/>
        </w:sectPr>
      </w:pPr>
    </w:p>
    <w:p w14:paraId="7F210CD4" w14:textId="77777777" w:rsidR="003C44AE" w:rsidRPr="003D0C88" w:rsidRDefault="003827C5" w:rsidP="00EF3E56">
      <w:pPr>
        <w:spacing w:line="360" w:lineRule="auto"/>
        <w:jc w:val="both"/>
        <w:rPr>
          <w:rFonts w:cstheme="minorHAnsi"/>
          <w:b/>
          <w:sz w:val="24"/>
          <w:szCs w:val="24"/>
        </w:rPr>
      </w:pPr>
      <w:r w:rsidRPr="003D0C88">
        <w:rPr>
          <w:rFonts w:cstheme="minorHAnsi"/>
          <w:b/>
          <w:sz w:val="24"/>
          <w:szCs w:val="24"/>
        </w:rPr>
        <w:lastRenderedPageBreak/>
        <w:t>Tables</w:t>
      </w:r>
    </w:p>
    <w:p w14:paraId="31F6130F" w14:textId="77777777" w:rsidR="00C6634A" w:rsidRPr="003D0C88" w:rsidRDefault="00C6634A" w:rsidP="00EF3E56">
      <w:pPr>
        <w:spacing w:line="360" w:lineRule="auto"/>
        <w:jc w:val="both"/>
        <w:rPr>
          <w:rFonts w:cstheme="minorHAnsi"/>
          <w:b/>
          <w:sz w:val="24"/>
          <w:szCs w:val="24"/>
        </w:rPr>
      </w:pPr>
    </w:p>
    <w:p w14:paraId="4845EB9C" w14:textId="77777777" w:rsidR="00C6634A" w:rsidRPr="003D0C88" w:rsidRDefault="00C6634A" w:rsidP="008610EB">
      <w:pPr>
        <w:pStyle w:val="Caption"/>
        <w:keepNext/>
        <w:jc w:val="center"/>
        <w:rPr>
          <w:rFonts w:cstheme="minorHAnsi"/>
          <w:sz w:val="24"/>
          <w:szCs w:val="24"/>
        </w:rPr>
      </w:pPr>
      <w:r w:rsidRPr="003D0C88">
        <w:rPr>
          <w:rFonts w:cstheme="minorHAnsi"/>
          <w:sz w:val="24"/>
          <w:szCs w:val="24"/>
        </w:rPr>
        <w:t xml:space="preserve">Table </w:t>
      </w:r>
      <w:r w:rsidR="00464A24" w:rsidRPr="003D0C88">
        <w:rPr>
          <w:rFonts w:cstheme="minorHAnsi"/>
          <w:sz w:val="24"/>
          <w:szCs w:val="24"/>
        </w:rPr>
        <w:fldChar w:fldCharType="begin"/>
      </w:r>
      <w:r w:rsidR="00464A24" w:rsidRPr="003D0C88">
        <w:rPr>
          <w:rFonts w:cstheme="minorHAnsi"/>
          <w:sz w:val="24"/>
          <w:szCs w:val="24"/>
        </w:rPr>
        <w:instrText xml:space="preserve"> SEQ Table \* ARABIC </w:instrText>
      </w:r>
      <w:r w:rsidR="00464A24" w:rsidRPr="003D0C88">
        <w:rPr>
          <w:rFonts w:cstheme="minorHAnsi"/>
          <w:sz w:val="24"/>
          <w:szCs w:val="24"/>
        </w:rPr>
        <w:fldChar w:fldCharType="separate"/>
      </w:r>
      <w:r w:rsidR="006D5989" w:rsidRPr="003D0C88">
        <w:rPr>
          <w:rFonts w:cstheme="minorHAnsi"/>
          <w:noProof/>
          <w:sz w:val="24"/>
          <w:szCs w:val="24"/>
        </w:rPr>
        <w:t>1</w:t>
      </w:r>
      <w:r w:rsidR="00464A24" w:rsidRPr="003D0C88">
        <w:rPr>
          <w:rFonts w:cstheme="minorHAnsi"/>
          <w:noProof/>
          <w:sz w:val="24"/>
          <w:szCs w:val="24"/>
        </w:rPr>
        <w:fldChar w:fldCharType="end"/>
      </w:r>
      <w:r w:rsidRPr="003D0C88">
        <w:rPr>
          <w:rFonts w:cstheme="minorHAnsi"/>
          <w:sz w:val="24"/>
          <w:szCs w:val="24"/>
        </w:rPr>
        <w:t xml:space="preserve">. Patients demographics and acute liver failure </w:t>
      </w:r>
      <w:r w:rsidR="001A5827" w:rsidRPr="003D0C88">
        <w:rPr>
          <w:rFonts w:cstheme="minorHAnsi"/>
          <w:sz w:val="24"/>
          <w:szCs w:val="24"/>
        </w:rPr>
        <w:t>aetiology</w:t>
      </w:r>
      <w:r w:rsidRPr="003D0C88">
        <w:rPr>
          <w:rFonts w:cstheme="minorHAnsi"/>
          <w:sz w:val="24"/>
          <w:szCs w:val="24"/>
        </w:rPr>
        <w:t>.</w:t>
      </w:r>
    </w:p>
    <w:tbl>
      <w:tblPr>
        <w:tblW w:w="6237" w:type="dxa"/>
        <w:jc w:val="center"/>
        <w:tblLook w:val="04A0" w:firstRow="1" w:lastRow="0" w:firstColumn="1" w:lastColumn="0" w:noHBand="0" w:noVBand="1"/>
      </w:tblPr>
      <w:tblGrid>
        <w:gridCol w:w="960"/>
        <w:gridCol w:w="960"/>
        <w:gridCol w:w="960"/>
        <w:gridCol w:w="3357"/>
      </w:tblGrid>
      <w:tr w:rsidR="00C6634A" w:rsidRPr="00BC4414" w14:paraId="1C6C6F56" w14:textId="77777777" w:rsidTr="008610EB">
        <w:trPr>
          <w:trHeight w:val="288"/>
          <w:jc w:val="center"/>
        </w:trPr>
        <w:tc>
          <w:tcPr>
            <w:tcW w:w="960" w:type="dxa"/>
            <w:tcBorders>
              <w:top w:val="nil"/>
              <w:left w:val="nil"/>
              <w:bottom w:val="single" w:sz="4" w:space="0" w:color="auto"/>
              <w:right w:val="single" w:sz="4" w:space="0" w:color="auto"/>
            </w:tcBorders>
            <w:shd w:val="clear" w:color="auto" w:fill="auto"/>
            <w:noWrap/>
            <w:vAlign w:val="bottom"/>
            <w:hideMark/>
          </w:tcPr>
          <w:p w14:paraId="3D6C8C40" w14:textId="77777777" w:rsidR="00C6634A" w:rsidRPr="00BC4414" w:rsidRDefault="00C6634A" w:rsidP="00C6634A">
            <w:pPr>
              <w:spacing w:after="0" w:line="240" w:lineRule="auto"/>
              <w:jc w:val="center"/>
              <w:rPr>
                <w:rFonts w:eastAsia="Times New Roman" w:cstheme="minorHAnsi"/>
                <w:b/>
                <w:bCs/>
                <w:color w:val="000000"/>
                <w:szCs w:val="24"/>
                <w:lang w:eastAsia="en-GB"/>
              </w:rPr>
            </w:pPr>
            <w:r w:rsidRPr="00BC4414">
              <w:rPr>
                <w:rFonts w:eastAsia="Times New Roman" w:cstheme="minorHAnsi"/>
                <w:b/>
                <w:bCs/>
                <w:color w:val="000000"/>
                <w:szCs w:val="24"/>
                <w:lang w:eastAsia="en-GB"/>
              </w:rPr>
              <w:t>Patient</w:t>
            </w:r>
          </w:p>
        </w:tc>
        <w:tc>
          <w:tcPr>
            <w:tcW w:w="960" w:type="dxa"/>
            <w:tcBorders>
              <w:top w:val="nil"/>
              <w:left w:val="nil"/>
              <w:bottom w:val="single" w:sz="4" w:space="0" w:color="auto"/>
              <w:right w:val="single" w:sz="4" w:space="0" w:color="auto"/>
            </w:tcBorders>
            <w:shd w:val="clear" w:color="auto" w:fill="auto"/>
            <w:noWrap/>
            <w:vAlign w:val="bottom"/>
            <w:hideMark/>
          </w:tcPr>
          <w:p w14:paraId="084D3F28" w14:textId="77777777" w:rsidR="00C6634A" w:rsidRPr="00BC4414" w:rsidRDefault="00C6634A" w:rsidP="00C6634A">
            <w:pPr>
              <w:spacing w:after="0" w:line="240" w:lineRule="auto"/>
              <w:jc w:val="center"/>
              <w:rPr>
                <w:rFonts w:eastAsia="Times New Roman" w:cstheme="minorHAnsi"/>
                <w:b/>
                <w:bCs/>
                <w:color w:val="000000"/>
                <w:szCs w:val="24"/>
                <w:lang w:eastAsia="en-GB"/>
              </w:rPr>
            </w:pPr>
            <w:r w:rsidRPr="00BC4414">
              <w:rPr>
                <w:rFonts w:eastAsia="Times New Roman" w:cstheme="minorHAnsi"/>
                <w:b/>
                <w:bCs/>
                <w:color w:val="000000"/>
                <w:szCs w:val="24"/>
                <w:lang w:eastAsia="en-GB"/>
              </w:rPr>
              <w:t>Age</w:t>
            </w:r>
          </w:p>
        </w:tc>
        <w:tc>
          <w:tcPr>
            <w:tcW w:w="960" w:type="dxa"/>
            <w:tcBorders>
              <w:top w:val="nil"/>
              <w:left w:val="nil"/>
              <w:bottom w:val="single" w:sz="4" w:space="0" w:color="auto"/>
              <w:right w:val="single" w:sz="4" w:space="0" w:color="auto"/>
            </w:tcBorders>
            <w:shd w:val="clear" w:color="auto" w:fill="auto"/>
            <w:noWrap/>
            <w:vAlign w:val="bottom"/>
            <w:hideMark/>
          </w:tcPr>
          <w:p w14:paraId="167C9516" w14:textId="77777777" w:rsidR="00C6634A" w:rsidRPr="00BC4414" w:rsidRDefault="00C6634A" w:rsidP="00C6634A">
            <w:pPr>
              <w:spacing w:after="0" w:line="240" w:lineRule="auto"/>
              <w:jc w:val="center"/>
              <w:rPr>
                <w:rFonts w:eastAsia="Times New Roman" w:cstheme="minorHAnsi"/>
                <w:b/>
                <w:bCs/>
                <w:color w:val="000000"/>
                <w:szCs w:val="24"/>
                <w:lang w:eastAsia="en-GB"/>
              </w:rPr>
            </w:pPr>
            <w:r w:rsidRPr="00BC4414">
              <w:rPr>
                <w:rFonts w:eastAsia="Times New Roman" w:cstheme="minorHAnsi"/>
                <w:b/>
                <w:bCs/>
                <w:color w:val="000000"/>
                <w:szCs w:val="24"/>
                <w:lang w:eastAsia="en-GB"/>
              </w:rPr>
              <w:t>Sex</w:t>
            </w:r>
          </w:p>
        </w:tc>
        <w:tc>
          <w:tcPr>
            <w:tcW w:w="3357" w:type="dxa"/>
            <w:tcBorders>
              <w:top w:val="nil"/>
              <w:left w:val="nil"/>
              <w:bottom w:val="single" w:sz="4" w:space="0" w:color="auto"/>
              <w:right w:val="nil"/>
            </w:tcBorders>
            <w:shd w:val="clear" w:color="auto" w:fill="auto"/>
            <w:noWrap/>
            <w:vAlign w:val="bottom"/>
            <w:hideMark/>
          </w:tcPr>
          <w:p w14:paraId="44701F45" w14:textId="77777777" w:rsidR="00C6634A" w:rsidRPr="00BC4414" w:rsidRDefault="00C6634A" w:rsidP="00C6634A">
            <w:pPr>
              <w:spacing w:after="0" w:line="240" w:lineRule="auto"/>
              <w:jc w:val="center"/>
              <w:rPr>
                <w:rFonts w:eastAsia="Times New Roman" w:cstheme="minorHAnsi"/>
                <w:b/>
                <w:bCs/>
                <w:color w:val="000000"/>
                <w:szCs w:val="24"/>
                <w:lang w:eastAsia="en-GB"/>
              </w:rPr>
            </w:pPr>
            <w:r w:rsidRPr="00BC4414">
              <w:rPr>
                <w:rFonts w:eastAsia="Times New Roman" w:cstheme="minorHAnsi"/>
                <w:b/>
                <w:bCs/>
                <w:color w:val="000000"/>
                <w:szCs w:val="24"/>
                <w:lang w:eastAsia="en-GB"/>
              </w:rPr>
              <w:t xml:space="preserve">ALF </w:t>
            </w:r>
            <w:r w:rsidR="001A5827" w:rsidRPr="00BC4414">
              <w:rPr>
                <w:rFonts w:eastAsia="Times New Roman" w:cstheme="minorHAnsi"/>
                <w:b/>
                <w:bCs/>
                <w:color w:val="000000"/>
                <w:szCs w:val="24"/>
                <w:lang w:eastAsia="en-GB"/>
              </w:rPr>
              <w:t>aetiology</w:t>
            </w:r>
          </w:p>
        </w:tc>
      </w:tr>
      <w:tr w:rsidR="00C6634A" w:rsidRPr="00BC4414" w14:paraId="4236915D" w14:textId="77777777" w:rsidTr="008610EB">
        <w:trPr>
          <w:trHeight w:val="288"/>
          <w:jc w:val="center"/>
        </w:trPr>
        <w:tc>
          <w:tcPr>
            <w:tcW w:w="960" w:type="dxa"/>
            <w:tcBorders>
              <w:top w:val="nil"/>
              <w:left w:val="nil"/>
              <w:bottom w:val="nil"/>
              <w:right w:val="single" w:sz="4" w:space="0" w:color="auto"/>
            </w:tcBorders>
            <w:shd w:val="clear" w:color="auto" w:fill="auto"/>
            <w:noWrap/>
            <w:vAlign w:val="bottom"/>
            <w:hideMark/>
          </w:tcPr>
          <w:p w14:paraId="06F804D9" w14:textId="77777777" w:rsidR="00C6634A" w:rsidRPr="00BC4414" w:rsidRDefault="00C6634A" w:rsidP="00C6634A">
            <w:pPr>
              <w:spacing w:after="0" w:line="240" w:lineRule="auto"/>
              <w:jc w:val="center"/>
              <w:rPr>
                <w:rFonts w:eastAsia="Times New Roman" w:cstheme="minorHAnsi"/>
                <w:b/>
                <w:bCs/>
                <w:color w:val="000000"/>
                <w:szCs w:val="24"/>
                <w:lang w:eastAsia="en-GB"/>
              </w:rPr>
            </w:pPr>
            <w:r w:rsidRPr="00BC4414">
              <w:rPr>
                <w:rFonts w:eastAsia="Times New Roman" w:cstheme="minorHAnsi"/>
                <w:b/>
                <w:bCs/>
                <w:color w:val="000000"/>
                <w:szCs w:val="24"/>
                <w:lang w:eastAsia="en-GB"/>
              </w:rPr>
              <w:t>1</w:t>
            </w:r>
          </w:p>
        </w:tc>
        <w:tc>
          <w:tcPr>
            <w:tcW w:w="960" w:type="dxa"/>
            <w:tcBorders>
              <w:top w:val="nil"/>
              <w:left w:val="nil"/>
              <w:bottom w:val="nil"/>
              <w:right w:val="single" w:sz="4" w:space="0" w:color="auto"/>
            </w:tcBorders>
            <w:shd w:val="clear" w:color="auto" w:fill="auto"/>
            <w:noWrap/>
            <w:vAlign w:val="bottom"/>
            <w:hideMark/>
          </w:tcPr>
          <w:p w14:paraId="73DE9AB2" w14:textId="77777777" w:rsidR="00C6634A" w:rsidRPr="00BC4414" w:rsidRDefault="00C6634A" w:rsidP="00C6634A">
            <w:pPr>
              <w:spacing w:after="0" w:line="240" w:lineRule="auto"/>
              <w:jc w:val="center"/>
              <w:rPr>
                <w:rFonts w:eastAsia="Times New Roman" w:cstheme="minorHAnsi"/>
                <w:color w:val="000000"/>
                <w:szCs w:val="24"/>
                <w:lang w:eastAsia="en-GB"/>
              </w:rPr>
            </w:pPr>
            <w:r w:rsidRPr="00BC4414">
              <w:rPr>
                <w:rFonts w:eastAsia="Times New Roman" w:cstheme="minorHAnsi"/>
                <w:color w:val="000000"/>
                <w:szCs w:val="24"/>
                <w:lang w:eastAsia="en-GB"/>
              </w:rPr>
              <w:t>51</w:t>
            </w:r>
          </w:p>
        </w:tc>
        <w:tc>
          <w:tcPr>
            <w:tcW w:w="960" w:type="dxa"/>
            <w:tcBorders>
              <w:top w:val="nil"/>
              <w:left w:val="nil"/>
              <w:bottom w:val="nil"/>
              <w:right w:val="single" w:sz="4" w:space="0" w:color="auto"/>
            </w:tcBorders>
            <w:shd w:val="clear" w:color="auto" w:fill="auto"/>
            <w:noWrap/>
            <w:vAlign w:val="bottom"/>
            <w:hideMark/>
          </w:tcPr>
          <w:p w14:paraId="3DE1A2C3" w14:textId="77777777" w:rsidR="00C6634A" w:rsidRPr="00BC4414" w:rsidRDefault="00C6634A" w:rsidP="00C6634A">
            <w:pPr>
              <w:spacing w:after="0" w:line="240" w:lineRule="auto"/>
              <w:jc w:val="center"/>
              <w:rPr>
                <w:rFonts w:eastAsia="Times New Roman" w:cstheme="minorHAnsi"/>
                <w:color w:val="000000"/>
                <w:szCs w:val="24"/>
                <w:lang w:eastAsia="en-GB"/>
              </w:rPr>
            </w:pPr>
            <w:r w:rsidRPr="00BC4414">
              <w:rPr>
                <w:rFonts w:eastAsia="Times New Roman" w:cstheme="minorHAnsi"/>
                <w:color w:val="000000"/>
                <w:szCs w:val="24"/>
                <w:lang w:eastAsia="en-GB"/>
              </w:rPr>
              <w:t>M</w:t>
            </w:r>
          </w:p>
        </w:tc>
        <w:tc>
          <w:tcPr>
            <w:tcW w:w="3357" w:type="dxa"/>
            <w:tcBorders>
              <w:top w:val="nil"/>
              <w:left w:val="nil"/>
              <w:bottom w:val="nil"/>
              <w:right w:val="nil"/>
            </w:tcBorders>
            <w:shd w:val="clear" w:color="auto" w:fill="auto"/>
            <w:noWrap/>
            <w:vAlign w:val="bottom"/>
            <w:hideMark/>
          </w:tcPr>
          <w:p w14:paraId="142DF5AC" w14:textId="77777777" w:rsidR="00C6634A" w:rsidRPr="00BC4414" w:rsidRDefault="00C6634A" w:rsidP="00C6634A">
            <w:pPr>
              <w:spacing w:after="0" w:line="240" w:lineRule="auto"/>
              <w:jc w:val="center"/>
              <w:rPr>
                <w:rFonts w:eastAsia="Times New Roman" w:cstheme="minorHAnsi"/>
                <w:color w:val="222222"/>
                <w:szCs w:val="24"/>
                <w:lang w:eastAsia="en-GB"/>
              </w:rPr>
            </w:pPr>
            <w:r w:rsidRPr="00BC4414">
              <w:rPr>
                <w:rFonts w:eastAsia="Times New Roman" w:cstheme="minorHAnsi"/>
                <w:color w:val="222222"/>
                <w:szCs w:val="24"/>
                <w:lang w:eastAsia="en-GB"/>
              </w:rPr>
              <w:t xml:space="preserve">ArLD/HCV </w:t>
            </w:r>
          </w:p>
        </w:tc>
      </w:tr>
      <w:tr w:rsidR="00C6634A" w:rsidRPr="00BC4414" w14:paraId="44BC97EC" w14:textId="77777777" w:rsidTr="008610EB">
        <w:trPr>
          <w:trHeight w:val="288"/>
          <w:jc w:val="center"/>
        </w:trPr>
        <w:tc>
          <w:tcPr>
            <w:tcW w:w="960" w:type="dxa"/>
            <w:tcBorders>
              <w:top w:val="nil"/>
              <w:left w:val="nil"/>
              <w:bottom w:val="nil"/>
              <w:right w:val="single" w:sz="4" w:space="0" w:color="auto"/>
            </w:tcBorders>
            <w:shd w:val="clear" w:color="auto" w:fill="auto"/>
            <w:noWrap/>
            <w:vAlign w:val="bottom"/>
            <w:hideMark/>
          </w:tcPr>
          <w:p w14:paraId="42737A5F" w14:textId="77777777" w:rsidR="00C6634A" w:rsidRPr="00BC4414" w:rsidRDefault="00C6634A" w:rsidP="00C6634A">
            <w:pPr>
              <w:spacing w:after="0" w:line="240" w:lineRule="auto"/>
              <w:jc w:val="center"/>
              <w:rPr>
                <w:rFonts w:eastAsia="Times New Roman" w:cstheme="minorHAnsi"/>
                <w:b/>
                <w:bCs/>
                <w:color w:val="000000"/>
                <w:szCs w:val="24"/>
                <w:lang w:eastAsia="en-GB"/>
              </w:rPr>
            </w:pPr>
            <w:r w:rsidRPr="00BC4414">
              <w:rPr>
                <w:rFonts w:eastAsia="Times New Roman" w:cstheme="minorHAnsi"/>
                <w:b/>
                <w:bCs/>
                <w:color w:val="000000"/>
                <w:szCs w:val="24"/>
                <w:lang w:eastAsia="en-GB"/>
              </w:rPr>
              <w:t>2</w:t>
            </w:r>
          </w:p>
        </w:tc>
        <w:tc>
          <w:tcPr>
            <w:tcW w:w="960" w:type="dxa"/>
            <w:tcBorders>
              <w:top w:val="nil"/>
              <w:left w:val="nil"/>
              <w:bottom w:val="nil"/>
              <w:right w:val="single" w:sz="4" w:space="0" w:color="auto"/>
            </w:tcBorders>
            <w:shd w:val="clear" w:color="auto" w:fill="auto"/>
            <w:noWrap/>
            <w:vAlign w:val="bottom"/>
            <w:hideMark/>
          </w:tcPr>
          <w:p w14:paraId="632A6354" w14:textId="77777777" w:rsidR="00C6634A" w:rsidRPr="00BC4414" w:rsidRDefault="00C6634A" w:rsidP="00C6634A">
            <w:pPr>
              <w:spacing w:after="0" w:line="240" w:lineRule="auto"/>
              <w:jc w:val="center"/>
              <w:rPr>
                <w:rFonts w:eastAsia="Times New Roman" w:cstheme="minorHAnsi"/>
                <w:color w:val="000000"/>
                <w:szCs w:val="24"/>
                <w:lang w:eastAsia="en-GB"/>
              </w:rPr>
            </w:pPr>
            <w:r w:rsidRPr="00BC4414">
              <w:rPr>
                <w:rFonts w:eastAsia="Times New Roman" w:cstheme="minorHAnsi"/>
                <w:color w:val="000000"/>
                <w:szCs w:val="24"/>
                <w:lang w:eastAsia="en-GB"/>
              </w:rPr>
              <w:t>60</w:t>
            </w:r>
          </w:p>
        </w:tc>
        <w:tc>
          <w:tcPr>
            <w:tcW w:w="960" w:type="dxa"/>
            <w:tcBorders>
              <w:top w:val="nil"/>
              <w:left w:val="nil"/>
              <w:bottom w:val="nil"/>
              <w:right w:val="single" w:sz="4" w:space="0" w:color="auto"/>
            </w:tcBorders>
            <w:shd w:val="clear" w:color="auto" w:fill="auto"/>
            <w:noWrap/>
            <w:vAlign w:val="bottom"/>
            <w:hideMark/>
          </w:tcPr>
          <w:p w14:paraId="6C317F08" w14:textId="77777777" w:rsidR="00C6634A" w:rsidRPr="00BC4414" w:rsidRDefault="00C6634A" w:rsidP="00C6634A">
            <w:pPr>
              <w:spacing w:after="0" w:line="240" w:lineRule="auto"/>
              <w:jc w:val="center"/>
              <w:rPr>
                <w:rFonts w:eastAsia="Times New Roman" w:cstheme="minorHAnsi"/>
                <w:color w:val="000000"/>
                <w:szCs w:val="24"/>
                <w:lang w:eastAsia="en-GB"/>
              </w:rPr>
            </w:pPr>
            <w:r w:rsidRPr="00BC4414">
              <w:rPr>
                <w:rFonts w:eastAsia="Times New Roman" w:cstheme="minorHAnsi"/>
                <w:color w:val="000000"/>
                <w:szCs w:val="24"/>
                <w:lang w:eastAsia="en-GB"/>
              </w:rPr>
              <w:t>M</w:t>
            </w:r>
          </w:p>
        </w:tc>
        <w:tc>
          <w:tcPr>
            <w:tcW w:w="3357" w:type="dxa"/>
            <w:tcBorders>
              <w:top w:val="nil"/>
              <w:left w:val="nil"/>
              <w:bottom w:val="nil"/>
              <w:right w:val="nil"/>
            </w:tcBorders>
            <w:shd w:val="clear" w:color="auto" w:fill="auto"/>
            <w:noWrap/>
            <w:vAlign w:val="bottom"/>
            <w:hideMark/>
          </w:tcPr>
          <w:p w14:paraId="41E336DD" w14:textId="77777777" w:rsidR="00C6634A" w:rsidRPr="00BC4414" w:rsidRDefault="00C6634A" w:rsidP="00C6634A">
            <w:pPr>
              <w:spacing w:after="0" w:line="240" w:lineRule="auto"/>
              <w:jc w:val="center"/>
              <w:rPr>
                <w:rFonts w:eastAsia="Times New Roman" w:cstheme="minorHAnsi"/>
                <w:color w:val="222222"/>
                <w:szCs w:val="24"/>
                <w:lang w:eastAsia="en-GB"/>
              </w:rPr>
            </w:pPr>
            <w:r w:rsidRPr="00BC4414">
              <w:rPr>
                <w:rFonts w:eastAsia="Times New Roman" w:cstheme="minorHAnsi"/>
                <w:color w:val="222222"/>
                <w:szCs w:val="24"/>
                <w:lang w:eastAsia="en-GB"/>
              </w:rPr>
              <w:t>ArLD</w:t>
            </w:r>
          </w:p>
        </w:tc>
      </w:tr>
      <w:tr w:rsidR="00C6634A" w:rsidRPr="00BC4414" w14:paraId="7188C1E2" w14:textId="77777777" w:rsidTr="008610EB">
        <w:trPr>
          <w:trHeight w:val="288"/>
          <w:jc w:val="center"/>
        </w:trPr>
        <w:tc>
          <w:tcPr>
            <w:tcW w:w="960" w:type="dxa"/>
            <w:tcBorders>
              <w:top w:val="nil"/>
              <w:left w:val="nil"/>
              <w:bottom w:val="nil"/>
              <w:right w:val="single" w:sz="4" w:space="0" w:color="auto"/>
            </w:tcBorders>
            <w:shd w:val="clear" w:color="auto" w:fill="auto"/>
            <w:noWrap/>
            <w:vAlign w:val="bottom"/>
            <w:hideMark/>
          </w:tcPr>
          <w:p w14:paraId="121D1832" w14:textId="77777777" w:rsidR="00C6634A" w:rsidRPr="00BC4414" w:rsidRDefault="00C6634A" w:rsidP="00C6634A">
            <w:pPr>
              <w:spacing w:after="0" w:line="240" w:lineRule="auto"/>
              <w:jc w:val="center"/>
              <w:rPr>
                <w:rFonts w:eastAsia="Times New Roman" w:cstheme="minorHAnsi"/>
                <w:b/>
                <w:bCs/>
                <w:color w:val="000000"/>
                <w:szCs w:val="24"/>
                <w:lang w:eastAsia="en-GB"/>
              </w:rPr>
            </w:pPr>
            <w:r w:rsidRPr="00BC4414">
              <w:rPr>
                <w:rFonts w:eastAsia="Times New Roman" w:cstheme="minorHAnsi"/>
                <w:b/>
                <w:bCs/>
                <w:color w:val="000000"/>
                <w:szCs w:val="24"/>
                <w:lang w:eastAsia="en-GB"/>
              </w:rPr>
              <w:t>3</w:t>
            </w:r>
          </w:p>
        </w:tc>
        <w:tc>
          <w:tcPr>
            <w:tcW w:w="960" w:type="dxa"/>
            <w:tcBorders>
              <w:top w:val="nil"/>
              <w:left w:val="nil"/>
              <w:bottom w:val="nil"/>
              <w:right w:val="single" w:sz="4" w:space="0" w:color="auto"/>
            </w:tcBorders>
            <w:shd w:val="clear" w:color="auto" w:fill="auto"/>
            <w:noWrap/>
            <w:vAlign w:val="bottom"/>
            <w:hideMark/>
          </w:tcPr>
          <w:p w14:paraId="0135F961" w14:textId="77777777" w:rsidR="00C6634A" w:rsidRPr="00BC4414" w:rsidRDefault="00C6634A" w:rsidP="00C6634A">
            <w:pPr>
              <w:spacing w:after="0" w:line="240" w:lineRule="auto"/>
              <w:jc w:val="center"/>
              <w:rPr>
                <w:rFonts w:eastAsia="Times New Roman" w:cstheme="minorHAnsi"/>
                <w:color w:val="000000"/>
                <w:szCs w:val="24"/>
                <w:lang w:eastAsia="en-GB"/>
              </w:rPr>
            </w:pPr>
            <w:r w:rsidRPr="00BC4414">
              <w:rPr>
                <w:rFonts w:eastAsia="Times New Roman" w:cstheme="minorHAnsi"/>
                <w:color w:val="000000"/>
                <w:szCs w:val="24"/>
                <w:lang w:eastAsia="en-GB"/>
              </w:rPr>
              <w:t>51</w:t>
            </w:r>
          </w:p>
        </w:tc>
        <w:tc>
          <w:tcPr>
            <w:tcW w:w="960" w:type="dxa"/>
            <w:tcBorders>
              <w:top w:val="nil"/>
              <w:left w:val="nil"/>
              <w:bottom w:val="nil"/>
              <w:right w:val="single" w:sz="4" w:space="0" w:color="auto"/>
            </w:tcBorders>
            <w:shd w:val="clear" w:color="auto" w:fill="auto"/>
            <w:noWrap/>
            <w:vAlign w:val="bottom"/>
            <w:hideMark/>
          </w:tcPr>
          <w:p w14:paraId="0EACAF18" w14:textId="77777777" w:rsidR="00C6634A" w:rsidRPr="00BC4414" w:rsidRDefault="00C6634A" w:rsidP="00C6634A">
            <w:pPr>
              <w:spacing w:after="0" w:line="240" w:lineRule="auto"/>
              <w:jc w:val="center"/>
              <w:rPr>
                <w:rFonts w:eastAsia="Times New Roman" w:cstheme="minorHAnsi"/>
                <w:color w:val="000000"/>
                <w:szCs w:val="24"/>
                <w:lang w:eastAsia="en-GB"/>
              </w:rPr>
            </w:pPr>
            <w:r w:rsidRPr="00BC4414">
              <w:rPr>
                <w:rFonts w:eastAsia="Times New Roman" w:cstheme="minorHAnsi"/>
                <w:color w:val="000000"/>
                <w:szCs w:val="24"/>
                <w:lang w:eastAsia="en-GB"/>
              </w:rPr>
              <w:t>M</w:t>
            </w:r>
          </w:p>
        </w:tc>
        <w:tc>
          <w:tcPr>
            <w:tcW w:w="3357" w:type="dxa"/>
            <w:tcBorders>
              <w:top w:val="nil"/>
              <w:left w:val="nil"/>
              <w:bottom w:val="nil"/>
              <w:right w:val="nil"/>
            </w:tcBorders>
            <w:shd w:val="clear" w:color="auto" w:fill="auto"/>
            <w:noWrap/>
            <w:vAlign w:val="bottom"/>
            <w:hideMark/>
          </w:tcPr>
          <w:p w14:paraId="11C5EFAF" w14:textId="77777777" w:rsidR="00C6634A" w:rsidRPr="00BC4414" w:rsidRDefault="00C6634A" w:rsidP="00C6634A">
            <w:pPr>
              <w:spacing w:after="0" w:line="240" w:lineRule="auto"/>
              <w:jc w:val="center"/>
              <w:rPr>
                <w:rFonts w:eastAsia="Times New Roman" w:cstheme="minorHAnsi"/>
                <w:color w:val="222222"/>
                <w:szCs w:val="24"/>
                <w:lang w:eastAsia="en-GB"/>
              </w:rPr>
            </w:pPr>
            <w:r w:rsidRPr="00BC4414">
              <w:rPr>
                <w:rFonts w:eastAsia="Times New Roman" w:cstheme="minorHAnsi"/>
                <w:color w:val="222222"/>
                <w:szCs w:val="24"/>
                <w:lang w:eastAsia="en-GB"/>
              </w:rPr>
              <w:t xml:space="preserve">Cryptogenic cirrhosis (likely NASH) </w:t>
            </w:r>
          </w:p>
        </w:tc>
      </w:tr>
      <w:tr w:rsidR="00C6634A" w:rsidRPr="00BC4414" w14:paraId="6E912C8D" w14:textId="77777777" w:rsidTr="008610EB">
        <w:trPr>
          <w:trHeight w:val="288"/>
          <w:jc w:val="center"/>
        </w:trPr>
        <w:tc>
          <w:tcPr>
            <w:tcW w:w="960" w:type="dxa"/>
            <w:tcBorders>
              <w:top w:val="nil"/>
              <w:left w:val="nil"/>
              <w:bottom w:val="nil"/>
              <w:right w:val="single" w:sz="4" w:space="0" w:color="auto"/>
            </w:tcBorders>
            <w:shd w:val="clear" w:color="auto" w:fill="auto"/>
            <w:noWrap/>
            <w:vAlign w:val="bottom"/>
            <w:hideMark/>
          </w:tcPr>
          <w:p w14:paraId="2682F13A" w14:textId="77777777" w:rsidR="00C6634A" w:rsidRPr="00BC4414" w:rsidRDefault="00C6634A" w:rsidP="00C6634A">
            <w:pPr>
              <w:spacing w:after="0" w:line="240" w:lineRule="auto"/>
              <w:jc w:val="center"/>
              <w:rPr>
                <w:rFonts w:eastAsia="Times New Roman" w:cstheme="minorHAnsi"/>
                <w:b/>
                <w:bCs/>
                <w:color w:val="000000"/>
                <w:szCs w:val="24"/>
                <w:lang w:eastAsia="en-GB"/>
              </w:rPr>
            </w:pPr>
            <w:r w:rsidRPr="00BC4414">
              <w:rPr>
                <w:rFonts w:eastAsia="Times New Roman" w:cstheme="minorHAnsi"/>
                <w:b/>
                <w:bCs/>
                <w:color w:val="000000"/>
                <w:szCs w:val="24"/>
                <w:lang w:eastAsia="en-GB"/>
              </w:rPr>
              <w:t>4</w:t>
            </w:r>
          </w:p>
        </w:tc>
        <w:tc>
          <w:tcPr>
            <w:tcW w:w="960" w:type="dxa"/>
            <w:tcBorders>
              <w:top w:val="nil"/>
              <w:left w:val="nil"/>
              <w:bottom w:val="nil"/>
              <w:right w:val="single" w:sz="4" w:space="0" w:color="auto"/>
            </w:tcBorders>
            <w:shd w:val="clear" w:color="auto" w:fill="auto"/>
            <w:noWrap/>
            <w:vAlign w:val="bottom"/>
            <w:hideMark/>
          </w:tcPr>
          <w:p w14:paraId="086D1285" w14:textId="77777777" w:rsidR="00C6634A" w:rsidRPr="00BC4414" w:rsidRDefault="00C6634A" w:rsidP="00C6634A">
            <w:pPr>
              <w:spacing w:after="0" w:line="240" w:lineRule="auto"/>
              <w:jc w:val="center"/>
              <w:rPr>
                <w:rFonts w:eastAsia="Times New Roman" w:cstheme="minorHAnsi"/>
                <w:color w:val="000000"/>
                <w:szCs w:val="24"/>
                <w:lang w:eastAsia="en-GB"/>
              </w:rPr>
            </w:pPr>
            <w:r w:rsidRPr="00BC4414">
              <w:rPr>
                <w:rFonts w:eastAsia="Times New Roman" w:cstheme="minorHAnsi"/>
                <w:color w:val="000000"/>
                <w:szCs w:val="24"/>
                <w:lang w:eastAsia="en-GB"/>
              </w:rPr>
              <w:t>65</w:t>
            </w:r>
          </w:p>
        </w:tc>
        <w:tc>
          <w:tcPr>
            <w:tcW w:w="960" w:type="dxa"/>
            <w:tcBorders>
              <w:top w:val="nil"/>
              <w:left w:val="nil"/>
              <w:bottom w:val="nil"/>
              <w:right w:val="single" w:sz="4" w:space="0" w:color="auto"/>
            </w:tcBorders>
            <w:shd w:val="clear" w:color="auto" w:fill="auto"/>
            <w:noWrap/>
            <w:vAlign w:val="bottom"/>
            <w:hideMark/>
          </w:tcPr>
          <w:p w14:paraId="5B6C20A0" w14:textId="77777777" w:rsidR="00C6634A" w:rsidRPr="00BC4414" w:rsidRDefault="00C6634A" w:rsidP="00C6634A">
            <w:pPr>
              <w:spacing w:after="0" w:line="240" w:lineRule="auto"/>
              <w:jc w:val="center"/>
              <w:rPr>
                <w:rFonts w:eastAsia="Times New Roman" w:cstheme="minorHAnsi"/>
                <w:color w:val="000000"/>
                <w:szCs w:val="24"/>
                <w:lang w:eastAsia="en-GB"/>
              </w:rPr>
            </w:pPr>
            <w:r w:rsidRPr="00BC4414">
              <w:rPr>
                <w:rFonts w:eastAsia="Times New Roman" w:cstheme="minorHAnsi"/>
                <w:color w:val="000000"/>
                <w:szCs w:val="24"/>
                <w:lang w:eastAsia="en-GB"/>
              </w:rPr>
              <w:t>F</w:t>
            </w:r>
          </w:p>
        </w:tc>
        <w:tc>
          <w:tcPr>
            <w:tcW w:w="3357" w:type="dxa"/>
            <w:tcBorders>
              <w:top w:val="nil"/>
              <w:left w:val="nil"/>
              <w:bottom w:val="nil"/>
              <w:right w:val="nil"/>
            </w:tcBorders>
            <w:shd w:val="clear" w:color="auto" w:fill="auto"/>
            <w:noWrap/>
            <w:vAlign w:val="bottom"/>
            <w:hideMark/>
          </w:tcPr>
          <w:p w14:paraId="5E2C8FB0" w14:textId="77777777" w:rsidR="00C6634A" w:rsidRPr="00BC4414" w:rsidRDefault="00C6634A" w:rsidP="00C6634A">
            <w:pPr>
              <w:spacing w:after="0" w:line="240" w:lineRule="auto"/>
              <w:jc w:val="center"/>
              <w:rPr>
                <w:rFonts w:eastAsia="Times New Roman" w:cstheme="minorHAnsi"/>
                <w:color w:val="222222"/>
                <w:szCs w:val="24"/>
                <w:lang w:eastAsia="en-GB"/>
              </w:rPr>
            </w:pPr>
            <w:r w:rsidRPr="00BC4414">
              <w:rPr>
                <w:rFonts w:eastAsia="Times New Roman" w:cstheme="minorHAnsi"/>
                <w:color w:val="222222"/>
                <w:szCs w:val="24"/>
                <w:lang w:eastAsia="en-GB"/>
              </w:rPr>
              <w:t xml:space="preserve">HCV/HCC </w:t>
            </w:r>
          </w:p>
        </w:tc>
      </w:tr>
      <w:tr w:rsidR="00C6634A" w:rsidRPr="00BC4414" w14:paraId="770014B7" w14:textId="77777777" w:rsidTr="008610EB">
        <w:trPr>
          <w:trHeight w:val="288"/>
          <w:jc w:val="center"/>
        </w:trPr>
        <w:tc>
          <w:tcPr>
            <w:tcW w:w="960" w:type="dxa"/>
            <w:tcBorders>
              <w:top w:val="nil"/>
              <w:left w:val="nil"/>
              <w:bottom w:val="nil"/>
              <w:right w:val="single" w:sz="4" w:space="0" w:color="auto"/>
            </w:tcBorders>
            <w:shd w:val="clear" w:color="auto" w:fill="auto"/>
            <w:noWrap/>
            <w:vAlign w:val="bottom"/>
            <w:hideMark/>
          </w:tcPr>
          <w:p w14:paraId="5267005A" w14:textId="77777777" w:rsidR="00C6634A" w:rsidRPr="00BC4414" w:rsidRDefault="00C6634A" w:rsidP="00C6634A">
            <w:pPr>
              <w:spacing w:after="0" w:line="240" w:lineRule="auto"/>
              <w:jc w:val="center"/>
              <w:rPr>
                <w:rFonts w:eastAsia="Times New Roman" w:cstheme="minorHAnsi"/>
                <w:b/>
                <w:bCs/>
                <w:color w:val="000000"/>
                <w:szCs w:val="24"/>
                <w:lang w:eastAsia="en-GB"/>
              </w:rPr>
            </w:pPr>
            <w:r w:rsidRPr="00BC4414">
              <w:rPr>
                <w:rFonts w:eastAsia="Times New Roman" w:cstheme="minorHAnsi"/>
                <w:b/>
                <w:bCs/>
                <w:color w:val="000000"/>
                <w:szCs w:val="24"/>
                <w:lang w:eastAsia="en-GB"/>
              </w:rPr>
              <w:t>5</w:t>
            </w:r>
          </w:p>
        </w:tc>
        <w:tc>
          <w:tcPr>
            <w:tcW w:w="960" w:type="dxa"/>
            <w:tcBorders>
              <w:top w:val="nil"/>
              <w:left w:val="nil"/>
              <w:bottom w:val="nil"/>
              <w:right w:val="single" w:sz="4" w:space="0" w:color="auto"/>
            </w:tcBorders>
            <w:shd w:val="clear" w:color="auto" w:fill="auto"/>
            <w:noWrap/>
            <w:vAlign w:val="bottom"/>
            <w:hideMark/>
          </w:tcPr>
          <w:p w14:paraId="54856286" w14:textId="77777777" w:rsidR="00C6634A" w:rsidRPr="00BC4414" w:rsidRDefault="00C6634A" w:rsidP="00C6634A">
            <w:pPr>
              <w:spacing w:after="0" w:line="240" w:lineRule="auto"/>
              <w:jc w:val="center"/>
              <w:rPr>
                <w:rFonts w:eastAsia="Times New Roman" w:cstheme="minorHAnsi"/>
                <w:color w:val="000000"/>
                <w:szCs w:val="24"/>
                <w:lang w:eastAsia="en-GB"/>
              </w:rPr>
            </w:pPr>
            <w:r w:rsidRPr="00BC4414">
              <w:rPr>
                <w:rFonts w:eastAsia="Times New Roman" w:cstheme="minorHAnsi"/>
                <w:color w:val="000000"/>
                <w:szCs w:val="24"/>
                <w:lang w:eastAsia="en-GB"/>
              </w:rPr>
              <w:t>53</w:t>
            </w:r>
          </w:p>
        </w:tc>
        <w:tc>
          <w:tcPr>
            <w:tcW w:w="960" w:type="dxa"/>
            <w:tcBorders>
              <w:top w:val="nil"/>
              <w:left w:val="nil"/>
              <w:bottom w:val="nil"/>
              <w:right w:val="single" w:sz="4" w:space="0" w:color="auto"/>
            </w:tcBorders>
            <w:shd w:val="clear" w:color="auto" w:fill="auto"/>
            <w:noWrap/>
            <w:vAlign w:val="bottom"/>
            <w:hideMark/>
          </w:tcPr>
          <w:p w14:paraId="1C2182C0" w14:textId="77777777" w:rsidR="00C6634A" w:rsidRPr="00BC4414" w:rsidRDefault="00C6634A" w:rsidP="00C6634A">
            <w:pPr>
              <w:spacing w:after="0" w:line="240" w:lineRule="auto"/>
              <w:jc w:val="center"/>
              <w:rPr>
                <w:rFonts w:eastAsia="Times New Roman" w:cstheme="minorHAnsi"/>
                <w:color w:val="000000"/>
                <w:szCs w:val="24"/>
                <w:lang w:eastAsia="en-GB"/>
              </w:rPr>
            </w:pPr>
            <w:r w:rsidRPr="00BC4414">
              <w:rPr>
                <w:rFonts w:eastAsia="Times New Roman" w:cstheme="minorHAnsi"/>
                <w:color w:val="000000"/>
                <w:szCs w:val="24"/>
                <w:lang w:eastAsia="en-GB"/>
              </w:rPr>
              <w:t>F</w:t>
            </w:r>
          </w:p>
        </w:tc>
        <w:tc>
          <w:tcPr>
            <w:tcW w:w="3357" w:type="dxa"/>
            <w:tcBorders>
              <w:top w:val="nil"/>
              <w:left w:val="nil"/>
              <w:bottom w:val="nil"/>
              <w:right w:val="nil"/>
            </w:tcBorders>
            <w:shd w:val="clear" w:color="auto" w:fill="auto"/>
            <w:noWrap/>
            <w:vAlign w:val="bottom"/>
            <w:hideMark/>
          </w:tcPr>
          <w:p w14:paraId="4CA1D1F2" w14:textId="77777777" w:rsidR="00C6634A" w:rsidRPr="00BC4414" w:rsidRDefault="00C6634A" w:rsidP="00C6634A">
            <w:pPr>
              <w:spacing w:after="0" w:line="240" w:lineRule="auto"/>
              <w:jc w:val="center"/>
              <w:rPr>
                <w:rFonts w:eastAsia="Times New Roman" w:cstheme="minorHAnsi"/>
                <w:color w:val="222222"/>
                <w:szCs w:val="24"/>
                <w:lang w:eastAsia="en-GB"/>
              </w:rPr>
            </w:pPr>
            <w:r w:rsidRPr="00BC4414">
              <w:rPr>
                <w:rFonts w:eastAsia="Times New Roman" w:cstheme="minorHAnsi"/>
                <w:color w:val="222222"/>
                <w:szCs w:val="24"/>
                <w:lang w:eastAsia="en-GB"/>
              </w:rPr>
              <w:t>PSC</w:t>
            </w:r>
          </w:p>
        </w:tc>
      </w:tr>
      <w:tr w:rsidR="00C6634A" w:rsidRPr="00BC4414" w14:paraId="00E6B872" w14:textId="77777777" w:rsidTr="008610EB">
        <w:trPr>
          <w:trHeight w:val="288"/>
          <w:jc w:val="center"/>
        </w:trPr>
        <w:tc>
          <w:tcPr>
            <w:tcW w:w="960" w:type="dxa"/>
            <w:tcBorders>
              <w:top w:val="nil"/>
              <w:left w:val="nil"/>
              <w:bottom w:val="single" w:sz="4" w:space="0" w:color="auto"/>
              <w:right w:val="single" w:sz="4" w:space="0" w:color="auto"/>
            </w:tcBorders>
            <w:shd w:val="clear" w:color="auto" w:fill="auto"/>
            <w:noWrap/>
            <w:vAlign w:val="bottom"/>
            <w:hideMark/>
          </w:tcPr>
          <w:p w14:paraId="5927AE95" w14:textId="77777777" w:rsidR="00C6634A" w:rsidRPr="00BC4414" w:rsidRDefault="00C6634A" w:rsidP="00C6634A">
            <w:pPr>
              <w:spacing w:after="0" w:line="240" w:lineRule="auto"/>
              <w:jc w:val="center"/>
              <w:rPr>
                <w:rFonts w:eastAsia="Times New Roman" w:cstheme="minorHAnsi"/>
                <w:b/>
                <w:bCs/>
                <w:color w:val="000000"/>
                <w:szCs w:val="24"/>
                <w:lang w:eastAsia="en-GB"/>
              </w:rPr>
            </w:pPr>
            <w:r w:rsidRPr="00BC4414">
              <w:rPr>
                <w:rFonts w:eastAsia="Times New Roman" w:cstheme="minorHAnsi"/>
                <w:b/>
                <w:bCs/>
                <w:color w:val="000000"/>
                <w:szCs w:val="24"/>
                <w:lang w:eastAsia="en-GB"/>
              </w:rPr>
              <w:t>6</w:t>
            </w:r>
          </w:p>
        </w:tc>
        <w:tc>
          <w:tcPr>
            <w:tcW w:w="960" w:type="dxa"/>
            <w:tcBorders>
              <w:top w:val="nil"/>
              <w:left w:val="nil"/>
              <w:bottom w:val="single" w:sz="4" w:space="0" w:color="auto"/>
              <w:right w:val="single" w:sz="4" w:space="0" w:color="auto"/>
            </w:tcBorders>
            <w:shd w:val="clear" w:color="auto" w:fill="auto"/>
            <w:noWrap/>
            <w:vAlign w:val="bottom"/>
            <w:hideMark/>
          </w:tcPr>
          <w:p w14:paraId="62617EF1" w14:textId="77777777" w:rsidR="00C6634A" w:rsidRPr="00BC4414" w:rsidRDefault="00C6634A" w:rsidP="00C6634A">
            <w:pPr>
              <w:spacing w:after="0" w:line="240" w:lineRule="auto"/>
              <w:jc w:val="center"/>
              <w:rPr>
                <w:rFonts w:eastAsia="Times New Roman" w:cstheme="minorHAnsi"/>
                <w:color w:val="000000"/>
                <w:szCs w:val="24"/>
                <w:lang w:eastAsia="en-GB"/>
              </w:rPr>
            </w:pPr>
            <w:r w:rsidRPr="00BC4414">
              <w:rPr>
                <w:rFonts w:eastAsia="Times New Roman" w:cstheme="minorHAnsi"/>
                <w:color w:val="000000"/>
                <w:szCs w:val="24"/>
                <w:lang w:eastAsia="en-GB"/>
              </w:rPr>
              <w:t>57</w:t>
            </w:r>
          </w:p>
        </w:tc>
        <w:tc>
          <w:tcPr>
            <w:tcW w:w="960" w:type="dxa"/>
            <w:tcBorders>
              <w:top w:val="nil"/>
              <w:left w:val="nil"/>
              <w:bottom w:val="single" w:sz="4" w:space="0" w:color="auto"/>
              <w:right w:val="single" w:sz="4" w:space="0" w:color="auto"/>
            </w:tcBorders>
            <w:shd w:val="clear" w:color="auto" w:fill="auto"/>
            <w:noWrap/>
            <w:vAlign w:val="bottom"/>
            <w:hideMark/>
          </w:tcPr>
          <w:p w14:paraId="514FC435" w14:textId="77777777" w:rsidR="00C6634A" w:rsidRPr="00BC4414" w:rsidRDefault="00C6634A" w:rsidP="00C6634A">
            <w:pPr>
              <w:spacing w:after="0" w:line="240" w:lineRule="auto"/>
              <w:jc w:val="center"/>
              <w:rPr>
                <w:rFonts w:eastAsia="Times New Roman" w:cstheme="minorHAnsi"/>
                <w:color w:val="000000"/>
                <w:szCs w:val="24"/>
                <w:lang w:eastAsia="en-GB"/>
              </w:rPr>
            </w:pPr>
            <w:r w:rsidRPr="00BC4414">
              <w:rPr>
                <w:rFonts w:eastAsia="Times New Roman" w:cstheme="minorHAnsi"/>
                <w:color w:val="000000"/>
                <w:szCs w:val="24"/>
                <w:lang w:eastAsia="en-GB"/>
              </w:rPr>
              <w:t>M</w:t>
            </w:r>
          </w:p>
        </w:tc>
        <w:tc>
          <w:tcPr>
            <w:tcW w:w="3357" w:type="dxa"/>
            <w:tcBorders>
              <w:top w:val="nil"/>
              <w:left w:val="nil"/>
              <w:bottom w:val="single" w:sz="4" w:space="0" w:color="auto"/>
              <w:right w:val="nil"/>
            </w:tcBorders>
            <w:shd w:val="clear" w:color="auto" w:fill="auto"/>
            <w:noWrap/>
            <w:vAlign w:val="bottom"/>
            <w:hideMark/>
          </w:tcPr>
          <w:p w14:paraId="7C270B3A" w14:textId="77777777" w:rsidR="00C6634A" w:rsidRPr="00BC4414" w:rsidRDefault="00C6634A" w:rsidP="00C6634A">
            <w:pPr>
              <w:spacing w:after="0" w:line="240" w:lineRule="auto"/>
              <w:jc w:val="center"/>
              <w:rPr>
                <w:rFonts w:eastAsia="Times New Roman" w:cstheme="minorHAnsi"/>
                <w:color w:val="222222"/>
                <w:szCs w:val="24"/>
                <w:lang w:eastAsia="en-GB"/>
              </w:rPr>
            </w:pPr>
            <w:r w:rsidRPr="00BC4414">
              <w:rPr>
                <w:rFonts w:eastAsia="Times New Roman" w:cstheme="minorHAnsi"/>
                <w:color w:val="222222"/>
                <w:szCs w:val="24"/>
                <w:lang w:eastAsia="en-GB"/>
              </w:rPr>
              <w:t>PSC</w:t>
            </w:r>
          </w:p>
        </w:tc>
      </w:tr>
    </w:tbl>
    <w:p w14:paraId="2E3E9102" w14:textId="77777777" w:rsidR="008610EB" w:rsidRPr="003D0C88" w:rsidRDefault="008610EB" w:rsidP="008610EB">
      <w:pPr>
        <w:pStyle w:val="NoSpacing"/>
        <w:jc w:val="center"/>
        <w:rPr>
          <w:rFonts w:cstheme="minorHAnsi"/>
          <w:b/>
          <w:sz w:val="24"/>
          <w:szCs w:val="24"/>
        </w:rPr>
      </w:pPr>
    </w:p>
    <w:p w14:paraId="314DB7EB" w14:textId="13FDF968" w:rsidR="00C6634A" w:rsidRPr="008A4C70" w:rsidRDefault="008610EB" w:rsidP="008610EB">
      <w:pPr>
        <w:pStyle w:val="NoSpacing"/>
        <w:jc w:val="center"/>
        <w:rPr>
          <w:rFonts w:cstheme="minorHAnsi"/>
          <w:b/>
          <w:szCs w:val="24"/>
        </w:rPr>
      </w:pPr>
      <w:r w:rsidRPr="008A4C70">
        <w:rPr>
          <w:rFonts w:cstheme="minorHAnsi"/>
          <w:b/>
          <w:szCs w:val="24"/>
        </w:rPr>
        <w:t>Abbreviation</w:t>
      </w:r>
      <w:r w:rsidR="00FC0C19">
        <w:rPr>
          <w:rFonts w:cstheme="minorHAnsi"/>
          <w:b/>
          <w:szCs w:val="24"/>
        </w:rPr>
        <w:t>s</w:t>
      </w:r>
      <w:r w:rsidRPr="008A4C70">
        <w:rPr>
          <w:rFonts w:cstheme="minorHAnsi"/>
          <w:b/>
          <w:szCs w:val="24"/>
        </w:rPr>
        <w:t xml:space="preserve">: </w:t>
      </w:r>
      <w:r w:rsidRPr="008A4C70">
        <w:rPr>
          <w:rFonts w:eastAsia="Times New Roman" w:cstheme="minorHAnsi"/>
          <w:szCs w:val="24"/>
          <w:lang w:eastAsia="en-GB"/>
        </w:rPr>
        <w:t xml:space="preserve">ArLD, alcohol-related liver disease; HCV, hepatitis C virus; NASH, </w:t>
      </w:r>
      <w:r w:rsidRPr="008A4C70">
        <w:rPr>
          <w:rFonts w:cstheme="minorHAnsi"/>
          <w:szCs w:val="24"/>
          <w:shd w:val="clear" w:color="auto" w:fill="FFFFFF"/>
        </w:rPr>
        <w:t>non-alcoholic steatohepatitis; HCC, Hepatocellular carcinoma; PSC, Primary sclerosing cholangitis</w:t>
      </w:r>
      <w:r w:rsidR="00150BD4" w:rsidRPr="008A4C70">
        <w:rPr>
          <w:rFonts w:cstheme="minorHAnsi"/>
          <w:szCs w:val="24"/>
          <w:shd w:val="clear" w:color="auto" w:fill="FFFFFF"/>
        </w:rPr>
        <w:t>; M, male; F, female.</w:t>
      </w:r>
    </w:p>
    <w:p w14:paraId="0D958E93" w14:textId="77777777" w:rsidR="00C6634A" w:rsidRPr="003D0C88" w:rsidRDefault="00C6634A" w:rsidP="003C44AE">
      <w:pPr>
        <w:pStyle w:val="Caption"/>
        <w:keepNext/>
        <w:rPr>
          <w:rFonts w:cstheme="minorHAnsi"/>
          <w:sz w:val="24"/>
          <w:szCs w:val="24"/>
        </w:rPr>
      </w:pPr>
    </w:p>
    <w:p w14:paraId="3D8B5137" w14:textId="7B4E8E38" w:rsidR="003C44AE" w:rsidRPr="003D0C88" w:rsidRDefault="003C44AE" w:rsidP="008610EB">
      <w:pPr>
        <w:pStyle w:val="Caption"/>
        <w:keepNext/>
        <w:jc w:val="center"/>
        <w:rPr>
          <w:rFonts w:cstheme="minorHAnsi"/>
          <w:sz w:val="24"/>
          <w:szCs w:val="24"/>
        </w:rPr>
      </w:pPr>
      <w:r w:rsidRPr="003D0C88">
        <w:rPr>
          <w:rFonts w:cstheme="minorHAnsi"/>
          <w:sz w:val="24"/>
          <w:szCs w:val="24"/>
        </w:rPr>
        <w:t xml:space="preserve">Table </w:t>
      </w:r>
      <w:r w:rsidR="00464A24" w:rsidRPr="003D0C88">
        <w:rPr>
          <w:rFonts w:cstheme="minorHAnsi"/>
          <w:sz w:val="24"/>
          <w:szCs w:val="24"/>
        </w:rPr>
        <w:fldChar w:fldCharType="begin"/>
      </w:r>
      <w:r w:rsidR="00464A24" w:rsidRPr="003D0C88">
        <w:rPr>
          <w:rFonts w:cstheme="minorHAnsi"/>
          <w:sz w:val="24"/>
          <w:szCs w:val="24"/>
        </w:rPr>
        <w:instrText xml:space="preserve"> SEQ Table \* ARABIC </w:instrText>
      </w:r>
      <w:r w:rsidR="00464A24" w:rsidRPr="003D0C88">
        <w:rPr>
          <w:rFonts w:cstheme="minorHAnsi"/>
          <w:sz w:val="24"/>
          <w:szCs w:val="24"/>
        </w:rPr>
        <w:fldChar w:fldCharType="separate"/>
      </w:r>
      <w:r w:rsidR="006D5989" w:rsidRPr="003D0C88">
        <w:rPr>
          <w:rFonts w:cstheme="minorHAnsi"/>
          <w:noProof/>
          <w:sz w:val="24"/>
          <w:szCs w:val="24"/>
        </w:rPr>
        <w:t>2</w:t>
      </w:r>
      <w:r w:rsidR="00464A24" w:rsidRPr="003D0C88">
        <w:rPr>
          <w:rFonts w:cstheme="minorHAnsi"/>
          <w:noProof/>
          <w:sz w:val="24"/>
          <w:szCs w:val="24"/>
        </w:rPr>
        <w:fldChar w:fldCharType="end"/>
      </w:r>
      <w:r w:rsidR="000B0215" w:rsidRPr="003D0C88">
        <w:rPr>
          <w:rFonts w:cstheme="minorHAnsi"/>
          <w:sz w:val="24"/>
          <w:szCs w:val="24"/>
        </w:rPr>
        <w:t>. Variables assessed at each phase during OLT averaged by patient</w:t>
      </w:r>
      <w:r w:rsidR="00AC27F3">
        <w:rPr>
          <w:rFonts w:cstheme="minorHAnsi"/>
          <w:sz w:val="24"/>
          <w:szCs w:val="24"/>
        </w:rPr>
        <w:t xml:space="preserve"> (median [IQR])</w:t>
      </w:r>
      <w:r w:rsidR="000B0215" w:rsidRPr="003D0C88">
        <w:rPr>
          <w:rFonts w:cstheme="minorHAnsi"/>
          <w:sz w:val="24"/>
          <w:szCs w:val="24"/>
        </w:rPr>
        <w:t>.</w:t>
      </w:r>
    </w:p>
    <w:tbl>
      <w:tblPr>
        <w:tblW w:w="7359" w:type="dxa"/>
        <w:jc w:val="center"/>
        <w:tblLook w:val="04A0" w:firstRow="1" w:lastRow="0" w:firstColumn="1" w:lastColumn="0" w:noHBand="0" w:noVBand="1"/>
      </w:tblPr>
      <w:tblGrid>
        <w:gridCol w:w="960"/>
        <w:gridCol w:w="2180"/>
        <w:gridCol w:w="2093"/>
        <w:gridCol w:w="2126"/>
      </w:tblGrid>
      <w:tr w:rsidR="003C44AE" w:rsidRPr="00BC4414" w14:paraId="481B667C" w14:textId="77777777" w:rsidTr="008A4C70">
        <w:trPr>
          <w:trHeight w:val="288"/>
          <w:jc w:val="center"/>
        </w:trPr>
        <w:tc>
          <w:tcPr>
            <w:tcW w:w="960" w:type="dxa"/>
            <w:tcBorders>
              <w:top w:val="nil"/>
              <w:left w:val="nil"/>
              <w:bottom w:val="single" w:sz="4" w:space="0" w:color="auto"/>
              <w:right w:val="nil"/>
            </w:tcBorders>
            <w:shd w:val="clear" w:color="auto" w:fill="auto"/>
            <w:noWrap/>
            <w:vAlign w:val="bottom"/>
            <w:hideMark/>
          </w:tcPr>
          <w:p w14:paraId="24B788D5" w14:textId="77777777" w:rsidR="003C44AE" w:rsidRPr="00BC4414" w:rsidRDefault="003C44AE" w:rsidP="003C44AE">
            <w:pPr>
              <w:spacing w:after="0" w:line="240" w:lineRule="auto"/>
              <w:rPr>
                <w:rFonts w:eastAsia="Times New Roman" w:cstheme="minorHAnsi"/>
                <w:szCs w:val="24"/>
                <w:lang w:eastAsia="en-GB"/>
              </w:rPr>
            </w:pPr>
            <w:r w:rsidRPr="00BC4414">
              <w:rPr>
                <w:rFonts w:eastAsia="Times New Roman" w:cstheme="minorHAnsi"/>
                <w:szCs w:val="24"/>
                <w:lang w:eastAsia="en-GB"/>
              </w:rPr>
              <w:t> </w:t>
            </w:r>
          </w:p>
        </w:tc>
        <w:tc>
          <w:tcPr>
            <w:tcW w:w="2180" w:type="dxa"/>
            <w:tcBorders>
              <w:top w:val="nil"/>
              <w:left w:val="single" w:sz="4" w:space="0" w:color="auto"/>
              <w:bottom w:val="single" w:sz="4" w:space="0" w:color="auto"/>
              <w:right w:val="nil"/>
            </w:tcBorders>
            <w:shd w:val="clear" w:color="auto" w:fill="auto"/>
            <w:noWrap/>
            <w:vAlign w:val="bottom"/>
            <w:hideMark/>
          </w:tcPr>
          <w:p w14:paraId="30090715" w14:textId="77777777" w:rsidR="003C44AE" w:rsidRPr="00BC4414" w:rsidRDefault="003C44AE" w:rsidP="003C44AE">
            <w:pPr>
              <w:spacing w:after="0" w:line="240" w:lineRule="auto"/>
              <w:jc w:val="center"/>
              <w:rPr>
                <w:rFonts w:eastAsia="Times New Roman" w:cstheme="minorHAnsi"/>
                <w:b/>
                <w:bCs/>
                <w:szCs w:val="24"/>
                <w:lang w:eastAsia="en-GB"/>
              </w:rPr>
            </w:pPr>
            <w:r w:rsidRPr="00BC4414">
              <w:rPr>
                <w:rFonts w:eastAsia="Times New Roman" w:cstheme="minorHAnsi"/>
                <w:b/>
                <w:bCs/>
                <w:szCs w:val="24"/>
                <w:lang w:eastAsia="en-GB"/>
              </w:rPr>
              <w:t>T0</w:t>
            </w:r>
          </w:p>
        </w:tc>
        <w:tc>
          <w:tcPr>
            <w:tcW w:w="2093" w:type="dxa"/>
            <w:tcBorders>
              <w:top w:val="nil"/>
              <w:left w:val="nil"/>
              <w:bottom w:val="single" w:sz="4" w:space="0" w:color="auto"/>
              <w:right w:val="nil"/>
            </w:tcBorders>
            <w:shd w:val="clear" w:color="auto" w:fill="auto"/>
            <w:noWrap/>
            <w:vAlign w:val="bottom"/>
            <w:hideMark/>
          </w:tcPr>
          <w:p w14:paraId="656170D7" w14:textId="77777777" w:rsidR="003C44AE" w:rsidRPr="00BC4414" w:rsidRDefault="003C44AE" w:rsidP="003C44AE">
            <w:pPr>
              <w:spacing w:after="0" w:line="240" w:lineRule="auto"/>
              <w:jc w:val="center"/>
              <w:rPr>
                <w:rFonts w:eastAsia="Times New Roman" w:cstheme="minorHAnsi"/>
                <w:b/>
                <w:bCs/>
                <w:szCs w:val="24"/>
                <w:lang w:eastAsia="en-GB"/>
              </w:rPr>
            </w:pPr>
            <w:r w:rsidRPr="00BC4414">
              <w:rPr>
                <w:rFonts w:eastAsia="Times New Roman" w:cstheme="minorHAnsi"/>
                <w:b/>
                <w:bCs/>
                <w:szCs w:val="24"/>
                <w:lang w:eastAsia="en-GB"/>
              </w:rPr>
              <w:t>T1</w:t>
            </w:r>
          </w:p>
        </w:tc>
        <w:tc>
          <w:tcPr>
            <w:tcW w:w="2126" w:type="dxa"/>
            <w:tcBorders>
              <w:top w:val="nil"/>
              <w:left w:val="nil"/>
              <w:bottom w:val="single" w:sz="4" w:space="0" w:color="auto"/>
              <w:right w:val="nil"/>
            </w:tcBorders>
            <w:shd w:val="clear" w:color="auto" w:fill="auto"/>
            <w:noWrap/>
            <w:vAlign w:val="bottom"/>
            <w:hideMark/>
          </w:tcPr>
          <w:p w14:paraId="6632DB7E" w14:textId="77777777" w:rsidR="003C44AE" w:rsidRPr="00BC4414" w:rsidRDefault="003C44AE" w:rsidP="003C44AE">
            <w:pPr>
              <w:spacing w:after="0" w:line="240" w:lineRule="auto"/>
              <w:jc w:val="center"/>
              <w:rPr>
                <w:rFonts w:eastAsia="Times New Roman" w:cstheme="minorHAnsi"/>
                <w:b/>
                <w:bCs/>
                <w:szCs w:val="24"/>
                <w:lang w:eastAsia="en-GB"/>
              </w:rPr>
            </w:pPr>
            <w:r w:rsidRPr="00BC4414">
              <w:rPr>
                <w:rFonts w:eastAsia="Times New Roman" w:cstheme="minorHAnsi"/>
                <w:b/>
                <w:bCs/>
                <w:szCs w:val="24"/>
                <w:lang w:eastAsia="en-GB"/>
              </w:rPr>
              <w:t>T2</w:t>
            </w:r>
          </w:p>
        </w:tc>
      </w:tr>
      <w:tr w:rsidR="003C44AE" w:rsidRPr="00BC4414" w14:paraId="71BA8D8C" w14:textId="77777777" w:rsidTr="008A4C70">
        <w:trPr>
          <w:trHeight w:val="288"/>
          <w:jc w:val="center"/>
        </w:trPr>
        <w:tc>
          <w:tcPr>
            <w:tcW w:w="960" w:type="dxa"/>
            <w:tcBorders>
              <w:top w:val="nil"/>
              <w:left w:val="nil"/>
              <w:bottom w:val="nil"/>
              <w:right w:val="nil"/>
            </w:tcBorders>
            <w:shd w:val="clear" w:color="auto" w:fill="auto"/>
            <w:noWrap/>
            <w:vAlign w:val="bottom"/>
            <w:hideMark/>
          </w:tcPr>
          <w:p w14:paraId="5E378A99" w14:textId="77777777" w:rsidR="003C44AE" w:rsidRPr="00BC4414" w:rsidRDefault="003C44AE" w:rsidP="003C44AE">
            <w:pPr>
              <w:spacing w:after="0" w:line="240" w:lineRule="auto"/>
              <w:rPr>
                <w:rFonts w:eastAsia="Times New Roman" w:cstheme="minorHAnsi"/>
                <w:b/>
                <w:bCs/>
                <w:szCs w:val="24"/>
                <w:lang w:eastAsia="en-GB"/>
              </w:rPr>
            </w:pPr>
            <w:r w:rsidRPr="00BC4414">
              <w:rPr>
                <w:rFonts w:eastAsia="Times New Roman" w:cstheme="minorHAnsi"/>
                <w:b/>
                <w:bCs/>
                <w:szCs w:val="24"/>
                <w:lang w:eastAsia="en-GB"/>
              </w:rPr>
              <w:t>ABP</w:t>
            </w:r>
          </w:p>
        </w:tc>
        <w:tc>
          <w:tcPr>
            <w:tcW w:w="2180" w:type="dxa"/>
            <w:tcBorders>
              <w:top w:val="nil"/>
              <w:left w:val="single" w:sz="4" w:space="0" w:color="auto"/>
              <w:bottom w:val="nil"/>
              <w:right w:val="nil"/>
            </w:tcBorders>
            <w:shd w:val="clear" w:color="auto" w:fill="auto"/>
            <w:noWrap/>
            <w:vAlign w:val="bottom"/>
            <w:hideMark/>
          </w:tcPr>
          <w:p w14:paraId="13CCEA79" w14:textId="77777777" w:rsidR="003C44AE" w:rsidRPr="00BC4414" w:rsidRDefault="003C44AE" w:rsidP="003C44AE">
            <w:pPr>
              <w:spacing w:after="0" w:line="240" w:lineRule="auto"/>
              <w:jc w:val="center"/>
              <w:rPr>
                <w:rFonts w:eastAsia="Times New Roman" w:cstheme="minorHAnsi"/>
                <w:szCs w:val="24"/>
                <w:lang w:eastAsia="en-GB"/>
              </w:rPr>
            </w:pPr>
            <w:r w:rsidRPr="00BC4414">
              <w:rPr>
                <w:rFonts w:eastAsia="Times New Roman" w:cstheme="minorHAnsi"/>
                <w:szCs w:val="24"/>
                <w:lang w:eastAsia="en-GB"/>
              </w:rPr>
              <w:t>72.16 (69.55-77.91)</w:t>
            </w:r>
          </w:p>
        </w:tc>
        <w:tc>
          <w:tcPr>
            <w:tcW w:w="2093" w:type="dxa"/>
            <w:tcBorders>
              <w:top w:val="nil"/>
              <w:left w:val="single" w:sz="4" w:space="0" w:color="auto"/>
              <w:bottom w:val="nil"/>
              <w:right w:val="nil"/>
            </w:tcBorders>
            <w:shd w:val="clear" w:color="auto" w:fill="auto"/>
            <w:noWrap/>
            <w:vAlign w:val="bottom"/>
            <w:hideMark/>
          </w:tcPr>
          <w:p w14:paraId="374BE419" w14:textId="77777777" w:rsidR="003C44AE" w:rsidRPr="00BC4414" w:rsidRDefault="003C44AE" w:rsidP="003C44AE">
            <w:pPr>
              <w:spacing w:after="0" w:line="240" w:lineRule="auto"/>
              <w:jc w:val="center"/>
              <w:rPr>
                <w:rFonts w:eastAsia="Times New Roman" w:cstheme="minorHAnsi"/>
                <w:szCs w:val="24"/>
                <w:lang w:eastAsia="en-GB"/>
              </w:rPr>
            </w:pPr>
            <w:r w:rsidRPr="00BC4414">
              <w:rPr>
                <w:rFonts w:eastAsia="Times New Roman" w:cstheme="minorHAnsi"/>
                <w:szCs w:val="24"/>
                <w:lang w:eastAsia="en-GB"/>
              </w:rPr>
              <w:t>69.91 (66.32-74.18)</w:t>
            </w:r>
          </w:p>
        </w:tc>
        <w:tc>
          <w:tcPr>
            <w:tcW w:w="2126" w:type="dxa"/>
            <w:tcBorders>
              <w:top w:val="nil"/>
              <w:left w:val="single" w:sz="4" w:space="0" w:color="auto"/>
              <w:bottom w:val="nil"/>
              <w:right w:val="nil"/>
            </w:tcBorders>
            <w:shd w:val="clear" w:color="auto" w:fill="auto"/>
            <w:noWrap/>
            <w:vAlign w:val="bottom"/>
            <w:hideMark/>
          </w:tcPr>
          <w:p w14:paraId="757A5923" w14:textId="77777777" w:rsidR="003C44AE" w:rsidRPr="00BC4414" w:rsidRDefault="003C44AE" w:rsidP="003C44AE">
            <w:pPr>
              <w:spacing w:after="0" w:line="240" w:lineRule="auto"/>
              <w:jc w:val="center"/>
              <w:rPr>
                <w:rFonts w:eastAsia="Times New Roman" w:cstheme="minorHAnsi"/>
                <w:szCs w:val="24"/>
                <w:lang w:eastAsia="en-GB"/>
              </w:rPr>
            </w:pPr>
            <w:r w:rsidRPr="00BC4414">
              <w:rPr>
                <w:rFonts w:eastAsia="Times New Roman" w:cstheme="minorHAnsi"/>
                <w:szCs w:val="24"/>
                <w:lang w:eastAsia="en-GB"/>
              </w:rPr>
              <w:t>63.34 (59.19-66.62)</w:t>
            </w:r>
          </w:p>
        </w:tc>
      </w:tr>
      <w:tr w:rsidR="003C44AE" w:rsidRPr="00BC4414" w14:paraId="670B4174" w14:textId="77777777" w:rsidTr="008A4C70">
        <w:trPr>
          <w:trHeight w:val="288"/>
          <w:jc w:val="center"/>
        </w:trPr>
        <w:tc>
          <w:tcPr>
            <w:tcW w:w="960" w:type="dxa"/>
            <w:tcBorders>
              <w:top w:val="nil"/>
              <w:left w:val="nil"/>
              <w:bottom w:val="nil"/>
              <w:right w:val="nil"/>
            </w:tcBorders>
            <w:shd w:val="clear" w:color="auto" w:fill="auto"/>
            <w:noWrap/>
            <w:vAlign w:val="bottom"/>
            <w:hideMark/>
          </w:tcPr>
          <w:p w14:paraId="1CD51B30" w14:textId="77777777" w:rsidR="003C44AE" w:rsidRPr="00BC4414" w:rsidRDefault="003C44AE" w:rsidP="003C44AE">
            <w:pPr>
              <w:spacing w:after="0" w:line="240" w:lineRule="auto"/>
              <w:rPr>
                <w:rFonts w:eastAsia="Times New Roman" w:cstheme="minorHAnsi"/>
                <w:b/>
                <w:bCs/>
                <w:szCs w:val="24"/>
                <w:lang w:eastAsia="en-GB"/>
              </w:rPr>
            </w:pPr>
            <w:r w:rsidRPr="00BC4414">
              <w:rPr>
                <w:rFonts w:eastAsia="Times New Roman" w:cstheme="minorHAnsi"/>
                <w:b/>
                <w:bCs/>
                <w:szCs w:val="24"/>
                <w:lang w:eastAsia="en-GB"/>
              </w:rPr>
              <w:t>FV</w:t>
            </w:r>
          </w:p>
        </w:tc>
        <w:tc>
          <w:tcPr>
            <w:tcW w:w="2180" w:type="dxa"/>
            <w:tcBorders>
              <w:top w:val="nil"/>
              <w:left w:val="single" w:sz="4" w:space="0" w:color="auto"/>
              <w:bottom w:val="nil"/>
              <w:right w:val="nil"/>
            </w:tcBorders>
            <w:shd w:val="clear" w:color="auto" w:fill="auto"/>
            <w:noWrap/>
            <w:vAlign w:val="bottom"/>
            <w:hideMark/>
          </w:tcPr>
          <w:p w14:paraId="3680C67F" w14:textId="77777777" w:rsidR="003C44AE" w:rsidRPr="00BC4414" w:rsidRDefault="003C44AE" w:rsidP="003C44AE">
            <w:pPr>
              <w:spacing w:after="0" w:line="240" w:lineRule="auto"/>
              <w:jc w:val="center"/>
              <w:rPr>
                <w:rFonts w:eastAsia="Times New Roman" w:cstheme="minorHAnsi"/>
                <w:szCs w:val="24"/>
                <w:lang w:eastAsia="en-GB"/>
              </w:rPr>
            </w:pPr>
            <w:r w:rsidRPr="00BC4414">
              <w:rPr>
                <w:rFonts w:eastAsia="Times New Roman" w:cstheme="minorHAnsi"/>
                <w:szCs w:val="24"/>
                <w:lang w:eastAsia="en-GB"/>
              </w:rPr>
              <w:t>53.94 (33.66-58.74)</w:t>
            </w:r>
          </w:p>
        </w:tc>
        <w:tc>
          <w:tcPr>
            <w:tcW w:w="2093" w:type="dxa"/>
            <w:tcBorders>
              <w:top w:val="nil"/>
              <w:left w:val="single" w:sz="4" w:space="0" w:color="auto"/>
              <w:bottom w:val="nil"/>
              <w:right w:val="nil"/>
            </w:tcBorders>
            <w:shd w:val="clear" w:color="auto" w:fill="auto"/>
            <w:noWrap/>
            <w:vAlign w:val="bottom"/>
            <w:hideMark/>
          </w:tcPr>
          <w:p w14:paraId="054BC99C" w14:textId="77777777" w:rsidR="003C44AE" w:rsidRPr="00BC4414" w:rsidRDefault="003C44AE" w:rsidP="003C44AE">
            <w:pPr>
              <w:spacing w:after="0" w:line="240" w:lineRule="auto"/>
              <w:jc w:val="center"/>
              <w:rPr>
                <w:rFonts w:eastAsia="Times New Roman" w:cstheme="minorHAnsi"/>
                <w:szCs w:val="24"/>
                <w:lang w:eastAsia="en-GB"/>
              </w:rPr>
            </w:pPr>
            <w:r w:rsidRPr="00BC4414">
              <w:rPr>
                <w:rFonts w:eastAsia="Times New Roman" w:cstheme="minorHAnsi"/>
                <w:szCs w:val="24"/>
                <w:lang w:eastAsia="en-GB"/>
              </w:rPr>
              <w:t>44.06 (38.59-51.30)</w:t>
            </w:r>
          </w:p>
        </w:tc>
        <w:tc>
          <w:tcPr>
            <w:tcW w:w="2126" w:type="dxa"/>
            <w:tcBorders>
              <w:top w:val="nil"/>
              <w:left w:val="single" w:sz="4" w:space="0" w:color="auto"/>
              <w:bottom w:val="nil"/>
              <w:right w:val="nil"/>
            </w:tcBorders>
            <w:shd w:val="clear" w:color="auto" w:fill="auto"/>
            <w:noWrap/>
            <w:vAlign w:val="bottom"/>
            <w:hideMark/>
          </w:tcPr>
          <w:p w14:paraId="4782267C" w14:textId="77777777" w:rsidR="003C44AE" w:rsidRPr="00BC4414" w:rsidRDefault="003C44AE" w:rsidP="003C44AE">
            <w:pPr>
              <w:spacing w:after="0" w:line="240" w:lineRule="auto"/>
              <w:jc w:val="center"/>
              <w:rPr>
                <w:rFonts w:eastAsia="Times New Roman" w:cstheme="minorHAnsi"/>
                <w:szCs w:val="24"/>
                <w:lang w:eastAsia="en-GB"/>
              </w:rPr>
            </w:pPr>
            <w:r w:rsidRPr="00BC4414">
              <w:rPr>
                <w:rFonts w:eastAsia="Times New Roman" w:cstheme="minorHAnsi"/>
                <w:szCs w:val="24"/>
                <w:lang w:eastAsia="en-GB"/>
              </w:rPr>
              <w:t>52.89 (40.05-65.76)</w:t>
            </w:r>
          </w:p>
        </w:tc>
      </w:tr>
      <w:tr w:rsidR="003C44AE" w:rsidRPr="00BC4414" w14:paraId="4921F873" w14:textId="77777777" w:rsidTr="008A4C70">
        <w:trPr>
          <w:trHeight w:val="288"/>
          <w:jc w:val="center"/>
        </w:trPr>
        <w:tc>
          <w:tcPr>
            <w:tcW w:w="960" w:type="dxa"/>
            <w:tcBorders>
              <w:top w:val="nil"/>
              <w:left w:val="nil"/>
              <w:bottom w:val="nil"/>
              <w:right w:val="nil"/>
            </w:tcBorders>
            <w:shd w:val="clear" w:color="auto" w:fill="auto"/>
            <w:noWrap/>
            <w:vAlign w:val="bottom"/>
            <w:hideMark/>
          </w:tcPr>
          <w:p w14:paraId="35DAFA40" w14:textId="77777777" w:rsidR="003C44AE" w:rsidRPr="00BC4414" w:rsidRDefault="003C44AE" w:rsidP="003C44AE">
            <w:pPr>
              <w:spacing w:after="0" w:line="240" w:lineRule="auto"/>
              <w:rPr>
                <w:rFonts w:eastAsia="Times New Roman" w:cstheme="minorHAnsi"/>
                <w:b/>
                <w:bCs/>
                <w:szCs w:val="24"/>
                <w:lang w:eastAsia="en-GB"/>
              </w:rPr>
            </w:pPr>
            <w:r w:rsidRPr="00BC4414">
              <w:rPr>
                <w:rFonts w:eastAsia="Times New Roman" w:cstheme="minorHAnsi"/>
                <w:b/>
                <w:bCs/>
                <w:szCs w:val="24"/>
                <w:lang w:eastAsia="en-GB"/>
              </w:rPr>
              <w:t>PI</w:t>
            </w:r>
          </w:p>
        </w:tc>
        <w:tc>
          <w:tcPr>
            <w:tcW w:w="2180" w:type="dxa"/>
            <w:tcBorders>
              <w:top w:val="nil"/>
              <w:left w:val="single" w:sz="4" w:space="0" w:color="auto"/>
              <w:bottom w:val="nil"/>
              <w:right w:val="nil"/>
            </w:tcBorders>
            <w:shd w:val="clear" w:color="auto" w:fill="auto"/>
            <w:noWrap/>
            <w:vAlign w:val="bottom"/>
            <w:hideMark/>
          </w:tcPr>
          <w:p w14:paraId="2CBF2D70" w14:textId="77777777" w:rsidR="003C44AE" w:rsidRPr="00BC4414" w:rsidRDefault="003C44AE" w:rsidP="003C44AE">
            <w:pPr>
              <w:spacing w:after="0" w:line="240" w:lineRule="auto"/>
              <w:jc w:val="center"/>
              <w:rPr>
                <w:rFonts w:eastAsia="Times New Roman" w:cstheme="minorHAnsi"/>
                <w:szCs w:val="24"/>
                <w:lang w:eastAsia="en-GB"/>
              </w:rPr>
            </w:pPr>
            <w:r w:rsidRPr="00BC4414">
              <w:rPr>
                <w:rFonts w:eastAsia="Times New Roman" w:cstheme="minorHAnsi"/>
                <w:szCs w:val="24"/>
                <w:lang w:eastAsia="en-GB"/>
              </w:rPr>
              <w:t>1.16 (1.08-1.45)</w:t>
            </w:r>
          </w:p>
        </w:tc>
        <w:tc>
          <w:tcPr>
            <w:tcW w:w="2093" w:type="dxa"/>
            <w:tcBorders>
              <w:top w:val="nil"/>
              <w:left w:val="single" w:sz="4" w:space="0" w:color="auto"/>
              <w:bottom w:val="nil"/>
              <w:right w:val="nil"/>
            </w:tcBorders>
            <w:shd w:val="clear" w:color="auto" w:fill="auto"/>
            <w:noWrap/>
            <w:vAlign w:val="bottom"/>
            <w:hideMark/>
          </w:tcPr>
          <w:p w14:paraId="3D3EE067" w14:textId="77777777" w:rsidR="003C44AE" w:rsidRPr="00BC4414" w:rsidRDefault="003C44AE" w:rsidP="003C44AE">
            <w:pPr>
              <w:spacing w:after="0" w:line="240" w:lineRule="auto"/>
              <w:jc w:val="center"/>
              <w:rPr>
                <w:rFonts w:eastAsia="Times New Roman" w:cstheme="minorHAnsi"/>
                <w:szCs w:val="24"/>
                <w:lang w:eastAsia="en-GB"/>
              </w:rPr>
            </w:pPr>
            <w:r w:rsidRPr="00BC4414">
              <w:rPr>
                <w:rFonts w:eastAsia="Times New Roman" w:cstheme="minorHAnsi"/>
                <w:szCs w:val="24"/>
                <w:lang w:eastAsia="en-GB"/>
              </w:rPr>
              <w:t>1.19 (1.16-1.26)</w:t>
            </w:r>
          </w:p>
        </w:tc>
        <w:tc>
          <w:tcPr>
            <w:tcW w:w="2126" w:type="dxa"/>
            <w:tcBorders>
              <w:top w:val="nil"/>
              <w:left w:val="single" w:sz="4" w:space="0" w:color="auto"/>
              <w:bottom w:val="nil"/>
              <w:right w:val="nil"/>
            </w:tcBorders>
            <w:shd w:val="clear" w:color="auto" w:fill="auto"/>
            <w:noWrap/>
            <w:vAlign w:val="bottom"/>
            <w:hideMark/>
          </w:tcPr>
          <w:p w14:paraId="3033AA88" w14:textId="77777777" w:rsidR="003C44AE" w:rsidRPr="00BC4414" w:rsidRDefault="003C44AE" w:rsidP="003C44AE">
            <w:pPr>
              <w:spacing w:after="0" w:line="240" w:lineRule="auto"/>
              <w:jc w:val="center"/>
              <w:rPr>
                <w:rFonts w:eastAsia="Times New Roman" w:cstheme="minorHAnsi"/>
                <w:szCs w:val="24"/>
                <w:lang w:eastAsia="en-GB"/>
              </w:rPr>
            </w:pPr>
            <w:r w:rsidRPr="00BC4414">
              <w:rPr>
                <w:rFonts w:eastAsia="Times New Roman" w:cstheme="minorHAnsi"/>
                <w:szCs w:val="24"/>
                <w:lang w:eastAsia="en-GB"/>
              </w:rPr>
              <w:t>1.29 (1.20-1.43)</w:t>
            </w:r>
          </w:p>
        </w:tc>
      </w:tr>
      <w:tr w:rsidR="003C44AE" w:rsidRPr="00BC4414" w14:paraId="0E0EF252" w14:textId="77777777" w:rsidTr="008A4C70">
        <w:trPr>
          <w:trHeight w:val="288"/>
          <w:jc w:val="center"/>
        </w:trPr>
        <w:tc>
          <w:tcPr>
            <w:tcW w:w="960" w:type="dxa"/>
            <w:tcBorders>
              <w:top w:val="nil"/>
              <w:left w:val="nil"/>
              <w:bottom w:val="nil"/>
              <w:right w:val="nil"/>
            </w:tcBorders>
            <w:shd w:val="clear" w:color="auto" w:fill="auto"/>
            <w:noWrap/>
            <w:vAlign w:val="bottom"/>
            <w:hideMark/>
          </w:tcPr>
          <w:p w14:paraId="374533D6" w14:textId="77777777" w:rsidR="003C44AE" w:rsidRPr="00BC4414" w:rsidRDefault="003C44AE" w:rsidP="003C44AE">
            <w:pPr>
              <w:spacing w:after="0" w:line="240" w:lineRule="auto"/>
              <w:rPr>
                <w:rFonts w:eastAsia="Times New Roman" w:cstheme="minorHAnsi"/>
                <w:b/>
                <w:bCs/>
                <w:szCs w:val="24"/>
                <w:lang w:eastAsia="en-GB"/>
              </w:rPr>
            </w:pPr>
            <w:r w:rsidRPr="00BC4414">
              <w:rPr>
                <w:rFonts w:eastAsia="Times New Roman" w:cstheme="minorHAnsi"/>
                <w:b/>
                <w:bCs/>
                <w:szCs w:val="24"/>
                <w:lang w:eastAsia="en-GB"/>
              </w:rPr>
              <w:t>nICP</w:t>
            </w:r>
          </w:p>
        </w:tc>
        <w:tc>
          <w:tcPr>
            <w:tcW w:w="2180" w:type="dxa"/>
            <w:tcBorders>
              <w:top w:val="nil"/>
              <w:left w:val="single" w:sz="4" w:space="0" w:color="auto"/>
              <w:bottom w:val="nil"/>
              <w:right w:val="nil"/>
            </w:tcBorders>
            <w:shd w:val="clear" w:color="auto" w:fill="auto"/>
            <w:noWrap/>
            <w:vAlign w:val="bottom"/>
            <w:hideMark/>
          </w:tcPr>
          <w:p w14:paraId="74E26D55" w14:textId="77777777" w:rsidR="003C44AE" w:rsidRPr="00BC4414" w:rsidRDefault="003C44AE" w:rsidP="003C44AE">
            <w:pPr>
              <w:spacing w:after="0" w:line="240" w:lineRule="auto"/>
              <w:jc w:val="center"/>
              <w:rPr>
                <w:rFonts w:eastAsia="Times New Roman" w:cstheme="minorHAnsi"/>
                <w:szCs w:val="24"/>
                <w:lang w:eastAsia="en-GB"/>
              </w:rPr>
            </w:pPr>
            <w:r w:rsidRPr="00BC4414">
              <w:rPr>
                <w:rFonts w:eastAsia="Times New Roman" w:cstheme="minorHAnsi"/>
                <w:szCs w:val="24"/>
                <w:lang w:eastAsia="en-GB"/>
              </w:rPr>
              <w:t>12.58 (10.84-14.31)</w:t>
            </w:r>
          </w:p>
        </w:tc>
        <w:tc>
          <w:tcPr>
            <w:tcW w:w="2093" w:type="dxa"/>
            <w:tcBorders>
              <w:top w:val="nil"/>
              <w:left w:val="single" w:sz="4" w:space="0" w:color="auto"/>
              <w:bottom w:val="nil"/>
              <w:right w:val="nil"/>
            </w:tcBorders>
            <w:shd w:val="clear" w:color="auto" w:fill="auto"/>
            <w:noWrap/>
            <w:vAlign w:val="bottom"/>
            <w:hideMark/>
          </w:tcPr>
          <w:p w14:paraId="2D8958DB" w14:textId="77777777" w:rsidR="003C44AE" w:rsidRPr="00BC4414" w:rsidRDefault="003C44AE" w:rsidP="003C44AE">
            <w:pPr>
              <w:spacing w:after="0" w:line="240" w:lineRule="auto"/>
              <w:jc w:val="center"/>
              <w:rPr>
                <w:rFonts w:eastAsia="Times New Roman" w:cstheme="minorHAnsi"/>
                <w:szCs w:val="24"/>
                <w:lang w:eastAsia="en-GB"/>
              </w:rPr>
            </w:pPr>
            <w:r w:rsidRPr="00BC4414">
              <w:rPr>
                <w:rFonts w:eastAsia="Times New Roman" w:cstheme="minorHAnsi"/>
                <w:szCs w:val="24"/>
                <w:lang w:eastAsia="en-GB"/>
              </w:rPr>
              <w:t>12.32 (11.67-13.07)</w:t>
            </w:r>
          </w:p>
        </w:tc>
        <w:tc>
          <w:tcPr>
            <w:tcW w:w="2126" w:type="dxa"/>
            <w:tcBorders>
              <w:top w:val="nil"/>
              <w:left w:val="single" w:sz="4" w:space="0" w:color="auto"/>
              <w:bottom w:val="nil"/>
              <w:right w:val="nil"/>
            </w:tcBorders>
            <w:shd w:val="clear" w:color="auto" w:fill="auto"/>
            <w:noWrap/>
            <w:vAlign w:val="bottom"/>
            <w:hideMark/>
          </w:tcPr>
          <w:p w14:paraId="09229085" w14:textId="77777777" w:rsidR="003C44AE" w:rsidRPr="00BC4414" w:rsidRDefault="003C44AE" w:rsidP="003C44AE">
            <w:pPr>
              <w:spacing w:after="0" w:line="240" w:lineRule="auto"/>
              <w:jc w:val="center"/>
              <w:rPr>
                <w:rFonts w:eastAsia="Times New Roman" w:cstheme="minorHAnsi"/>
                <w:szCs w:val="24"/>
                <w:lang w:eastAsia="en-GB"/>
              </w:rPr>
            </w:pPr>
            <w:r w:rsidRPr="00BC4414">
              <w:rPr>
                <w:rFonts w:eastAsia="Times New Roman" w:cstheme="minorHAnsi"/>
                <w:szCs w:val="24"/>
                <w:lang w:eastAsia="en-GB"/>
              </w:rPr>
              <w:t>12.32 (8.81-13.43)</w:t>
            </w:r>
          </w:p>
        </w:tc>
      </w:tr>
      <w:tr w:rsidR="003C44AE" w:rsidRPr="00BC4414" w14:paraId="3888B649" w14:textId="77777777" w:rsidTr="008A4C70">
        <w:trPr>
          <w:trHeight w:val="288"/>
          <w:jc w:val="center"/>
        </w:trPr>
        <w:tc>
          <w:tcPr>
            <w:tcW w:w="960" w:type="dxa"/>
            <w:tcBorders>
              <w:top w:val="nil"/>
              <w:left w:val="nil"/>
              <w:bottom w:val="nil"/>
              <w:right w:val="nil"/>
            </w:tcBorders>
            <w:shd w:val="clear" w:color="auto" w:fill="auto"/>
            <w:noWrap/>
            <w:vAlign w:val="bottom"/>
            <w:hideMark/>
          </w:tcPr>
          <w:p w14:paraId="6E72E983" w14:textId="77777777" w:rsidR="003C44AE" w:rsidRPr="00BC4414" w:rsidRDefault="003C44AE" w:rsidP="003C44AE">
            <w:pPr>
              <w:spacing w:after="0" w:line="240" w:lineRule="auto"/>
              <w:rPr>
                <w:rFonts w:eastAsia="Times New Roman" w:cstheme="minorHAnsi"/>
                <w:b/>
                <w:bCs/>
                <w:szCs w:val="24"/>
                <w:lang w:eastAsia="en-GB"/>
              </w:rPr>
            </w:pPr>
            <w:r w:rsidRPr="00BC4414">
              <w:rPr>
                <w:rFonts w:eastAsia="Times New Roman" w:cstheme="minorHAnsi"/>
                <w:b/>
                <w:bCs/>
                <w:szCs w:val="24"/>
                <w:lang w:eastAsia="en-GB"/>
              </w:rPr>
              <w:t>nCPP</w:t>
            </w:r>
          </w:p>
        </w:tc>
        <w:tc>
          <w:tcPr>
            <w:tcW w:w="2180" w:type="dxa"/>
            <w:tcBorders>
              <w:top w:val="nil"/>
              <w:left w:val="single" w:sz="4" w:space="0" w:color="auto"/>
              <w:bottom w:val="nil"/>
              <w:right w:val="nil"/>
            </w:tcBorders>
            <w:shd w:val="clear" w:color="auto" w:fill="auto"/>
            <w:noWrap/>
            <w:vAlign w:val="bottom"/>
            <w:hideMark/>
          </w:tcPr>
          <w:p w14:paraId="4975297F" w14:textId="77777777" w:rsidR="003C44AE" w:rsidRPr="00BC4414" w:rsidRDefault="003C44AE" w:rsidP="003C44AE">
            <w:pPr>
              <w:spacing w:after="0" w:line="240" w:lineRule="auto"/>
              <w:jc w:val="center"/>
              <w:rPr>
                <w:rFonts w:eastAsia="Times New Roman" w:cstheme="minorHAnsi"/>
                <w:szCs w:val="24"/>
                <w:lang w:eastAsia="en-GB"/>
              </w:rPr>
            </w:pPr>
            <w:r w:rsidRPr="00BC4414">
              <w:rPr>
                <w:rFonts w:eastAsia="Times New Roman" w:cstheme="minorHAnsi"/>
                <w:szCs w:val="24"/>
                <w:lang w:eastAsia="en-GB"/>
              </w:rPr>
              <w:t>58.12 (57.78-63.31)</w:t>
            </w:r>
          </w:p>
        </w:tc>
        <w:tc>
          <w:tcPr>
            <w:tcW w:w="2093" w:type="dxa"/>
            <w:tcBorders>
              <w:top w:val="nil"/>
              <w:left w:val="single" w:sz="4" w:space="0" w:color="auto"/>
              <w:bottom w:val="nil"/>
              <w:right w:val="nil"/>
            </w:tcBorders>
            <w:shd w:val="clear" w:color="auto" w:fill="auto"/>
            <w:noWrap/>
            <w:vAlign w:val="bottom"/>
            <w:hideMark/>
          </w:tcPr>
          <w:p w14:paraId="2EC5BDFC" w14:textId="495759AA" w:rsidR="003C44AE" w:rsidRPr="00BC4414" w:rsidRDefault="003C44AE" w:rsidP="003C44AE">
            <w:pPr>
              <w:spacing w:after="0" w:line="240" w:lineRule="auto"/>
              <w:jc w:val="center"/>
              <w:rPr>
                <w:rFonts w:eastAsia="Times New Roman" w:cstheme="minorHAnsi"/>
                <w:szCs w:val="24"/>
                <w:lang w:eastAsia="en-GB"/>
              </w:rPr>
            </w:pPr>
            <w:r w:rsidRPr="00BC4414">
              <w:rPr>
                <w:rFonts w:eastAsia="Times New Roman" w:cstheme="minorHAnsi"/>
                <w:szCs w:val="24"/>
                <w:lang w:eastAsia="en-GB"/>
              </w:rPr>
              <w:t>57.52 (55.61-60.</w:t>
            </w:r>
            <w:proofErr w:type="gramStart"/>
            <w:r w:rsidRPr="00BC4414">
              <w:rPr>
                <w:rFonts w:eastAsia="Times New Roman" w:cstheme="minorHAnsi"/>
                <w:szCs w:val="24"/>
                <w:lang w:eastAsia="en-GB"/>
              </w:rPr>
              <w:t>78)</w:t>
            </w:r>
            <w:r w:rsidR="00A27C18">
              <w:rPr>
                <w:rFonts w:eastAsia="Times New Roman" w:cstheme="minorHAnsi"/>
                <w:szCs w:val="24"/>
                <w:lang w:eastAsia="en-GB"/>
              </w:rPr>
              <w:t>*</w:t>
            </w:r>
            <w:proofErr w:type="gramEnd"/>
          </w:p>
        </w:tc>
        <w:tc>
          <w:tcPr>
            <w:tcW w:w="2126" w:type="dxa"/>
            <w:tcBorders>
              <w:top w:val="nil"/>
              <w:left w:val="single" w:sz="4" w:space="0" w:color="auto"/>
              <w:bottom w:val="nil"/>
              <w:right w:val="nil"/>
            </w:tcBorders>
            <w:shd w:val="clear" w:color="auto" w:fill="auto"/>
            <w:noWrap/>
            <w:vAlign w:val="bottom"/>
            <w:hideMark/>
          </w:tcPr>
          <w:p w14:paraId="73164602" w14:textId="3717AAFF" w:rsidR="003C44AE" w:rsidRPr="00BC4414" w:rsidRDefault="003C44AE" w:rsidP="003C44AE">
            <w:pPr>
              <w:spacing w:after="0" w:line="240" w:lineRule="auto"/>
              <w:jc w:val="center"/>
              <w:rPr>
                <w:rFonts w:eastAsia="Times New Roman" w:cstheme="minorHAnsi"/>
                <w:szCs w:val="24"/>
                <w:lang w:eastAsia="en-GB"/>
              </w:rPr>
            </w:pPr>
            <w:r w:rsidRPr="00BC4414">
              <w:rPr>
                <w:rFonts w:eastAsia="Times New Roman" w:cstheme="minorHAnsi"/>
                <w:szCs w:val="24"/>
                <w:lang w:eastAsia="en-GB"/>
              </w:rPr>
              <w:t>50.93 (50.37-51.</w:t>
            </w:r>
            <w:proofErr w:type="gramStart"/>
            <w:r w:rsidRPr="00BC4414">
              <w:rPr>
                <w:rFonts w:eastAsia="Times New Roman" w:cstheme="minorHAnsi"/>
                <w:szCs w:val="24"/>
                <w:lang w:eastAsia="en-GB"/>
              </w:rPr>
              <w:t>41)</w:t>
            </w:r>
            <w:r w:rsidR="00A27C18">
              <w:rPr>
                <w:rFonts w:eastAsia="Times New Roman" w:cstheme="minorHAnsi"/>
                <w:szCs w:val="24"/>
                <w:lang w:eastAsia="en-GB"/>
              </w:rPr>
              <w:t>*</w:t>
            </w:r>
            <w:proofErr w:type="gramEnd"/>
          </w:p>
        </w:tc>
      </w:tr>
      <w:tr w:rsidR="003C44AE" w:rsidRPr="00BC4414" w14:paraId="16D86E83" w14:textId="77777777" w:rsidTr="008A4C70">
        <w:trPr>
          <w:trHeight w:val="288"/>
          <w:jc w:val="center"/>
        </w:trPr>
        <w:tc>
          <w:tcPr>
            <w:tcW w:w="960" w:type="dxa"/>
            <w:tcBorders>
              <w:top w:val="nil"/>
              <w:left w:val="nil"/>
              <w:bottom w:val="nil"/>
              <w:right w:val="nil"/>
            </w:tcBorders>
            <w:shd w:val="clear" w:color="auto" w:fill="auto"/>
            <w:noWrap/>
            <w:vAlign w:val="bottom"/>
            <w:hideMark/>
          </w:tcPr>
          <w:p w14:paraId="6FC5D639" w14:textId="77777777" w:rsidR="003C44AE" w:rsidRPr="00BC4414" w:rsidRDefault="003C44AE" w:rsidP="003C44AE">
            <w:pPr>
              <w:spacing w:after="0" w:line="240" w:lineRule="auto"/>
              <w:rPr>
                <w:rFonts w:eastAsia="Times New Roman" w:cstheme="minorHAnsi"/>
                <w:b/>
                <w:bCs/>
                <w:szCs w:val="24"/>
                <w:lang w:eastAsia="en-GB"/>
              </w:rPr>
            </w:pPr>
            <w:r w:rsidRPr="00BC4414">
              <w:rPr>
                <w:rFonts w:eastAsia="Times New Roman" w:cstheme="minorHAnsi"/>
                <w:b/>
                <w:bCs/>
                <w:szCs w:val="24"/>
                <w:lang w:eastAsia="en-GB"/>
              </w:rPr>
              <w:t>Mxa</w:t>
            </w:r>
          </w:p>
        </w:tc>
        <w:tc>
          <w:tcPr>
            <w:tcW w:w="2180" w:type="dxa"/>
            <w:tcBorders>
              <w:top w:val="nil"/>
              <w:left w:val="single" w:sz="4" w:space="0" w:color="auto"/>
              <w:bottom w:val="nil"/>
              <w:right w:val="nil"/>
            </w:tcBorders>
            <w:shd w:val="clear" w:color="auto" w:fill="auto"/>
            <w:noWrap/>
            <w:vAlign w:val="bottom"/>
            <w:hideMark/>
          </w:tcPr>
          <w:p w14:paraId="13B84265" w14:textId="77777777" w:rsidR="003C44AE" w:rsidRPr="00BC4414" w:rsidRDefault="003C44AE" w:rsidP="003C44AE">
            <w:pPr>
              <w:spacing w:after="0" w:line="240" w:lineRule="auto"/>
              <w:jc w:val="center"/>
              <w:rPr>
                <w:rFonts w:eastAsia="Times New Roman" w:cstheme="minorHAnsi"/>
                <w:szCs w:val="24"/>
                <w:lang w:eastAsia="en-GB"/>
              </w:rPr>
            </w:pPr>
            <w:r w:rsidRPr="00BC4414">
              <w:rPr>
                <w:rFonts w:eastAsia="Times New Roman" w:cstheme="minorHAnsi"/>
                <w:szCs w:val="24"/>
                <w:lang w:eastAsia="en-GB"/>
              </w:rPr>
              <w:t>0.56 (0.51-0.62)</w:t>
            </w:r>
          </w:p>
        </w:tc>
        <w:tc>
          <w:tcPr>
            <w:tcW w:w="2093" w:type="dxa"/>
            <w:tcBorders>
              <w:top w:val="nil"/>
              <w:left w:val="single" w:sz="4" w:space="0" w:color="auto"/>
              <w:bottom w:val="nil"/>
              <w:right w:val="nil"/>
            </w:tcBorders>
            <w:shd w:val="clear" w:color="auto" w:fill="auto"/>
            <w:noWrap/>
            <w:vAlign w:val="bottom"/>
            <w:hideMark/>
          </w:tcPr>
          <w:p w14:paraId="1ED7CF92" w14:textId="77777777" w:rsidR="003C44AE" w:rsidRPr="00BC4414" w:rsidRDefault="003C44AE" w:rsidP="003C44AE">
            <w:pPr>
              <w:spacing w:after="0" w:line="240" w:lineRule="auto"/>
              <w:jc w:val="center"/>
              <w:rPr>
                <w:rFonts w:eastAsia="Times New Roman" w:cstheme="minorHAnsi"/>
                <w:szCs w:val="24"/>
                <w:lang w:eastAsia="en-GB"/>
              </w:rPr>
            </w:pPr>
            <w:r w:rsidRPr="00BC4414">
              <w:rPr>
                <w:rFonts w:eastAsia="Times New Roman" w:cstheme="minorHAnsi"/>
                <w:szCs w:val="24"/>
                <w:lang w:eastAsia="en-GB"/>
              </w:rPr>
              <w:t>0.67 (0.56-0.70)</w:t>
            </w:r>
          </w:p>
        </w:tc>
        <w:tc>
          <w:tcPr>
            <w:tcW w:w="2126" w:type="dxa"/>
            <w:tcBorders>
              <w:top w:val="nil"/>
              <w:left w:val="single" w:sz="4" w:space="0" w:color="auto"/>
              <w:bottom w:val="nil"/>
              <w:right w:val="nil"/>
            </w:tcBorders>
            <w:shd w:val="clear" w:color="auto" w:fill="auto"/>
            <w:noWrap/>
            <w:vAlign w:val="bottom"/>
            <w:hideMark/>
          </w:tcPr>
          <w:p w14:paraId="5842D454" w14:textId="77777777" w:rsidR="003C44AE" w:rsidRPr="00BC4414" w:rsidRDefault="003C44AE" w:rsidP="003C44AE">
            <w:pPr>
              <w:spacing w:after="0" w:line="240" w:lineRule="auto"/>
              <w:jc w:val="center"/>
              <w:rPr>
                <w:rFonts w:eastAsia="Times New Roman" w:cstheme="minorHAnsi"/>
                <w:szCs w:val="24"/>
                <w:lang w:eastAsia="en-GB"/>
              </w:rPr>
            </w:pPr>
            <w:r w:rsidRPr="00BC4414">
              <w:rPr>
                <w:rFonts w:eastAsia="Times New Roman" w:cstheme="minorHAnsi"/>
                <w:szCs w:val="24"/>
                <w:lang w:eastAsia="en-GB"/>
              </w:rPr>
              <w:t>0.72 (0.55-0.81)</w:t>
            </w:r>
          </w:p>
        </w:tc>
      </w:tr>
      <w:tr w:rsidR="003C44AE" w:rsidRPr="00BC4414" w14:paraId="5462F8BA" w14:textId="77777777" w:rsidTr="008A4C70">
        <w:trPr>
          <w:trHeight w:val="288"/>
          <w:jc w:val="center"/>
        </w:trPr>
        <w:tc>
          <w:tcPr>
            <w:tcW w:w="960" w:type="dxa"/>
            <w:tcBorders>
              <w:top w:val="nil"/>
              <w:left w:val="nil"/>
              <w:bottom w:val="nil"/>
              <w:right w:val="nil"/>
            </w:tcBorders>
            <w:shd w:val="clear" w:color="auto" w:fill="auto"/>
            <w:noWrap/>
            <w:vAlign w:val="bottom"/>
            <w:hideMark/>
          </w:tcPr>
          <w:p w14:paraId="33E46ED5" w14:textId="77777777" w:rsidR="003C44AE" w:rsidRPr="00BC4414" w:rsidRDefault="003C44AE" w:rsidP="003C44AE">
            <w:pPr>
              <w:spacing w:after="0" w:line="240" w:lineRule="auto"/>
              <w:rPr>
                <w:rFonts w:eastAsia="Times New Roman" w:cstheme="minorHAnsi"/>
                <w:b/>
                <w:bCs/>
                <w:szCs w:val="24"/>
                <w:lang w:eastAsia="en-GB"/>
              </w:rPr>
            </w:pPr>
            <w:r w:rsidRPr="00BC4414">
              <w:rPr>
                <w:rFonts w:eastAsia="Times New Roman" w:cstheme="minorHAnsi"/>
                <w:b/>
                <w:bCs/>
                <w:szCs w:val="24"/>
                <w:lang w:eastAsia="en-GB"/>
              </w:rPr>
              <w:t>CrCP</w:t>
            </w:r>
          </w:p>
        </w:tc>
        <w:tc>
          <w:tcPr>
            <w:tcW w:w="2180" w:type="dxa"/>
            <w:tcBorders>
              <w:top w:val="nil"/>
              <w:left w:val="single" w:sz="4" w:space="0" w:color="auto"/>
              <w:bottom w:val="nil"/>
              <w:right w:val="nil"/>
            </w:tcBorders>
            <w:shd w:val="clear" w:color="auto" w:fill="auto"/>
            <w:noWrap/>
            <w:vAlign w:val="bottom"/>
            <w:hideMark/>
          </w:tcPr>
          <w:p w14:paraId="5D7CB140" w14:textId="77777777" w:rsidR="003C44AE" w:rsidRPr="00BC4414" w:rsidRDefault="003C44AE" w:rsidP="003C44AE">
            <w:pPr>
              <w:spacing w:after="0" w:line="240" w:lineRule="auto"/>
              <w:jc w:val="center"/>
              <w:rPr>
                <w:rFonts w:eastAsia="Times New Roman" w:cstheme="minorHAnsi"/>
                <w:szCs w:val="24"/>
                <w:lang w:eastAsia="en-GB"/>
              </w:rPr>
            </w:pPr>
            <w:r w:rsidRPr="00BC4414">
              <w:rPr>
                <w:rFonts w:eastAsia="Times New Roman" w:cstheme="minorHAnsi"/>
                <w:szCs w:val="24"/>
                <w:lang w:eastAsia="en-GB"/>
              </w:rPr>
              <w:t>18.17 (15.29-21.34)</w:t>
            </w:r>
          </w:p>
        </w:tc>
        <w:tc>
          <w:tcPr>
            <w:tcW w:w="2093" w:type="dxa"/>
            <w:tcBorders>
              <w:top w:val="nil"/>
              <w:left w:val="single" w:sz="4" w:space="0" w:color="auto"/>
              <w:bottom w:val="nil"/>
              <w:right w:val="nil"/>
            </w:tcBorders>
            <w:shd w:val="clear" w:color="auto" w:fill="auto"/>
            <w:noWrap/>
            <w:vAlign w:val="bottom"/>
            <w:hideMark/>
          </w:tcPr>
          <w:p w14:paraId="13A8D638" w14:textId="77777777" w:rsidR="003C44AE" w:rsidRPr="00BC4414" w:rsidRDefault="003C44AE" w:rsidP="003C44AE">
            <w:pPr>
              <w:spacing w:after="0" w:line="240" w:lineRule="auto"/>
              <w:jc w:val="center"/>
              <w:rPr>
                <w:rFonts w:eastAsia="Times New Roman" w:cstheme="minorHAnsi"/>
                <w:szCs w:val="24"/>
                <w:lang w:eastAsia="en-GB"/>
              </w:rPr>
            </w:pPr>
            <w:r w:rsidRPr="00BC4414">
              <w:rPr>
                <w:rFonts w:eastAsia="Times New Roman" w:cstheme="minorHAnsi"/>
                <w:szCs w:val="24"/>
                <w:lang w:eastAsia="en-GB"/>
              </w:rPr>
              <w:t>24.63 (22.85-28.15)</w:t>
            </w:r>
          </w:p>
        </w:tc>
        <w:tc>
          <w:tcPr>
            <w:tcW w:w="2126" w:type="dxa"/>
            <w:tcBorders>
              <w:top w:val="nil"/>
              <w:left w:val="single" w:sz="4" w:space="0" w:color="auto"/>
              <w:bottom w:val="nil"/>
              <w:right w:val="nil"/>
            </w:tcBorders>
            <w:shd w:val="clear" w:color="auto" w:fill="auto"/>
            <w:noWrap/>
            <w:vAlign w:val="bottom"/>
            <w:hideMark/>
          </w:tcPr>
          <w:p w14:paraId="4F2EE062" w14:textId="77777777" w:rsidR="003C44AE" w:rsidRPr="00BC4414" w:rsidRDefault="003C44AE" w:rsidP="003C44AE">
            <w:pPr>
              <w:spacing w:after="0" w:line="240" w:lineRule="auto"/>
              <w:jc w:val="center"/>
              <w:rPr>
                <w:rFonts w:eastAsia="Times New Roman" w:cstheme="minorHAnsi"/>
                <w:szCs w:val="24"/>
                <w:lang w:eastAsia="en-GB"/>
              </w:rPr>
            </w:pPr>
            <w:r w:rsidRPr="00BC4414">
              <w:rPr>
                <w:rFonts w:eastAsia="Times New Roman" w:cstheme="minorHAnsi"/>
                <w:szCs w:val="24"/>
                <w:lang w:eastAsia="en-GB"/>
              </w:rPr>
              <w:t>22.50 (20.43-22.80)</w:t>
            </w:r>
          </w:p>
        </w:tc>
      </w:tr>
      <w:tr w:rsidR="003C44AE" w:rsidRPr="00BC4414" w14:paraId="46DDE76F" w14:textId="77777777" w:rsidTr="008A4C70">
        <w:trPr>
          <w:trHeight w:val="288"/>
          <w:jc w:val="center"/>
        </w:trPr>
        <w:tc>
          <w:tcPr>
            <w:tcW w:w="960" w:type="dxa"/>
            <w:tcBorders>
              <w:top w:val="nil"/>
              <w:left w:val="nil"/>
              <w:bottom w:val="single" w:sz="4" w:space="0" w:color="auto"/>
              <w:right w:val="nil"/>
            </w:tcBorders>
            <w:shd w:val="clear" w:color="auto" w:fill="auto"/>
            <w:noWrap/>
            <w:vAlign w:val="bottom"/>
            <w:hideMark/>
          </w:tcPr>
          <w:p w14:paraId="32B213FE" w14:textId="77777777" w:rsidR="003C44AE" w:rsidRPr="00BC4414" w:rsidRDefault="003C44AE" w:rsidP="003C44AE">
            <w:pPr>
              <w:spacing w:after="0" w:line="240" w:lineRule="auto"/>
              <w:rPr>
                <w:rFonts w:eastAsia="Times New Roman" w:cstheme="minorHAnsi"/>
                <w:b/>
                <w:bCs/>
                <w:szCs w:val="24"/>
                <w:lang w:eastAsia="en-GB"/>
              </w:rPr>
            </w:pPr>
            <w:r w:rsidRPr="00BC4414">
              <w:rPr>
                <w:rFonts w:eastAsia="Times New Roman" w:cstheme="minorHAnsi"/>
                <w:b/>
                <w:bCs/>
                <w:szCs w:val="24"/>
                <w:lang w:eastAsia="en-GB"/>
              </w:rPr>
              <w:t>DCM</w:t>
            </w:r>
          </w:p>
        </w:tc>
        <w:tc>
          <w:tcPr>
            <w:tcW w:w="2180" w:type="dxa"/>
            <w:tcBorders>
              <w:top w:val="nil"/>
              <w:left w:val="single" w:sz="4" w:space="0" w:color="auto"/>
              <w:bottom w:val="single" w:sz="4" w:space="0" w:color="auto"/>
              <w:right w:val="nil"/>
            </w:tcBorders>
            <w:shd w:val="clear" w:color="auto" w:fill="auto"/>
            <w:noWrap/>
            <w:vAlign w:val="bottom"/>
            <w:hideMark/>
          </w:tcPr>
          <w:p w14:paraId="74B5D65B" w14:textId="30ADC6E6" w:rsidR="003C44AE" w:rsidRPr="00BC4414" w:rsidRDefault="003C44AE" w:rsidP="003C44AE">
            <w:pPr>
              <w:spacing w:after="0" w:line="240" w:lineRule="auto"/>
              <w:jc w:val="center"/>
              <w:rPr>
                <w:rFonts w:eastAsia="Times New Roman" w:cstheme="minorHAnsi"/>
                <w:szCs w:val="24"/>
                <w:lang w:eastAsia="en-GB"/>
              </w:rPr>
            </w:pPr>
            <w:r w:rsidRPr="00BC4414">
              <w:rPr>
                <w:rFonts w:eastAsia="Times New Roman" w:cstheme="minorHAnsi"/>
                <w:szCs w:val="24"/>
                <w:lang w:eastAsia="en-GB"/>
              </w:rPr>
              <w:t>34.56 (28.61-36.</w:t>
            </w:r>
            <w:proofErr w:type="gramStart"/>
            <w:r w:rsidRPr="00BC4414">
              <w:rPr>
                <w:rFonts w:eastAsia="Times New Roman" w:cstheme="minorHAnsi"/>
                <w:szCs w:val="24"/>
                <w:lang w:eastAsia="en-GB"/>
              </w:rPr>
              <w:t>10)</w:t>
            </w:r>
            <w:r w:rsidR="00A27C18">
              <w:rPr>
                <w:rFonts w:eastAsia="Times New Roman" w:cstheme="minorHAnsi"/>
                <w:szCs w:val="24"/>
                <w:lang w:eastAsia="en-GB"/>
              </w:rPr>
              <w:t>*</w:t>
            </w:r>
            <w:proofErr w:type="gramEnd"/>
            <w:r w:rsidR="00A27C18" w:rsidRPr="008A4C70">
              <w:rPr>
                <w:rFonts w:eastAsia="Times New Roman" w:cstheme="minorHAnsi"/>
                <w:szCs w:val="24"/>
                <w:vertAlign w:val="superscript"/>
                <w:lang w:eastAsia="en-GB"/>
              </w:rPr>
              <w:t>,</w:t>
            </w:r>
            <w:r w:rsidR="00A27C18">
              <w:rPr>
                <w:rFonts w:eastAsia="Times New Roman" w:cstheme="minorHAnsi"/>
                <w:szCs w:val="24"/>
                <w:lang w:eastAsia="en-GB"/>
              </w:rPr>
              <w:t>ᶧ</w:t>
            </w:r>
          </w:p>
        </w:tc>
        <w:tc>
          <w:tcPr>
            <w:tcW w:w="2093" w:type="dxa"/>
            <w:tcBorders>
              <w:top w:val="nil"/>
              <w:left w:val="single" w:sz="4" w:space="0" w:color="auto"/>
              <w:bottom w:val="single" w:sz="4" w:space="0" w:color="auto"/>
              <w:right w:val="nil"/>
            </w:tcBorders>
            <w:shd w:val="clear" w:color="auto" w:fill="auto"/>
            <w:noWrap/>
            <w:vAlign w:val="bottom"/>
            <w:hideMark/>
          </w:tcPr>
          <w:p w14:paraId="7EED4E27" w14:textId="130A0FB2" w:rsidR="003C44AE" w:rsidRPr="00BC4414" w:rsidRDefault="003C44AE" w:rsidP="003C44AE">
            <w:pPr>
              <w:spacing w:after="0" w:line="240" w:lineRule="auto"/>
              <w:jc w:val="center"/>
              <w:rPr>
                <w:rFonts w:eastAsia="Times New Roman" w:cstheme="minorHAnsi"/>
                <w:szCs w:val="24"/>
                <w:lang w:eastAsia="en-GB"/>
              </w:rPr>
            </w:pPr>
            <w:r w:rsidRPr="00BC4414">
              <w:rPr>
                <w:rFonts w:eastAsia="Times New Roman" w:cstheme="minorHAnsi"/>
                <w:szCs w:val="24"/>
                <w:lang w:eastAsia="en-GB"/>
              </w:rPr>
              <w:t>24.53 (21.52-30.</w:t>
            </w:r>
            <w:proofErr w:type="gramStart"/>
            <w:r w:rsidRPr="00BC4414">
              <w:rPr>
                <w:rFonts w:eastAsia="Times New Roman" w:cstheme="minorHAnsi"/>
                <w:szCs w:val="24"/>
                <w:lang w:eastAsia="en-GB"/>
              </w:rPr>
              <w:t>13)</w:t>
            </w:r>
            <w:r w:rsidR="00A27C18">
              <w:rPr>
                <w:rFonts w:eastAsia="Times New Roman" w:cstheme="minorHAnsi"/>
                <w:szCs w:val="24"/>
                <w:lang w:eastAsia="en-GB"/>
              </w:rPr>
              <w:t>*</w:t>
            </w:r>
            <w:proofErr w:type="gramEnd"/>
          </w:p>
        </w:tc>
        <w:tc>
          <w:tcPr>
            <w:tcW w:w="2126" w:type="dxa"/>
            <w:tcBorders>
              <w:top w:val="nil"/>
              <w:left w:val="single" w:sz="4" w:space="0" w:color="auto"/>
              <w:bottom w:val="single" w:sz="4" w:space="0" w:color="auto"/>
              <w:right w:val="nil"/>
            </w:tcBorders>
            <w:shd w:val="clear" w:color="auto" w:fill="auto"/>
            <w:noWrap/>
            <w:vAlign w:val="bottom"/>
            <w:hideMark/>
          </w:tcPr>
          <w:p w14:paraId="70DC19FD" w14:textId="5B5D986F" w:rsidR="003C44AE" w:rsidRPr="00BC4414" w:rsidRDefault="003C44AE" w:rsidP="003C44AE">
            <w:pPr>
              <w:spacing w:after="0" w:line="240" w:lineRule="auto"/>
              <w:jc w:val="center"/>
              <w:rPr>
                <w:rFonts w:eastAsia="Times New Roman" w:cstheme="minorHAnsi"/>
                <w:szCs w:val="24"/>
                <w:lang w:eastAsia="en-GB"/>
              </w:rPr>
            </w:pPr>
            <w:r w:rsidRPr="00BC4414">
              <w:rPr>
                <w:rFonts w:eastAsia="Times New Roman" w:cstheme="minorHAnsi"/>
                <w:szCs w:val="24"/>
                <w:lang w:eastAsia="en-GB"/>
              </w:rPr>
              <w:t>22.10 (20.31-26.</w:t>
            </w:r>
            <w:proofErr w:type="gramStart"/>
            <w:r w:rsidRPr="00BC4414">
              <w:rPr>
                <w:rFonts w:eastAsia="Times New Roman" w:cstheme="minorHAnsi"/>
                <w:szCs w:val="24"/>
                <w:lang w:eastAsia="en-GB"/>
              </w:rPr>
              <w:t>54)</w:t>
            </w:r>
            <w:r w:rsidR="00A27C18">
              <w:rPr>
                <w:rFonts w:eastAsia="Times New Roman" w:cstheme="minorHAnsi"/>
                <w:szCs w:val="24"/>
                <w:lang w:eastAsia="en-GB"/>
              </w:rPr>
              <w:t>ᶧ</w:t>
            </w:r>
            <w:proofErr w:type="gramEnd"/>
          </w:p>
        </w:tc>
      </w:tr>
    </w:tbl>
    <w:p w14:paraId="34300950" w14:textId="77777777" w:rsidR="00FC0C19" w:rsidRDefault="00FC0C19" w:rsidP="00FC0C19">
      <w:pPr>
        <w:spacing w:line="240" w:lineRule="auto"/>
        <w:jc w:val="both"/>
        <w:rPr>
          <w:rFonts w:cstheme="minorHAnsi"/>
          <w:sz w:val="20"/>
          <w:szCs w:val="24"/>
        </w:rPr>
      </w:pPr>
    </w:p>
    <w:p w14:paraId="4FD201FE" w14:textId="6D05DFA1" w:rsidR="00FC0C19" w:rsidRDefault="00FC0C19" w:rsidP="00FC0C19">
      <w:pPr>
        <w:spacing w:line="240" w:lineRule="auto"/>
        <w:jc w:val="both"/>
        <w:rPr>
          <w:rFonts w:cstheme="minorHAnsi"/>
          <w:sz w:val="20"/>
          <w:szCs w:val="24"/>
        </w:rPr>
      </w:pPr>
      <w:r w:rsidRPr="002447EA">
        <w:rPr>
          <w:rFonts w:cstheme="minorHAnsi"/>
          <w:b/>
          <w:sz w:val="20"/>
          <w:szCs w:val="24"/>
        </w:rPr>
        <w:lastRenderedPageBreak/>
        <w:t>Abbreviations:</w:t>
      </w:r>
      <w:r w:rsidRPr="002447EA">
        <w:rPr>
          <w:rFonts w:cstheme="minorHAnsi"/>
          <w:sz w:val="20"/>
          <w:szCs w:val="24"/>
        </w:rPr>
        <w:t xml:space="preserve"> ABP, arterial blood pressure</w:t>
      </w:r>
      <w:r>
        <w:rPr>
          <w:rFonts w:cstheme="minorHAnsi"/>
          <w:sz w:val="20"/>
          <w:szCs w:val="24"/>
        </w:rPr>
        <w:t xml:space="preserve"> (</w:t>
      </w:r>
      <w:r w:rsidR="001D110E">
        <w:rPr>
          <w:rFonts w:cstheme="minorHAnsi"/>
          <w:sz w:val="20"/>
          <w:szCs w:val="24"/>
        </w:rPr>
        <w:t>mmHg</w:t>
      </w:r>
      <w:r>
        <w:rPr>
          <w:rFonts w:cstheme="minorHAnsi"/>
          <w:sz w:val="20"/>
          <w:szCs w:val="24"/>
        </w:rPr>
        <w:t>)</w:t>
      </w:r>
      <w:r w:rsidRPr="002447EA">
        <w:rPr>
          <w:rFonts w:cstheme="minorHAnsi"/>
          <w:sz w:val="20"/>
          <w:szCs w:val="24"/>
        </w:rPr>
        <w:t>; FV, cerebral blood flow velocity</w:t>
      </w:r>
      <w:r>
        <w:rPr>
          <w:rFonts w:cstheme="minorHAnsi"/>
          <w:sz w:val="20"/>
          <w:szCs w:val="24"/>
        </w:rPr>
        <w:t xml:space="preserve"> (cm/s)</w:t>
      </w:r>
      <w:r w:rsidRPr="002447EA">
        <w:rPr>
          <w:rFonts w:cstheme="minorHAnsi"/>
          <w:sz w:val="20"/>
          <w:szCs w:val="24"/>
        </w:rPr>
        <w:t>; PI, pulsatility index</w:t>
      </w:r>
      <w:r>
        <w:rPr>
          <w:rFonts w:cstheme="minorHAnsi"/>
          <w:sz w:val="20"/>
          <w:szCs w:val="24"/>
        </w:rPr>
        <w:t xml:space="preserve"> (</w:t>
      </w:r>
      <w:proofErr w:type="spellStart"/>
      <w:r>
        <w:rPr>
          <w:rFonts w:cstheme="minorHAnsi"/>
          <w:sz w:val="20"/>
          <w:szCs w:val="24"/>
        </w:rPr>
        <w:t>a.u</w:t>
      </w:r>
      <w:proofErr w:type="spellEnd"/>
      <w:r>
        <w:rPr>
          <w:rFonts w:cstheme="minorHAnsi"/>
          <w:sz w:val="20"/>
          <w:szCs w:val="24"/>
        </w:rPr>
        <w:t>.)</w:t>
      </w:r>
      <w:r w:rsidRPr="002447EA">
        <w:rPr>
          <w:rFonts w:cstheme="minorHAnsi"/>
          <w:sz w:val="20"/>
          <w:szCs w:val="24"/>
        </w:rPr>
        <w:t>; nICP, non-invasive intracranial pressure</w:t>
      </w:r>
      <w:r>
        <w:rPr>
          <w:rFonts w:cstheme="minorHAnsi"/>
          <w:sz w:val="20"/>
          <w:szCs w:val="24"/>
        </w:rPr>
        <w:t xml:space="preserve"> (</w:t>
      </w:r>
      <w:r w:rsidR="001D110E">
        <w:rPr>
          <w:rFonts w:cstheme="minorHAnsi"/>
          <w:sz w:val="20"/>
          <w:szCs w:val="24"/>
        </w:rPr>
        <w:t>mmHg</w:t>
      </w:r>
      <w:r>
        <w:rPr>
          <w:rFonts w:cstheme="minorHAnsi"/>
          <w:sz w:val="20"/>
          <w:szCs w:val="24"/>
        </w:rPr>
        <w:t>)</w:t>
      </w:r>
      <w:r w:rsidRPr="002447EA">
        <w:rPr>
          <w:rFonts w:cstheme="minorHAnsi"/>
          <w:sz w:val="20"/>
          <w:szCs w:val="24"/>
        </w:rPr>
        <w:t>; nCPP, non-invasive cerebral perfusion pressure</w:t>
      </w:r>
      <w:r>
        <w:rPr>
          <w:rFonts w:cstheme="minorHAnsi"/>
          <w:sz w:val="20"/>
          <w:szCs w:val="24"/>
        </w:rPr>
        <w:t xml:space="preserve"> (</w:t>
      </w:r>
      <w:r w:rsidR="001D110E">
        <w:rPr>
          <w:rFonts w:cstheme="minorHAnsi"/>
          <w:sz w:val="20"/>
          <w:szCs w:val="24"/>
        </w:rPr>
        <w:t>mmHg</w:t>
      </w:r>
      <w:r>
        <w:rPr>
          <w:rFonts w:cstheme="minorHAnsi"/>
          <w:sz w:val="20"/>
          <w:szCs w:val="24"/>
        </w:rPr>
        <w:t>)</w:t>
      </w:r>
      <w:r w:rsidRPr="002447EA">
        <w:rPr>
          <w:rFonts w:cstheme="minorHAnsi"/>
          <w:sz w:val="20"/>
          <w:szCs w:val="24"/>
        </w:rPr>
        <w:t>; Mxa, cerebral autoregulation index</w:t>
      </w:r>
      <w:r>
        <w:rPr>
          <w:rFonts w:cstheme="minorHAnsi"/>
          <w:sz w:val="20"/>
          <w:szCs w:val="24"/>
        </w:rPr>
        <w:t xml:space="preserve"> (</w:t>
      </w:r>
      <w:proofErr w:type="spellStart"/>
      <w:r>
        <w:rPr>
          <w:rFonts w:cstheme="minorHAnsi"/>
          <w:sz w:val="20"/>
          <w:szCs w:val="24"/>
        </w:rPr>
        <w:t>a.u</w:t>
      </w:r>
      <w:proofErr w:type="spellEnd"/>
      <w:r>
        <w:rPr>
          <w:rFonts w:cstheme="minorHAnsi"/>
          <w:sz w:val="20"/>
          <w:szCs w:val="24"/>
        </w:rPr>
        <w:t>.)</w:t>
      </w:r>
      <w:r w:rsidRPr="002447EA">
        <w:rPr>
          <w:rFonts w:cstheme="minorHAnsi"/>
          <w:sz w:val="20"/>
          <w:szCs w:val="24"/>
        </w:rPr>
        <w:t>; CrCP, critical closing pressure</w:t>
      </w:r>
      <w:r>
        <w:rPr>
          <w:rFonts w:cstheme="minorHAnsi"/>
          <w:sz w:val="20"/>
          <w:szCs w:val="24"/>
        </w:rPr>
        <w:t xml:space="preserve"> (</w:t>
      </w:r>
      <w:r w:rsidR="001D110E">
        <w:rPr>
          <w:rFonts w:cstheme="minorHAnsi"/>
          <w:sz w:val="20"/>
          <w:szCs w:val="24"/>
        </w:rPr>
        <w:t>mmHg</w:t>
      </w:r>
      <w:r>
        <w:rPr>
          <w:rFonts w:cstheme="minorHAnsi"/>
          <w:sz w:val="20"/>
          <w:szCs w:val="24"/>
        </w:rPr>
        <w:t>)</w:t>
      </w:r>
      <w:r w:rsidRPr="002447EA">
        <w:rPr>
          <w:rFonts w:cstheme="minorHAnsi"/>
          <w:sz w:val="20"/>
          <w:szCs w:val="24"/>
        </w:rPr>
        <w:t>; DCM, diastolic closing margin</w:t>
      </w:r>
      <w:r>
        <w:rPr>
          <w:rFonts w:cstheme="minorHAnsi"/>
          <w:sz w:val="20"/>
          <w:szCs w:val="24"/>
        </w:rPr>
        <w:t xml:space="preserve"> (</w:t>
      </w:r>
      <w:r w:rsidR="001D110E">
        <w:rPr>
          <w:rFonts w:cstheme="minorHAnsi"/>
          <w:sz w:val="20"/>
          <w:szCs w:val="24"/>
        </w:rPr>
        <w:t>mmHg</w:t>
      </w:r>
      <w:r>
        <w:rPr>
          <w:rFonts w:cstheme="minorHAnsi"/>
          <w:sz w:val="20"/>
          <w:szCs w:val="24"/>
        </w:rPr>
        <w:t>)</w:t>
      </w:r>
      <w:r w:rsidR="0061084C">
        <w:rPr>
          <w:rFonts w:cstheme="minorHAnsi"/>
          <w:sz w:val="20"/>
          <w:szCs w:val="24"/>
        </w:rPr>
        <w:t>; OLT, orthotopic liver transplant;</w:t>
      </w:r>
      <w:r w:rsidRPr="002447EA">
        <w:rPr>
          <w:rFonts w:cstheme="minorHAnsi"/>
          <w:sz w:val="20"/>
          <w:szCs w:val="24"/>
        </w:rPr>
        <w:t xml:space="preserve"> </w:t>
      </w:r>
      <w:r w:rsidR="005B64F1">
        <w:rPr>
          <w:rFonts w:cstheme="minorHAnsi"/>
          <w:sz w:val="20"/>
          <w:szCs w:val="24"/>
        </w:rPr>
        <w:t xml:space="preserve">IQR, interquartile range; </w:t>
      </w:r>
      <w:r w:rsidRPr="002447EA">
        <w:rPr>
          <w:rFonts w:cstheme="minorHAnsi"/>
          <w:sz w:val="20"/>
          <w:szCs w:val="24"/>
        </w:rPr>
        <w:t>T0, dissection phase; T1, anhepatic phase; T2, reperfusion phase.</w:t>
      </w:r>
    </w:p>
    <w:p w14:paraId="33B7EF7C" w14:textId="2D10D3EE" w:rsidR="004D751A" w:rsidRPr="002447EA" w:rsidRDefault="004D751A" w:rsidP="00FC0C19">
      <w:pPr>
        <w:spacing w:line="240" w:lineRule="auto"/>
        <w:jc w:val="both"/>
        <w:rPr>
          <w:rFonts w:cstheme="minorHAnsi"/>
          <w:sz w:val="20"/>
          <w:szCs w:val="24"/>
        </w:rPr>
      </w:pPr>
      <w:proofErr w:type="gramStart"/>
      <w:r>
        <w:rPr>
          <w:rFonts w:eastAsia="Times New Roman" w:cstheme="minorHAnsi"/>
          <w:szCs w:val="24"/>
          <w:lang w:eastAsia="en-GB"/>
        </w:rPr>
        <w:t>*</w:t>
      </w:r>
      <w:r w:rsidRPr="002447EA">
        <w:rPr>
          <w:rFonts w:eastAsia="Times New Roman" w:cstheme="minorHAnsi"/>
          <w:szCs w:val="24"/>
          <w:vertAlign w:val="superscript"/>
          <w:lang w:eastAsia="en-GB"/>
        </w:rPr>
        <w:t>,</w:t>
      </w:r>
      <w:r>
        <w:rPr>
          <w:rFonts w:eastAsia="Times New Roman" w:cstheme="minorHAnsi"/>
          <w:szCs w:val="24"/>
          <w:lang w:eastAsia="en-GB"/>
        </w:rPr>
        <w:t>ᶧ</w:t>
      </w:r>
      <w:proofErr w:type="gramEnd"/>
      <w:r>
        <w:rPr>
          <w:rFonts w:eastAsia="Times New Roman" w:cstheme="minorHAnsi"/>
          <w:szCs w:val="24"/>
          <w:lang w:eastAsia="en-GB"/>
        </w:rPr>
        <w:t xml:space="preserve"> pairwise comparisons are statistically significant (p &lt;0.05).</w:t>
      </w:r>
    </w:p>
    <w:p w14:paraId="28356E11" w14:textId="77777777" w:rsidR="006544E6" w:rsidRPr="003D0C88" w:rsidRDefault="006544E6" w:rsidP="00EF3E56">
      <w:pPr>
        <w:spacing w:line="360" w:lineRule="auto"/>
        <w:jc w:val="both"/>
        <w:rPr>
          <w:rFonts w:cstheme="minorHAnsi"/>
          <w:sz w:val="24"/>
          <w:szCs w:val="24"/>
        </w:rPr>
      </w:pPr>
    </w:p>
    <w:p w14:paraId="24CC48FC" w14:textId="77777777" w:rsidR="001A5827" w:rsidRPr="003D0C88" w:rsidRDefault="001A5827" w:rsidP="003C44AE">
      <w:pPr>
        <w:pStyle w:val="Caption"/>
        <w:keepNext/>
        <w:rPr>
          <w:rFonts w:cstheme="minorHAnsi"/>
          <w:sz w:val="24"/>
          <w:szCs w:val="24"/>
        </w:rPr>
      </w:pPr>
    </w:p>
    <w:p w14:paraId="75972A1F" w14:textId="2533C442" w:rsidR="0017172E" w:rsidRPr="003D0C88" w:rsidRDefault="0017172E" w:rsidP="003C44AE">
      <w:pPr>
        <w:rPr>
          <w:rFonts w:cstheme="minorHAnsi"/>
          <w:sz w:val="24"/>
          <w:szCs w:val="24"/>
        </w:rPr>
        <w:sectPr w:rsidR="0017172E" w:rsidRPr="003D0C88" w:rsidSect="003C44AE">
          <w:pgSz w:w="16838" w:h="11906" w:orient="landscape"/>
          <w:pgMar w:top="709" w:right="1440" w:bottom="1440" w:left="1440" w:header="709" w:footer="709" w:gutter="0"/>
          <w:cols w:space="708"/>
          <w:docGrid w:linePitch="360"/>
        </w:sectPr>
      </w:pPr>
    </w:p>
    <w:p w14:paraId="4337EF8E" w14:textId="4FBCFE24" w:rsidR="003827C5" w:rsidRDefault="003C44AE" w:rsidP="00EF3E56">
      <w:pPr>
        <w:spacing w:line="360" w:lineRule="auto"/>
        <w:jc w:val="both"/>
        <w:rPr>
          <w:rFonts w:cstheme="minorHAnsi"/>
          <w:b/>
          <w:sz w:val="24"/>
          <w:szCs w:val="24"/>
        </w:rPr>
      </w:pPr>
      <w:r w:rsidRPr="003D0C88">
        <w:rPr>
          <w:rFonts w:cstheme="minorHAnsi"/>
          <w:b/>
          <w:sz w:val="24"/>
          <w:szCs w:val="24"/>
        </w:rPr>
        <w:lastRenderedPageBreak/>
        <w:t>Figure</w:t>
      </w:r>
      <w:r w:rsidR="003E11BA">
        <w:rPr>
          <w:rFonts w:cstheme="minorHAnsi"/>
          <w:b/>
          <w:sz w:val="24"/>
          <w:szCs w:val="24"/>
        </w:rPr>
        <w:t>s</w:t>
      </w:r>
    </w:p>
    <w:p w14:paraId="556F090B" w14:textId="65F62CF6" w:rsidR="003E11BA" w:rsidRDefault="003E11BA" w:rsidP="00EF3E56">
      <w:pPr>
        <w:spacing w:line="360" w:lineRule="auto"/>
        <w:jc w:val="both"/>
        <w:rPr>
          <w:rFonts w:cstheme="minorHAnsi"/>
          <w:b/>
          <w:sz w:val="24"/>
          <w:szCs w:val="24"/>
        </w:rPr>
      </w:pPr>
      <w:r>
        <w:rPr>
          <w:rFonts w:cstheme="minorHAnsi"/>
          <w:b/>
          <w:noProof/>
          <w:sz w:val="24"/>
          <w:szCs w:val="24"/>
        </w:rPr>
        <w:drawing>
          <wp:inline distT="0" distB="0" distL="0" distR="0" wp14:anchorId="3027D0BB" wp14:editId="44651F28">
            <wp:extent cx="5251450" cy="6657112"/>
            <wp:effectExtent l="0" t="0" r="635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e 1. Monitoring example.tiff"/>
                    <pic:cNvPicPr/>
                  </pic:nvPicPr>
                  <pic:blipFill>
                    <a:blip r:embed="rId10"/>
                    <a:stretch>
                      <a:fillRect/>
                    </a:stretch>
                  </pic:blipFill>
                  <pic:spPr>
                    <a:xfrm>
                      <a:off x="0" y="0"/>
                      <a:ext cx="5252879" cy="6658924"/>
                    </a:xfrm>
                    <a:prstGeom prst="rect">
                      <a:avLst/>
                    </a:prstGeom>
                  </pic:spPr>
                </pic:pic>
              </a:graphicData>
            </a:graphic>
          </wp:inline>
        </w:drawing>
      </w:r>
    </w:p>
    <w:p w14:paraId="06253D35" w14:textId="6792A8DE" w:rsidR="00DA291C" w:rsidRPr="00092CE9" w:rsidRDefault="00F94E5A" w:rsidP="003E11BA">
      <w:pPr>
        <w:pStyle w:val="Caption"/>
        <w:jc w:val="both"/>
        <w:rPr>
          <w:rFonts w:cstheme="minorHAnsi"/>
          <w:b/>
          <w:i w:val="0"/>
          <w:color w:val="auto"/>
          <w:sz w:val="24"/>
          <w:szCs w:val="24"/>
        </w:rPr>
      </w:pPr>
      <w:r w:rsidRPr="00092CE9">
        <w:rPr>
          <w:rFonts w:cstheme="minorHAnsi"/>
          <w:i w:val="0"/>
          <w:color w:val="auto"/>
          <w:sz w:val="24"/>
          <w:szCs w:val="24"/>
        </w:rPr>
        <w:t xml:space="preserve">Figure </w:t>
      </w:r>
      <w:r w:rsidR="00464A24" w:rsidRPr="00092CE9">
        <w:rPr>
          <w:rFonts w:cstheme="minorHAnsi"/>
          <w:i w:val="0"/>
          <w:color w:val="auto"/>
          <w:sz w:val="24"/>
          <w:szCs w:val="24"/>
        </w:rPr>
        <w:fldChar w:fldCharType="begin"/>
      </w:r>
      <w:r w:rsidR="00464A24" w:rsidRPr="00092CE9">
        <w:rPr>
          <w:rFonts w:cstheme="minorHAnsi"/>
          <w:i w:val="0"/>
          <w:color w:val="auto"/>
          <w:sz w:val="24"/>
          <w:szCs w:val="24"/>
        </w:rPr>
        <w:instrText xml:space="preserve"> SEQ Figure \* ARABIC </w:instrText>
      </w:r>
      <w:r w:rsidR="00464A24" w:rsidRPr="00092CE9">
        <w:rPr>
          <w:rFonts w:cstheme="minorHAnsi"/>
          <w:i w:val="0"/>
          <w:color w:val="auto"/>
          <w:sz w:val="24"/>
          <w:szCs w:val="24"/>
        </w:rPr>
        <w:fldChar w:fldCharType="separate"/>
      </w:r>
      <w:r w:rsidRPr="00092CE9">
        <w:rPr>
          <w:rFonts w:cstheme="minorHAnsi"/>
          <w:i w:val="0"/>
          <w:noProof/>
          <w:color w:val="auto"/>
          <w:sz w:val="24"/>
          <w:szCs w:val="24"/>
        </w:rPr>
        <w:t>1</w:t>
      </w:r>
      <w:r w:rsidR="00464A24" w:rsidRPr="00092CE9">
        <w:rPr>
          <w:rFonts w:cstheme="minorHAnsi"/>
          <w:i w:val="0"/>
          <w:noProof/>
          <w:color w:val="auto"/>
          <w:sz w:val="24"/>
          <w:szCs w:val="24"/>
        </w:rPr>
        <w:fldChar w:fldCharType="end"/>
      </w:r>
      <w:r w:rsidR="00227D74" w:rsidRPr="00092CE9">
        <w:rPr>
          <w:rFonts w:cstheme="minorHAnsi"/>
          <w:i w:val="0"/>
          <w:color w:val="auto"/>
          <w:sz w:val="24"/>
          <w:szCs w:val="24"/>
        </w:rPr>
        <w:t>. Representation of multimodal monitoring per</w:t>
      </w:r>
      <w:r w:rsidR="0032411A" w:rsidRPr="00092CE9">
        <w:rPr>
          <w:rFonts w:cstheme="minorHAnsi"/>
          <w:i w:val="0"/>
          <w:color w:val="auto"/>
          <w:sz w:val="24"/>
          <w:szCs w:val="24"/>
        </w:rPr>
        <w:t>formed with transcranial Doppler during orthotopic liver transplant. This figure depicts “patient 5”</w:t>
      </w:r>
      <w:r w:rsidR="001A160B" w:rsidRPr="00092CE9">
        <w:rPr>
          <w:rFonts w:cstheme="minorHAnsi"/>
          <w:i w:val="0"/>
          <w:color w:val="auto"/>
          <w:sz w:val="24"/>
          <w:szCs w:val="24"/>
        </w:rPr>
        <w:t xml:space="preserve">, in which is possible to observe the overall changes in cerebral haemodynamics among different surgical phases. ABP, arterial blood pressure; </w:t>
      </w:r>
      <w:r w:rsidR="003C6484" w:rsidRPr="00092CE9">
        <w:rPr>
          <w:rFonts w:cstheme="minorHAnsi"/>
          <w:i w:val="0"/>
          <w:color w:val="auto"/>
          <w:sz w:val="24"/>
          <w:szCs w:val="24"/>
        </w:rPr>
        <w:t xml:space="preserve">FV, cerebral blood flow velocity; </w:t>
      </w:r>
      <w:r w:rsidR="001A160B" w:rsidRPr="00092CE9">
        <w:rPr>
          <w:rFonts w:cstheme="minorHAnsi"/>
          <w:i w:val="0"/>
          <w:color w:val="auto"/>
          <w:sz w:val="24"/>
          <w:szCs w:val="24"/>
        </w:rPr>
        <w:t>nICP, non-invasive intracranial pressure; nCPP, non-invasive cerebral perfusion pressure; CrCP, critical closing pressure; Mxa, autoregulation index; T0, dissection phase; T1, anhepatic phase; T2, reperfusion phase.</w:t>
      </w:r>
    </w:p>
    <w:p w14:paraId="53EE0402" w14:textId="37F00CD5" w:rsidR="00C33A87" w:rsidRPr="00092CE9" w:rsidRDefault="003E11BA" w:rsidP="00960FD1">
      <w:pPr>
        <w:keepNext/>
        <w:spacing w:line="480" w:lineRule="auto"/>
        <w:jc w:val="both"/>
        <w:rPr>
          <w:rFonts w:cstheme="minorHAnsi"/>
          <w:sz w:val="24"/>
          <w:szCs w:val="24"/>
        </w:rPr>
      </w:pPr>
      <w:r>
        <w:rPr>
          <w:rFonts w:cstheme="minorHAnsi"/>
          <w:noProof/>
          <w:sz w:val="24"/>
          <w:szCs w:val="24"/>
        </w:rPr>
        <w:lastRenderedPageBreak/>
        <w:drawing>
          <wp:inline distT="0" distB="0" distL="0" distR="0" wp14:anchorId="0F2920C6" wp14:editId="6880E933">
            <wp:extent cx="5731510" cy="1696085"/>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e 2. ABP, nICP and nCPP panel.tiff"/>
                    <pic:cNvPicPr/>
                  </pic:nvPicPr>
                  <pic:blipFill>
                    <a:blip r:embed="rId11"/>
                    <a:stretch>
                      <a:fillRect/>
                    </a:stretch>
                  </pic:blipFill>
                  <pic:spPr>
                    <a:xfrm>
                      <a:off x="0" y="0"/>
                      <a:ext cx="5731510" cy="1696085"/>
                    </a:xfrm>
                    <a:prstGeom prst="rect">
                      <a:avLst/>
                    </a:prstGeom>
                  </pic:spPr>
                </pic:pic>
              </a:graphicData>
            </a:graphic>
          </wp:inline>
        </w:drawing>
      </w:r>
    </w:p>
    <w:p w14:paraId="63930BB4" w14:textId="07F2A214" w:rsidR="00B23368" w:rsidRPr="008A4C70" w:rsidRDefault="00C33A87" w:rsidP="003E11BA">
      <w:pPr>
        <w:spacing w:line="240" w:lineRule="auto"/>
        <w:jc w:val="both"/>
        <w:rPr>
          <w:rFonts w:cstheme="minorHAnsi"/>
          <w:sz w:val="24"/>
          <w:szCs w:val="24"/>
        </w:rPr>
      </w:pPr>
      <w:r w:rsidRPr="008A4C70">
        <w:rPr>
          <w:rFonts w:cstheme="minorHAnsi"/>
          <w:sz w:val="24"/>
          <w:szCs w:val="24"/>
        </w:rPr>
        <w:t xml:space="preserve">Figure </w:t>
      </w:r>
      <w:r w:rsidR="00464A24" w:rsidRPr="008A4C70">
        <w:rPr>
          <w:rFonts w:cstheme="minorHAnsi"/>
          <w:sz w:val="24"/>
          <w:szCs w:val="24"/>
        </w:rPr>
        <w:fldChar w:fldCharType="begin"/>
      </w:r>
      <w:r w:rsidR="00464A24" w:rsidRPr="008A4C70">
        <w:rPr>
          <w:rFonts w:cstheme="minorHAnsi"/>
          <w:sz w:val="24"/>
          <w:szCs w:val="24"/>
        </w:rPr>
        <w:instrText xml:space="preserve"> SEQ Figure \* ARABIC </w:instrText>
      </w:r>
      <w:r w:rsidR="00464A24" w:rsidRPr="008A4C70">
        <w:rPr>
          <w:rFonts w:cstheme="minorHAnsi"/>
          <w:sz w:val="24"/>
          <w:szCs w:val="24"/>
        </w:rPr>
        <w:fldChar w:fldCharType="separate"/>
      </w:r>
      <w:r w:rsidR="00F94E5A" w:rsidRPr="008A4C70">
        <w:rPr>
          <w:rFonts w:cstheme="minorHAnsi"/>
          <w:noProof/>
          <w:sz w:val="24"/>
          <w:szCs w:val="24"/>
        </w:rPr>
        <w:t>2</w:t>
      </w:r>
      <w:r w:rsidR="00464A24" w:rsidRPr="008A4C70">
        <w:rPr>
          <w:rFonts w:cstheme="minorHAnsi"/>
          <w:noProof/>
          <w:sz w:val="24"/>
          <w:szCs w:val="24"/>
        </w:rPr>
        <w:fldChar w:fldCharType="end"/>
      </w:r>
      <w:r w:rsidR="00FA2F14" w:rsidRPr="008A4C70">
        <w:rPr>
          <w:rFonts w:cstheme="minorHAnsi"/>
          <w:sz w:val="24"/>
          <w:szCs w:val="24"/>
        </w:rPr>
        <w:t>. Longitudinal plots for (A) a</w:t>
      </w:r>
      <w:r w:rsidR="008C57FF" w:rsidRPr="008A4C70">
        <w:rPr>
          <w:rFonts w:cstheme="minorHAnsi"/>
          <w:sz w:val="24"/>
          <w:szCs w:val="24"/>
        </w:rPr>
        <w:t>rterial blood pressure (ABP)</w:t>
      </w:r>
      <w:r w:rsidR="00FA2F14" w:rsidRPr="008A4C70">
        <w:rPr>
          <w:rFonts w:cstheme="minorHAnsi"/>
          <w:sz w:val="24"/>
          <w:szCs w:val="24"/>
        </w:rPr>
        <w:t>, (B) non-invasive intracranial pressure (nICP) and (C) non-invasive cerebral perfusion pressure (nCPP) throughout OLT.</w:t>
      </w:r>
      <w:r w:rsidR="001A160B" w:rsidRPr="008A4C70">
        <w:rPr>
          <w:rFonts w:cstheme="minorHAnsi"/>
          <w:sz w:val="24"/>
          <w:szCs w:val="24"/>
        </w:rPr>
        <w:t xml:space="preserve"> Triangles on the plots represent the mean values for each variable at a specific surgical phase. Thick black lines represent the linear fit of the data; grey shadowed areas represent the 95% confidence interval of the linear model representative of the data.</w:t>
      </w:r>
      <w:r w:rsidR="00B23368" w:rsidRPr="008A4C70">
        <w:rPr>
          <w:rFonts w:cstheme="minorHAnsi"/>
          <w:sz w:val="24"/>
          <w:szCs w:val="24"/>
        </w:rPr>
        <w:t xml:space="preserve"> * </w:t>
      </w:r>
      <w:r w:rsidR="00B23368" w:rsidRPr="008A4C70">
        <w:rPr>
          <w:rFonts w:eastAsia="Times New Roman" w:cstheme="minorHAnsi"/>
          <w:sz w:val="24"/>
          <w:szCs w:val="24"/>
          <w:lang w:eastAsia="en-GB"/>
        </w:rPr>
        <w:t>pairwise comparison is statistically significant (p &lt;0.05).</w:t>
      </w:r>
    </w:p>
    <w:p w14:paraId="41C2934F" w14:textId="1B322177" w:rsidR="00C33A87" w:rsidRDefault="00C33A87" w:rsidP="00960FD1">
      <w:pPr>
        <w:keepNext/>
        <w:spacing w:line="480" w:lineRule="auto"/>
        <w:jc w:val="both"/>
        <w:rPr>
          <w:rFonts w:cstheme="minorHAnsi"/>
          <w:sz w:val="24"/>
          <w:szCs w:val="24"/>
        </w:rPr>
      </w:pPr>
    </w:p>
    <w:p w14:paraId="6D3A85DB" w14:textId="6F4BD926" w:rsidR="003E11BA" w:rsidRDefault="003E11BA" w:rsidP="00960FD1">
      <w:pPr>
        <w:keepNext/>
        <w:spacing w:line="480" w:lineRule="auto"/>
        <w:jc w:val="both"/>
        <w:rPr>
          <w:rFonts w:cstheme="minorHAnsi"/>
          <w:sz w:val="24"/>
          <w:szCs w:val="24"/>
        </w:rPr>
      </w:pPr>
      <w:r>
        <w:rPr>
          <w:rFonts w:cstheme="minorHAnsi"/>
          <w:noProof/>
          <w:sz w:val="24"/>
          <w:szCs w:val="24"/>
        </w:rPr>
        <w:drawing>
          <wp:inline distT="0" distB="0" distL="0" distR="0" wp14:anchorId="4BD67925" wp14:editId="286D1237">
            <wp:extent cx="5731510" cy="2846705"/>
            <wp:effectExtent l="0" t="0" r="254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ure 3. FV and PI.tiff"/>
                    <pic:cNvPicPr/>
                  </pic:nvPicPr>
                  <pic:blipFill>
                    <a:blip r:embed="rId12"/>
                    <a:stretch>
                      <a:fillRect/>
                    </a:stretch>
                  </pic:blipFill>
                  <pic:spPr>
                    <a:xfrm>
                      <a:off x="0" y="0"/>
                      <a:ext cx="5731510" cy="2846705"/>
                    </a:xfrm>
                    <a:prstGeom prst="rect">
                      <a:avLst/>
                    </a:prstGeom>
                  </pic:spPr>
                </pic:pic>
              </a:graphicData>
            </a:graphic>
          </wp:inline>
        </w:drawing>
      </w:r>
    </w:p>
    <w:p w14:paraId="609A1BD8" w14:textId="01218BF6" w:rsidR="005228F9" w:rsidRPr="00092CE9" w:rsidRDefault="00C33A87" w:rsidP="003E11BA">
      <w:pPr>
        <w:pStyle w:val="Caption"/>
        <w:jc w:val="both"/>
        <w:rPr>
          <w:rFonts w:cstheme="minorHAnsi"/>
          <w:i w:val="0"/>
          <w:noProof/>
          <w:color w:val="auto"/>
          <w:sz w:val="24"/>
          <w:szCs w:val="24"/>
          <w:lang w:eastAsia="en-GB"/>
        </w:rPr>
      </w:pPr>
      <w:r w:rsidRPr="00092CE9">
        <w:rPr>
          <w:rFonts w:cstheme="minorHAnsi"/>
          <w:i w:val="0"/>
          <w:color w:val="auto"/>
          <w:sz w:val="24"/>
          <w:szCs w:val="24"/>
        </w:rPr>
        <w:t xml:space="preserve">Figure </w:t>
      </w:r>
      <w:r w:rsidR="00464A24" w:rsidRPr="00092CE9">
        <w:rPr>
          <w:rFonts w:cstheme="minorHAnsi"/>
          <w:i w:val="0"/>
          <w:color w:val="auto"/>
          <w:sz w:val="24"/>
          <w:szCs w:val="24"/>
        </w:rPr>
        <w:fldChar w:fldCharType="begin"/>
      </w:r>
      <w:r w:rsidR="00464A24" w:rsidRPr="00092CE9">
        <w:rPr>
          <w:rFonts w:cstheme="minorHAnsi"/>
          <w:i w:val="0"/>
          <w:color w:val="auto"/>
          <w:sz w:val="24"/>
          <w:szCs w:val="24"/>
        </w:rPr>
        <w:instrText xml:space="preserve"> SEQ Figure \* ARABIC </w:instrText>
      </w:r>
      <w:r w:rsidR="00464A24" w:rsidRPr="00092CE9">
        <w:rPr>
          <w:rFonts w:cstheme="minorHAnsi"/>
          <w:i w:val="0"/>
          <w:color w:val="auto"/>
          <w:sz w:val="24"/>
          <w:szCs w:val="24"/>
        </w:rPr>
        <w:fldChar w:fldCharType="separate"/>
      </w:r>
      <w:r w:rsidR="00F94E5A" w:rsidRPr="00092CE9">
        <w:rPr>
          <w:rFonts w:cstheme="minorHAnsi"/>
          <w:i w:val="0"/>
          <w:noProof/>
          <w:color w:val="auto"/>
          <w:sz w:val="24"/>
          <w:szCs w:val="24"/>
        </w:rPr>
        <w:t>3</w:t>
      </w:r>
      <w:r w:rsidR="00464A24" w:rsidRPr="00092CE9">
        <w:rPr>
          <w:rFonts w:cstheme="minorHAnsi"/>
          <w:i w:val="0"/>
          <w:noProof/>
          <w:color w:val="auto"/>
          <w:sz w:val="24"/>
          <w:szCs w:val="24"/>
        </w:rPr>
        <w:fldChar w:fldCharType="end"/>
      </w:r>
      <w:r w:rsidR="00EB3352">
        <w:rPr>
          <w:rFonts w:cstheme="minorHAnsi"/>
          <w:i w:val="0"/>
          <w:noProof/>
          <w:color w:val="auto"/>
          <w:sz w:val="24"/>
          <w:szCs w:val="24"/>
        </w:rPr>
        <w:t>.</w:t>
      </w:r>
      <w:r w:rsidR="00FA2F14" w:rsidRPr="00092CE9">
        <w:rPr>
          <w:rFonts w:cstheme="minorHAnsi"/>
          <w:i w:val="0"/>
          <w:color w:val="auto"/>
          <w:sz w:val="24"/>
          <w:szCs w:val="24"/>
        </w:rPr>
        <w:t xml:space="preserve"> Longitudinal plots for (A) cerebral blood flow velocity (</w:t>
      </w:r>
      <w:r w:rsidR="009544F6" w:rsidRPr="00092CE9">
        <w:rPr>
          <w:rFonts w:cstheme="minorHAnsi"/>
          <w:i w:val="0"/>
          <w:color w:val="auto"/>
          <w:sz w:val="24"/>
          <w:szCs w:val="24"/>
        </w:rPr>
        <w:t>FV) and</w:t>
      </w:r>
      <w:r w:rsidR="00FA2F14" w:rsidRPr="00092CE9">
        <w:rPr>
          <w:rFonts w:cstheme="minorHAnsi"/>
          <w:i w:val="0"/>
          <w:color w:val="auto"/>
          <w:sz w:val="24"/>
          <w:szCs w:val="24"/>
        </w:rPr>
        <w:t xml:space="preserve"> (B) pulsatility index (PI) throughout OLT.</w:t>
      </w:r>
      <w:r w:rsidR="003C6484" w:rsidRPr="00092CE9">
        <w:rPr>
          <w:rFonts w:cstheme="minorHAnsi"/>
          <w:i w:val="0"/>
          <w:color w:val="auto"/>
          <w:sz w:val="24"/>
          <w:szCs w:val="24"/>
        </w:rPr>
        <w:t xml:space="preserve"> Triangles on the plots represent the mean values for each variable at a specific surgical phase. Thick black lines represent the linear fit of the data; grey shadowed areas represent the 95% confidence interval of the linear model representative of the data.</w:t>
      </w:r>
    </w:p>
    <w:p w14:paraId="62A0942E" w14:textId="55AB7983" w:rsidR="00C33A87" w:rsidRDefault="00C33A87" w:rsidP="00960FD1">
      <w:pPr>
        <w:keepNext/>
        <w:spacing w:line="480" w:lineRule="auto"/>
        <w:jc w:val="both"/>
        <w:rPr>
          <w:rFonts w:cstheme="minorHAnsi"/>
          <w:sz w:val="24"/>
          <w:szCs w:val="24"/>
        </w:rPr>
      </w:pPr>
    </w:p>
    <w:p w14:paraId="26AF6D4B" w14:textId="77777777" w:rsidR="00EB3352" w:rsidRDefault="00EB3352" w:rsidP="00960FD1">
      <w:pPr>
        <w:pStyle w:val="Caption"/>
        <w:spacing w:line="480" w:lineRule="auto"/>
        <w:jc w:val="both"/>
        <w:rPr>
          <w:rFonts w:cstheme="minorHAnsi"/>
          <w:i w:val="0"/>
          <w:color w:val="auto"/>
          <w:sz w:val="24"/>
          <w:szCs w:val="24"/>
        </w:rPr>
      </w:pPr>
    </w:p>
    <w:p w14:paraId="57C043A7" w14:textId="77777777" w:rsidR="003E11BA" w:rsidRDefault="003E11BA" w:rsidP="00960FD1">
      <w:pPr>
        <w:pStyle w:val="Caption"/>
        <w:spacing w:line="480" w:lineRule="auto"/>
        <w:jc w:val="both"/>
        <w:rPr>
          <w:rFonts w:cstheme="minorHAnsi"/>
          <w:i w:val="0"/>
          <w:color w:val="auto"/>
          <w:sz w:val="24"/>
          <w:szCs w:val="24"/>
        </w:rPr>
      </w:pPr>
    </w:p>
    <w:p w14:paraId="6BF2E35F" w14:textId="6AD0D83C" w:rsidR="003E11BA" w:rsidRDefault="003E11BA" w:rsidP="003E11BA">
      <w:pPr>
        <w:pStyle w:val="Caption"/>
        <w:spacing w:line="480" w:lineRule="auto"/>
        <w:jc w:val="center"/>
        <w:rPr>
          <w:rFonts w:cstheme="minorHAnsi"/>
          <w:i w:val="0"/>
          <w:color w:val="auto"/>
          <w:sz w:val="24"/>
          <w:szCs w:val="24"/>
        </w:rPr>
      </w:pPr>
      <w:r>
        <w:rPr>
          <w:rFonts w:cstheme="minorHAnsi"/>
          <w:i w:val="0"/>
          <w:noProof/>
          <w:color w:val="auto"/>
          <w:sz w:val="24"/>
          <w:szCs w:val="24"/>
        </w:rPr>
        <w:lastRenderedPageBreak/>
        <w:drawing>
          <wp:inline distT="0" distB="0" distL="0" distR="0" wp14:anchorId="69045FBE" wp14:editId="07078C5B">
            <wp:extent cx="4839970" cy="4414207"/>
            <wp:effectExtent l="0" t="0" r="0" b="571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gure 4. Autoregulation panel.tiff"/>
                    <pic:cNvPicPr/>
                  </pic:nvPicPr>
                  <pic:blipFill>
                    <a:blip r:embed="rId13"/>
                    <a:stretch>
                      <a:fillRect/>
                    </a:stretch>
                  </pic:blipFill>
                  <pic:spPr>
                    <a:xfrm>
                      <a:off x="0" y="0"/>
                      <a:ext cx="4840722" cy="4414893"/>
                    </a:xfrm>
                    <a:prstGeom prst="rect">
                      <a:avLst/>
                    </a:prstGeom>
                  </pic:spPr>
                </pic:pic>
              </a:graphicData>
            </a:graphic>
          </wp:inline>
        </w:drawing>
      </w:r>
    </w:p>
    <w:p w14:paraId="45618A91" w14:textId="05F03A22" w:rsidR="003C44AE" w:rsidRPr="00092CE9" w:rsidRDefault="00C33A87" w:rsidP="003E11BA">
      <w:pPr>
        <w:pStyle w:val="Caption"/>
        <w:jc w:val="both"/>
        <w:rPr>
          <w:rFonts w:cstheme="minorHAnsi"/>
          <w:i w:val="0"/>
          <w:color w:val="auto"/>
          <w:sz w:val="24"/>
          <w:szCs w:val="24"/>
        </w:rPr>
      </w:pPr>
      <w:r w:rsidRPr="00092CE9">
        <w:rPr>
          <w:rFonts w:cstheme="minorHAnsi"/>
          <w:i w:val="0"/>
          <w:color w:val="auto"/>
          <w:sz w:val="24"/>
          <w:szCs w:val="24"/>
        </w:rPr>
        <w:t xml:space="preserve">Figure </w:t>
      </w:r>
      <w:r w:rsidR="00464A24" w:rsidRPr="00092CE9">
        <w:rPr>
          <w:rFonts w:cstheme="minorHAnsi"/>
          <w:i w:val="0"/>
          <w:color w:val="auto"/>
          <w:sz w:val="24"/>
          <w:szCs w:val="24"/>
        </w:rPr>
        <w:fldChar w:fldCharType="begin"/>
      </w:r>
      <w:r w:rsidR="00464A24" w:rsidRPr="00092CE9">
        <w:rPr>
          <w:rFonts w:cstheme="minorHAnsi"/>
          <w:i w:val="0"/>
          <w:color w:val="auto"/>
          <w:sz w:val="24"/>
          <w:szCs w:val="24"/>
        </w:rPr>
        <w:instrText xml:space="preserve"> SEQ Figure \* ARABIC </w:instrText>
      </w:r>
      <w:r w:rsidR="00464A24" w:rsidRPr="00092CE9">
        <w:rPr>
          <w:rFonts w:cstheme="minorHAnsi"/>
          <w:i w:val="0"/>
          <w:color w:val="auto"/>
          <w:sz w:val="24"/>
          <w:szCs w:val="24"/>
        </w:rPr>
        <w:fldChar w:fldCharType="separate"/>
      </w:r>
      <w:r w:rsidR="00F94E5A" w:rsidRPr="00092CE9">
        <w:rPr>
          <w:rFonts w:cstheme="minorHAnsi"/>
          <w:i w:val="0"/>
          <w:noProof/>
          <w:color w:val="auto"/>
          <w:sz w:val="24"/>
          <w:szCs w:val="24"/>
        </w:rPr>
        <w:t>4</w:t>
      </w:r>
      <w:r w:rsidR="00464A24" w:rsidRPr="00092CE9">
        <w:rPr>
          <w:rFonts w:cstheme="minorHAnsi"/>
          <w:i w:val="0"/>
          <w:noProof/>
          <w:color w:val="auto"/>
          <w:sz w:val="24"/>
          <w:szCs w:val="24"/>
        </w:rPr>
        <w:fldChar w:fldCharType="end"/>
      </w:r>
      <w:r w:rsidR="0064120B" w:rsidRPr="00092CE9">
        <w:rPr>
          <w:rFonts w:cstheme="minorHAnsi"/>
          <w:i w:val="0"/>
          <w:color w:val="auto"/>
          <w:sz w:val="24"/>
          <w:szCs w:val="24"/>
        </w:rPr>
        <w:t>. Longitudinal plot</w:t>
      </w:r>
      <w:r w:rsidR="00FA2F14" w:rsidRPr="00092CE9">
        <w:rPr>
          <w:rFonts w:cstheme="minorHAnsi"/>
          <w:i w:val="0"/>
          <w:color w:val="auto"/>
          <w:sz w:val="24"/>
          <w:szCs w:val="24"/>
        </w:rPr>
        <w:t xml:space="preserve"> for autoregulation ind</w:t>
      </w:r>
      <w:r w:rsidR="00F94E5A" w:rsidRPr="00092CE9">
        <w:rPr>
          <w:rFonts w:cstheme="minorHAnsi"/>
          <w:i w:val="0"/>
          <w:color w:val="auto"/>
          <w:sz w:val="24"/>
          <w:szCs w:val="24"/>
        </w:rPr>
        <w:t>ex (Mxa).</w:t>
      </w:r>
      <w:r w:rsidR="003C6484" w:rsidRPr="00092CE9">
        <w:rPr>
          <w:rFonts w:cstheme="minorHAnsi"/>
          <w:i w:val="0"/>
          <w:color w:val="auto"/>
          <w:sz w:val="24"/>
          <w:szCs w:val="24"/>
        </w:rPr>
        <w:t xml:space="preserve"> Triangles on the plots represent the mean values for each variable at a specific surgical phase. Thick black line represents the linear fit of the data; grey shadowed areas represent the 95% confidence interval of the linear model representative of the data. </w:t>
      </w:r>
    </w:p>
    <w:p w14:paraId="4A0DBF0E" w14:textId="11A330E2" w:rsidR="003C44AE" w:rsidRDefault="003C44AE" w:rsidP="00960FD1">
      <w:pPr>
        <w:spacing w:line="480" w:lineRule="auto"/>
        <w:jc w:val="both"/>
        <w:rPr>
          <w:rFonts w:cstheme="minorHAnsi"/>
          <w:sz w:val="24"/>
          <w:szCs w:val="24"/>
        </w:rPr>
      </w:pPr>
    </w:p>
    <w:p w14:paraId="3C970C71" w14:textId="6BDD0839" w:rsidR="003E11BA" w:rsidRPr="00092CE9" w:rsidRDefault="003E11BA" w:rsidP="00960FD1">
      <w:pPr>
        <w:spacing w:line="480" w:lineRule="auto"/>
        <w:jc w:val="both"/>
        <w:rPr>
          <w:rFonts w:cstheme="minorHAnsi"/>
          <w:sz w:val="24"/>
          <w:szCs w:val="24"/>
        </w:rPr>
      </w:pPr>
      <w:r>
        <w:rPr>
          <w:rFonts w:cstheme="minorHAnsi"/>
          <w:noProof/>
          <w:sz w:val="24"/>
          <w:szCs w:val="24"/>
        </w:rPr>
        <w:lastRenderedPageBreak/>
        <w:drawing>
          <wp:inline distT="0" distB="0" distL="0" distR="0" wp14:anchorId="199150E5" wp14:editId="70FD3C99">
            <wp:extent cx="5731510" cy="2875915"/>
            <wp:effectExtent l="0" t="0" r="2540" b="63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igure 5. CrCP and DCM.tiff"/>
                    <pic:cNvPicPr/>
                  </pic:nvPicPr>
                  <pic:blipFill>
                    <a:blip r:embed="rId14"/>
                    <a:stretch>
                      <a:fillRect/>
                    </a:stretch>
                  </pic:blipFill>
                  <pic:spPr>
                    <a:xfrm>
                      <a:off x="0" y="0"/>
                      <a:ext cx="5731510" cy="2875915"/>
                    </a:xfrm>
                    <a:prstGeom prst="rect">
                      <a:avLst/>
                    </a:prstGeom>
                  </pic:spPr>
                </pic:pic>
              </a:graphicData>
            </a:graphic>
          </wp:inline>
        </w:drawing>
      </w:r>
    </w:p>
    <w:p w14:paraId="73875EA0" w14:textId="77777777" w:rsidR="00B23368" w:rsidRPr="008A4C70" w:rsidRDefault="00C33A87" w:rsidP="003E11BA">
      <w:pPr>
        <w:spacing w:line="240" w:lineRule="auto"/>
        <w:jc w:val="both"/>
        <w:rPr>
          <w:rFonts w:cstheme="minorHAnsi"/>
          <w:sz w:val="24"/>
          <w:szCs w:val="24"/>
        </w:rPr>
      </w:pPr>
      <w:r w:rsidRPr="008A4C70">
        <w:rPr>
          <w:rFonts w:cstheme="minorHAnsi"/>
          <w:sz w:val="24"/>
          <w:szCs w:val="24"/>
        </w:rPr>
        <w:t xml:space="preserve">Figure </w:t>
      </w:r>
      <w:r w:rsidR="00464A24" w:rsidRPr="008A4C70">
        <w:rPr>
          <w:rFonts w:cstheme="minorHAnsi"/>
          <w:sz w:val="24"/>
          <w:szCs w:val="24"/>
        </w:rPr>
        <w:fldChar w:fldCharType="begin"/>
      </w:r>
      <w:r w:rsidR="00464A24" w:rsidRPr="008A4C70">
        <w:rPr>
          <w:rFonts w:cstheme="minorHAnsi"/>
          <w:sz w:val="24"/>
          <w:szCs w:val="24"/>
        </w:rPr>
        <w:instrText xml:space="preserve"> SEQ Figure \* ARABIC </w:instrText>
      </w:r>
      <w:r w:rsidR="00464A24" w:rsidRPr="008A4C70">
        <w:rPr>
          <w:rFonts w:cstheme="minorHAnsi"/>
          <w:sz w:val="24"/>
          <w:szCs w:val="24"/>
        </w:rPr>
        <w:fldChar w:fldCharType="separate"/>
      </w:r>
      <w:r w:rsidR="00F94E5A" w:rsidRPr="008A4C70">
        <w:rPr>
          <w:rFonts w:cstheme="minorHAnsi"/>
          <w:noProof/>
          <w:sz w:val="24"/>
          <w:szCs w:val="24"/>
        </w:rPr>
        <w:t>5</w:t>
      </w:r>
      <w:r w:rsidR="00464A24" w:rsidRPr="008A4C70">
        <w:rPr>
          <w:rFonts w:cstheme="minorHAnsi"/>
          <w:noProof/>
          <w:sz w:val="24"/>
          <w:szCs w:val="24"/>
        </w:rPr>
        <w:fldChar w:fldCharType="end"/>
      </w:r>
      <w:r w:rsidR="00FA2F14" w:rsidRPr="008A4C70">
        <w:rPr>
          <w:rFonts w:cstheme="minorHAnsi"/>
          <w:sz w:val="24"/>
          <w:szCs w:val="24"/>
        </w:rPr>
        <w:t>. Longitudinal plots for (A) critical closing pressure (CrCP) and (B) diastolic closing margin (DCM).</w:t>
      </w:r>
      <w:r w:rsidR="003C6484" w:rsidRPr="008A4C70">
        <w:rPr>
          <w:rFonts w:cstheme="minorHAnsi"/>
          <w:sz w:val="24"/>
          <w:szCs w:val="24"/>
        </w:rPr>
        <w:t xml:space="preserve"> Triangles on the plots represent the mean values for each variable at a specific surgical phase. Thick black lines represent the linear fit of the data; grey shadowed areas represent the 95% confidence interval of the linear model representative of the data.</w:t>
      </w:r>
      <w:r w:rsidR="00B23368" w:rsidRPr="008A4C70">
        <w:rPr>
          <w:rFonts w:cstheme="minorHAnsi"/>
          <w:sz w:val="24"/>
          <w:szCs w:val="24"/>
        </w:rPr>
        <w:t xml:space="preserve"> * </w:t>
      </w:r>
      <w:r w:rsidR="00B23368" w:rsidRPr="008A4C70">
        <w:rPr>
          <w:rFonts w:eastAsia="Times New Roman" w:cstheme="minorHAnsi"/>
          <w:sz w:val="24"/>
          <w:szCs w:val="24"/>
          <w:lang w:eastAsia="en-GB"/>
        </w:rPr>
        <w:t>pairwise comparisons are statistically significant (p &lt;0.05).</w:t>
      </w:r>
    </w:p>
    <w:p w14:paraId="17AD3CDC" w14:textId="025FA764" w:rsidR="00F94E5A" w:rsidRDefault="00F94E5A" w:rsidP="00960FD1">
      <w:pPr>
        <w:keepNext/>
        <w:spacing w:line="480" w:lineRule="auto"/>
        <w:jc w:val="both"/>
        <w:rPr>
          <w:rFonts w:cstheme="minorHAnsi"/>
          <w:sz w:val="24"/>
          <w:szCs w:val="24"/>
        </w:rPr>
      </w:pPr>
    </w:p>
    <w:p w14:paraId="2AA54813" w14:textId="7AA19CF3" w:rsidR="003E11BA" w:rsidRPr="00092CE9" w:rsidRDefault="003E11BA" w:rsidP="003E11BA">
      <w:pPr>
        <w:keepNext/>
        <w:spacing w:line="480" w:lineRule="auto"/>
        <w:jc w:val="center"/>
        <w:rPr>
          <w:rFonts w:cstheme="minorHAnsi"/>
          <w:sz w:val="24"/>
          <w:szCs w:val="24"/>
        </w:rPr>
      </w:pPr>
      <w:r>
        <w:rPr>
          <w:rFonts w:cstheme="minorHAnsi"/>
          <w:noProof/>
          <w:sz w:val="24"/>
          <w:szCs w:val="24"/>
        </w:rPr>
        <w:drawing>
          <wp:inline distT="0" distB="0" distL="0" distR="0" wp14:anchorId="250F173B" wp14:editId="1013B91F">
            <wp:extent cx="3590893" cy="6354974"/>
            <wp:effectExtent l="0" t="0" r="0" b="825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igure 6. CPP ABP optimal panel.tiff"/>
                    <pic:cNvPicPr/>
                  </pic:nvPicPr>
                  <pic:blipFill>
                    <a:blip r:embed="rId15"/>
                    <a:stretch>
                      <a:fillRect/>
                    </a:stretch>
                  </pic:blipFill>
                  <pic:spPr>
                    <a:xfrm>
                      <a:off x="0" y="0"/>
                      <a:ext cx="3593771" cy="6360068"/>
                    </a:xfrm>
                    <a:prstGeom prst="rect">
                      <a:avLst/>
                    </a:prstGeom>
                  </pic:spPr>
                </pic:pic>
              </a:graphicData>
            </a:graphic>
          </wp:inline>
        </w:drawing>
      </w:r>
    </w:p>
    <w:p w14:paraId="06FA45C6" w14:textId="0E1B7FC8" w:rsidR="00C33A87" w:rsidRDefault="00F94E5A" w:rsidP="003E11BA">
      <w:pPr>
        <w:pStyle w:val="Caption"/>
        <w:jc w:val="both"/>
        <w:rPr>
          <w:rFonts w:cstheme="minorHAnsi"/>
          <w:i w:val="0"/>
          <w:color w:val="auto"/>
          <w:sz w:val="24"/>
          <w:szCs w:val="24"/>
        </w:rPr>
      </w:pPr>
      <w:r w:rsidRPr="00092CE9">
        <w:rPr>
          <w:rFonts w:cstheme="minorHAnsi"/>
          <w:i w:val="0"/>
          <w:color w:val="auto"/>
          <w:sz w:val="24"/>
          <w:szCs w:val="24"/>
        </w:rPr>
        <w:t xml:space="preserve">Figure </w:t>
      </w:r>
      <w:r w:rsidR="00464A24" w:rsidRPr="00092CE9">
        <w:rPr>
          <w:rFonts w:cstheme="minorHAnsi"/>
          <w:i w:val="0"/>
          <w:color w:val="auto"/>
          <w:sz w:val="24"/>
          <w:szCs w:val="24"/>
        </w:rPr>
        <w:fldChar w:fldCharType="begin"/>
      </w:r>
      <w:r w:rsidR="00464A24" w:rsidRPr="00092CE9">
        <w:rPr>
          <w:rFonts w:cstheme="minorHAnsi"/>
          <w:i w:val="0"/>
          <w:color w:val="auto"/>
          <w:sz w:val="24"/>
          <w:szCs w:val="24"/>
        </w:rPr>
        <w:instrText xml:space="preserve"> SEQ Figure \* ARABIC </w:instrText>
      </w:r>
      <w:r w:rsidR="00464A24" w:rsidRPr="00092CE9">
        <w:rPr>
          <w:rFonts w:cstheme="minorHAnsi"/>
          <w:i w:val="0"/>
          <w:color w:val="auto"/>
          <w:sz w:val="24"/>
          <w:szCs w:val="24"/>
        </w:rPr>
        <w:fldChar w:fldCharType="separate"/>
      </w:r>
      <w:r w:rsidRPr="00092CE9">
        <w:rPr>
          <w:rFonts w:cstheme="minorHAnsi"/>
          <w:i w:val="0"/>
          <w:noProof/>
          <w:color w:val="auto"/>
          <w:sz w:val="24"/>
          <w:szCs w:val="24"/>
        </w:rPr>
        <w:t>6</w:t>
      </w:r>
      <w:r w:rsidR="00464A24" w:rsidRPr="00092CE9">
        <w:rPr>
          <w:rFonts w:cstheme="minorHAnsi"/>
          <w:i w:val="0"/>
          <w:noProof/>
          <w:color w:val="auto"/>
          <w:sz w:val="24"/>
          <w:szCs w:val="24"/>
        </w:rPr>
        <w:fldChar w:fldCharType="end"/>
      </w:r>
      <w:r w:rsidRPr="00092CE9">
        <w:rPr>
          <w:rFonts w:cstheme="minorHAnsi"/>
          <w:i w:val="0"/>
          <w:color w:val="auto"/>
          <w:sz w:val="24"/>
          <w:szCs w:val="24"/>
        </w:rPr>
        <w:t xml:space="preserve">. Example of optimal curve for </w:t>
      </w:r>
      <w:r w:rsidR="003C6484" w:rsidRPr="00092CE9">
        <w:rPr>
          <w:rFonts w:cstheme="minorHAnsi"/>
          <w:i w:val="0"/>
          <w:color w:val="auto"/>
          <w:sz w:val="24"/>
          <w:szCs w:val="24"/>
        </w:rPr>
        <w:t xml:space="preserve">arterial blood pressure </w:t>
      </w:r>
      <w:r w:rsidR="006974A9" w:rsidRPr="00092CE9">
        <w:rPr>
          <w:rFonts w:cstheme="minorHAnsi"/>
          <w:i w:val="0"/>
          <w:color w:val="auto"/>
          <w:sz w:val="24"/>
          <w:szCs w:val="24"/>
        </w:rPr>
        <w:t xml:space="preserve">and </w:t>
      </w:r>
      <w:r w:rsidR="003C6484" w:rsidRPr="00092CE9">
        <w:rPr>
          <w:rFonts w:cstheme="minorHAnsi"/>
          <w:i w:val="0"/>
          <w:color w:val="auto"/>
          <w:sz w:val="24"/>
          <w:szCs w:val="24"/>
        </w:rPr>
        <w:t>(</w:t>
      </w:r>
      <w:r w:rsidRPr="00092CE9">
        <w:rPr>
          <w:rFonts w:cstheme="minorHAnsi"/>
          <w:i w:val="0"/>
          <w:color w:val="auto"/>
          <w:sz w:val="24"/>
          <w:szCs w:val="24"/>
        </w:rPr>
        <w:t>ABP</w:t>
      </w:r>
      <w:r w:rsidR="003C6484" w:rsidRPr="00092CE9">
        <w:rPr>
          <w:rFonts w:cstheme="minorHAnsi"/>
          <w:i w:val="0"/>
          <w:color w:val="auto"/>
          <w:sz w:val="24"/>
          <w:szCs w:val="24"/>
        </w:rPr>
        <w:t>)</w:t>
      </w:r>
      <w:r w:rsidRPr="00092CE9">
        <w:rPr>
          <w:rFonts w:cstheme="minorHAnsi"/>
          <w:i w:val="0"/>
          <w:color w:val="auto"/>
          <w:sz w:val="24"/>
          <w:szCs w:val="24"/>
        </w:rPr>
        <w:t xml:space="preserve"> throughout </w:t>
      </w:r>
      <w:r w:rsidR="003C6484" w:rsidRPr="00092CE9">
        <w:rPr>
          <w:rFonts w:cstheme="minorHAnsi"/>
          <w:i w:val="0"/>
          <w:color w:val="auto"/>
          <w:sz w:val="24"/>
          <w:szCs w:val="24"/>
        </w:rPr>
        <w:t>liver transplant</w:t>
      </w:r>
      <w:r w:rsidRPr="00092CE9">
        <w:rPr>
          <w:rFonts w:cstheme="minorHAnsi"/>
          <w:i w:val="0"/>
          <w:color w:val="auto"/>
          <w:sz w:val="24"/>
          <w:szCs w:val="24"/>
        </w:rPr>
        <w:t>. The lowest point on the “U-shaped” curve represents the optimal values for ABP</w:t>
      </w:r>
      <w:r w:rsidR="00237220" w:rsidRPr="00092CE9">
        <w:rPr>
          <w:rFonts w:cstheme="minorHAnsi"/>
          <w:i w:val="0"/>
          <w:color w:val="auto"/>
          <w:sz w:val="24"/>
          <w:szCs w:val="24"/>
        </w:rPr>
        <w:t>, which in this case was close to 70 mmHg</w:t>
      </w:r>
      <w:r w:rsidRPr="00092CE9">
        <w:rPr>
          <w:rFonts w:cstheme="minorHAnsi"/>
          <w:i w:val="0"/>
          <w:color w:val="auto"/>
          <w:sz w:val="24"/>
          <w:szCs w:val="24"/>
        </w:rPr>
        <w:t>.</w:t>
      </w:r>
      <w:r w:rsidR="00697958" w:rsidRPr="00092CE9">
        <w:rPr>
          <w:rFonts w:cstheme="minorHAnsi"/>
          <w:i w:val="0"/>
          <w:color w:val="auto"/>
          <w:sz w:val="24"/>
          <w:szCs w:val="24"/>
        </w:rPr>
        <w:t xml:space="preserve"> nPRx is presented in </w:t>
      </w:r>
      <w:r w:rsidR="00FA0C43" w:rsidRPr="00092CE9">
        <w:rPr>
          <w:rFonts w:cstheme="minorHAnsi"/>
          <w:i w:val="0"/>
          <w:color w:val="auto"/>
          <w:sz w:val="24"/>
          <w:szCs w:val="24"/>
        </w:rPr>
        <w:t>arbitrary unit (</w:t>
      </w:r>
      <w:proofErr w:type="spellStart"/>
      <w:r w:rsidR="00FA0C43" w:rsidRPr="00092CE9">
        <w:rPr>
          <w:rFonts w:cstheme="minorHAnsi"/>
          <w:i w:val="0"/>
          <w:color w:val="auto"/>
          <w:sz w:val="24"/>
          <w:szCs w:val="24"/>
        </w:rPr>
        <w:t>a.u</w:t>
      </w:r>
      <w:proofErr w:type="spellEnd"/>
      <w:r w:rsidR="00FA0C43" w:rsidRPr="00092CE9">
        <w:rPr>
          <w:rFonts w:cstheme="minorHAnsi"/>
          <w:i w:val="0"/>
          <w:color w:val="auto"/>
          <w:sz w:val="24"/>
          <w:szCs w:val="24"/>
        </w:rPr>
        <w:t>.).</w:t>
      </w:r>
    </w:p>
    <w:p w14:paraId="5001E2B0" w14:textId="73625B44" w:rsidR="003E11BA" w:rsidRDefault="003E11BA" w:rsidP="003E11BA"/>
    <w:p w14:paraId="1F543E09" w14:textId="7DDC9C55" w:rsidR="003E11BA" w:rsidRDefault="003E11BA" w:rsidP="003E11BA"/>
    <w:p w14:paraId="13666A82" w14:textId="5B10B9FE" w:rsidR="003E11BA" w:rsidRDefault="003E11BA" w:rsidP="003E11BA"/>
    <w:p w14:paraId="2BBC2B07" w14:textId="6CCB78A4" w:rsidR="003E11BA" w:rsidRDefault="003E11BA" w:rsidP="003E11BA"/>
    <w:p w14:paraId="54E02842" w14:textId="4D74240B" w:rsidR="003E11BA" w:rsidRPr="003E11BA" w:rsidRDefault="003E11BA" w:rsidP="003E11BA">
      <w:r>
        <w:rPr>
          <w:noProof/>
        </w:rPr>
        <w:lastRenderedPageBreak/>
        <w:drawing>
          <wp:inline distT="0" distB="0" distL="0" distR="0" wp14:anchorId="7B979CF9" wp14:editId="21F5D46E">
            <wp:extent cx="5731510" cy="3641090"/>
            <wp:effectExtent l="0" t="0" r="254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Figure 7. Optimal plots.tiff"/>
                    <pic:cNvPicPr/>
                  </pic:nvPicPr>
                  <pic:blipFill>
                    <a:blip r:embed="rId16"/>
                    <a:stretch>
                      <a:fillRect/>
                    </a:stretch>
                  </pic:blipFill>
                  <pic:spPr>
                    <a:xfrm>
                      <a:off x="0" y="0"/>
                      <a:ext cx="5731510" cy="3641090"/>
                    </a:xfrm>
                    <a:prstGeom prst="rect">
                      <a:avLst/>
                    </a:prstGeom>
                  </pic:spPr>
                </pic:pic>
              </a:graphicData>
            </a:graphic>
          </wp:inline>
        </w:drawing>
      </w:r>
    </w:p>
    <w:p w14:paraId="029EAB45" w14:textId="47AEDF50" w:rsidR="007B470A" w:rsidRPr="00092CE9" w:rsidRDefault="007B470A" w:rsidP="00960FD1">
      <w:pPr>
        <w:spacing w:line="480" w:lineRule="auto"/>
        <w:jc w:val="both"/>
        <w:rPr>
          <w:rFonts w:cstheme="minorHAnsi"/>
          <w:sz w:val="24"/>
          <w:szCs w:val="24"/>
        </w:rPr>
      </w:pPr>
    </w:p>
    <w:p w14:paraId="7C73E9D0" w14:textId="4CFD1F39" w:rsidR="00C33A87" w:rsidRPr="00092CE9" w:rsidRDefault="00F94E5A" w:rsidP="003E11BA">
      <w:pPr>
        <w:pStyle w:val="Caption"/>
        <w:jc w:val="both"/>
        <w:rPr>
          <w:rFonts w:cstheme="minorHAnsi"/>
          <w:i w:val="0"/>
          <w:color w:val="auto"/>
          <w:sz w:val="24"/>
          <w:szCs w:val="24"/>
        </w:rPr>
      </w:pPr>
      <w:r w:rsidRPr="00092CE9">
        <w:rPr>
          <w:rFonts w:cstheme="minorHAnsi"/>
          <w:i w:val="0"/>
          <w:color w:val="auto"/>
          <w:sz w:val="24"/>
          <w:szCs w:val="24"/>
        </w:rPr>
        <w:t xml:space="preserve">Figure </w:t>
      </w:r>
      <w:r w:rsidR="00464A24" w:rsidRPr="00092CE9">
        <w:rPr>
          <w:rFonts w:cstheme="minorHAnsi"/>
          <w:i w:val="0"/>
          <w:color w:val="auto"/>
          <w:sz w:val="24"/>
          <w:szCs w:val="24"/>
        </w:rPr>
        <w:fldChar w:fldCharType="begin"/>
      </w:r>
      <w:r w:rsidR="00464A24" w:rsidRPr="00092CE9">
        <w:rPr>
          <w:rFonts w:cstheme="minorHAnsi"/>
          <w:i w:val="0"/>
          <w:color w:val="auto"/>
          <w:sz w:val="24"/>
          <w:szCs w:val="24"/>
        </w:rPr>
        <w:instrText xml:space="preserve"> SEQ Figure \* ARABIC </w:instrText>
      </w:r>
      <w:r w:rsidR="00464A24" w:rsidRPr="00092CE9">
        <w:rPr>
          <w:rFonts w:cstheme="minorHAnsi"/>
          <w:i w:val="0"/>
          <w:color w:val="auto"/>
          <w:sz w:val="24"/>
          <w:szCs w:val="24"/>
        </w:rPr>
        <w:fldChar w:fldCharType="separate"/>
      </w:r>
      <w:r w:rsidRPr="00092CE9">
        <w:rPr>
          <w:rFonts w:cstheme="minorHAnsi"/>
          <w:i w:val="0"/>
          <w:noProof/>
          <w:color w:val="auto"/>
          <w:sz w:val="24"/>
          <w:szCs w:val="24"/>
        </w:rPr>
        <w:t>7</w:t>
      </w:r>
      <w:r w:rsidR="00464A24" w:rsidRPr="00092CE9">
        <w:rPr>
          <w:rFonts w:cstheme="minorHAnsi"/>
          <w:i w:val="0"/>
          <w:noProof/>
          <w:color w:val="auto"/>
          <w:sz w:val="24"/>
          <w:szCs w:val="24"/>
        </w:rPr>
        <w:fldChar w:fldCharType="end"/>
      </w:r>
      <w:r w:rsidRPr="00092CE9">
        <w:rPr>
          <w:rFonts w:cstheme="minorHAnsi"/>
          <w:i w:val="0"/>
          <w:color w:val="auto"/>
          <w:sz w:val="24"/>
          <w:szCs w:val="24"/>
        </w:rPr>
        <w:t>. Optimal curves for</w:t>
      </w:r>
      <w:r w:rsidR="003C6484" w:rsidRPr="00092CE9">
        <w:rPr>
          <w:rFonts w:cstheme="minorHAnsi"/>
          <w:i w:val="0"/>
          <w:color w:val="auto"/>
          <w:sz w:val="24"/>
          <w:szCs w:val="24"/>
        </w:rPr>
        <w:t xml:space="preserve"> arterial blood pressure</w:t>
      </w:r>
      <w:r w:rsidRPr="00092CE9">
        <w:rPr>
          <w:rFonts w:cstheme="minorHAnsi"/>
          <w:i w:val="0"/>
          <w:color w:val="auto"/>
          <w:sz w:val="24"/>
          <w:szCs w:val="24"/>
        </w:rPr>
        <w:t xml:space="preserve"> </w:t>
      </w:r>
      <w:r w:rsidR="003C6484" w:rsidRPr="00092CE9">
        <w:rPr>
          <w:rFonts w:cstheme="minorHAnsi"/>
          <w:i w:val="0"/>
          <w:color w:val="auto"/>
          <w:sz w:val="24"/>
          <w:szCs w:val="24"/>
        </w:rPr>
        <w:t>(</w:t>
      </w:r>
      <w:r w:rsidRPr="00092CE9">
        <w:rPr>
          <w:rFonts w:cstheme="minorHAnsi"/>
          <w:i w:val="0"/>
          <w:color w:val="auto"/>
          <w:sz w:val="24"/>
          <w:szCs w:val="24"/>
        </w:rPr>
        <w:t>ABP</w:t>
      </w:r>
      <w:r w:rsidR="003C6484" w:rsidRPr="00092CE9">
        <w:rPr>
          <w:rFonts w:cstheme="minorHAnsi"/>
          <w:i w:val="0"/>
          <w:color w:val="auto"/>
          <w:sz w:val="24"/>
          <w:szCs w:val="24"/>
        </w:rPr>
        <w:t>)</w:t>
      </w:r>
      <w:r w:rsidRPr="00092CE9">
        <w:rPr>
          <w:rFonts w:cstheme="minorHAnsi"/>
          <w:i w:val="0"/>
          <w:color w:val="auto"/>
          <w:sz w:val="24"/>
          <w:szCs w:val="24"/>
        </w:rPr>
        <w:t xml:space="preserve"> obtained from different patients.</w:t>
      </w:r>
      <w:r w:rsidR="00FA0C43" w:rsidRPr="00092CE9">
        <w:rPr>
          <w:rFonts w:cstheme="minorHAnsi"/>
          <w:i w:val="0"/>
          <w:color w:val="auto"/>
          <w:sz w:val="24"/>
          <w:szCs w:val="24"/>
        </w:rPr>
        <w:t xml:space="preserve"> nPRx is presented in arbitrary unit (</w:t>
      </w:r>
      <w:proofErr w:type="spellStart"/>
      <w:r w:rsidR="00FA0C43" w:rsidRPr="00092CE9">
        <w:rPr>
          <w:rFonts w:cstheme="minorHAnsi"/>
          <w:i w:val="0"/>
          <w:color w:val="auto"/>
          <w:sz w:val="24"/>
          <w:szCs w:val="24"/>
        </w:rPr>
        <w:t>a.u</w:t>
      </w:r>
      <w:proofErr w:type="spellEnd"/>
      <w:r w:rsidR="00FA0C43" w:rsidRPr="00092CE9">
        <w:rPr>
          <w:rFonts w:cstheme="minorHAnsi"/>
          <w:i w:val="0"/>
          <w:color w:val="auto"/>
          <w:sz w:val="24"/>
          <w:szCs w:val="24"/>
        </w:rPr>
        <w:t>.).</w:t>
      </w:r>
    </w:p>
    <w:p w14:paraId="05DDDA0F" w14:textId="30135954" w:rsidR="003C44AE" w:rsidRPr="003D0C88" w:rsidRDefault="003C44AE" w:rsidP="00C33A87">
      <w:pPr>
        <w:pStyle w:val="Caption"/>
        <w:jc w:val="both"/>
        <w:rPr>
          <w:rFonts w:cstheme="minorHAnsi"/>
          <w:sz w:val="24"/>
          <w:szCs w:val="24"/>
        </w:rPr>
      </w:pPr>
      <w:bookmarkStart w:id="2" w:name="_GoBack"/>
      <w:bookmarkEnd w:id="2"/>
    </w:p>
    <w:sectPr w:rsidR="003C44AE" w:rsidRPr="003D0C8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0957AE5" w14:textId="77777777" w:rsidR="008F7FDB" w:rsidRDefault="008F7FDB" w:rsidP="002467DE">
      <w:pPr>
        <w:spacing w:after="0" w:line="240" w:lineRule="auto"/>
      </w:pPr>
      <w:r>
        <w:separator/>
      </w:r>
    </w:p>
  </w:endnote>
  <w:endnote w:type="continuationSeparator" w:id="0">
    <w:p w14:paraId="36769A3D" w14:textId="77777777" w:rsidR="008F7FDB" w:rsidRDefault="008F7FDB" w:rsidP="002467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dvPTimes">
    <w:altName w:val="Cambria"/>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98276028"/>
      <w:docPartObj>
        <w:docPartGallery w:val="Page Numbers (Bottom of Page)"/>
        <w:docPartUnique/>
      </w:docPartObj>
    </w:sdtPr>
    <w:sdtEndPr>
      <w:rPr>
        <w:noProof/>
      </w:rPr>
    </w:sdtEndPr>
    <w:sdtContent>
      <w:p w14:paraId="61169523" w14:textId="35900543" w:rsidR="001D0473" w:rsidRDefault="001D0473">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79EBD1B5" w14:textId="77777777" w:rsidR="001D0473" w:rsidRDefault="001D047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043EBFA" w14:textId="77777777" w:rsidR="008F7FDB" w:rsidRDefault="008F7FDB" w:rsidP="002467DE">
      <w:pPr>
        <w:spacing w:after="0" w:line="240" w:lineRule="auto"/>
      </w:pPr>
      <w:r>
        <w:separator/>
      </w:r>
    </w:p>
  </w:footnote>
  <w:footnote w:type="continuationSeparator" w:id="0">
    <w:p w14:paraId="739E3260" w14:textId="77777777" w:rsidR="008F7FDB" w:rsidRDefault="008F7FDB" w:rsidP="002467D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85562146"/>
      <w:docPartObj>
        <w:docPartGallery w:val="Page Numbers (Top of Page)"/>
        <w:docPartUnique/>
      </w:docPartObj>
    </w:sdtPr>
    <w:sdtEndPr>
      <w:rPr>
        <w:noProof/>
      </w:rPr>
    </w:sdtEndPr>
    <w:sdtContent>
      <w:p w14:paraId="55DCDDD7" w14:textId="07B44713" w:rsidR="001D0473" w:rsidRDefault="001D0473">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427A6441" w14:textId="77777777" w:rsidR="001D0473" w:rsidRDefault="001D047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D520DFC"/>
    <w:multiLevelType w:val="hybridMultilevel"/>
    <w:tmpl w:val="76DC42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793F257A"/>
    <w:multiLevelType w:val="hybridMultilevel"/>
    <w:tmpl w:val="A27AB31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0MTM3MTE2MzE1MDQ2MjJX0lEKTi0uzszPAykwqwUA1VMUYCwAAAA="/>
  </w:docVars>
  <w:rsids>
    <w:rsidRoot w:val="009A3D56"/>
    <w:rsid w:val="000063B9"/>
    <w:rsid w:val="0000749E"/>
    <w:rsid w:val="00010878"/>
    <w:rsid w:val="000146D1"/>
    <w:rsid w:val="000162A4"/>
    <w:rsid w:val="00020894"/>
    <w:rsid w:val="00023816"/>
    <w:rsid w:val="0003011A"/>
    <w:rsid w:val="0003571A"/>
    <w:rsid w:val="0004413C"/>
    <w:rsid w:val="00051A4E"/>
    <w:rsid w:val="00052543"/>
    <w:rsid w:val="0005465F"/>
    <w:rsid w:val="0006042C"/>
    <w:rsid w:val="000618EB"/>
    <w:rsid w:val="00063FF0"/>
    <w:rsid w:val="00071AF3"/>
    <w:rsid w:val="00071C71"/>
    <w:rsid w:val="000832FF"/>
    <w:rsid w:val="00090E99"/>
    <w:rsid w:val="00092CE9"/>
    <w:rsid w:val="000A23E8"/>
    <w:rsid w:val="000B0215"/>
    <w:rsid w:val="000B4C54"/>
    <w:rsid w:val="000B7ABB"/>
    <w:rsid w:val="000E14E4"/>
    <w:rsid w:val="000E2140"/>
    <w:rsid w:val="000E4B39"/>
    <w:rsid w:val="000F6C98"/>
    <w:rsid w:val="001004D8"/>
    <w:rsid w:val="001022C8"/>
    <w:rsid w:val="00133E14"/>
    <w:rsid w:val="001340A4"/>
    <w:rsid w:val="00140E11"/>
    <w:rsid w:val="00142C44"/>
    <w:rsid w:val="00144802"/>
    <w:rsid w:val="00150BD4"/>
    <w:rsid w:val="00156091"/>
    <w:rsid w:val="001617B4"/>
    <w:rsid w:val="0017172E"/>
    <w:rsid w:val="00190B48"/>
    <w:rsid w:val="001A160B"/>
    <w:rsid w:val="001A5827"/>
    <w:rsid w:val="001B0837"/>
    <w:rsid w:val="001B4CBC"/>
    <w:rsid w:val="001C290B"/>
    <w:rsid w:val="001D0473"/>
    <w:rsid w:val="001D110E"/>
    <w:rsid w:val="001D63D5"/>
    <w:rsid w:val="001D6DFA"/>
    <w:rsid w:val="001E2403"/>
    <w:rsid w:val="001F3475"/>
    <w:rsid w:val="0020118F"/>
    <w:rsid w:val="00211842"/>
    <w:rsid w:val="00216F4A"/>
    <w:rsid w:val="002179DD"/>
    <w:rsid w:val="002224DE"/>
    <w:rsid w:val="00224C1C"/>
    <w:rsid w:val="00227D74"/>
    <w:rsid w:val="00233324"/>
    <w:rsid w:val="002356D3"/>
    <w:rsid w:val="00237220"/>
    <w:rsid w:val="002467DE"/>
    <w:rsid w:val="00250931"/>
    <w:rsid w:val="00255BC5"/>
    <w:rsid w:val="00256402"/>
    <w:rsid w:val="002567F5"/>
    <w:rsid w:val="00270FE1"/>
    <w:rsid w:val="00283A9C"/>
    <w:rsid w:val="00285188"/>
    <w:rsid w:val="002A48D0"/>
    <w:rsid w:val="002B1C82"/>
    <w:rsid w:val="002B4BC3"/>
    <w:rsid w:val="002B4EE5"/>
    <w:rsid w:val="002B5766"/>
    <w:rsid w:val="002B6231"/>
    <w:rsid w:val="002B7CC8"/>
    <w:rsid w:val="002C4180"/>
    <w:rsid w:val="002C495C"/>
    <w:rsid w:val="002C4D68"/>
    <w:rsid w:val="002D02CC"/>
    <w:rsid w:val="002D60E4"/>
    <w:rsid w:val="002F2EAA"/>
    <w:rsid w:val="002F3075"/>
    <w:rsid w:val="002F40E3"/>
    <w:rsid w:val="0032411A"/>
    <w:rsid w:val="00331127"/>
    <w:rsid w:val="00335646"/>
    <w:rsid w:val="00337107"/>
    <w:rsid w:val="0037207E"/>
    <w:rsid w:val="0037223C"/>
    <w:rsid w:val="00373EB5"/>
    <w:rsid w:val="003815AC"/>
    <w:rsid w:val="003827C5"/>
    <w:rsid w:val="003A7A8B"/>
    <w:rsid w:val="003B113B"/>
    <w:rsid w:val="003B58E1"/>
    <w:rsid w:val="003C1C91"/>
    <w:rsid w:val="003C44AE"/>
    <w:rsid w:val="003C46F9"/>
    <w:rsid w:val="003C6484"/>
    <w:rsid w:val="003D0C88"/>
    <w:rsid w:val="003D1D9F"/>
    <w:rsid w:val="003E11BA"/>
    <w:rsid w:val="003E165B"/>
    <w:rsid w:val="003E1EEA"/>
    <w:rsid w:val="004006B5"/>
    <w:rsid w:val="00400785"/>
    <w:rsid w:val="00402A65"/>
    <w:rsid w:val="004030CD"/>
    <w:rsid w:val="004207B4"/>
    <w:rsid w:val="00421C70"/>
    <w:rsid w:val="00431093"/>
    <w:rsid w:val="00435BA5"/>
    <w:rsid w:val="00440CA2"/>
    <w:rsid w:val="0044219B"/>
    <w:rsid w:val="00446F5B"/>
    <w:rsid w:val="00460369"/>
    <w:rsid w:val="00464A24"/>
    <w:rsid w:val="00465789"/>
    <w:rsid w:val="00474FF1"/>
    <w:rsid w:val="004B4D8E"/>
    <w:rsid w:val="004B6ADB"/>
    <w:rsid w:val="004D751A"/>
    <w:rsid w:val="004E45B5"/>
    <w:rsid w:val="004F68BB"/>
    <w:rsid w:val="0050185E"/>
    <w:rsid w:val="00501AB9"/>
    <w:rsid w:val="0050539B"/>
    <w:rsid w:val="005228F9"/>
    <w:rsid w:val="00543B1D"/>
    <w:rsid w:val="00547C75"/>
    <w:rsid w:val="00551839"/>
    <w:rsid w:val="00552508"/>
    <w:rsid w:val="005555B0"/>
    <w:rsid w:val="0055774C"/>
    <w:rsid w:val="00557C60"/>
    <w:rsid w:val="00564100"/>
    <w:rsid w:val="0059038A"/>
    <w:rsid w:val="005A4AC2"/>
    <w:rsid w:val="005B40E0"/>
    <w:rsid w:val="005B5C75"/>
    <w:rsid w:val="005B64F1"/>
    <w:rsid w:val="005B6751"/>
    <w:rsid w:val="005C5F95"/>
    <w:rsid w:val="005C6A6A"/>
    <w:rsid w:val="005D637B"/>
    <w:rsid w:val="005E166B"/>
    <w:rsid w:val="005E3C90"/>
    <w:rsid w:val="005E74E7"/>
    <w:rsid w:val="005F175B"/>
    <w:rsid w:val="005F7598"/>
    <w:rsid w:val="005F7D06"/>
    <w:rsid w:val="0061084C"/>
    <w:rsid w:val="006201D1"/>
    <w:rsid w:val="006218A2"/>
    <w:rsid w:val="006239F2"/>
    <w:rsid w:val="00625B61"/>
    <w:rsid w:val="006268BD"/>
    <w:rsid w:val="00633972"/>
    <w:rsid w:val="0064120B"/>
    <w:rsid w:val="00646125"/>
    <w:rsid w:val="00650E7A"/>
    <w:rsid w:val="00651637"/>
    <w:rsid w:val="006544E6"/>
    <w:rsid w:val="00661DFD"/>
    <w:rsid w:val="0066292B"/>
    <w:rsid w:val="00684D8B"/>
    <w:rsid w:val="006911D0"/>
    <w:rsid w:val="00693849"/>
    <w:rsid w:val="006974A9"/>
    <w:rsid w:val="00697958"/>
    <w:rsid w:val="006A5305"/>
    <w:rsid w:val="006B6B6B"/>
    <w:rsid w:val="006C240D"/>
    <w:rsid w:val="006D0DDE"/>
    <w:rsid w:val="006D5989"/>
    <w:rsid w:val="006D5FB8"/>
    <w:rsid w:val="006E115A"/>
    <w:rsid w:val="006E233C"/>
    <w:rsid w:val="006E43B2"/>
    <w:rsid w:val="006E6A39"/>
    <w:rsid w:val="006F23E0"/>
    <w:rsid w:val="006F6834"/>
    <w:rsid w:val="00704323"/>
    <w:rsid w:val="00704798"/>
    <w:rsid w:val="00710B55"/>
    <w:rsid w:val="0071523B"/>
    <w:rsid w:val="00715992"/>
    <w:rsid w:val="0071675F"/>
    <w:rsid w:val="0073034B"/>
    <w:rsid w:val="007310EA"/>
    <w:rsid w:val="00731A44"/>
    <w:rsid w:val="0073328D"/>
    <w:rsid w:val="007367F1"/>
    <w:rsid w:val="00736D3B"/>
    <w:rsid w:val="00741AB5"/>
    <w:rsid w:val="007543BE"/>
    <w:rsid w:val="00755EAE"/>
    <w:rsid w:val="00763941"/>
    <w:rsid w:val="007668C6"/>
    <w:rsid w:val="00766D0F"/>
    <w:rsid w:val="007714AE"/>
    <w:rsid w:val="00772553"/>
    <w:rsid w:val="007757A8"/>
    <w:rsid w:val="00775EA7"/>
    <w:rsid w:val="00791E0C"/>
    <w:rsid w:val="0079253B"/>
    <w:rsid w:val="00793468"/>
    <w:rsid w:val="007B031F"/>
    <w:rsid w:val="007B073E"/>
    <w:rsid w:val="007B2706"/>
    <w:rsid w:val="007B369C"/>
    <w:rsid w:val="007B3E57"/>
    <w:rsid w:val="007B470A"/>
    <w:rsid w:val="007C1F2D"/>
    <w:rsid w:val="007C73F2"/>
    <w:rsid w:val="007E29D6"/>
    <w:rsid w:val="007E5E2D"/>
    <w:rsid w:val="007F2002"/>
    <w:rsid w:val="007F5AD1"/>
    <w:rsid w:val="008000D5"/>
    <w:rsid w:val="00802D65"/>
    <w:rsid w:val="00811430"/>
    <w:rsid w:val="00813895"/>
    <w:rsid w:val="008216F5"/>
    <w:rsid w:val="00836242"/>
    <w:rsid w:val="00842151"/>
    <w:rsid w:val="0085302B"/>
    <w:rsid w:val="00860B1F"/>
    <w:rsid w:val="008610EB"/>
    <w:rsid w:val="0086438F"/>
    <w:rsid w:val="00872ABA"/>
    <w:rsid w:val="0087543A"/>
    <w:rsid w:val="00882E3B"/>
    <w:rsid w:val="00884C9F"/>
    <w:rsid w:val="00897A33"/>
    <w:rsid w:val="008A4C70"/>
    <w:rsid w:val="008B48E2"/>
    <w:rsid w:val="008C4DB4"/>
    <w:rsid w:val="008C51E3"/>
    <w:rsid w:val="008C57FF"/>
    <w:rsid w:val="008C6A29"/>
    <w:rsid w:val="008C75CD"/>
    <w:rsid w:val="008E279E"/>
    <w:rsid w:val="008E4A11"/>
    <w:rsid w:val="008E6A52"/>
    <w:rsid w:val="008F4C85"/>
    <w:rsid w:val="008F7FDB"/>
    <w:rsid w:val="009032F1"/>
    <w:rsid w:val="009047E5"/>
    <w:rsid w:val="00912ED3"/>
    <w:rsid w:val="0091499D"/>
    <w:rsid w:val="00920B6D"/>
    <w:rsid w:val="009344E1"/>
    <w:rsid w:val="0095253F"/>
    <w:rsid w:val="009544F6"/>
    <w:rsid w:val="00957010"/>
    <w:rsid w:val="00960FD1"/>
    <w:rsid w:val="009802D2"/>
    <w:rsid w:val="00983BDC"/>
    <w:rsid w:val="009851BA"/>
    <w:rsid w:val="009A3A9F"/>
    <w:rsid w:val="009A3D56"/>
    <w:rsid w:val="009C197F"/>
    <w:rsid w:val="009C2CB2"/>
    <w:rsid w:val="009C43DC"/>
    <w:rsid w:val="009D27B0"/>
    <w:rsid w:val="009D51B4"/>
    <w:rsid w:val="009E039D"/>
    <w:rsid w:val="009E1EF0"/>
    <w:rsid w:val="009E78DD"/>
    <w:rsid w:val="009F14F5"/>
    <w:rsid w:val="009F64E7"/>
    <w:rsid w:val="00A1282F"/>
    <w:rsid w:val="00A161F5"/>
    <w:rsid w:val="00A23F3B"/>
    <w:rsid w:val="00A26255"/>
    <w:rsid w:val="00A27C18"/>
    <w:rsid w:val="00A406BE"/>
    <w:rsid w:val="00A42945"/>
    <w:rsid w:val="00A57A65"/>
    <w:rsid w:val="00A61B56"/>
    <w:rsid w:val="00A65E4D"/>
    <w:rsid w:val="00A67451"/>
    <w:rsid w:val="00A71A38"/>
    <w:rsid w:val="00A81314"/>
    <w:rsid w:val="00A8174A"/>
    <w:rsid w:val="00A91956"/>
    <w:rsid w:val="00AA2B21"/>
    <w:rsid w:val="00AA4206"/>
    <w:rsid w:val="00AA4B9A"/>
    <w:rsid w:val="00AB16DB"/>
    <w:rsid w:val="00AB1C07"/>
    <w:rsid w:val="00AC27F3"/>
    <w:rsid w:val="00AC48EE"/>
    <w:rsid w:val="00AC4EB4"/>
    <w:rsid w:val="00AC62BC"/>
    <w:rsid w:val="00AC7081"/>
    <w:rsid w:val="00AD3C77"/>
    <w:rsid w:val="00AE0D90"/>
    <w:rsid w:val="00AE44A6"/>
    <w:rsid w:val="00AE7D80"/>
    <w:rsid w:val="00AF1EAC"/>
    <w:rsid w:val="00AF3718"/>
    <w:rsid w:val="00B17A08"/>
    <w:rsid w:val="00B21BD9"/>
    <w:rsid w:val="00B23368"/>
    <w:rsid w:val="00B25321"/>
    <w:rsid w:val="00B26CD9"/>
    <w:rsid w:val="00B31E7F"/>
    <w:rsid w:val="00B418D8"/>
    <w:rsid w:val="00B456BA"/>
    <w:rsid w:val="00B52D02"/>
    <w:rsid w:val="00B57EDE"/>
    <w:rsid w:val="00B73033"/>
    <w:rsid w:val="00B733AA"/>
    <w:rsid w:val="00B87A17"/>
    <w:rsid w:val="00B9191B"/>
    <w:rsid w:val="00BA1F74"/>
    <w:rsid w:val="00BB6E11"/>
    <w:rsid w:val="00BC22F4"/>
    <w:rsid w:val="00BC4414"/>
    <w:rsid w:val="00BC4B4E"/>
    <w:rsid w:val="00BD1A9C"/>
    <w:rsid w:val="00BE2BD6"/>
    <w:rsid w:val="00BE7DFA"/>
    <w:rsid w:val="00BF4BF2"/>
    <w:rsid w:val="00BF71EA"/>
    <w:rsid w:val="00C01F0D"/>
    <w:rsid w:val="00C0241E"/>
    <w:rsid w:val="00C049B6"/>
    <w:rsid w:val="00C0681A"/>
    <w:rsid w:val="00C06D80"/>
    <w:rsid w:val="00C2283B"/>
    <w:rsid w:val="00C24EF0"/>
    <w:rsid w:val="00C2753E"/>
    <w:rsid w:val="00C33A87"/>
    <w:rsid w:val="00C4209B"/>
    <w:rsid w:val="00C4616D"/>
    <w:rsid w:val="00C502E0"/>
    <w:rsid w:val="00C6031B"/>
    <w:rsid w:val="00C6634A"/>
    <w:rsid w:val="00C9079A"/>
    <w:rsid w:val="00C92632"/>
    <w:rsid w:val="00C92A89"/>
    <w:rsid w:val="00CB142B"/>
    <w:rsid w:val="00CB6D52"/>
    <w:rsid w:val="00CC00BA"/>
    <w:rsid w:val="00CC1751"/>
    <w:rsid w:val="00CC605C"/>
    <w:rsid w:val="00CD26DA"/>
    <w:rsid w:val="00CD2C7A"/>
    <w:rsid w:val="00CD43AB"/>
    <w:rsid w:val="00CD744D"/>
    <w:rsid w:val="00CE30CC"/>
    <w:rsid w:val="00D12D54"/>
    <w:rsid w:val="00D16CD8"/>
    <w:rsid w:val="00D21AAC"/>
    <w:rsid w:val="00D26F19"/>
    <w:rsid w:val="00D36CB8"/>
    <w:rsid w:val="00D40FE3"/>
    <w:rsid w:val="00D42893"/>
    <w:rsid w:val="00D45E4D"/>
    <w:rsid w:val="00D468B9"/>
    <w:rsid w:val="00D50BD4"/>
    <w:rsid w:val="00D54FC0"/>
    <w:rsid w:val="00D62DC6"/>
    <w:rsid w:val="00D659DD"/>
    <w:rsid w:val="00D66AC6"/>
    <w:rsid w:val="00D72227"/>
    <w:rsid w:val="00D73BD5"/>
    <w:rsid w:val="00D75A21"/>
    <w:rsid w:val="00D75E03"/>
    <w:rsid w:val="00D80FB5"/>
    <w:rsid w:val="00D83AC8"/>
    <w:rsid w:val="00D83B47"/>
    <w:rsid w:val="00D8728C"/>
    <w:rsid w:val="00D87D1E"/>
    <w:rsid w:val="00D91EA1"/>
    <w:rsid w:val="00DA291C"/>
    <w:rsid w:val="00DA7FA8"/>
    <w:rsid w:val="00DB4001"/>
    <w:rsid w:val="00DB44C9"/>
    <w:rsid w:val="00DC1706"/>
    <w:rsid w:val="00DC1B85"/>
    <w:rsid w:val="00DC2A24"/>
    <w:rsid w:val="00DC547A"/>
    <w:rsid w:val="00DD0C81"/>
    <w:rsid w:val="00DD5416"/>
    <w:rsid w:val="00DE2C26"/>
    <w:rsid w:val="00DE7D16"/>
    <w:rsid w:val="00DF0A85"/>
    <w:rsid w:val="00DF2011"/>
    <w:rsid w:val="00DF253B"/>
    <w:rsid w:val="00DF5C18"/>
    <w:rsid w:val="00E16495"/>
    <w:rsid w:val="00E336D0"/>
    <w:rsid w:val="00E43E73"/>
    <w:rsid w:val="00E54C1F"/>
    <w:rsid w:val="00E555D7"/>
    <w:rsid w:val="00E55825"/>
    <w:rsid w:val="00E567D5"/>
    <w:rsid w:val="00E607C3"/>
    <w:rsid w:val="00E6525F"/>
    <w:rsid w:val="00E67A7A"/>
    <w:rsid w:val="00E702A1"/>
    <w:rsid w:val="00E823B1"/>
    <w:rsid w:val="00E91243"/>
    <w:rsid w:val="00E9369D"/>
    <w:rsid w:val="00EA32C5"/>
    <w:rsid w:val="00EA54B0"/>
    <w:rsid w:val="00EA596F"/>
    <w:rsid w:val="00EA7F6D"/>
    <w:rsid w:val="00EB00E3"/>
    <w:rsid w:val="00EB1B71"/>
    <w:rsid w:val="00EB3352"/>
    <w:rsid w:val="00EC13F7"/>
    <w:rsid w:val="00EC1762"/>
    <w:rsid w:val="00EC1F38"/>
    <w:rsid w:val="00EE0C7F"/>
    <w:rsid w:val="00EE245F"/>
    <w:rsid w:val="00EE399D"/>
    <w:rsid w:val="00EE4BA6"/>
    <w:rsid w:val="00EF3E56"/>
    <w:rsid w:val="00EF5B96"/>
    <w:rsid w:val="00EF756E"/>
    <w:rsid w:val="00F01D4E"/>
    <w:rsid w:val="00F05745"/>
    <w:rsid w:val="00F278AB"/>
    <w:rsid w:val="00F30B18"/>
    <w:rsid w:val="00F34B69"/>
    <w:rsid w:val="00F374B1"/>
    <w:rsid w:val="00F45802"/>
    <w:rsid w:val="00F53B96"/>
    <w:rsid w:val="00F61697"/>
    <w:rsid w:val="00F92C66"/>
    <w:rsid w:val="00F94E5A"/>
    <w:rsid w:val="00F95476"/>
    <w:rsid w:val="00F95CAC"/>
    <w:rsid w:val="00FA0C43"/>
    <w:rsid w:val="00FA28D3"/>
    <w:rsid w:val="00FA2DB5"/>
    <w:rsid w:val="00FA2F14"/>
    <w:rsid w:val="00FB2FE1"/>
    <w:rsid w:val="00FC0C19"/>
    <w:rsid w:val="00FD1A12"/>
    <w:rsid w:val="00FD1E2B"/>
    <w:rsid w:val="00FD2BA7"/>
    <w:rsid w:val="00FD3AC2"/>
    <w:rsid w:val="00FD4178"/>
    <w:rsid w:val="00FD68C9"/>
    <w:rsid w:val="00FE40B0"/>
    <w:rsid w:val="00FE5AAD"/>
    <w:rsid w:val="00FE6E3A"/>
    <w:rsid w:val="00FE7DE0"/>
    <w:rsid w:val="00FF732E"/>
    <w:rsid w:val="4F3A44BE"/>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52F4A28A"/>
  <w15:docId w15:val="{13D3935B-746F-4FEB-9C9A-E954DE7A10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2">
    <w:name w:val="Body Text 2"/>
    <w:basedOn w:val="Normal"/>
    <w:link w:val="BodyText2Char"/>
    <w:rsid w:val="009A3D56"/>
    <w:pPr>
      <w:framePr w:hSpace="180" w:wrap="around" w:vAnchor="text" w:hAnchor="margin" w:xAlign="center" w:y="-71"/>
      <w:spacing w:after="0" w:line="240" w:lineRule="auto"/>
    </w:pPr>
    <w:rPr>
      <w:rFonts w:ascii="Times New Roman" w:eastAsia="Times New Roman" w:hAnsi="Times New Roman" w:cs="Times New Roman"/>
      <w:b/>
      <w:bCs/>
      <w:sz w:val="20"/>
      <w:szCs w:val="24"/>
    </w:rPr>
  </w:style>
  <w:style w:type="character" w:customStyle="1" w:styleId="BodyText2Char">
    <w:name w:val="Body Text 2 Char"/>
    <w:basedOn w:val="DefaultParagraphFont"/>
    <w:link w:val="BodyText2"/>
    <w:rsid w:val="009A3D56"/>
    <w:rPr>
      <w:rFonts w:ascii="Times New Roman" w:eastAsia="Times New Roman" w:hAnsi="Times New Roman" w:cs="Times New Roman"/>
      <w:b/>
      <w:bCs/>
      <w:sz w:val="20"/>
      <w:szCs w:val="24"/>
    </w:rPr>
  </w:style>
  <w:style w:type="character" w:customStyle="1" w:styleId="fontstyle01">
    <w:name w:val="fontstyle01"/>
    <w:basedOn w:val="DefaultParagraphFont"/>
    <w:rsid w:val="00EF756E"/>
    <w:rPr>
      <w:rFonts w:ascii="AdvPTimes" w:hAnsi="AdvPTimes" w:hint="default"/>
      <w:b w:val="0"/>
      <w:bCs w:val="0"/>
      <w:i w:val="0"/>
      <w:iCs w:val="0"/>
      <w:color w:val="000000"/>
      <w:sz w:val="20"/>
      <w:szCs w:val="20"/>
    </w:rPr>
  </w:style>
  <w:style w:type="paragraph" w:styleId="BodyTextIndent2">
    <w:name w:val="Body Text Indent 2"/>
    <w:basedOn w:val="Normal"/>
    <w:link w:val="BodyTextIndent2Char"/>
    <w:uiPriority w:val="99"/>
    <w:semiHidden/>
    <w:unhideWhenUsed/>
    <w:rsid w:val="00EE4BA6"/>
    <w:pPr>
      <w:spacing w:after="120" w:line="480" w:lineRule="auto"/>
      <w:ind w:left="283"/>
    </w:pPr>
  </w:style>
  <w:style w:type="character" w:customStyle="1" w:styleId="BodyTextIndent2Char">
    <w:name w:val="Body Text Indent 2 Char"/>
    <w:basedOn w:val="DefaultParagraphFont"/>
    <w:link w:val="BodyTextIndent2"/>
    <w:uiPriority w:val="99"/>
    <w:semiHidden/>
    <w:rsid w:val="00EE4BA6"/>
  </w:style>
  <w:style w:type="paragraph" w:styleId="BodyTextIndent">
    <w:name w:val="Body Text Indent"/>
    <w:basedOn w:val="Normal"/>
    <w:link w:val="BodyTextIndentChar"/>
    <w:uiPriority w:val="99"/>
    <w:unhideWhenUsed/>
    <w:rsid w:val="004006B5"/>
    <w:pPr>
      <w:spacing w:after="120"/>
      <w:ind w:left="283"/>
    </w:pPr>
  </w:style>
  <w:style w:type="character" w:customStyle="1" w:styleId="BodyTextIndentChar">
    <w:name w:val="Body Text Indent Char"/>
    <w:basedOn w:val="DefaultParagraphFont"/>
    <w:link w:val="BodyTextIndent"/>
    <w:uiPriority w:val="99"/>
    <w:rsid w:val="004006B5"/>
  </w:style>
  <w:style w:type="paragraph" w:styleId="BodyText3">
    <w:name w:val="Body Text 3"/>
    <w:basedOn w:val="Normal"/>
    <w:link w:val="BodyText3Char"/>
    <w:uiPriority w:val="99"/>
    <w:unhideWhenUsed/>
    <w:rsid w:val="004006B5"/>
    <w:pPr>
      <w:spacing w:after="120"/>
    </w:pPr>
    <w:rPr>
      <w:sz w:val="16"/>
      <w:szCs w:val="16"/>
    </w:rPr>
  </w:style>
  <w:style w:type="character" w:customStyle="1" w:styleId="BodyText3Char">
    <w:name w:val="Body Text 3 Char"/>
    <w:basedOn w:val="DefaultParagraphFont"/>
    <w:link w:val="BodyText3"/>
    <w:uiPriority w:val="99"/>
    <w:rsid w:val="004006B5"/>
    <w:rPr>
      <w:sz w:val="16"/>
      <w:szCs w:val="16"/>
    </w:rPr>
  </w:style>
  <w:style w:type="paragraph" w:styleId="NoSpacing">
    <w:name w:val="No Spacing"/>
    <w:uiPriority w:val="1"/>
    <w:qFormat/>
    <w:rsid w:val="006F6834"/>
    <w:pPr>
      <w:spacing w:after="0" w:line="240" w:lineRule="auto"/>
    </w:pPr>
  </w:style>
  <w:style w:type="paragraph" w:styleId="Caption">
    <w:name w:val="caption"/>
    <w:basedOn w:val="Normal"/>
    <w:next w:val="Normal"/>
    <w:uiPriority w:val="35"/>
    <w:unhideWhenUsed/>
    <w:qFormat/>
    <w:rsid w:val="003C44AE"/>
    <w:pPr>
      <w:spacing w:after="200" w:line="240" w:lineRule="auto"/>
    </w:pPr>
    <w:rPr>
      <w:i/>
      <w:iCs/>
      <w:color w:val="44546A" w:themeColor="text2"/>
      <w:sz w:val="18"/>
      <w:szCs w:val="18"/>
    </w:rPr>
  </w:style>
  <w:style w:type="character" w:styleId="CommentReference">
    <w:name w:val="annotation reference"/>
    <w:basedOn w:val="DefaultParagraphFont"/>
    <w:uiPriority w:val="99"/>
    <w:semiHidden/>
    <w:unhideWhenUsed/>
    <w:rsid w:val="00EF5B96"/>
    <w:rPr>
      <w:sz w:val="16"/>
      <w:szCs w:val="16"/>
    </w:rPr>
  </w:style>
  <w:style w:type="paragraph" w:styleId="CommentText">
    <w:name w:val="annotation text"/>
    <w:basedOn w:val="Normal"/>
    <w:link w:val="CommentTextChar"/>
    <w:uiPriority w:val="99"/>
    <w:semiHidden/>
    <w:unhideWhenUsed/>
    <w:rsid w:val="00EF5B96"/>
    <w:pPr>
      <w:spacing w:line="240" w:lineRule="auto"/>
    </w:pPr>
    <w:rPr>
      <w:sz w:val="20"/>
      <w:szCs w:val="20"/>
    </w:rPr>
  </w:style>
  <w:style w:type="character" w:customStyle="1" w:styleId="CommentTextChar">
    <w:name w:val="Comment Text Char"/>
    <w:basedOn w:val="DefaultParagraphFont"/>
    <w:link w:val="CommentText"/>
    <w:uiPriority w:val="99"/>
    <w:semiHidden/>
    <w:rsid w:val="00EF5B96"/>
    <w:rPr>
      <w:sz w:val="20"/>
      <w:szCs w:val="20"/>
    </w:rPr>
  </w:style>
  <w:style w:type="paragraph" w:styleId="CommentSubject">
    <w:name w:val="annotation subject"/>
    <w:basedOn w:val="CommentText"/>
    <w:next w:val="CommentText"/>
    <w:link w:val="CommentSubjectChar"/>
    <w:uiPriority w:val="99"/>
    <w:semiHidden/>
    <w:unhideWhenUsed/>
    <w:rsid w:val="00EF5B96"/>
    <w:rPr>
      <w:b/>
      <w:bCs/>
    </w:rPr>
  </w:style>
  <w:style w:type="character" w:customStyle="1" w:styleId="CommentSubjectChar">
    <w:name w:val="Comment Subject Char"/>
    <w:basedOn w:val="CommentTextChar"/>
    <w:link w:val="CommentSubject"/>
    <w:uiPriority w:val="99"/>
    <w:semiHidden/>
    <w:rsid w:val="00EF5B96"/>
    <w:rPr>
      <w:b/>
      <w:bCs/>
      <w:sz w:val="20"/>
      <w:szCs w:val="20"/>
    </w:rPr>
  </w:style>
  <w:style w:type="paragraph" w:styleId="BalloonText">
    <w:name w:val="Balloon Text"/>
    <w:basedOn w:val="Normal"/>
    <w:link w:val="BalloonTextChar"/>
    <w:uiPriority w:val="99"/>
    <w:semiHidden/>
    <w:unhideWhenUsed/>
    <w:rsid w:val="00EF5B9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F5B96"/>
    <w:rPr>
      <w:rFonts w:ascii="Tahoma" w:hAnsi="Tahoma" w:cs="Tahoma"/>
      <w:sz w:val="16"/>
      <w:szCs w:val="16"/>
    </w:rPr>
  </w:style>
  <w:style w:type="paragraph" w:styleId="ListParagraph">
    <w:name w:val="List Paragraph"/>
    <w:basedOn w:val="Normal"/>
    <w:uiPriority w:val="34"/>
    <w:qFormat/>
    <w:rsid w:val="0085302B"/>
    <w:pPr>
      <w:ind w:left="720"/>
      <w:contextualSpacing/>
    </w:pPr>
  </w:style>
  <w:style w:type="character" w:styleId="Hyperlink">
    <w:name w:val="Hyperlink"/>
    <w:basedOn w:val="DefaultParagraphFont"/>
    <w:uiPriority w:val="99"/>
    <w:unhideWhenUsed/>
    <w:rsid w:val="008216F5"/>
    <w:rPr>
      <w:color w:val="0000FF"/>
      <w:u w:val="single"/>
    </w:rPr>
  </w:style>
  <w:style w:type="paragraph" w:styleId="Header">
    <w:name w:val="header"/>
    <w:basedOn w:val="Normal"/>
    <w:link w:val="HeaderChar"/>
    <w:uiPriority w:val="99"/>
    <w:unhideWhenUsed/>
    <w:rsid w:val="002467DE"/>
    <w:pPr>
      <w:tabs>
        <w:tab w:val="center" w:pos="4513"/>
        <w:tab w:val="right" w:pos="9026"/>
      </w:tabs>
      <w:spacing w:after="0" w:line="240" w:lineRule="auto"/>
    </w:pPr>
  </w:style>
  <w:style w:type="character" w:customStyle="1" w:styleId="HeaderChar">
    <w:name w:val="Header Char"/>
    <w:basedOn w:val="DefaultParagraphFont"/>
    <w:link w:val="Header"/>
    <w:uiPriority w:val="99"/>
    <w:rsid w:val="002467DE"/>
  </w:style>
  <w:style w:type="paragraph" w:styleId="Footer">
    <w:name w:val="footer"/>
    <w:basedOn w:val="Normal"/>
    <w:link w:val="FooterChar"/>
    <w:uiPriority w:val="99"/>
    <w:unhideWhenUsed/>
    <w:rsid w:val="002467DE"/>
    <w:pPr>
      <w:tabs>
        <w:tab w:val="center" w:pos="4513"/>
        <w:tab w:val="right" w:pos="9026"/>
      </w:tabs>
      <w:spacing w:after="0" w:line="240" w:lineRule="auto"/>
    </w:pPr>
  </w:style>
  <w:style w:type="character" w:customStyle="1" w:styleId="FooterChar">
    <w:name w:val="Footer Char"/>
    <w:basedOn w:val="DefaultParagraphFont"/>
    <w:link w:val="Footer"/>
    <w:uiPriority w:val="99"/>
    <w:rsid w:val="002467DE"/>
  </w:style>
  <w:style w:type="character" w:styleId="LineNumber">
    <w:name w:val="line number"/>
    <w:basedOn w:val="DefaultParagraphFont"/>
    <w:uiPriority w:val="99"/>
    <w:semiHidden/>
    <w:unhideWhenUsed/>
    <w:rsid w:val="002467D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1631061">
      <w:bodyDiv w:val="1"/>
      <w:marLeft w:val="0"/>
      <w:marRight w:val="0"/>
      <w:marTop w:val="0"/>
      <w:marBottom w:val="0"/>
      <w:divBdr>
        <w:top w:val="none" w:sz="0" w:space="0" w:color="auto"/>
        <w:left w:val="none" w:sz="0" w:space="0" w:color="auto"/>
        <w:bottom w:val="none" w:sz="0" w:space="0" w:color="auto"/>
        <w:right w:val="none" w:sz="0" w:space="0" w:color="auto"/>
      </w:divBdr>
    </w:div>
    <w:div w:id="316694957">
      <w:bodyDiv w:val="1"/>
      <w:marLeft w:val="0"/>
      <w:marRight w:val="0"/>
      <w:marTop w:val="0"/>
      <w:marBottom w:val="0"/>
      <w:divBdr>
        <w:top w:val="none" w:sz="0" w:space="0" w:color="auto"/>
        <w:left w:val="none" w:sz="0" w:space="0" w:color="auto"/>
        <w:bottom w:val="none" w:sz="0" w:space="0" w:color="auto"/>
        <w:right w:val="none" w:sz="0" w:space="0" w:color="auto"/>
      </w:divBdr>
    </w:div>
    <w:div w:id="412508549">
      <w:bodyDiv w:val="1"/>
      <w:marLeft w:val="0"/>
      <w:marRight w:val="0"/>
      <w:marTop w:val="0"/>
      <w:marBottom w:val="0"/>
      <w:divBdr>
        <w:top w:val="none" w:sz="0" w:space="0" w:color="auto"/>
        <w:left w:val="none" w:sz="0" w:space="0" w:color="auto"/>
        <w:bottom w:val="none" w:sz="0" w:space="0" w:color="auto"/>
        <w:right w:val="none" w:sz="0" w:space="0" w:color="auto"/>
      </w:divBdr>
    </w:div>
    <w:div w:id="1255163159">
      <w:bodyDiv w:val="1"/>
      <w:marLeft w:val="0"/>
      <w:marRight w:val="0"/>
      <w:marTop w:val="0"/>
      <w:marBottom w:val="0"/>
      <w:divBdr>
        <w:top w:val="none" w:sz="0" w:space="0" w:color="auto"/>
        <w:left w:val="none" w:sz="0" w:space="0" w:color="auto"/>
        <w:bottom w:val="none" w:sz="0" w:space="0" w:color="auto"/>
        <w:right w:val="none" w:sz="0" w:space="0" w:color="auto"/>
      </w:divBdr>
    </w:div>
    <w:div w:id="1481918021">
      <w:bodyDiv w:val="1"/>
      <w:marLeft w:val="0"/>
      <w:marRight w:val="0"/>
      <w:marTop w:val="0"/>
      <w:marBottom w:val="0"/>
      <w:divBdr>
        <w:top w:val="none" w:sz="0" w:space="0" w:color="auto"/>
        <w:left w:val="none" w:sz="0" w:space="0" w:color="auto"/>
        <w:bottom w:val="none" w:sz="0" w:space="0" w:color="auto"/>
        <w:right w:val="none" w:sz="0" w:space="0" w:color="auto"/>
      </w:divBdr>
    </w:div>
    <w:div w:id="1485119797">
      <w:bodyDiv w:val="1"/>
      <w:marLeft w:val="0"/>
      <w:marRight w:val="0"/>
      <w:marTop w:val="0"/>
      <w:marBottom w:val="0"/>
      <w:divBdr>
        <w:top w:val="none" w:sz="0" w:space="0" w:color="auto"/>
        <w:left w:val="none" w:sz="0" w:space="0" w:color="auto"/>
        <w:bottom w:val="none" w:sz="0" w:space="0" w:color="auto"/>
        <w:right w:val="none" w:sz="0" w:space="0" w:color="auto"/>
      </w:divBdr>
    </w:div>
    <w:div w:id="1695108149">
      <w:bodyDiv w:val="1"/>
      <w:marLeft w:val="0"/>
      <w:marRight w:val="0"/>
      <w:marTop w:val="0"/>
      <w:marBottom w:val="0"/>
      <w:divBdr>
        <w:top w:val="none" w:sz="0" w:space="0" w:color="auto"/>
        <w:left w:val="none" w:sz="0" w:space="0" w:color="auto"/>
        <w:bottom w:val="none" w:sz="0" w:space="0" w:color="auto"/>
        <w:right w:val="none" w:sz="0" w:space="0" w:color="auto"/>
      </w:divBdr>
    </w:div>
    <w:div w:id="18593479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4.tiff"/><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tiff"/><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7.tif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tiff"/><Relationship Id="rId5" Type="http://schemas.openxmlformats.org/officeDocument/2006/relationships/webSettings" Target="webSettings.xml"/><Relationship Id="rId15" Type="http://schemas.openxmlformats.org/officeDocument/2006/relationships/image" Target="media/image6.tiff"/><Relationship Id="rId10" Type="http://schemas.openxmlformats.org/officeDocument/2006/relationships/image" Target="media/image1.tiff"/><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tif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6"/>
</file>

<file path=customXml/itemProps1.xml><?xml version="1.0" encoding="utf-8"?>
<ds:datastoreItem xmlns:ds="http://schemas.openxmlformats.org/officeDocument/2006/customXml" ds:itemID="{712029BF-4101-422E-8BEA-08356777DA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30</Pages>
  <Words>32382</Words>
  <Characters>184583</Characters>
  <Application>Microsoft Office Word</Application>
  <DocSecurity>0</DocSecurity>
  <Lines>1538</Lines>
  <Paragraphs>433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216532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Danilo Cardim</dc:creator>
  <cp:lastModifiedBy>Danilo Cardim</cp:lastModifiedBy>
  <cp:revision>3</cp:revision>
  <dcterms:created xsi:type="dcterms:W3CDTF">2019-02-12T18:38:00Z</dcterms:created>
  <dcterms:modified xsi:type="dcterms:W3CDTF">2019-02-12T18:43:00Z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813c613f-bd17-30ca-a260-c0dd9312d51f</vt:lpwstr>
  </property>
  <property fmtid="{D5CDD505-2E9C-101B-9397-08002B2CF9AE}" pid="4" name="Mendeley Recent Style Id 0_1">
    <vt:lpwstr>http://www.zotero.org/styles/apa</vt:lpwstr>
  </property>
  <property fmtid="{D5CDD505-2E9C-101B-9397-08002B2CF9AE}" pid="5" name="Mendeley Recent Style Name 0_1">
    <vt:lpwstr>American Psychological Association 6th edition</vt:lpwstr>
  </property>
  <property fmtid="{D5CDD505-2E9C-101B-9397-08002B2CF9AE}" pid="6" name="Mendeley Recent Style Id 1_1">
    <vt:lpwstr>http://www.zotero.org/styles/childs-nervous-system</vt:lpwstr>
  </property>
  <property fmtid="{D5CDD505-2E9C-101B-9397-08002B2CF9AE}" pid="7" name="Mendeley Recent Style Name 1_1">
    <vt:lpwstr>Child's Nervous System</vt:lpwstr>
  </property>
  <property fmtid="{D5CDD505-2E9C-101B-9397-08002B2CF9AE}" pid="8" name="Mendeley Recent Style Id 2_1">
    <vt:lpwstr>http://www.zotero.org/styles/ieee</vt:lpwstr>
  </property>
  <property fmtid="{D5CDD505-2E9C-101B-9397-08002B2CF9AE}" pid="9" name="Mendeley Recent Style Name 2_1">
    <vt:lpwstr>IEEE</vt:lpwstr>
  </property>
  <property fmtid="{D5CDD505-2E9C-101B-9397-08002B2CF9AE}" pid="10" name="Mendeley Recent Style Id 3_1">
    <vt:lpwstr>http://www.zotero.org/styles/journal-of-cerebral-blood-flow-and-metabolism</vt:lpwstr>
  </property>
  <property fmtid="{D5CDD505-2E9C-101B-9397-08002B2CF9AE}" pid="11" name="Mendeley Recent Style Name 3_1">
    <vt:lpwstr>Journal of Cerebral Blood Flow &amp; Metabolism</vt:lpwstr>
  </property>
  <property fmtid="{D5CDD505-2E9C-101B-9397-08002B2CF9AE}" pid="12" name="Mendeley Recent Style Id 4_1">
    <vt:lpwstr>http://www.zotero.org/styles/journal-of-clinical-monitoring-and-computing</vt:lpwstr>
  </property>
  <property fmtid="{D5CDD505-2E9C-101B-9397-08002B2CF9AE}" pid="13" name="Mendeley Recent Style Name 4_1">
    <vt:lpwstr>Journal of Clinical Monitoring and Computing</vt:lpwstr>
  </property>
  <property fmtid="{D5CDD505-2E9C-101B-9397-08002B2CF9AE}" pid="14" name="Mendeley Recent Style Id 5_1">
    <vt:lpwstr>http://www.zotero.org/styles/plos-medicine</vt:lpwstr>
  </property>
  <property fmtid="{D5CDD505-2E9C-101B-9397-08002B2CF9AE}" pid="15" name="Mendeley Recent Style Name 5_1">
    <vt:lpwstr>PLOS Medicine</vt:lpwstr>
  </property>
  <property fmtid="{D5CDD505-2E9C-101B-9397-08002B2CF9AE}" pid="16" name="Mendeley Recent Style Id 6_1">
    <vt:lpwstr>http://www.zotero.org/styles/physiological-measurement</vt:lpwstr>
  </property>
  <property fmtid="{D5CDD505-2E9C-101B-9397-08002B2CF9AE}" pid="17" name="Mendeley Recent Style Name 6_1">
    <vt:lpwstr>Physiological Measurement</vt:lpwstr>
  </property>
  <property fmtid="{D5CDD505-2E9C-101B-9397-08002B2CF9AE}" pid="18" name="Mendeley Recent Style Id 7_1">
    <vt:lpwstr>http://www.zotero.org/styles/resuscitation</vt:lpwstr>
  </property>
  <property fmtid="{D5CDD505-2E9C-101B-9397-08002B2CF9AE}" pid="19" name="Mendeley Recent Style Name 7_1">
    <vt:lpwstr>Resuscitation</vt:lpwstr>
  </property>
  <property fmtid="{D5CDD505-2E9C-101B-9397-08002B2CF9AE}" pid="20" name="Mendeley Recent Style Id 8_1">
    <vt:lpwstr>http://www.zotero.org/styles/ultrasound-in-medicine-and-biology</vt:lpwstr>
  </property>
  <property fmtid="{D5CDD505-2E9C-101B-9397-08002B2CF9AE}" pid="21" name="Mendeley Recent Style Name 8_1">
    <vt:lpwstr>Ultrasound in Medicine and Biology</vt:lpwstr>
  </property>
  <property fmtid="{D5CDD505-2E9C-101B-9397-08002B2CF9AE}" pid="22" name="Mendeley Recent Style Id 9_1">
    <vt:lpwstr>http://www.zotero.org/styles/vancouver</vt:lpwstr>
  </property>
  <property fmtid="{D5CDD505-2E9C-101B-9397-08002B2CF9AE}" pid="23" name="Mendeley Recent Style Name 9_1">
    <vt:lpwstr>Vancouver</vt:lpwstr>
  </property>
  <property fmtid="{D5CDD505-2E9C-101B-9397-08002B2CF9AE}" pid="24" name="Mendeley Citation Style_1">
    <vt:lpwstr>http://www.zotero.org/styles/ultrasound-in-medicine-and-biology</vt:lpwstr>
  </property>
</Properties>
</file>