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C1500" w:rsidRPr="00B26E04" w:rsidRDefault="00540025" w:rsidP="00A9048F">
      <w:pPr>
        <w:spacing w:line="480" w:lineRule="auto"/>
        <w:rPr>
          <w:b/>
          <w:lang w:val="en-US"/>
        </w:rPr>
      </w:pPr>
      <w:r w:rsidRPr="00B26E04">
        <w:rPr>
          <w:b/>
          <w:lang w:val="en-US"/>
        </w:rPr>
        <w:t>The n</w:t>
      </w:r>
      <w:r w:rsidR="006C1500" w:rsidRPr="00B26E04">
        <w:rPr>
          <w:b/>
          <w:lang w:val="en-US"/>
        </w:rPr>
        <w:t xml:space="preserve">eurobiology </w:t>
      </w:r>
      <w:r w:rsidRPr="00B26E04">
        <w:rPr>
          <w:b/>
          <w:lang w:val="en-US"/>
        </w:rPr>
        <w:t>of human aggressive behavior</w:t>
      </w:r>
      <w:r w:rsidR="006C1500" w:rsidRPr="00B26E04">
        <w:rPr>
          <w:b/>
          <w:lang w:val="en-US"/>
        </w:rPr>
        <w:t xml:space="preserve">: </w:t>
      </w:r>
      <w:r w:rsidRPr="00B26E04">
        <w:rPr>
          <w:b/>
          <w:lang w:val="en-US"/>
        </w:rPr>
        <w:t>neuroimaging, genetic, and neurochemical aspects</w:t>
      </w:r>
    </w:p>
    <w:p w:rsidR="006C1500" w:rsidRPr="00C54C8A" w:rsidRDefault="006C1500" w:rsidP="00A9048F">
      <w:pPr>
        <w:spacing w:line="480" w:lineRule="auto"/>
        <w:rPr>
          <w:sz w:val="22"/>
          <w:szCs w:val="22"/>
        </w:rPr>
      </w:pPr>
      <w:r w:rsidRPr="00C54C8A">
        <w:rPr>
          <w:sz w:val="22"/>
          <w:szCs w:val="22"/>
        </w:rPr>
        <w:t xml:space="preserve">Francesca A. </w:t>
      </w:r>
      <w:r w:rsidR="001F1678" w:rsidRPr="00C54C8A">
        <w:rPr>
          <w:sz w:val="22"/>
          <w:szCs w:val="22"/>
        </w:rPr>
        <w:t>Cupaioli</w:t>
      </w:r>
      <w:r w:rsidR="001F1678" w:rsidRPr="00C54C8A">
        <w:rPr>
          <w:sz w:val="22"/>
          <w:szCs w:val="22"/>
          <w:vertAlign w:val="superscript"/>
        </w:rPr>
        <w:t>a</w:t>
      </w:r>
      <w:r w:rsidR="00C473B1" w:rsidRPr="00C54C8A">
        <w:rPr>
          <w:sz w:val="22"/>
          <w:szCs w:val="22"/>
          <w:vertAlign w:val="superscript"/>
        </w:rPr>
        <w:t>1</w:t>
      </w:r>
      <w:r w:rsidR="00C473B1" w:rsidRPr="00C54C8A">
        <w:rPr>
          <w:sz w:val="22"/>
          <w:szCs w:val="22"/>
        </w:rPr>
        <w:t xml:space="preserve">, </w:t>
      </w:r>
      <w:r w:rsidRPr="00C54C8A">
        <w:rPr>
          <w:sz w:val="22"/>
          <w:szCs w:val="22"/>
        </w:rPr>
        <w:t xml:space="preserve">Fabio A. </w:t>
      </w:r>
      <w:r w:rsidR="001F1678" w:rsidRPr="00C54C8A">
        <w:rPr>
          <w:sz w:val="22"/>
          <w:szCs w:val="22"/>
        </w:rPr>
        <w:t>Zucca</w:t>
      </w:r>
      <w:r w:rsidR="001F1678" w:rsidRPr="00C54C8A">
        <w:rPr>
          <w:sz w:val="22"/>
          <w:szCs w:val="22"/>
          <w:vertAlign w:val="superscript"/>
        </w:rPr>
        <w:t>a</w:t>
      </w:r>
      <w:r w:rsidR="00C473B1" w:rsidRPr="00C54C8A">
        <w:rPr>
          <w:sz w:val="22"/>
          <w:szCs w:val="22"/>
          <w:vertAlign w:val="superscript"/>
        </w:rPr>
        <w:t>1</w:t>
      </w:r>
      <w:r w:rsidR="00C473B1" w:rsidRPr="00C54C8A">
        <w:rPr>
          <w:sz w:val="22"/>
          <w:szCs w:val="22"/>
        </w:rPr>
        <w:t xml:space="preserve">, </w:t>
      </w:r>
      <w:r w:rsidRPr="00C54C8A">
        <w:rPr>
          <w:sz w:val="22"/>
          <w:szCs w:val="22"/>
        </w:rPr>
        <w:t xml:space="preserve">Cinzia </w:t>
      </w:r>
      <w:proofErr w:type="spellStart"/>
      <w:r w:rsidR="001F1678" w:rsidRPr="00C54C8A">
        <w:rPr>
          <w:sz w:val="22"/>
          <w:szCs w:val="22"/>
        </w:rPr>
        <w:t>Caporale</w:t>
      </w:r>
      <w:r w:rsidR="001F1678" w:rsidRPr="00C54C8A">
        <w:rPr>
          <w:sz w:val="22"/>
          <w:szCs w:val="22"/>
          <w:vertAlign w:val="superscript"/>
        </w:rPr>
        <w:t>b</w:t>
      </w:r>
      <w:proofErr w:type="spellEnd"/>
      <w:r w:rsidR="006323FF" w:rsidRPr="00C54C8A">
        <w:rPr>
          <w:sz w:val="22"/>
          <w:szCs w:val="22"/>
        </w:rPr>
        <w:t>,</w:t>
      </w:r>
      <w:r w:rsidRPr="00C54C8A">
        <w:rPr>
          <w:sz w:val="22"/>
          <w:szCs w:val="22"/>
        </w:rPr>
        <w:t xml:space="preserve"> </w:t>
      </w:r>
      <w:r w:rsidR="006323FF" w:rsidRPr="00C54C8A">
        <w:rPr>
          <w:sz w:val="22"/>
          <w:szCs w:val="22"/>
        </w:rPr>
        <w:t xml:space="preserve">Klaus-Peter </w:t>
      </w:r>
      <w:r w:rsidR="001F1678" w:rsidRPr="00C54C8A">
        <w:rPr>
          <w:sz w:val="22"/>
          <w:szCs w:val="22"/>
        </w:rPr>
        <w:t>Lesch</w:t>
      </w:r>
      <w:r w:rsidR="001F1678" w:rsidRPr="00C54C8A">
        <w:rPr>
          <w:sz w:val="22"/>
          <w:szCs w:val="22"/>
          <w:vertAlign w:val="superscript"/>
        </w:rPr>
        <w:t>c</w:t>
      </w:r>
      <w:r w:rsidR="00721DE5" w:rsidRPr="00C54C8A">
        <w:rPr>
          <w:sz w:val="22"/>
          <w:szCs w:val="22"/>
          <w:vertAlign w:val="superscript"/>
        </w:rPr>
        <w:t>,</w:t>
      </w:r>
      <w:r w:rsidR="00C0674D" w:rsidRPr="00C54C8A">
        <w:rPr>
          <w:sz w:val="22"/>
          <w:szCs w:val="22"/>
          <w:vertAlign w:val="superscript"/>
        </w:rPr>
        <w:t>2</w:t>
      </w:r>
      <w:r w:rsidR="001F1678" w:rsidRPr="00C54C8A">
        <w:rPr>
          <w:sz w:val="22"/>
          <w:szCs w:val="22"/>
          <w:vertAlign w:val="superscript"/>
        </w:rPr>
        <w:t xml:space="preserve"> </w:t>
      </w:r>
      <w:r w:rsidR="00B739E8" w:rsidRPr="00C54C8A">
        <w:rPr>
          <w:sz w:val="22"/>
          <w:szCs w:val="22"/>
        </w:rPr>
        <w:t>, Luca Passamonti</w:t>
      </w:r>
      <w:r w:rsidR="00832D3E" w:rsidRPr="00C54C8A">
        <w:rPr>
          <w:sz w:val="22"/>
          <w:szCs w:val="22"/>
          <w:vertAlign w:val="superscript"/>
        </w:rPr>
        <w:t>d</w:t>
      </w:r>
      <w:r w:rsidR="00C0674D" w:rsidRPr="00C54C8A">
        <w:rPr>
          <w:sz w:val="22"/>
          <w:szCs w:val="22"/>
          <w:vertAlign w:val="superscript"/>
        </w:rPr>
        <w:t>,2</w:t>
      </w:r>
      <w:r w:rsidR="00C54C8A">
        <w:rPr>
          <w:sz w:val="22"/>
          <w:szCs w:val="22"/>
          <w:vertAlign w:val="superscript"/>
        </w:rPr>
        <w:t>,</w:t>
      </w:r>
      <w:r w:rsidR="00C54C8A" w:rsidRPr="00C54C8A">
        <w:rPr>
          <w:sz w:val="22"/>
          <w:szCs w:val="22"/>
          <w:vertAlign w:val="superscript"/>
        </w:rPr>
        <w:t>*</w:t>
      </w:r>
      <w:r w:rsidR="00B739E8" w:rsidRPr="00C54C8A">
        <w:rPr>
          <w:sz w:val="22"/>
          <w:szCs w:val="22"/>
        </w:rPr>
        <w:t xml:space="preserve"> </w:t>
      </w:r>
      <w:r w:rsidRPr="00C54C8A">
        <w:rPr>
          <w:sz w:val="22"/>
          <w:szCs w:val="22"/>
        </w:rPr>
        <w:t xml:space="preserve">and Luigi </w:t>
      </w:r>
      <w:proofErr w:type="spellStart"/>
      <w:r w:rsidR="001F1678" w:rsidRPr="00C54C8A">
        <w:rPr>
          <w:sz w:val="22"/>
          <w:szCs w:val="22"/>
        </w:rPr>
        <w:t>Zecca</w:t>
      </w:r>
      <w:r w:rsidR="001F1678" w:rsidRPr="00C54C8A">
        <w:rPr>
          <w:sz w:val="22"/>
          <w:szCs w:val="22"/>
          <w:vertAlign w:val="superscript"/>
        </w:rPr>
        <w:t>a</w:t>
      </w:r>
      <w:proofErr w:type="spellEnd"/>
    </w:p>
    <w:p w:rsidR="006C1500" w:rsidRPr="00C54C8A" w:rsidRDefault="006C1500" w:rsidP="00A9048F">
      <w:pPr>
        <w:spacing w:line="480" w:lineRule="auto"/>
      </w:pPr>
    </w:p>
    <w:p w:rsidR="006C1500" w:rsidRPr="00B26E04" w:rsidRDefault="00C473B1" w:rsidP="00A9048F">
      <w:pPr>
        <w:spacing w:line="480" w:lineRule="auto"/>
        <w:rPr>
          <w:bCs/>
          <w:sz w:val="20"/>
          <w:szCs w:val="20"/>
          <w:lang w:val="en-US"/>
        </w:rPr>
      </w:pPr>
      <w:proofErr w:type="spellStart"/>
      <w:r w:rsidRPr="00B26E04">
        <w:rPr>
          <w:sz w:val="20"/>
          <w:szCs w:val="20"/>
          <w:vertAlign w:val="superscript"/>
          <w:lang w:val="en-US"/>
        </w:rPr>
        <w:t>a</w:t>
      </w:r>
      <w:proofErr w:type="spellEnd"/>
      <w:r w:rsidRPr="00B26E04">
        <w:rPr>
          <w:sz w:val="20"/>
          <w:szCs w:val="20"/>
          <w:lang w:val="en-US"/>
        </w:rPr>
        <w:t xml:space="preserve"> </w:t>
      </w:r>
      <w:r w:rsidR="006C1500" w:rsidRPr="00B26E04">
        <w:rPr>
          <w:bCs/>
          <w:sz w:val="20"/>
          <w:szCs w:val="20"/>
          <w:lang w:val="en-US"/>
        </w:rPr>
        <w:t xml:space="preserve">Institute of Biomedical Technologies, National Research Council of Italy, </w:t>
      </w:r>
      <w:proofErr w:type="spellStart"/>
      <w:r w:rsidR="006C1500" w:rsidRPr="00B26E04">
        <w:rPr>
          <w:bCs/>
          <w:sz w:val="20"/>
          <w:szCs w:val="20"/>
          <w:lang w:val="en-US"/>
        </w:rPr>
        <w:t>Segrate</w:t>
      </w:r>
      <w:proofErr w:type="spellEnd"/>
      <w:r w:rsidR="006C1500" w:rsidRPr="00B26E04">
        <w:rPr>
          <w:bCs/>
          <w:sz w:val="20"/>
          <w:szCs w:val="20"/>
          <w:lang w:val="en-US"/>
        </w:rPr>
        <w:t xml:space="preserve"> (Milan) Italy</w:t>
      </w:r>
      <w:r w:rsidR="001F1678" w:rsidRPr="00B26E04">
        <w:rPr>
          <w:bCs/>
          <w:sz w:val="20"/>
          <w:szCs w:val="20"/>
          <w:lang w:val="en-US"/>
        </w:rPr>
        <w:t>;</w:t>
      </w:r>
    </w:p>
    <w:p w:rsidR="006323FF" w:rsidRPr="00B26E04" w:rsidRDefault="0096787B" w:rsidP="00A9048F">
      <w:pPr>
        <w:spacing w:line="480" w:lineRule="auto"/>
        <w:rPr>
          <w:sz w:val="20"/>
          <w:szCs w:val="20"/>
          <w:lang w:val="en-US"/>
        </w:rPr>
      </w:pPr>
      <w:r>
        <w:rPr>
          <w:sz w:val="20"/>
          <w:szCs w:val="20"/>
          <w:vertAlign w:val="superscript"/>
          <w:lang w:val="en-US"/>
        </w:rPr>
        <w:t>b</w:t>
      </w:r>
      <w:r>
        <w:rPr>
          <w:sz w:val="20"/>
          <w:szCs w:val="20"/>
          <w:lang w:val="en-US"/>
        </w:rPr>
        <w:t xml:space="preserve"> Institute of Biomedical Technologies, National Research Council of Italy, Unit of Rome, Rome, Italy;</w:t>
      </w:r>
    </w:p>
    <w:p w:rsidR="006C1500" w:rsidRPr="00B26E04" w:rsidRDefault="0096787B" w:rsidP="00A9048F">
      <w:pPr>
        <w:spacing w:line="480" w:lineRule="auto"/>
        <w:rPr>
          <w:sz w:val="20"/>
          <w:szCs w:val="20"/>
          <w:lang w:val="en-US"/>
        </w:rPr>
      </w:pPr>
      <w:r>
        <w:rPr>
          <w:sz w:val="20"/>
          <w:szCs w:val="20"/>
          <w:vertAlign w:val="superscript"/>
          <w:lang w:val="en-US"/>
        </w:rPr>
        <w:t>c</w:t>
      </w:r>
      <w:r>
        <w:rPr>
          <w:sz w:val="20"/>
          <w:szCs w:val="20"/>
          <w:lang w:val="en-US"/>
        </w:rPr>
        <w:t xml:space="preserve"> Division of Molecular Psychiatry, Center of Mental Health, University of Würzburg, Würzburg, Germany;</w:t>
      </w:r>
    </w:p>
    <w:p w:rsidR="00B73B8A" w:rsidRPr="00B26E04" w:rsidRDefault="0096787B" w:rsidP="00A9048F">
      <w:pPr>
        <w:spacing w:line="480" w:lineRule="auto"/>
        <w:rPr>
          <w:sz w:val="20"/>
          <w:szCs w:val="20"/>
          <w:lang w:val="en-US"/>
        </w:rPr>
      </w:pPr>
      <w:r>
        <w:rPr>
          <w:sz w:val="20"/>
          <w:szCs w:val="20"/>
          <w:vertAlign w:val="superscript"/>
          <w:lang w:val="en-US"/>
        </w:rPr>
        <w:t>d</w:t>
      </w:r>
      <w:r>
        <w:rPr>
          <w:sz w:val="20"/>
          <w:szCs w:val="20"/>
          <w:lang w:val="en-US"/>
        </w:rPr>
        <w:t xml:space="preserve"> </w:t>
      </w:r>
      <w:r w:rsidR="00486F75" w:rsidRPr="00B26E04">
        <w:rPr>
          <w:sz w:val="20"/>
          <w:szCs w:val="20"/>
          <w:lang w:val="en-US"/>
        </w:rPr>
        <w:t>Department of Clinical Neurosciences, University of Cambridge</w:t>
      </w:r>
      <w:r w:rsidR="00A9048F" w:rsidRPr="00B26E04">
        <w:rPr>
          <w:sz w:val="20"/>
          <w:szCs w:val="20"/>
          <w:lang w:val="en-US"/>
        </w:rPr>
        <w:t>, Cambridge, UK.</w:t>
      </w:r>
    </w:p>
    <w:p w:rsidR="006C1500" w:rsidRPr="00B26E04" w:rsidRDefault="006C1500" w:rsidP="00A9048F">
      <w:pPr>
        <w:spacing w:line="480" w:lineRule="auto"/>
        <w:rPr>
          <w:lang w:val="en-US"/>
        </w:rPr>
      </w:pPr>
    </w:p>
    <w:p w:rsidR="006C1500" w:rsidRPr="00B26E04" w:rsidRDefault="0096787B" w:rsidP="00A9048F">
      <w:pPr>
        <w:spacing w:line="480" w:lineRule="auto"/>
        <w:rPr>
          <w:lang w:val="en-US"/>
        </w:rPr>
      </w:pPr>
      <w:r>
        <w:rPr>
          <w:vertAlign w:val="superscript"/>
          <w:lang w:val="en-US"/>
        </w:rPr>
        <w:t>1</w:t>
      </w:r>
      <w:r>
        <w:rPr>
          <w:lang w:val="en-US"/>
        </w:rPr>
        <w:t xml:space="preserve"> These authors contributed equally to this work and wish to be considered as co-first authors.</w:t>
      </w:r>
    </w:p>
    <w:p w:rsidR="00155A78" w:rsidRPr="00B26E04" w:rsidRDefault="00155A78" w:rsidP="00A9048F">
      <w:pPr>
        <w:spacing w:line="480" w:lineRule="auto"/>
        <w:rPr>
          <w:lang w:val="en-US"/>
        </w:rPr>
      </w:pPr>
    </w:p>
    <w:p w:rsidR="00E04905" w:rsidRPr="00B26E04" w:rsidRDefault="0096787B" w:rsidP="00A9048F">
      <w:pPr>
        <w:spacing w:line="480" w:lineRule="auto"/>
        <w:rPr>
          <w:lang w:val="en-US"/>
        </w:rPr>
      </w:pPr>
      <w:r>
        <w:rPr>
          <w:lang w:val="en-US"/>
        </w:rPr>
        <w:t>* Corresponding Author:</w:t>
      </w:r>
    </w:p>
    <w:p w:rsidR="00C54C8A" w:rsidRPr="008E0114" w:rsidRDefault="00C54C8A" w:rsidP="00C54C8A">
      <w:pPr>
        <w:spacing w:line="360" w:lineRule="auto"/>
        <w:contextualSpacing/>
        <w:outlineLvl w:val="0"/>
        <w:rPr>
          <w:rFonts w:eastAsia="Cambria"/>
          <w:color w:val="000000" w:themeColor="text1"/>
          <w:lang w:val="en-US"/>
        </w:rPr>
      </w:pPr>
      <w:r w:rsidRPr="008E0114">
        <w:rPr>
          <w:rFonts w:eastAsia="Cambria"/>
          <w:color w:val="000000" w:themeColor="text1"/>
          <w:lang w:val="en-US"/>
        </w:rPr>
        <w:t>Dr Luca Passamonti,</w:t>
      </w:r>
    </w:p>
    <w:p w:rsidR="00C54C8A" w:rsidRPr="008E0114" w:rsidRDefault="00C54C8A" w:rsidP="00C54C8A">
      <w:pPr>
        <w:spacing w:line="360" w:lineRule="auto"/>
        <w:contextualSpacing/>
        <w:outlineLvl w:val="0"/>
        <w:rPr>
          <w:rFonts w:eastAsia="Cambria"/>
          <w:color w:val="000000" w:themeColor="text1"/>
          <w:lang w:val="en-US"/>
        </w:rPr>
      </w:pPr>
      <w:r w:rsidRPr="008E0114">
        <w:rPr>
          <w:rFonts w:eastAsia="Cambria"/>
          <w:color w:val="000000" w:themeColor="text1"/>
          <w:lang w:val="en-US"/>
        </w:rPr>
        <w:t>Department of Clinical Neurosciences</w:t>
      </w:r>
    </w:p>
    <w:p w:rsidR="00C54C8A" w:rsidRPr="008E0114" w:rsidRDefault="00C54C8A" w:rsidP="00C54C8A">
      <w:pPr>
        <w:spacing w:line="360" w:lineRule="auto"/>
        <w:contextualSpacing/>
        <w:outlineLvl w:val="0"/>
        <w:rPr>
          <w:rFonts w:eastAsia="Cambria"/>
          <w:color w:val="000000" w:themeColor="text1"/>
          <w:lang w:val="en-US"/>
        </w:rPr>
      </w:pPr>
      <w:r w:rsidRPr="008E0114">
        <w:rPr>
          <w:rFonts w:eastAsia="Cambria"/>
          <w:color w:val="000000" w:themeColor="text1"/>
          <w:lang w:val="en-US"/>
        </w:rPr>
        <w:t xml:space="preserve">University of Cambridge, </w:t>
      </w:r>
    </w:p>
    <w:p w:rsidR="00C54C8A" w:rsidRPr="008E0114" w:rsidRDefault="00C54C8A" w:rsidP="00C54C8A">
      <w:pPr>
        <w:spacing w:line="360" w:lineRule="auto"/>
        <w:contextualSpacing/>
        <w:outlineLvl w:val="0"/>
        <w:rPr>
          <w:rFonts w:eastAsia="Cambria"/>
          <w:color w:val="000000" w:themeColor="text1"/>
          <w:lang w:val="en-US"/>
        </w:rPr>
      </w:pPr>
      <w:r w:rsidRPr="008E0114">
        <w:rPr>
          <w:bCs/>
          <w:color w:val="000000" w:themeColor="text1"/>
          <w:lang w:val="en-US" w:bidi="en-US"/>
        </w:rPr>
        <w:t xml:space="preserve">CB2 0SZ, UK </w:t>
      </w:r>
    </w:p>
    <w:p w:rsidR="00C54C8A" w:rsidRPr="008E0114" w:rsidRDefault="00C54C8A" w:rsidP="00C54C8A">
      <w:pPr>
        <w:spacing w:line="360" w:lineRule="auto"/>
        <w:contextualSpacing/>
        <w:outlineLvl w:val="0"/>
        <w:rPr>
          <w:rFonts w:eastAsia="Cambria"/>
          <w:color w:val="000000" w:themeColor="text1"/>
          <w:lang w:val="en-US"/>
        </w:rPr>
      </w:pPr>
      <w:r w:rsidRPr="008E0114">
        <w:rPr>
          <w:rFonts w:eastAsia="Cambria"/>
          <w:color w:val="000000" w:themeColor="text1"/>
          <w:lang w:val="en-US"/>
        </w:rPr>
        <w:t>Telephone: +44.01223.330293</w:t>
      </w:r>
    </w:p>
    <w:p w:rsidR="00C54C8A" w:rsidRPr="008E0114" w:rsidRDefault="00C54C8A" w:rsidP="00C54C8A">
      <w:pPr>
        <w:spacing w:line="360" w:lineRule="auto"/>
        <w:contextualSpacing/>
        <w:outlineLvl w:val="0"/>
        <w:rPr>
          <w:rFonts w:eastAsia="Cambria"/>
          <w:color w:val="000000" w:themeColor="text1"/>
          <w:u w:val="single"/>
          <w:lang w:val="en-US"/>
        </w:rPr>
      </w:pPr>
      <w:r w:rsidRPr="008E0114">
        <w:rPr>
          <w:rFonts w:eastAsia="Cambria"/>
          <w:color w:val="000000" w:themeColor="text1"/>
          <w:lang w:val="en-US"/>
        </w:rPr>
        <w:t xml:space="preserve">Email: </w:t>
      </w:r>
      <w:hyperlink r:id="rId8" w:history="1">
        <w:r w:rsidRPr="008E0114">
          <w:rPr>
            <w:rFonts w:eastAsia="Cambria"/>
            <w:color w:val="000000" w:themeColor="text1"/>
            <w:lang w:val="en-US"/>
          </w:rPr>
          <w:t>lp337@medschl.cam.ac.uk</w:t>
        </w:r>
      </w:hyperlink>
    </w:p>
    <w:p w:rsidR="00450071" w:rsidRPr="004D4326" w:rsidRDefault="00450071" w:rsidP="00450071">
      <w:pPr>
        <w:spacing w:after="200" w:line="480" w:lineRule="auto"/>
        <w:rPr>
          <w:lang w:val="en-US"/>
        </w:rPr>
      </w:pPr>
    </w:p>
    <w:p w:rsidR="00450071" w:rsidRPr="00B26E04" w:rsidRDefault="00450071" w:rsidP="00450071">
      <w:pPr>
        <w:spacing w:after="200" w:line="480" w:lineRule="auto"/>
        <w:rPr>
          <w:lang w:val="en-US"/>
        </w:rPr>
      </w:pPr>
    </w:p>
    <w:p w:rsidR="00C473B1" w:rsidRPr="00B26E04" w:rsidRDefault="0096787B" w:rsidP="00450071">
      <w:pPr>
        <w:spacing w:after="200" w:line="480" w:lineRule="auto"/>
        <w:rPr>
          <w:lang w:val="en-US"/>
        </w:rPr>
      </w:pPr>
      <w:r>
        <w:rPr>
          <w:lang w:val="en-US"/>
        </w:rPr>
        <w:t>Declaration of interest: none.</w:t>
      </w:r>
      <w:r>
        <w:rPr>
          <w:lang w:val="en-US"/>
        </w:rPr>
        <w:br w:type="page"/>
      </w:r>
    </w:p>
    <w:p w:rsidR="00E04905" w:rsidRPr="00B26E04" w:rsidRDefault="0096787B" w:rsidP="00113B97">
      <w:pPr>
        <w:spacing w:line="480" w:lineRule="auto"/>
        <w:rPr>
          <w:b/>
          <w:lang w:val="en-US"/>
        </w:rPr>
      </w:pPr>
      <w:r>
        <w:rPr>
          <w:b/>
          <w:lang w:val="en-US"/>
        </w:rPr>
        <w:lastRenderedPageBreak/>
        <w:t>Abstract</w:t>
      </w:r>
    </w:p>
    <w:p w:rsidR="00E04905" w:rsidRPr="00B26E04" w:rsidRDefault="0096787B" w:rsidP="00113B97">
      <w:pPr>
        <w:spacing w:line="480" w:lineRule="auto"/>
        <w:rPr>
          <w:lang w:val="en-US"/>
        </w:rPr>
      </w:pPr>
      <w:r>
        <w:rPr>
          <w:lang w:val="en-US"/>
        </w:rPr>
        <w:t xml:space="preserve">In modern societies, there is a strive to improve the quality of life related to risk of crimes which inevitably requires a better understanding of brain determinants and mediators of aggression. Neurobiology provides powerful tools to achieve this end. Pre-clinical and clinical studies show that changes in regional volumes, metabolism-function and connectivity within specific neural networks are related to aggression. Subregions of prefrontal cortex, insula, amygdala, basal ganglia and hippocampus play a major role within these circuits and have been consistently implicated in biology of aggression. Genetic variations in proteins regulating the synthesis, degradation, and transport of serotonin and dopamine as well as their signal transduction have been found to mediate behavioral variability observed in aggression. Gene-gene and gene-environment interactions represent additional important risk factors for </w:t>
      </w:r>
      <w:r>
        <w:rPr>
          <w:rFonts w:cs="Arial"/>
          <w:lang w:val="en-US"/>
        </w:rPr>
        <w:t>aggressiveness</w:t>
      </w:r>
      <w:r>
        <w:rPr>
          <w:lang w:val="en-US"/>
        </w:rPr>
        <w:t>. Considering the social burden of pathological forms of aggression, more basic and translational studies should be conducted to accelerate applications to clinical practice, justice courts, and policy making.</w:t>
      </w:r>
    </w:p>
    <w:p w:rsidR="00E04905" w:rsidRPr="00B26E04" w:rsidRDefault="0096787B" w:rsidP="00113B97">
      <w:pPr>
        <w:spacing w:line="480" w:lineRule="auto"/>
        <w:rPr>
          <w:lang w:val="en-US"/>
        </w:rPr>
      </w:pPr>
      <w:r>
        <w:rPr>
          <w:lang w:val="en-US"/>
        </w:rPr>
        <w:br w:type="page"/>
      </w:r>
    </w:p>
    <w:p w:rsidR="001327B3" w:rsidRPr="00B26E04" w:rsidRDefault="0096787B" w:rsidP="00113B97">
      <w:pPr>
        <w:spacing w:line="480" w:lineRule="auto"/>
        <w:rPr>
          <w:b/>
          <w:lang w:val="en-US"/>
        </w:rPr>
      </w:pPr>
      <w:r>
        <w:rPr>
          <w:b/>
          <w:lang w:val="en-US"/>
        </w:rPr>
        <w:lastRenderedPageBreak/>
        <w:t>Keywords</w:t>
      </w:r>
    </w:p>
    <w:p w:rsidR="00656F5A" w:rsidRPr="00B26E04" w:rsidRDefault="0096787B" w:rsidP="00113B97">
      <w:pPr>
        <w:spacing w:line="480" w:lineRule="auto"/>
        <w:rPr>
          <w:lang w:val="en-US"/>
        </w:rPr>
      </w:pPr>
      <w:r>
        <w:rPr>
          <w:lang w:val="en-US"/>
        </w:rPr>
        <w:t>Aggression; imaging of aggressive brain; brain regions of aggression; dopamine and serotonin in aggression; genetics of aggression.</w:t>
      </w:r>
    </w:p>
    <w:p w:rsidR="00E04905" w:rsidRPr="00B26E04" w:rsidRDefault="00E04905" w:rsidP="00113B97">
      <w:pPr>
        <w:spacing w:line="480" w:lineRule="auto"/>
        <w:rPr>
          <w:lang w:val="en-US"/>
        </w:rPr>
      </w:pPr>
    </w:p>
    <w:p w:rsidR="00E04905" w:rsidRPr="00B26E04" w:rsidRDefault="0096787B" w:rsidP="00113B97">
      <w:pPr>
        <w:spacing w:line="480" w:lineRule="auto"/>
        <w:rPr>
          <w:b/>
          <w:lang w:val="en-US"/>
        </w:rPr>
      </w:pPr>
      <w:r>
        <w:rPr>
          <w:b/>
          <w:lang w:val="en-US"/>
        </w:rPr>
        <w:t>Abbreviations</w:t>
      </w:r>
    </w:p>
    <w:p w:rsidR="00E10204" w:rsidRPr="00B26E04" w:rsidRDefault="0096787B" w:rsidP="00113B97">
      <w:pPr>
        <w:spacing w:line="480" w:lineRule="auto"/>
        <w:rPr>
          <w:lang w:val="en-US"/>
        </w:rPr>
      </w:pPr>
      <w:r>
        <w:rPr>
          <w:lang w:val="en-US"/>
        </w:rPr>
        <w:t xml:space="preserve">CNS, central nervous system; COMT, catechol O-methyltransferase; DA, dopamine; DR, dopamine receptor; fMRI, functional magnetic resonance imaging; 5-HT, serotonin; 5-HTT, 5-HT transporter; </w:t>
      </w:r>
      <w:r>
        <w:rPr>
          <w:i/>
          <w:lang w:val="en-US"/>
        </w:rPr>
        <w:t>5-HTTLPR</w:t>
      </w:r>
      <w:r>
        <w:rPr>
          <w:lang w:val="en-US"/>
        </w:rPr>
        <w:t xml:space="preserve">, </w:t>
      </w:r>
      <w:r>
        <w:rPr>
          <w:i/>
          <w:lang w:val="en-US"/>
        </w:rPr>
        <w:t>5-HTT</w:t>
      </w:r>
      <w:r>
        <w:rPr>
          <w:lang w:val="en-US"/>
        </w:rPr>
        <w:t xml:space="preserve">-linked polymorphic region; </w:t>
      </w:r>
      <w:r>
        <w:rPr>
          <w:i/>
          <w:lang w:val="en-US"/>
        </w:rPr>
        <w:t>5-HTTLPR-L</w:t>
      </w:r>
      <w:r>
        <w:rPr>
          <w:lang w:val="en-US"/>
        </w:rPr>
        <w:t xml:space="preserve">, long allele variant of the </w:t>
      </w:r>
      <w:r>
        <w:rPr>
          <w:i/>
          <w:lang w:val="en-US"/>
        </w:rPr>
        <w:t>5-HTTLPR</w:t>
      </w:r>
      <w:r>
        <w:rPr>
          <w:lang w:val="en-US"/>
        </w:rPr>
        <w:t xml:space="preserve">; </w:t>
      </w:r>
      <w:r>
        <w:rPr>
          <w:i/>
          <w:lang w:val="en-US"/>
        </w:rPr>
        <w:t>5-HTTLPR-S</w:t>
      </w:r>
      <w:r>
        <w:rPr>
          <w:lang w:val="en-US"/>
        </w:rPr>
        <w:t xml:space="preserve">, short allele variant of the </w:t>
      </w:r>
      <w:r>
        <w:rPr>
          <w:i/>
          <w:lang w:val="en-US"/>
        </w:rPr>
        <w:t>5-HTTLPR</w:t>
      </w:r>
      <w:r>
        <w:rPr>
          <w:lang w:val="en-US"/>
        </w:rPr>
        <w:t xml:space="preserve">; </w:t>
      </w:r>
      <w:r>
        <w:rPr>
          <w:i/>
          <w:lang w:val="en-US"/>
        </w:rPr>
        <w:t>L-DRD4</w:t>
      </w:r>
      <w:r>
        <w:rPr>
          <w:lang w:val="en-US"/>
        </w:rPr>
        <w:t xml:space="preserve">, long allelic variant of </w:t>
      </w:r>
      <w:r>
        <w:rPr>
          <w:i/>
          <w:lang w:val="en-US"/>
        </w:rPr>
        <w:t>DRD4</w:t>
      </w:r>
      <w:r>
        <w:rPr>
          <w:lang w:val="en-US"/>
        </w:rPr>
        <w:t xml:space="preserve"> gene; MAO, monoamine oxidase; MAOA, monoamine oxidase type A; </w:t>
      </w:r>
      <w:r>
        <w:rPr>
          <w:i/>
          <w:lang w:val="en-US"/>
        </w:rPr>
        <w:t>MAOA-H</w:t>
      </w:r>
      <w:r>
        <w:rPr>
          <w:lang w:val="en-US"/>
        </w:rPr>
        <w:t xml:space="preserve">, high-expression allelic variant of </w:t>
      </w:r>
      <w:r>
        <w:rPr>
          <w:i/>
          <w:lang w:val="en-US"/>
        </w:rPr>
        <w:t>MAOA</w:t>
      </w:r>
      <w:r>
        <w:rPr>
          <w:lang w:val="en-US"/>
        </w:rPr>
        <w:t xml:space="preserve"> gene; </w:t>
      </w:r>
      <w:r>
        <w:rPr>
          <w:i/>
          <w:lang w:val="en-US"/>
        </w:rPr>
        <w:t>MAOA-L</w:t>
      </w:r>
      <w:r>
        <w:rPr>
          <w:lang w:val="en-US"/>
        </w:rPr>
        <w:t xml:space="preserve">, low-expression allelic variant of </w:t>
      </w:r>
      <w:r>
        <w:rPr>
          <w:i/>
          <w:lang w:val="en-US"/>
        </w:rPr>
        <w:t>MAOA</w:t>
      </w:r>
      <w:r>
        <w:rPr>
          <w:lang w:val="en-US"/>
        </w:rPr>
        <w:t xml:space="preserve"> gene; MRI, magnetic resonance imaging; PET, positron emission tomography; </w:t>
      </w:r>
      <w:r>
        <w:rPr>
          <w:i/>
          <w:lang w:val="en-US"/>
        </w:rPr>
        <w:t>S-DRD4</w:t>
      </w:r>
      <w:r>
        <w:rPr>
          <w:lang w:val="en-US"/>
        </w:rPr>
        <w:t xml:space="preserve">, short allelic variant of </w:t>
      </w:r>
      <w:r>
        <w:rPr>
          <w:i/>
          <w:lang w:val="en-US"/>
        </w:rPr>
        <w:t>DRD4</w:t>
      </w:r>
      <w:r>
        <w:rPr>
          <w:lang w:val="en-US"/>
        </w:rPr>
        <w:t xml:space="preserve"> gene; SNP, single nucleotide polymorphism; SPECT, single photon emission computed tomography; TPH, tryptophan hydroxylase; UTR, untranslated regions; VNTR, variable number tandem repeat.</w:t>
      </w:r>
    </w:p>
    <w:p w:rsidR="001D3EC8" w:rsidRPr="00B26E04" w:rsidRDefault="001D3EC8" w:rsidP="00113B97">
      <w:pPr>
        <w:spacing w:line="480" w:lineRule="auto"/>
        <w:rPr>
          <w:b/>
          <w:lang w:val="en-US"/>
        </w:rPr>
      </w:pPr>
    </w:p>
    <w:p w:rsidR="001D3EC8" w:rsidRPr="00B26E04" w:rsidRDefault="0096787B" w:rsidP="001D3EC8">
      <w:pPr>
        <w:spacing w:line="480" w:lineRule="auto"/>
        <w:rPr>
          <w:b/>
          <w:lang w:val="en-US"/>
        </w:rPr>
      </w:pPr>
      <w:r>
        <w:rPr>
          <w:b/>
          <w:lang w:val="en-US"/>
        </w:rPr>
        <w:t>Glossary</w:t>
      </w:r>
    </w:p>
    <w:p w:rsidR="001D3EC8" w:rsidRPr="00B26E04" w:rsidRDefault="0096787B" w:rsidP="001D3EC8">
      <w:pPr>
        <w:spacing w:line="480" w:lineRule="auto"/>
        <w:rPr>
          <w:lang w:val="en-US"/>
        </w:rPr>
      </w:pPr>
      <w:r>
        <w:rPr>
          <w:b/>
          <w:lang w:val="en-US"/>
        </w:rPr>
        <w:t>Aggression</w:t>
      </w:r>
      <w:r>
        <w:rPr>
          <w:lang w:val="en-US"/>
        </w:rPr>
        <w:t>: range of behaviors deliberately aimed to harm or pain to another person and/or objects. Hostile aggression can be physical and/or verbal and is performed with the primary goal of intentional physical injury, psychological harm, damage of social relationships, taking advantage or pleasure.</w:t>
      </w:r>
    </w:p>
    <w:p w:rsidR="00F87480" w:rsidRPr="00B26E04" w:rsidRDefault="0096787B" w:rsidP="001D3EC8">
      <w:pPr>
        <w:spacing w:line="480" w:lineRule="auto"/>
        <w:rPr>
          <w:lang w:val="en-US"/>
        </w:rPr>
      </w:pPr>
      <w:r>
        <w:rPr>
          <w:b/>
          <w:lang w:val="en-US"/>
        </w:rPr>
        <w:t>Anger</w:t>
      </w:r>
      <w:r>
        <w:rPr>
          <w:lang w:val="en-US"/>
        </w:rPr>
        <w:t xml:space="preserve">: defined as </w:t>
      </w:r>
      <w:r w:rsidR="00143539">
        <w:rPr>
          <w:lang w:val="en-US"/>
        </w:rPr>
        <w:t>"</w:t>
      </w:r>
      <w:r>
        <w:rPr>
          <w:lang w:val="en-US"/>
        </w:rPr>
        <w:t>a strong feeling of annoyance, displeasure, or hostility</w:t>
      </w:r>
      <w:r w:rsidR="00143539">
        <w:rPr>
          <w:lang w:val="en-US"/>
        </w:rPr>
        <w:t xml:space="preserve">", </w:t>
      </w:r>
      <w:r>
        <w:rPr>
          <w:lang w:val="en-US"/>
        </w:rPr>
        <w:t xml:space="preserve">anger is a basic human emotional state in response to the unwanted and unexpected behavior of others, and consists of feelings that vary in intensity from mild irritation or annoyance to intense fury and may give rise to aggression. Anger has been suggested to serve a variety of adaptive </w:t>
      </w:r>
      <w:r>
        <w:rPr>
          <w:lang w:val="en-US"/>
        </w:rPr>
        <w:lastRenderedPageBreak/>
        <w:t>functions. It modulates several psychological processes, regulates social and interpersonal behaviors to assist goal-directed actions.</w:t>
      </w:r>
    </w:p>
    <w:p w:rsidR="004C7281" w:rsidRPr="00B26E04" w:rsidRDefault="0096787B" w:rsidP="001D3EC8">
      <w:pPr>
        <w:spacing w:line="480" w:lineRule="auto"/>
        <w:rPr>
          <w:lang w:val="en-US"/>
        </w:rPr>
      </w:pPr>
      <w:r>
        <w:rPr>
          <w:b/>
          <w:lang w:val="en-US"/>
        </w:rPr>
        <w:t>Antisocial behavior</w:t>
      </w:r>
      <w:r>
        <w:rPr>
          <w:lang w:val="en-US"/>
        </w:rPr>
        <w:t>: any violation of formal or informal social rules that involves disruptive acts intended to harm or disadvantage another individual through hostility and aggression.</w:t>
      </w:r>
    </w:p>
    <w:p w:rsidR="004C7281" w:rsidRPr="00B26E04" w:rsidRDefault="0096787B" w:rsidP="001D3EC8">
      <w:pPr>
        <w:spacing w:line="480" w:lineRule="auto"/>
        <w:rPr>
          <w:lang w:val="en-US"/>
        </w:rPr>
      </w:pPr>
      <w:r>
        <w:rPr>
          <w:b/>
          <w:lang w:val="en-US"/>
        </w:rPr>
        <w:t>Emotional reactivity</w:t>
      </w:r>
      <w:r>
        <w:rPr>
          <w:lang w:val="en-US"/>
        </w:rPr>
        <w:t>: positive or negative emotional responses to a stimulus which is valued as variation from the baseline. The emotional response may vary between different individuals in terms of intensity, frequency, threshold of arousal, duration, and speed at which it reaches the peaks and returns from the peaks back to the baseline.</w:t>
      </w:r>
    </w:p>
    <w:p w:rsidR="00A02173" w:rsidRPr="00B26E04" w:rsidRDefault="0096787B" w:rsidP="001D3EC8">
      <w:pPr>
        <w:spacing w:line="480" w:lineRule="auto"/>
        <w:rPr>
          <w:lang w:val="en-US"/>
        </w:rPr>
      </w:pPr>
      <w:r>
        <w:rPr>
          <w:b/>
          <w:lang w:val="en-US"/>
        </w:rPr>
        <w:t>Impartiality</w:t>
      </w:r>
      <w:r>
        <w:rPr>
          <w:lang w:val="en-US"/>
        </w:rPr>
        <w:t>: equal treatment of all the sides involved in an argument.</w:t>
      </w:r>
    </w:p>
    <w:p w:rsidR="003B2FFD" w:rsidRPr="00B26E04" w:rsidRDefault="0096787B" w:rsidP="001D3EC8">
      <w:pPr>
        <w:spacing w:line="480" w:lineRule="auto"/>
        <w:rPr>
          <w:lang w:val="en-US"/>
        </w:rPr>
      </w:pPr>
      <w:r>
        <w:rPr>
          <w:b/>
          <w:lang w:val="en-US"/>
        </w:rPr>
        <w:t>Impulsivity</w:t>
      </w:r>
      <w:r>
        <w:rPr>
          <w:lang w:val="en-US"/>
        </w:rPr>
        <w:t>: tendency to act impetuously without or with little forethought and not evaluating the consequences of any action. It is a rapid and poorly conceived action, an unplanned reaction to stimuli that is prematurely expressed due to the inability to inhibit behavioral impulses and thoughts, and often inappropriate to the situation thus leading to undesirable consequences.</w:t>
      </w:r>
    </w:p>
    <w:p w:rsidR="00C12977" w:rsidRPr="00B26E04" w:rsidRDefault="0096787B" w:rsidP="001D3EC8">
      <w:pPr>
        <w:spacing w:line="480" w:lineRule="auto"/>
        <w:rPr>
          <w:lang w:val="en-US"/>
        </w:rPr>
      </w:pPr>
      <w:r>
        <w:rPr>
          <w:b/>
          <w:lang w:val="en-US"/>
        </w:rPr>
        <w:t>Interpersonal hypersensitivity</w:t>
      </w:r>
      <w:r>
        <w:rPr>
          <w:lang w:val="en-US"/>
        </w:rPr>
        <w:t>: excessive concern with, and vulnerability to negative responses by others. This behavior may also result from a contradictory combination of needs for closeness and attention with intense fear of rejection and abandonment. Socially or emotionally hypersensitive subjects could respond to negative social experiences with defensively aggressive behavior.</w:t>
      </w:r>
    </w:p>
    <w:p w:rsidR="009B1F28" w:rsidRPr="00B26E04" w:rsidRDefault="0096787B" w:rsidP="001D3EC8">
      <w:pPr>
        <w:spacing w:line="480" w:lineRule="auto"/>
        <w:rPr>
          <w:lang w:val="en-US"/>
        </w:rPr>
      </w:pPr>
      <w:r>
        <w:rPr>
          <w:b/>
          <w:lang w:val="en-US"/>
        </w:rPr>
        <w:t>Moral</w:t>
      </w:r>
      <w:r>
        <w:rPr>
          <w:lang w:val="en-US"/>
        </w:rPr>
        <w:t>: set of values and principles shared among society with common cultural standards. These identify principles of "right and wrong" and are useful to guide social conducts of groups.</w:t>
      </w:r>
    </w:p>
    <w:p w:rsidR="00917F18" w:rsidRPr="00B26E04" w:rsidRDefault="0096787B" w:rsidP="001D3EC8">
      <w:pPr>
        <w:spacing w:line="480" w:lineRule="auto"/>
        <w:rPr>
          <w:lang w:val="en-US"/>
        </w:rPr>
      </w:pPr>
      <w:r>
        <w:rPr>
          <w:b/>
          <w:lang w:val="en-US"/>
        </w:rPr>
        <w:t>Moral behavior</w:t>
      </w:r>
      <w:r>
        <w:rPr>
          <w:lang w:val="en-US"/>
        </w:rPr>
        <w:t>: the behavior of an individual that produces the right outcome for the individual and/or reinforces other members of the group, and results in a planned action which would be most morally justifiable.</w:t>
      </w:r>
    </w:p>
    <w:p w:rsidR="00707632" w:rsidRPr="00B26E04" w:rsidRDefault="0096787B" w:rsidP="00707632">
      <w:pPr>
        <w:spacing w:line="480" w:lineRule="auto"/>
        <w:rPr>
          <w:lang w:val="en-US"/>
        </w:rPr>
      </w:pPr>
      <w:r>
        <w:rPr>
          <w:b/>
          <w:lang w:val="en-US"/>
        </w:rPr>
        <w:lastRenderedPageBreak/>
        <w:t>Proactive behavior</w:t>
      </w:r>
      <w:r>
        <w:rPr>
          <w:lang w:val="en-US"/>
        </w:rPr>
        <w:t>: self-initiated and future-oriented behavior characterized by planned, instrumental and cold-blooded actions.</w:t>
      </w:r>
    </w:p>
    <w:p w:rsidR="00707632" w:rsidRPr="00B26E04" w:rsidRDefault="0096787B" w:rsidP="00707632">
      <w:pPr>
        <w:spacing w:line="480" w:lineRule="auto"/>
        <w:rPr>
          <w:lang w:val="en-US"/>
        </w:rPr>
      </w:pPr>
      <w:r>
        <w:rPr>
          <w:b/>
          <w:lang w:val="en-US"/>
        </w:rPr>
        <w:t>Proactive (instrumental) aggression</w:t>
      </w:r>
      <w:r>
        <w:rPr>
          <w:lang w:val="en-US"/>
        </w:rPr>
        <w:t>: non-impulsive and non-emotional form of aggression with full intent and goal-oriented actions, accompanied by low arousal. Instrumental aggression is characterized by absence of provocation, is designed to achieve an objective beyond physical violence and involves reward systems.</w:t>
      </w:r>
    </w:p>
    <w:p w:rsidR="000A6C02" w:rsidRPr="00B26E04" w:rsidRDefault="0096787B" w:rsidP="000A6C02">
      <w:pPr>
        <w:spacing w:line="480" w:lineRule="auto"/>
        <w:rPr>
          <w:lang w:val="en-US"/>
        </w:rPr>
      </w:pPr>
      <w:r>
        <w:rPr>
          <w:b/>
          <w:lang w:val="en-US"/>
        </w:rPr>
        <w:t>Reactive behavior</w:t>
      </w:r>
      <w:r>
        <w:rPr>
          <w:lang w:val="en-US"/>
        </w:rPr>
        <w:t>: explosive and uncontrolled behavior characterized by impulsive, emotional and hot-blooded actions.</w:t>
      </w:r>
    </w:p>
    <w:p w:rsidR="00707632" w:rsidRPr="00B26E04" w:rsidRDefault="0096787B" w:rsidP="000A6C02">
      <w:pPr>
        <w:spacing w:line="480" w:lineRule="auto"/>
        <w:rPr>
          <w:lang w:val="en-US"/>
        </w:rPr>
      </w:pPr>
      <w:r>
        <w:rPr>
          <w:b/>
          <w:lang w:val="en-US"/>
        </w:rPr>
        <w:t>Reactive (impulsive) aggression</w:t>
      </w:r>
      <w:r>
        <w:rPr>
          <w:lang w:val="en-US"/>
        </w:rPr>
        <w:t>: impulsive aggression involves an emotional response triggered by a threatening event or provocation or frustration, it often comprises anger and tends to be directed toward the perceived perpetrator. Reactive aggression is an affectively motivated reaction without any potential goal, and is considered as the final form of the animal’s response to threat.</w:t>
      </w:r>
    </w:p>
    <w:p w:rsidR="000A6C02" w:rsidRPr="00B26E04" w:rsidRDefault="0096787B" w:rsidP="000A6C02">
      <w:pPr>
        <w:spacing w:line="480" w:lineRule="auto"/>
        <w:rPr>
          <w:lang w:val="en-US"/>
        </w:rPr>
      </w:pPr>
      <w:r>
        <w:rPr>
          <w:b/>
          <w:lang w:val="en-US"/>
        </w:rPr>
        <w:t>Violence</w:t>
      </w:r>
      <w:r>
        <w:rPr>
          <w:lang w:val="en-US"/>
        </w:rPr>
        <w:t>: an extreme form of aggression characterized by intentional use of physical force or power against a person or community aimed to induce severe physical injury, death, psychological harm, maldevelopment or deprivation.</w:t>
      </w:r>
    </w:p>
    <w:p w:rsidR="00E04905" w:rsidRPr="00B26E04" w:rsidRDefault="0096787B" w:rsidP="00113B97">
      <w:pPr>
        <w:spacing w:line="480" w:lineRule="auto"/>
        <w:rPr>
          <w:b/>
          <w:lang w:val="en-US"/>
        </w:rPr>
      </w:pPr>
      <w:r>
        <w:rPr>
          <w:b/>
          <w:lang w:val="en-US"/>
        </w:rPr>
        <w:br w:type="page"/>
      </w:r>
    </w:p>
    <w:p w:rsidR="00E04905" w:rsidRPr="00B26E04" w:rsidRDefault="0096787B" w:rsidP="00113B97">
      <w:pPr>
        <w:spacing w:line="480" w:lineRule="auto"/>
        <w:rPr>
          <w:b/>
          <w:lang w:val="en-US"/>
        </w:rPr>
      </w:pPr>
      <w:r>
        <w:rPr>
          <w:b/>
          <w:lang w:val="en-US"/>
        </w:rPr>
        <w:lastRenderedPageBreak/>
        <w:t>Table of contents</w:t>
      </w:r>
    </w:p>
    <w:p w:rsidR="00346D33" w:rsidRPr="00B26E04" w:rsidRDefault="0096787B" w:rsidP="00113B97">
      <w:pPr>
        <w:numPr>
          <w:ilvl w:val="0"/>
          <w:numId w:val="3"/>
        </w:numPr>
        <w:spacing w:line="480" w:lineRule="auto"/>
        <w:ind w:left="426" w:hanging="426"/>
        <w:rPr>
          <w:lang w:val="en-US"/>
        </w:rPr>
      </w:pPr>
      <w:r>
        <w:rPr>
          <w:lang w:val="en-US"/>
        </w:rPr>
        <w:t>Introduction</w:t>
      </w:r>
    </w:p>
    <w:p w:rsidR="00346D33" w:rsidRPr="00B26E04" w:rsidRDefault="0096787B" w:rsidP="00113B97">
      <w:pPr>
        <w:numPr>
          <w:ilvl w:val="0"/>
          <w:numId w:val="3"/>
        </w:numPr>
        <w:spacing w:line="480" w:lineRule="auto"/>
        <w:ind w:left="426" w:hanging="426"/>
        <w:rPr>
          <w:lang w:val="en-US"/>
        </w:rPr>
      </w:pPr>
      <w:r>
        <w:rPr>
          <w:lang w:val="en-US"/>
        </w:rPr>
        <w:t>Pathology and aggressive behavior</w:t>
      </w:r>
    </w:p>
    <w:p w:rsidR="00346D33" w:rsidRPr="00B26E04" w:rsidRDefault="0096787B" w:rsidP="00113B97">
      <w:pPr>
        <w:numPr>
          <w:ilvl w:val="0"/>
          <w:numId w:val="3"/>
        </w:numPr>
        <w:spacing w:line="480" w:lineRule="auto"/>
        <w:ind w:left="426" w:hanging="426"/>
        <w:rPr>
          <w:lang w:val="en-US"/>
        </w:rPr>
      </w:pPr>
      <w:r>
        <w:rPr>
          <w:lang w:val="en-US"/>
        </w:rPr>
        <w:t>Imaging of brain in aggression</w:t>
      </w:r>
    </w:p>
    <w:p w:rsidR="00346D33" w:rsidRPr="00B26E04" w:rsidRDefault="0096787B" w:rsidP="00113B97">
      <w:pPr>
        <w:numPr>
          <w:ilvl w:val="0"/>
          <w:numId w:val="3"/>
        </w:numPr>
        <w:spacing w:line="480" w:lineRule="auto"/>
        <w:ind w:left="426" w:hanging="426"/>
        <w:rPr>
          <w:lang w:val="en-US"/>
        </w:rPr>
      </w:pPr>
      <w:r>
        <w:rPr>
          <w:lang w:val="en-US"/>
        </w:rPr>
        <w:t>Brain areas of aggressiveness</w:t>
      </w:r>
    </w:p>
    <w:p w:rsidR="00346D33" w:rsidRPr="00B26E04" w:rsidRDefault="0096787B" w:rsidP="00113B97">
      <w:pPr>
        <w:numPr>
          <w:ilvl w:val="1"/>
          <w:numId w:val="3"/>
        </w:numPr>
        <w:spacing w:line="480" w:lineRule="auto"/>
        <w:ind w:left="709" w:hanging="425"/>
        <w:rPr>
          <w:lang w:val="en-US"/>
        </w:rPr>
      </w:pPr>
      <w:r>
        <w:rPr>
          <w:lang w:val="en-US"/>
        </w:rPr>
        <w:t>Prefrontal cortex</w:t>
      </w:r>
    </w:p>
    <w:p w:rsidR="00346D33" w:rsidRPr="00B26E04" w:rsidRDefault="0096787B" w:rsidP="00113B97">
      <w:pPr>
        <w:numPr>
          <w:ilvl w:val="2"/>
          <w:numId w:val="3"/>
        </w:numPr>
        <w:spacing w:line="480" w:lineRule="auto"/>
        <w:rPr>
          <w:lang w:val="en-US"/>
        </w:rPr>
      </w:pPr>
      <w:r>
        <w:rPr>
          <w:lang w:val="en-US"/>
        </w:rPr>
        <w:t>Ventromedial prefrontal cortex</w:t>
      </w:r>
    </w:p>
    <w:p w:rsidR="00346D33" w:rsidRPr="00B26E04" w:rsidRDefault="0096787B" w:rsidP="00113B97">
      <w:pPr>
        <w:numPr>
          <w:ilvl w:val="2"/>
          <w:numId w:val="3"/>
        </w:numPr>
        <w:spacing w:line="480" w:lineRule="auto"/>
        <w:rPr>
          <w:lang w:val="en-US"/>
        </w:rPr>
      </w:pPr>
      <w:r>
        <w:rPr>
          <w:lang w:val="en-US"/>
        </w:rPr>
        <w:t>Dorsolateral and dorsomedial prefrontal cortex</w:t>
      </w:r>
    </w:p>
    <w:p w:rsidR="00C87A12" w:rsidRPr="00B26E04" w:rsidRDefault="0096787B" w:rsidP="00113B97">
      <w:pPr>
        <w:numPr>
          <w:ilvl w:val="1"/>
          <w:numId w:val="3"/>
        </w:numPr>
        <w:spacing w:line="480" w:lineRule="auto"/>
        <w:ind w:left="709" w:hanging="425"/>
        <w:rPr>
          <w:lang w:val="en-US"/>
        </w:rPr>
      </w:pPr>
      <w:r>
        <w:rPr>
          <w:lang w:val="en-US"/>
        </w:rPr>
        <w:t>Anterior cingulate cortex</w:t>
      </w:r>
    </w:p>
    <w:p w:rsidR="00346D33" w:rsidRPr="00B26E04" w:rsidRDefault="0096787B" w:rsidP="00113B97">
      <w:pPr>
        <w:numPr>
          <w:ilvl w:val="1"/>
          <w:numId w:val="3"/>
        </w:numPr>
        <w:spacing w:line="480" w:lineRule="auto"/>
        <w:ind w:left="709" w:hanging="425"/>
        <w:rPr>
          <w:lang w:val="en-US"/>
        </w:rPr>
      </w:pPr>
      <w:r>
        <w:rPr>
          <w:lang w:val="en-US"/>
        </w:rPr>
        <w:t>Temporal lobe</w:t>
      </w:r>
    </w:p>
    <w:p w:rsidR="00346D33" w:rsidRPr="00B26E04" w:rsidRDefault="0096787B" w:rsidP="00113B97">
      <w:pPr>
        <w:numPr>
          <w:ilvl w:val="2"/>
          <w:numId w:val="3"/>
        </w:numPr>
        <w:spacing w:line="480" w:lineRule="auto"/>
        <w:rPr>
          <w:lang w:val="en-US"/>
        </w:rPr>
      </w:pPr>
      <w:r>
        <w:rPr>
          <w:lang w:val="en-US"/>
        </w:rPr>
        <w:t>Medial temporal lobe connectivity and its relevance to aggression</w:t>
      </w:r>
    </w:p>
    <w:p w:rsidR="00346D33" w:rsidRPr="00B26E04" w:rsidRDefault="0096787B" w:rsidP="00113B97">
      <w:pPr>
        <w:numPr>
          <w:ilvl w:val="2"/>
          <w:numId w:val="3"/>
        </w:numPr>
        <w:spacing w:line="480" w:lineRule="auto"/>
        <w:rPr>
          <w:lang w:val="en-US"/>
        </w:rPr>
      </w:pPr>
      <w:r>
        <w:rPr>
          <w:lang w:val="en-US"/>
        </w:rPr>
        <w:t>Temporal lobe dysfunction and aggression</w:t>
      </w:r>
    </w:p>
    <w:p w:rsidR="00346D33" w:rsidRPr="00B26E04" w:rsidRDefault="0096787B" w:rsidP="00113B97">
      <w:pPr>
        <w:numPr>
          <w:ilvl w:val="1"/>
          <w:numId w:val="3"/>
        </w:numPr>
        <w:spacing w:line="480" w:lineRule="auto"/>
        <w:ind w:left="709" w:hanging="425"/>
        <w:rPr>
          <w:lang w:val="en-US"/>
        </w:rPr>
      </w:pPr>
      <w:r>
        <w:rPr>
          <w:lang w:val="en-US"/>
        </w:rPr>
        <w:t>Insula</w:t>
      </w:r>
    </w:p>
    <w:p w:rsidR="00346D33" w:rsidRPr="00B26E04" w:rsidRDefault="0096787B" w:rsidP="00113B97">
      <w:pPr>
        <w:numPr>
          <w:ilvl w:val="0"/>
          <w:numId w:val="3"/>
        </w:numPr>
        <w:spacing w:line="480" w:lineRule="auto"/>
        <w:rPr>
          <w:lang w:val="en-US"/>
        </w:rPr>
      </w:pPr>
      <w:r>
        <w:rPr>
          <w:lang w:val="en-US"/>
        </w:rPr>
        <w:t xml:space="preserve">Genetics and neurochemistry of </w:t>
      </w:r>
      <w:r>
        <w:rPr>
          <w:rFonts w:cs="Arial"/>
          <w:lang w:val="en-US"/>
        </w:rPr>
        <w:t>aggressive behavior</w:t>
      </w:r>
    </w:p>
    <w:p w:rsidR="00346D33" w:rsidRPr="00B26E04" w:rsidRDefault="0096787B" w:rsidP="00113B97">
      <w:pPr>
        <w:numPr>
          <w:ilvl w:val="1"/>
          <w:numId w:val="3"/>
        </w:numPr>
        <w:spacing w:line="480" w:lineRule="auto"/>
        <w:rPr>
          <w:lang w:val="en-US"/>
        </w:rPr>
      </w:pPr>
      <w:r>
        <w:rPr>
          <w:lang w:val="en-US"/>
        </w:rPr>
        <w:t>Serotonergic system</w:t>
      </w:r>
    </w:p>
    <w:p w:rsidR="00346D33" w:rsidRPr="00B26E04" w:rsidRDefault="0096787B" w:rsidP="00113B97">
      <w:pPr>
        <w:numPr>
          <w:ilvl w:val="2"/>
          <w:numId w:val="3"/>
        </w:numPr>
        <w:spacing w:line="480" w:lineRule="auto"/>
        <w:rPr>
          <w:lang w:val="en-US"/>
        </w:rPr>
      </w:pPr>
      <w:r>
        <w:rPr>
          <w:lang w:val="en-US"/>
        </w:rPr>
        <w:t>Monoamine oxidase type A</w:t>
      </w:r>
    </w:p>
    <w:p w:rsidR="00346D33" w:rsidRPr="00B26E04" w:rsidRDefault="0096787B" w:rsidP="00113B97">
      <w:pPr>
        <w:numPr>
          <w:ilvl w:val="3"/>
          <w:numId w:val="3"/>
        </w:numPr>
        <w:spacing w:line="480" w:lineRule="auto"/>
        <w:rPr>
          <w:lang w:val="en-US"/>
        </w:rPr>
      </w:pPr>
      <w:r>
        <w:rPr>
          <w:lang w:val="en-US"/>
        </w:rPr>
        <w:t>Mutations of monoamine oxidase type A gene</w:t>
      </w:r>
    </w:p>
    <w:p w:rsidR="00346D33" w:rsidRPr="00B26E04" w:rsidRDefault="0096787B" w:rsidP="00113B97">
      <w:pPr>
        <w:numPr>
          <w:ilvl w:val="3"/>
          <w:numId w:val="3"/>
        </w:numPr>
        <w:spacing w:line="480" w:lineRule="auto"/>
        <w:rPr>
          <w:lang w:val="en-US"/>
        </w:rPr>
      </w:pPr>
      <w:r>
        <w:rPr>
          <w:lang w:val="en-US"/>
        </w:rPr>
        <w:t xml:space="preserve">Effects of monoamine oxidase type A gene mutations on brain and </w:t>
      </w:r>
      <w:r>
        <w:rPr>
          <w:rFonts w:cs="Arial"/>
          <w:lang w:val="en-US"/>
        </w:rPr>
        <w:t>aggression</w:t>
      </w:r>
    </w:p>
    <w:p w:rsidR="00346D33" w:rsidRPr="00B26E04" w:rsidRDefault="0096787B" w:rsidP="00113B97">
      <w:pPr>
        <w:numPr>
          <w:ilvl w:val="2"/>
          <w:numId w:val="3"/>
        </w:numPr>
        <w:spacing w:line="480" w:lineRule="auto"/>
        <w:rPr>
          <w:lang w:val="en-US"/>
        </w:rPr>
      </w:pPr>
      <w:r>
        <w:rPr>
          <w:lang w:val="en-US"/>
        </w:rPr>
        <w:t>The serotonin transporter</w:t>
      </w:r>
    </w:p>
    <w:p w:rsidR="00346D33" w:rsidRPr="00B26E04" w:rsidRDefault="0096787B" w:rsidP="00113B97">
      <w:pPr>
        <w:numPr>
          <w:ilvl w:val="3"/>
          <w:numId w:val="3"/>
        </w:numPr>
        <w:spacing w:line="480" w:lineRule="auto"/>
        <w:rPr>
          <w:lang w:val="en-US"/>
        </w:rPr>
      </w:pPr>
      <w:r>
        <w:rPr>
          <w:lang w:val="en-US"/>
        </w:rPr>
        <w:t>Mutations of serotonin transporter</w:t>
      </w:r>
      <w:r>
        <w:rPr>
          <w:i/>
          <w:lang w:val="en-US"/>
        </w:rPr>
        <w:t xml:space="preserve"> </w:t>
      </w:r>
      <w:r>
        <w:rPr>
          <w:lang w:val="en-US"/>
        </w:rPr>
        <w:t>gene</w:t>
      </w:r>
    </w:p>
    <w:p w:rsidR="00346D33" w:rsidRPr="00B26E04" w:rsidRDefault="0096787B" w:rsidP="00113B97">
      <w:pPr>
        <w:numPr>
          <w:ilvl w:val="3"/>
          <w:numId w:val="3"/>
        </w:numPr>
        <w:spacing w:line="480" w:lineRule="auto"/>
        <w:rPr>
          <w:lang w:val="en-US"/>
        </w:rPr>
      </w:pPr>
      <w:r>
        <w:rPr>
          <w:lang w:val="en-US"/>
        </w:rPr>
        <w:t>The serotonin transporter gene polymorphisms and brain morpho-functionality changes</w:t>
      </w:r>
    </w:p>
    <w:p w:rsidR="00346D33" w:rsidRPr="00B26E04" w:rsidRDefault="0096787B" w:rsidP="00113B97">
      <w:pPr>
        <w:numPr>
          <w:ilvl w:val="2"/>
          <w:numId w:val="3"/>
        </w:numPr>
        <w:spacing w:line="480" w:lineRule="auto"/>
        <w:rPr>
          <w:lang w:val="en-US"/>
        </w:rPr>
      </w:pPr>
      <w:r>
        <w:rPr>
          <w:lang w:val="en-US"/>
        </w:rPr>
        <w:t>Tryptophan hydroxylase</w:t>
      </w:r>
    </w:p>
    <w:p w:rsidR="00346D33" w:rsidRPr="00B26E04" w:rsidRDefault="0096787B" w:rsidP="00113B97">
      <w:pPr>
        <w:numPr>
          <w:ilvl w:val="3"/>
          <w:numId w:val="3"/>
        </w:numPr>
        <w:spacing w:line="480" w:lineRule="auto"/>
        <w:rPr>
          <w:lang w:val="en-US"/>
        </w:rPr>
      </w:pPr>
      <w:r>
        <w:rPr>
          <w:lang w:val="en-US"/>
        </w:rPr>
        <w:t>Mutations of tryptophan hydroxylase</w:t>
      </w:r>
      <w:r>
        <w:rPr>
          <w:i/>
          <w:lang w:val="en-US"/>
        </w:rPr>
        <w:t xml:space="preserve"> </w:t>
      </w:r>
      <w:r>
        <w:rPr>
          <w:lang w:val="en-US"/>
        </w:rPr>
        <w:t xml:space="preserve">gene and </w:t>
      </w:r>
      <w:r>
        <w:rPr>
          <w:rFonts w:cs="Arial"/>
          <w:lang w:val="en-US"/>
        </w:rPr>
        <w:t>aggressive</w:t>
      </w:r>
      <w:r>
        <w:rPr>
          <w:lang w:val="en-US"/>
        </w:rPr>
        <w:t xml:space="preserve"> behavior</w:t>
      </w:r>
    </w:p>
    <w:p w:rsidR="00346D33" w:rsidRPr="00B26E04" w:rsidRDefault="0096787B" w:rsidP="00113B97">
      <w:pPr>
        <w:numPr>
          <w:ilvl w:val="2"/>
          <w:numId w:val="3"/>
        </w:numPr>
        <w:spacing w:line="480" w:lineRule="auto"/>
        <w:rPr>
          <w:lang w:val="en-US"/>
        </w:rPr>
      </w:pPr>
      <w:r>
        <w:rPr>
          <w:lang w:val="en-US"/>
        </w:rPr>
        <w:t>The serotonin receptors</w:t>
      </w:r>
    </w:p>
    <w:p w:rsidR="00346D33" w:rsidRPr="00B26E04" w:rsidRDefault="0096787B" w:rsidP="00113B97">
      <w:pPr>
        <w:numPr>
          <w:ilvl w:val="3"/>
          <w:numId w:val="3"/>
        </w:numPr>
        <w:spacing w:line="480" w:lineRule="auto"/>
        <w:rPr>
          <w:lang w:val="en-US"/>
        </w:rPr>
      </w:pPr>
      <w:r>
        <w:rPr>
          <w:lang w:val="en-US"/>
        </w:rPr>
        <w:lastRenderedPageBreak/>
        <w:t>Mutations of serotonin receptor gene and susceptibility to antisocial behavior</w:t>
      </w:r>
    </w:p>
    <w:p w:rsidR="00346D33" w:rsidRPr="00B26E04" w:rsidRDefault="0096787B" w:rsidP="00113B97">
      <w:pPr>
        <w:pStyle w:val="ListParagraph"/>
        <w:numPr>
          <w:ilvl w:val="1"/>
          <w:numId w:val="3"/>
        </w:numPr>
        <w:spacing w:line="480" w:lineRule="auto"/>
        <w:rPr>
          <w:lang w:val="en-US"/>
        </w:rPr>
      </w:pPr>
      <w:r>
        <w:rPr>
          <w:lang w:val="en-US"/>
        </w:rPr>
        <w:t>Dopaminergic system</w:t>
      </w:r>
    </w:p>
    <w:p w:rsidR="00346D33" w:rsidRPr="00B26E04" w:rsidRDefault="0096787B" w:rsidP="00113B97">
      <w:pPr>
        <w:pStyle w:val="ListParagraph"/>
        <w:numPr>
          <w:ilvl w:val="2"/>
          <w:numId w:val="3"/>
        </w:numPr>
        <w:spacing w:line="480" w:lineRule="auto"/>
        <w:rPr>
          <w:lang w:val="en-US"/>
        </w:rPr>
      </w:pPr>
      <w:r>
        <w:rPr>
          <w:lang w:val="en-US"/>
        </w:rPr>
        <w:t>Catechol O-methyltransferase</w:t>
      </w:r>
    </w:p>
    <w:p w:rsidR="00346D33" w:rsidRPr="00B26E04" w:rsidRDefault="0096787B" w:rsidP="00113B97">
      <w:pPr>
        <w:pStyle w:val="ListParagraph"/>
        <w:numPr>
          <w:ilvl w:val="2"/>
          <w:numId w:val="3"/>
        </w:numPr>
        <w:spacing w:line="480" w:lineRule="auto"/>
        <w:rPr>
          <w:lang w:val="en-US"/>
        </w:rPr>
      </w:pPr>
      <w:r>
        <w:rPr>
          <w:lang w:val="en-US"/>
        </w:rPr>
        <w:t>Dopamine receptors</w:t>
      </w:r>
    </w:p>
    <w:p w:rsidR="00346D33" w:rsidRPr="00B26E04" w:rsidRDefault="0096787B" w:rsidP="00113B97">
      <w:pPr>
        <w:pStyle w:val="ListParagraph"/>
        <w:numPr>
          <w:ilvl w:val="0"/>
          <w:numId w:val="3"/>
        </w:numPr>
        <w:spacing w:line="480" w:lineRule="auto"/>
        <w:rPr>
          <w:lang w:val="en-US"/>
        </w:rPr>
      </w:pPr>
      <w:r>
        <w:rPr>
          <w:lang w:val="en-US"/>
        </w:rPr>
        <w:t>Gene interactions</w:t>
      </w:r>
    </w:p>
    <w:p w:rsidR="00346D33" w:rsidRPr="00B26E04" w:rsidRDefault="0096787B" w:rsidP="00113B97">
      <w:pPr>
        <w:pStyle w:val="ListParagraph"/>
        <w:numPr>
          <w:ilvl w:val="1"/>
          <w:numId w:val="3"/>
        </w:numPr>
        <w:spacing w:line="480" w:lineRule="auto"/>
        <w:rPr>
          <w:lang w:val="en-US"/>
        </w:rPr>
      </w:pPr>
      <w:r>
        <w:rPr>
          <w:lang w:val="en-US"/>
        </w:rPr>
        <w:t xml:space="preserve">Gene-gene interactions </w:t>
      </w:r>
    </w:p>
    <w:p w:rsidR="00346D33" w:rsidRPr="00B26E04" w:rsidRDefault="0096787B" w:rsidP="00113B97">
      <w:pPr>
        <w:pStyle w:val="ListParagraph"/>
        <w:numPr>
          <w:ilvl w:val="1"/>
          <w:numId w:val="3"/>
        </w:numPr>
        <w:spacing w:line="480" w:lineRule="auto"/>
        <w:rPr>
          <w:lang w:val="en-US"/>
        </w:rPr>
      </w:pPr>
      <w:r>
        <w:rPr>
          <w:lang w:val="en-US"/>
        </w:rPr>
        <w:t>Gene-environment interactions</w:t>
      </w:r>
    </w:p>
    <w:p w:rsidR="000D7C26" w:rsidRPr="00B26E04" w:rsidRDefault="0096787B" w:rsidP="00113B97">
      <w:pPr>
        <w:pStyle w:val="ListParagraph"/>
        <w:numPr>
          <w:ilvl w:val="1"/>
          <w:numId w:val="3"/>
        </w:numPr>
        <w:spacing w:line="480" w:lineRule="auto"/>
        <w:rPr>
          <w:lang w:val="en-US"/>
        </w:rPr>
      </w:pPr>
      <w:r>
        <w:rPr>
          <w:lang w:val="en-US"/>
        </w:rPr>
        <w:t>Genome-wide association studies</w:t>
      </w:r>
    </w:p>
    <w:p w:rsidR="00346D33" w:rsidRPr="00B26E04" w:rsidRDefault="0096787B" w:rsidP="00113B97">
      <w:pPr>
        <w:pStyle w:val="ListParagraph"/>
        <w:numPr>
          <w:ilvl w:val="0"/>
          <w:numId w:val="3"/>
        </w:numPr>
        <w:spacing w:line="480" w:lineRule="auto"/>
        <w:rPr>
          <w:lang w:val="en-US"/>
        </w:rPr>
      </w:pPr>
      <w:r>
        <w:rPr>
          <w:lang w:val="en-US"/>
        </w:rPr>
        <w:t>Regulation of gene expression by epigenetic mechanisms</w:t>
      </w:r>
    </w:p>
    <w:p w:rsidR="00346D33" w:rsidRPr="00B26E04" w:rsidRDefault="0096787B" w:rsidP="00113B97">
      <w:pPr>
        <w:pStyle w:val="ListParagraph"/>
        <w:numPr>
          <w:ilvl w:val="0"/>
          <w:numId w:val="3"/>
        </w:numPr>
        <w:spacing w:line="480" w:lineRule="auto"/>
        <w:rPr>
          <w:lang w:val="en-US"/>
        </w:rPr>
      </w:pPr>
      <w:r>
        <w:rPr>
          <w:lang w:val="en-US"/>
        </w:rPr>
        <w:t>Conclusions and perspectives</w:t>
      </w:r>
    </w:p>
    <w:p w:rsidR="001A2663" w:rsidRPr="00B26E04" w:rsidRDefault="0096787B" w:rsidP="00113B97">
      <w:pPr>
        <w:spacing w:line="480" w:lineRule="auto"/>
        <w:rPr>
          <w:lang w:val="en-US"/>
        </w:rPr>
      </w:pPr>
      <w:r>
        <w:rPr>
          <w:lang w:val="en-US"/>
        </w:rPr>
        <w:t>Declaration of competing interest</w:t>
      </w:r>
    </w:p>
    <w:p w:rsidR="00926090" w:rsidRPr="00B26E04" w:rsidRDefault="0096787B" w:rsidP="00113B97">
      <w:pPr>
        <w:spacing w:line="480" w:lineRule="auto"/>
        <w:rPr>
          <w:lang w:val="en-US"/>
        </w:rPr>
      </w:pPr>
      <w:r>
        <w:rPr>
          <w:lang w:val="en-US"/>
        </w:rPr>
        <w:t>Acknowledgements</w:t>
      </w:r>
    </w:p>
    <w:p w:rsidR="007151BF" w:rsidRPr="00B26E04" w:rsidRDefault="0096787B" w:rsidP="00113B97">
      <w:pPr>
        <w:spacing w:line="480" w:lineRule="auto"/>
        <w:rPr>
          <w:lang w:val="en-US"/>
        </w:rPr>
      </w:pPr>
      <w:r>
        <w:rPr>
          <w:lang w:val="en-US"/>
        </w:rPr>
        <w:t>References</w:t>
      </w:r>
    </w:p>
    <w:p w:rsidR="00E04905" w:rsidRPr="00B26E04" w:rsidRDefault="0096787B" w:rsidP="00113B97">
      <w:pPr>
        <w:spacing w:line="480" w:lineRule="auto"/>
        <w:rPr>
          <w:b/>
          <w:lang w:val="en-US"/>
        </w:rPr>
      </w:pPr>
      <w:r>
        <w:rPr>
          <w:lang w:val="en-US"/>
        </w:rPr>
        <w:br w:type="page"/>
      </w:r>
      <w:r>
        <w:rPr>
          <w:b/>
          <w:lang w:val="en-US"/>
        </w:rPr>
        <w:lastRenderedPageBreak/>
        <w:t>1. Introduction</w:t>
      </w:r>
    </w:p>
    <w:p w:rsidR="00E04905" w:rsidRPr="00B26E04" w:rsidRDefault="0096787B" w:rsidP="00113B97">
      <w:pPr>
        <w:spacing w:line="480" w:lineRule="auto"/>
        <w:rPr>
          <w:lang w:val="en-US"/>
        </w:rPr>
      </w:pPr>
      <w:r>
        <w:rPr>
          <w:lang w:val="en-US"/>
        </w:rPr>
        <w:tab/>
        <w:t xml:space="preserve">Amongst neuroscientists, there is a long-lasting debate over the burden of genetic and environmental factors in determining human behavioral differences: the nature </w:t>
      </w:r>
      <w:r>
        <w:rPr>
          <w:i/>
          <w:lang w:val="en-US"/>
        </w:rPr>
        <w:t>versus</w:t>
      </w:r>
      <w:r>
        <w:rPr>
          <w:lang w:val="en-US"/>
        </w:rPr>
        <w:t xml:space="preserve"> nurture debate (Ridley, 2003). However, studies on biological mechanisms of aggressive behavior showed a great expansion only in the last 20 years. This field of research is promoted by the development of high-resolution brain imaging techniques and high-throughput genomics analyses, both of which considerably developed after the 1990s. Over the past decades, scientists began to identify brain networks involved in aggressive behavior, in order to recognize anatomical and/or functional abnormalities characterizing antisocial behaviors (Blake et al., 1995; </w:t>
      </w:r>
      <w:proofErr w:type="spellStart"/>
      <w:r>
        <w:rPr>
          <w:lang w:val="en-US"/>
        </w:rPr>
        <w:t>Tiihonen</w:t>
      </w:r>
      <w:proofErr w:type="spellEnd"/>
      <w:r>
        <w:rPr>
          <w:lang w:val="en-US"/>
        </w:rPr>
        <w:t xml:space="preserve"> et al., 1997; </w:t>
      </w:r>
      <w:proofErr w:type="spellStart"/>
      <w:r>
        <w:rPr>
          <w:lang w:val="en-US"/>
        </w:rPr>
        <w:t>Tonkonogy</w:t>
      </w:r>
      <w:proofErr w:type="spellEnd"/>
      <w:r>
        <w:rPr>
          <w:lang w:val="en-US"/>
        </w:rPr>
        <w:t xml:space="preserve">, 1991; Volkow and </w:t>
      </w:r>
      <w:proofErr w:type="spellStart"/>
      <w:r>
        <w:rPr>
          <w:lang w:val="en-US"/>
        </w:rPr>
        <w:t>Tancredi</w:t>
      </w:r>
      <w:proofErr w:type="spellEnd"/>
      <w:r>
        <w:rPr>
          <w:lang w:val="en-US"/>
        </w:rPr>
        <w:t xml:space="preserve">, 1987; Yang et al., 2008). Furthermore, neuroscientists have identified genetic predispositions that influence the functionality of the neural networks thereby finding significant associations between genetic mutations and antisocial behavior (Brunner et al., 1993; Ferguson, 2010). Additionally, the possibility to predict the risk of elevated levels of aggression </w:t>
      </w:r>
      <w:r w:rsidR="001F073B">
        <w:rPr>
          <w:lang w:val="en-US"/>
        </w:rPr>
        <w:t xml:space="preserve">and violence </w:t>
      </w:r>
      <w:r>
        <w:rPr>
          <w:lang w:val="en-US"/>
        </w:rPr>
        <w:t>based on emotional reactivity, and the correlation</w:t>
      </w:r>
      <w:r w:rsidR="00437B0B">
        <w:rPr>
          <w:lang w:val="en-US"/>
        </w:rPr>
        <w:t>s</w:t>
      </w:r>
      <w:r>
        <w:rPr>
          <w:lang w:val="en-US"/>
        </w:rPr>
        <w:t xml:space="preserve"> between emotional reactivity rate and neural activity of different brain areas </w:t>
      </w:r>
      <w:r w:rsidR="00437B0B">
        <w:rPr>
          <w:lang w:val="en-US"/>
        </w:rPr>
        <w:t xml:space="preserve">have </w:t>
      </w:r>
      <w:r>
        <w:rPr>
          <w:lang w:val="en-US"/>
        </w:rPr>
        <w:t>been demonstrated by means of functional imaging (</w:t>
      </w:r>
      <w:proofErr w:type="spellStart"/>
      <w:r>
        <w:rPr>
          <w:lang w:val="en-US"/>
        </w:rPr>
        <w:t>Prehn</w:t>
      </w:r>
      <w:proofErr w:type="spellEnd"/>
      <w:r>
        <w:rPr>
          <w:lang w:val="en-US"/>
        </w:rPr>
        <w:t xml:space="preserve"> et al., 2013).</w:t>
      </w:r>
    </w:p>
    <w:p w:rsidR="00E04905" w:rsidRPr="00B26E04" w:rsidRDefault="0096787B" w:rsidP="00113B97">
      <w:pPr>
        <w:spacing w:line="480" w:lineRule="auto"/>
        <w:rPr>
          <w:lang w:val="en-US"/>
        </w:rPr>
      </w:pPr>
      <w:r>
        <w:rPr>
          <w:lang w:val="en-US"/>
        </w:rPr>
        <w:tab/>
        <w:t>Several reviews on neurobiology of aggression have been published in the last few years. Some of these discuss the issue focusing on specific aspects like genes, neurotransmitters, circuitry and methodology (</w:t>
      </w:r>
      <w:proofErr w:type="spellStart"/>
      <w:r>
        <w:rPr>
          <w:lang w:val="en-US"/>
        </w:rPr>
        <w:t>Asherson</w:t>
      </w:r>
      <w:proofErr w:type="spellEnd"/>
      <w:r>
        <w:rPr>
          <w:lang w:val="en-US"/>
        </w:rPr>
        <w:t xml:space="preserve"> and </w:t>
      </w:r>
      <w:proofErr w:type="spellStart"/>
      <w:r>
        <w:rPr>
          <w:lang w:val="en-US"/>
        </w:rPr>
        <w:t>Cormand</w:t>
      </w:r>
      <w:proofErr w:type="spellEnd"/>
      <w:r>
        <w:rPr>
          <w:lang w:val="en-US"/>
        </w:rPr>
        <w:t xml:space="preserve">, 2016; Been et al., 2019; </w:t>
      </w:r>
      <w:proofErr w:type="spellStart"/>
      <w:r>
        <w:rPr>
          <w:lang w:val="en-US"/>
        </w:rPr>
        <w:t>Bortolato</w:t>
      </w:r>
      <w:proofErr w:type="spellEnd"/>
      <w:r>
        <w:rPr>
          <w:lang w:val="en-US"/>
        </w:rPr>
        <w:t xml:space="preserve"> et al., 2018). Other reviews on aggression reported human and animal studies and dealt separately with genetics, diseases, neuroimaging and neuroendocrinology (Fanning et al., 2017; Haller, 2017; Perez-Rodriguez et al., 2018; </w:t>
      </w:r>
      <w:proofErr w:type="spellStart"/>
      <w:r>
        <w:rPr>
          <w:lang w:val="en-US"/>
        </w:rPr>
        <w:t>Rosell</w:t>
      </w:r>
      <w:proofErr w:type="spellEnd"/>
      <w:r>
        <w:rPr>
          <w:lang w:val="en-US"/>
        </w:rPr>
        <w:t xml:space="preserve"> and </w:t>
      </w:r>
      <w:proofErr w:type="spellStart"/>
      <w:r>
        <w:rPr>
          <w:lang w:val="en-US"/>
        </w:rPr>
        <w:t>Siever</w:t>
      </w:r>
      <w:proofErr w:type="spellEnd"/>
      <w:r>
        <w:rPr>
          <w:lang w:val="en-US"/>
        </w:rPr>
        <w:t xml:space="preserve">, 2015; </w:t>
      </w:r>
      <w:proofErr w:type="spellStart"/>
      <w:r>
        <w:rPr>
          <w:lang w:val="en-US"/>
        </w:rPr>
        <w:t>Zilioli</w:t>
      </w:r>
      <w:proofErr w:type="spellEnd"/>
      <w:r>
        <w:rPr>
          <w:lang w:val="en-US"/>
        </w:rPr>
        <w:t xml:space="preserve"> and Bird, 2017). In this comprehensive review, we discuss the neurobiology of aggression in humans based on results of neuroanatomy, neuroimaging, neurotransmitters, genetic and environmental studies.</w:t>
      </w:r>
    </w:p>
    <w:p w:rsidR="00E04905" w:rsidRPr="00B26E04" w:rsidRDefault="00E04905" w:rsidP="00113B97">
      <w:pPr>
        <w:spacing w:line="480" w:lineRule="auto"/>
        <w:rPr>
          <w:lang w:val="en-US"/>
        </w:rPr>
      </w:pPr>
    </w:p>
    <w:p w:rsidR="00E04905" w:rsidRPr="00B26E04" w:rsidRDefault="0096787B" w:rsidP="00113B97">
      <w:pPr>
        <w:spacing w:line="480" w:lineRule="auto"/>
        <w:rPr>
          <w:lang w:val="en-US"/>
        </w:rPr>
      </w:pPr>
      <w:r>
        <w:rPr>
          <w:b/>
          <w:lang w:val="en-US"/>
        </w:rPr>
        <w:t>2. Pathology of aggressive behavior</w:t>
      </w:r>
    </w:p>
    <w:p w:rsidR="00E04905" w:rsidRPr="00B26E04" w:rsidRDefault="0096787B" w:rsidP="00113B97">
      <w:pPr>
        <w:spacing w:line="480" w:lineRule="auto"/>
        <w:rPr>
          <w:lang w:val="en-US"/>
        </w:rPr>
      </w:pPr>
      <w:r>
        <w:rPr>
          <w:lang w:val="en-US"/>
        </w:rPr>
        <w:tab/>
        <w:t>Aggression is a common behavior into animal kingdom with evolutionary and adaptive functions, while violence is an abnormal behavior intrinsic to humans that overrides morality, in particular ethical rules, civil rights, and individual freedom.</w:t>
      </w:r>
    </w:p>
    <w:p w:rsidR="00E04905" w:rsidRPr="00B26E04" w:rsidRDefault="0096787B" w:rsidP="00113B97">
      <w:pPr>
        <w:spacing w:line="480" w:lineRule="auto"/>
        <w:rPr>
          <w:lang w:val="en-US"/>
        </w:rPr>
      </w:pPr>
      <w:r>
        <w:rPr>
          <w:lang w:val="en-US"/>
        </w:rPr>
        <w:tab/>
        <w:t xml:space="preserve">Human aggressive behavior is promoted by multiple environmental factors (e.g., cultural and social conditions, early-life events, life experiences, pharmacological treatments, drugs and alcohol abuse) and biological elements (e.g., genetic mutations at neurotransmitters and receptors levels, pathological conditions such as morpho-functional alterations mainly due to tumors, accidental brain lesion and/or vascular lesions, neurodegenerative diseases and mental disorders) (Fabian, 2010; </w:t>
      </w:r>
      <w:proofErr w:type="spellStart"/>
      <w:r>
        <w:rPr>
          <w:lang w:val="en-US"/>
        </w:rPr>
        <w:t>Fumagalli</w:t>
      </w:r>
      <w:proofErr w:type="spellEnd"/>
      <w:r>
        <w:rPr>
          <w:lang w:val="en-US"/>
        </w:rPr>
        <w:t xml:space="preserve"> and Priori, 2012; Haller et al., 2014). However, some of these factors only represent a risk factor for antisocial behavior (i.e., genetic mutations), while others could be considered as triggering causes for antisocial and impulsive aggressive behaviors (Fig. 1). This is the case of brain injuries, particularly injuries of frontal lobe, and abuse of psychoactive substances, such as cocaine that causes damages of neural network</w:t>
      </w:r>
      <w:r w:rsidR="001144CD">
        <w:rPr>
          <w:lang w:val="en-US"/>
        </w:rPr>
        <w:t>s</w:t>
      </w:r>
      <w:r>
        <w:rPr>
          <w:lang w:val="en-US"/>
        </w:rPr>
        <w:t xml:space="preserve"> of emotional decoding, abstract reasoning and </w:t>
      </w:r>
      <w:r w:rsidR="001144CD">
        <w:rPr>
          <w:lang w:val="en-US"/>
        </w:rPr>
        <w:t xml:space="preserve">loss of </w:t>
      </w:r>
      <w:r>
        <w:rPr>
          <w:lang w:val="en-US"/>
        </w:rPr>
        <w:t>inhibitory control, as well as impairment of mnemonic and verbal skills (Anderson et al., 1999; Grafman et al., 1996; Romero-Martínez and Moya-</w:t>
      </w:r>
      <w:proofErr w:type="spellStart"/>
      <w:r>
        <w:rPr>
          <w:lang w:val="en-US"/>
        </w:rPr>
        <w:t>Albio</w:t>
      </w:r>
      <w:proofErr w:type="spellEnd"/>
      <w:r>
        <w:rPr>
          <w:lang w:val="en-US"/>
        </w:rPr>
        <w:t>, 2015).</w:t>
      </w:r>
    </w:p>
    <w:p w:rsidR="00E04905" w:rsidRPr="00B26E04" w:rsidRDefault="0096787B" w:rsidP="00113B97">
      <w:pPr>
        <w:spacing w:line="480" w:lineRule="auto"/>
        <w:rPr>
          <w:lang w:val="en-US"/>
        </w:rPr>
      </w:pPr>
      <w:r>
        <w:rPr>
          <w:lang w:val="en-US"/>
        </w:rPr>
        <w:tab/>
        <w:t xml:space="preserve">In other cases, aggressive behavior can be a manifestation of specific pathological conditions. For example, neurodegenerative diseases can affect brain structures involved in judgment, executive function, emotional processing, sexual behavior, and self-awareness leading to antisocial and aggressive behavior. Moreover, aggressive behavior can be one of the first symptoms of behavioral variant of the frontotemporal dementia, with criminal behavior reported in about 40-50 % of patients with frontotemporal dementia (Diehl-Schmid et al., 2013; </w:t>
      </w:r>
      <w:proofErr w:type="spellStart"/>
      <w:r>
        <w:rPr>
          <w:lang w:val="en-US"/>
        </w:rPr>
        <w:t>Liljegren</w:t>
      </w:r>
      <w:proofErr w:type="spellEnd"/>
      <w:r>
        <w:rPr>
          <w:lang w:val="en-US"/>
        </w:rPr>
        <w:t xml:space="preserve"> et al., 2015). In frontotemporal dementia patients the aggressive behavior can result from impulsiveness and dis-inhibited behavior (</w:t>
      </w:r>
      <w:proofErr w:type="spellStart"/>
      <w:r>
        <w:rPr>
          <w:lang w:val="en-US"/>
        </w:rPr>
        <w:t>Grochmal</w:t>
      </w:r>
      <w:proofErr w:type="spellEnd"/>
      <w:r>
        <w:rPr>
          <w:lang w:val="en-US"/>
        </w:rPr>
        <w:t xml:space="preserve">-Bach et al., </w:t>
      </w:r>
      <w:r>
        <w:rPr>
          <w:lang w:val="en-US"/>
        </w:rPr>
        <w:lastRenderedPageBreak/>
        <w:t>2009; Miki et al., 2016), and by the inability to act in accordance with moral reasoning and judgment in spite of intact knowledge of social rules (Lough et al., 2006)</w:t>
      </w:r>
      <w:r>
        <w:rPr>
          <w:sz w:val="18"/>
          <w:szCs w:val="18"/>
          <w:lang w:val="en-US"/>
        </w:rPr>
        <w:t>.</w:t>
      </w:r>
      <w:r>
        <w:rPr>
          <w:lang w:val="en-US"/>
        </w:rPr>
        <w:t xml:space="preserve"> In the case of other neurodegenerative conditions such as Alzheimer’s and Huntington's diseases, patients may also have aggressive attitudes, although typically to a less extent than in frontotemporal dementia (Ballard and Corbett, 2013; Fisher et al., 2014; Zhao et al., 2016) (Fig. 1). Mental disabilities such as schizophrenia, antisocial personality disorder and autism spectrum disorder are other psychiatric conditions which can manifest with abnormal aggressiveness and antisocial behavior (Fazel et al., 2009; </w:t>
      </w:r>
      <w:proofErr w:type="spellStart"/>
      <w:r>
        <w:rPr>
          <w:lang w:val="en-US"/>
        </w:rPr>
        <w:t>Freckelton</w:t>
      </w:r>
      <w:proofErr w:type="spellEnd"/>
      <w:r>
        <w:rPr>
          <w:lang w:val="en-US"/>
        </w:rPr>
        <w:t xml:space="preserve">, 2013; </w:t>
      </w:r>
      <w:proofErr w:type="spellStart"/>
      <w:r>
        <w:rPr>
          <w:lang w:val="en-US"/>
        </w:rPr>
        <w:t>Søndenaa</w:t>
      </w:r>
      <w:proofErr w:type="spellEnd"/>
      <w:r>
        <w:rPr>
          <w:lang w:val="en-US"/>
        </w:rPr>
        <w:t xml:space="preserve"> et al., 2014). In this review we will discuss the neurobiological aspects of aggressive behavior, mainly the impulsive (reactive) and also instrumental (proactive) form of aggression. These two types of aggression can sometimes coexist and relate each other, like in personality disorders (</w:t>
      </w:r>
      <w:proofErr w:type="spellStart"/>
      <w:r>
        <w:rPr>
          <w:lang w:val="en-US"/>
        </w:rPr>
        <w:t>Lobbestael</w:t>
      </w:r>
      <w:proofErr w:type="spellEnd"/>
      <w:r>
        <w:rPr>
          <w:lang w:val="en-US"/>
        </w:rPr>
        <w:t xml:space="preserve"> et al., 2013). In the next sections we first discuss the neuroimaging literature of aggression with a focus on the brain regions implicated in aggression. Then, we turn our discussion to the genetic, molecular and environmental aspects underlying aggression and to the interactions between the genetic and environmental factors.</w:t>
      </w:r>
    </w:p>
    <w:p w:rsidR="00E04905" w:rsidRPr="00B26E04" w:rsidRDefault="00E04905" w:rsidP="00113B97">
      <w:pPr>
        <w:spacing w:line="480" w:lineRule="auto"/>
        <w:rPr>
          <w:lang w:val="en-US"/>
        </w:rPr>
      </w:pPr>
    </w:p>
    <w:p w:rsidR="00D23C92" w:rsidRPr="00B26E04" w:rsidRDefault="0096787B" w:rsidP="00113B97">
      <w:pPr>
        <w:spacing w:line="480" w:lineRule="auto"/>
        <w:rPr>
          <w:b/>
          <w:lang w:val="en-US"/>
        </w:rPr>
      </w:pPr>
      <w:r>
        <w:rPr>
          <w:b/>
          <w:lang w:val="en-US"/>
        </w:rPr>
        <w:t>3. Imaging of brain in aggression</w:t>
      </w:r>
    </w:p>
    <w:p w:rsidR="00E04905" w:rsidRPr="00B26E04" w:rsidRDefault="0096787B" w:rsidP="00113B97">
      <w:pPr>
        <w:spacing w:line="480" w:lineRule="auto"/>
        <w:rPr>
          <w:lang w:val="en-US"/>
        </w:rPr>
      </w:pPr>
      <w:r>
        <w:rPr>
          <w:lang w:val="en-US"/>
        </w:rPr>
        <w:tab/>
        <w:t xml:space="preserve">Impulsive aggression </w:t>
      </w:r>
      <w:r w:rsidR="0096001C">
        <w:rPr>
          <w:lang w:val="en-US"/>
        </w:rPr>
        <w:t xml:space="preserve">and violence </w:t>
      </w:r>
      <w:r>
        <w:rPr>
          <w:lang w:val="en-US"/>
        </w:rPr>
        <w:t xml:space="preserve">reflect morpho-functional abnormalities and/or imbalance in emotional regulation circuitry of the brain (Davidson et al., 2000a) (Fig. 1). The brain areas and neural networks that are commonly activated during moral processing, as well as the morpho-functional alterations characterizing subjects with aggressive and antisocial behaviors, can be identified by using a variety of non-invasive imaging techniques (Raine and Yang, 2006). For example, molecular imaging techniques used in nuclear medicine, namely the positron emission tomography (PET) and single photon emission computed tomography (SPECT), have revealed the rate of metabolic/functional processes in specific brain regions in relation to aggression. PET and SPECT images are functional images of the brain generated </w:t>
      </w:r>
      <w:r>
        <w:rPr>
          <w:lang w:val="en-US"/>
        </w:rPr>
        <w:lastRenderedPageBreak/>
        <w:t xml:space="preserve">by gamma radiations produced by radiopharmaceuticals (containing mainly </w:t>
      </w:r>
      <w:r>
        <w:rPr>
          <w:vertAlign w:val="superscript"/>
          <w:lang w:val="en-US"/>
        </w:rPr>
        <w:t>11</w:t>
      </w:r>
      <w:r>
        <w:rPr>
          <w:lang w:val="en-US"/>
        </w:rPr>
        <w:t xml:space="preserve">C and </w:t>
      </w:r>
      <w:r>
        <w:rPr>
          <w:vertAlign w:val="superscript"/>
          <w:lang w:val="en-US"/>
        </w:rPr>
        <w:t>18</w:t>
      </w:r>
      <w:r>
        <w:rPr>
          <w:lang w:val="en-US"/>
        </w:rPr>
        <w:t xml:space="preserve">F positron emitters and </w:t>
      </w:r>
      <w:r>
        <w:rPr>
          <w:vertAlign w:val="superscript"/>
          <w:lang w:val="en-US"/>
        </w:rPr>
        <w:t>123</w:t>
      </w:r>
      <w:r>
        <w:rPr>
          <w:lang w:val="en-US"/>
        </w:rPr>
        <w:t>I gamma emitter). These ligands label receptors and can be used to study metabolism and other functions. Then images obtained by PET and SPECT are maps of specific neurotransmitter function or metabolic pathways with different resolution: in our experience</w:t>
      </w:r>
      <w:r w:rsidR="0030504D">
        <w:rPr>
          <w:lang w:val="en-US"/>
        </w:rPr>
        <w:t>,</w:t>
      </w:r>
      <w:r>
        <w:rPr>
          <w:lang w:val="en-US"/>
        </w:rPr>
        <w:t xml:space="preserve"> clinical PET has spatial resolution of 5 to 7 mm, compared with SPECT resolution of 10 to 13 mm. In functional studies of the brain applied for psychiatric disorders, both techniques are extremely useful (Zipursky et al., 2007), and these have several characteristics to be to adequately chosen for optimization of images quality: type and half-life of the radiotracer, spatial and temporal resolution, sensitivity, signal-to-noise ratio, variety of ligands, cost and availability of the instruments. In addition, functional magnetic resonance imaging (fMRI) is a largely used tool to investigate the brain function, depending on the cellular oxygen consumption in different brain areas during resting or task-activated states. This technique regionally assesses brain metabolism and functions identifying the brain areas and neural networks activated by specific sensory, motor, emotional and cognitive (moral) stimuli, contributing to a better understanding of the pathophysiology of different neuropsychiatric diseases (Greene et al., 2001; </w:t>
      </w:r>
      <w:proofErr w:type="spellStart"/>
      <w:r>
        <w:rPr>
          <w:lang w:val="en-US"/>
        </w:rPr>
        <w:t>Mitterschiffthaler</w:t>
      </w:r>
      <w:proofErr w:type="spellEnd"/>
      <w:r>
        <w:rPr>
          <w:lang w:val="en-US"/>
        </w:rPr>
        <w:t xml:space="preserve"> et al., 2006) (Figs. 2 and 3). In addition to previous techniques, which are mainly employed to evaluate functional changes in the brain, morphological abnormalities in brain structures can be easily recognized by conventional MRI, which shows the anatomical structures of the brain (Figs. 2 and 3). Another imaging technique commonly used in psychiatric research is proton magnetic resonance spectroscopy, which differs from conventional MRI in that spectra provide physiological and biochemical information instead of simple anatomy of the brain (Bustillo, 2013). </w:t>
      </w:r>
      <w:r>
        <w:rPr>
          <w:lang w:val="en-US" w:eastAsia="en-US"/>
        </w:rPr>
        <w:t>Magnetic resonance spectroscopy provides high-resolution images of gray and white matter and also visualize</w:t>
      </w:r>
      <w:r w:rsidR="00A657C8">
        <w:rPr>
          <w:lang w:val="en-US" w:eastAsia="en-US"/>
        </w:rPr>
        <w:t>s</w:t>
      </w:r>
      <w:r>
        <w:rPr>
          <w:lang w:val="en-US" w:eastAsia="en-US"/>
        </w:rPr>
        <w:t xml:space="preserve"> pathological changes. Magnetic resonance spectroscopy can detect metabolites at concentrations approximately 10,000 times lower than the abundant proton nuclei of fat and water molecules used in conventional MRI (Ulmer et al., 2016). The main </w:t>
      </w:r>
      <w:r>
        <w:rPr>
          <w:lang w:val="en-US" w:eastAsia="en-US"/>
        </w:rPr>
        <w:lastRenderedPageBreak/>
        <w:t xml:space="preserve">metabolites in the human brain detectable by this imaging technique are N-acetyl-aspartate, choline, and creatine. </w:t>
      </w:r>
      <w:r>
        <w:rPr>
          <w:lang w:val="en-US"/>
        </w:rPr>
        <w:t>Additionally, the so named diffusion tensor imaging may improve the study of neural connectivity between different brain regions, with specific application to several neuropsychiatric disorders (</w:t>
      </w:r>
      <w:proofErr w:type="spellStart"/>
      <w:r>
        <w:rPr>
          <w:lang w:val="en-US"/>
        </w:rPr>
        <w:t>Shizukuishi</w:t>
      </w:r>
      <w:proofErr w:type="spellEnd"/>
      <w:r>
        <w:rPr>
          <w:lang w:val="en-US"/>
        </w:rPr>
        <w:t xml:space="preserve"> et al., 2013). </w:t>
      </w:r>
      <w:r>
        <w:rPr>
          <w:lang w:val="en-US" w:eastAsia="en-US"/>
        </w:rPr>
        <w:t>Diffusion tensor imaging allows the mapping of the diffusion process of water in the brain. Water diffusion is affected by brain substructures such as macromolecules, fibers, and membranes. Then water diffusion patterns reveal microscopic details about tissue architecture, either in normal or in a diseased state.</w:t>
      </w:r>
    </w:p>
    <w:p w:rsidR="009C2BEE" w:rsidRPr="00B26E04" w:rsidRDefault="0096787B" w:rsidP="00113B97">
      <w:pPr>
        <w:spacing w:line="480" w:lineRule="auto"/>
        <w:rPr>
          <w:lang w:val="en-US"/>
        </w:rPr>
      </w:pPr>
      <w:r>
        <w:rPr>
          <w:lang w:val="en-US"/>
        </w:rPr>
        <w:tab/>
        <w:t xml:space="preserve">Great developments in future studies on aggression will be achieved with the use of 3 T and especially 7 T MRI scanner whose availability is steadily increasing. The 7 T MRI scanners have been useful to image size and function of very small regions like locus coeruleus, which is the main nucleus of noradrenaline neurons that is targeted in Alzheimer's and Parkinson's disease (Betts et al., 2019). Areas like amygdala, hypothalamus, hippocampus and different parts of the cortex, involved in aggressive behavior, receive projection from locus coeruleus, then altered function or loss of neurons in </w:t>
      </w:r>
      <w:r w:rsidR="003D11F4">
        <w:rPr>
          <w:lang w:val="en-US"/>
        </w:rPr>
        <w:t xml:space="preserve">the </w:t>
      </w:r>
      <w:r>
        <w:rPr>
          <w:lang w:val="en-US"/>
        </w:rPr>
        <w:t>locus coeruleus could affect aggressive behavior. Therefore</w:t>
      </w:r>
      <w:r w:rsidR="001144CD">
        <w:rPr>
          <w:lang w:val="en-US"/>
        </w:rPr>
        <w:t>,</w:t>
      </w:r>
      <w:r>
        <w:rPr>
          <w:lang w:val="en-US"/>
        </w:rPr>
        <w:t xml:space="preserve"> investigation of locus coeruleus in aggressive subjects with 3 T and 7 T MRI could show how noradrenaline system is involved. A new </w:t>
      </w:r>
      <w:proofErr w:type="spellStart"/>
      <w:r>
        <w:rPr>
          <w:lang w:val="en-US"/>
        </w:rPr>
        <w:t>voxelwise</w:t>
      </w:r>
      <w:proofErr w:type="spellEnd"/>
      <w:r>
        <w:rPr>
          <w:lang w:val="en-US"/>
        </w:rPr>
        <w:t xml:space="preserve"> MRI method has been recently developed to detect neuromelanin, as a proxy of dopamine (DA) function, in subregions of the human substantia nigra, and this neuromelanin-sensitive MRI signal was correlated to DA release in dorsal striatum. The MRI signal of neuromelanin was also related to severity of psychosis in individuals with schizophrenia and those at risk for schizophrenia (Cassidy et al., 2019). It was reported that 7 T high-resolution fMRI provides reproducible and accurate mapping of amygdala activation in different task conditions. This method can be useful for future studies on aggressive subjects, by employing emotion discrimination paradigms (</w:t>
      </w:r>
      <w:proofErr w:type="spellStart"/>
      <w:r>
        <w:rPr>
          <w:lang w:val="en-US"/>
        </w:rPr>
        <w:t>Geissberger</w:t>
      </w:r>
      <w:proofErr w:type="spellEnd"/>
      <w:r>
        <w:rPr>
          <w:lang w:val="en-US"/>
        </w:rPr>
        <w:t xml:space="preserve"> et al., 2020). A 7 T MRI procedure that delineates </w:t>
      </w:r>
      <w:proofErr w:type="spellStart"/>
      <w:r>
        <w:rPr>
          <w:lang w:val="en-US"/>
        </w:rPr>
        <w:t>mesopontine</w:t>
      </w:r>
      <w:proofErr w:type="spellEnd"/>
      <w:r>
        <w:rPr>
          <w:lang w:val="en-US"/>
        </w:rPr>
        <w:t xml:space="preserve"> tegmental nuclei, including paramedian raphe and caudal linear raphe</w:t>
      </w:r>
      <w:r w:rsidR="003D11F4">
        <w:rPr>
          <w:lang w:val="en-US"/>
        </w:rPr>
        <w:t xml:space="preserve"> nuclei</w:t>
      </w:r>
      <w:r>
        <w:rPr>
          <w:lang w:val="en-US"/>
        </w:rPr>
        <w:t xml:space="preserve">, has been developed on a single-subject basis and a probabilistic structural template of these nuclei </w:t>
      </w:r>
      <w:r>
        <w:rPr>
          <w:lang w:val="en-US"/>
        </w:rPr>
        <w:lastRenderedPageBreak/>
        <w:t>in stereotaxic space has been generated (</w:t>
      </w:r>
      <w:proofErr w:type="spellStart"/>
      <w:r>
        <w:rPr>
          <w:lang w:val="en-US"/>
        </w:rPr>
        <w:t>Bianciardi</w:t>
      </w:r>
      <w:proofErr w:type="spellEnd"/>
      <w:r>
        <w:rPr>
          <w:lang w:val="en-US"/>
        </w:rPr>
        <w:t xml:space="preserve"> et al., 2018). This would allow accurate </w:t>
      </w:r>
      <w:r>
        <w:rPr>
          <w:i/>
          <w:lang w:val="en-US"/>
        </w:rPr>
        <w:t>in vivo</w:t>
      </w:r>
      <w:r>
        <w:rPr>
          <w:lang w:val="en-US"/>
        </w:rPr>
        <w:t xml:space="preserve"> localization of brainstem impairment in 5-HT nuclei. Then, structural and functional changes occurring in aggression could be mapped. Indeed, there are high density projections from raphe nuclei that reach different regions involved in aggressive behavior like hypothalamus, hippocampus, nucleus </w:t>
      </w:r>
      <w:proofErr w:type="spellStart"/>
      <w:r>
        <w:rPr>
          <w:lang w:val="en-US"/>
        </w:rPr>
        <w:t>accumbens</w:t>
      </w:r>
      <w:proofErr w:type="spellEnd"/>
      <w:r>
        <w:rPr>
          <w:lang w:val="en-US"/>
        </w:rPr>
        <w:t>, amygdala, substantia nigra, cortexes and others (Hornung et al., 2003).</w:t>
      </w:r>
    </w:p>
    <w:p w:rsidR="00E04905" w:rsidRPr="00B26E04" w:rsidRDefault="0096787B" w:rsidP="00113B97">
      <w:pPr>
        <w:spacing w:line="480" w:lineRule="auto"/>
        <w:rPr>
          <w:lang w:val="en-US"/>
        </w:rPr>
      </w:pPr>
      <w:r>
        <w:rPr>
          <w:lang w:val="en-US"/>
        </w:rPr>
        <w:tab/>
        <w:t xml:space="preserve">Cortical function and activation can also be assessed by transcranial magnetic stimulation, which is normally employed to activate the human motor cortex and assess the integrity of the motor pathways. This non-invasive technique is based on the electromagnetic induction principle and shows cortical excitability, thus revealing impaired cortical processes (Bailey et al., 2001; Kobayashi and Pascual-Leone, 2003). This technique can be used also to evaluate cortical inhibitory control in the motor neuron system in </w:t>
      </w:r>
      <w:r w:rsidR="0096001C">
        <w:rPr>
          <w:lang w:val="en-US"/>
        </w:rPr>
        <w:t xml:space="preserve">violent and </w:t>
      </w:r>
      <w:r>
        <w:rPr>
          <w:lang w:val="en-US"/>
        </w:rPr>
        <w:t>aggressive subjects (Philipp-</w:t>
      </w:r>
      <w:proofErr w:type="spellStart"/>
      <w:r>
        <w:rPr>
          <w:lang w:val="en-US"/>
        </w:rPr>
        <w:t>Wiegmann</w:t>
      </w:r>
      <w:proofErr w:type="spellEnd"/>
      <w:r>
        <w:rPr>
          <w:lang w:val="en-US"/>
        </w:rPr>
        <w:t xml:space="preserve"> et al., 2011).</w:t>
      </w:r>
    </w:p>
    <w:p w:rsidR="00E04905" w:rsidRPr="00B26E04" w:rsidRDefault="0096787B" w:rsidP="00113B97">
      <w:pPr>
        <w:spacing w:line="480" w:lineRule="auto"/>
        <w:rPr>
          <w:lang w:val="en-US"/>
        </w:rPr>
      </w:pPr>
      <w:r>
        <w:rPr>
          <w:lang w:val="en-US"/>
        </w:rPr>
        <w:t>Therefore, a variety of imaging techniques currently used for diagnostic and therapeutic purposes can be also applied in studying aggressive behavior.</w:t>
      </w:r>
      <w:r w:rsidR="009A4D91">
        <w:rPr>
          <w:lang w:val="en-US"/>
        </w:rPr>
        <w:t xml:space="preserve"> We also acknow</w:t>
      </w:r>
      <w:r>
        <w:rPr>
          <w:lang w:val="en-US"/>
        </w:rPr>
        <w:t>l</w:t>
      </w:r>
      <w:r w:rsidR="009A4D91">
        <w:rPr>
          <w:lang w:val="en-US"/>
        </w:rPr>
        <w:t>e</w:t>
      </w:r>
      <w:r>
        <w:rPr>
          <w:lang w:val="en-US"/>
        </w:rPr>
        <w:t>dge some of the classic limitations and shortcomings of the neuroimaging literature, including the fact that neuroimaging can only provide proxy or indirect measures of brain structure and function and that part of the imaging literature has been criticized in terms of replicability and reproducibili</w:t>
      </w:r>
      <w:r w:rsidR="009A4D91">
        <w:rPr>
          <w:lang w:val="en-US"/>
        </w:rPr>
        <w:t>t</w:t>
      </w:r>
      <w:r>
        <w:rPr>
          <w:lang w:val="en-US"/>
        </w:rPr>
        <w:t xml:space="preserve">y of its findings. However, in the following sections, where we describe the brain areas related to aggressive behavior we have only included the neuroimaging data that have been consistently replicated across different studies and that have </w:t>
      </w:r>
      <w:r w:rsidR="00595949">
        <w:rPr>
          <w:lang w:val="en-US"/>
        </w:rPr>
        <w:t xml:space="preserve">been </w:t>
      </w:r>
      <w:r>
        <w:rPr>
          <w:lang w:val="en-US"/>
        </w:rPr>
        <w:t>obtained on the basis of widely accepted thresholding procedures to minimize the risk of false positive (using different types of corrections for multiple comparisons including procedures based on the size of cluster, parametric and non-parametric analyses)</w:t>
      </w:r>
      <w:r w:rsidR="005A4C2F">
        <w:rPr>
          <w:lang w:val="en-US"/>
        </w:rPr>
        <w:t>.</w:t>
      </w:r>
    </w:p>
    <w:p w:rsidR="00E04905" w:rsidRPr="00B26E04" w:rsidRDefault="00E04905" w:rsidP="00113B97">
      <w:pPr>
        <w:spacing w:line="480" w:lineRule="auto"/>
        <w:rPr>
          <w:b/>
          <w:lang w:val="en-US"/>
        </w:rPr>
      </w:pPr>
    </w:p>
    <w:p w:rsidR="00E04905" w:rsidRPr="00B26E04" w:rsidRDefault="0096787B" w:rsidP="00113B97">
      <w:pPr>
        <w:spacing w:line="480" w:lineRule="auto"/>
        <w:rPr>
          <w:lang w:val="en-US"/>
        </w:rPr>
      </w:pPr>
      <w:r>
        <w:rPr>
          <w:b/>
          <w:lang w:val="en-US"/>
        </w:rPr>
        <w:t xml:space="preserve">4. Brain areas of aggressiveness </w:t>
      </w:r>
    </w:p>
    <w:p w:rsidR="00E04905" w:rsidRPr="00B26E04" w:rsidRDefault="0096787B" w:rsidP="00113B97">
      <w:pPr>
        <w:spacing w:line="480" w:lineRule="auto"/>
        <w:rPr>
          <w:lang w:val="en-US"/>
        </w:rPr>
      </w:pPr>
      <w:r>
        <w:rPr>
          <w:lang w:val="en-US"/>
        </w:rPr>
        <w:lastRenderedPageBreak/>
        <w:tab/>
        <w:t xml:space="preserve">Neuroscientists have studied what is happening in the brain behind aggressiveness by using several methods including: neuroanatomy, neuropathology, neuroimaging, neurochemistry, genetic, electrophysiology, pharmacology and others. The brain areas activated during aggressive behaviors have been deeply investigated, and several brain abnormalities leading to aggressive actions have been identified. Studies revealed that moral decision-making capability is impaired in </w:t>
      </w:r>
      <w:r w:rsidR="0096001C">
        <w:rPr>
          <w:lang w:val="en-US"/>
        </w:rPr>
        <w:t xml:space="preserve">violent, </w:t>
      </w:r>
      <w:r>
        <w:rPr>
          <w:lang w:val="en-US"/>
        </w:rPr>
        <w:t>aggressive and criminal individuals, and that they have functional organization of the brain areas involved in moral and social behavior different from that of non-aggressive subjects (Raine and Yang, 2006). As a consequence, these alterations could predispose to more limited executive control of behavior, especially during states of intense anger (</w:t>
      </w:r>
      <w:proofErr w:type="spellStart"/>
      <w:r>
        <w:rPr>
          <w:lang w:val="en-US"/>
        </w:rPr>
        <w:t>Bufkin</w:t>
      </w:r>
      <w:proofErr w:type="spellEnd"/>
      <w:r>
        <w:rPr>
          <w:lang w:val="en-US"/>
        </w:rPr>
        <w:t xml:space="preserve"> and Luttrell, 2005; </w:t>
      </w:r>
      <w:proofErr w:type="spellStart"/>
      <w:r>
        <w:rPr>
          <w:lang w:val="en-US"/>
        </w:rPr>
        <w:t>Coccaro</w:t>
      </w:r>
      <w:proofErr w:type="spellEnd"/>
      <w:r>
        <w:rPr>
          <w:lang w:val="en-US"/>
        </w:rPr>
        <w:t xml:space="preserve"> et al., 2007; </w:t>
      </w:r>
      <w:proofErr w:type="spellStart"/>
      <w:r>
        <w:rPr>
          <w:lang w:val="en-US"/>
        </w:rPr>
        <w:t>Spoont</w:t>
      </w:r>
      <w:proofErr w:type="spellEnd"/>
      <w:r>
        <w:rPr>
          <w:lang w:val="en-US"/>
        </w:rPr>
        <w:t xml:space="preserve"> et al., 2010). </w:t>
      </w:r>
    </w:p>
    <w:p w:rsidR="00E04905" w:rsidRPr="00B26E04" w:rsidRDefault="0096787B" w:rsidP="00113B97">
      <w:pPr>
        <w:spacing w:line="480" w:lineRule="auto"/>
        <w:rPr>
          <w:lang w:val="en-US"/>
        </w:rPr>
      </w:pPr>
      <w:r>
        <w:rPr>
          <w:lang w:val="en-US"/>
        </w:rPr>
        <w:tab/>
        <w:t>Both cognitive and emotional processes affect moral reasoning, and impact on aggressive behavior (Greene et al., 2001, 2004; Moll et al., 2005). Automatic emotional response is considered at the basis of abnormalities in moral reasoning and aggressive behavior, followed by more elaborative cognitive processes (</w:t>
      </w:r>
      <w:proofErr w:type="spellStart"/>
      <w:r>
        <w:rPr>
          <w:lang w:val="en-US"/>
        </w:rPr>
        <w:t>Jeurissen</w:t>
      </w:r>
      <w:proofErr w:type="spellEnd"/>
      <w:r>
        <w:rPr>
          <w:lang w:val="en-US"/>
        </w:rPr>
        <w:t xml:space="preserve"> et al., 2014). In these situations, the brain has to resolve difficult moral dilemmas that require moral judgment and that could lead to violation of moral rules (Greene et al., 2001, 2004). The brain areas involved in these processes are interconnected to form complex neural networks, and these are able to integrate external stimuli with emotion, culture and social norms in order to control instinct and impulsivity using rationality (</w:t>
      </w:r>
      <w:proofErr w:type="spellStart"/>
      <w:r>
        <w:rPr>
          <w:lang w:val="en-US"/>
        </w:rPr>
        <w:t>Mercadillo</w:t>
      </w:r>
      <w:proofErr w:type="spellEnd"/>
      <w:r>
        <w:rPr>
          <w:lang w:val="en-US"/>
        </w:rPr>
        <w:t xml:space="preserve"> and Arias 2010; Moll et al., 2005). The neural networks involved in the regulation of emotions are of main interest, since dysfunction of these systems might be responsible of impulsive aggression</w:t>
      </w:r>
      <w:r w:rsidR="00197675">
        <w:rPr>
          <w:lang w:val="en-US"/>
        </w:rPr>
        <w:t xml:space="preserve"> and violence</w:t>
      </w:r>
      <w:r>
        <w:rPr>
          <w:lang w:val="en-US"/>
        </w:rPr>
        <w:t xml:space="preserve"> (Davidson et al., 2000a).</w:t>
      </w:r>
    </w:p>
    <w:p w:rsidR="00E04905" w:rsidRPr="00B26E04" w:rsidRDefault="0096787B" w:rsidP="00113B97">
      <w:pPr>
        <w:spacing w:line="480" w:lineRule="auto"/>
        <w:rPr>
          <w:lang w:val="en-US"/>
        </w:rPr>
      </w:pPr>
      <w:r>
        <w:rPr>
          <w:lang w:val="en-US"/>
        </w:rPr>
        <w:tab/>
        <w:t xml:space="preserve">Cortical areas, including ventromedial prefrontal cortex, particularly orbitofrontal cortex, anterior cingulate cortex and the insular cortex, and limbic system areas, such as </w:t>
      </w:r>
      <w:r>
        <w:rPr>
          <w:lang w:val="en-US"/>
        </w:rPr>
        <w:lastRenderedPageBreak/>
        <w:t>amygdala and hippocampus, are involved in moral phenomena and are affected in aggressive</w:t>
      </w:r>
      <w:r w:rsidR="00197675">
        <w:rPr>
          <w:lang w:val="en-US"/>
        </w:rPr>
        <w:t xml:space="preserve"> and violent</w:t>
      </w:r>
      <w:r>
        <w:rPr>
          <w:lang w:val="en-US"/>
        </w:rPr>
        <w:t xml:space="preserve"> subjects (Davidson et al., 2000a; Raine et al., 1997) (Figs. 1).</w:t>
      </w:r>
    </w:p>
    <w:p w:rsidR="00E04905" w:rsidRPr="00B26E04" w:rsidRDefault="00E04905" w:rsidP="00113B97">
      <w:pPr>
        <w:spacing w:line="480" w:lineRule="auto"/>
        <w:rPr>
          <w:bCs/>
          <w:lang w:val="en-US"/>
        </w:rPr>
      </w:pPr>
    </w:p>
    <w:p w:rsidR="00E04905" w:rsidRPr="00B26E04" w:rsidRDefault="0096787B" w:rsidP="00113B97">
      <w:pPr>
        <w:spacing w:line="480" w:lineRule="auto"/>
        <w:rPr>
          <w:b/>
          <w:lang w:val="en-US"/>
        </w:rPr>
      </w:pPr>
      <w:r>
        <w:rPr>
          <w:b/>
          <w:lang w:val="en-US"/>
        </w:rPr>
        <w:t>4.1. Prefrontal cortex</w:t>
      </w:r>
    </w:p>
    <w:p w:rsidR="00E04905" w:rsidRPr="00B26E04" w:rsidRDefault="0096787B" w:rsidP="00113B97">
      <w:pPr>
        <w:spacing w:line="480" w:lineRule="auto"/>
        <w:rPr>
          <w:lang w:val="en-US"/>
        </w:rPr>
      </w:pPr>
      <w:r>
        <w:rPr>
          <w:lang w:val="en-US"/>
        </w:rPr>
        <w:tab/>
        <w:t>The early evidence for a central role of the prefrontal cortex in personality traits is the case of Phineas Gage in 1848, who had a rock-blasting accident in which iron rod damaged to a large extent his left frontal lobe. He survived after the accident for 12 years, but his personality and behavior drastically changed becoming, for instance, impulsive, unreliable, socially disinhibited and lacking of empathy; moreover, his decision-making capacity was impaired (Harlow, 1848, 1868). After this case, a large number of scientists focused their attention on the development of abnormal social behaviors following prefrontal brain injuries (</w:t>
      </w:r>
      <w:proofErr w:type="spellStart"/>
      <w:r>
        <w:rPr>
          <w:lang w:val="en-US"/>
        </w:rPr>
        <w:t>Barrash</w:t>
      </w:r>
      <w:proofErr w:type="spellEnd"/>
      <w:r>
        <w:rPr>
          <w:lang w:val="en-US"/>
        </w:rPr>
        <w:t xml:space="preserve"> et al., 2000; Blumer and Benson, 1975; Damasio et al., 1990; Eslinger and Damasio, 1985). Nowadays, it is well known that there is a high incidence of frontal lobe dysfunction in aggressive and criminal population, thereby strengthening the relationship between prefrontal cortex impairment and abnormal social behavior, although not all people with aggressive and antisocial behaviors have necessarily abnormalities in the prefrontal cortex (Brower and Price, 2001).</w:t>
      </w:r>
    </w:p>
    <w:p w:rsidR="00E04905" w:rsidRPr="00B26E04" w:rsidRDefault="0096787B" w:rsidP="00113B97">
      <w:pPr>
        <w:spacing w:line="480" w:lineRule="auto"/>
        <w:rPr>
          <w:lang w:val="en-US"/>
        </w:rPr>
      </w:pPr>
      <w:r>
        <w:rPr>
          <w:lang w:val="en-US"/>
        </w:rPr>
        <w:tab/>
        <w:t>The few studies that support the central role of prefrontal cortex in moral behavior also showed differential responses of specific sub-areas within the prefrontal cortex itself to different moral tasks. The prefrontal cortex has several subareas, which are functionally distinct. Indeed, functional imaging studies revealed that ventromedial prefrontal cortex, ventrolateral prefrontal cortex and dorsolateral prefrontal cortex are involved in distinct steps of moral decision making. Hereafter we focus on ventromedial, dorsolateral and dorsomedial prefrontal cortices (Fig. 1).</w:t>
      </w:r>
    </w:p>
    <w:p w:rsidR="005361D4" w:rsidRPr="00B26E04" w:rsidRDefault="005361D4" w:rsidP="00113B97">
      <w:pPr>
        <w:spacing w:line="480" w:lineRule="auto"/>
        <w:rPr>
          <w:lang w:val="en-US"/>
        </w:rPr>
      </w:pPr>
    </w:p>
    <w:p w:rsidR="00E04905" w:rsidRPr="00B26E04" w:rsidRDefault="0096787B" w:rsidP="00113B97">
      <w:pPr>
        <w:spacing w:line="480" w:lineRule="auto"/>
        <w:rPr>
          <w:b/>
          <w:lang w:val="en-US"/>
        </w:rPr>
      </w:pPr>
      <w:r>
        <w:rPr>
          <w:b/>
          <w:lang w:val="en-US"/>
        </w:rPr>
        <w:t>4.1.1. Ventromedial prefrontal cortex</w:t>
      </w:r>
    </w:p>
    <w:p w:rsidR="006A3C2D" w:rsidRPr="00B26E04" w:rsidRDefault="0096787B" w:rsidP="00113B97">
      <w:pPr>
        <w:spacing w:line="480" w:lineRule="auto"/>
        <w:rPr>
          <w:lang w:val="en-US"/>
        </w:rPr>
      </w:pPr>
      <w:r>
        <w:rPr>
          <w:lang w:val="en-US"/>
        </w:rPr>
        <w:lastRenderedPageBreak/>
        <w:tab/>
        <w:t>The ventromedial prefrontal cortex has social and affective functions, and it is fundamental in moral competency that goes beyond self-interest to consider the welfare of others. The ventromedial prefrontal cortex has reciprocal connections with emotional processing and memory brain areas, amygdala and hippocampus respectively, and with higher-order sensory processing areas, such as temporal visual areas, and with dorsolateral prefrontal cortex (Bechara, 2005; Wood and Grafman 2003). During the decision-making process, the connection of ventromedial prefrontal cortex with amygdala is crucial for the emotional regulation. In this neural network, the ventromedial prefrontal cortex</w:t>
      </w:r>
      <w:r>
        <w:rPr>
          <w:rFonts w:cs="Arial"/>
          <w:lang w:val="en-US"/>
        </w:rPr>
        <w:t xml:space="preserve"> is involved in triggering the affective/emotional signals of long-term outcomes (Bechara, 2005) (Fig. 1).</w:t>
      </w:r>
    </w:p>
    <w:p w:rsidR="00E04905" w:rsidRPr="00B26E04" w:rsidRDefault="0096787B" w:rsidP="00113B97">
      <w:pPr>
        <w:spacing w:line="480" w:lineRule="auto"/>
        <w:rPr>
          <w:lang w:val="en-US"/>
        </w:rPr>
      </w:pPr>
      <w:r>
        <w:rPr>
          <w:lang w:val="en-US"/>
        </w:rPr>
        <w:tab/>
        <w:t>Moreover, ventromedial prefrontal cortex is implicated in processing social norms and cultural values (Damasio et al., 1990; Eslinger and Damasio, 1985) and is able to integrate cognition and affect recognition to produce the empathic response (</w:t>
      </w:r>
      <w:proofErr w:type="spellStart"/>
      <w:r>
        <w:rPr>
          <w:lang w:val="en-US"/>
        </w:rPr>
        <w:t>Shamay-Tsoory</w:t>
      </w:r>
      <w:proofErr w:type="spellEnd"/>
      <w:r>
        <w:rPr>
          <w:lang w:val="en-US"/>
        </w:rPr>
        <w:t xml:space="preserve"> et al., 2003). The ventromedial prefrontal cortex encodes the emotional values of sensory stimuli and support</w:t>
      </w:r>
      <w:r w:rsidR="003A5A95">
        <w:rPr>
          <w:lang w:val="en-US"/>
        </w:rPr>
        <w:t>s</w:t>
      </w:r>
      <w:r>
        <w:rPr>
          <w:lang w:val="en-US"/>
        </w:rPr>
        <w:t xml:space="preserve"> recollection of them during moral decision (Bechara 2004; Green</w:t>
      </w:r>
      <w:r w:rsidR="00706E34">
        <w:rPr>
          <w:lang w:val="en-US"/>
        </w:rPr>
        <w:t>e</w:t>
      </w:r>
      <w:r>
        <w:rPr>
          <w:lang w:val="en-US"/>
        </w:rPr>
        <w:t xml:space="preserve"> et al., 2001). The ventromedial prefrontal cortex is also involved in facial emotion recognition and in the processing of facial signals of distress from others (Passamonti et al., 2010; </w:t>
      </w:r>
      <w:proofErr w:type="spellStart"/>
      <w:r>
        <w:rPr>
          <w:lang w:val="en-US"/>
        </w:rPr>
        <w:t>Vandekerckhove</w:t>
      </w:r>
      <w:proofErr w:type="spellEnd"/>
      <w:r>
        <w:rPr>
          <w:lang w:val="en-US"/>
        </w:rPr>
        <w:t xml:space="preserve"> et al., 2014; Wolf et al., 2014) (Fig. 2). Furthermore, the ventromedial prefrontal cortex is implicated in risk evaluation, moral judgments (</w:t>
      </w:r>
      <w:proofErr w:type="spellStart"/>
      <w:r>
        <w:rPr>
          <w:lang w:val="en-US"/>
        </w:rPr>
        <w:t>Koenigs</w:t>
      </w:r>
      <w:proofErr w:type="spellEnd"/>
      <w:r>
        <w:rPr>
          <w:lang w:val="en-US"/>
        </w:rPr>
        <w:t xml:space="preserve"> et al., 2007), probabilistic reinforcement learning based on negative feedback (Wheeler and Fellows, 2008), economic decisions (</w:t>
      </w:r>
      <w:proofErr w:type="spellStart"/>
      <w:r>
        <w:rPr>
          <w:lang w:val="en-US"/>
        </w:rPr>
        <w:t>Koenigs</w:t>
      </w:r>
      <w:proofErr w:type="spellEnd"/>
      <w:r>
        <w:rPr>
          <w:lang w:val="en-US"/>
        </w:rPr>
        <w:t xml:space="preserve"> and </w:t>
      </w:r>
      <w:proofErr w:type="spellStart"/>
      <w:r>
        <w:rPr>
          <w:lang w:val="en-US"/>
        </w:rPr>
        <w:t>Tranel</w:t>
      </w:r>
      <w:proofErr w:type="spellEnd"/>
      <w:r>
        <w:rPr>
          <w:lang w:val="en-US"/>
        </w:rPr>
        <w:t>, 2007) and processing of affective value of emotional stimuli (</w:t>
      </w:r>
      <w:proofErr w:type="spellStart"/>
      <w:r>
        <w:rPr>
          <w:lang w:val="en-US"/>
        </w:rPr>
        <w:t>Winecoff</w:t>
      </w:r>
      <w:proofErr w:type="spellEnd"/>
      <w:r>
        <w:rPr>
          <w:lang w:val="en-US"/>
        </w:rPr>
        <w:t xml:space="preserve"> et al., 2013). The ventromedial prefrontal cortex also exerts an inhibitory control over aggressive impulse, as demonstrated by greater aggression in subjects with reduced ventromedial prefrontal cortex activity (</w:t>
      </w:r>
      <w:proofErr w:type="spellStart"/>
      <w:r>
        <w:rPr>
          <w:lang w:val="en-US"/>
        </w:rPr>
        <w:t>Strenziok</w:t>
      </w:r>
      <w:proofErr w:type="spellEnd"/>
      <w:r>
        <w:rPr>
          <w:lang w:val="en-US"/>
        </w:rPr>
        <w:t xml:space="preserve"> et al., 2011). Such a role is also confirmed by studies on frontal lobe injuries, in which subjects with normal behavior changed into aggressive</w:t>
      </w:r>
      <w:r w:rsidR="00197675">
        <w:rPr>
          <w:lang w:val="en-US"/>
        </w:rPr>
        <w:t xml:space="preserve"> and violent</w:t>
      </w:r>
      <w:r>
        <w:rPr>
          <w:lang w:val="en-US"/>
        </w:rPr>
        <w:t xml:space="preserve"> conduct after ventromedial prefrontal cortex lesions (Grafman et al., 1996). The proper acquisition and maturation of moral behavior is closely related to the </w:t>
      </w:r>
      <w:r>
        <w:rPr>
          <w:lang w:val="en-US"/>
        </w:rPr>
        <w:lastRenderedPageBreak/>
        <w:t xml:space="preserve">correct development of ventromedial prefrontal cortex. In a case-report study, </w:t>
      </w:r>
      <w:proofErr w:type="spellStart"/>
      <w:r>
        <w:rPr>
          <w:lang w:val="en-US"/>
        </w:rPr>
        <w:t>Boes</w:t>
      </w:r>
      <w:proofErr w:type="spellEnd"/>
      <w:r>
        <w:rPr>
          <w:lang w:val="en-US"/>
        </w:rPr>
        <w:t xml:space="preserve"> and colleagues showed that congenital focal malformations in ventromedial prefrontal cortex altered the development of pro-social behaviors, leading to a severe antisocial behavior (</w:t>
      </w:r>
      <w:proofErr w:type="spellStart"/>
      <w:r>
        <w:rPr>
          <w:lang w:val="en-US"/>
        </w:rPr>
        <w:t>Boes</w:t>
      </w:r>
      <w:proofErr w:type="spellEnd"/>
      <w:r>
        <w:rPr>
          <w:lang w:val="en-US"/>
        </w:rPr>
        <w:t xml:space="preserve"> et al., 2011). In another study, developmental-onset (at ≤ 16 years of age) lesions involving ventromedial prefrontal cortex prevented the maturation of moral judgment capability and resulted in abnormal and egocentric pattern of moral sensibility (Taber-Thomas et al., 2014). In adolescents with conduct disorders microstructural abnormalities have been reported in the uncinate fascicle, the tract connecting amygdala and orbitofrontal cortex. Therefore, an abnormal maturation of white-matter pathways controlling emotional behavior is </w:t>
      </w:r>
      <w:r w:rsidR="00442F3F" w:rsidRPr="00B26E04">
        <w:rPr>
          <w:lang w:val="en-US"/>
        </w:rPr>
        <w:t>hypothesized</w:t>
      </w:r>
      <w:r w:rsidR="007900B8" w:rsidRPr="00B26E04">
        <w:rPr>
          <w:lang w:val="en-US"/>
        </w:rPr>
        <w:t xml:space="preserve"> in </w:t>
      </w:r>
      <w:r>
        <w:rPr>
          <w:lang w:val="en-US"/>
        </w:rPr>
        <w:t>adolescents with conduct problems and aggressive behavior (Passamonti et al., 2010, 2012) (Fig</w:t>
      </w:r>
      <w:r w:rsidR="00231B79">
        <w:rPr>
          <w:lang w:val="en-US"/>
        </w:rPr>
        <w:t>s</w:t>
      </w:r>
      <w:r>
        <w:rPr>
          <w:lang w:val="en-US"/>
        </w:rPr>
        <w:t xml:space="preserve">. </w:t>
      </w:r>
      <w:r w:rsidR="00231B79">
        <w:rPr>
          <w:lang w:val="en-US"/>
        </w:rPr>
        <w:t>2 and 3</w:t>
      </w:r>
      <w:r>
        <w:rPr>
          <w:lang w:val="en-US"/>
        </w:rPr>
        <w:t>).</w:t>
      </w:r>
    </w:p>
    <w:p w:rsidR="005361D4" w:rsidRPr="00B26E04" w:rsidRDefault="005361D4" w:rsidP="00113B97">
      <w:pPr>
        <w:spacing w:line="480" w:lineRule="auto"/>
        <w:rPr>
          <w:lang w:val="en-US"/>
        </w:rPr>
      </w:pPr>
    </w:p>
    <w:p w:rsidR="00E04905" w:rsidRPr="00B26E04" w:rsidRDefault="0096787B" w:rsidP="00113B97">
      <w:pPr>
        <w:spacing w:line="480" w:lineRule="auto"/>
        <w:rPr>
          <w:b/>
          <w:lang w:val="en-US"/>
        </w:rPr>
      </w:pPr>
      <w:r>
        <w:rPr>
          <w:b/>
          <w:lang w:val="en-US"/>
        </w:rPr>
        <w:t>4.1.2. Dorsolateral and dorsomedial prefrontal cortex</w:t>
      </w:r>
    </w:p>
    <w:p w:rsidR="00E04905" w:rsidRPr="00B26E04" w:rsidRDefault="0096787B" w:rsidP="00113B97">
      <w:pPr>
        <w:spacing w:line="480" w:lineRule="auto"/>
        <w:rPr>
          <w:lang w:val="en-US"/>
        </w:rPr>
      </w:pPr>
      <w:r>
        <w:rPr>
          <w:lang w:val="en-US"/>
        </w:rPr>
        <w:tab/>
        <w:t>Similarly to the ventromedial prefrontal cortex, the dorsolateral prefrontal cortex is related to impulse inhibition and self-control, with the latter sub-region being more involved in controlling responses to environmental stimuli (Hare et al., 2009; Wood and Grafman, 2003). Risk/benefit evaluation (</w:t>
      </w:r>
      <w:proofErr w:type="spellStart"/>
      <w:r>
        <w:rPr>
          <w:lang w:val="en-US"/>
        </w:rPr>
        <w:t>Sela</w:t>
      </w:r>
      <w:proofErr w:type="spellEnd"/>
      <w:r>
        <w:rPr>
          <w:lang w:val="en-US"/>
        </w:rPr>
        <w:t xml:space="preserve"> et al., 2012), problem solving and cognitive control (Greene et al., 2004) are mental processes functionally associated with dorsolateral prefrontal cortex. In moral decision-making tasks the dorsolateral prefrontal cortex interacts with the ventrolateral prefrontal cortex, since the dorsolateral prefrontal cortex is involved in suppressing strong emotional reaction, and ventrolateral prefrontal cortex is activated during self-control (</w:t>
      </w:r>
      <w:proofErr w:type="spellStart"/>
      <w:r>
        <w:rPr>
          <w:lang w:val="en-US"/>
        </w:rPr>
        <w:t>Brüne</w:t>
      </w:r>
      <w:proofErr w:type="spellEnd"/>
      <w:r>
        <w:rPr>
          <w:lang w:val="en-US"/>
        </w:rPr>
        <w:t xml:space="preserve"> et al., 2012; Cohen and Lieberman, 2010). Functional and anatomical alterations of dorsolateral prefrontal cortex might facilitate the development of pathological impulsive behaviors and the failure of aggressiveness control (Sala et al., 2011). The dorsolateral prefrontal cortex is also involved in reward processing (Ballard et al., 2011; </w:t>
      </w:r>
      <w:r>
        <w:rPr>
          <w:lang w:val="en-US"/>
        </w:rPr>
        <w:lastRenderedPageBreak/>
        <w:t>Staudinger et al., 2011). Subjects characterized by abnormal social behaviors could be gratified by criminal actions, since reward brain circuits are abnormally activated (Fig. 1).</w:t>
      </w:r>
    </w:p>
    <w:p w:rsidR="00E04905" w:rsidRPr="00B26E04" w:rsidRDefault="0096787B" w:rsidP="00113B97">
      <w:pPr>
        <w:spacing w:line="480" w:lineRule="auto"/>
        <w:rPr>
          <w:lang w:val="en-US"/>
        </w:rPr>
      </w:pPr>
      <w:r>
        <w:rPr>
          <w:lang w:val="en-US"/>
        </w:rPr>
        <w:tab/>
        <w:t xml:space="preserve">Another important issue that influences the decision-making process is impartiality. Quantitative morphometric analysis of MRI data using voxel-based morphometry showed that subjects with large gray matter volume of dorsomedial prefrontal cortex are inclined to act fairly without influences by personal or others opinion (Baumgartner et al., 2013). </w:t>
      </w:r>
      <w:r w:rsidR="00364E76" w:rsidRPr="00B26E04">
        <w:rPr>
          <w:lang w:val="en-US"/>
        </w:rPr>
        <w:t>Indeed, the lack of imparti</w:t>
      </w:r>
      <w:r w:rsidR="0076037A">
        <w:rPr>
          <w:lang w:val="en-US"/>
        </w:rPr>
        <w:t>a</w:t>
      </w:r>
      <w:r w:rsidR="00364E76" w:rsidRPr="00B26E04">
        <w:rPr>
          <w:lang w:val="en-US"/>
        </w:rPr>
        <w:t>lity and fair behavior can induce antisocial and aggressive attitude.</w:t>
      </w:r>
      <w:r w:rsidR="008B46CA" w:rsidRPr="00B26E04">
        <w:rPr>
          <w:lang w:val="en-US"/>
        </w:rPr>
        <w:t xml:space="preserve"> </w:t>
      </w:r>
      <w:r w:rsidR="00E04905" w:rsidRPr="00B26E04">
        <w:rPr>
          <w:lang w:val="en-US"/>
        </w:rPr>
        <w:t>Conversely, volumetric reduction of dorsolateral prefrontal cortex and ventromedial prefrontal cortex was found in antisocial aggressive individuals (</w:t>
      </w:r>
      <w:r>
        <w:rPr>
          <w:lang w:val="en-US"/>
        </w:rPr>
        <w:t>Yang et al., 2005). In particular, reduced functionality and structural abnormality of left dorsolateral prefrontal cortex (and more generally impaired prefrontal structures and function) was strongly associated with antisocial features of impulsivity and poor behavioral control (Yang and Raine, 2009).</w:t>
      </w:r>
    </w:p>
    <w:p w:rsidR="00B35A28" w:rsidRPr="00B26E04" w:rsidRDefault="00B35A28" w:rsidP="00113B97">
      <w:pPr>
        <w:spacing w:line="480" w:lineRule="auto"/>
        <w:rPr>
          <w:b/>
          <w:lang w:val="en-US"/>
        </w:rPr>
      </w:pPr>
    </w:p>
    <w:p w:rsidR="00B35A28" w:rsidRPr="00B26E04" w:rsidRDefault="0096787B" w:rsidP="00113B97">
      <w:pPr>
        <w:spacing w:line="480" w:lineRule="auto"/>
        <w:rPr>
          <w:b/>
          <w:lang w:val="en-US"/>
        </w:rPr>
      </w:pPr>
      <w:r>
        <w:rPr>
          <w:b/>
          <w:lang w:val="en-US"/>
        </w:rPr>
        <w:t>4.2. Anterior cingulate cortex</w:t>
      </w:r>
    </w:p>
    <w:p w:rsidR="00B35A28" w:rsidRPr="00B26E04" w:rsidRDefault="0096787B" w:rsidP="00113B97">
      <w:pPr>
        <w:spacing w:line="480" w:lineRule="auto"/>
        <w:rPr>
          <w:rFonts w:cs="Arial"/>
          <w:lang w:val="en-US"/>
        </w:rPr>
      </w:pPr>
      <w:r>
        <w:rPr>
          <w:rFonts w:cs="Arial"/>
          <w:lang w:val="en-US"/>
        </w:rPr>
        <w:tab/>
        <w:t xml:space="preserve">The cingulate cortex belongs to the limbic system and integrates the neural circuits for emotion and cognition processes, via the elaboration of sensory (nociceptive and visuospatial), motor, cognitive and emotional information (Bush et al., 2000; Vogt et al., 1992). On the basis of its cytoarchitecture and projection patterns, the cingulate cortex can be divided into anterior cingulate cortex, that has executive functions, and posterior cingulate cortex mainly involved in evaluative functions (Vogt et al., 1992). </w:t>
      </w:r>
    </w:p>
    <w:p w:rsidR="00273F5E" w:rsidRPr="00B26E04" w:rsidRDefault="0096787B" w:rsidP="00113B97">
      <w:pPr>
        <w:spacing w:line="480" w:lineRule="auto"/>
        <w:rPr>
          <w:rFonts w:cs="Arial"/>
          <w:lang w:val="en-US"/>
        </w:rPr>
      </w:pPr>
      <w:r>
        <w:rPr>
          <w:rFonts w:cs="Arial"/>
          <w:lang w:val="en-US"/>
        </w:rPr>
        <w:tab/>
        <w:t>In the anterior cingulate cortex cognitive and emotional information are processed separately. The cognitive portion of the anterior cingulate cortex is interconnected with lateral prefrontal cortex, parietal cortex, premotor cortex and supplementary motor areas, while the emotional anterior cingulate cortex is connect</w:t>
      </w:r>
      <w:r w:rsidR="003A5A95">
        <w:rPr>
          <w:rFonts w:cs="Arial"/>
          <w:lang w:val="en-US"/>
        </w:rPr>
        <w:t>ed</w:t>
      </w:r>
      <w:r>
        <w:rPr>
          <w:rFonts w:cs="Arial"/>
          <w:lang w:val="en-US"/>
        </w:rPr>
        <w:t xml:space="preserve"> to amygdala, hippocampus, hypothalamus, anterior insula, nucleus </w:t>
      </w:r>
      <w:proofErr w:type="spellStart"/>
      <w:r>
        <w:rPr>
          <w:rFonts w:cs="Arial"/>
          <w:lang w:val="en-US"/>
        </w:rPr>
        <w:t>accumbens</w:t>
      </w:r>
      <w:proofErr w:type="spellEnd"/>
      <w:r>
        <w:rPr>
          <w:rFonts w:cs="Arial"/>
          <w:lang w:val="en-US"/>
        </w:rPr>
        <w:t xml:space="preserve">, lateral, medial and dorsal prefrontal cortex (Beckmann et </w:t>
      </w:r>
      <w:r>
        <w:rPr>
          <w:rFonts w:cs="Arial"/>
          <w:lang w:val="en-US"/>
        </w:rPr>
        <w:lastRenderedPageBreak/>
        <w:t xml:space="preserve">al., 2009; Devinsky et al., 1995; Stevens et al., 2011). The cingulate cortex is activated by a variety of situations such as pain, motor function, conflict monitoring, error detection, reward, and during emotion and working memory tasks (Beckmann et al., 2009). Additionally, the connections between anterior cingulate cortex and amygdala through modulation by prefrontal cortex are fundamental for emotional behavior and in particular during anger control (Blair, 2004; Davidson et al., 2000a; Dougherty et al., 1999, 2004; Hariri et al., 2003). Hyperactivation of anterior cingulate cortex was found in aggressive </w:t>
      </w:r>
      <w:r w:rsidR="003E7AA3">
        <w:rPr>
          <w:rFonts w:cs="Arial"/>
          <w:lang w:val="en-US"/>
        </w:rPr>
        <w:t xml:space="preserve">and violent </w:t>
      </w:r>
      <w:r>
        <w:rPr>
          <w:rFonts w:cs="Arial"/>
          <w:lang w:val="en-US"/>
        </w:rPr>
        <w:t>patients with schizophrenia and antisocial personality disorders relative to non-aggressive ones (</w:t>
      </w:r>
      <w:proofErr w:type="spellStart"/>
      <w:r>
        <w:rPr>
          <w:rFonts w:cs="Arial"/>
          <w:lang w:val="en-US"/>
        </w:rPr>
        <w:t>Joyal</w:t>
      </w:r>
      <w:proofErr w:type="spellEnd"/>
      <w:r>
        <w:rPr>
          <w:rFonts w:cs="Arial"/>
          <w:lang w:val="en-US"/>
        </w:rPr>
        <w:t xml:space="preserve"> et al., 2007). In young people with conduct disorder, the psychopathic traits were negatively associated with amygdala-ventral anterior cingulate cortex connectivity when processing angry </w:t>
      </w:r>
      <w:r>
        <w:rPr>
          <w:rFonts w:cs="Arial"/>
          <w:i/>
          <w:lang w:val="en-US"/>
        </w:rPr>
        <w:t>vs.</w:t>
      </w:r>
      <w:r>
        <w:rPr>
          <w:rFonts w:cs="Arial"/>
          <w:lang w:val="en-US"/>
        </w:rPr>
        <w:t xml:space="preserve"> neutral faces (</w:t>
      </w:r>
      <w:proofErr w:type="spellStart"/>
      <w:r>
        <w:rPr>
          <w:rFonts w:cs="Arial"/>
          <w:lang w:val="en-US"/>
        </w:rPr>
        <w:t>Ewbank</w:t>
      </w:r>
      <w:proofErr w:type="spellEnd"/>
      <w:r>
        <w:rPr>
          <w:rFonts w:cs="Arial"/>
          <w:lang w:val="en-US"/>
        </w:rPr>
        <w:t xml:space="preserve"> et al., 2018) (Fig. 3). Aggressive and insolent behavior was associated with homolateral decreasing in anterior cingulate cortex volume in healthy boys during childhood and adolescence (</w:t>
      </w:r>
      <w:proofErr w:type="spellStart"/>
      <w:r>
        <w:rPr>
          <w:rFonts w:cs="Arial"/>
          <w:lang w:val="en-US"/>
        </w:rPr>
        <w:t>Boes</w:t>
      </w:r>
      <w:proofErr w:type="spellEnd"/>
      <w:r>
        <w:rPr>
          <w:rFonts w:cs="Arial"/>
          <w:lang w:val="en-US"/>
        </w:rPr>
        <w:t xml:space="preserve"> et al., 2008). In addition, lower volume of anterior cingulate cortex was also reported in aggressive </w:t>
      </w:r>
      <w:r w:rsidR="003C41F0">
        <w:rPr>
          <w:rFonts w:cs="Arial"/>
          <w:lang w:val="en-US"/>
        </w:rPr>
        <w:t xml:space="preserve">and violent </w:t>
      </w:r>
      <w:r>
        <w:rPr>
          <w:rFonts w:cs="Arial"/>
          <w:lang w:val="en-US"/>
        </w:rPr>
        <w:t xml:space="preserve">men with antisocial personality disorders or schizophrenia, and not in schizophrenic individuals without a history of </w:t>
      </w:r>
      <w:r w:rsidR="003C41F0">
        <w:rPr>
          <w:rFonts w:cs="Arial"/>
          <w:lang w:val="en-US"/>
        </w:rPr>
        <w:t xml:space="preserve">violence </w:t>
      </w:r>
      <w:r>
        <w:rPr>
          <w:rFonts w:cs="Arial"/>
          <w:lang w:val="en-US"/>
        </w:rPr>
        <w:t xml:space="preserve">(Kumari et al., 2014). These data contributed to elucidate the relationship between </w:t>
      </w:r>
      <w:proofErr w:type="spellStart"/>
      <w:r>
        <w:rPr>
          <w:rFonts w:cs="Arial"/>
          <w:lang w:val="en-US"/>
        </w:rPr>
        <w:t>morphofunctional</w:t>
      </w:r>
      <w:proofErr w:type="spellEnd"/>
      <w:r>
        <w:rPr>
          <w:rFonts w:cs="Arial"/>
          <w:lang w:val="en-US"/>
        </w:rPr>
        <w:t xml:space="preserve"> changes in anterior cingulate cortex and antisocial or aggressive behavior.</w:t>
      </w:r>
    </w:p>
    <w:p w:rsidR="00B35A28" w:rsidRPr="00B26E04" w:rsidRDefault="00B35A28" w:rsidP="00113B97">
      <w:pPr>
        <w:spacing w:line="480" w:lineRule="auto"/>
        <w:rPr>
          <w:b/>
          <w:lang w:val="en-US"/>
        </w:rPr>
      </w:pPr>
    </w:p>
    <w:p w:rsidR="00E04905" w:rsidRPr="00B26E04" w:rsidRDefault="0096787B" w:rsidP="00113B97">
      <w:pPr>
        <w:spacing w:line="480" w:lineRule="auto"/>
        <w:rPr>
          <w:b/>
          <w:lang w:val="en-US"/>
        </w:rPr>
      </w:pPr>
      <w:r>
        <w:rPr>
          <w:b/>
          <w:lang w:val="en-US"/>
        </w:rPr>
        <w:t>4.3. Temporal lobe</w:t>
      </w:r>
    </w:p>
    <w:p w:rsidR="00DA12AC" w:rsidRPr="00B26E04" w:rsidRDefault="0096787B" w:rsidP="00113B97">
      <w:pPr>
        <w:spacing w:line="480" w:lineRule="auto"/>
        <w:rPr>
          <w:lang w:val="en-US"/>
        </w:rPr>
      </w:pPr>
      <w:r>
        <w:rPr>
          <w:rFonts w:cs="Arial"/>
          <w:lang w:val="en-US"/>
        </w:rPr>
        <w:tab/>
      </w:r>
      <w:r>
        <w:rPr>
          <w:lang w:val="en-US"/>
        </w:rPr>
        <w:t>Morpho-functional abnormality in this brain area might lead to dysregulated social behaviors which is a common feature in offenders. Some studies support</w:t>
      </w:r>
      <w:r>
        <w:rPr>
          <w:rFonts w:cs="Arial"/>
          <w:lang w:val="en-US"/>
        </w:rPr>
        <w:t xml:space="preserve"> the key role of temporal lobes in appropriate social and emotional behavior.</w:t>
      </w:r>
      <w:r>
        <w:rPr>
          <w:lang w:val="en-US"/>
        </w:rPr>
        <w:t xml:space="preserve"> For example, PET data showed lower metabolism in the medial temporal lobe in aggressive </w:t>
      </w:r>
      <w:r w:rsidR="003E7AA3">
        <w:rPr>
          <w:lang w:val="en-US"/>
        </w:rPr>
        <w:t xml:space="preserve">and violent </w:t>
      </w:r>
      <w:r>
        <w:rPr>
          <w:lang w:val="en-US"/>
        </w:rPr>
        <w:t>subjects compared to controls (</w:t>
      </w:r>
      <w:proofErr w:type="spellStart"/>
      <w:r>
        <w:rPr>
          <w:lang w:val="en-US"/>
        </w:rPr>
        <w:t>Seidenwurm</w:t>
      </w:r>
      <w:proofErr w:type="spellEnd"/>
      <w:r>
        <w:rPr>
          <w:lang w:val="en-US"/>
        </w:rPr>
        <w:t xml:space="preserve"> et al., 1997; Volkow et al., 1995), and demonstrated abnormal asymmetries of activity in the amygdala, thalamus, and medial temporal lobe in murderers (Raine et al., 1997). Furthermore, </w:t>
      </w:r>
      <w:r>
        <w:rPr>
          <w:rFonts w:cs="Arial"/>
          <w:lang w:val="en-US"/>
        </w:rPr>
        <w:t>psychopathic offenders when</w:t>
      </w:r>
      <w:r>
        <w:rPr>
          <w:lang w:val="en-US"/>
        </w:rPr>
        <w:t xml:space="preserve"> </w:t>
      </w:r>
      <w:r>
        <w:rPr>
          <w:rFonts w:cs="Arial"/>
          <w:lang w:val="en-US"/>
        </w:rPr>
        <w:t xml:space="preserve">compared to non-criminal </w:t>
      </w:r>
      <w:r>
        <w:rPr>
          <w:rFonts w:cs="Arial"/>
          <w:lang w:val="en-US"/>
        </w:rPr>
        <w:lastRenderedPageBreak/>
        <w:t>subjects</w:t>
      </w:r>
      <w:r>
        <w:rPr>
          <w:lang w:val="en-US"/>
        </w:rPr>
        <w:t xml:space="preserve"> have </w:t>
      </w:r>
      <w:r>
        <w:rPr>
          <w:rFonts w:cs="Arial"/>
          <w:lang w:val="en-US"/>
        </w:rPr>
        <w:t xml:space="preserve">thinner temporal cortex, as demonstrated by </w:t>
      </w:r>
      <w:r>
        <w:rPr>
          <w:lang w:val="en-US"/>
        </w:rPr>
        <w:t>MRI (</w:t>
      </w:r>
      <w:proofErr w:type="spellStart"/>
      <w:r>
        <w:rPr>
          <w:rFonts w:cs="Arial"/>
          <w:lang w:val="en-US"/>
        </w:rPr>
        <w:t>Howner</w:t>
      </w:r>
      <w:proofErr w:type="spellEnd"/>
      <w:r>
        <w:rPr>
          <w:rFonts w:cs="Arial"/>
          <w:lang w:val="en-US"/>
        </w:rPr>
        <w:t xml:space="preserve"> et al., 2012), thus emphasizing the role of this region in the expression of psychopathy.</w:t>
      </w:r>
      <w:r>
        <w:rPr>
          <w:lang w:val="en-US"/>
        </w:rPr>
        <w:t xml:space="preserve"> In particular, </w:t>
      </w:r>
      <w:r>
        <w:rPr>
          <w:rFonts w:cs="Arial"/>
          <w:lang w:val="en-US"/>
        </w:rPr>
        <w:t>gray matter volume reduction in the medial and lateral temporal lobes</w:t>
      </w:r>
      <w:r>
        <w:rPr>
          <w:lang w:val="en-US"/>
        </w:rPr>
        <w:t xml:space="preserve"> was observed in </w:t>
      </w:r>
      <w:r>
        <w:rPr>
          <w:rFonts w:cs="Arial"/>
          <w:lang w:val="en-US"/>
        </w:rPr>
        <w:t xml:space="preserve">homicide offenders, thus suggesting that morphological changes in this brain area could be a biomarker of high risk for serious aggressive </w:t>
      </w:r>
      <w:r w:rsidR="003658E1">
        <w:rPr>
          <w:rFonts w:cs="Arial"/>
          <w:lang w:val="en-US"/>
        </w:rPr>
        <w:t xml:space="preserve">and violent </w:t>
      </w:r>
      <w:r>
        <w:rPr>
          <w:rFonts w:cs="Arial"/>
          <w:lang w:val="en-US"/>
        </w:rPr>
        <w:t xml:space="preserve">behaviors (Cope et al., 2014). The link between brain structural abnormalities and aggression/violence was also evaluated in groups of violent and non-violent chronic patients with schizophrenia, in non-psychotic violent individuals, as well as in healthy subjects (Del Bene et al., 2016). Reduction of amygdala volume was associated with violence in non-psychotic individuals. Substance abuse might play a mediating role in the association between amygdala reduction and aggressiveness/violence in non-psychotic violent individuals. For psychotic patients a smaller size of amygdala was observed in non-violent individuals, and there was no evidence for amygdala volume reduction in violent patients with schizophrenia (Del Bene et al., 2016). </w:t>
      </w:r>
      <w:r>
        <w:rPr>
          <w:lang w:val="en-US"/>
        </w:rPr>
        <w:t xml:space="preserve">A limitation of this study is the use of a 1.5 T scanner, hence future studies with the largely available 3 T scanners may provide more accurate information on the relationship between brain morphology and </w:t>
      </w:r>
      <w:r>
        <w:rPr>
          <w:rFonts w:cs="Arial"/>
          <w:lang w:val="en-US"/>
        </w:rPr>
        <w:t xml:space="preserve">aggressive </w:t>
      </w:r>
      <w:r>
        <w:rPr>
          <w:lang w:val="en-US"/>
        </w:rPr>
        <w:t>conduct.</w:t>
      </w:r>
    </w:p>
    <w:p w:rsidR="00A81039" w:rsidRPr="00B26E04" w:rsidRDefault="00A81039" w:rsidP="00113B97">
      <w:pPr>
        <w:spacing w:line="480" w:lineRule="auto"/>
        <w:rPr>
          <w:lang w:val="en-US"/>
        </w:rPr>
      </w:pPr>
    </w:p>
    <w:p w:rsidR="00E04905" w:rsidRPr="00B26E04" w:rsidRDefault="0096787B" w:rsidP="00113B97">
      <w:pPr>
        <w:spacing w:line="480" w:lineRule="auto"/>
        <w:rPr>
          <w:rFonts w:cs="Arial"/>
          <w:b/>
          <w:lang w:val="en-US"/>
        </w:rPr>
      </w:pPr>
      <w:r>
        <w:rPr>
          <w:rFonts w:cs="Arial"/>
          <w:b/>
          <w:lang w:val="en-US"/>
        </w:rPr>
        <w:t>4.3.1. Medial temporal lobe connectivity and its relevance to aggression</w:t>
      </w:r>
    </w:p>
    <w:p w:rsidR="00E04905" w:rsidRPr="00B26E04" w:rsidRDefault="0096787B" w:rsidP="00113B97">
      <w:pPr>
        <w:spacing w:line="480" w:lineRule="auto"/>
        <w:rPr>
          <w:rFonts w:cs="Arial"/>
          <w:lang w:val="en-US"/>
        </w:rPr>
      </w:pPr>
      <w:r>
        <w:rPr>
          <w:rFonts w:cs="Arial"/>
          <w:lang w:val="en-US"/>
        </w:rPr>
        <w:tab/>
        <w:t xml:space="preserve">Temporal lobe structures such as hippocampus, amygdala (both in medial temporal lobe), superior </w:t>
      </w:r>
      <w:r w:rsidR="00B41672">
        <w:rPr>
          <w:rFonts w:cs="Arial"/>
          <w:lang w:val="en-US"/>
        </w:rPr>
        <w:t xml:space="preserve">temporal </w:t>
      </w:r>
      <w:r>
        <w:rPr>
          <w:rFonts w:cs="Arial"/>
          <w:lang w:val="en-US"/>
        </w:rPr>
        <w:t xml:space="preserve">sulcus, temporo-parietal junction and middle temporal gyrus are important structures for moral behavior. Hippocampus and amygdala belong to limbic system, a complex system composed of different brain structures that takes part in a variety of functions including affective and anxiety modulation, fear and aggressive reaction, food-related and sexual behaviors, in addition to memory processing (Kiernan, 2012; Rajmohan and Mohandas, 2007). The amygdala and the hippocampus, together with prefrontal cortex (in particular ventromedial prefrontal cortex), take part in the decision-making process by </w:t>
      </w:r>
      <w:r>
        <w:rPr>
          <w:rFonts w:cs="Arial"/>
          <w:lang w:val="en-US"/>
        </w:rPr>
        <w:lastRenderedPageBreak/>
        <w:t>selecting and interpreting environmental stimuli and guiding behavioral choices, especially aggressive outcome (Bear, 1991).</w:t>
      </w:r>
    </w:p>
    <w:p w:rsidR="00E04905" w:rsidRPr="00B26E04" w:rsidRDefault="0096787B" w:rsidP="00113B97">
      <w:pPr>
        <w:spacing w:line="480" w:lineRule="auto"/>
        <w:rPr>
          <w:rFonts w:cs="Arial"/>
          <w:lang w:val="en-US"/>
        </w:rPr>
      </w:pPr>
      <w:r>
        <w:rPr>
          <w:rFonts w:cs="Arial"/>
          <w:lang w:val="en-US"/>
        </w:rPr>
        <w:tab/>
        <w:t>During decision-making processes, the amygdala mediates its affective/emotional and somatic outcome. Over time, the choice might be associated with different outcomes, and hippocampus creates a choice-outcome representation (memory of emotional and somatic outcome). When the same choice occurs in the future, the ventromedial prefrontal cortex will recall the outcome representations and use them as a guide for a rapid decision-making (Bechara, 2005; Gupta et al., 2011).</w:t>
      </w:r>
    </w:p>
    <w:p w:rsidR="00BB35C0" w:rsidRPr="00B26E04" w:rsidRDefault="00BB35C0" w:rsidP="00113B97">
      <w:pPr>
        <w:spacing w:line="480" w:lineRule="auto"/>
        <w:rPr>
          <w:rFonts w:cs="Arial"/>
          <w:lang w:val="en-US"/>
        </w:rPr>
      </w:pPr>
    </w:p>
    <w:p w:rsidR="00E04905" w:rsidRPr="00B26E04" w:rsidRDefault="0096787B" w:rsidP="00113B97">
      <w:pPr>
        <w:spacing w:line="480" w:lineRule="auto"/>
        <w:rPr>
          <w:rFonts w:cs="Arial"/>
          <w:b/>
          <w:lang w:val="en-US"/>
        </w:rPr>
      </w:pPr>
      <w:r>
        <w:rPr>
          <w:rFonts w:cs="Arial"/>
          <w:b/>
          <w:lang w:val="en-US"/>
        </w:rPr>
        <w:t>4.3.2. Temporal lobe dysfunction and aggression</w:t>
      </w:r>
    </w:p>
    <w:p w:rsidR="00E04905" w:rsidRPr="00B26E04" w:rsidRDefault="0096787B" w:rsidP="00113B97">
      <w:pPr>
        <w:spacing w:line="480" w:lineRule="auto"/>
        <w:rPr>
          <w:rFonts w:cs="Arial"/>
          <w:lang w:val="en-US"/>
        </w:rPr>
      </w:pPr>
      <w:r>
        <w:rPr>
          <w:rFonts w:cs="Arial"/>
          <w:lang w:val="en-US"/>
        </w:rPr>
        <w:tab/>
        <w:t>The balanced activities of temporal lobe and its related connections ensure the correct managing of emotions and their relative outcome, thereby avoiding reactive aggressive behavior. Imbalance in the cortico-limbic neural networks as well as volumetric alterations in the above mentioned brain areas could be associated to greater impulsivity and aggression in patients suffering from mental illness (</w:t>
      </w:r>
      <w:proofErr w:type="spellStart"/>
      <w:r>
        <w:rPr>
          <w:rFonts w:cs="Arial"/>
          <w:lang w:val="en-US"/>
        </w:rPr>
        <w:t>Coccaro</w:t>
      </w:r>
      <w:proofErr w:type="spellEnd"/>
      <w:r>
        <w:rPr>
          <w:rFonts w:cs="Arial"/>
          <w:lang w:val="en-US"/>
        </w:rPr>
        <w:t xml:space="preserve"> et al., 2011). Neuroimaging and voxel-based morphometry analysis showed reduction of gray matter volumes in the medial and lateral temporal lobes, including the hippocampus and posterior insula, in incarcerated male adolescents who committed homicide, compared with incarcerated non-homicide offenders (Cope et al., 2014). Furthermore, reduced gray matter volume was assessed by MRI in hippocampus and </w:t>
      </w:r>
      <w:proofErr w:type="spellStart"/>
      <w:r>
        <w:rPr>
          <w:rFonts w:cs="Arial"/>
          <w:lang w:val="en-US"/>
        </w:rPr>
        <w:t>parahippocampal</w:t>
      </w:r>
      <w:proofErr w:type="spellEnd"/>
      <w:r>
        <w:rPr>
          <w:rFonts w:cs="Arial"/>
          <w:lang w:val="en-US"/>
        </w:rPr>
        <w:t xml:space="preserve"> gyrus in murderers with schizophrenia, and only in the </w:t>
      </w:r>
      <w:proofErr w:type="spellStart"/>
      <w:r>
        <w:rPr>
          <w:rFonts w:cs="Arial"/>
          <w:lang w:val="en-US"/>
        </w:rPr>
        <w:t>parahippocampal</w:t>
      </w:r>
      <w:proofErr w:type="spellEnd"/>
      <w:r>
        <w:rPr>
          <w:rFonts w:cs="Arial"/>
          <w:lang w:val="en-US"/>
        </w:rPr>
        <w:t xml:space="preserve"> gyrus in murderers without schizophrenia compared to normal subjects (Yang et al., 2010</w:t>
      </w:r>
      <w:r w:rsidR="00776C3F">
        <w:rPr>
          <w:rFonts w:cs="Arial"/>
          <w:lang w:val="en-US"/>
        </w:rPr>
        <w:t>a</w:t>
      </w:r>
      <w:r>
        <w:rPr>
          <w:rFonts w:cs="Arial"/>
          <w:lang w:val="en-US"/>
        </w:rPr>
        <w:t>).</w:t>
      </w:r>
    </w:p>
    <w:p w:rsidR="00E04905" w:rsidRPr="00B26E04" w:rsidRDefault="0096787B" w:rsidP="00113B97">
      <w:pPr>
        <w:spacing w:line="480" w:lineRule="auto"/>
        <w:rPr>
          <w:rFonts w:cs="Arial"/>
          <w:lang w:val="en-US"/>
        </w:rPr>
      </w:pPr>
      <w:r>
        <w:rPr>
          <w:rFonts w:cs="Arial"/>
          <w:lang w:val="en-US"/>
        </w:rPr>
        <w:tab/>
        <w:t>Abnormal regulation of emotion could result in impulsive aggression</w:t>
      </w:r>
      <w:r w:rsidR="003658E1">
        <w:rPr>
          <w:rFonts w:cs="Arial"/>
          <w:lang w:val="en-US"/>
        </w:rPr>
        <w:t xml:space="preserve"> and violence</w:t>
      </w:r>
      <w:r>
        <w:rPr>
          <w:rFonts w:cs="Arial"/>
          <w:lang w:val="en-US"/>
        </w:rPr>
        <w:t xml:space="preserve"> (Davidson et al., 2000a). The amygdala is involved in emotionally influenced memory, evaluating the emotional significance of arousing stimuli that have been partly analyzed elsewhere in the brain, particularly the fear-relevant ones (</w:t>
      </w:r>
      <w:proofErr w:type="spellStart"/>
      <w:r>
        <w:rPr>
          <w:rFonts w:cs="Arial"/>
          <w:lang w:val="en-US"/>
        </w:rPr>
        <w:t>Adolphs</w:t>
      </w:r>
      <w:proofErr w:type="spellEnd"/>
      <w:r>
        <w:rPr>
          <w:rFonts w:cs="Arial"/>
          <w:lang w:val="en-US"/>
        </w:rPr>
        <w:t xml:space="preserve"> et al., 1997; Davis, 1992; </w:t>
      </w:r>
      <w:r>
        <w:rPr>
          <w:rFonts w:cs="Arial"/>
          <w:lang w:val="en-US"/>
        </w:rPr>
        <w:lastRenderedPageBreak/>
        <w:t>Kiernan, 2012). As a consequence, this brain area has a crucial role in emotional and social behavior (</w:t>
      </w:r>
      <w:proofErr w:type="spellStart"/>
      <w:r>
        <w:rPr>
          <w:rFonts w:cs="Arial"/>
          <w:lang w:val="en-US"/>
        </w:rPr>
        <w:t>Ado</w:t>
      </w:r>
      <w:r w:rsidR="008A55E9">
        <w:rPr>
          <w:rFonts w:cs="Arial"/>
          <w:lang w:val="en-US"/>
        </w:rPr>
        <w:t>l</w:t>
      </w:r>
      <w:r>
        <w:rPr>
          <w:rFonts w:cs="Arial"/>
          <w:lang w:val="en-US"/>
        </w:rPr>
        <w:t>phs</w:t>
      </w:r>
      <w:proofErr w:type="spellEnd"/>
      <w:r>
        <w:rPr>
          <w:rFonts w:cs="Arial"/>
          <w:lang w:val="en-US"/>
        </w:rPr>
        <w:t xml:space="preserve"> et al., 1994). The amygdala is activated when evaluating the significance of non-verbal (such as facial expression) and paralinguistic signals, and also in case of linguistic threat (Isenberg et al., 1999). Damages in amygdala are associated with impairment in decision-making (Bechara et al., 1999).</w:t>
      </w:r>
      <w:r w:rsidR="003A5A95">
        <w:rPr>
          <w:rFonts w:cs="Arial"/>
          <w:lang w:val="en-US"/>
        </w:rPr>
        <w:t xml:space="preserve"> </w:t>
      </w:r>
      <w:r>
        <w:rPr>
          <w:rFonts w:cs="Arial"/>
          <w:lang w:val="en-US"/>
        </w:rPr>
        <w:t xml:space="preserve">Volume variations of amygdala were suggested to be related to aggressive behaviors, although different studies disagree on the increased or decreased volume of </w:t>
      </w:r>
      <w:r w:rsidR="00971946">
        <w:rPr>
          <w:rFonts w:cs="Arial"/>
          <w:lang w:val="en-US"/>
        </w:rPr>
        <w:t xml:space="preserve">the </w:t>
      </w:r>
      <w:r>
        <w:rPr>
          <w:rFonts w:cs="Arial"/>
          <w:lang w:val="en-US"/>
        </w:rPr>
        <w:t>amygdala in aggression. Lower volume of amygdala in men was associated with aggression features and psychopathy spanning</w:t>
      </w:r>
      <w:r>
        <w:rPr>
          <w:lang w:val="en-US"/>
        </w:rPr>
        <w:t xml:space="preserve"> f</w:t>
      </w:r>
      <w:r>
        <w:rPr>
          <w:rFonts w:cs="Arial"/>
          <w:lang w:val="en-US"/>
        </w:rPr>
        <w:t>rom childhood to young adulthood (</w:t>
      </w:r>
      <w:proofErr w:type="spellStart"/>
      <w:r>
        <w:rPr>
          <w:rFonts w:cs="Arial"/>
          <w:lang w:val="en-US"/>
        </w:rPr>
        <w:t>Pardini</w:t>
      </w:r>
      <w:proofErr w:type="spellEnd"/>
      <w:r>
        <w:rPr>
          <w:rFonts w:cs="Arial"/>
          <w:lang w:val="en-US"/>
        </w:rPr>
        <w:t xml:space="preserve"> et al., 2014). Furthermore, a significant negative correlation between amygdala volumes and trait aggression was observed in healthy subjects. Morphometric brain scans highlighted that subjects with higher aggressiveness corresponded to those with reduction of amygdala volumes; thus</w:t>
      </w:r>
      <w:r w:rsidR="003A5A95">
        <w:rPr>
          <w:rFonts w:cs="Arial"/>
          <w:lang w:val="en-US"/>
        </w:rPr>
        <w:t>,</w:t>
      </w:r>
      <w:r>
        <w:rPr>
          <w:rFonts w:cs="Arial"/>
          <w:lang w:val="en-US"/>
        </w:rPr>
        <w:t xml:space="preserve"> reduced volume of amygdala might be considered as marker of aggressiveness inclination also in healthy subjects (</w:t>
      </w:r>
      <w:proofErr w:type="spellStart"/>
      <w:r>
        <w:rPr>
          <w:rFonts w:cs="Arial"/>
          <w:lang w:val="en-US"/>
        </w:rPr>
        <w:t>Matthies</w:t>
      </w:r>
      <w:proofErr w:type="spellEnd"/>
      <w:r>
        <w:rPr>
          <w:rFonts w:cs="Arial"/>
          <w:lang w:val="en-US"/>
        </w:rPr>
        <w:t xml:space="preserve"> et al., 2012). However, a more recent study showed that an increased volume of right amygdala was associated with increased reactive aggression</w:t>
      </w:r>
      <w:r>
        <w:rPr>
          <w:lang w:val="en-US" w:eastAsia="en-US"/>
        </w:rPr>
        <w:t xml:space="preserve"> (</w:t>
      </w:r>
      <w:r>
        <w:rPr>
          <w:lang w:val="en-US"/>
        </w:rPr>
        <w:t xml:space="preserve">Farah et al., </w:t>
      </w:r>
      <w:r>
        <w:rPr>
          <w:lang w:val="en-US" w:eastAsia="en-US"/>
        </w:rPr>
        <w:t>2018). Moreover, i</w:t>
      </w:r>
      <w:r>
        <w:rPr>
          <w:lang w:val="en-US"/>
        </w:rPr>
        <w:t>n a systematic review on 12 studies with 470 patients and 155 healthy controls authors found higher volumes of amygdala in violent compared to non-violent subjects with schizophrenia (</w:t>
      </w:r>
      <w:proofErr w:type="spellStart"/>
      <w:r>
        <w:rPr>
          <w:lang w:val="en-US"/>
        </w:rPr>
        <w:t>Widmayer</w:t>
      </w:r>
      <w:proofErr w:type="spellEnd"/>
      <w:r>
        <w:rPr>
          <w:lang w:val="en-US"/>
        </w:rPr>
        <w:t xml:space="preserve"> et al., </w:t>
      </w:r>
      <w:r>
        <w:rPr>
          <w:lang w:val="en-US" w:eastAsia="en-US"/>
        </w:rPr>
        <w:t>2018).</w:t>
      </w:r>
    </w:p>
    <w:p w:rsidR="00E04905" w:rsidRPr="00B26E04" w:rsidRDefault="0096787B" w:rsidP="00113B97">
      <w:pPr>
        <w:spacing w:line="480" w:lineRule="auto"/>
        <w:rPr>
          <w:rFonts w:cs="Arial"/>
          <w:lang w:val="en-US"/>
        </w:rPr>
      </w:pPr>
      <w:r>
        <w:rPr>
          <w:rFonts w:cs="Arial"/>
          <w:lang w:val="en-US"/>
        </w:rPr>
        <w:tab/>
        <w:t>Prefrontal structures, in particular the ventromedial prefrontal cortex, have inhibitory effect on amygdala (Davidson et al., 2000b). Dysfunctions and anatomical deficit in this network might be correlated with aggressive behavior in individuals with a history of impulsive aggressive behavior (</w:t>
      </w:r>
      <w:proofErr w:type="spellStart"/>
      <w:r>
        <w:rPr>
          <w:rFonts w:cs="Arial"/>
          <w:lang w:val="en-US"/>
        </w:rPr>
        <w:t>Coccaro</w:t>
      </w:r>
      <w:proofErr w:type="spellEnd"/>
      <w:r>
        <w:rPr>
          <w:rFonts w:cs="Arial"/>
          <w:lang w:val="en-US"/>
        </w:rPr>
        <w:t xml:space="preserve"> et al., 2007), as well as in aggressive subjects with psychological disorders (e.g., criminal offenders with psychopathy or adolescents and adults with conduct disorder) (Craig et al., 2009; </w:t>
      </w:r>
      <w:proofErr w:type="spellStart"/>
      <w:r>
        <w:rPr>
          <w:rFonts w:cs="Arial"/>
          <w:lang w:val="en-US"/>
        </w:rPr>
        <w:t>Motzkin</w:t>
      </w:r>
      <w:proofErr w:type="spellEnd"/>
      <w:r>
        <w:rPr>
          <w:rFonts w:cs="Arial"/>
          <w:lang w:val="en-US"/>
        </w:rPr>
        <w:t xml:space="preserve"> et al., 2011; Passamonti et al., 2012). In healthy populations, by contrast, there is no correlation between prefrontal cortex/amygdala connectivity and normal-range aggressiveness traits (Beyer et al., 2014). Perpetrators of domestic </w:t>
      </w:r>
      <w:r w:rsidR="002C235C">
        <w:rPr>
          <w:rFonts w:cs="Arial"/>
          <w:lang w:val="en-US"/>
        </w:rPr>
        <w:t xml:space="preserve">violence </w:t>
      </w:r>
      <w:r>
        <w:rPr>
          <w:rFonts w:cs="Arial"/>
          <w:lang w:val="en-US"/>
        </w:rPr>
        <w:t xml:space="preserve">showed decreased activity between various cortical structures and </w:t>
      </w:r>
      <w:r>
        <w:rPr>
          <w:rFonts w:cs="Arial"/>
          <w:lang w:val="en-US"/>
        </w:rPr>
        <w:lastRenderedPageBreak/>
        <w:t>amygdala, when compared to non-aggressive controls (George et al., 2004). This condition might be the origin of impaired ability to extinguish anxiety and/or conditioned fear, and could give rise to either innate behaviors, such as fight, flight, and shut down, or learned behavioral responses designed to avoid anxiety and fear, such as alcohol consumption, self-injurious acts, and obsessive behaviors (George et al., 2004, 2006).</w:t>
      </w:r>
    </w:p>
    <w:p w:rsidR="00780FD2" w:rsidRPr="00B26E04" w:rsidRDefault="00780FD2" w:rsidP="00113B97">
      <w:pPr>
        <w:spacing w:line="480" w:lineRule="auto"/>
        <w:rPr>
          <w:rFonts w:cs="Arial"/>
          <w:lang w:val="en-US"/>
        </w:rPr>
      </w:pPr>
    </w:p>
    <w:p w:rsidR="00E04905" w:rsidRPr="00B26E04" w:rsidRDefault="0096787B" w:rsidP="00113B97">
      <w:pPr>
        <w:spacing w:line="480" w:lineRule="auto"/>
        <w:rPr>
          <w:rFonts w:cs="Arial"/>
          <w:lang w:val="en-US"/>
        </w:rPr>
      </w:pPr>
      <w:r>
        <w:rPr>
          <w:rFonts w:cs="Arial"/>
          <w:b/>
          <w:lang w:val="en-US"/>
        </w:rPr>
        <w:t xml:space="preserve">4.4. Insula </w:t>
      </w:r>
    </w:p>
    <w:p w:rsidR="00E434DF" w:rsidRPr="00B26E04" w:rsidRDefault="0096787B" w:rsidP="00113B97">
      <w:pPr>
        <w:spacing w:line="480" w:lineRule="auto"/>
        <w:rPr>
          <w:rFonts w:cs="Arial"/>
          <w:lang w:val="en-US"/>
        </w:rPr>
      </w:pPr>
      <w:r>
        <w:rPr>
          <w:rFonts w:cs="Arial"/>
          <w:lang w:val="en-US"/>
        </w:rPr>
        <w:tab/>
        <w:t xml:space="preserve">Insular cortex is another limbic-related brain structure, particularly its anterior part. It receives afferents from some sensory thalamic nuclei and is reciprocally connected with amygdala, cingulate cortex and with many other limbic and association cortical areas (Augustine, 1985, 1996; </w:t>
      </w:r>
      <w:proofErr w:type="spellStart"/>
      <w:r>
        <w:rPr>
          <w:lang w:val="en-US"/>
        </w:rPr>
        <w:t>Nieuwenhuys</w:t>
      </w:r>
      <w:proofErr w:type="spellEnd"/>
      <w:r>
        <w:rPr>
          <w:rFonts w:cs="Arial"/>
          <w:lang w:val="en-US"/>
        </w:rPr>
        <w:t xml:space="preserve">, 2012). Abnormality in insular cortex is characteristic of aggressive </w:t>
      </w:r>
      <w:r w:rsidR="002C235C">
        <w:rPr>
          <w:rFonts w:cs="Arial"/>
          <w:lang w:val="en-US"/>
        </w:rPr>
        <w:t xml:space="preserve">and violent </w:t>
      </w:r>
      <w:r>
        <w:rPr>
          <w:rFonts w:cs="Arial"/>
          <w:lang w:val="en-US"/>
        </w:rPr>
        <w:t>offenders in which left insula gray matter volume is smaller than in non-offender subjects (Schiffer et al., 2011); additionally, insular gray matter reduction, as well as for other cortical gray matter structures, is also present in incarcerated homicide offenders (Cope et al., 2014). The anterior insula together with anterior cingulate cortex, ventral and dorsal medial prefrontal cortex, hypothalamic regions and striatum were reported to be involved in reactions to provocative situations and retaliation (</w:t>
      </w:r>
      <w:proofErr w:type="spellStart"/>
      <w:r>
        <w:rPr>
          <w:rFonts w:cs="Arial"/>
          <w:lang w:val="en-US"/>
        </w:rPr>
        <w:t>Krämer</w:t>
      </w:r>
      <w:proofErr w:type="spellEnd"/>
      <w:r>
        <w:rPr>
          <w:rFonts w:cs="Arial"/>
          <w:lang w:val="en-US"/>
        </w:rPr>
        <w:t xml:space="preserve"> et al., 2007; </w:t>
      </w:r>
      <w:proofErr w:type="spellStart"/>
      <w:r>
        <w:rPr>
          <w:rFonts w:cs="Arial"/>
          <w:lang w:val="en-US"/>
        </w:rPr>
        <w:t>Veit</w:t>
      </w:r>
      <w:proofErr w:type="spellEnd"/>
      <w:r>
        <w:rPr>
          <w:rFonts w:cs="Arial"/>
          <w:lang w:val="en-US"/>
        </w:rPr>
        <w:t xml:space="preserve"> et al., 2010). Reduced volume of grey matter in the amygdala extending into insula is present in young people with conduct disorder (Fairchild et al., 2011) (Fig.</w:t>
      </w:r>
      <w:r w:rsidR="00084C05">
        <w:rPr>
          <w:rFonts w:cs="Arial"/>
          <w:lang w:val="en-US"/>
        </w:rPr>
        <w:t xml:space="preserve"> </w:t>
      </w:r>
      <w:r>
        <w:rPr>
          <w:rFonts w:cs="Arial"/>
          <w:lang w:val="en-US"/>
        </w:rPr>
        <w:t>2).</w:t>
      </w:r>
    </w:p>
    <w:p w:rsidR="00CA0C1F" w:rsidRPr="00B26E04" w:rsidRDefault="0096787B" w:rsidP="00113B97">
      <w:pPr>
        <w:spacing w:line="480" w:lineRule="auto"/>
        <w:rPr>
          <w:rFonts w:cs="Arial"/>
          <w:lang w:val="en-US"/>
        </w:rPr>
      </w:pPr>
      <w:r>
        <w:rPr>
          <w:rFonts w:cs="Arial"/>
          <w:lang w:val="en-US"/>
        </w:rPr>
        <w:tab/>
        <w:t xml:space="preserve">Considering insula and cingulate cortex activation, the networks involved in response inhibition and reaction to provocation should overlap. Indeed, it was shown that overlap in neural correlates between failed motor response inhibition and reactive aggression is located in anterior insula </w:t>
      </w:r>
      <w:r>
        <w:rPr>
          <w:lang w:val="en-US"/>
        </w:rPr>
        <w:t>(</w:t>
      </w:r>
      <w:proofErr w:type="spellStart"/>
      <w:r>
        <w:rPr>
          <w:rFonts w:eastAsiaTheme="minorHAnsi"/>
          <w:lang w:val="en-US" w:eastAsia="en-US"/>
        </w:rPr>
        <w:t>Dambacher</w:t>
      </w:r>
      <w:proofErr w:type="spellEnd"/>
      <w:r>
        <w:rPr>
          <w:rFonts w:eastAsiaTheme="minorHAnsi"/>
          <w:lang w:val="en-US" w:eastAsia="en-US"/>
        </w:rPr>
        <w:t xml:space="preserve"> et al., 2015).</w:t>
      </w:r>
      <w:r>
        <w:rPr>
          <w:rFonts w:cs="Arial"/>
          <w:lang w:val="en-US"/>
        </w:rPr>
        <w:t xml:space="preserve"> This suggests common anterior insula involvement in motor impulsivity and in reactive aggression.</w:t>
      </w:r>
    </w:p>
    <w:p w:rsidR="00E04905" w:rsidRPr="00B26E04" w:rsidRDefault="00E04905" w:rsidP="00113B97">
      <w:pPr>
        <w:spacing w:line="480" w:lineRule="auto"/>
        <w:rPr>
          <w:rFonts w:cs="Arial"/>
          <w:lang w:val="en-US"/>
        </w:rPr>
      </w:pPr>
    </w:p>
    <w:p w:rsidR="00E04905" w:rsidRPr="00B26E04" w:rsidRDefault="0096787B" w:rsidP="00113B97">
      <w:pPr>
        <w:spacing w:line="480" w:lineRule="auto"/>
        <w:rPr>
          <w:b/>
          <w:lang w:val="en-US"/>
        </w:rPr>
      </w:pPr>
      <w:r>
        <w:rPr>
          <w:b/>
          <w:lang w:val="en-US"/>
        </w:rPr>
        <w:t>5. Genetics and neurochemistry of aggressive behavior</w:t>
      </w:r>
    </w:p>
    <w:p w:rsidR="00C63E9A" w:rsidRPr="00B26E04" w:rsidRDefault="0096787B" w:rsidP="00113B97">
      <w:pPr>
        <w:spacing w:line="480" w:lineRule="auto"/>
        <w:rPr>
          <w:lang w:val="en-US"/>
        </w:rPr>
      </w:pPr>
      <w:r>
        <w:rPr>
          <w:lang w:val="en-US"/>
        </w:rPr>
        <w:lastRenderedPageBreak/>
        <w:tab/>
        <w:t xml:space="preserve">At the beginning of 1960s, </w:t>
      </w:r>
      <w:proofErr w:type="spellStart"/>
      <w:r>
        <w:rPr>
          <w:lang w:val="en-US"/>
        </w:rPr>
        <w:t>Aprison</w:t>
      </w:r>
      <w:proofErr w:type="spellEnd"/>
      <w:r>
        <w:rPr>
          <w:lang w:val="en-US"/>
        </w:rPr>
        <w:t xml:space="preserve"> and </w:t>
      </w:r>
      <w:proofErr w:type="spellStart"/>
      <w:r>
        <w:rPr>
          <w:lang w:val="en-US"/>
        </w:rPr>
        <w:t>Ferster</w:t>
      </w:r>
      <w:proofErr w:type="spellEnd"/>
      <w:r>
        <w:rPr>
          <w:lang w:val="en-US"/>
        </w:rPr>
        <w:t xml:space="preserve"> (</w:t>
      </w:r>
      <w:proofErr w:type="spellStart"/>
      <w:r>
        <w:rPr>
          <w:lang w:val="en-US"/>
        </w:rPr>
        <w:t>Aprison</w:t>
      </w:r>
      <w:proofErr w:type="spellEnd"/>
      <w:r>
        <w:rPr>
          <w:lang w:val="en-US"/>
        </w:rPr>
        <w:t xml:space="preserve"> and </w:t>
      </w:r>
      <w:proofErr w:type="spellStart"/>
      <w:r>
        <w:rPr>
          <w:lang w:val="en-US"/>
        </w:rPr>
        <w:t>Ferster</w:t>
      </w:r>
      <w:proofErr w:type="spellEnd"/>
      <w:r>
        <w:rPr>
          <w:lang w:val="en-US"/>
        </w:rPr>
        <w:t>, 1961) found a correlation between aggressiveness and low activity of monoamine oxidase (MAO) enzymes, which have a key role in degradative pathways of different monoamines such as serotonin (5-HT) and other catecholamines (Fowler and Tipton, 1984). Few years later, important contributions to better understand the molecular basis of this correlation were the assignment of MAO type A gene (</w:t>
      </w:r>
      <w:r>
        <w:rPr>
          <w:i/>
          <w:lang w:val="en-US"/>
        </w:rPr>
        <w:t>MAOA</w:t>
      </w:r>
      <w:r>
        <w:rPr>
          <w:lang w:val="en-US"/>
        </w:rPr>
        <w:t>) to human X chromosome (</w:t>
      </w:r>
      <w:proofErr w:type="spellStart"/>
      <w:r>
        <w:rPr>
          <w:lang w:val="en-US"/>
        </w:rPr>
        <w:t>Pintar</w:t>
      </w:r>
      <w:proofErr w:type="spellEnd"/>
      <w:r>
        <w:rPr>
          <w:lang w:val="en-US"/>
        </w:rPr>
        <w:t xml:space="preserve"> et al., 1981) and the discovery of a point mutation in </w:t>
      </w:r>
      <w:r>
        <w:rPr>
          <w:i/>
          <w:lang w:val="en-US"/>
        </w:rPr>
        <w:t>MAOA</w:t>
      </w:r>
      <w:r>
        <w:rPr>
          <w:lang w:val="en-US"/>
        </w:rPr>
        <w:t xml:space="preserve"> which was associated with clinical phenotype characterized by borderline mental retardation and impaired control of impulsive aggression in humans (Brunner et al., 1993) (Fig. 1).</w:t>
      </w:r>
      <w:r w:rsidR="00EF195D">
        <w:rPr>
          <w:lang w:val="en-US"/>
        </w:rPr>
        <w:t xml:space="preserve"> </w:t>
      </w:r>
      <w:r>
        <w:rPr>
          <w:lang w:val="en-US"/>
        </w:rPr>
        <w:t xml:space="preserve">After these initial observations, scientists began to correlate genetic variations of this gene with antisocial behavior. Now, it is widely accepted that brain </w:t>
      </w:r>
      <w:proofErr w:type="spellStart"/>
      <w:r>
        <w:rPr>
          <w:lang w:val="en-US"/>
        </w:rPr>
        <w:t>morphofunctional</w:t>
      </w:r>
      <w:proofErr w:type="spellEnd"/>
      <w:r>
        <w:rPr>
          <w:lang w:val="en-US"/>
        </w:rPr>
        <w:t xml:space="preserve"> alterations characterizing an abnormal social behavior might be linked to genetic factors. Functional expression of several genes is crucial to promote the correct development of central nervous system (CNS) and modulate neural network activity: genetic factors impairing DA and 5-HT signaling during perinatal and developmental periods represent a risk factor for aggressive behavior and emotional dysfunction, as shown by studies in mice (Cheng et al., 2010; </w:t>
      </w:r>
      <w:proofErr w:type="spellStart"/>
      <w:r>
        <w:rPr>
          <w:lang w:val="en-US"/>
        </w:rPr>
        <w:t>Godar</w:t>
      </w:r>
      <w:proofErr w:type="spellEnd"/>
      <w:r>
        <w:rPr>
          <w:lang w:val="en-US"/>
        </w:rPr>
        <w:t xml:space="preserve"> et al., 2014; Yu et al., 2014). About 50 % of the variance of data on aggressive behavior can be reasonably explained by genetic influences in both males and females (Ferguson, 2010; </w:t>
      </w:r>
      <w:proofErr w:type="spellStart"/>
      <w:r>
        <w:rPr>
          <w:lang w:val="en-US"/>
        </w:rPr>
        <w:t>Tuvblad</w:t>
      </w:r>
      <w:proofErr w:type="spellEnd"/>
      <w:r>
        <w:rPr>
          <w:lang w:val="en-US"/>
        </w:rPr>
        <w:t xml:space="preserve"> and Baker, 2011). The brain areas involved in social behaviors receive strong innervation from the DA and 5-HT systems. Abnormal aggressiveness could therefore result from </w:t>
      </w:r>
      <w:r w:rsidR="00D12F1E">
        <w:rPr>
          <w:lang w:val="en-US"/>
        </w:rPr>
        <w:t>variations in genes or</w:t>
      </w:r>
      <w:r>
        <w:rPr>
          <w:lang w:val="en-US"/>
        </w:rPr>
        <w:t xml:space="preserve"> regulatory </w:t>
      </w:r>
      <w:r w:rsidR="00D12F1E">
        <w:rPr>
          <w:lang w:val="en-US"/>
        </w:rPr>
        <w:t>regions</w:t>
      </w:r>
      <w:r>
        <w:rPr>
          <w:lang w:val="en-US"/>
        </w:rPr>
        <w:t xml:space="preserve"> of </w:t>
      </w:r>
      <w:r w:rsidR="00D12F1E">
        <w:rPr>
          <w:lang w:val="en-US"/>
        </w:rPr>
        <w:t xml:space="preserve">the </w:t>
      </w:r>
      <w:r>
        <w:rPr>
          <w:lang w:val="en-US"/>
        </w:rPr>
        <w:t xml:space="preserve">DA and 5-HT </w:t>
      </w:r>
      <w:r w:rsidR="00D12F1E">
        <w:rPr>
          <w:lang w:val="en-US"/>
        </w:rPr>
        <w:t>systems</w:t>
      </w:r>
      <w:r>
        <w:rPr>
          <w:lang w:val="en-US"/>
        </w:rPr>
        <w:t xml:space="preserve"> (Fig. 1). These mutations could compromise transcriptional efficiency, with </w:t>
      </w:r>
      <w:r w:rsidR="00D12F1E">
        <w:rPr>
          <w:lang w:val="en-US"/>
        </w:rPr>
        <w:t>effects</w:t>
      </w:r>
      <w:r>
        <w:rPr>
          <w:lang w:val="en-US"/>
        </w:rPr>
        <w:t xml:space="preserve"> on protein expression</w:t>
      </w:r>
      <w:r w:rsidR="00D12F1E">
        <w:rPr>
          <w:lang w:val="en-US"/>
        </w:rPr>
        <w:t xml:space="preserve"> and </w:t>
      </w:r>
      <w:r>
        <w:rPr>
          <w:lang w:val="en-US"/>
        </w:rPr>
        <w:t>functionality</w:t>
      </w:r>
      <w:r w:rsidR="00D12F1E">
        <w:rPr>
          <w:lang w:val="en-US"/>
        </w:rPr>
        <w:t>: then, mutations could have</w:t>
      </w:r>
      <w:r>
        <w:rPr>
          <w:lang w:val="en-US"/>
        </w:rPr>
        <w:t xml:space="preserve"> </w:t>
      </w:r>
      <w:r w:rsidR="00D12F1E" w:rsidRPr="00D12F1E">
        <w:rPr>
          <w:lang w:val="en-US"/>
        </w:rPr>
        <w:t xml:space="preserve">heavy consequences on neurotransmitters synthesis and degradation, as well as on their receptors and transporters, </w:t>
      </w:r>
      <w:r>
        <w:rPr>
          <w:lang w:val="en-US"/>
        </w:rPr>
        <w:t xml:space="preserve">with serious outcome on impulse transmission (Table 1). Since DA and 5-HT systems are strictly interconnected and play a critical role in the development of normal and abnormal behaviors, dysfunctions of these neural networks can contribute to the onset of </w:t>
      </w:r>
      <w:r>
        <w:rPr>
          <w:lang w:val="en-US"/>
        </w:rPr>
        <w:lastRenderedPageBreak/>
        <w:t>various mental disorders like depression, schizophrenia, in addition to aggressive and antisocial behavior.</w:t>
      </w:r>
    </w:p>
    <w:p w:rsidR="00C63E9A" w:rsidRPr="00B26E04" w:rsidRDefault="00C63E9A" w:rsidP="00113B97">
      <w:pPr>
        <w:spacing w:line="480" w:lineRule="auto"/>
        <w:rPr>
          <w:lang w:val="en-US"/>
        </w:rPr>
      </w:pPr>
    </w:p>
    <w:p w:rsidR="00E04905" w:rsidRPr="00B26E04" w:rsidRDefault="0096787B" w:rsidP="00113B97">
      <w:pPr>
        <w:spacing w:line="480" w:lineRule="auto"/>
        <w:rPr>
          <w:b/>
          <w:lang w:val="en-US"/>
        </w:rPr>
      </w:pPr>
      <w:r>
        <w:rPr>
          <w:b/>
          <w:lang w:val="en-US"/>
        </w:rPr>
        <w:t>5.1. Serotonergic system</w:t>
      </w:r>
    </w:p>
    <w:p w:rsidR="00E04905" w:rsidRPr="00B26E04" w:rsidRDefault="0096787B" w:rsidP="00113B97">
      <w:pPr>
        <w:spacing w:line="480" w:lineRule="auto"/>
        <w:rPr>
          <w:lang w:val="en-US"/>
        </w:rPr>
      </w:pPr>
      <w:r>
        <w:rPr>
          <w:lang w:val="en-US"/>
        </w:rPr>
        <w:tab/>
        <w:t>The 5-HT system is one of the most important and widespread neurotransmitter systems of the brain. The cell bodies of neurons belonging to 5-HT system are manly located in the raphe region while their axons reach almost every brain region, such as telencephalic cortices, hypothalamus, amygdala, basal ganglia, in addition to many other areas (</w:t>
      </w:r>
      <w:proofErr w:type="spellStart"/>
      <w:r>
        <w:rPr>
          <w:lang w:val="en-US"/>
        </w:rPr>
        <w:t>Azmitia</w:t>
      </w:r>
      <w:proofErr w:type="spellEnd"/>
      <w:r>
        <w:rPr>
          <w:lang w:val="en-US"/>
        </w:rPr>
        <w:t xml:space="preserve"> and Whitaker-</w:t>
      </w:r>
      <w:proofErr w:type="spellStart"/>
      <w:r>
        <w:rPr>
          <w:lang w:val="en-US"/>
        </w:rPr>
        <w:t>Azmitia</w:t>
      </w:r>
      <w:proofErr w:type="spellEnd"/>
      <w:r>
        <w:rPr>
          <w:lang w:val="en-US"/>
        </w:rPr>
        <w:t xml:space="preserve">, 1991; Baker et al., 1990, 1991; </w:t>
      </w:r>
      <w:proofErr w:type="spellStart"/>
      <w:r>
        <w:rPr>
          <w:lang w:val="en-US"/>
        </w:rPr>
        <w:t>Charnay</w:t>
      </w:r>
      <w:proofErr w:type="spellEnd"/>
      <w:r>
        <w:rPr>
          <w:lang w:val="en-US"/>
        </w:rPr>
        <w:t xml:space="preserve"> and Léger, 2010).</w:t>
      </w:r>
    </w:p>
    <w:p w:rsidR="00881C38" w:rsidRPr="00B26E04" w:rsidRDefault="0096787B" w:rsidP="00113B97">
      <w:pPr>
        <w:spacing w:line="480" w:lineRule="auto"/>
        <w:rPr>
          <w:lang w:val="en-US"/>
        </w:rPr>
      </w:pPr>
      <w:r>
        <w:rPr>
          <w:lang w:val="en-US"/>
        </w:rPr>
        <w:tab/>
        <w:t>The 5-HT has a key role in the development of emotional circuitry in the brain. The 5-HT system has modulatory effect in almost every psychophysiological function (such as anxiety, appetite, sexual desire, reward, pain, memory, cognition, aggressiveness, response to stressors, emotion and mood) and play a key role in several pathologies (</w:t>
      </w:r>
      <w:proofErr w:type="spellStart"/>
      <w:r>
        <w:rPr>
          <w:lang w:val="en-US"/>
        </w:rPr>
        <w:t>Azmitia</w:t>
      </w:r>
      <w:proofErr w:type="spellEnd"/>
      <w:r>
        <w:rPr>
          <w:lang w:val="en-US"/>
        </w:rPr>
        <w:t xml:space="preserve"> and Whitaker-</w:t>
      </w:r>
      <w:proofErr w:type="spellStart"/>
      <w:r>
        <w:rPr>
          <w:lang w:val="en-US"/>
        </w:rPr>
        <w:t>Azmitia</w:t>
      </w:r>
      <w:proofErr w:type="spellEnd"/>
      <w:r>
        <w:rPr>
          <w:lang w:val="en-US"/>
        </w:rPr>
        <w:t xml:space="preserve">, 1991; </w:t>
      </w:r>
      <w:proofErr w:type="spellStart"/>
      <w:r>
        <w:rPr>
          <w:lang w:val="en-US"/>
        </w:rPr>
        <w:t>Charnay</w:t>
      </w:r>
      <w:proofErr w:type="spellEnd"/>
      <w:r>
        <w:rPr>
          <w:lang w:val="en-US"/>
        </w:rPr>
        <w:t xml:space="preserve"> and Léger, 2010; Frazer and </w:t>
      </w:r>
      <w:proofErr w:type="spellStart"/>
      <w:r>
        <w:rPr>
          <w:lang w:val="en-US"/>
        </w:rPr>
        <w:t>Hensler</w:t>
      </w:r>
      <w:proofErr w:type="spellEnd"/>
      <w:r>
        <w:rPr>
          <w:lang w:val="en-US"/>
        </w:rPr>
        <w:t>, 1999; Kiser et al., 2012). Therefore, the 5-HT system represents the brain threshold modulating many systems (</w:t>
      </w:r>
      <w:proofErr w:type="spellStart"/>
      <w:r>
        <w:rPr>
          <w:lang w:val="en-US"/>
        </w:rPr>
        <w:t>Wielpuetz</w:t>
      </w:r>
      <w:proofErr w:type="spellEnd"/>
      <w:r>
        <w:rPr>
          <w:lang w:val="en-US"/>
        </w:rPr>
        <w:t xml:space="preserve"> et al., 2015). The activity of 5-HT neurons is important to set the threshold for aggressive behavior in human and a wide range of species which is in keeping with the direct association that was hypothesized between low levels of 5-HT metabolites and homeostasis in the cerebrospinal fluid and increased aggression (</w:t>
      </w:r>
      <w:proofErr w:type="spellStart"/>
      <w:r>
        <w:rPr>
          <w:lang w:val="en-US"/>
        </w:rPr>
        <w:t>Audero</w:t>
      </w:r>
      <w:proofErr w:type="spellEnd"/>
      <w:r>
        <w:rPr>
          <w:lang w:val="en-US"/>
        </w:rPr>
        <w:t xml:space="preserve"> et al., 2013; Brown et al., 1982; </w:t>
      </w:r>
      <w:proofErr w:type="spellStart"/>
      <w:r>
        <w:rPr>
          <w:lang w:val="en-US"/>
        </w:rPr>
        <w:t>Roggenbach</w:t>
      </w:r>
      <w:proofErr w:type="spellEnd"/>
      <w:r>
        <w:rPr>
          <w:lang w:val="en-US"/>
        </w:rPr>
        <w:t xml:space="preserve"> et al., 2002) (Fig. 1). However, there are disagreements among studies on 5-hydroxyindoleacetic acid (the main 5-HT metabolite) concentration in cerebrospinal fluid and relationship with aggression, as some studies reported an inverse relationship (</w:t>
      </w:r>
      <w:proofErr w:type="spellStart"/>
      <w:r>
        <w:rPr>
          <w:lang w:val="en-US"/>
        </w:rPr>
        <w:t>Coccaro</w:t>
      </w:r>
      <w:proofErr w:type="spellEnd"/>
      <w:r>
        <w:rPr>
          <w:lang w:val="en-US"/>
        </w:rPr>
        <w:t xml:space="preserve"> et al., 1997a) others showed no correlation (</w:t>
      </w:r>
      <w:proofErr w:type="spellStart"/>
      <w:r>
        <w:rPr>
          <w:lang w:val="en-US"/>
        </w:rPr>
        <w:t>Coccaro</w:t>
      </w:r>
      <w:proofErr w:type="spellEnd"/>
      <w:r>
        <w:rPr>
          <w:lang w:val="en-US"/>
        </w:rPr>
        <w:t xml:space="preserve"> et al., 1997b) and a positive relationship (</w:t>
      </w:r>
      <w:proofErr w:type="spellStart"/>
      <w:r>
        <w:rPr>
          <w:lang w:val="en-US"/>
        </w:rPr>
        <w:t>Coccaro</w:t>
      </w:r>
      <w:proofErr w:type="spellEnd"/>
      <w:r>
        <w:rPr>
          <w:lang w:val="en-US"/>
        </w:rPr>
        <w:t xml:space="preserve"> and Lee, 2010). Several methodological limitations can explain these contradictory findings (Duke et al., 2013) including for example the size of samples, types of subjects, 5-hydroxyindoleacetic acid concentrations affected by different factors and down regulation of </w:t>
      </w:r>
      <w:r>
        <w:rPr>
          <w:lang w:val="en-US"/>
        </w:rPr>
        <w:lastRenderedPageBreak/>
        <w:t>post-synaptic 5-HT receptor activity. Interestingly, evidences from prisoners highlighted that aggressive compared to non-aggressive inmates exhibit higher 5-HT/tryptophan ratio in the serum: therefore, this ratio in combination with psychopathological markers, like antisocial behavior and global assessment of functioning, could be used as multi-marker approach to discriminate between aggressive or non-aggressive individuals (</w:t>
      </w:r>
      <w:proofErr w:type="spellStart"/>
      <w:r>
        <w:rPr>
          <w:lang w:val="en-US"/>
        </w:rPr>
        <w:t>Comai</w:t>
      </w:r>
      <w:proofErr w:type="spellEnd"/>
      <w:r>
        <w:rPr>
          <w:lang w:val="en-US"/>
        </w:rPr>
        <w:t xml:space="preserve"> et al., 2016), although the serum content of 5-HT/tryptophan might be influenced by different organs in addition to brain.</w:t>
      </w:r>
    </w:p>
    <w:p w:rsidR="00916BD6" w:rsidRPr="00B26E04" w:rsidRDefault="0096787B" w:rsidP="00113B97">
      <w:pPr>
        <w:spacing w:line="480" w:lineRule="auto"/>
        <w:rPr>
          <w:lang w:val="en-US"/>
        </w:rPr>
      </w:pPr>
      <w:r>
        <w:rPr>
          <w:lang w:val="en-US"/>
        </w:rPr>
        <w:tab/>
        <w:t>Some forms of aggression are thought to depend on deficits in response inhibition and intolerance to reward delay (Stein et al., 1995). Mechanisms of disinhibition might result in an excessive dependence on external stimuli to guide behavior which can in turn mediate aggression (</w:t>
      </w:r>
      <w:proofErr w:type="spellStart"/>
      <w:r>
        <w:rPr>
          <w:lang w:val="en-US"/>
        </w:rPr>
        <w:t>Plutchik</w:t>
      </w:r>
      <w:proofErr w:type="spellEnd"/>
      <w:r>
        <w:rPr>
          <w:lang w:val="en-US"/>
        </w:rPr>
        <w:t xml:space="preserve"> and Van </w:t>
      </w:r>
      <w:proofErr w:type="spellStart"/>
      <w:r>
        <w:rPr>
          <w:lang w:val="en-US"/>
        </w:rPr>
        <w:t>Praag</w:t>
      </w:r>
      <w:proofErr w:type="spellEnd"/>
      <w:r>
        <w:rPr>
          <w:lang w:val="en-US"/>
        </w:rPr>
        <w:t>, 1989). Deficits of such inhibitory mechanisms are partially depended on genetic variability, especially in genes that influence the serotoninergic system (</w:t>
      </w:r>
      <w:proofErr w:type="spellStart"/>
      <w:r>
        <w:rPr>
          <w:lang w:val="en-US"/>
        </w:rPr>
        <w:t>Seroczynski</w:t>
      </w:r>
      <w:proofErr w:type="spellEnd"/>
      <w:r>
        <w:rPr>
          <w:lang w:val="en-US"/>
        </w:rPr>
        <w:t xml:space="preserve"> et al., 1999).</w:t>
      </w:r>
      <w:r w:rsidR="00B34C22" w:rsidRPr="00B26E04">
        <w:rPr>
          <w:lang w:val="en-US"/>
        </w:rPr>
        <w:t xml:space="preserve"> In particular, there is robust evidence showing that impulsive-aggressive behavior may be linked to </w:t>
      </w:r>
      <w:r w:rsidR="006F4F8C" w:rsidRPr="00B26E04">
        <w:rPr>
          <w:lang w:val="en-US"/>
        </w:rPr>
        <w:t xml:space="preserve">the </w:t>
      </w:r>
      <w:r w:rsidR="00B34C22" w:rsidRPr="00B26E04">
        <w:rPr>
          <w:lang w:val="en-US"/>
        </w:rPr>
        <w:t>reduced 5-HT system activity (</w:t>
      </w:r>
      <w:proofErr w:type="spellStart"/>
      <w:r w:rsidR="00B34C22" w:rsidRPr="00B26E04">
        <w:rPr>
          <w:lang w:val="en-US"/>
        </w:rPr>
        <w:t>Coccaro</w:t>
      </w:r>
      <w:proofErr w:type="spellEnd"/>
      <w:r w:rsidR="00B34C22" w:rsidRPr="00B26E04">
        <w:rPr>
          <w:lang w:val="en-US"/>
        </w:rPr>
        <w:t xml:space="preserve">, 1989; King et al., 2003; </w:t>
      </w:r>
      <w:proofErr w:type="spellStart"/>
      <w:r w:rsidR="00B34C22" w:rsidRPr="00B26E04">
        <w:rPr>
          <w:lang w:val="en-US"/>
        </w:rPr>
        <w:t>Lesch</w:t>
      </w:r>
      <w:proofErr w:type="spellEnd"/>
      <w:r w:rsidR="00B34C22" w:rsidRPr="00B26E04">
        <w:rPr>
          <w:lang w:val="en-US"/>
        </w:rPr>
        <w:t xml:space="preserve"> and </w:t>
      </w:r>
      <w:proofErr w:type="spellStart"/>
      <w:r w:rsidR="00B34C22" w:rsidRPr="00B26E04">
        <w:rPr>
          <w:lang w:val="en-US"/>
        </w:rPr>
        <w:t>Merschdorf</w:t>
      </w:r>
      <w:proofErr w:type="spellEnd"/>
      <w:r w:rsidR="00B34C22" w:rsidRPr="00B26E04">
        <w:rPr>
          <w:lang w:val="en-US"/>
        </w:rPr>
        <w:t xml:space="preserve">, 2000; </w:t>
      </w:r>
      <w:proofErr w:type="spellStart"/>
      <w:r w:rsidR="00B34C22" w:rsidRPr="00B26E04">
        <w:rPr>
          <w:lang w:val="en-US"/>
        </w:rPr>
        <w:t>Roggenbach</w:t>
      </w:r>
      <w:proofErr w:type="spellEnd"/>
      <w:r w:rsidR="00B34C22" w:rsidRPr="00B26E04">
        <w:rPr>
          <w:lang w:val="en-US"/>
        </w:rPr>
        <w:t xml:space="preserve"> et al., 2002). The neurobiological dimension of impulsivity also has strong heritability, as shown in twin studies (</w:t>
      </w:r>
      <w:proofErr w:type="spellStart"/>
      <w:r w:rsidR="00B34C22" w:rsidRPr="00B26E04">
        <w:rPr>
          <w:lang w:val="en-US"/>
        </w:rPr>
        <w:t>Coccaro</w:t>
      </w:r>
      <w:proofErr w:type="spellEnd"/>
      <w:r w:rsidR="00B34C22" w:rsidRPr="00B26E04">
        <w:rPr>
          <w:lang w:val="en-US"/>
        </w:rPr>
        <w:t xml:space="preserve"> et al., 1993).</w:t>
      </w:r>
    </w:p>
    <w:p w:rsidR="00FB35E6" w:rsidRPr="00B26E04" w:rsidRDefault="00FB35E6" w:rsidP="00113B97">
      <w:pPr>
        <w:spacing w:line="480" w:lineRule="auto"/>
        <w:rPr>
          <w:lang w:val="en-US"/>
        </w:rPr>
      </w:pPr>
    </w:p>
    <w:p w:rsidR="00E04905" w:rsidRPr="00B26E04" w:rsidRDefault="0096787B" w:rsidP="00113B97">
      <w:pPr>
        <w:spacing w:line="480" w:lineRule="auto"/>
        <w:rPr>
          <w:b/>
          <w:lang w:val="en-US"/>
        </w:rPr>
      </w:pPr>
      <w:r>
        <w:rPr>
          <w:b/>
          <w:lang w:val="en-US"/>
        </w:rPr>
        <w:t>5.1.1. Monoamine oxidase type A</w:t>
      </w:r>
    </w:p>
    <w:p w:rsidR="004E38C4" w:rsidRPr="00B26E04" w:rsidRDefault="0096787B" w:rsidP="00113B97">
      <w:pPr>
        <w:spacing w:line="480" w:lineRule="auto"/>
        <w:rPr>
          <w:lang w:val="en-US"/>
        </w:rPr>
      </w:pPr>
      <w:r>
        <w:rPr>
          <w:lang w:val="en-US"/>
        </w:rPr>
        <w:tab/>
      </w:r>
      <w:r w:rsidR="00B34C22" w:rsidRPr="00B26E04">
        <w:rPr>
          <w:lang w:val="en-US"/>
        </w:rPr>
        <w:t>The 5-HT catabolism is mainly regulated by the MAOA enzyme isoform which has stronger affinity for the 5-HT than the MAOB isoform (Shih and Chen</w:t>
      </w:r>
      <w:r w:rsidR="007A32B9" w:rsidRPr="00B26E04">
        <w:rPr>
          <w:lang w:val="en-US"/>
        </w:rPr>
        <w:t>,</w:t>
      </w:r>
      <w:r w:rsidR="00B34C22" w:rsidRPr="00B26E04">
        <w:rPr>
          <w:lang w:val="en-US"/>
        </w:rPr>
        <w:t xml:space="preserve"> 1999). </w:t>
      </w:r>
      <w:r w:rsidR="00AB59DE" w:rsidRPr="00B26E04">
        <w:rPr>
          <w:lang w:val="en-US"/>
        </w:rPr>
        <w:t xml:space="preserve">However, it was reported in rodent and human 5-HT neurons that </w:t>
      </w:r>
      <w:r w:rsidR="00AB59DE" w:rsidRPr="00B26E04">
        <w:rPr>
          <w:i/>
          <w:lang w:val="en-US"/>
        </w:rPr>
        <w:t>MAOB</w:t>
      </w:r>
      <w:r w:rsidR="00AB59DE" w:rsidRPr="00B26E04">
        <w:rPr>
          <w:lang w:val="en-US"/>
        </w:rPr>
        <w:t xml:space="preserve"> mRNA and protein are more highly expressed than MAOA (Levitt et al., 1982; </w:t>
      </w:r>
      <w:proofErr w:type="spellStart"/>
      <w:r w:rsidR="00AB59DE" w:rsidRPr="00B26E04">
        <w:rPr>
          <w:lang w:val="en-US"/>
        </w:rPr>
        <w:t>Luque</w:t>
      </w:r>
      <w:proofErr w:type="spellEnd"/>
      <w:r w:rsidR="00AB59DE" w:rsidRPr="00B26E04">
        <w:rPr>
          <w:lang w:val="en-US"/>
        </w:rPr>
        <w:t xml:space="preserve"> et al., 1995; Richards et al., 1992; </w:t>
      </w:r>
      <w:proofErr w:type="spellStart"/>
      <w:r w:rsidR="00AB59DE" w:rsidRPr="00B26E04">
        <w:rPr>
          <w:lang w:val="en-US"/>
        </w:rPr>
        <w:t>Saura</w:t>
      </w:r>
      <w:proofErr w:type="spellEnd"/>
      <w:r w:rsidR="00AB59DE" w:rsidRPr="00B26E04">
        <w:rPr>
          <w:lang w:val="en-US"/>
        </w:rPr>
        <w:t xml:space="preserve"> et al., 1992).</w:t>
      </w:r>
    </w:p>
    <w:p w:rsidR="00E04905" w:rsidRPr="00B26E04" w:rsidRDefault="00791D79" w:rsidP="00113B97">
      <w:pPr>
        <w:spacing w:line="480" w:lineRule="auto"/>
        <w:rPr>
          <w:lang w:val="en-US"/>
        </w:rPr>
      </w:pPr>
      <w:r w:rsidRPr="00B26E04">
        <w:rPr>
          <w:lang w:val="en-US"/>
        </w:rPr>
        <w:tab/>
        <w:t xml:space="preserve">The </w:t>
      </w:r>
      <w:r w:rsidRPr="00B26E04">
        <w:rPr>
          <w:i/>
          <w:lang w:val="en-US"/>
        </w:rPr>
        <w:t>MAOA</w:t>
      </w:r>
      <w:r w:rsidRPr="00B26E04">
        <w:rPr>
          <w:lang w:val="en-US"/>
        </w:rPr>
        <w:t xml:space="preserve"> gene has received the common nickname "warrior gene" (Lea and Chambers, 2007) and its mutations have been associated with </w:t>
      </w:r>
      <w:r w:rsidR="0096787B">
        <w:rPr>
          <w:lang w:val="en-US"/>
        </w:rPr>
        <w:t xml:space="preserve">antisocial behavior and </w:t>
      </w:r>
      <w:r w:rsidR="0096787B">
        <w:rPr>
          <w:lang w:val="en-US"/>
        </w:rPr>
        <w:lastRenderedPageBreak/>
        <w:t>aggression (</w:t>
      </w:r>
      <w:proofErr w:type="spellStart"/>
      <w:r w:rsidR="0096787B">
        <w:rPr>
          <w:lang w:val="en-US"/>
        </w:rPr>
        <w:t>Godar</w:t>
      </w:r>
      <w:proofErr w:type="spellEnd"/>
      <w:r w:rsidR="0096787B">
        <w:rPr>
          <w:lang w:val="en-US"/>
        </w:rPr>
        <w:t xml:space="preserve"> et al., 2016; McDermott et al., 2009) (Fig. 1). The MAOA enzyme is an </w:t>
      </w:r>
      <w:proofErr w:type="spellStart"/>
      <w:r w:rsidR="0096787B">
        <w:rPr>
          <w:lang w:val="en-US"/>
        </w:rPr>
        <w:t>amine:oxygen</w:t>
      </w:r>
      <w:proofErr w:type="spellEnd"/>
      <w:r w:rsidR="0096787B">
        <w:rPr>
          <w:lang w:val="en-US"/>
        </w:rPr>
        <w:t xml:space="preserve"> oxidoreductase (EC: 1.4.3.4) that catalyzes the oxidative deamination of neurotransmitters and biogenic amines, preferentially 5-HT, adrenaline and noradrenaline but it is also able to degrade DA, tyramine and tryptamine (Fowler and Tipton, 1984; Tipton, 1994). This enzyme is localized on the mitochondrial external membrane and in the CNS is mainly expressed in catecholaminergic neurons (Fowler et al., 1987; Thorpe et al., 1987; </w:t>
      </w:r>
      <w:proofErr w:type="spellStart"/>
      <w:r w:rsidR="0096787B">
        <w:rPr>
          <w:lang w:val="en-US"/>
        </w:rPr>
        <w:t>Westlund</w:t>
      </w:r>
      <w:proofErr w:type="spellEnd"/>
      <w:r w:rsidR="0096787B">
        <w:rPr>
          <w:lang w:val="en-US"/>
        </w:rPr>
        <w:t xml:space="preserve"> et al., 1985).</w:t>
      </w:r>
    </w:p>
    <w:p w:rsidR="00B04BD4" w:rsidRPr="00B26E04" w:rsidRDefault="00B04BD4" w:rsidP="00113B97">
      <w:pPr>
        <w:spacing w:line="480" w:lineRule="auto"/>
        <w:rPr>
          <w:b/>
          <w:lang w:val="en-US"/>
        </w:rPr>
      </w:pPr>
    </w:p>
    <w:p w:rsidR="00E04905" w:rsidRPr="00B26E04" w:rsidRDefault="0096787B" w:rsidP="00113B97">
      <w:pPr>
        <w:spacing w:line="480" w:lineRule="auto"/>
        <w:rPr>
          <w:b/>
          <w:lang w:val="en-US"/>
        </w:rPr>
      </w:pPr>
      <w:r>
        <w:rPr>
          <w:b/>
          <w:lang w:val="en-US"/>
        </w:rPr>
        <w:t>5.1.1.1. Mutations of monoamine oxidase type A gene</w:t>
      </w:r>
    </w:p>
    <w:p w:rsidR="00292F2E" w:rsidRPr="00B26E04" w:rsidDel="00D102D7" w:rsidRDefault="0096787B" w:rsidP="00113B97">
      <w:pPr>
        <w:spacing w:line="480" w:lineRule="auto"/>
        <w:rPr>
          <w:lang w:val="en-US"/>
        </w:rPr>
      </w:pPr>
      <w:r>
        <w:rPr>
          <w:lang w:val="en-US"/>
        </w:rPr>
        <w:tab/>
        <w:t xml:space="preserve">The </w:t>
      </w:r>
      <w:r>
        <w:rPr>
          <w:i/>
          <w:lang w:val="en-US"/>
        </w:rPr>
        <w:t>MAOA</w:t>
      </w:r>
      <w:r>
        <w:rPr>
          <w:lang w:val="en-US"/>
        </w:rPr>
        <w:t xml:space="preserve"> gene was identified </w:t>
      </w:r>
      <w:r w:rsidR="007B5CDD">
        <w:rPr>
          <w:lang w:val="en-US"/>
        </w:rPr>
        <w:t>on the</w:t>
      </w:r>
      <w:r>
        <w:rPr>
          <w:lang w:val="en-US"/>
        </w:rPr>
        <w:t xml:space="preserve"> X chromosome (Lan et al., 1989; Levy et al., 1989; </w:t>
      </w:r>
      <w:proofErr w:type="spellStart"/>
      <w:r>
        <w:rPr>
          <w:lang w:val="en-US"/>
        </w:rPr>
        <w:t>Pintar</w:t>
      </w:r>
      <w:proofErr w:type="spellEnd"/>
      <w:r>
        <w:rPr>
          <w:lang w:val="en-US"/>
        </w:rPr>
        <w:t xml:space="preserve"> et al., 1981; Sims et al., 1992), </w:t>
      </w:r>
      <w:r w:rsidR="001B7398">
        <w:rPr>
          <w:lang w:val="en-US"/>
        </w:rPr>
        <w:t xml:space="preserve">at position </w:t>
      </w:r>
      <w:r>
        <w:rPr>
          <w:lang w:val="en-US"/>
        </w:rPr>
        <w:t xml:space="preserve">Xp11.3 (Gene ID: 4128). The upstream regulatory region of the </w:t>
      </w:r>
      <w:r>
        <w:rPr>
          <w:i/>
          <w:lang w:val="en-US"/>
        </w:rPr>
        <w:t>MAOA</w:t>
      </w:r>
      <w:r>
        <w:rPr>
          <w:lang w:val="en-US"/>
        </w:rPr>
        <w:t xml:space="preserve"> gene contains a 30 base pair variable number tandem repeats (the </w:t>
      </w:r>
      <w:r>
        <w:rPr>
          <w:i/>
          <w:lang w:val="en-US"/>
        </w:rPr>
        <w:t>MAOA-</w:t>
      </w:r>
      <w:proofErr w:type="spellStart"/>
      <w:r>
        <w:rPr>
          <w:lang w:val="en-US"/>
        </w:rPr>
        <w:t>uVNTR</w:t>
      </w:r>
      <w:proofErr w:type="spellEnd"/>
      <w:r>
        <w:rPr>
          <w:lang w:val="en-US"/>
        </w:rPr>
        <w:t>) sequence, that might consist of 2-, 3-, 3.5-, 4-, and 5-repeats (</w:t>
      </w:r>
      <w:proofErr w:type="spellStart"/>
      <w:r>
        <w:rPr>
          <w:lang w:val="en-US"/>
        </w:rPr>
        <w:t>Deckert</w:t>
      </w:r>
      <w:proofErr w:type="spellEnd"/>
      <w:r>
        <w:rPr>
          <w:lang w:val="en-US"/>
        </w:rPr>
        <w:t xml:space="preserve"> et al., 1999; Sabol et al., 1998). This functional polymorphism strongly influences the transcription efficiency of MAOA enzyme (Table 1).</w:t>
      </w:r>
    </w:p>
    <w:p w:rsidR="00292F2E" w:rsidRPr="00B26E04" w:rsidDel="00D102D7" w:rsidRDefault="0096787B" w:rsidP="00113B97">
      <w:pPr>
        <w:spacing w:line="480" w:lineRule="auto"/>
        <w:rPr>
          <w:lang w:val="en-US"/>
        </w:rPr>
      </w:pPr>
      <w:r>
        <w:rPr>
          <w:lang w:val="en-US"/>
        </w:rPr>
        <w:tab/>
        <w:t xml:space="preserve">In human cell lines, alleles with 3.5 or 4 copies transcribed the </w:t>
      </w:r>
      <w:r>
        <w:rPr>
          <w:i/>
          <w:lang w:val="en-US"/>
        </w:rPr>
        <w:t>MAOA</w:t>
      </w:r>
      <w:r>
        <w:rPr>
          <w:lang w:val="en-US"/>
        </w:rPr>
        <w:t xml:space="preserve"> gene several times more efficiently relative to those with 3 or 5 copies (Denney et al., 1999; Sabol et al., 1998). </w:t>
      </w:r>
      <w:proofErr w:type="spellStart"/>
      <w:r>
        <w:rPr>
          <w:lang w:val="en-US"/>
        </w:rPr>
        <w:t>Deckert</w:t>
      </w:r>
      <w:proofErr w:type="spellEnd"/>
      <w:r>
        <w:rPr>
          <w:lang w:val="en-US"/>
        </w:rPr>
        <w:t xml:space="preserve"> and colleagues showed by functional assays that, in humans, alleles with 3.5-, 4-, and 5-repeats were more active than 3-repeats allele, which was associated with reduced transcription and therefore reduced activity of MAOA enzyme (</w:t>
      </w:r>
      <w:proofErr w:type="spellStart"/>
      <w:r>
        <w:rPr>
          <w:lang w:val="en-US"/>
        </w:rPr>
        <w:t>Deckert</w:t>
      </w:r>
      <w:proofErr w:type="spellEnd"/>
      <w:r>
        <w:rPr>
          <w:lang w:val="en-US"/>
        </w:rPr>
        <w:t xml:space="preserve"> et al., 1999). The 3- and 4-repeats alleles are the most common in several populations, while other copy number variations are sporadic (</w:t>
      </w:r>
      <w:proofErr w:type="spellStart"/>
      <w:r>
        <w:rPr>
          <w:lang w:val="en-US"/>
        </w:rPr>
        <w:t>Deckert</w:t>
      </w:r>
      <w:proofErr w:type="spellEnd"/>
      <w:r>
        <w:rPr>
          <w:lang w:val="en-US"/>
        </w:rPr>
        <w:t xml:space="preserve"> et al., 1999). This way, high and low transcriptional efficiency variants of </w:t>
      </w:r>
      <w:r>
        <w:rPr>
          <w:i/>
          <w:lang w:val="en-US"/>
        </w:rPr>
        <w:t>MAOA</w:t>
      </w:r>
      <w:r>
        <w:rPr>
          <w:lang w:val="en-US"/>
        </w:rPr>
        <w:t xml:space="preserve"> gene were identified: </w:t>
      </w:r>
      <w:r>
        <w:rPr>
          <w:i/>
          <w:lang w:val="en-US"/>
        </w:rPr>
        <w:t>MAOA-H</w:t>
      </w:r>
      <w:r>
        <w:rPr>
          <w:lang w:val="en-US"/>
        </w:rPr>
        <w:t xml:space="preserve"> refers to high-expression allele characterized by 3.5- or 4-repeats, and </w:t>
      </w:r>
      <w:r>
        <w:rPr>
          <w:i/>
          <w:lang w:val="en-US"/>
        </w:rPr>
        <w:t>MAOA-L</w:t>
      </w:r>
      <w:r>
        <w:rPr>
          <w:lang w:val="en-US"/>
        </w:rPr>
        <w:t xml:space="preserve"> refers to low-expression allele with 3- or 5-repeats (Sabol et al., 1998).</w:t>
      </w:r>
    </w:p>
    <w:p w:rsidR="00292F2E" w:rsidRPr="00B26E04" w:rsidRDefault="0096787B" w:rsidP="00113B97">
      <w:pPr>
        <w:spacing w:line="480" w:lineRule="auto"/>
        <w:rPr>
          <w:lang w:val="en-US"/>
        </w:rPr>
      </w:pPr>
      <w:r>
        <w:rPr>
          <w:lang w:val="en-US"/>
        </w:rPr>
        <w:lastRenderedPageBreak/>
        <w:tab/>
        <w:t xml:space="preserve">Since </w:t>
      </w:r>
      <w:r>
        <w:rPr>
          <w:i/>
          <w:lang w:val="en-US"/>
        </w:rPr>
        <w:t>MAOA</w:t>
      </w:r>
      <w:r>
        <w:rPr>
          <w:lang w:val="en-US"/>
        </w:rPr>
        <w:t xml:space="preserve"> is a X-linked gene, males carry only one allele and can thus be only</w:t>
      </w:r>
      <w:r>
        <w:rPr>
          <w:i/>
          <w:lang w:val="en-US"/>
        </w:rPr>
        <w:t xml:space="preserve"> MAOA-L</w:t>
      </w:r>
      <w:r>
        <w:rPr>
          <w:lang w:val="en-US"/>
        </w:rPr>
        <w:t xml:space="preserve"> or </w:t>
      </w:r>
      <w:r>
        <w:rPr>
          <w:i/>
          <w:lang w:val="en-US"/>
        </w:rPr>
        <w:t>MAOA-H</w:t>
      </w:r>
      <w:r>
        <w:rPr>
          <w:lang w:val="en-US"/>
        </w:rPr>
        <w:t xml:space="preserve">; on the other side, females carry two alleles and thus can have two </w:t>
      </w:r>
      <w:r>
        <w:rPr>
          <w:i/>
          <w:lang w:val="en-US"/>
        </w:rPr>
        <w:t>MAOA-L</w:t>
      </w:r>
      <w:r>
        <w:rPr>
          <w:lang w:val="en-US"/>
        </w:rPr>
        <w:t xml:space="preserve"> alleles, two </w:t>
      </w:r>
      <w:r>
        <w:rPr>
          <w:i/>
          <w:lang w:val="en-US"/>
        </w:rPr>
        <w:t>MAOA-H</w:t>
      </w:r>
      <w:r>
        <w:rPr>
          <w:lang w:val="en-US"/>
        </w:rPr>
        <w:t xml:space="preserve"> alleles, or one of each (</w:t>
      </w:r>
      <w:r>
        <w:rPr>
          <w:i/>
          <w:lang w:val="en-US"/>
        </w:rPr>
        <w:t>MAOA-LH</w:t>
      </w:r>
      <w:r>
        <w:rPr>
          <w:lang w:val="en-US"/>
        </w:rPr>
        <w:t xml:space="preserve">). Converging evidence indicates that this functional polymorphism has a strong influence on serotonergic function both </w:t>
      </w:r>
      <w:r>
        <w:rPr>
          <w:i/>
          <w:lang w:val="en-US"/>
        </w:rPr>
        <w:t>in vitro</w:t>
      </w:r>
      <w:r>
        <w:rPr>
          <w:lang w:val="en-US"/>
        </w:rPr>
        <w:t xml:space="preserve"> and </w:t>
      </w:r>
      <w:r>
        <w:rPr>
          <w:i/>
          <w:lang w:val="en-US"/>
        </w:rPr>
        <w:t>in vivo</w:t>
      </w:r>
      <w:r>
        <w:rPr>
          <w:lang w:val="en-US"/>
        </w:rPr>
        <w:t xml:space="preserve"> (Denney et al., 1999; </w:t>
      </w:r>
      <w:proofErr w:type="spellStart"/>
      <w:r>
        <w:rPr>
          <w:lang w:val="en-US"/>
        </w:rPr>
        <w:t>Manuck</w:t>
      </w:r>
      <w:proofErr w:type="spellEnd"/>
      <w:r>
        <w:rPr>
          <w:lang w:val="en-US"/>
        </w:rPr>
        <w:t xml:space="preserve"> et al., 2000; Sabol et al., 1998). It is likely that low level of MAOA enzyme, derived from the </w:t>
      </w:r>
      <w:r>
        <w:rPr>
          <w:i/>
          <w:lang w:val="en-US"/>
        </w:rPr>
        <w:t>MAOA-L</w:t>
      </w:r>
      <w:r>
        <w:rPr>
          <w:lang w:val="en-US"/>
        </w:rPr>
        <w:t xml:space="preserve"> variant, induces a reduction in the degradation rate of 5-HT and other substrates leading to excessive levels mainly of 5-HT; conversely, high level of MAOA enzyme, due to </w:t>
      </w:r>
      <w:r>
        <w:rPr>
          <w:i/>
          <w:lang w:val="en-US"/>
        </w:rPr>
        <w:t>MAOA-H</w:t>
      </w:r>
      <w:r>
        <w:rPr>
          <w:lang w:val="en-US"/>
        </w:rPr>
        <w:t xml:space="preserve"> variant, is associated with lower concentration of 5-HT and other MAOA substrates (Table 1). In line with this idea, </w:t>
      </w:r>
      <w:proofErr w:type="spellStart"/>
      <w:r>
        <w:rPr>
          <w:i/>
          <w:lang w:val="en-US"/>
        </w:rPr>
        <w:t>Maoa</w:t>
      </w:r>
      <w:proofErr w:type="spellEnd"/>
      <w:r>
        <w:rPr>
          <w:lang w:val="en-US"/>
        </w:rPr>
        <w:t xml:space="preserve"> knock-out mice were found to exhibit pronounced elevations of synaptic 5-HT levels (</w:t>
      </w:r>
      <w:proofErr w:type="spellStart"/>
      <w:r>
        <w:rPr>
          <w:lang w:val="en-US"/>
        </w:rPr>
        <w:t>Godar</w:t>
      </w:r>
      <w:proofErr w:type="spellEnd"/>
      <w:r>
        <w:rPr>
          <w:lang w:val="en-US"/>
        </w:rPr>
        <w:t xml:space="preserve"> et al., 2014, 2016).</w:t>
      </w:r>
    </w:p>
    <w:p w:rsidR="00933BDE" w:rsidRPr="00B26E04" w:rsidRDefault="00933BDE" w:rsidP="00113B97">
      <w:pPr>
        <w:spacing w:line="480" w:lineRule="auto"/>
        <w:rPr>
          <w:lang w:val="en-US"/>
        </w:rPr>
      </w:pPr>
    </w:p>
    <w:p w:rsidR="00556B06" w:rsidRPr="00B26E04" w:rsidRDefault="0096787B" w:rsidP="00113B97">
      <w:pPr>
        <w:spacing w:line="480" w:lineRule="auto"/>
        <w:rPr>
          <w:b/>
          <w:lang w:val="en-US"/>
        </w:rPr>
      </w:pPr>
      <w:r>
        <w:rPr>
          <w:b/>
          <w:lang w:val="en-US"/>
        </w:rPr>
        <w:t>5.1.1.2. Effects of monoamine oxidase type A gene mutations on brain and aggression</w:t>
      </w:r>
    </w:p>
    <w:p w:rsidR="00E04905" w:rsidRPr="00B26E04" w:rsidRDefault="0096787B" w:rsidP="00113B97">
      <w:pPr>
        <w:spacing w:line="480" w:lineRule="auto"/>
        <w:rPr>
          <w:lang w:val="en-US"/>
        </w:rPr>
      </w:pPr>
      <w:r>
        <w:rPr>
          <w:lang w:val="en-US"/>
        </w:rPr>
        <w:tab/>
        <w:t xml:space="preserve">Low activity </w:t>
      </w:r>
      <w:r>
        <w:rPr>
          <w:i/>
          <w:lang w:val="en-US"/>
        </w:rPr>
        <w:t>MAOA</w:t>
      </w:r>
      <w:r>
        <w:rPr>
          <w:lang w:val="en-US"/>
        </w:rPr>
        <w:t xml:space="preserve"> allelic variant was found to be more frequent in male incarcerated for </w:t>
      </w:r>
      <w:r w:rsidR="002C235C">
        <w:rPr>
          <w:lang w:val="en-US"/>
        </w:rPr>
        <w:t xml:space="preserve">violent </w:t>
      </w:r>
      <w:r>
        <w:rPr>
          <w:lang w:val="en-US"/>
        </w:rPr>
        <w:t xml:space="preserve">aggressions, indicating that this genotype could represent a risk factor among male offenders or at least a prominent genetic determinant for criminal </w:t>
      </w:r>
      <w:r>
        <w:rPr>
          <w:rFonts w:cs="Arial"/>
          <w:lang w:val="en-US"/>
        </w:rPr>
        <w:t>aggressive</w:t>
      </w:r>
      <w:r>
        <w:rPr>
          <w:lang w:val="en-US"/>
        </w:rPr>
        <w:t xml:space="preserve"> and antisocial behavior (</w:t>
      </w:r>
      <w:proofErr w:type="spellStart"/>
      <w:r>
        <w:rPr>
          <w:lang w:val="en-US"/>
        </w:rPr>
        <w:t>Stetler</w:t>
      </w:r>
      <w:proofErr w:type="spellEnd"/>
      <w:r>
        <w:rPr>
          <w:lang w:val="en-US"/>
        </w:rPr>
        <w:t xml:space="preserve"> et al., 2014). This genotype is associated with high levels of impulsivity in male offenders, and with increased risk of joining a gang and using a weapon during a fight in males but not in females (Beaver et al., 2010; </w:t>
      </w:r>
      <w:proofErr w:type="spellStart"/>
      <w:r>
        <w:rPr>
          <w:lang w:val="en-US"/>
        </w:rPr>
        <w:t>Stetler</w:t>
      </w:r>
      <w:proofErr w:type="spellEnd"/>
      <w:r>
        <w:rPr>
          <w:lang w:val="en-US"/>
        </w:rPr>
        <w:t xml:space="preserve"> et al., 2014). From 1995 to 2016 the </w:t>
      </w:r>
      <w:r>
        <w:rPr>
          <w:i/>
          <w:lang w:val="en-US"/>
        </w:rPr>
        <w:t>MAOA-L</w:t>
      </w:r>
      <w:r>
        <w:rPr>
          <w:lang w:val="en-US"/>
        </w:rPr>
        <w:t xml:space="preserve"> genotype was included in 11 criminal proceedings (9 U.S. and 2 Italian), and in sentencing phase of four cases this genotype evidence resulted in a lesser charge or sentence reduction (</w:t>
      </w:r>
      <w:proofErr w:type="spellStart"/>
      <w:r>
        <w:rPr>
          <w:lang w:val="en-US"/>
        </w:rPr>
        <w:t>McSwiggan</w:t>
      </w:r>
      <w:proofErr w:type="spellEnd"/>
      <w:r>
        <w:rPr>
          <w:lang w:val="en-US"/>
        </w:rPr>
        <w:t xml:space="preserve"> et al., 2017; </w:t>
      </w:r>
      <w:proofErr w:type="spellStart"/>
      <w:r>
        <w:rPr>
          <w:lang w:val="en-US"/>
        </w:rPr>
        <w:t>Sirgiovanni</w:t>
      </w:r>
      <w:proofErr w:type="spellEnd"/>
      <w:r>
        <w:rPr>
          <w:lang w:val="en-US"/>
        </w:rPr>
        <w:t xml:space="preserve"> et al., 2016). This despite the clear scientific evidence that a polymorphism in a single gene can be considered</w:t>
      </w:r>
      <w:r w:rsidR="003A6F19">
        <w:rPr>
          <w:lang w:val="en-US"/>
        </w:rPr>
        <w:t xml:space="preserve"> causative of a complex behavio</w:t>
      </w:r>
      <w:r>
        <w:rPr>
          <w:lang w:val="en-US"/>
        </w:rPr>
        <w:t>r like aggression.</w:t>
      </w:r>
    </w:p>
    <w:p w:rsidR="00E04905" w:rsidRPr="00B26E04" w:rsidRDefault="0096787B" w:rsidP="00113B97">
      <w:pPr>
        <w:spacing w:line="480" w:lineRule="auto"/>
        <w:rPr>
          <w:lang w:val="en-US"/>
        </w:rPr>
      </w:pPr>
      <w:r>
        <w:rPr>
          <w:lang w:val="en-US"/>
        </w:rPr>
        <w:tab/>
        <w:t xml:space="preserve">The </w:t>
      </w:r>
      <w:r>
        <w:rPr>
          <w:i/>
          <w:lang w:val="en-US"/>
        </w:rPr>
        <w:t>MAOA</w:t>
      </w:r>
      <w:r>
        <w:rPr>
          <w:lang w:val="en-US"/>
        </w:rPr>
        <w:t xml:space="preserve"> genotype influences the mechanisms of anger control. Studies on normal subjects (both males and females) indicated that </w:t>
      </w:r>
      <w:r>
        <w:rPr>
          <w:i/>
          <w:lang w:val="en-US"/>
        </w:rPr>
        <w:t>MAOA-L</w:t>
      </w:r>
      <w:r>
        <w:rPr>
          <w:lang w:val="en-US"/>
        </w:rPr>
        <w:t xml:space="preserve"> individuals have higher trait of </w:t>
      </w:r>
      <w:r>
        <w:rPr>
          <w:lang w:val="en-US"/>
        </w:rPr>
        <w:lastRenderedPageBreak/>
        <w:t xml:space="preserve">aggression than those with </w:t>
      </w:r>
      <w:r>
        <w:rPr>
          <w:i/>
          <w:lang w:val="en-US"/>
        </w:rPr>
        <w:t xml:space="preserve">MAOA-H </w:t>
      </w:r>
      <w:r>
        <w:rPr>
          <w:lang w:val="en-US"/>
        </w:rPr>
        <w:t xml:space="preserve">(Eisenberger et al., 2007). Low expression of </w:t>
      </w:r>
      <w:r>
        <w:rPr>
          <w:i/>
          <w:lang w:val="en-US"/>
        </w:rPr>
        <w:t>MAOA</w:t>
      </w:r>
      <w:r>
        <w:rPr>
          <w:lang w:val="en-US"/>
        </w:rPr>
        <w:t xml:space="preserve"> is also linked to higher trait of interpersonal hypersensitivity than </w:t>
      </w:r>
      <w:r>
        <w:rPr>
          <w:i/>
          <w:lang w:val="en-US"/>
        </w:rPr>
        <w:t>MAOA-H</w:t>
      </w:r>
      <w:r>
        <w:rPr>
          <w:lang w:val="en-US"/>
        </w:rPr>
        <w:t xml:space="preserve">, and to significantly greater dorsal anterior cingulate cortex activity in response to tasks that assess social exclusion. This suggests that increased aggressiveness of </w:t>
      </w:r>
      <w:r>
        <w:rPr>
          <w:i/>
          <w:lang w:val="en-US"/>
        </w:rPr>
        <w:t>MAOA-L</w:t>
      </w:r>
      <w:r>
        <w:rPr>
          <w:lang w:val="en-US"/>
        </w:rPr>
        <w:t xml:space="preserve"> carriers could be partially mediated by heightened interpersonal sensitivity to negative socioemotional experience (Eisenberger et al., 2007). This could be of particular interest for the courtroom scientists during the evaluation of the effects of gene-environment interactions on offenders, despite the caveats of a causative </w:t>
      </w:r>
      <w:r>
        <w:rPr>
          <w:i/>
          <w:lang w:val="en-US"/>
        </w:rPr>
        <w:t>vs.</w:t>
      </w:r>
      <w:r>
        <w:rPr>
          <w:lang w:val="en-US"/>
        </w:rPr>
        <w:t xml:space="preserve"> a risk factor gene that we have discussed above. In particular, in normal </w:t>
      </w:r>
      <w:r>
        <w:rPr>
          <w:i/>
          <w:lang w:val="en-US"/>
        </w:rPr>
        <w:t>MAOA-L</w:t>
      </w:r>
      <w:r>
        <w:rPr>
          <w:lang w:val="en-US"/>
        </w:rPr>
        <w:t xml:space="preserve"> male subjects, this aggressive behavior was more evident during high provocation situation (</w:t>
      </w:r>
      <w:proofErr w:type="spellStart"/>
      <w:r>
        <w:rPr>
          <w:lang w:val="en-US"/>
        </w:rPr>
        <w:t>Kuepper</w:t>
      </w:r>
      <w:proofErr w:type="spellEnd"/>
      <w:r>
        <w:rPr>
          <w:lang w:val="en-US"/>
        </w:rPr>
        <w:t xml:space="preserve"> et al., 2013; McDermott et al., 2009). Additionally, </w:t>
      </w:r>
      <w:r>
        <w:rPr>
          <w:i/>
          <w:lang w:val="en-US"/>
        </w:rPr>
        <w:t>MAOA</w:t>
      </w:r>
      <w:r>
        <w:rPr>
          <w:lang w:val="en-US"/>
        </w:rPr>
        <w:t xml:space="preserve"> genotype could also predict the probability of serious </w:t>
      </w:r>
      <w:r>
        <w:rPr>
          <w:rFonts w:cs="Arial"/>
          <w:lang w:val="en-US"/>
        </w:rPr>
        <w:t>aggressive</w:t>
      </w:r>
      <w:r w:rsidR="002C235C">
        <w:rPr>
          <w:rFonts w:cs="Arial"/>
          <w:lang w:val="en-US"/>
        </w:rPr>
        <w:t xml:space="preserve"> and violent</w:t>
      </w:r>
      <w:r>
        <w:rPr>
          <w:rFonts w:cs="Arial"/>
          <w:lang w:val="en-US"/>
        </w:rPr>
        <w:t xml:space="preserve"> </w:t>
      </w:r>
      <w:r>
        <w:rPr>
          <w:lang w:val="en-US"/>
        </w:rPr>
        <w:t xml:space="preserve">attitude, since Afro-Americans males with 2-repeats alleles (namely, the </w:t>
      </w:r>
      <w:r>
        <w:rPr>
          <w:i/>
          <w:lang w:val="en-US"/>
        </w:rPr>
        <w:t>MAOA-L</w:t>
      </w:r>
      <w:r>
        <w:rPr>
          <w:lang w:val="en-US"/>
        </w:rPr>
        <w:t xml:space="preserve"> allele) showed an increased risk of shooting or stabbing someone (Beaver et al., 2014). However, the limitations of the mentioned studies </w:t>
      </w:r>
      <w:r w:rsidR="007B5CDD">
        <w:rPr>
          <w:lang w:val="en-US"/>
        </w:rPr>
        <w:t xml:space="preserve">are </w:t>
      </w:r>
      <w:r>
        <w:rPr>
          <w:lang w:val="en-US"/>
        </w:rPr>
        <w:t>the low sample size and reproducibility of results across different groups. Therefore</w:t>
      </w:r>
      <w:r w:rsidR="007B5CDD">
        <w:rPr>
          <w:lang w:val="en-US"/>
        </w:rPr>
        <w:t>,</w:t>
      </w:r>
      <w:r>
        <w:rPr>
          <w:lang w:val="en-US"/>
        </w:rPr>
        <w:t xml:space="preserve"> studies involving higher number of subjects are needed to obtain results suitable for evaluations in courtroom cases.</w:t>
      </w:r>
    </w:p>
    <w:p w:rsidR="00F42B42" w:rsidRPr="00B26E04" w:rsidRDefault="0096787B" w:rsidP="00113B97">
      <w:pPr>
        <w:widowControl w:val="0"/>
        <w:autoSpaceDE w:val="0"/>
        <w:autoSpaceDN w:val="0"/>
        <w:adjustRightInd w:val="0"/>
        <w:spacing w:line="480" w:lineRule="auto"/>
        <w:rPr>
          <w:lang w:val="en-US"/>
        </w:rPr>
      </w:pPr>
      <w:r>
        <w:rPr>
          <w:lang w:val="en-US"/>
        </w:rPr>
        <w:tab/>
        <w:t xml:space="preserve">The relationship between </w:t>
      </w:r>
      <w:r>
        <w:rPr>
          <w:i/>
          <w:lang w:val="en-US"/>
        </w:rPr>
        <w:t>MAOA-L</w:t>
      </w:r>
      <w:r>
        <w:rPr>
          <w:lang w:val="en-US"/>
        </w:rPr>
        <w:t xml:space="preserve"> genotype and aggression could be mediated by genotype-morpho-functional abnormalities in cortico-limbic structures linked with moral behavior (Fig. 1). The cortico-limbic functional connectivity involving prefrontal cortex and amygdala (a circuit involved in the suppression of aggressiveness and modulated by 5-HT) in </w:t>
      </w:r>
      <w:r>
        <w:rPr>
          <w:i/>
          <w:lang w:val="en-US"/>
        </w:rPr>
        <w:t>MAOA-L</w:t>
      </w:r>
      <w:r>
        <w:rPr>
          <w:lang w:val="en-US"/>
        </w:rPr>
        <w:t xml:space="preserve"> carriers is more susceptible to alterations of 5-HT levels (as consequence of acute tryptophan depletion) than in </w:t>
      </w:r>
      <w:r>
        <w:rPr>
          <w:i/>
          <w:lang w:val="en-US"/>
        </w:rPr>
        <w:t>MAOA-H</w:t>
      </w:r>
      <w:r>
        <w:rPr>
          <w:lang w:val="en-US"/>
        </w:rPr>
        <w:t xml:space="preserve"> subjects, and this could explain the higher vulnerability to external stressors in </w:t>
      </w:r>
      <w:r>
        <w:rPr>
          <w:i/>
          <w:lang w:val="en-US"/>
        </w:rPr>
        <w:t>MAOA-L</w:t>
      </w:r>
      <w:r>
        <w:rPr>
          <w:lang w:val="en-US"/>
        </w:rPr>
        <w:t xml:space="preserve"> carriers which may contribute to antisocial behaviors (Eisner et al., 2017). The </w:t>
      </w:r>
      <w:r>
        <w:rPr>
          <w:rFonts w:cs="Arial"/>
          <w:lang w:val="en-US"/>
        </w:rPr>
        <w:t>anterior cingulate cortex</w:t>
      </w:r>
      <w:r>
        <w:rPr>
          <w:lang w:val="en-US"/>
        </w:rPr>
        <w:t xml:space="preserve"> has a specific role in </w:t>
      </w:r>
      <w:r>
        <w:rPr>
          <w:i/>
          <w:lang w:val="en-US"/>
        </w:rPr>
        <w:t>MAOA-L</w:t>
      </w:r>
      <w:r>
        <w:rPr>
          <w:lang w:val="en-US"/>
        </w:rPr>
        <w:t xml:space="preserve"> related aggression; this is consistent with functional imaging studies suggesting that the activity of dorsal anterior cingulate cortex was greater in individuals with </w:t>
      </w:r>
      <w:r>
        <w:rPr>
          <w:i/>
          <w:lang w:val="en-US"/>
        </w:rPr>
        <w:t>MAOA-L</w:t>
      </w:r>
      <w:r>
        <w:rPr>
          <w:lang w:val="en-US"/>
        </w:rPr>
        <w:t xml:space="preserve"> allele than </w:t>
      </w:r>
      <w:r>
        <w:rPr>
          <w:lang w:val="en-US"/>
        </w:rPr>
        <w:lastRenderedPageBreak/>
        <w:t xml:space="preserve">in those with </w:t>
      </w:r>
      <w:r>
        <w:rPr>
          <w:i/>
          <w:lang w:val="en-US"/>
        </w:rPr>
        <w:t>MAOA-H</w:t>
      </w:r>
      <w:r>
        <w:rPr>
          <w:lang w:val="en-US"/>
        </w:rPr>
        <w:t xml:space="preserve"> or </w:t>
      </w:r>
      <w:r>
        <w:rPr>
          <w:i/>
          <w:lang w:val="en-US"/>
        </w:rPr>
        <w:t>MAOA-LH</w:t>
      </w:r>
      <w:r>
        <w:rPr>
          <w:lang w:val="en-US"/>
        </w:rPr>
        <w:t xml:space="preserve"> alleles during social exclusion (Eisenberger et al., 2007) and in response to verbal insults (Denson et al., 2014). During anger control experiments, men with </w:t>
      </w:r>
      <w:r>
        <w:rPr>
          <w:i/>
          <w:lang w:val="en-US"/>
        </w:rPr>
        <w:t>MAOA-H</w:t>
      </w:r>
      <w:r>
        <w:rPr>
          <w:lang w:val="en-US"/>
        </w:rPr>
        <w:t xml:space="preserve"> allele showed a functional decoupling between amygdala and dorsal anterior cingulate cortex after the insults, while men with </w:t>
      </w:r>
      <w:r>
        <w:rPr>
          <w:i/>
          <w:lang w:val="en-US"/>
        </w:rPr>
        <w:t>MAOA-L</w:t>
      </w:r>
      <w:r>
        <w:rPr>
          <w:lang w:val="en-US"/>
        </w:rPr>
        <w:t xml:space="preserve"> allele did not; additionally, men with </w:t>
      </w:r>
      <w:r>
        <w:rPr>
          <w:i/>
          <w:lang w:val="en-US"/>
        </w:rPr>
        <w:t>MAOA-L</w:t>
      </w:r>
      <w:r>
        <w:rPr>
          <w:lang w:val="en-US"/>
        </w:rPr>
        <w:t xml:space="preserve"> allele showed increased activation of dorsal anterior cingulate cortex and amygdala after the insult, as opposite to </w:t>
      </w:r>
      <w:r>
        <w:rPr>
          <w:i/>
          <w:lang w:val="en-US"/>
        </w:rPr>
        <w:t>MAOA-H</w:t>
      </w:r>
      <w:r>
        <w:rPr>
          <w:lang w:val="en-US"/>
        </w:rPr>
        <w:t xml:space="preserve"> men (Denson et al., 2014). Furthermore, structural studies showed the greatest gray matter volume reduction in entire cingulate gyrus, with a maximum in the anterior cingulate cortex, of </w:t>
      </w:r>
      <w:r>
        <w:rPr>
          <w:i/>
          <w:lang w:val="en-US"/>
        </w:rPr>
        <w:t>MAOA-L</w:t>
      </w:r>
      <w:r>
        <w:rPr>
          <w:lang w:val="en-US"/>
        </w:rPr>
        <w:t xml:space="preserve"> healthy carriers if compared to </w:t>
      </w:r>
      <w:r>
        <w:rPr>
          <w:i/>
          <w:lang w:val="en-US"/>
        </w:rPr>
        <w:t>MAOA-H</w:t>
      </w:r>
      <w:r>
        <w:rPr>
          <w:lang w:val="en-US"/>
        </w:rPr>
        <w:t xml:space="preserve"> subjects (Meyer-Lindenberg et al., 2006). It is important to consider that this brain region has relatively high concentrations of MAOA enzymes (</w:t>
      </w:r>
      <w:proofErr w:type="spellStart"/>
      <w:r>
        <w:rPr>
          <w:lang w:val="en-US"/>
        </w:rPr>
        <w:t>Ginovart</w:t>
      </w:r>
      <w:proofErr w:type="spellEnd"/>
      <w:r>
        <w:rPr>
          <w:lang w:val="en-US"/>
        </w:rPr>
        <w:t xml:space="preserve"> et al., 2006). The anterior cingulate cortex is not the only brain area targeted by specific changes influenced by </w:t>
      </w:r>
      <w:r>
        <w:rPr>
          <w:i/>
          <w:lang w:val="en-US"/>
        </w:rPr>
        <w:t>MAOA</w:t>
      </w:r>
      <w:r>
        <w:rPr>
          <w:lang w:val="en-US"/>
        </w:rPr>
        <w:t xml:space="preserve"> genotype; significant gray matter volume reduction was also observed in bilateral amygdala of </w:t>
      </w:r>
      <w:r>
        <w:rPr>
          <w:i/>
          <w:lang w:val="en-US"/>
        </w:rPr>
        <w:t>MAOA-L</w:t>
      </w:r>
      <w:r>
        <w:rPr>
          <w:lang w:val="en-US"/>
        </w:rPr>
        <w:t xml:space="preserve"> subjects, compared to individuals with </w:t>
      </w:r>
      <w:r>
        <w:rPr>
          <w:i/>
          <w:lang w:val="en-US"/>
        </w:rPr>
        <w:t>MAOA-H</w:t>
      </w:r>
      <w:r>
        <w:rPr>
          <w:lang w:val="en-US"/>
        </w:rPr>
        <w:t xml:space="preserve"> variant, in addition to significant reductions in insula and hypothalamus (Meyer-Lindenberg et al., 2006). The </w:t>
      </w:r>
      <w:r>
        <w:rPr>
          <w:i/>
          <w:lang w:val="en-US"/>
        </w:rPr>
        <w:t>MAOA-L</w:t>
      </w:r>
      <w:r>
        <w:rPr>
          <w:lang w:val="en-US"/>
        </w:rPr>
        <w:t xml:space="preserve"> genotype also modulates the activity of limbic and paralimbic regions, increasing the activity of left amygdala and dorsal anterior cingulate cortex, as described before (Denson et al., 2014; Meyer-Lindenberg et al., 2006), and decreasing response of </w:t>
      </w:r>
      <w:proofErr w:type="spellStart"/>
      <w:r>
        <w:rPr>
          <w:lang w:val="en-US"/>
        </w:rPr>
        <w:t>subgenual</w:t>
      </w:r>
      <w:proofErr w:type="spellEnd"/>
      <w:r>
        <w:rPr>
          <w:lang w:val="en-US"/>
        </w:rPr>
        <w:t xml:space="preserve"> and </w:t>
      </w:r>
      <w:proofErr w:type="spellStart"/>
      <w:r>
        <w:rPr>
          <w:lang w:val="en-US"/>
        </w:rPr>
        <w:t>supragenual</w:t>
      </w:r>
      <w:proofErr w:type="spellEnd"/>
      <w:r>
        <w:rPr>
          <w:lang w:val="en-US"/>
        </w:rPr>
        <w:t xml:space="preserve"> ventral cingulate cortex, left lateral orbitofrontal cortex and left insular cortex during emotional arousal, relative to </w:t>
      </w:r>
      <w:r>
        <w:rPr>
          <w:i/>
          <w:lang w:val="en-US"/>
        </w:rPr>
        <w:t>MAOA-H</w:t>
      </w:r>
      <w:r>
        <w:rPr>
          <w:lang w:val="en-US"/>
        </w:rPr>
        <w:t xml:space="preserve"> subjects. Orbitofrontal cortex volume was increased in men with </w:t>
      </w:r>
      <w:r>
        <w:rPr>
          <w:i/>
          <w:lang w:val="en-US"/>
        </w:rPr>
        <w:t>MAOA-L</w:t>
      </w:r>
      <w:r>
        <w:rPr>
          <w:lang w:val="en-US"/>
        </w:rPr>
        <w:t xml:space="preserve"> genotype if compared to </w:t>
      </w:r>
      <w:r>
        <w:rPr>
          <w:i/>
          <w:lang w:val="en-US"/>
        </w:rPr>
        <w:t>MAOA-H</w:t>
      </w:r>
      <w:r>
        <w:rPr>
          <w:lang w:val="en-US"/>
        </w:rPr>
        <w:t xml:space="preserve"> men, whereas no genotype-dependent structural changes were present in this region of women. In addition, orbitofrontal cortex was less reactive in </w:t>
      </w:r>
      <w:r>
        <w:rPr>
          <w:i/>
          <w:lang w:val="en-US"/>
        </w:rPr>
        <w:t>MAOA-L</w:t>
      </w:r>
      <w:r>
        <w:rPr>
          <w:lang w:val="en-US"/>
        </w:rPr>
        <w:t xml:space="preserve"> carriers of both sexes and its overall connectivity with amygdala was significantly reduced in men when compared with women (Meyer-Lindenberg et al., 2006). The </w:t>
      </w:r>
      <w:r>
        <w:rPr>
          <w:i/>
          <w:lang w:val="en-US"/>
        </w:rPr>
        <w:t>MAOA</w:t>
      </w:r>
      <w:r>
        <w:rPr>
          <w:lang w:val="en-US"/>
        </w:rPr>
        <w:t xml:space="preserve"> genotype influences also spontaneous neuronal activity of the pons: fMRI revealed that male adolescents with </w:t>
      </w:r>
      <w:r>
        <w:rPr>
          <w:i/>
          <w:lang w:val="en-US"/>
        </w:rPr>
        <w:t>MAOA-L</w:t>
      </w:r>
      <w:r>
        <w:rPr>
          <w:lang w:val="en-US"/>
        </w:rPr>
        <w:t xml:space="preserve"> variant have impairment in the pons activity when compared to </w:t>
      </w:r>
      <w:r>
        <w:rPr>
          <w:lang w:val="en-US"/>
        </w:rPr>
        <w:lastRenderedPageBreak/>
        <w:t xml:space="preserve">that of </w:t>
      </w:r>
      <w:r>
        <w:rPr>
          <w:i/>
          <w:lang w:val="en-US"/>
        </w:rPr>
        <w:t>MAOA-H</w:t>
      </w:r>
      <w:r>
        <w:rPr>
          <w:lang w:val="en-US"/>
        </w:rPr>
        <w:t xml:space="preserve"> carriers. In this way, the lower pons activity of males with </w:t>
      </w:r>
      <w:r>
        <w:rPr>
          <w:i/>
          <w:lang w:val="en-US"/>
        </w:rPr>
        <w:t>MAOA-L</w:t>
      </w:r>
      <w:r>
        <w:rPr>
          <w:lang w:val="en-US"/>
        </w:rPr>
        <w:t xml:space="preserve"> variant may provide another neural mechanism by which </w:t>
      </w:r>
      <w:r>
        <w:rPr>
          <w:i/>
          <w:lang w:val="en-US"/>
        </w:rPr>
        <w:t>MAOA-L</w:t>
      </w:r>
      <w:r>
        <w:rPr>
          <w:lang w:val="en-US"/>
        </w:rPr>
        <w:t xml:space="preserve"> genotype can increase the risk for impulsivity and aggression (Lei et al., 2014). A speculative interpretation of these findings is that genetically-driven variability in the activity of the pontine nuclei synthesizing 5-HT and projecting to different cortical areas may mediate differences in social behavior and hence aggression. However, we acknowledge that due to the limited spatial and temporal resolution of the fMRI and imaging techniques it is not possible to conclude that these effects are truly serotoninergic in nature as other types of neurons (non-serotoninergic) may have contributed to these results. In addition, the serotonergic inputs t</w:t>
      </w:r>
      <w:r w:rsidR="005B625D">
        <w:rPr>
          <w:lang w:val="en-US"/>
        </w:rPr>
        <w:t>hat regulate aggressive behavio</w:t>
      </w:r>
      <w:r>
        <w:rPr>
          <w:lang w:val="en-US"/>
        </w:rPr>
        <w:t>r may derive from other non-pontine regions such as the caudal portion of the medulla and rostral mesencephalon.</w:t>
      </w:r>
    </w:p>
    <w:p w:rsidR="00AB16B6" w:rsidRPr="00B26E04" w:rsidRDefault="0096787B" w:rsidP="00113B97">
      <w:pPr>
        <w:widowControl w:val="0"/>
        <w:autoSpaceDE w:val="0"/>
        <w:autoSpaceDN w:val="0"/>
        <w:adjustRightInd w:val="0"/>
        <w:spacing w:line="480" w:lineRule="auto"/>
        <w:rPr>
          <w:lang w:val="en-US"/>
        </w:rPr>
      </w:pPr>
      <w:r>
        <w:rPr>
          <w:lang w:val="en-US"/>
        </w:rPr>
        <w:tab/>
        <w:t xml:space="preserve">In fMRI and genetic investigations of individuals exposed to childhood life stress, interactions were observed between </w:t>
      </w:r>
      <w:r>
        <w:rPr>
          <w:i/>
          <w:lang w:val="en-US"/>
        </w:rPr>
        <w:t>MAOA</w:t>
      </w:r>
      <w:r>
        <w:rPr>
          <w:lang w:val="en-US"/>
        </w:rPr>
        <w:t xml:space="preserve"> genotype, childhood life stress, and sex correlating to amygdala, hippocampus, and anterior cingulate cortex response. Activity in the amygdala and hippocampus in a face-matching task augmented with the exposure of childhood life stress in males with </w:t>
      </w:r>
      <w:r>
        <w:rPr>
          <w:i/>
          <w:lang w:val="en-US"/>
        </w:rPr>
        <w:t>MAOA-L</w:t>
      </w:r>
      <w:r>
        <w:rPr>
          <w:lang w:val="en-US"/>
        </w:rPr>
        <w:t xml:space="preserve"> genotype, but diminished in </w:t>
      </w:r>
      <w:r>
        <w:rPr>
          <w:i/>
          <w:lang w:val="en-US"/>
        </w:rPr>
        <w:t>MAOA-H</w:t>
      </w:r>
      <w:r>
        <w:rPr>
          <w:lang w:val="en-US"/>
        </w:rPr>
        <w:t xml:space="preserve"> males, although an opposite pattern was found in females. An increased amygdala activity was related to a higher level of </w:t>
      </w:r>
      <w:proofErr w:type="spellStart"/>
      <w:r>
        <w:rPr>
          <w:lang w:val="en-US"/>
        </w:rPr>
        <w:t>self experienced</w:t>
      </w:r>
      <w:proofErr w:type="spellEnd"/>
      <w:r>
        <w:rPr>
          <w:lang w:val="en-US"/>
        </w:rPr>
        <w:t xml:space="preserve"> aggression in male </w:t>
      </w:r>
      <w:r>
        <w:rPr>
          <w:i/>
          <w:lang w:val="en-US"/>
        </w:rPr>
        <w:t xml:space="preserve">MAOA-L </w:t>
      </w:r>
      <w:r>
        <w:rPr>
          <w:lang w:val="en-US"/>
        </w:rPr>
        <w:t xml:space="preserve">and female </w:t>
      </w:r>
      <w:r>
        <w:rPr>
          <w:i/>
          <w:lang w:val="en-US"/>
        </w:rPr>
        <w:t>MAOA-H</w:t>
      </w:r>
      <w:r>
        <w:rPr>
          <w:lang w:val="en-US"/>
        </w:rPr>
        <w:t xml:space="preserve"> genotypes. In females having </w:t>
      </w:r>
      <w:r>
        <w:rPr>
          <w:i/>
          <w:lang w:val="en-US"/>
        </w:rPr>
        <w:t>MAOA-H</w:t>
      </w:r>
      <w:r>
        <w:rPr>
          <w:lang w:val="en-US"/>
        </w:rPr>
        <w:t xml:space="preserve"> genotype an association between amygdala activity and reactive aggression was observed (</w:t>
      </w:r>
      <w:proofErr w:type="spellStart"/>
      <w:r>
        <w:rPr>
          <w:lang w:val="en-US"/>
        </w:rPr>
        <w:t>Holz</w:t>
      </w:r>
      <w:proofErr w:type="spellEnd"/>
      <w:r>
        <w:rPr>
          <w:lang w:val="en-US"/>
        </w:rPr>
        <w:t xml:space="preserve"> et al., 2016). All these findings suggest a sex-specific nature of the interaction between genotype and environmental stressors in the development of aggressive behavior.</w:t>
      </w:r>
    </w:p>
    <w:p w:rsidR="00E04905" w:rsidRPr="00B26E04" w:rsidRDefault="00E04905" w:rsidP="00113B97">
      <w:pPr>
        <w:widowControl w:val="0"/>
        <w:autoSpaceDE w:val="0"/>
        <w:autoSpaceDN w:val="0"/>
        <w:adjustRightInd w:val="0"/>
        <w:spacing w:line="480" w:lineRule="auto"/>
        <w:rPr>
          <w:lang w:val="en-US"/>
        </w:rPr>
      </w:pPr>
    </w:p>
    <w:p w:rsidR="00E04905" w:rsidRPr="00B26E04" w:rsidRDefault="0096787B" w:rsidP="00113B97">
      <w:pPr>
        <w:widowControl w:val="0"/>
        <w:autoSpaceDE w:val="0"/>
        <w:autoSpaceDN w:val="0"/>
        <w:adjustRightInd w:val="0"/>
        <w:spacing w:line="480" w:lineRule="auto"/>
        <w:rPr>
          <w:b/>
          <w:lang w:val="en-US"/>
        </w:rPr>
      </w:pPr>
      <w:r>
        <w:rPr>
          <w:b/>
          <w:lang w:val="en-US"/>
        </w:rPr>
        <w:t>5.1.2. The serotonin transporter</w:t>
      </w:r>
    </w:p>
    <w:p w:rsidR="00E04905" w:rsidRPr="00B26E04" w:rsidRDefault="0096787B" w:rsidP="00113B97">
      <w:pPr>
        <w:widowControl w:val="0"/>
        <w:autoSpaceDE w:val="0"/>
        <w:autoSpaceDN w:val="0"/>
        <w:adjustRightInd w:val="0"/>
        <w:spacing w:line="480" w:lineRule="auto"/>
        <w:rPr>
          <w:lang w:val="en-US"/>
        </w:rPr>
      </w:pPr>
      <w:r>
        <w:rPr>
          <w:lang w:val="en-US"/>
        </w:rPr>
        <w:tab/>
        <w:t xml:space="preserve">Another key player of the serotoninergic system is the 5-HT transporter (5-HTT), which is localized in the pre-synaptic membrane and is required for the 5-HT re-uptake from </w:t>
      </w:r>
      <w:r>
        <w:rPr>
          <w:lang w:val="en-US"/>
        </w:rPr>
        <w:lastRenderedPageBreak/>
        <w:t>the inter-synaptic space to pre-synaptic neuron. The 5-HTT is the main mechanism that clears 5-HT from the extracellular space in order to be recycled or degraded. This way, 5-HTT modulates the duration and intensity of the 5-HT signaling through 5-HT receptors localized on post-synaptic membranes, especially those of limbic regions that mediate emotion, and through 5-HT receptors in pre-synaptic nerve terminals that exert inhibitory control over the 5-HT neuron itself (Hariri and Holmes, 2006) (Fig. 1). The 5-HTT is widely expressed in the brain, with higher expression in limbic regions and in particular in the cingulate gyrus (mainly in subcallosal and anterior cingulate areas), posterior uncus, entorhinal, insular and temporal cortices (</w:t>
      </w:r>
      <w:proofErr w:type="spellStart"/>
      <w:r>
        <w:rPr>
          <w:lang w:val="en-US"/>
        </w:rPr>
        <w:t>Varnäs</w:t>
      </w:r>
      <w:proofErr w:type="spellEnd"/>
      <w:r>
        <w:rPr>
          <w:lang w:val="en-US"/>
        </w:rPr>
        <w:t xml:space="preserve"> et al., 2004). Findings on humans highlighted that reduced 5-HTT levels could represent a risk for stress-related disorders, such as negative mood state, affective disorder, pathological behavior and psychiatric disease (</w:t>
      </w:r>
      <w:proofErr w:type="spellStart"/>
      <w:r>
        <w:rPr>
          <w:lang w:val="en-US"/>
        </w:rPr>
        <w:t>Lesch</w:t>
      </w:r>
      <w:proofErr w:type="spellEnd"/>
      <w:r>
        <w:rPr>
          <w:lang w:val="en-US"/>
        </w:rPr>
        <w:t xml:space="preserve"> et al., 1996; Malison et al., 1998; </w:t>
      </w:r>
      <w:proofErr w:type="spellStart"/>
      <w:r>
        <w:rPr>
          <w:lang w:val="en-US"/>
        </w:rPr>
        <w:t>Reimold</w:t>
      </w:r>
      <w:proofErr w:type="spellEnd"/>
      <w:r>
        <w:rPr>
          <w:lang w:val="en-US"/>
        </w:rPr>
        <w:t xml:space="preserve"> et al., 2008; </w:t>
      </w:r>
      <w:proofErr w:type="spellStart"/>
      <w:r>
        <w:rPr>
          <w:lang w:val="en-US"/>
        </w:rPr>
        <w:t>Uher</w:t>
      </w:r>
      <w:proofErr w:type="spellEnd"/>
      <w:r>
        <w:rPr>
          <w:lang w:val="en-US"/>
        </w:rPr>
        <w:t xml:space="preserve"> and McGuffin, 2008; </w:t>
      </w:r>
      <w:proofErr w:type="spellStart"/>
      <w:r>
        <w:rPr>
          <w:lang w:val="en-US"/>
        </w:rPr>
        <w:t>Willeit</w:t>
      </w:r>
      <w:proofErr w:type="spellEnd"/>
      <w:r>
        <w:rPr>
          <w:lang w:val="en-US"/>
        </w:rPr>
        <w:t xml:space="preserve"> et al., 2000). Furthermore, in a PET study, </w:t>
      </w:r>
      <w:proofErr w:type="spellStart"/>
      <w:r>
        <w:rPr>
          <w:lang w:val="en-US"/>
        </w:rPr>
        <w:t>Frankle</w:t>
      </w:r>
      <w:proofErr w:type="spellEnd"/>
      <w:r>
        <w:rPr>
          <w:lang w:val="en-US"/>
        </w:rPr>
        <w:t xml:space="preserve"> and colleagues showed that 5-HTT was significantly reduced in the anterior cingulate cortex of individuals with impulsive aggression (</w:t>
      </w:r>
      <w:proofErr w:type="spellStart"/>
      <w:r>
        <w:rPr>
          <w:lang w:val="en-US"/>
        </w:rPr>
        <w:t>Frankle</w:t>
      </w:r>
      <w:proofErr w:type="spellEnd"/>
      <w:r>
        <w:rPr>
          <w:lang w:val="en-US"/>
        </w:rPr>
        <w:t xml:space="preserve"> et al., 2005). Stronger activation of amygdala and greater coupling between amygdala and ventromedial prefrontal cortex were also correlated to a lower transcriptional efficiency variant of the gene encoding for 5-HTT (see below; Heinz et al., 2005), supporting the hypothesis that 5-HTT has a role in the development of negative mood states.</w:t>
      </w:r>
    </w:p>
    <w:p w:rsidR="006741B0" w:rsidRPr="00B26E04" w:rsidRDefault="006741B0" w:rsidP="00113B97">
      <w:pPr>
        <w:widowControl w:val="0"/>
        <w:autoSpaceDE w:val="0"/>
        <w:autoSpaceDN w:val="0"/>
        <w:adjustRightInd w:val="0"/>
        <w:spacing w:line="480" w:lineRule="auto"/>
        <w:rPr>
          <w:lang w:val="en-US"/>
        </w:rPr>
      </w:pPr>
    </w:p>
    <w:p w:rsidR="00E04905" w:rsidRPr="00B26E04" w:rsidRDefault="0096787B" w:rsidP="00113B97">
      <w:pPr>
        <w:widowControl w:val="0"/>
        <w:autoSpaceDE w:val="0"/>
        <w:autoSpaceDN w:val="0"/>
        <w:adjustRightInd w:val="0"/>
        <w:spacing w:line="480" w:lineRule="auto"/>
        <w:rPr>
          <w:b/>
          <w:lang w:val="en-US"/>
        </w:rPr>
      </w:pPr>
      <w:r>
        <w:rPr>
          <w:b/>
          <w:lang w:val="en-US"/>
        </w:rPr>
        <w:t>5.1.2.1. Mutations of serotonin transporter gene</w:t>
      </w:r>
    </w:p>
    <w:p w:rsidR="00E04905" w:rsidRPr="00B26E04" w:rsidRDefault="0096787B" w:rsidP="00113B97">
      <w:pPr>
        <w:widowControl w:val="0"/>
        <w:autoSpaceDE w:val="0"/>
        <w:autoSpaceDN w:val="0"/>
        <w:adjustRightInd w:val="0"/>
        <w:spacing w:line="480" w:lineRule="auto"/>
        <w:rPr>
          <w:lang w:val="en-US"/>
        </w:rPr>
      </w:pPr>
      <w:r>
        <w:rPr>
          <w:lang w:val="en-US"/>
        </w:rPr>
        <w:tab/>
        <w:t xml:space="preserve">In humans, the </w:t>
      </w:r>
      <w:r>
        <w:rPr>
          <w:i/>
          <w:lang w:val="en-US"/>
        </w:rPr>
        <w:t>5-HTT</w:t>
      </w:r>
      <w:r>
        <w:rPr>
          <w:lang w:val="en-US"/>
        </w:rPr>
        <w:t xml:space="preserve"> gene (i.e., </w:t>
      </w:r>
      <w:r>
        <w:rPr>
          <w:i/>
          <w:lang w:val="en-US"/>
        </w:rPr>
        <w:t>SLC6A4</w:t>
      </w:r>
      <w:r>
        <w:rPr>
          <w:lang w:val="en-US"/>
        </w:rPr>
        <w:t>) is located on chromosome 17q11.2 (</w:t>
      </w:r>
      <w:proofErr w:type="spellStart"/>
      <w:r>
        <w:rPr>
          <w:lang w:val="en-US"/>
        </w:rPr>
        <w:t>Lesch</w:t>
      </w:r>
      <w:proofErr w:type="spellEnd"/>
      <w:r>
        <w:rPr>
          <w:lang w:val="en-US"/>
        </w:rPr>
        <w:t xml:space="preserve"> et al., 1993; </w:t>
      </w:r>
      <w:proofErr w:type="spellStart"/>
      <w:r>
        <w:rPr>
          <w:lang w:val="en-US"/>
        </w:rPr>
        <w:t>Ramamoorthy</w:t>
      </w:r>
      <w:proofErr w:type="spellEnd"/>
      <w:r>
        <w:rPr>
          <w:lang w:val="en-US"/>
        </w:rPr>
        <w:t xml:space="preserve"> et al., 1993; Gene ID: 6532) and its transcription is regulated by polymorphism in its upstream promoter region (Table 1), the so named </w:t>
      </w:r>
      <w:r>
        <w:rPr>
          <w:i/>
          <w:lang w:val="en-US"/>
        </w:rPr>
        <w:t>5-HTT</w:t>
      </w:r>
      <w:r>
        <w:rPr>
          <w:lang w:val="en-US"/>
        </w:rPr>
        <w:t xml:space="preserve"> gene-linked polymorphic region (</w:t>
      </w:r>
      <w:r>
        <w:rPr>
          <w:i/>
          <w:lang w:val="en-US"/>
        </w:rPr>
        <w:t>5-HTTLPR</w:t>
      </w:r>
      <w:r>
        <w:rPr>
          <w:lang w:val="en-US"/>
        </w:rPr>
        <w:t>). This region consists of different lengths of a GC-rich repetitive sequence able to modulate the promoter functionality. Some initial studies identified two common variants: the short allele variant (</w:t>
      </w:r>
      <w:r>
        <w:rPr>
          <w:i/>
          <w:lang w:val="en-US"/>
        </w:rPr>
        <w:t>5-HTTLPR-S</w:t>
      </w:r>
      <w:r>
        <w:rPr>
          <w:lang w:val="en-US"/>
        </w:rPr>
        <w:t xml:space="preserve">) with 14 repeated </w:t>
      </w:r>
      <w:r>
        <w:rPr>
          <w:lang w:val="en-US"/>
        </w:rPr>
        <w:lastRenderedPageBreak/>
        <w:t>elements, and the long allele variant (</w:t>
      </w:r>
      <w:r>
        <w:rPr>
          <w:i/>
          <w:lang w:val="en-US"/>
        </w:rPr>
        <w:t>5-HTTLPR-L</w:t>
      </w:r>
      <w:r>
        <w:rPr>
          <w:lang w:val="en-US"/>
        </w:rPr>
        <w:t>) with 16 repetitions (</w:t>
      </w:r>
      <w:proofErr w:type="spellStart"/>
      <w:r>
        <w:rPr>
          <w:lang w:val="en-US"/>
        </w:rPr>
        <w:t>Heils</w:t>
      </w:r>
      <w:proofErr w:type="spellEnd"/>
      <w:r>
        <w:rPr>
          <w:lang w:val="en-US"/>
        </w:rPr>
        <w:t xml:space="preserve"> et al., 1996; </w:t>
      </w:r>
      <w:proofErr w:type="spellStart"/>
      <w:r>
        <w:rPr>
          <w:lang w:val="en-US"/>
        </w:rPr>
        <w:t>Lesch</w:t>
      </w:r>
      <w:proofErr w:type="spellEnd"/>
      <w:r>
        <w:rPr>
          <w:lang w:val="en-US"/>
        </w:rPr>
        <w:t xml:space="preserve"> et al., 1994, 1996). Later, the </w:t>
      </w:r>
      <w:r>
        <w:rPr>
          <w:i/>
          <w:lang w:val="en-US"/>
        </w:rPr>
        <w:t>5-HTTLPR</w:t>
      </w:r>
      <w:r>
        <w:rPr>
          <w:lang w:val="en-US"/>
        </w:rPr>
        <w:t xml:space="preserve"> polymorphism was deeply examined and 15-, 19-, 20- and 22-repetitive elements were also identified, although 19- 20- and 22-repetitive elements are rare and only present in Japanese and not in Caucasian population (Nakamura et al., 2000). The </w:t>
      </w:r>
      <w:r>
        <w:rPr>
          <w:i/>
          <w:lang w:val="en-US"/>
        </w:rPr>
        <w:t>5-HTTLPR-S</w:t>
      </w:r>
      <w:r>
        <w:rPr>
          <w:lang w:val="en-US"/>
        </w:rPr>
        <w:t xml:space="preserve"> variant (</w:t>
      </w:r>
      <w:r>
        <w:rPr>
          <w:i/>
          <w:lang w:val="en-US"/>
        </w:rPr>
        <w:t>SS</w:t>
      </w:r>
      <w:r>
        <w:rPr>
          <w:lang w:val="en-US"/>
        </w:rPr>
        <w:t xml:space="preserve"> and </w:t>
      </w:r>
      <w:r>
        <w:rPr>
          <w:i/>
          <w:lang w:val="en-US"/>
        </w:rPr>
        <w:t>SL</w:t>
      </w:r>
      <w:r>
        <w:rPr>
          <w:lang w:val="en-US"/>
        </w:rPr>
        <w:t xml:space="preserve"> genotype) is associated with lower transcriptional efficiency of the 5-HTT if compared to </w:t>
      </w:r>
      <w:r>
        <w:rPr>
          <w:i/>
          <w:lang w:val="en-US"/>
        </w:rPr>
        <w:t>5-HTTLPR-L</w:t>
      </w:r>
      <w:r>
        <w:rPr>
          <w:lang w:val="en-US"/>
        </w:rPr>
        <w:t xml:space="preserve"> variant (</w:t>
      </w:r>
      <w:r>
        <w:rPr>
          <w:i/>
          <w:lang w:val="en-US"/>
        </w:rPr>
        <w:t>LL</w:t>
      </w:r>
      <w:r>
        <w:rPr>
          <w:lang w:val="en-US"/>
        </w:rPr>
        <w:t xml:space="preserve"> genotype, associated with increase in gene transcription), resulting in lower expression and function of 5-HTT and consequently in lower 5-HT re-uptake activity (Heinz et al., 2000; </w:t>
      </w:r>
      <w:proofErr w:type="spellStart"/>
      <w:r>
        <w:rPr>
          <w:lang w:val="en-US"/>
        </w:rPr>
        <w:t>Lesch</w:t>
      </w:r>
      <w:proofErr w:type="spellEnd"/>
      <w:r>
        <w:rPr>
          <w:lang w:val="en-US"/>
        </w:rPr>
        <w:t xml:space="preserve"> et al., 1996).</w:t>
      </w:r>
    </w:p>
    <w:p w:rsidR="00E04905" w:rsidRPr="00B26E04" w:rsidRDefault="0096787B" w:rsidP="00113B97">
      <w:pPr>
        <w:widowControl w:val="0"/>
        <w:autoSpaceDE w:val="0"/>
        <w:autoSpaceDN w:val="0"/>
        <w:adjustRightInd w:val="0"/>
        <w:spacing w:line="480" w:lineRule="auto"/>
        <w:rPr>
          <w:lang w:val="en-US"/>
        </w:rPr>
      </w:pPr>
      <w:r>
        <w:rPr>
          <w:lang w:val="en-US"/>
        </w:rPr>
        <w:tab/>
        <w:t xml:space="preserve">The </w:t>
      </w:r>
      <w:r>
        <w:rPr>
          <w:i/>
          <w:lang w:val="en-US"/>
        </w:rPr>
        <w:t>5-HTTLPR-S</w:t>
      </w:r>
      <w:r>
        <w:rPr>
          <w:lang w:val="en-US"/>
        </w:rPr>
        <w:t xml:space="preserve"> polymorphism seems to be involved in emotional regulation and related psychiatric disorders including aggression, although it is not specific for aggression. Poor cognitive control over emotional information was also characteristic of healthy adults with </w:t>
      </w:r>
      <w:r>
        <w:rPr>
          <w:i/>
          <w:lang w:val="en-US"/>
        </w:rPr>
        <w:t>5-HTTLPR-S</w:t>
      </w:r>
      <w:r>
        <w:rPr>
          <w:lang w:val="en-US"/>
        </w:rPr>
        <w:t xml:space="preserve"> allele (</w:t>
      </w:r>
      <w:proofErr w:type="spellStart"/>
      <w:r>
        <w:rPr>
          <w:lang w:val="en-US"/>
        </w:rPr>
        <w:t>Beevers</w:t>
      </w:r>
      <w:proofErr w:type="spellEnd"/>
      <w:r>
        <w:rPr>
          <w:lang w:val="en-US"/>
        </w:rPr>
        <w:t xml:space="preserve"> et al., 2009a, 2009b). It is still unclear if gender may interact in the association between </w:t>
      </w:r>
      <w:r>
        <w:rPr>
          <w:i/>
          <w:lang w:val="en-US"/>
        </w:rPr>
        <w:t>5-HTTLPR</w:t>
      </w:r>
      <w:r>
        <w:rPr>
          <w:lang w:val="en-US"/>
        </w:rPr>
        <w:t xml:space="preserve"> genotype and antisocial behavior (</w:t>
      </w:r>
      <w:proofErr w:type="spellStart"/>
      <w:r>
        <w:rPr>
          <w:lang w:val="en-US"/>
        </w:rPr>
        <w:t>Cadoret</w:t>
      </w:r>
      <w:proofErr w:type="spellEnd"/>
      <w:r>
        <w:rPr>
          <w:lang w:val="en-US"/>
        </w:rPr>
        <w:t xml:space="preserve"> et al., 2003; Hariri et al., 2005; Verona et al., 2006). Indeed, a group of 169 healthy females with </w:t>
      </w:r>
      <w:r>
        <w:rPr>
          <w:i/>
          <w:lang w:val="en-US"/>
        </w:rPr>
        <w:t>5-HTTLPR-S</w:t>
      </w:r>
      <w:r>
        <w:rPr>
          <w:lang w:val="en-US"/>
        </w:rPr>
        <w:t xml:space="preserve"> genotype were associated with neuroticism and neuroticism-related traits, and with increased anxiety, depression, hopelessness, somatization, feeling of guilt, hostility, aggression, lack of self-directedness, and affective temperament (</w:t>
      </w:r>
      <w:proofErr w:type="spellStart"/>
      <w:r>
        <w:rPr>
          <w:lang w:val="en-US"/>
        </w:rPr>
        <w:t>Gonda</w:t>
      </w:r>
      <w:proofErr w:type="spellEnd"/>
      <w:r>
        <w:rPr>
          <w:lang w:val="en-US"/>
        </w:rPr>
        <w:t xml:space="preserve"> et al., 2009).</w:t>
      </w:r>
    </w:p>
    <w:p w:rsidR="00E04905" w:rsidRPr="00B26E04" w:rsidRDefault="0096787B" w:rsidP="00113B97">
      <w:pPr>
        <w:widowControl w:val="0"/>
        <w:autoSpaceDE w:val="0"/>
        <w:autoSpaceDN w:val="0"/>
        <w:adjustRightInd w:val="0"/>
        <w:spacing w:line="480" w:lineRule="auto"/>
        <w:rPr>
          <w:lang w:val="en-US"/>
        </w:rPr>
      </w:pPr>
      <w:r>
        <w:rPr>
          <w:lang w:val="en-US"/>
        </w:rPr>
        <w:tab/>
        <w:t xml:space="preserve">There are two common single nucleotide polymorphisms (SNP) located upstream of the transcription start site within </w:t>
      </w:r>
      <w:r>
        <w:rPr>
          <w:i/>
          <w:lang w:val="en-US"/>
        </w:rPr>
        <w:t>5-HTTLPR</w:t>
      </w:r>
      <w:r>
        <w:rPr>
          <w:lang w:val="en-US"/>
        </w:rPr>
        <w:t xml:space="preserve"> that further influence the transporter expression (Hu et al., 2006; Kraft et al., 2005; Wendland et al., 2006, 2008): rs25531 and rs25532, the latter not discussed here. The SNP rs25531 has been widely studied to explain the relation between </w:t>
      </w:r>
      <w:r>
        <w:rPr>
          <w:i/>
          <w:lang w:val="en-US"/>
        </w:rPr>
        <w:t>5-HTTLPR</w:t>
      </w:r>
      <w:r>
        <w:rPr>
          <w:lang w:val="en-US"/>
        </w:rPr>
        <w:t xml:space="preserve"> and abnormal social behavior (</w:t>
      </w:r>
      <w:proofErr w:type="spellStart"/>
      <w:r>
        <w:rPr>
          <w:lang w:val="en-US"/>
        </w:rPr>
        <w:t>Ficks</w:t>
      </w:r>
      <w:proofErr w:type="spellEnd"/>
      <w:r>
        <w:rPr>
          <w:lang w:val="en-US"/>
        </w:rPr>
        <w:t xml:space="preserve"> and Waldman, 2014). The A variant of the </w:t>
      </w:r>
      <w:r>
        <w:rPr>
          <w:i/>
          <w:lang w:val="en-US"/>
        </w:rPr>
        <w:t>L</w:t>
      </w:r>
      <w:r>
        <w:rPr>
          <w:lang w:val="en-US"/>
        </w:rPr>
        <w:t xml:space="preserve"> allele (</w:t>
      </w:r>
      <w:r>
        <w:rPr>
          <w:i/>
          <w:lang w:val="en-US"/>
        </w:rPr>
        <w:t>L</w:t>
      </w:r>
      <w:r>
        <w:rPr>
          <w:i/>
          <w:vertAlign w:val="subscript"/>
          <w:lang w:val="en-US"/>
        </w:rPr>
        <w:t>A</w:t>
      </w:r>
      <w:r>
        <w:rPr>
          <w:lang w:val="en-US"/>
        </w:rPr>
        <w:t>) produces high levels of mRNA while the G variant (</w:t>
      </w:r>
      <w:r>
        <w:rPr>
          <w:i/>
          <w:lang w:val="en-US"/>
        </w:rPr>
        <w:t>L</w:t>
      </w:r>
      <w:r>
        <w:rPr>
          <w:i/>
          <w:vertAlign w:val="subscript"/>
          <w:lang w:val="en-US"/>
        </w:rPr>
        <w:t>G</w:t>
      </w:r>
      <w:r>
        <w:rPr>
          <w:lang w:val="en-US"/>
        </w:rPr>
        <w:t xml:space="preserve">) is equivalent to the low-expressing </w:t>
      </w:r>
      <w:r>
        <w:rPr>
          <w:i/>
          <w:lang w:val="en-US"/>
        </w:rPr>
        <w:t>S</w:t>
      </w:r>
      <w:r>
        <w:rPr>
          <w:lang w:val="en-US"/>
        </w:rPr>
        <w:t xml:space="preserve"> allele with low transcription rate of </w:t>
      </w:r>
      <w:r>
        <w:rPr>
          <w:i/>
          <w:lang w:val="en-US"/>
        </w:rPr>
        <w:t>5-HTT</w:t>
      </w:r>
      <w:r>
        <w:rPr>
          <w:lang w:val="en-US"/>
        </w:rPr>
        <w:t xml:space="preserve"> (Hu et al., 2006; Wendland et al., 2006). The low expression variants of </w:t>
      </w:r>
      <w:r>
        <w:rPr>
          <w:i/>
          <w:lang w:val="en-US"/>
        </w:rPr>
        <w:t>5-HTTLPR</w:t>
      </w:r>
      <w:r>
        <w:rPr>
          <w:lang w:val="en-US"/>
        </w:rPr>
        <w:t xml:space="preserve"> (</w:t>
      </w:r>
      <w:r>
        <w:rPr>
          <w:i/>
          <w:lang w:val="en-US"/>
        </w:rPr>
        <w:t>S/S</w:t>
      </w:r>
      <w:r>
        <w:rPr>
          <w:lang w:val="en-US"/>
        </w:rPr>
        <w:t xml:space="preserve">, </w:t>
      </w:r>
      <w:r>
        <w:rPr>
          <w:i/>
          <w:lang w:val="en-US"/>
        </w:rPr>
        <w:t>L</w:t>
      </w:r>
      <w:r>
        <w:rPr>
          <w:i/>
          <w:vertAlign w:val="subscript"/>
          <w:lang w:val="en-US"/>
        </w:rPr>
        <w:t>G</w:t>
      </w:r>
      <w:r>
        <w:rPr>
          <w:i/>
          <w:lang w:val="en-US"/>
        </w:rPr>
        <w:t>/S</w:t>
      </w:r>
      <w:r>
        <w:rPr>
          <w:lang w:val="en-US"/>
        </w:rPr>
        <w:t xml:space="preserve">, </w:t>
      </w:r>
      <w:r>
        <w:rPr>
          <w:i/>
          <w:lang w:val="en-US"/>
        </w:rPr>
        <w:t>L</w:t>
      </w:r>
      <w:r>
        <w:rPr>
          <w:i/>
          <w:vertAlign w:val="subscript"/>
          <w:lang w:val="en-US"/>
        </w:rPr>
        <w:t>G</w:t>
      </w:r>
      <w:r>
        <w:rPr>
          <w:i/>
          <w:lang w:val="en-US"/>
        </w:rPr>
        <w:t>/L</w:t>
      </w:r>
      <w:r>
        <w:rPr>
          <w:i/>
          <w:vertAlign w:val="subscript"/>
          <w:lang w:val="en-US"/>
        </w:rPr>
        <w:t>G</w:t>
      </w:r>
      <w:r>
        <w:rPr>
          <w:lang w:val="en-US"/>
        </w:rPr>
        <w:t xml:space="preserve">) were associated with </w:t>
      </w:r>
      <w:r>
        <w:rPr>
          <w:lang w:val="en-US"/>
        </w:rPr>
        <w:lastRenderedPageBreak/>
        <w:t>childhood aggression (</w:t>
      </w:r>
      <w:proofErr w:type="spellStart"/>
      <w:r>
        <w:rPr>
          <w:lang w:val="en-US"/>
        </w:rPr>
        <w:t>Beitchman</w:t>
      </w:r>
      <w:proofErr w:type="spellEnd"/>
      <w:r>
        <w:rPr>
          <w:lang w:val="en-US"/>
        </w:rPr>
        <w:t xml:space="preserve"> et al., 2006). Interestingly, the influence of </w:t>
      </w:r>
      <w:r>
        <w:rPr>
          <w:i/>
          <w:lang w:val="en-US"/>
        </w:rPr>
        <w:t>5-HTTLPR</w:t>
      </w:r>
      <w:r>
        <w:rPr>
          <w:lang w:val="en-US"/>
        </w:rPr>
        <w:t xml:space="preserve"> variations on aggressive behavior seems to be characteristic of humans, considering that no corresponding variation in behavior and </w:t>
      </w:r>
      <w:r>
        <w:rPr>
          <w:i/>
          <w:lang w:val="en-US"/>
        </w:rPr>
        <w:t>5-HTTLPR</w:t>
      </w:r>
      <w:r>
        <w:rPr>
          <w:lang w:val="en-US"/>
        </w:rPr>
        <w:t xml:space="preserve"> was found in primates. However, in baboons the comparison of </w:t>
      </w:r>
      <w:r>
        <w:rPr>
          <w:i/>
          <w:lang w:val="en-US"/>
        </w:rPr>
        <w:t>5-HTTLPR</w:t>
      </w:r>
      <w:r>
        <w:rPr>
          <w:lang w:val="en-US"/>
        </w:rPr>
        <w:t xml:space="preserve"> alleles indicates a differential selective pressure among taxa and geographic regions with differences in allelic distribution among African and Asian species (</w:t>
      </w:r>
      <w:proofErr w:type="spellStart"/>
      <w:r>
        <w:rPr>
          <w:lang w:val="en-US"/>
        </w:rPr>
        <w:t>Kalbitzer</w:t>
      </w:r>
      <w:proofErr w:type="spellEnd"/>
      <w:r>
        <w:rPr>
          <w:lang w:val="en-US"/>
        </w:rPr>
        <w:t xml:space="preserve"> et al., 2016).</w:t>
      </w:r>
    </w:p>
    <w:p w:rsidR="000F4670" w:rsidRPr="00B26E04" w:rsidRDefault="000F4670" w:rsidP="00113B97">
      <w:pPr>
        <w:widowControl w:val="0"/>
        <w:autoSpaceDE w:val="0"/>
        <w:autoSpaceDN w:val="0"/>
        <w:adjustRightInd w:val="0"/>
        <w:spacing w:line="480" w:lineRule="auto"/>
        <w:rPr>
          <w:lang w:val="en-US"/>
        </w:rPr>
      </w:pPr>
    </w:p>
    <w:p w:rsidR="00E04905" w:rsidRPr="00B26E04" w:rsidRDefault="0096787B" w:rsidP="00113B97">
      <w:pPr>
        <w:widowControl w:val="0"/>
        <w:autoSpaceDE w:val="0"/>
        <w:autoSpaceDN w:val="0"/>
        <w:adjustRightInd w:val="0"/>
        <w:spacing w:line="480" w:lineRule="auto"/>
        <w:rPr>
          <w:b/>
          <w:lang w:val="en-US"/>
        </w:rPr>
      </w:pPr>
      <w:r>
        <w:rPr>
          <w:b/>
          <w:lang w:val="en-US"/>
        </w:rPr>
        <w:t>5.1.2.2. The serotonin transporter gene polymorphisms and brain morpho-functionality changes</w:t>
      </w:r>
    </w:p>
    <w:p w:rsidR="00E04905" w:rsidRPr="00B26E04" w:rsidRDefault="0096787B" w:rsidP="00113B97">
      <w:pPr>
        <w:widowControl w:val="0"/>
        <w:autoSpaceDE w:val="0"/>
        <w:autoSpaceDN w:val="0"/>
        <w:adjustRightInd w:val="0"/>
        <w:spacing w:line="480" w:lineRule="auto"/>
        <w:rPr>
          <w:lang w:val="en-US"/>
        </w:rPr>
      </w:pPr>
      <w:r>
        <w:rPr>
          <w:lang w:val="en-US"/>
        </w:rPr>
        <w:tab/>
        <w:t xml:space="preserve">Functional and morphological evidences could explain the effects of </w:t>
      </w:r>
      <w:r>
        <w:rPr>
          <w:i/>
          <w:lang w:val="en-US"/>
        </w:rPr>
        <w:t>5-HTT</w:t>
      </w:r>
      <w:r>
        <w:rPr>
          <w:lang w:val="en-US"/>
        </w:rPr>
        <w:t xml:space="preserve"> gene polymorphisms on behavior. The different expression of 5-HTT affects the morpho-functionality of neural networks between cortices and limbic system, with particular effects on the amygdala, modulating its activity and connectivity and influencing the processing of emotional stimuli, especially in the context of stressful life experiences (Fig. 1). Increased amygdala activation was linked to </w:t>
      </w:r>
      <w:r>
        <w:rPr>
          <w:i/>
          <w:lang w:val="en-US"/>
        </w:rPr>
        <w:t>5-HTTLPR-S</w:t>
      </w:r>
      <w:r>
        <w:rPr>
          <w:lang w:val="en-US"/>
        </w:rPr>
        <w:t xml:space="preserve"> allele by using a variety of neuroimaging techniques, stimuli and populations, with a small but statistically significant correlation (</w:t>
      </w:r>
      <w:proofErr w:type="spellStart"/>
      <w:r>
        <w:rPr>
          <w:lang w:val="en-US"/>
        </w:rPr>
        <w:t>Munafò</w:t>
      </w:r>
      <w:proofErr w:type="spellEnd"/>
      <w:r>
        <w:rPr>
          <w:lang w:val="en-US"/>
        </w:rPr>
        <w:t xml:space="preserve"> et al., 2008; Murphy et al., 2013). Interestingly, in healthy subjects without history of psychiatric illness who are also carriers of the short allele, the amygdala was bilaterally hyperactivated in response to aversive stimuli compared to neutral stimuli. However, amygdala hyperactivation was not evident in response to pleasant stimuli compared to neutral ones, and this effect was gender independent (Hariri et al., 2005; Heinz et al., 2005). Morphometric analyses revealed the reduction of gray matter volume of limbic structures involved in negative emotion process in healthy individuals with </w:t>
      </w:r>
      <w:r>
        <w:rPr>
          <w:i/>
          <w:lang w:val="en-US"/>
        </w:rPr>
        <w:t>5-HTTLPR-S</w:t>
      </w:r>
      <w:r>
        <w:rPr>
          <w:lang w:val="en-US"/>
        </w:rPr>
        <w:t xml:space="preserve"> genotype (</w:t>
      </w:r>
      <w:proofErr w:type="spellStart"/>
      <w:r>
        <w:rPr>
          <w:lang w:val="en-US"/>
        </w:rPr>
        <w:t>Pezawas</w:t>
      </w:r>
      <w:proofErr w:type="spellEnd"/>
      <w:r>
        <w:rPr>
          <w:lang w:val="en-US"/>
        </w:rPr>
        <w:t xml:space="preserve"> et al., 2005). Additionally, these people showed a significant reduction in the connectivity between amygdala and</w:t>
      </w:r>
      <w:r>
        <w:rPr>
          <w:rFonts w:ascii="AdvMinionNormal_Rm" w:hAnsi="AdvMinionNormal_Rm" w:cs="AdvMinionNormal_Rm"/>
          <w:sz w:val="18"/>
          <w:szCs w:val="18"/>
          <w:lang w:val="en-US"/>
        </w:rPr>
        <w:t xml:space="preserve"> </w:t>
      </w:r>
      <w:proofErr w:type="spellStart"/>
      <w:r>
        <w:rPr>
          <w:lang w:val="en-US"/>
        </w:rPr>
        <w:t>perigenual</w:t>
      </w:r>
      <w:proofErr w:type="spellEnd"/>
      <w:r>
        <w:rPr>
          <w:lang w:val="en-US"/>
        </w:rPr>
        <w:t xml:space="preserve"> anterior cingulate cortex, relative to those carrying the </w:t>
      </w:r>
      <w:r>
        <w:rPr>
          <w:i/>
          <w:lang w:val="en-US"/>
        </w:rPr>
        <w:t>5-HTTLPR-L</w:t>
      </w:r>
      <w:r>
        <w:rPr>
          <w:lang w:val="en-US"/>
        </w:rPr>
        <w:t xml:space="preserve"> genotype (</w:t>
      </w:r>
      <w:proofErr w:type="spellStart"/>
      <w:r>
        <w:rPr>
          <w:lang w:val="en-US"/>
        </w:rPr>
        <w:t>Pezawas</w:t>
      </w:r>
      <w:proofErr w:type="spellEnd"/>
      <w:r>
        <w:rPr>
          <w:lang w:val="en-US"/>
        </w:rPr>
        <w:t xml:space="preserve"> et al., 2005). Alterations in the microstructure </w:t>
      </w:r>
      <w:r>
        <w:rPr>
          <w:lang w:val="en-US"/>
        </w:rPr>
        <w:lastRenderedPageBreak/>
        <w:t xml:space="preserve">of the uncinate fasciculus, a critical white matter tract connecting regions of the prefrontal cortex to the amygdala, characterize subjects with reduced transcriptional efficiency of </w:t>
      </w:r>
      <w:r>
        <w:rPr>
          <w:i/>
          <w:lang w:val="en-US"/>
        </w:rPr>
        <w:t>5-HTT</w:t>
      </w:r>
      <w:r>
        <w:rPr>
          <w:lang w:val="en-US"/>
        </w:rPr>
        <w:t xml:space="preserve"> gene, which sustains the hypothesis of alterations in amygdala connectivity in </w:t>
      </w:r>
      <w:r w:rsidR="00F85F5B">
        <w:rPr>
          <w:lang w:val="en-US"/>
        </w:rPr>
        <w:t xml:space="preserve">the </w:t>
      </w:r>
      <w:r>
        <w:rPr>
          <w:lang w:val="en-US"/>
        </w:rPr>
        <w:t>carriers of this allele</w:t>
      </w:r>
      <w:r w:rsidR="000E59D1">
        <w:rPr>
          <w:lang w:val="en-US"/>
        </w:rPr>
        <w:t xml:space="preserve"> </w:t>
      </w:r>
      <w:r>
        <w:rPr>
          <w:lang w:val="en-US"/>
        </w:rPr>
        <w:t>(Pacheco et al., 2009).</w:t>
      </w:r>
    </w:p>
    <w:p w:rsidR="00E04905" w:rsidRPr="00B26E04" w:rsidRDefault="0096787B" w:rsidP="00113B97">
      <w:pPr>
        <w:widowControl w:val="0"/>
        <w:autoSpaceDE w:val="0"/>
        <w:autoSpaceDN w:val="0"/>
        <w:adjustRightInd w:val="0"/>
        <w:spacing w:line="480" w:lineRule="auto"/>
        <w:rPr>
          <w:lang w:val="en-US"/>
        </w:rPr>
      </w:pPr>
      <w:r>
        <w:rPr>
          <w:lang w:val="en-US"/>
        </w:rPr>
        <w:tab/>
        <w:t xml:space="preserve">The </w:t>
      </w:r>
      <w:r>
        <w:rPr>
          <w:i/>
          <w:lang w:val="en-US"/>
        </w:rPr>
        <w:t>5-HTT</w:t>
      </w:r>
      <w:r>
        <w:rPr>
          <w:lang w:val="en-US"/>
        </w:rPr>
        <w:t xml:space="preserve"> gene contains another functional polymorphism, a 17 base pair VNTR in the second intron (STIN2 VNTR) (</w:t>
      </w:r>
      <w:proofErr w:type="spellStart"/>
      <w:r>
        <w:rPr>
          <w:lang w:val="en-US"/>
        </w:rPr>
        <w:t>Lesch</w:t>
      </w:r>
      <w:proofErr w:type="spellEnd"/>
      <w:r>
        <w:rPr>
          <w:lang w:val="en-US"/>
        </w:rPr>
        <w:t xml:space="preserve"> et al., 1994), which is an additional transcriptional regulatory sequence. This polymorphism consists in 7-, 9-, 10- or 12-repeats units (Kaiser et al., 2001; Ogilvie et al., 1996) that differently enhance gene transcription. The effects of this polymorphism on 5-HT signaling and its correlations with susceptibility to psychiatric disorders have not been elucidated. Beyond these studies, further investigation is needed to clarify the role of polymorphisms of this gene (both STIN2 VNTR and </w:t>
      </w:r>
      <w:r>
        <w:rPr>
          <w:i/>
          <w:lang w:val="en-US"/>
        </w:rPr>
        <w:t>5-HTTLPR</w:t>
      </w:r>
      <w:r>
        <w:rPr>
          <w:lang w:val="en-US"/>
        </w:rPr>
        <w:t>) in the susceptibility to psychiatric disorders.</w:t>
      </w:r>
    </w:p>
    <w:p w:rsidR="00E04905" w:rsidRPr="00B26E04" w:rsidRDefault="0096787B" w:rsidP="00113B97">
      <w:pPr>
        <w:widowControl w:val="0"/>
        <w:autoSpaceDE w:val="0"/>
        <w:autoSpaceDN w:val="0"/>
        <w:adjustRightInd w:val="0"/>
        <w:spacing w:line="480" w:lineRule="auto"/>
        <w:rPr>
          <w:lang w:val="en-US"/>
        </w:rPr>
      </w:pPr>
      <w:r>
        <w:rPr>
          <w:lang w:val="en-US"/>
        </w:rPr>
        <w:tab/>
        <w:t xml:space="preserve">The two polymorphic domains discussed in this chapter could interact each other (Ali et al., 2010; </w:t>
      </w:r>
      <w:proofErr w:type="spellStart"/>
      <w:r>
        <w:rPr>
          <w:lang w:val="en-US"/>
        </w:rPr>
        <w:t>Hranilovic</w:t>
      </w:r>
      <w:proofErr w:type="spellEnd"/>
      <w:r>
        <w:rPr>
          <w:lang w:val="en-US"/>
        </w:rPr>
        <w:t xml:space="preserve"> et al., 2004) representing an increased risk factor for pathological behavior, as described by </w:t>
      </w:r>
      <w:proofErr w:type="spellStart"/>
      <w:r>
        <w:rPr>
          <w:lang w:val="en-US"/>
        </w:rPr>
        <w:t>Aluja</w:t>
      </w:r>
      <w:proofErr w:type="spellEnd"/>
      <w:r>
        <w:rPr>
          <w:lang w:val="en-US"/>
        </w:rPr>
        <w:t xml:space="preserve"> and colleagues (</w:t>
      </w:r>
      <w:proofErr w:type="spellStart"/>
      <w:r>
        <w:rPr>
          <w:lang w:val="en-US"/>
        </w:rPr>
        <w:t>Aluja</w:t>
      </w:r>
      <w:proofErr w:type="spellEnd"/>
      <w:r>
        <w:rPr>
          <w:lang w:val="en-US"/>
        </w:rPr>
        <w:t xml:space="preserve"> et al., 2009). This study aimed to investigate the relationship between these two </w:t>
      </w:r>
      <w:r>
        <w:rPr>
          <w:i/>
          <w:lang w:val="en-US"/>
        </w:rPr>
        <w:t>5-HTT</w:t>
      </w:r>
      <w:r>
        <w:rPr>
          <w:lang w:val="en-US"/>
        </w:rPr>
        <w:t xml:space="preserve"> polymorphisms with impulsive-disinhibited personality traits in a group of male inmates. The combination of one or two copies of </w:t>
      </w:r>
      <w:r>
        <w:rPr>
          <w:i/>
          <w:lang w:val="en-US"/>
        </w:rPr>
        <w:t>5-HTTLPR-S</w:t>
      </w:r>
      <w:r>
        <w:rPr>
          <w:lang w:val="en-US"/>
        </w:rPr>
        <w:t xml:space="preserve"> allele (both </w:t>
      </w:r>
      <w:r>
        <w:rPr>
          <w:i/>
          <w:lang w:val="en-US"/>
        </w:rPr>
        <w:t>SS</w:t>
      </w:r>
      <w:r>
        <w:rPr>
          <w:lang w:val="en-US"/>
        </w:rPr>
        <w:t xml:space="preserve"> and </w:t>
      </w:r>
      <w:r>
        <w:rPr>
          <w:i/>
          <w:lang w:val="en-US"/>
        </w:rPr>
        <w:t>SL</w:t>
      </w:r>
      <w:r>
        <w:rPr>
          <w:lang w:val="en-US"/>
        </w:rPr>
        <w:t xml:space="preserve">) and two copies of the </w:t>
      </w:r>
      <w:r>
        <w:rPr>
          <w:i/>
          <w:lang w:val="en-US"/>
        </w:rPr>
        <w:t>5-HTT</w:t>
      </w:r>
      <w:r>
        <w:rPr>
          <w:lang w:val="en-US"/>
        </w:rPr>
        <w:t xml:space="preserve"> VNTR 12-repeats allele (12/12 homozygous) was over expressed in imprisoned males with higher scores in the impulsiveness-disinhibition index compared with other genotype combinations. Individuals lacking inhibitory control have high levels of impulsivity and aggressiveness and also altered serotoninergic activity (related to </w:t>
      </w:r>
      <w:r>
        <w:rPr>
          <w:i/>
          <w:lang w:val="en-US"/>
        </w:rPr>
        <w:t>5-HTTLPR-S</w:t>
      </w:r>
      <w:r>
        <w:rPr>
          <w:lang w:val="en-US"/>
        </w:rPr>
        <w:t xml:space="preserve"> allele, as previously discussed), thus the above mentioned combination of allelic variants is suggested to increase the risk of impulsive-disinhibited personality in offenders (</w:t>
      </w:r>
      <w:proofErr w:type="spellStart"/>
      <w:r>
        <w:rPr>
          <w:lang w:val="en-US"/>
        </w:rPr>
        <w:t>Aluja</w:t>
      </w:r>
      <w:proofErr w:type="spellEnd"/>
      <w:r>
        <w:rPr>
          <w:lang w:val="en-US"/>
        </w:rPr>
        <w:t xml:space="preserve"> et al., 2009). However, further studies are required to better understand these interactive effects of these alleles on emotional regulation, an important aspect related to psychiatric disorders including aggressive behavior.</w:t>
      </w:r>
    </w:p>
    <w:p w:rsidR="00E04905" w:rsidRPr="00B26E04" w:rsidRDefault="00E04905" w:rsidP="00113B97">
      <w:pPr>
        <w:widowControl w:val="0"/>
        <w:autoSpaceDE w:val="0"/>
        <w:autoSpaceDN w:val="0"/>
        <w:adjustRightInd w:val="0"/>
        <w:spacing w:line="480" w:lineRule="auto"/>
        <w:rPr>
          <w:lang w:val="en-US"/>
        </w:rPr>
      </w:pPr>
    </w:p>
    <w:p w:rsidR="00E04905" w:rsidRPr="00B26E04" w:rsidRDefault="0096787B" w:rsidP="00113B97">
      <w:pPr>
        <w:widowControl w:val="0"/>
        <w:autoSpaceDE w:val="0"/>
        <w:autoSpaceDN w:val="0"/>
        <w:adjustRightInd w:val="0"/>
        <w:spacing w:line="480" w:lineRule="auto"/>
        <w:rPr>
          <w:b/>
          <w:lang w:val="en-US"/>
        </w:rPr>
      </w:pPr>
      <w:r>
        <w:rPr>
          <w:b/>
          <w:lang w:val="en-US"/>
        </w:rPr>
        <w:t>5.1.3. Tryptophan hydroxylase</w:t>
      </w:r>
    </w:p>
    <w:p w:rsidR="00E04905" w:rsidRPr="00B26E04" w:rsidRDefault="0096787B" w:rsidP="00113B97">
      <w:pPr>
        <w:widowControl w:val="0"/>
        <w:autoSpaceDE w:val="0"/>
        <w:autoSpaceDN w:val="0"/>
        <w:adjustRightInd w:val="0"/>
        <w:spacing w:line="480" w:lineRule="auto"/>
        <w:rPr>
          <w:lang w:val="en-US"/>
        </w:rPr>
      </w:pPr>
      <w:r>
        <w:rPr>
          <w:lang w:val="en-US"/>
        </w:rPr>
        <w:tab/>
        <w:t>The 5-HT neurotransmitter is synthesized in a two-steps reaction from the amino acid tryptophan. Tryptophan hydroxylase (TPH) is the enzyme responsible for the rate-limiting step of 5-HT synthesis, catalyzing tryptophan conversion to L-5-hydroxytryptophan (</w:t>
      </w:r>
      <w:proofErr w:type="spellStart"/>
      <w:r>
        <w:rPr>
          <w:lang w:val="en-US"/>
        </w:rPr>
        <w:t>Fitzpatrik</w:t>
      </w:r>
      <w:proofErr w:type="spellEnd"/>
      <w:r>
        <w:rPr>
          <w:lang w:val="en-US"/>
        </w:rPr>
        <w:t xml:space="preserve">, 1999). In humans and other mammals, there are two isoforms of the </w:t>
      </w:r>
      <w:r>
        <w:rPr>
          <w:i/>
          <w:lang w:val="en-US"/>
        </w:rPr>
        <w:t>TPH</w:t>
      </w:r>
      <w:r>
        <w:rPr>
          <w:lang w:val="en-US"/>
        </w:rPr>
        <w:t xml:space="preserve"> gene, encoding for the TPH1 and TPH2 enzymes, which have 71 % of amino acid identity including phosphorylation sites (Walther and Bader, 2003). The </w:t>
      </w:r>
      <w:r>
        <w:rPr>
          <w:i/>
          <w:lang w:val="en-US"/>
        </w:rPr>
        <w:t>TPH</w:t>
      </w:r>
      <w:r>
        <w:rPr>
          <w:lang w:val="en-US"/>
        </w:rPr>
        <w:t xml:space="preserve"> genes are located on different chromosomes in humans (Craig et al., 1991; Walther et al., 2003): </w:t>
      </w:r>
      <w:r>
        <w:rPr>
          <w:i/>
          <w:lang w:val="en-US"/>
        </w:rPr>
        <w:t>TPH1</w:t>
      </w:r>
      <w:r>
        <w:rPr>
          <w:lang w:val="en-US"/>
        </w:rPr>
        <w:t xml:space="preserve"> is located on chromosome 11p15.1 (Gene ID: 7166), while </w:t>
      </w:r>
      <w:r>
        <w:rPr>
          <w:i/>
          <w:lang w:val="en-US"/>
        </w:rPr>
        <w:t>TPH2</w:t>
      </w:r>
      <w:r>
        <w:rPr>
          <w:lang w:val="en-US"/>
        </w:rPr>
        <w:t xml:space="preserve"> on chromosome 12q21.1 (Gene ID: 121278). The two TPH isoforms are differently expressed in the human tissues: </w:t>
      </w:r>
      <w:r>
        <w:rPr>
          <w:i/>
          <w:lang w:val="en-US"/>
        </w:rPr>
        <w:t>TPH1</w:t>
      </w:r>
      <w:r>
        <w:rPr>
          <w:lang w:val="en-US"/>
        </w:rPr>
        <w:t xml:space="preserve"> expression is prevalent in peripheral tissues, while </w:t>
      </w:r>
      <w:r>
        <w:rPr>
          <w:i/>
          <w:lang w:val="en-US"/>
        </w:rPr>
        <w:t>TPH2</w:t>
      </w:r>
      <w:r>
        <w:rPr>
          <w:lang w:val="en-US"/>
        </w:rPr>
        <w:t xml:space="preserve"> is preponderantly expressed in the brain, with the highest mRNA levels found in the raphe nuclei, followed by the frontal cortex, thalamus and hypothalamus, although lower levels are found in the hippocampus and amygdala (Walther and Bader, 2003; Walther et al., 2003; Zhang et al., 2004; </w:t>
      </w:r>
      <w:proofErr w:type="spellStart"/>
      <w:r>
        <w:rPr>
          <w:lang w:val="en-US"/>
        </w:rPr>
        <w:t>Zill</w:t>
      </w:r>
      <w:proofErr w:type="spellEnd"/>
      <w:r>
        <w:rPr>
          <w:lang w:val="en-US"/>
        </w:rPr>
        <w:t xml:space="preserve"> et al., 2004, 2007).</w:t>
      </w:r>
    </w:p>
    <w:p w:rsidR="00B90528" w:rsidRPr="00B26E04" w:rsidRDefault="00B90528" w:rsidP="00113B97">
      <w:pPr>
        <w:widowControl w:val="0"/>
        <w:autoSpaceDE w:val="0"/>
        <w:autoSpaceDN w:val="0"/>
        <w:adjustRightInd w:val="0"/>
        <w:spacing w:line="480" w:lineRule="auto"/>
        <w:rPr>
          <w:lang w:val="en-US"/>
        </w:rPr>
      </w:pPr>
    </w:p>
    <w:p w:rsidR="00E04905" w:rsidRPr="00B26E04" w:rsidRDefault="0096787B" w:rsidP="00113B97">
      <w:pPr>
        <w:widowControl w:val="0"/>
        <w:autoSpaceDE w:val="0"/>
        <w:autoSpaceDN w:val="0"/>
        <w:adjustRightInd w:val="0"/>
        <w:spacing w:line="480" w:lineRule="auto"/>
        <w:rPr>
          <w:b/>
          <w:lang w:val="en-US"/>
        </w:rPr>
      </w:pPr>
      <w:r>
        <w:rPr>
          <w:b/>
          <w:lang w:val="en-US"/>
        </w:rPr>
        <w:t xml:space="preserve">5.1.3.1. Mutations of tryptophan hydroxylase gene and </w:t>
      </w:r>
      <w:r>
        <w:rPr>
          <w:rFonts w:cs="Arial"/>
          <w:b/>
          <w:lang w:val="en-US"/>
        </w:rPr>
        <w:t>aggressive</w:t>
      </w:r>
      <w:r>
        <w:rPr>
          <w:b/>
          <w:lang w:val="en-US"/>
        </w:rPr>
        <w:t xml:space="preserve"> behavior</w:t>
      </w:r>
    </w:p>
    <w:p w:rsidR="00106B23" w:rsidRPr="00B26E04" w:rsidRDefault="0096787B" w:rsidP="00113B97">
      <w:pPr>
        <w:widowControl w:val="0"/>
        <w:autoSpaceDE w:val="0"/>
        <w:autoSpaceDN w:val="0"/>
        <w:adjustRightInd w:val="0"/>
        <w:spacing w:line="480" w:lineRule="auto"/>
        <w:rPr>
          <w:lang w:val="en-US"/>
        </w:rPr>
      </w:pPr>
      <w:r>
        <w:rPr>
          <w:lang w:val="en-US"/>
        </w:rPr>
        <w:tab/>
        <w:t xml:space="preserve">Alterations in TPH activity with effects on 5-HT levels could be of great interest in clarifying the biological pathways characteristic of abnormal social behaviors (Table 1). However, this is a complex issue and the overall 5-HT system activity, rather than 5-HT neurotransmitter levels alone, needs to be further investigated in relation to aggressive outcome. In intron 7 of </w:t>
      </w:r>
      <w:r>
        <w:rPr>
          <w:i/>
          <w:lang w:val="en-US"/>
        </w:rPr>
        <w:t>TPH1</w:t>
      </w:r>
      <w:r>
        <w:rPr>
          <w:lang w:val="en-US"/>
        </w:rPr>
        <w:t xml:space="preserve"> gene, two SNPs have been identified: rs1799913 and rs1800532, respectively (Nielsen et al., 1997). In some studies, these polymorphisms were associated with anger related trait, psychiatric disorders with aggressive characteristics, such as schizophrenia, and with higher risk of suicidal behavior and alcoholism (Nielsen et al., </w:t>
      </w:r>
      <w:r>
        <w:rPr>
          <w:lang w:val="en-US"/>
        </w:rPr>
        <w:lastRenderedPageBreak/>
        <w:t xml:space="preserve">1998; </w:t>
      </w:r>
      <w:proofErr w:type="spellStart"/>
      <w:r>
        <w:rPr>
          <w:lang w:val="en-US"/>
        </w:rPr>
        <w:t>Rujescu</w:t>
      </w:r>
      <w:proofErr w:type="spellEnd"/>
      <w:r>
        <w:rPr>
          <w:lang w:val="en-US"/>
        </w:rPr>
        <w:t xml:space="preserve"> et al., 2002; </w:t>
      </w:r>
      <w:proofErr w:type="spellStart"/>
      <w:r>
        <w:rPr>
          <w:lang w:val="en-US"/>
        </w:rPr>
        <w:t>Saetre</w:t>
      </w:r>
      <w:proofErr w:type="spellEnd"/>
      <w:r>
        <w:rPr>
          <w:lang w:val="en-US"/>
        </w:rPr>
        <w:t xml:space="preserve"> et al., 2010; </w:t>
      </w:r>
      <w:proofErr w:type="spellStart"/>
      <w:r>
        <w:rPr>
          <w:lang w:val="en-US"/>
        </w:rPr>
        <w:t>Zaboli</w:t>
      </w:r>
      <w:proofErr w:type="spellEnd"/>
      <w:r>
        <w:rPr>
          <w:lang w:val="en-US"/>
        </w:rPr>
        <w:t xml:space="preserve"> et al., 2006). Aggression related to alcohol is associated to high alcohol consumption and dependence, so that up to 50 % of men with alcohol dependence have aggressive and violent behavior (Beck and Heinz, 2013) with stronger effects for men compared to women (</w:t>
      </w:r>
      <w:proofErr w:type="spellStart"/>
      <w:r>
        <w:rPr>
          <w:lang w:val="en-US"/>
        </w:rPr>
        <w:t>Giancola</w:t>
      </w:r>
      <w:proofErr w:type="spellEnd"/>
      <w:r>
        <w:rPr>
          <w:lang w:val="en-US"/>
        </w:rPr>
        <w:t xml:space="preserve"> et al., 2009). Acute episodes of high alcohol drinking induce aggressive and violent behavior more than chronic alcohol consumption (</w:t>
      </w:r>
      <w:proofErr w:type="spellStart"/>
      <w:r>
        <w:rPr>
          <w:lang w:val="en-US"/>
        </w:rPr>
        <w:t>Chermack</w:t>
      </w:r>
      <w:proofErr w:type="spellEnd"/>
      <w:r>
        <w:rPr>
          <w:lang w:val="en-US"/>
        </w:rPr>
        <w:t xml:space="preserve"> and Blow, 2002; Collins and </w:t>
      </w:r>
      <w:proofErr w:type="spellStart"/>
      <w:r>
        <w:rPr>
          <w:lang w:val="en-US"/>
        </w:rPr>
        <w:t>Schlenger</w:t>
      </w:r>
      <w:proofErr w:type="spellEnd"/>
      <w:r>
        <w:rPr>
          <w:lang w:val="en-US"/>
        </w:rPr>
        <w:t xml:space="preserve">, 1988). Indeed, a single episode of binge drinking can produce aggression and injury (Beck and Heinz, 2013; </w:t>
      </w:r>
      <w:proofErr w:type="spellStart"/>
      <w:r>
        <w:rPr>
          <w:lang w:val="en-US"/>
        </w:rPr>
        <w:t>Lejuez</w:t>
      </w:r>
      <w:proofErr w:type="spellEnd"/>
      <w:r>
        <w:rPr>
          <w:lang w:val="en-US"/>
        </w:rPr>
        <w:t xml:space="preserve"> et al., 2010). High alcohol consumption is also associated with self-harm and suicide (Beck and Heinz, 2013), as alcohol dependence or abuse is the second most common cause of suicide after depression (</w:t>
      </w:r>
      <w:r>
        <w:rPr>
          <w:color w:val="000000"/>
          <w:lang w:val="en-US"/>
        </w:rPr>
        <w:t>Larkin et al., 2017; Roche et al., 2018).</w:t>
      </w:r>
    </w:p>
    <w:p w:rsidR="00E04905" w:rsidRPr="00B26E04" w:rsidRDefault="0096787B" w:rsidP="00113B97">
      <w:pPr>
        <w:widowControl w:val="0"/>
        <w:autoSpaceDE w:val="0"/>
        <w:autoSpaceDN w:val="0"/>
        <w:adjustRightInd w:val="0"/>
        <w:spacing w:line="480" w:lineRule="auto"/>
        <w:rPr>
          <w:lang w:val="en-US"/>
        </w:rPr>
      </w:pPr>
      <w:r>
        <w:rPr>
          <w:lang w:val="en-US"/>
        </w:rPr>
        <w:tab/>
        <w:t xml:space="preserve">No significant correlation was also observed between rs1800532 SNP and anger-related traits in either aggressive or non-aggressive schizophrenic patients compared to healthy volunteers in a selected population (Kim et al., 2010). All these findings suggest that </w:t>
      </w:r>
      <w:r>
        <w:rPr>
          <w:i/>
          <w:lang w:val="en-US"/>
        </w:rPr>
        <w:t>TPH1</w:t>
      </w:r>
      <w:r>
        <w:rPr>
          <w:lang w:val="en-US"/>
        </w:rPr>
        <w:t xml:space="preserve"> genotype alone could not be involved in aggressive trait, but could be "one of the genes" (</w:t>
      </w:r>
      <w:proofErr w:type="spellStart"/>
      <w:r>
        <w:rPr>
          <w:lang w:val="en-US"/>
        </w:rPr>
        <w:t>Courtet</w:t>
      </w:r>
      <w:proofErr w:type="spellEnd"/>
      <w:r>
        <w:rPr>
          <w:lang w:val="en-US"/>
        </w:rPr>
        <w:t xml:space="preserve"> et al., 2005; Kim et al., 2010; </w:t>
      </w:r>
      <w:proofErr w:type="spellStart"/>
      <w:r>
        <w:rPr>
          <w:lang w:val="en-US"/>
        </w:rPr>
        <w:t>Manuck</w:t>
      </w:r>
      <w:proofErr w:type="spellEnd"/>
      <w:r>
        <w:rPr>
          <w:lang w:val="en-US"/>
        </w:rPr>
        <w:t xml:space="preserve"> et al., 1999; Nielsen et al., 1998).</w:t>
      </w:r>
    </w:p>
    <w:p w:rsidR="00E04905" w:rsidRPr="00B26E04" w:rsidRDefault="0096787B" w:rsidP="00113B97">
      <w:pPr>
        <w:widowControl w:val="0"/>
        <w:autoSpaceDE w:val="0"/>
        <w:autoSpaceDN w:val="0"/>
        <w:adjustRightInd w:val="0"/>
        <w:spacing w:line="480" w:lineRule="auto"/>
        <w:rPr>
          <w:lang w:val="en-US"/>
        </w:rPr>
      </w:pPr>
      <w:r>
        <w:rPr>
          <w:lang w:val="en-US"/>
        </w:rPr>
        <w:tab/>
        <w:t xml:space="preserve">Impairment of the </w:t>
      </w:r>
      <w:r>
        <w:rPr>
          <w:i/>
          <w:lang w:val="en-US"/>
        </w:rPr>
        <w:t>TPH2</w:t>
      </w:r>
      <w:r>
        <w:rPr>
          <w:lang w:val="en-US"/>
        </w:rPr>
        <w:t xml:space="preserve"> gene expression have been associated with </w:t>
      </w:r>
      <w:r>
        <w:rPr>
          <w:rFonts w:cs="Arial"/>
          <w:lang w:val="en-US"/>
        </w:rPr>
        <w:t>aggressive</w:t>
      </w:r>
      <w:r>
        <w:rPr>
          <w:lang w:val="en-US"/>
        </w:rPr>
        <w:t xml:space="preserve"> outcomes and suicidal behavior in subjects affected by borderline personality disorders (Perez-Rodriguez et al., 2010). Variations in </w:t>
      </w:r>
      <w:r>
        <w:rPr>
          <w:i/>
          <w:lang w:val="en-US"/>
        </w:rPr>
        <w:t>TPH2</w:t>
      </w:r>
      <w:r>
        <w:rPr>
          <w:lang w:val="en-US"/>
        </w:rPr>
        <w:t xml:space="preserve"> gene could influence anxiety-related traits, representing risk factor for emotional instability as well as personality disorders (Gutknecht et al., 2007).To date, some works reported contradictory data on the correlation between 5-HT levels and aggression in mice: on one hand aggressiveness has been related to increased 5-HT levels (Cases et al., 1995; Kulikov et al., 2005; </w:t>
      </w:r>
      <w:proofErr w:type="spellStart"/>
      <w:r>
        <w:rPr>
          <w:lang w:val="en-US"/>
        </w:rPr>
        <w:t>Osipova</w:t>
      </w:r>
      <w:proofErr w:type="spellEnd"/>
      <w:r>
        <w:rPr>
          <w:lang w:val="en-US"/>
        </w:rPr>
        <w:t xml:space="preserve"> et al., 2009), on the other hand, increased aggressiveness has been associated with decreased brain 5-HT levels (</w:t>
      </w:r>
      <w:proofErr w:type="spellStart"/>
      <w:r>
        <w:rPr>
          <w:lang w:val="en-US"/>
        </w:rPr>
        <w:t>Caramaschi</w:t>
      </w:r>
      <w:proofErr w:type="spellEnd"/>
      <w:r>
        <w:rPr>
          <w:lang w:val="en-US"/>
        </w:rPr>
        <w:t xml:space="preserve"> et al., 2007). These conflicting results are likely due to the use of a </w:t>
      </w:r>
      <w:proofErr w:type="spellStart"/>
      <w:r>
        <w:rPr>
          <w:lang w:val="en-US"/>
        </w:rPr>
        <w:t>non specific</w:t>
      </w:r>
      <w:proofErr w:type="spellEnd"/>
      <w:r>
        <w:rPr>
          <w:lang w:val="en-US"/>
        </w:rPr>
        <w:t xml:space="preserve"> marker like 5-HT levels that is total tissue concentration (</w:t>
      </w:r>
      <w:proofErr w:type="spellStart"/>
      <w:r>
        <w:rPr>
          <w:lang w:val="en-US"/>
        </w:rPr>
        <w:t>Caramaschi</w:t>
      </w:r>
      <w:proofErr w:type="spellEnd"/>
      <w:r>
        <w:rPr>
          <w:lang w:val="en-US"/>
        </w:rPr>
        <w:t xml:space="preserve"> et al., 2007), instead of more specific markers like 5-HT synthesis, release, binding by receptors and metabolism in specific </w:t>
      </w:r>
      <w:r>
        <w:rPr>
          <w:lang w:val="en-US"/>
        </w:rPr>
        <w:lastRenderedPageBreak/>
        <w:t>compartments. Moreover, these mice were highly aggressive and had higher functional sensitivity of the 5-HT</w:t>
      </w:r>
      <w:r>
        <w:rPr>
          <w:vertAlign w:val="subscript"/>
          <w:lang w:val="en-US"/>
        </w:rPr>
        <w:t>1A</w:t>
      </w:r>
      <w:r>
        <w:rPr>
          <w:lang w:val="en-US"/>
        </w:rPr>
        <w:t xml:space="preserve"> receptor, specifically the 5-HT</w:t>
      </w:r>
      <w:r>
        <w:rPr>
          <w:vertAlign w:val="subscript"/>
          <w:lang w:val="en-US"/>
        </w:rPr>
        <w:t>1A</w:t>
      </w:r>
      <w:r>
        <w:rPr>
          <w:lang w:val="en-US"/>
        </w:rPr>
        <w:t xml:space="preserve"> pre-synaptic </w:t>
      </w:r>
      <w:proofErr w:type="spellStart"/>
      <w:r>
        <w:rPr>
          <w:lang w:val="en-US"/>
        </w:rPr>
        <w:t>autoreceptors</w:t>
      </w:r>
      <w:proofErr w:type="spellEnd"/>
      <w:r>
        <w:rPr>
          <w:lang w:val="en-US"/>
        </w:rPr>
        <w:t xml:space="preserve"> with consequent suppression of 5-HT synthesis, turnover and release in the diverse projection areas (</w:t>
      </w:r>
      <w:proofErr w:type="spellStart"/>
      <w:r>
        <w:rPr>
          <w:lang w:val="en-US"/>
        </w:rPr>
        <w:t>Caramaschi</w:t>
      </w:r>
      <w:proofErr w:type="spellEnd"/>
      <w:r>
        <w:rPr>
          <w:lang w:val="en-US"/>
        </w:rPr>
        <w:t xml:space="preserve"> et al., 2007). This suggests that this issue is deeply complex, and the overall 5-HT system activity (rather than neurotransmitter levels alone) needs to be further investigated.</w:t>
      </w:r>
    </w:p>
    <w:p w:rsidR="00E04905" w:rsidRPr="00B26E04" w:rsidRDefault="0096787B" w:rsidP="00113B97">
      <w:pPr>
        <w:widowControl w:val="0"/>
        <w:autoSpaceDE w:val="0"/>
        <w:autoSpaceDN w:val="0"/>
        <w:adjustRightInd w:val="0"/>
        <w:spacing w:line="480" w:lineRule="auto"/>
        <w:rPr>
          <w:lang w:val="en-US"/>
        </w:rPr>
      </w:pPr>
      <w:r>
        <w:rPr>
          <w:lang w:val="en-US"/>
        </w:rPr>
        <w:tab/>
        <w:t xml:space="preserve">An example of gain of function mutation in </w:t>
      </w:r>
      <w:r>
        <w:rPr>
          <w:i/>
          <w:lang w:val="en-US"/>
        </w:rPr>
        <w:t>TPH2</w:t>
      </w:r>
      <w:r>
        <w:rPr>
          <w:lang w:val="en-US"/>
        </w:rPr>
        <w:t xml:space="preserve"> gene is represented by the SNP A1404G, that leads to the substitution of glutamine with arginine at position 468 (Q468R) in chimpanzee, and this SNP was associated with significantly higher neuroticism (Hong et al., 2011). Interestingly, in humans the activity of </w:t>
      </w:r>
      <w:r>
        <w:rPr>
          <w:i/>
          <w:lang w:val="en-US"/>
        </w:rPr>
        <w:t>TPH2</w:t>
      </w:r>
      <w:r>
        <w:rPr>
          <w:lang w:val="en-US"/>
        </w:rPr>
        <w:t xml:space="preserve"> gene modulates amygdala responsiveness to both positive and negative emotional stimuli, enhancing the amygdala responsiveness in T carriers of SNP rs4570625 (Brown et al., 2005; </w:t>
      </w:r>
      <w:proofErr w:type="spellStart"/>
      <w:r>
        <w:rPr>
          <w:lang w:val="en-US"/>
        </w:rPr>
        <w:t>Canli</w:t>
      </w:r>
      <w:proofErr w:type="spellEnd"/>
      <w:r>
        <w:rPr>
          <w:lang w:val="en-US"/>
        </w:rPr>
        <w:t xml:space="preserve"> et al., 2005). Another study revealed an association between </w:t>
      </w:r>
      <w:r>
        <w:rPr>
          <w:i/>
          <w:lang w:val="en-US"/>
        </w:rPr>
        <w:t>TPH2</w:t>
      </w:r>
      <w:r>
        <w:rPr>
          <w:lang w:val="en-US"/>
        </w:rPr>
        <w:t xml:space="preserve"> rs6582071 SNP and impulsive aggression in children with attention-deficit/hyperactivity disorder (</w:t>
      </w:r>
      <w:proofErr w:type="spellStart"/>
      <w:r>
        <w:rPr>
          <w:lang w:val="en-US"/>
        </w:rPr>
        <w:t>Oades</w:t>
      </w:r>
      <w:proofErr w:type="spellEnd"/>
      <w:r>
        <w:rPr>
          <w:lang w:val="en-US"/>
        </w:rPr>
        <w:t xml:space="preserve"> et al., 2008). A pilot investigation on different </w:t>
      </w:r>
      <w:r>
        <w:rPr>
          <w:i/>
          <w:lang w:val="en-US"/>
        </w:rPr>
        <w:t>TPH2</w:t>
      </w:r>
      <w:r>
        <w:rPr>
          <w:lang w:val="en-US"/>
        </w:rPr>
        <w:t xml:space="preserve"> polymorphisms indicated that they could modulate brain 5-HT synthesis in humans in a genotype-dependent manner, and that some polymorphism can affect directly or in association with other SNPs the </w:t>
      </w:r>
      <w:r>
        <w:rPr>
          <w:i/>
          <w:lang w:val="en-US"/>
        </w:rPr>
        <w:t>TPH2</w:t>
      </w:r>
      <w:r>
        <w:rPr>
          <w:lang w:val="en-US"/>
        </w:rPr>
        <w:t xml:space="preserve"> mRNA expression levels in specific brain areas, as in the case of rs6582071 in orbitofrontal cortex and rs4570625 in pons (</w:t>
      </w:r>
      <w:proofErr w:type="spellStart"/>
      <w:r>
        <w:rPr>
          <w:lang w:val="en-US"/>
        </w:rPr>
        <w:t>Booij</w:t>
      </w:r>
      <w:proofErr w:type="spellEnd"/>
      <w:r>
        <w:rPr>
          <w:lang w:val="en-US"/>
        </w:rPr>
        <w:t xml:space="preserve"> et al., 2012; Lim et al., 2007).</w:t>
      </w:r>
    </w:p>
    <w:p w:rsidR="00E04905" w:rsidRPr="00B26E04" w:rsidRDefault="0096787B" w:rsidP="00113B97">
      <w:pPr>
        <w:widowControl w:val="0"/>
        <w:autoSpaceDE w:val="0"/>
        <w:autoSpaceDN w:val="0"/>
        <w:adjustRightInd w:val="0"/>
        <w:spacing w:line="480" w:lineRule="auto"/>
        <w:rPr>
          <w:b/>
          <w:lang w:val="en-US"/>
        </w:rPr>
      </w:pPr>
      <w:r>
        <w:rPr>
          <w:lang w:val="en-US"/>
        </w:rPr>
        <w:tab/>
        <w:t xml:space="preserve">Nowadays, the available data on </w:t>
      </w:r>
      <w:r>
        <w:rPr>
          <w:i/>
          <w:lang w:val="en-US"/>
        </w:rPr>
        <w:t>TPH2</w:t>
      </w:r>
      <w:r>
        <w:rPr>
          <w:lang w:val="en-US"/>
        </w:rPr>
        <w:t xml:space="preserve"> polymorphisms effects on human behavior involved only small group of individuals, and more accurate and large investigations are required to confirm their role on the activity of 5-HT system and consequences on behavior. Indeed, studies on the relationship between </w:t>
      </w:r>
      <w:r>
        <w:rPr>
          <w:i/>
          <w:lang w:val="en-US"/>
        </w:rPr>
        <w:t>TPH2</w:t>
      </w:r>
      <w:r>
        <w:rPr>
          <w:lang w:val="en-US"/>
        </w:rPr>
        <w:t xml:space="preserve"> polymorphisms and human </w:t>
      </w:r>
      <w:r>
        <w:rPr>
          <w:rFonts w:cs="Arial"/>
          <w:lang w:val="en-US"/>
        </w:rPr>
        <w:t>aggressive</w:t>
      </w:r>
      <w:r>
        <w:rPr>
          <w:lang w:val="en-US"/>
        </w:rPr>
        <w:t xml:space="preserve"> behaviors are insufficient and the available studies often show a link between </w:t>
      </w:r>
      <w:r>
        <w:rPr>
          <w:i/>
          <w:lang w:val="en-US"/>
        </w:rPr>
        <w:t>TPH2</w:t>
      </w:r>
      <w:r>
        <w:rPr>
          <w:lang w:val="en-US"/>
        </w:rPr>
        <w:t xml:space="preserve"> polymorphisms and pathological aggressive behavior, but without any robust and reproducible statistical significance. In terms of the neuroimaging literature, these caveats also depend on that fact that small sample sizes have been often employed which also </w:t>
      </w:r>
      <w:r>
        <w:rPr>
          <w:lang w:val="en-US"/>
        </w:rPr>
        <w:lastRenderedPageBreak/>
        <w:t>compounded by the different frequency of the relevant genotypes. Although it is difficult to perform a priori power analyses for neuroimaging studies, as these are usually based on voxel-wise repeated measures, a small sample size is a typical shortcoming of the imaging literature and further studies on larger cohorts are indeed needed to assess the replicability of the findings.</w:t>
      </w:r>
    </w:p>
    <w:p w:rsidR="00E04905" w:rsidRPr="00B26E04" w:rsidRDefault="00E04905" w:rsidP="00113B97">
      <w:pPr>
        <w:widowControl w:val="0"/>
        <w:autoSpaceDE w:val="0"/>
        <w:autoSpaceDN w:val="0"/>
        <w:adjustRightInd w:val="0"/>
        <w:spacing w:line="480" w:lineRule="auto"/>
        <w:rPr>
          <w:lang w:val="en-US"/>
        </w:rPr>
      </w:pPr>
    </w:p>
    <w:p w:rsidR="00E04905" w:rsidRPr="00B26E04" w:rsidRDefault="0096787B" w:rsidP="00113B97">
      <w:pPr>
        <w:widowControl w:val="0"/>
        <w:autoSpaceDE w:val="0"/>
        <w:autoSpaceDN w:val="0"/>
        <w:adjustRightInd w:val="0"/>
        <w:spacing w:line="480" w:lineRule="auto"/>
        <w:rPr>
          <w:b/>
          <w:lang w:val="en-US"/>
        </w:rPr>
      </w:pPr>
      <w:r>
        <w:rPr>
          <w:b/>
          <w:lang w:val="en-US"/>
        </w:rPr>
        <w:t>5.1.4. The serotonin receptors</w:t>
      </w:r>
    </w:p>
    <w:p w:rsidR="00E04905" w:rsidRPr="00B26E04" w:rsidRDefault="0096787B" w:rsidP="00113B97">
      <w:pPr>
        <w:widowControl w:val="0"/>
        <w:autoSpaceDE w:val="0"/>
        <w:autoSpaceDN w:val="0"/>
        <w:adjustRightInd w:val="0"/>
        <w:spacing w:line="480" w:lineRule="auto"/>
        <w:rPr>
          <w:lang w:val="en-US"/>
        </w:rPr>
      </w:pPr>
      <w:r>
        <w:rPr>
          <w:lang w:val="en-US"/>
        </w:rPr>
        <w:tab/>
        <w:t>The 5-HT receptor is another interesting target of studies dealing with the identification of biological mechanism through which genes predispose to aggressive behaviors (Table 1). The 5-HT receptors are classified into seven families (from 5-HT</w:t>
      </w:r>
      <w:r>
        <w:rPr>
          <w:vertAlign w:val="subscript"/>
          <w:lang w:val="en-US"/>
        </w:rPr>
        <w:t xml:space="preserve">1 </w:t>
      </w:r>
      <w:r>
        <w:rPr>
          <w:lang w:val="en-US"/>
        </w:rPr>
        <w:t>to 5-HT</w:t>
      </w:r>
      <w:r>
        <w:rPr>
          <w:vertAlign w:val="subscript"/>
          <w:lang w:val="en-US"/>
        </w:rPr>
        <w:t>7</w:t>
      </w:r>
      <w:r>
        <w:rPr>
          <w:lang w:val="en-US"/>
        </w:rPr>
        <w:t>), that include 14 subtypes, and they are able to produce excitatory or inhibitory neuronal responses (Hoyer et al., 1994). In humans, the 5-HT</w:t>
      </w:r>
      <w:r>
        <w:rPr>
          <w:vertAlign w:val="subscript"/>
          <w:lang w:val="en-US"/>
        </w:rPr>
        <w:t>1,2,4,5,6,7</w:t>
      </w:r>
      <w:r>
        <w:rPr>
          <w:lang w:val="en-US"/>
        </w:rPr>
        <w:t xml:space="preserve"> receptors are G-protein coupled receptors while the 5-HT</w:t>
      </w:r>
      <w:r>
        <w:rPr>
          <w:vertAlign w:val="subscript"/>
          <w:lang w:val="en-US"/>
        </w:rPr>
        <w:t>3</w:t>
      </w:r>
      <w:r>
        <w:rPr>
          <w:lang w:val="en-US"/>
        </w:rPr>
        <w:t xml:space="preserve"> is an ionotropic receptor that belongs to the nicotinic acetylcholine receptor superfamily (Barnes and Sharp, 1999; Hannon and Hoyer, 2008; Nichols and Nichols, 2008; </w:t>
      </w:r>
      <w:proofErr w:type="spellStart"/>
      <w:r>
        <w:rPr>
          <w:lang w:val="en-US"/>
        </w:rPr>
        <w:t>Saudou</w:t>
      </w:r>
      <w:proofErr w:type="spellEnd"/>
      <w:r>
        <w:rPr>
          <w:lang w:val="en-US"/>
        </w:rPr>
        <w:t xml:space="preserve"> and Hen, 1994). All 5-HT receptors are involved in 5-HT neurotransmission and depending on their subtype they can be pre- and/or post-</w:t>
      </w:r>
      <w:proofErr w:type="spellStart"/>
      <w:r>
        <w:rPr>
          <w:lang w:val="en-US"/>
        </w:rPr>
        <w:t>synaptically</w:t>
      </w:r>
      <w:proofErr w:type="spellEnd"/>
      <w:r>
        <w:rPr>
          <w:lang w:val="en-US"/>
        </w:rPr>
        <w:t xml:space="preserve"> localized with different functions (Barnes and Sharp, 1999).</w:t>
      </w:r>
    </w:p>
    <w:p w:rsidR="00E04905" w:rsidRPr="00B26E04" w:rsidRDefault="0096787B" w:rsidP="00113B97">
      <w:pPr>
        <w:widowControl w:val="0"/>
        <w:autoSpaceDE w:val="0"/>
        <w:autoSpaceDN w:val="0"/>
        <w:adjustRightInd w:val="0"/>
        <w:spacing w:line="480" w:lineRule="auto"/>
        <w:rPr>
          <w:lang w:val="en-US"/>
        </w:rPr>
      </w:pPr>
      <w:r>
        <w:rPr>
          <w:lang w:val="en-US"/>
        </w:rPr>
        <w:tab/>
        <w:t xml:space="preserve">The influence of 5-HT receptors in aggressiveness was supported by several studies sustaining the "5-HT deficiency hypothesis" of aggressive behavior (Berman et al., 1997; Brown et al., 1982; </w:t>
      </w:r>
      <w:proofErr w:type="spellStart"/>
      <w:r>
        <w:rPr>
          <w:lang w:val="en-US"/>
        </w:rPr>
        <w:t>Coccaro</w:t>
      </w:r>
      <w:proofErr w:type="spellEnd"/>
      <w:r>
        <w:rPr>
          <w:lang w:val="en-US"/>
        </w:rPr>
        <w:t>, 1989; Higley al., 1996), although this evidence is still controversial due to contradictory reports, methodological limitations, and high degree of complexity, as previously stated (Duke et al., 2013). However, individuals with high and low aggressiveness trait may differ in the regulation of 5-HT neurotransmission at different levels. In a PET study on violent offenders it was found that binding to striatal 5-HT</w:t>
      </w:r>
      <w:r>
        <w:rPr>
          <w:vertAlign w:val="subscript"/>
          <w:lang w:val="en-US"/>
        </w:rPr>
        <w:t>1B</w:t>
      </w:r>
      <w:r>
        <w:rPr>
          <w:lang w:val="en-US"/>
        </w:rPr>
        <w:t xml:space="preserve"> receptor was positively correlated with trait anger and psychopathy compared to </w:t>
      </w:r>
      <w:proofErr w:type="spellStart"/>
      <w:r>
        <w:rPr>
          <w:lang w:val="en-US"/>
        </w:rPr>
        <w:t>non offender</w:t>
      </w:r>
      <w:proofErr w:type="spellEnd"/>
      <w:r>
        <w:rPr>
          <w:lang w:val="en-US"/>
        </w:rPr>
        <w:t xml:space="preserve"> control</w:t>
      </w:r>
      <w:r w:rsidR="006803DC">
        <w:rPr>
          <w:lang w:val="en-US"/>
        </w:rPr>
        <w:t>s</w:t>
      </w:r>
      <w:r>
        <w:rPr>
          <w:lang w:val="en-US"/>
        </w:rPr>
        <w:t xml:space="preserve"> (da Cunha-Bang et al., 2017).</w:t>
      </w:r>
    </w:p>
    <w:p w:rsidR="007F5A13" w:rsidRPr="00B26E04" w:rsidRDefault="007F5A13" w:rsidP="00113B97">
      <w:pPr>
        <w:widowControl w:val="0"/>
        <w:autoSpaceDE w:val="0"/>
        <w:autoSpaceDN w:val="0"/>
        <w:adjustRightInd w:val="0"/>
        <w:spacing w:line="480" w:lineRule="auto"/>
        <w:rPr>
          <w:lang w:val="en-US"/>
        </w:rPr>
      </w:pPr>
    </w:p>
    <w:p w:rsidR="00E04905" w:rsidRPr="00B26E04" w:rsidRDefault="0096787B" w:rsidP="00113B97">
      <w:pPr>
        <w:widowControl w:val="0"/>
        <w:autoSpaceDE w:val="0"/>
        <w:autoSpaceDN w:val="0"/>
        <w:adjustRightInd w:val="0"/>
        <w:spacing w:line="480" w:lineRule="auto"/>
        <w:rPr>
          <w:b/>
          <w:lang w:val="en-US"/>
        </w:rPr>
      </w:pPr>
      <w:r>
        <w:rPr>
          <w:b/>
          <w:lang w:val="en-US"/>
        </w:rPr>
        <w:t>5.1.4.1. Mutations of serotonin receptor gene and susceptibility to antisocial behavior</w:t>
      </w:r>
    </w:p>
    <w:p w:rsidR="00E04905" w:rsidRPr="00B26E04" w:rsidRDefault="0096787B" w:rsidP="00113B97">
      <w:pPr>
        <w:widowControl w:val="0"/>
        <w:autoSpaceDE w:val="0"/>
        <w:autoSpaceDN w:val="0"/>
        <w:adjustRightInd w:val="0"/>
        <w:spacing w:line="480" w:lineRule="auto"/>
        <w:rPr>
          <w:lang w:val="en-US"/>
        </w:rPr>
      </w:pPr>
      <w:r>
        <w:rPr>
          <w:lang w:val="en-US"/>
        </w:rPr>
        <w:tab/>
        <w:t>Several functional polymorphisms were found in 5-HT receptors genes and some of these were shown to have effects on social behavior. This is for example the case of two SNP at 5’ and 3’-untranslated regions (UTRs) of the 5-HT</w:t>
      </w:r>
      <w:r>
        <w:rPr>
          <w:vertAlign w:val="subscript"/>
          <w:lang w:val="en-US"/>
        </w:rPr>
        <w:t>1B</w:t>
      </w:r>
      <w:r>
        <w:rPr>
          <w:lang w:val="en-US"/>
        </w:rPr>
        <w:t xml:space="preserve"> receptor gene (namely, </w:t>
      </w:r>
      <w:r>
        <w:rPr>
          <w:i/>
          <w:lang w:val="en-US"/>
        </w:rPr>
        <w:t xml:space="preserve">HTR1B </w:t>
      </w:r>
      <w:r>
        <w:rPr>
          <w:lang w:val="en-US"/>
        </w:rPr>
        <w:t>gene located on chromosome 6q14.1; Gene ID: 3351): the SNP rs130058 and the rs13212041. The SNP rs130058 on 5’-UTR seems to regulate the expression of 5-HT</w:t>
      </w:r>
      <w:r>
        <w:rPr>
          <w:vertAlign w:val="subscript"/>
          <w:lang w:val="en-US"/>
        </w:rPr>
        <w:t>1B</w:t>
      </w:r>
      <w:r>
        <w:rPr>
          <w:lang w:val="en-US"/>
        </w:rPr>
        <w:t>, as demonstrated in cell line (</w:t>
      </w:r>
      <w:proofErr w:type="spellStart"/>
      <w:r>
        <w:rPr>
          <w:lang w:val="en-US"/>
        </w:rPr>
        <w:t>Duan</w:t>
      </w:r>
      <w:proofErr w:type="spellEnd"/>
      <w:r>
        <w:rPr>
          <w:lang w:val="en-US"/>
        </w:rPr>
        <w:t xml:space="preserve"> et al., 2003), and T homozygous individuals had significantly higher impulsive-aggressive behavior, indicating that T carriers are inclined to higher levels of impulsivity and lifetime aggression (Zouk et al., 2007). The common human SNP rs13212041 on 3’-UTR is able to alter the </w:t>
      </w:r>
      <w:proofErr w:type="spellStart"/>
      <w:r>
        <w:rPr>
          <w:lang w:val="en-US"/>
        </w:rPr>
        <w:t>nucleotidic</w:t>
      </w:r>
      <w:proofErr w:type="spellEnd"/>
      <w:r>
        <w:rPr>
          <w:lang w:val="en-US"/>
        </w:rPr>
        <w:t xml:space="preserve"> binding site on </w:t>
      </w:r>
      <w:r>
        <w:rPr>
          <w:i/>
          <w:lang w:val="en-US"/>
        </w:rPr>
        <w:t>HTR1B</w:t>
      </w:r>
      <w:r>
        <w:rPr>
          <w:lang w:val="en-US"/>
        </w:rPr>
        <w:t xml:space="preserve"> mRNA for the miR-96, the microRNA that directly silences this mRNA (Jensen et al., 2009). Therefore, individuals with ancestral A element had reduced </w:t>
      </w:r>
      <w:r>
        <w:rPr>
          <w:i/>
          <w:lang w:val="en-US"/>
        </w:rPr>
        <w:t>HTR1B</w:t>
      </w:r>
      <w:r>
        <w:rPr>
          <w:lang w:val="en-US"/>
        </w:rPr>
        <w:t xml:space="preserve"> expression by miR-96 (A-allele mRNA repressed by miR-96) and greater risk of aggressive behaviors (</w:t>
      </w:r>
      <w:proofErr w:type="spellStart"/>
      <w:r>
        <w:rPr>
          <w:lang w:val="en-US"/>
        </w:rPr>
        <w:t>self report</w:t>
      </w:r>
      <w:proofErr w:type="spellEnd"/>
      <w:r>
        <w:rPr>
          <w:lang w:val="en-US"/>
        </w:rPr>
        <w:t xml:space="preserve"> anger and hostility) and impulsivity, compared to G-element carriers who had attenuated repression activity (G-allele mRNA attenuate miR-96 regulatory function) due to common variant disruption of the nucleotide critical for the interaction with miR-96 (Conner et al., 2010; Jensen et al., 2009).</w:t>
      </w:r>
    </w:p>
    <w:p w:rsidR="00E04905" w:rsidRPr="00B26E04" w:rsidRDefault="0096787B" w:rsidP="00113B97">
      <w:pPr>
        <w:widowControl w:val="0"/>
        <w:autoSpaceDE w:val="0"/>
        <w:autoSpaceDN w:val="0"/>
        <w:adjustRightInd w:val="0"/>
        <w:spacing w:line="480" w:lineRule="auto"/>
        <w:rPr>
          <w:lang w:val="en-US"/>
        </w:rPr>
      </w:pPr>
      <w:r>
        <w:rPr>
          <w:lang w:val="en-US"/>
        </w:rPr>
        <w:tab/>
        <w:t xml:space="preserve">Some polymorphisms in 5-HT receptor genes are population-specific, </w:t>
      </w:r>
      <w:r>
        <w:rPr>
          <w:rFonts w:eastAsia="Times New Roman"/>
          <w:lang w:val="en-US"/>
        </w:rPr>
        <w:t>as mentioned</w:t>
      </w:r>
      <w:r>
        <w:rPr>
          <w:lang w:val="en-US"/>
        </w:rPr>
        <w:t xml:space="preserve"> before for the </w:t>
      </w:r>
      <w:r>
        <w:rPr>
          <w:i/>
          <w:lang w:val="en-US"/>
        </w:rPr>
        <w:t>5-HTT</w:t>
      </w:r>
      <w:r>
        <w:rPr>
          <w:lang w:val="en-US"/>
        </w:rPr>
        <w:t xml:space="preserve"> gene polymorphism (Nakamura et al., 2000). One example is from rs79874540 SNP (also known as HTR2B Q20*) on </w:t>
      </w:r>
      <w:r>
        <w:rPr>
          <w:i/>
          <w:lang w:val="en-US"/>
        </w:rPr>
        <w:t>HTR2B</w:t>
      </w:r>
      <w:r>
        <w:rPr>
          <w:lang w:val="en-US"/>
        </w:rPr>
        <w:t xml:space="preserve"> gene, which is located on chromosome 2q37.1 (Gene ID: 3357). This mutation is exclusive in Finnish population and led to STOP codon formation that block the receptor expression. Subjects with this type of mutation were predisposed to psychiatric diseases with severe impulsivity, especially in conditions where impulse control is lacking, like under alcohol intoxication (Bevilacqua et al., 2010).</w:t>
      </w:r>
    </w:p>
    <w:p w:rsidR="00E04905" w:rsidRPr="00B26E04" w:rsidRDefault="00E04905" w:rsidP="00113B97">
      <w:pPr>
        <w:widowControl w:val="0"/>
        <w:autoSpaceDE w:val="0"/>
        <w:autoSpaceDN w:val="0"/>
        <w:adjustRightInd w:val="0"/>
        <w:spacing w:line="480" w:lineRule="auto"/>
        <w:rPr>
          <w:lang w:val="en-US"/>
        </w:rPr>
      </w:pPr>
    </w:p>
    <w:p w:rsidR="00E04905" w:rsidRPr="00B26E04" w:rsidRDefault="0096787B" w:rsidP="00113B97">
      <w:pPr>
        <w:spacing w:line="480" w:lineRule="auto"/>
        <w:rPr>
          <w:b/>
          <w:lang w:val="en-US"/>
        </w:rPr>
      </w:pPr>
      <w:r>
        <w:rPr>
          <w:b/>
          <w:lang w:val="en-US"/>
        </w:rPr>
        <w:lastRenderedPageBreak/>
        <w:t>5.2. Dopaminergic system</w:t>
      </w:r>
    </w:p>
    <w:p w:rsidR="00E04905" w:rsidRPr="00B26E04" w:rsidRDefault="0096787B" w:rsidP="00113B97">
      <w:pPr>
        <w:spacing w:line="480" w:lineRule="auto"/>
        <w:rPr>
          <w:lang w:val="en-US"/>
        </w:rPr>
      </w:pPr>
      <w:r>
        <w:rPr>
          <w:lang w:val="en-US"/>
        </w:rPr>
        <w:tab/>
        <w:t xml:space="preserve">DA in the brain is synthesized mainly in the substantia nigra and ventral tegmental area, from which it is widely distributed into the brain. Four major DA pathways have been identified in the mammalian brain: the nigrostriatal, mesolimbic, </w:t>
      </w:r>
      <w:proofErr w:type="spellStart"/>
      <w:r>
        <w:rPr>
          <w:lang w:val="en-US"/>
        </w:rPr>
        <w:t>mesocortical</w:t>
      </w:r>
      <w:proofErr w:type="spellEnd"/>
      <w:r>
        <w:rPr>
          <w:lang w:val="en-US"/>
        </w:rPr>
        <w:t xml:space="preserve"> and tuberoinfundibular pathways (</w:t>
      </w:r>
      <w:proofErr w:type="spellStart"/>
      <w:r>
        <w:rPr>
          <w:lang w:val="en-US"/>
        </w:rPr>
        <w:t>Anden</w:t>
      </w:r>
      <w:proofErr w:type="spellEnd"/>
      <w:r>
        <w:rPr>
          <w:lang w:val="en-US"/>
        </w:rPr>
        <w:t xml:space="preserve"> et al., 1964; Le </w:t>
      </w:r>
      <w:proofErr w:type="spellStart"/>
      <w:r>
        <w:rPr>
          <w:lang w:val="en-US"/>
        </w:rPr>
        <w:t>Moal</w:t>
      </w:r>
      <w:proofErr w:type="spellEnd"/>
      <w:r>
        <w:rPr>
          <w:lang w:val="en-US"/>
        </w:rPr>
        <w:t xml:space="preserve"> and Simon, 1991; Van den Heuvel and </w:t>
      </w:r>
      <w:proofErr w:type="spellStart"/>
      <w:r>
        <w:rPr>
          <w:lang w:val="en-US"/>
        </w:rPr>
        <w:t>Pasterkamp</w:t>
      </w:r>
      <w:proofErr w:type="spellEnd"/>
      <w:r>
        <w:rPr>
          <w:lang w:val="en-US"/>
        </w:rPr>
        <w:t xml:space="preserve">, 2008). The DA neurons located in the substantia nigra pars compacta project to the striatum (putamen and caudate nucleus) forming the nigrostriatal pathway that is particularly involved in controlling motor functions. The DA neurons of the ventral tegmental area release DA into structures of the limbic system including the nucleus </w:t>
      </w:r>
      <w:proofErr w:type="spellStart"/>
      <w:r>
        <w:rPr>
          <w:lang w:val="en-US"/>
        </w:rPr>
        <w:t>accumbens</w:t>
      </w:r>
      <w:proofErr w:type="spellEnd"/>
      <w:r>
        <w:rPr>
          <w:lang w:val="en-US"/>
        </w:rPr>
        <w:t xml:space="preserve">, amygdala, hippocampus, and in the frontal cortex, respectively forming the mesolimbic and </w:t>
      </w:r>
      <w:proofErr w:type="spellStart"/>
      <w:r>
        <w:rPr>
          <w:lang w:val="en-US"/>
        </w:rPr>
        <w:t>mesocortical</w:t>
      </w:r>
      <w:proofErr w:type="spellEnd"/>
      <w:r>
        <w:rPr>
          <w:lang w:val="en-US"/>
        </w:rPr>
        <w:t xml:space="preserve"> DA system (</w:t>
      </w:r>
      <w:proofErr w:type="spellStart"/>
      <w:r>
        <w:rPr>
          <w:lang w:val="en-US"/>
        </w:rPr>
        <w:t>Fuxe</w:t>
      </w:r>
      <w:proofErr w:type="spellEnd"/>
      <w:r>
        <w:rPr>
          <w:lang w:val="en-US"/>
        </w:rPr>
        <w:t xml:space="preserve"> et al., 1985). The mesolimbic pathway is mainly involved in the neurobiology of reward and motivation, evaluating motivational value of biologically relevant stimuli, including appetitive, sexual, drugs and alcohol stimuli (</w:t>
      </w:r>
      <w:proofErr w:type="spellStart"/>
      <w:r>
        <w:rPr>
          <w:lang w:val="en-US"/>
        </w:rPr>
        <w:t>Lammel</w:t>
      </w:r>
      <w:proofErr w:type="spellEnd"/>
      <w:r>
        <w:rPr>
          <w:lang w:val="en-US"/>
        </w:rPr>
        <w:t xml:space="preserve"> et al., 2014; Robbins and </w:t>
      </w:r>
      <w:proofErr w:type="spellStart"/>
      <w:r>
        <w:rPr>
          <w:lang w:val="en-US"/>
        </w:rPr>
        <w:t>Everitt</w:t>
      </w:r>
      <w:proofErr w:type="spellEnd"/>
      <w:r>
        <w:rPr>
          <w:lang w:val="en-US"/>
        </w:rPr>
        <w:t xml:space="preserve">, 1996; </w:t>
      </w:r>
      <w:proofErr w:type="spellStart"/>
      <w:r>
        <w:rPr>
          <w:lang w:val="en-US"/>
        </w:rPr>
        <w:t>Spanagel</w:t>
      </w:r>
      <w:proofErr w:type="spellEnd"/>
      <w:r>
        <w:rPr>
          <w:lang w:val="en-US"/>
        </w:rPr>
        <w:t xml:space="preserve"> and Weiss, 1999). The </w:t>
      </w:r>
      <w:proofErr w:type="spellStart"/>
      <w:r>
        <w:rPr>
          <w:lang w:val="en-US"/>
        </w:rPr>
        <w:t>mesocortical</w:t>
      </w:r>
      <w:proofErr w:type="spellEnd"/>
      <w:r>
        <w:rPr>
          <w:lang w:val="en-US"/>
        </w:rPr>
        <w:t xml:space="preserve"> DA neurons are key players in cognitive control, and in motivational as well as emotional responses (Laviolette et al., 2007; Le </w:t>
      </w:r>
      <w:proofErr w:type="spellStart"/>
      <w:r>
        <w:rPr>
          <w:lang w:val="en-US"/>
        </w:rPr>
        <w:t>Moal</w:t>
      </w:r>
      <w:proofErr w:type="spellEnd"/>
      <w:r>
        <w:rPr>
          <w:lang w:val="en-US"/>
        </w:rPr>
        <w:t xml:space="preserve"> and Simon, 1991). Both these pathways belong to </w:t>
      </w:r>
      <w:proofErr w:type="spellStart"/>
      <w:r>
        <w:rPr>
          <w:lang w:val="en-US"/>
        </w:rPr>
        <w:t>mesocorticolimbic</w:t>
      </w:r>
      <w:proofErr w:type="spellEnd"/>
      <w:r>
        <w:rPr>
          <w:lang w:val="en-US"/>
        </w:rPr>
        <w:t xml:space="preserve"> DA system, a pathway whose abnormal functioning is implicated in drug dependence and psychiatric disorders such as schizophrenia (Howes and </w:t>
      </w:r>
      <w:proofErr w:type="spellStart"/>
      <w:r>
        <w:rPr>
          <w:lang w:val="en-US"/>
        </w:rPr>
        <w:t>Kapur</w:t>
      </w:r>
      <w:proofErr w:type="spellEnd"/>
      <w:r>
        <w:rPr>
          <w:lang w:val="en-US"/>
        </w:rPr>
        <w:t xml:space="preserve">, 2009; Laviolette et al., 2007; Young et al., 2011). Furthermore, evidences showed that 50 % or </w:t>
      </w:r>
      <w:r>
        <w:rPr>
          <w:lang w:val="en-US" w:eastAsia="en-US"/>
        </w:rPr>
        <w:t>more of offenders were intoxicated by a</w:t>
      </w:r>
      <w:r>
        <w:rPr>
          <w:lang w:val="en-US"/>
        </w:rPr>
        <w:t xml:space="preserve"> psychoactive substance, such as alcohol and/or different drugs, </w:t>
      </w:r>
      <w:r>
        <w:rPr>
          <w:lang w:val="en-US" w:eastAsia="en-US"/>
        </w:rPr>
        <w:t>when they committed homicide. However</w:t>
      </w:r>
      <w:r>
        <w:rPr>
          <w:lang w:val="en-US"/>
        </w:rPr>
        <w:t>,</w:t>
      </w:r>
      <w:r>
        <w:rPr>
          <w:lang w:val="en-US" w:eastAsia="en-US"/>
        </w:rPr>
        <w:t xml:space="preserve"> the use of substances by victims was at level similar to that found in</w:t>
      </w:r>
      <w:r>
        <w:rPr>
          <w:lang w:val="en-US"/>
        </w:rPr>
        <w:t xml:space="preserve"> perpetrators (Darke, 2010). In another study on a group of male adolescent</w:t>
      </w:r>
      <w:r w:rsidR="006803DC">
        <w:rPr>
          <w:lang w:val="en-US"/>
        </w:rPr>
        <w:t>s</w:t>
      </w:r>
      <w:r>
        <w:rPr>
          <w:lang w:val="en-US"/>
        </w:rPr>
        <w:t xml:space="preserve"> who commit</w:t>
      </w:r>
      <w:r w:rsidR="00F07DC4">
        <w:rPr>
          <w:lang w:val="en-US"/>
        </w:rPr>
        <w:t>t</w:t>
      </w:r>
      <w:r>
        <w:rPr>
          <w:lang w:val="en-US"/>
        </w:rPr>
        <w:t xml:space="preserve">ed homicide 74 % of them reported substance use (Mclaughlin et al., 2000). Alcohol and addictive drugs administration preferentially increase dopaminergic activity especially in the nucleus </w:t>
      </w:r>
      <w:proofErr w:type="spellStart"/>
      <w:r>
        <w:rPr>
          <w:lang w:val="en-US"/>
        </w:rPr>
        <w:t>accumbens</w:t>
      </w:r>
      <w:proofErr w:type="spellEnd"/>
      <w:r>
        <w:rPr>
          <w:lang w:val="en-US"/>
        </w:rPr>
        <w:t xml:space="preserve"> of rats and humans, and this can be a mechanism involved in the </w:t>
      </w:r>
      <w:r>
        <w:rPr>
          <w:lang w:val="en-US"/>
        </w:rPr>
        <w:lastRenderedPageBreak/>
        <w:t xml:space="preserve">aggressive behavior induced by substance use (Boileau et al., 2003; Di Chiara and </w:t>
      </w:r>
      <w:proofErr w:type="spellStart"/>
      <w:r>
        <w:rPr>
          <w:lang w:val="en-US"/>
        </w:rPr>
        <w:t>Imperato</w:t>
      </w:r>
      <w:proofErr w:type="spellEnd"/>
      <w:r>
        <w:rPr>
          <w:lang w:val="en-US"/>
        </w:rPr>
        <w:t>, 1988; Di Chiara et al., 2004; Yoshimoto et al., 1992).</w:t>
      </w:r>
    </w:p>
    <w:p w:rsidR="00E04905" w:rsidRPr="00B26E04" w:rsidRDefault="0096787B" w:rsidP="00113B97">
      <w:pPr>
        <w:spacing w:line="480" w:lineRule="auto"/>
        <w:rPr>
          <w:lang w:val="en-US"/>
        </w:rPr>
      </w:pPr>
      <w:r>
        <w:rPr>
          <w:lang w:val="en-US"/>
        </w:rPr>
        <w:tab/>
        <w:t>Therefore, it has been demonstrated that the DA system is involved in modulating neural networks of social behavior, as well as 5-HT systems (</w:t>
      </w:r>
      <w:proofErr w:type="spellStart"/>
      <w:r>
        <w:rPr>
          <w:lang w:val="en-US"/>
        </w:rPr>
        <w:t>Niederkofler</w:t>
      </w:r>
      <w:proofErr w:type="spellEnd"/>
      <w:r>
        <w:rPr>
          <w:lang w:val="en-US"/>
        </w:rPr>
        <w:t xml:space="preserve"> et al., 2015). While the 5-HT system is mainly linked to impulsivity in humans and other species (</w:t>
      </w:r>
      <w:proofErr w:type="spellStart"/>
      <w:r>
        <w:rPr>
          <w:lang w:val="en-US"/>
        </w:rPr>
        <w:t>Audero</w:t>
      </w:r>
      <w:proofErr w:type="spellEnd"/>
      <w:r>
        <w:rPr>
          <w:lang w:val="en-US"/>
        </w:rPr>
        <w:t xml:space="preserve"> et al., 2013; </w:t>
      </w:r>
      <w:proofErr w:type="spellStart"/>
      <w:r>
        <w:rPr>
          <w:lang w:val="en-US"/>
        </w:rPr>
        <w:t>Lesch</w:t>
      </w:r>
      <w:proofErr w:type="spellEnd"/>
      <w:r>
        <w:rPr>
          <w:lang w:val="en-US"/>
        </w:rPr>
        <w:t xml:space="preserve"> and </w:t>
      </w:r>
      <w:proofErr w:type="spellStart"/>
      <w:r>
        <w:rPr>
          <w:lang w:val="en-US"/>
        </w:rPr>
        <w:t>Merschdorf</w:t>
      </w:r>
      <w:proofErr w:type="spellEnd"/>
      <w:r>
        <w:rPr>
          <w:lang w:val="en-US"/>
        </w:rPr>
        <w:t xml:space="preserve">, 2000; </w:t>
      </w:r>
      <w:proofErr w:type="spellStart"/>
      <w:r>
        <w:rPr>
          <w:lang w:val="en-US"/>
        </w:rPr>
        <w:t>Roggenbach</w:t>
      </w:r>
      <w:proofErr w:type="spellEnd"/>
      <w:r>
        <w:rPr>
          <w:lang w:val="en-US"/>
        </w:rPr>
        <w:t xml:space="preserve"> et al., 2002), the DA system, in addition to movement control, is involved in positive emotionality, goal-directed behavior and behavioral control related to reward expectancies and prediction error (</w:t>
      </w:r>
      <w:proofErr w:type="spellStart"/>
      <w:r>
        <w:rPr>
          <w:lang w:val="en-US"/>
        </w:rPr>
        <w:t>Depue</w:t>
      </w:r>
      <w:proofErr w:type="spellEnd"/>
      <w:r>
        <w:rPr>
          <w:lang w:val="en-US"/>
        </w:rPr>
        <w:t xml:space="preserve"> et al., 1994; Schultz, 2002). As the DA system is involved in mechanisms governing reward-related behaviors and motivation processes (in particular the </w:t>
      </w:r>
      <w:proofErr w:type="spellStart"/>
      <w:r>
        <w:rPr>
          <w:lang w:val="en-US"/>
        </w:rPr>
        <w:t>mesocorticolimbic</w:t>
      </w:r>
      <w:proofErr w:type="spellEnd"/>
      <w:r>
        <w:rPr>
          <w:lang w:val="en-US"/>
        </w:rPr>
        <w:t xml:space="preserve"> DA system), its dysregulation may promote pathological behaviors, including aggressiveness. Indeed, reduced DA synthesis capacity in the midbrain was correlated in healthy males to higher vulnerability to reactive and impulsive aggression in response to provocation (Schlüter et al., 2013). Furthermore, other studies highlighted the role of DA dysregulation in the development of mood disorders and aggressive behavior in adults, as well as pathological aggression in child and adolescent (Chen et al., 2005; </w:t>
      </w:r>
      <w:proofErr w:type="spellStart"/>
      <w:r>
        <w:rPr>
          <w:lang w:val="en-US"/>
        </w:rPr>
        <w:t>Dalley</w:t>
      </w:r>
      <w:proofErr w:type="spellEnd"/>
      <w:r>
        <w:rPr>
          <w:lang w:val="en-US"/>
        </w:rPr>
        <w:t xml:space="preserve"> and </w:t>
      </w:r>
      <w:proofErr w:type="spellStart"/>
      <w:r>
        <w:rPr>
          <w:lang w:val="en-US"/>
        </w:rPr>
        <w:t>Roiser</w:t>
      </w:r>
      <w:proofErr w:type="spellEnd"/>
      <w:r>
        <w:rPr>
          <w:lang w:val="en-US"/>
        </w:rPr>
        <w:t xml:space="preserve">, 2012; </w:t>
      </w:r>
      <w:proofErr w:type="spellStart"/>
      <w:r>
        <w:rPr>
          <w:lang w:val="en-US"/>
        </w:rPr>
        <w:t>Ryding</w:t>
      </w:r>
      <w:proofErr w:type="spellEnd"/>
      <w:r>
        <w:rPr>
          <w:lang w:val="en-US"/>
        </w:rPr>
        <w:t xml:space="preserve"> et al., 2008) (Fig. 1). In the following sections we will briefly discuss factors that may influence DA levels leading to behavioral dysfunctions.</w:t>
      </w:r>
    </w:p>
    <w:p w:rsidR="00E04905" w:rsidRPr="00B26E04" w:rsidRDefault="00E04905" w:rsidP="00113B97">
      <w:pPr>
        <w:spacing w:line="480" w:lineRule="auto"/>
        <w:rPr>
          <w:b/>
          <w:lang w:val="en-US"/>
        </w:rPr>
      </w:pPr>
    </w:p>
    <w:p w:rsidR="00E04905" w:rsidRPr="00B26E04" w:rsidRDefault="0096787B" w:rsidP="00113B97">
      <w:pPr>
        <w:spacing w:line="480" w:lineRule="auto"/>
        <w:rPr>
          <w:b/>
          <w:lang w:val="en-US"/>
        </w:rPr>
      </w:pPr>
      <w:r>
        <w:rPr>
          <w:b/>
          <w:lang w:val="en-US"/>
        </w:rPr>
        <w:t>5.2.1. Catechol O-methyltransferase</w:t>
      </w:r>
    </w:p>
    <w:p w:rsidR="00E04905" w:rsidRPr="00B26E04" w:rsidRDefault="0096787B" w:rsidP="00113B97">
      <w:pPr>
        <w:spacing w:line="480" w:lineRule="auto"/>
        <w:rPr>
          <w:lang w:val="en-US"/>
        </w:rPr>
      </w:pPr>
      <w:r>
        <w:rPr>
          <w:lang w:val="en-US"/>
        </w:rPr>
        <w:tab/>
        <w:t xml:space="preserve">Catechol O-methyltransferase (COMT) is one of the major enzymes that catabolize different catecholamines (Guldberg and Marsden, 1975), by adding a methyl group to hydroxyl group on catechol nucleus. The </w:t>
      </w:r>
      <w:r>
        <w:rPr>
          <w:i/>
          <w:lang w:val="en-US"/>
        </w:rPr>
        <w:t>COMT</w:t>
      </w:r>
      <w:r>
        <w:rPr>
          <w:lang w:val="en-US"/>
        </w:rPr>
        <w:t xml:space="preserve"> gene is </w:t>
      </w:r>
      <w:r w:rsidR="00947F3E">
        <w:rPr>
          <w:lang w:val="en-US"/>
        </w:rPr>
        <w:t xml:space="preserve">located </w:t>
      </w:r>
      <w:r>
        <w:rPr>
          <w:lang w:val="en-US"/>
        </w:rPr>
        <w:t>on chromosome 22q11.21 (Gene ID: 1312) and encodes for two different enzymes, soluble COMT and membrane-bound COMT (</w:t>
      </w:r>
      <w:proofErr w:type="spellStart"/>
      <w:r>
        <w:rPr>
          <w:lang w:val="en-US"/>
        </w:rPr>
        <w:t>Bertocci</w:t>
      </w:r>
      <w:proofErr w:type="spellEnd"/>
      <w:r>
        <w:rPr>
          <w:lang w:val="en-US"/>
        </w:rPr>
        <w:t xml:space="preserve"> et al., 1991; Jeffery and Roth, 1985, 1987). </w:t>
      </w:r>
      <w:r>
        <w:rPr>
          <w:i/>
          <w:lang w:val="en-US"/>
        </w:rPr>
        <w:t>COMT</w:t>
      </w:r>
      <w:r>
        <w:rPr>
          <w:lang w:val="en-US"/>
        </w:rPr>
        <w:t xml:space="preserve"> is widely expressed in the brain, particularly in frontal cortex and other regions that modulate </w:t>
      </w:r>
      <w:r>
        <w:rPr>
          <w:lang w:val="en-US"/>
        </w:rPr>
        <w:lastRenderedPageBreak/>
        <w:t>aggressive behavior, with higher mRNA expression in the prefrontal cortex than striatum (Hong et al., 1998; Matsumoto et al., 2003). In the prefrontal cortex, the inactivation of DA mainly relies on the catabolic activity of enzymes like COMT (Chen et al., 2004). In the brain, both COMT isoforms are present, although the expression of the membrane-bound COMT is higher than the soluble form (</w:t>
      </w:r>
      <w:proofErr w:type="spellStart"/>
      <w:r>
        <w:rPr>
          <w:lang w:val="en-US"/>
        </w:rPr>
        <w:t>Myöhänen</w:t>
      </w:r>
      <w:proofErr w:type="spellEnd"/>
      <w:r>
        <w:rPr>
          <w:lang w:val="en-US"/>
        </w:rPr>
        <w:t xml:space="preserve"> et al., 2010; </w:t>
      </w:r>
      <w:proofErr w:type="spellStart"/>
      <w:r>
        <w:rPr>
          <w:lang w:val="en-US"/>
        </w:rPr>
        <w:t>Tenhunen</w:t>
      </w:r>
      <w:proofErr w:type="spellEnd"/>
      <w:r>
        <w:rPr>
          <w:lang w:val="en-US"/>
        </w:rPr>
        <w:t xml:space="preserve"> et al., 1994). In the CNS, COMT is mainly present in microglial and </w:t>
      </w:r>
      <w:proofErr w:type="spellStart"/>
      <w:r>
        <w:rPr>
          <w:lang w:val="en-US"/>
        </w:rPr>
        <w:t>astroglial</w:t>
      </w:r>
      <w:proofErr w:type="spellEnd"/>
      <w:r>
        <w:rPr>
          <w:lang w:val="en-US"/>
        </w:rPr>
        <w:t xml:space="preserve"> cells and in neuronal terminals, especially those of prefrontal cortex and striatum (Kastner et al. 1994; Matsumoto et al., 2003).</w:t>
      </w:r>
    </w:p>
    <w:p w:rsidR="00E04905" w:rsidRPr="00B26E04" w:rsidRDefault="0096787B" w:rsidP="00113B97">
      <w:pPr>
        <w:spacing w:line="480" w:lineRule="auto"/>
        <w:rPr>
          <w:lang w:val="en-US"/>
        </w:rPr>
      </w:pPr>
      <w:r>
        <w:rPr>
          <w:lang w:val="en-US"/>
        </w:rPr>
        <w:tab/>
        <w:t xml:space="preserve">The most common mutation in the </w:t>
      </w:r>
      <w:r>
        <w:rPr>
          <w:i/>
          <w:lang w:val="en-US"/>
        </w:rPr>
        <w:t>COMT</w:t>
      </w:r>
      <w:r>
        <w:rPr>
          <w:lang w:val="en-US"/>
        </w:rPr>
        <w:t xml:space="preserve"> gene is the SNP rs4680 in exon 4 encoding for valine to methionine substitution at amino acid position 108 in the COMT soluble form (Val</w:t>
      </w:r>
      <w:r>
        <w:rPr>
          <w:vertAlign w:val="superscript"/>
          <w:lang w:val="en-US"/>
        </w:rPr>
        <w:t>108</w:t>
      </w:r>
      <w:r>
        <w:rPr>
          <w:lang w:val="en-US"/>
        </w:rPr>
        <w:t>Met), and at position 158 in the membrane-bound COMT (Val</w:t>
      </w:r>
      <w:r>
        <w:rPr>
          <w:vertAlign w:val="superscript"/>
          <w:lang w:val="en-US"/>
        </w:rPr>
        <w:t>158</w:t>
      </w:r>
      <w:r>
        <w:rPr>
          <w:lang w:val="en-US"/>
        </w:rPr>
        <w:t xml:space="preserve">Met) (Lachman et al., 1996) (Table 1). In the brain, this SNP alters the catabolic activity of COMT enzyme (Chen et al., 2004; Lachman et al., 1996). Subjects carrier of Val/Met variant showed an intermediate COMT activity in the dorsolateral prefrontal cortex with respect to the higher activity level of the Val/Val variant and to the lower level of </w:t>
      </w:r>
      <w:r w:rsidR="003A580F">
        <w:rPr>
          <w:lang w:val="en-US"/>
        </w:rPr>
        <w:t xml:space="preserve">the </w:t>
      </w:r>
      <w:r>
        <w:rPr>
          <w:lang w:val="en-US"/>
        </w:rPr>
        <w:t>Met/Met variant. As a consequence, these variants could alter DA levels in the synaptic cleft (medium, low and high levels of DA, respectively), although several other factors may contribute to this delicate balance (Chen et al., 2004).</w:t>
      </w:r>
    </w:p>
    <w:p w:rsidR="00E04905" w:rsidRPr="00B26E04" w:rsidRDefault="0096787B" w:rsidP="00113B97">
      <w:pPr>
        <w:spacing w:line="480" w:lineRule="auto"/>
        <w:rPr>
          <w:lang w:val="en-US"/>
        </w:rPr>
      </w:pPr>
      <w:r>
        <w:rPr>
          <w:lang w:val="en-US"/>
        </w:rPr>
        <w:tab/>
        <w:t>COMT with low catabolic activity doesn't efficiently eliminate DA and therefore leads to increased stimulation of DA neural networks involved in the regulation of emotional arousal, affective decision-making and externalizing behavior, particularly those implicated in impulsivity and aggressiveness, such as the limbic structures and prefrontal cortex (</w:t>
      </w:r>
      <w:proofErr w:type="spellStart"/>
      <w:r>
        <w:rPr>
          <w:lang w:val="en-US"/>
        </w:rPr>
        <w:t>Drabant</w:t>
      </w:r>
      <w:proofErr w:type="spellEnd"/>
      <w:r>
        <w:rPr>
          <w:lang w:val="en-US"/>
        </w:rPr>
        <w:t xml:space="preserve"> et al., 2006). Different studies suggested an association between the Val</w:t>
      </w:r>
      <w:r>
        <w:rPr>
          <w:vertAlign w:val="superscript"/>
          <w:lang w:val="en-US"/>
        </w:rPr>
        <w:t>158</w:t>
      </w:r>
      <w:r>
        <w:rPr>
          <w:lang w:val="en-US"/>
        </w:rPr>
        <w:t xml:space="preserve">Met polymorphism, especially in homozygous people for the low activity allele, with the development of hostile and aggressive behavior particularly in schizophrenic patients (Kotler et al., 1999; Lachman et al., 1998; </w:t>
      </w:r>
      <w:proofErr w:type="spellStart"/>
      <w:r>
        <w:rPr>
          <w:lang w:val="en-US"/>
        </w:rPr>
        <w:t>Strous</w:t>
      </w:r>
      <w:proofErr w:type="spellEnd"/>
      <w:r>
        <w:rPr>
          <w:lang w:val="en-US"/>
        </w:rPr>
        <w:t xml:space="preserve"> et al., 1997; </w:t>
      </w:r>
      <w:proofErr w:type="spellStart"/>
      <w:r>
        <w:rPr>
          <w:lang w:val="en-US"/>
        </w:rPr>
        <w:t>Volavka</w:t>
      </w:r>
      <w:proofErr w:type="spellEnd"/>
      <w:r>
        <w:rPr>
          <w:lang w:val="en-US"/>
        </w:rPr>
        <w:t xml:space="preserve"> et al., 2004). Notably, there was a higher risk for </w:t>
      </w:r>
      <w:r>
        <w:rPr>
          <w:rFonts w:cs="Arial"/>
          <w:lang w:val="en-US"/>
        </w:rPr>
        <w:lastRenderedPageBreak/>
        <w:t>aggressive</w:t>
      </w:r>
      <w:r>
        <w:rPr>
          <w:lang w:val="en-US"/>
        </w:rPr>
        <w:t xml:space="preserve"> </w:t>
      </w:r>
      <w:r w:rsidR="004C7B12">
        <w:rPr>
          <w:lang w:val="en-US"/>
        </w:rPr>
        <w:t xml:space="preserve">and violent </w:t>
      </w:r>
      <w:r>
        <w:rPr>
          <w:lang w:val="en-US"/>
        </w:rPr>
        <w:t>behavior in schizophrenic patients carrying the low activity Met</w:t>
      </w:r>
      <w:r>
        <w:rPr>
          <w:vertAlign w:val="superscript"/>
          <w:lang w:val="en-US"/>
        </w:rPr>
        <w:t>158</w:t>
      </w:r>
      <w:r>
        <w:rPr>
          <w:lang w:val="en-US"/>
        </w:rPr>
        <w:t xml:space="preserve"> allele, with a higher risk for the Met/Met homozygous patient relative to the homozygous carriers of the high activity allele (Bhakta et al., 2012; Kotler et al., 1999; </w:t>
      </w:r>
      <w:proofErr w:type="spellStart"/>
      <w:r>
        <w:rPr>
          <w:lang w:val="en-US"/>
        </w:rPr>
        <w:t>Strous</w:t>
      </w:r>
      <w:proofErr w:type="spellEnd"/>
      <w:r>
        <w:rPr>
          <w:lang w:val="en-US"/>
        </w:rPr>
        <w:t xml:space="preserve"> et al., 1997). In addition, a strong association between the Val</w:t>
      </w:r>
      <w:r>
        <w:rPr>
          <w:vertAlign w:val="superscript"/>
          <w:lang w:val="en-US"/>
        </w:rPr>
        <w:t>158</w:t>
      </w:r>
      <w:r>
        <w:rPr>
          <w:lang w:val="en-US"/>
        </w:rPr>
        <w:t>Met polymorphism and high aggressive behavior has been demonstrated in healthy young people carrying the Met allele relative to Val-homozygotes (Albaugh et al., 2010) (Fig. 1).</w:t>
      </w:r>
    </w:p>
    <w:p w:rsidR="00E04905" w:rsidRPr="00B26E04" w:rsidRDefault="0096787B" w:rsidP="00113B97">
      <w:pPr>
        <w:spacing w:line="480" w:lineRule="auto"/>
        <w:rPr>
          <w:highlight w:val="green"/>
          <w:lang w:val="en-US"/>
        </w:rPr>
      </w:pPr>
      <w:r>
        <w:rPr>
          <w:lang w:val="en-US"/>
        </w:rPr>
        <w:tab/>
        <w:t xml:space="preserve">The effects of COMT activity were also investigated in relation to gender. Sex-based differences in inhibitory controls are well known in health, having men higher baseline impulsivity than women (Campbell and </w:t>
      </w:r>
      <w:proofErr w:type="spellStart"/>
      <w:r>
        <w:rPr>
          <w:lang w:val="en-US"/>
        </w:rPr>
        <w:t>Muncer</w:t>
      </w:r>
      <w:proofErr w:type="spellEnd"/>
      <w:r>
        <w:rPr>
          <w:lang w:val="en-US"/>
        </w:rPr>
        <w:t>, 2009). The effects of the polymorphism rs4680 on behavior seem to differ from women to men. In healthy adolescent, males Val</w:t>
      </w:r>
      <w:r>
        <w:rPr>
          <w:vertAlign w:val="superscript"/>
          <w:lang w:val="en-US"/>
        </w:rPr>
        <w:t>158</w:t>
      </w:r>
      <w:r>
        <w:rPr>
          <w:lang w:val="en-US"/>
        </w:rPr>
        <w:t xml:space="preserve"> homozygotes exhibited significantly elevated activation of prefrontal cortex inhibitory control neural networks, compared to the other genotypes; by contrast, the corresponding COMT effects were less robust in females (White et al., 2014). In schizophrenic patients, no significant association between Met allele and </w:t>
      </w:r>
      <w:r>
        <w:rPr>
          <w:rFonts w:cs="Arial"/>
          <w:lang w:val="en-US"/>
        </w:rPr>
        <w:t>aggression</w:t>
      </w:r>
      <w:r w:rsidR="004C7B12">
        <w:rPr>
          <w:rFonts w:cs="Arial"/>
          <w:lang w:val="en-US"/>
        </w:rPr>
        <w:t>/violence</w:t>
      </w:r>
      <w:r>
        <w:rPr>
          <w:lang w:val="en-US"/>
        </w:rPr>
        <w:t xml:space="preserve"> was found in women, while significant association was found in men, since males with at least one Met allele showed increased risk for </w:t>
      </w:r>
      <w:r>
        <w:rPr>
          <w:rFonts w:cs="Arial"/>
          <w:lang w:val="en-US"/>
        </w:rPr>
        <w:t xml:space="preserve">aggressive </w:t>
      </w:r>
      <w:r w:rsidR="004C7B12">
        <w:rPr>
          <w:rFonts w:cs="Arial"/>
          <w:lang w:val="en-US"/>
        </w:rPr>
        <w:t xml:space="preserve">and violent </w:t>
      </w:r>
      <w:r>
        <w:rPr>
          <w:rFonts w:cs="Arial"/>
          <w:lang w:val="en-US"/>
        </w:rPr>
        <w:t>conduct</w:t>
      </w:r>
      <w:r>
        <w:rPr>
          <w:lang w:val="en-US"/>
        </w:rPr>
        <w:t xml:space="preserve"> relative to homozygous Val individuals (Singh et al., 2012). The gender-dependent influence of </w:t>
      </w:r>
      <w:r>
        <w:rPr>
          <w:i/>
          <w:lang w:val="en-US"/>
        </w:rPr>
        <w:t>COMT</w:t>
      </w:r>
      <w:r>
        <w:rPr>
          <w:lang w:val="en-US"/>
        </w:rPr>
        <w:t xml:space="preserve"> polymorphism on aggressiveness could depend on the different modulation of COMT on prefrontal cortex inhibitory control network, although the causes of these sex differences still remain poorly understood.</w:t>
      </w:r>
    </w:p>
    <w:p w:rsidR="00E04905" w:rsidRPr="00B26E04" w:rsidRDefault="0096787B" w:rsidP="00113B97">
      <w:pPr>
        <w:spacing w:line="480" w:lineRule="auto"/>
        <w:rPr>
          <w:highlight w:val="green"/>
          <w:lang w:val="en-US"/>
        </w:rPr>
      </w:pPr>
      <w:r>
        <w:rPr>
          <w:lang w:val="en-US"/>
        </w:rPr>
        <w:tab/>
        <w:t>Higher COMT activity (typical of Val genotype) leads to lower levels of DA in prefrontal cortex, which results in a relatively impaired functionality of this area (Chen et al., 2004). Furthermore, variations in DA levels associated with Met</w:t>
      </w:r>
      <w:r>
        <w:rPr>
          <w:vertAlign w:val="superscript"/>
          <w:lang w:val="en-US"/>
        </w:rPr>
        <w:t>158</w:t>
      </w:r>
      <w:r>
        <w:rPr>
          <w:lang w:val="en-US"/>
        </w:rPr>
        <w:t xml:space="preserve"> allele resulted in increased reactivity and connectivity in corticolimbic circuits relative to the Val allele, indicating a predisposition to emotional dysregulation of Met carriers (</w:t>
      </w:r>
      <w:proofErr w:type="spellStart"/>
      <w:r>
        <w:rPr>
          <w:lang w:val="en-US"/>
        </w:rPr>
        <w:t>Drabant</w:t>
      </w:r>
      <w:proofErr w:type="spellEnd"/>
      <w:r>
        <w:rPr>
          <w:lang w:val="en-US"/>
        </w:rPr>
        <w:t xml:space="preserve"> et al., 2006). Moreover, </w:t>
      </w:r>
      <w:r>
        <w:rPr>
          <w:i/>
          <w:lang w:val="en-US"/>
        </w:rPr>
        <w:t>COMT</w:t>
      </w:r>
      <w:r>
        <w:rPr>
          <w:lang w:val="en-US"/>
        </w:rPr>
        <w:t xml:space="preserve"> genotype did not directly modulate prefrontal cortex activity during emotional stimuli </w:t>
      </w:r>
      <w:r>
        <w:rPr>
          <w:lang w:val="en-US"/>
        </w:rPr>
        <w:lastRenderedPageBreak/>
        <w:t>and response inhibition, as this was mediated via the posterior cingulate cortex activation. The Val/Val genotype modulates the activity of the posterior cingulate cortex in emotional and response-inhibition tasks, with greater deactivation of posterior cingulate cortex in the Val carriers (Stokes et al., 2011).</w:t>
      </w:r>
    </w:p>
    <w:p w:rsidR="00E04905" w:rsidRPr="00B26E04" w:rsidRDefault="0096787B" w:rsidP="00113B97">
      <w:pPr>
        <w:spacing w:line="480" w:lineRule="auto"/>
        <w:rPr>
          <w:lang w:val="en-US"/>
        </w:rPr>
      </w:pPr>
      <w:r>
        <w:rPr>
          <w:lang w:val="en-US"/>
        </w:rPr>
        <w:tab/>
        <w:t xml:space="preserve">Albeit converging findings are consistent with a role of </w:t>
      </w:r>
      <w:r>
        <w:rPr>
          <w:i/>
          <w:lang w:val="en-US"/>
        </w:rPr>
        <w:t>COMT</w:t>
      </w:r>
      <w:r>
        <w:rPr>
          <w:lang w:val="en-US"/>
        </w:rPr>
        <w:t xml:space="preserve"> Val</w:t>
      </w:r>
      <w:r>
        <w:rPr>
          <w:vertAlign w:val="superscript"/>
          <w:lang w:val="en-US"/>
        </w:rPr>
        <w:t>108/158</w:t>
      </w:r>
      <w:r>
        <w:rPr>
          <w:lang w:val="en-US"/>
        </w:rPr>
        <w:t xml:space="preserve">Met polymorphism in prefrontal cortex functioning, additional genetic variations in </w:t>
      </w:r>
      <w:r>
        <w:rPr>
          <w:i/>
          <w:lang w:val="en-US"/>
        </w:rPr>
        <w:t>COMT</w:t>
      </w:r>
      <w:r>
        <w:rPr>
          <w:lang w:val="en-US"/>
        </w:rPr>
        <w:t xml:space="preserve"> gene may be similarly important. A haplotype in membrane bound </w:t>
      </w:r>
      <w:r>
        <w:rPr>
          <w:i/>
          <w:lang w:val="en-US"/>
        </w:rPr>
        <w:t>COMT</w:t>
      </w:r>
      <w:r>
        <w:rPr>
          <w:lang w:val="en-US"/>
        </w:rPr>
        <w:t xml:space="preserve"> gene combines the polymorphism rs4680 with the non-coding SNPs rs737865 (near exon 1) and rs165599 (near 3’-UTR). Although this haplotype is implicated in schizophrenia (</w:t>
      </w:r>
      <w:proofErr w:type="spellStart"/>
      <w:r>
        <w:rPr>
          <w:lang w:val="en-US"/>
        </w:rPr>
        <w:t>Shifman</w:t>
      </w:r>
      <w:proofErr w:type="spellEnd"/>
      <w:r>
        <w:rPr>
          <w:lang w:val="en-US"/>
        </w:rPr>
        <w:t xml:space="preserve"> et al., 2002), its role in </w:t>
      </w:r>
      <w:r>
        <w:rPr>
          <w:i/>
          <w:lang w:val="en-US"/>
        </w:rPr>
        <w:t>COMT</w:t>
      </w:r>
      <w:r>
        <w:rPr>
          <w:lang w:val="en-US"/>
        </w:rPr>
        <w:t xml:space="preserve"> gene functionality and enzymatic activity is still unclear, and different studies gave contrasting opinion on this issue (Bray et al., 2003; Chen et al., 2004). Furthermore, a single study analyzed other SNPs of </w:t>
      </w:r>
      <w:r>
        <w:rPr>
          <w:i/>
          <w:lang w:val="en-US"/>
        </w:rPr>
        <w:t>COMT</w:t>
      </w:r>
      <w:r>
        <w:rPr>
          <w:lang w:val="en-US"/>
        </w:rPr>
        <w:t xml:space="preserve"> gene, finding significant association and a trend between high aggression in child and SNPs rs6269 and rs4818, respectively (Hirata et al., 2013). To our knowledge, no other studies have been conducted so far to investigate the role of these two polymorphisms and aggressiveness traits in adults, therefore this should be a subject of future investigations.</w:t>
      </w:r>
    </w:p>
    <w:p w:rsidR="00E04905" w:rsidRPr="00B26E04" w:rsidRDefault="00E04905" w:rsidP="00113B97">
      <w:pPr>
        <w:spacing w:line="480" w:lineRule="auto"/>
        <w:rPr>
          <w:lang w:val="en-US"/>
        </w:rPr>
      </w:pPr>
    </w:p>
    <w:p w:rsidR="00E04905" w:rsidRPr="00B26E04" w:rsidRDefault="0096787B" w:rsidP="00113B97">
      <w:pPr>
        <w:spacing w:line="480" w:lineRule="auto"/>
        <w:rPr>
          <w:b/>
          <w:lang w:val="en-US"/>
        </w:rPr>
      </w:pPr>
      <w:r>
        <w:rPr>
          <w:b/>
          <w:lang w:val="en-US"/>
        </w:rPr>
        <w:t>5.2.2. Dopamine receptors</w:t>
      </w:r>
    </w:p>
    <w:p w:rsidR="00E04905" w:rsidRPr="00B26E04" w:rsidRDefault="0096787B" w:rsidP="00113B97">
      <w:pPr>
        <w:spacing w:line="480" w:lineRule="auto"/>
        <w:rPr>
          <w:lang w:val="en-US"/>
        </w:rPr>
      </w:pPr>
      <w:r>
        <w:rPr>
          <w:lang w:val="en-US"/>
        </w:rPr>
        <w:tab/>
        <w:t xml:space="preserve">We are now considering the potential role of </w:t>
      </w:r>
      <w:r w:rsidR="00947F3E">
        <w:rPr>
          <w:lang w:val="en-US"/>
        </w:rPr>
        <w:t xml:space="preserve">the </w:t>
      </w:r>
      <w:r>
        <w:rPr>
          <w:lang w:val="en-US"/>
        </w:rPr>
        <w:t xml:space="preserve">DA receptor (DR) in </w:t>
      </w:r>
      <w:r>
        <w:rPr>
          <w:rFonts w:cs="Arial"/>
          <w:lang w:val="en-US"/>
        </w:rPr>
        <w:t>aggressive</w:t>
      </w:r>
      <w:r>
        <w:rPr>
          <w:lang w:val="en-US"/>
        </w:rPr>
        <w:t xml:space="preserve"> behavior (Table 1). The DRs have a role in the excitatory or inhibitory effect of DA which depends on the type of pre- and post-synaptic </w:t>
      </w:r>
      <w:r w:rsidR="00947F3E">
        <w:rPr>
          <w:lang w:val="en-US"/>
        </w:rPr>
        <w:t>DR</w:t>
      </w:r>
      <w:r>
        <w:rPr>
          <w:lang w:val="en-US"/>
        </w:rPr>
        <w:t xml:space="preserve"> (Cools and Van Rossum, 1976). There are five types of DRs (from D1 to D5) that can be further categorized in two subtypes (</w:t>
      </w:r>
      <w:proofErr w:type="spellStart"/>
      <w:r>
        <w:rPr>
          <w:lang w:val="en-US"/>
        </w:rPr>
        <w:t>Kebabian</w:t>
      </w:r>
      <w:proofErr w:type="spellEnd"/>
      <w:r>
        <w:rPr>
          <w:lang w:val="en-US"/>
        </w:rPr>
        <w:t xml:space="preserve"> and </w:t>
      </w:r>
      <w:proofErr w:type="spellStart"/>
      <w:r>
        <w:rPr>
          <w:lang w:val="en-US"/>
        </w:rPr>
        <w:t>Calne</w:t>
      </w:r>
      <w:proofErr w:type="spellEnd"/>
      <w:r>
        <w:rPr>
          <w:lang w:val="en-US"/>
        </w:rPr>
        <w:t xml:space="preserve">, 1979; Spano et al., 1978; Vallone et al., 2000), and are differentially expressed in human brain (Beaulieu and </w:t>
      </w:r>
      <w:proofErr w:type="spellStart"/>
      <w:r>
        <w:rPr>
          <w:lang w:val="en-US"/>
        </w:rPr>
        <w:t>Gainetdinov</w:t>
      </w:r>
      <w:proofErr w:type="spellEnd"/>
      <w:r>
        <w:rPr>
          <w:lang w:val="en-US"/>
        </w:rPr>
        <w:t>, 2011; Jaber et al., 1996).</w:t>
      </w:r>
    </w:p>
    <w:p w:rsidR="00E04905" w:rsidRPr="00B26E04" w:rsidRDefault="0096787B" w:rsidP="00113B97">
      <w:pPr>
        <w:spacing w:line="480" w:lineRule="auto"/>
        <w:rPr>
          <w:lang w:val="en-US"/>
        </w:rPr>
      </w:pPr>
      <w:r>
        <w:rPr>
          <w:lang w:val="en-US"/>
        </w:rPr>
        <w:tab/>
        <w:t xml:space="preserve">D1 and D5 receptors (belonging to D1-like receptor family) couple with G proteins and stimulate cAMP formation via adenylyl cyclase activation: this way, the D1-like receptor </w:t>
      </w:r>
      <w:r>
        <w:rPr>
          <w:lang w:val="en-US"/>
        </w:rPr>
        <w:lastRenderedPageBreak/>
        <w:t>family mediates excitatory neurotransmission. On the other side, inhibitory neurotransmission is controlled by D2-like receptor family that also couples G proteins but acts in inhibiting the adenylyl cyclase, so that the levels of cAMP are reduced. This family of receptors includes D2, D3 and D4 receptors.</w:t>
      </w:r>
    </w:p>
    <w:p w:rsidR="00E04905" w:rsidRPr="00B26E04" w:rsidRDefault="0096787B" w:rsidP="00113B97">
      <w:pPr>
        <w:spacing w:line="480" w:lineRule="auto"/>
        <w:rPr>
          <w:lang w:val="en-US"/>
        </w:rPr>
      </w:pPr>
      <w:r>
        <w:rPr>
          <w:lang w:val="en-US"/>
        </w:rPr>
        <w:tab/>
        <w:t xml:space="preserve">To our knowledge, the DRD4 is the only DR that has been related to violent murder cases, in which the VNTR in exon 3 of </w:t>
      </w:r>
      <w:r>
        <w:rPr>
          <w:i/>
          <w:lang w:val="en-US"/>
        </w:rPr>
        <w:t>DRD4</w:t>
      </w:r>
      <w:r>
        <w:rPr>
          <w:lang w:val="en-US"/>
        </w:rPr>
        <w:t xml:space="preserve"> gene (located on chromosome 11p15.5; Gene ID: 1815) was investigated (</w:t>
      </w:r>
      <w:proofErr w:type="spellStart"/>
      <w:r>
        <w:rPr>
          <w:lang w:val="en-US"/>
        </w:rPr>
        <w:t>Rigoni</w:t>
      </w:r>
      <w:proofErr w:type="spellEnd"/>
      <w:r>
        <w:rPr>
          <w:lang w:val="en-US"/>
        </w:rPr>
        <w:t xml:space="preserve"> et al., 2010). This polymorphism is characterized by varying number of 48 base pair long sequence repeats in the </w:t>
      </w:r>
      <w:r>
        <w:rPr>
          <w:i/>
          <w:lang w:val="en-US"/>
        </w:rPr>
        <w:t>DRD4</w:t>
      </w:r>
      <w:r>
        <w:rPr>
          <w:lang w:val="en-US"/>
        </w:rPr>
        <w:t xml:space="preserve"> gene (</w:t>
      </w:r>
      <w:r>
        <w:rPr>
          <w:i/>
          <w:lang w:val="en-US"/>
        </w:rPr>
        <w:t>DRD4</w:t>
      </w:r>
      <w:r>
        <w:rPr>
          <w:lang w:val="en-US"/>
        </w:rPr>
        <w:t xml:space="preserve"> 48 bp VNTR) involving a VNTR of 16 amino acids, ranging from 2 to 10 repeated units (</w:t>
      </w:r>
      <w:proofErr w:type="spellStart"/>
      <w:r>
        <w:rPr>
          <w:lang w:val="en-US"/>
        </w:rPr>
        <w:t>Lichter</w:t>
      </w:r>
      <w:proofErr w:type="spellEnd"/>
      <w:r>
        <w:rPr>
          <w:lang w:val="en-US"/>
        </w:rPr>
        <w:t xml:space="preserve"> et al., 1993; Jovanovic et al., 1999; Van Tol et al., 1992). Then, the resulting receptor displays a large variation in the third intracellular loop of DRD4, a region involved in the G-protein coupling. Short </w:t>
      </w:r>
      <w:r>
        <w:rPr>
          <w:i/>
          <w:lang w:val="en-US"/>
        </w:rPr>
        <w:t>DRD4</w:t>
      </w:r>
      <w:r>
        <w:rPr>
          <w:lang w:val="en-US"/>
        </w:rPr>
        <w:t xml:space="preserve"> variant (</w:t>
      </w:r>
      <w:r>
        <w:rPr>
          <w:i/>
          <w:lang w:val="en-US"/>
        </w:rPr>
        <w:t>S-DRD4</w:t>
      </w:r>
      <w:r>
        <w:rPr>
          <w:lang w:val="en-US"/>
        </w:rPr>
        <w:t xml:space="preserve">), from 2- to 5-repeats, and long </w:t>
      </w:r>
      <w:r>
        <w:rPr>
          <w:i/>
          <w:lang w:val="en-US"/>
        </w:rPr>
        <w:t>DRD4</w:t>
      </w:r>
      <w:r>
        <w:rPr>
          <w:lang w:val="en-US"/>
        </w:rPr>
        <w:t xml:space="preserve"> variant (</w:t>
      </w:r>
      <w:r>
        <w:rPr>
          <w:i/>
          <w:lang w:val="en-US"/>
        </w:rPr>
        <w:t>L-DRD4</w:t>
      </w:r>
      <w:r>
        <w:rPr>
          <w:lang w:val="en-US"/>
        </w:rPr>
        <w:t>), with 6- to 10-repeats were identified (</w:t>
      </w:r>
      <w:proofErr w:type="spellStart"/>
      <w:r>
        <w:rPr>
          <w:lang w:val="en-US"/>
        </w:rPr>
        <w:t>Asghari</w:t>
      </w:r>
      <w:proofErr w:type="spellEnd"/>
      <w:r>
        <w:rPr>
          <w:lang w:val="en-US"/>
        </w:rPr>
        <w:t xml:space="preserve"> et al., 1994; </w:t>
      </w:r>
      <w:proofErr w:type="spellStart"/>
      <w:r>
        <w:rPr>
          <w:lang w:val="en-US"/>
        </w:rPr>
        <w:t>Lichter</w:t>
      </w:r>
      <w:proofErr w:type="spellEnd"/>
      <w:r>
        <w:rPr>
          <w:lang w:val="en-US"/>
        </w:rPr>
        <w:t xml:space="preserve"> et al., 1993; Van Tol et al., 1992). It seems that different functional features of DRD4 are determined by different polymorphic forms: for example, </w:t>
      </w:r>
      <w:r>
        <w:rPr>
          <w:i/>
          <w:lang w:val="en-US"/>
        </w:rPr>
        <w:t>S-DRD4</w:t>
      </w:r>
      <w:r>
        <w:rPr>
          <w:lang w:val="en-US"/>
        </w:rPr>
        <w:t xml:space="preserve"> with 2 and 4 repeated units are 2- to 3-fold more potent in DA-mediated inhibition of cAMP formation than the </w:t>
      </w:r>
      <w:r>
        <w:rPr>
          <w:i/>
          <w:lang w:val="en-US"/>
        </w:rPr>
        <w:t>DRD4</w:t>
      </w:r>
      <w:r>
        <w:rPr>
          <w:lang w:val="en-US"/>
        </w:rPr>
        <w:t xml:space="preserve"> with 7 repeats (</w:t>
      </w:r>
      <w:proofErr w:type="spellStart"/>
      <w:r>
        <w:rPr>
          <w:lang w:val="en-US"/>
        </w:rPr>
        <w:t>Asghari</w:t>
      </w:r>
      <w:proofErr w:type="spellEnd"/>
      <w:r>
        <w:rPr>
          <w:lang w:val="en-US"/>
        </w:rPr>
        <w:t xml:space="preserve"> et al., 1995), while </w:t>
      </w:r>
      <w:r>
        <w:rPr>
          <w:i/>
          <w:lang w:val="en-US"/>
        </w:rPr>
        <w:t>DRD4</w:t>
      </w:r>
      <w:r>
        <w:rPr>
          <w:lang w:val="en-US"/>
        </w:rPr>
        <w:t xml:space="preserve"> with 10-repeats is 2- to 3-fold more efficient than that with 2 repeats (Jovanovic et al., 1999), demonstrating a lack of direct correlation between the length of polymorphism and pharmacological and functional alterations in DRD4 functional activity.</w:t>
      </w:r>
    </w:p>
    <w:p w:rsidR="00E04905" w:rsidRPr="00B26E04" w:rsidRDefault="0096787B" w:rsidP="00113B97">
      <w:pPr>
        <w:spacing w:line="480" w:lineRule="auto"/>
        <w:rPr>
          <w:strike/>
          <w:lang w:val="en-US"/>
        </w:rPr>
      </w:pPr>
      <w:r>
        <w:rPr>
          <w:lang w:val="en-US"/>
        </w:rPr>
        <w:tab/>
        <w:t xml:space="preserve">The </w:t>
      </w:r>
      <w:r>
        <w:rPr>
          <w:i/>
          <w:lang w:val="en-US"/>
        </w:rPr>
        <w:t>DRD4</w:t>
      </w:r>
      <w:r>
        <w:rPr>
          <w:lang w:val="en-US"/>
        </w:rPr>
        <w:t xml:space="preserve"> gene is variably expressed in different areas of the human CNS. The </w:t>
      </w:r>
      <w:r>
        <w:rPr>
          <w:i/>
          <w:lang w:val="en-US"/>
        </w:rPr>
        <w:t>DRD4</w:t>
      </w:r>
      <w:r>
        <w:rPr>
          <w:lang w:val="en-US"/>
        </w:rPr>
        <w:t xml:space="preserve"> mRNA was mainly found in the amygdala, hippocampus, corpus callosum, spinal cord, medulla and subthalamic nucleus (Matsumoto et al., 1996; Meador-Woodruff et al., 1996).</w:t>
      </w:r>
    </w:p>
    <w:p w:rsidR="00E04905" w:rsidRPr="00B26E04" w:rsidRDefault="0096787B" w:rsidP="00113B97">
      <w:pPr>
        <w:spacing w:line="480" w:lineRule="auto"/>
        <w:rPr>
          <w:lang w:val="en-US"/>
        </w:rPr>
      </w:pPr>
      <w:r>
        <w:rPr>
          <w:lang w:val="en-US"/>
        </w:rPr>
        <w:tab/>
        <w:t xml:space="preserve">The </w:t>
      </w:r>
      <w:r>
        <w:rPr>
          <w:i/>
          <w:lang w:val="en-US"/>
        </w:rPr>
        <w:t xml:space="preserve">DRD4 </w:t>
      </w:r>
      <w:r>
        <w:rPr>
          <w:lang w:val="en-US"/>
        </w:rPr>
        <w:t xml:space="preserve">48 bp VNTR has been studied extensively since there is an association of the 7-repeats allele with novelty seeking, a personality trait that </w:t>
      </w:r>
      <w:r w:rsidR="00FA3E03">
        <w:rPr>
          <w:lang w:val="en-US"/>
        </w:rPr>
        <w:t xml:space="preserve">is </w:t>
      </w:r>
      <w:r>
        <w:rPr>
          <w:lang w:val="en-US"/>
        </w:rPr>
        <w:t xml:space="preserve">associated with impulsive decision-making, leading to high risk of harmful decisions, and </w:t>
      </w:r>
      <w:r w:rsidR="00FA3E03">
        <w:rPr>
          <w:lang w:val="en-US"/>
        </w:rPr>
        <w:t xml:space="preserve">with </w:t>
      </w:r>
      <w:r>
        <w:rPr>
          <w:lang w:val="en-US"/>
        </w:rPr>
        <w:t xml:space="preserve">excitable and </w:t>
      </w:r>
      <w:r>
        <w:rPr>
          <w:bCs/>
          <w:lang w:val="en-US"/>
        </w:rPr>
        <w:t>quick-</w:t>
      </w:r>
      <w:r>
        <w:rPr>
          <w:bCs/>
          <w:lang w:val="en-US"/>
        </w:rPr>
        <w:lastRenderedPageBreak/>
        <w:t>tempered behavior (</w:t>
      </w:r>
      <w:r>
        <w:rPr>
          <w:lang w:val="en-US"/>
        </w:rPr>
        <w:t xml:space="preserve">Benjamin et al., 1996; </w:t>
      </w:r>
      <w:proofErr w:type="spellStart"/>
      <w:r>
        <w:rPr>
          <w:lang w:val="en-US"/>
        </w:rPr>
        <w:t>Ebstein</w:t>
      </w:r>
      <w:proofErr w:type="spellEnd"/>
      <w:r>
        <w:rPr>
          <w:lang w:val="en-US"/>
        </w:rPr>
        <w:t xml:space="preserve"> et al. 1996; Roussos et al., 2009). Interestingly, the risky decision making related to </w:t>
      </w:r>
      <w:r>
        <w:rPr>
          <w:i/>
          <w:lang w:val="en-US"/>
        </w:rPr>
        <w:t>L-DRD4</w:t>
      </w:r>
      <w:r>
        <w:rPr>
          <w:lang w:val="en-US"/>
        </w:rPr>
        <w:t xml:space="preserve"> </w:t>
      </w:r>
      <w:r w:rsidR="004115B7">
        <w:rPr>
          <w:lang w:val="en-US"/>
        </w:rPr>
        <w:t>occur</w:t>
      </w:r>
      <w:r>
        <w:rPr>
          <w:lang w:val="en-US"/>
        </w:rPr>
        <w:t xml:space="preserve">s when emotional or motivational feedback is required, while it was not observed during planning and decision making (Roussos et al., 2009). Furthermore, alterations in DA signaling can modify striatal DA neurotransmission favoring variability in reward-related ventral striatum (brain areas involved in reward processing) reactivity and influencing impulsivity. The </w:t>
      </w:r>
      <w:r>
        <w:rPr>
          <w:i/>
          <w:lang w:val="en-US"/>
        </w:rPr>
        <w:t>DRD4</w:t>
      </w:r>
      <w:r>
        <w:rPr>
          <w:lang w:val="en-US"/>
        </w:rPr>
        <w:t xml:space="preserve"> with 7-repeats is also associated with higher reward-related ventral striatum reactivity, due to the decreased inhibitory post-synaptic effect of D4 receptor, and to higher self-reported impulsivity (Forbes et al., 2009).</w:t>
      </w:r>
    </w:p>
    <w:p w:rsidR="00E97661" w:rsidRPr="00B26E04" w:rsidRDefault="0096787B" w:rsidP="00113B97">
      <w:pPr>
        <w:spacing w:line="480" w:lineRule="auto"/>
        <w:rPr>
          <w:lang w:val="en-US"/>
        </w:rPr>
      </w:pPr>
      <w:r>
        <w:rPr>
          <w:lang w:val="en-US"/>
        </w:rPr>
        <w:tab/>
        <w:t xml:space="preserve">Among </w:t>
      </w:r>
      <w:r>
        <w:rPr>
          <w:i/>
          <w:lang w:val="en-US"/>
        </w:rPr>
        <w:t>DR</w:t>
      </w:r>
      <w:r>
        <w:rPr>
          <w:lang w:val="en-US"/>
        </w:rPr>
        <w:t xml:space="preserve"> genes regulating </w:t>
      </w:r>
      <w:r w:rsidR="00067FB0">
        <w:rPr>
          <w:lang w:val="en-US"/>
        </w:rPr>
        <w:t xml:space="preserve">the </w:t>
      </w:r>
      <w:r>
        <w:rPr>
          <w:lang w:val="en-US"/>
        </w:rPr>
        <w:t xml:space="preserve">DA system, a possible role for </w:t>
      </w:r>
      <w:r>
        <w:rPr>
          <w:i/>
          <w:lang w:val="en-US"/>
        </w:rPr>
        <w:t>DRD2</w:t>
      </w:r>
      <w:r>
        <w:rPr>
          <w:lang w:val="en-US"/>
        </w:rPr>
        <w:t xml:space="preserve"> polymorphisms in determining aggressive behavior was also hypothesized: a pilot study suggested an association between three polymorphisms in </w:t>
      </w:r>
      <w:r>
        <w:rPr>
          <w:i/>
          <w:lang w:val="en-US"/>
        </w:rPr>
        <w:t>DRD2</w:t>
      </w:r>
      <w:r>
        <w:rPr>
          <w:lang w:val="en-US"/>
        </w:rPr>
        <w:t xml:space="preserve"> gene and aggression in childhood (</w:t>
      </w:r>
      <w:proofErr w:type="spellStart"/>
      <w:r>
        <w:rPr>
          <w:lang w:val="en-US"/>
        </w:rPr>
        <w:t>Zai</w:t>
      </w:r>
      <w:proofErr w:type="spellEnd"/>
      <w:r>
        <w:rPr>
          <w:lang w:val="en-US"/>
        </w:rPr>
        <w:t xml:space="preserve"> et al., 2012). Although this association needs to be confirmed, this finding suggests that additional studies are needed to investigate the association between aggressive behavior and genes of other DA receptors in addition to </w:t>
      </w:r>
      <w:r>
        <w:rPr>
          <w:i/>
          <w:lang w:val="en-US"/>
        </w:rPr>
        <w:t>DRD4</w:t>
      </w:r>
      <w:r>
        <w:rPr>
          <w:lang w:val="en-US"/>
        </w:rPr>
        <w:t>.</w:t>
      </w:r>
    </w:p>
    <w:p w:rsidR="00E04905" w:rsidRPr="00B26E04" w:rsidRDefault="00E04905" w:rsidP="00113B97">
      <w:pPr>
        <w:spacing w:line="480" w:lineRule="auto"/>
        <w:rPr>
          <w:b/>
          <w:lang w:val="en-US"/>
        </w:rPr>
      </w:pPr>
    </w:p>
    <w:p w:rsidR="00E04905" w:rsidRPr="00B26E04" w:rsidRDefault="0096787B" w:rsidP="00113B97">
      <w:pPr>
        <w:spacing w:line="480" w:lineRule="auto"/>
        <w:rPr>
          <w:b/>
          <w:lang w:val="en-US"/>
        </w:rPr>
      </w:pPr>
      <w:r>
        <w:rPr>
          <w:b/>
          <w:lang w:val="en-US"/>
        </w:rPr>
        <w:t>6. Gene interactions</w:t>
      </w:r>
    </w:p>
    <w:p w:rsidR="00E04905" w:rsidRPr="00B26E04" w:rsidRDefault="0096787B" w:rsidP="00113B97">
      <w:pPr>
        <w:spacing w:line="480" w:lineRule="auto"/>
        <w:rPr>
          <w:b/>
          <w:lang w:val="en-US"/>
        </w:rPr>
      </w:pPr>
      <w:r>
        <w:rPr>
          <w:b/>
          <w:lang w:val="en-US"/>
        </w:rPr>
        <w:t>6.1. Gene-gene interactions</w:t>
      </w:r>
    </w:p>
    <w:p w:rsidR="00E04905" w:rsidRPr="00B26E04" w:rsidRDefault="0096787B" w:rsidP="00113B97">
      <w:pPr>
        <w:spacing w:line="480" w:lineRule="auto"/>
        <w:rPr>
          <w:lang w:val="en-US"/>
        </w:rPr>
      </w:pPr>
      <w:r>
        <w:rPr>
          <w:lang w:val="en-US"/>
        </w:rPr>
        <w:tab/>
        <w:t xml:space="preserve">Despite evidences showing that genes can predict </w:t>
      </w:r>
      <w:r>
        <w:rPr>
          <w:rFonts w:cs="Arial"/>
          <w:lang w:val="en-US"/>
        </w:rPr>
        <w:t xml:space="preserve">aggressive </w:t>
      </w:r>
      <w:r>
        <w:rPr>
          <w:lang w:val="en-US"/>
        </w:rPr>
        <w:t>behaviors, a single mutation is only likely to be a risk factor and unlikely can lead alone to aggressive behaviors. Researchers have analyzed in detail the genetic factors that influence antisocial behavior and have recognized the importance of both gene-gene and allele-allele interactions (Grigorenko et al., 2010). Indeed, subjects with antisocial and/or criminal behavior might carry multiple genetic risk factors for aggressive behavior (</w:t>
      </w:r>
      <w:proofErr w:type="spellStart"/>
      <w:r>
        <w:rPr>
          <w:lang w:val="en-US"/>
        </w:rPr>
        <w:t>Rigoni</w:t>
      </w:r>
      <w:proofErr w:type="spellEnd"/>
      <w:r>
        <w:rPr>
          <w:lang w:val="en-US"/>
        </w:rPr>
        <w:t xml:space="preserve"> et al., 2010). To date, there are only few investigations on gene-gene interactions, and it appears that both gene-gene and allele-allele </w:t>
      </w:r>
      <w:r>
        <w:rPr>
          <w:lang w:val="en-US"/>
        </w:rPr>
        <w:lastRenderedPageBreak/>
        <w:t>interactions play a key role in brain functionality, behavioral and cognitive phenotype (Herrmann et al., 2007; Passamonti et al., 2008).</w:t>
      </w:r>
    </w:p>
    <w:p w:rsidR="00E04905" w:rsidRPr="00B26E04" w:rsidRDefault="0096787B" w:rsidP="00113B97">
      <w:pPr>
        <w:spacing w:line="480" w:lineRule="auto"/>
        <w:rPr>
          <w:lang w:val="en-US"/>
        </w:rPr>
      </w:pPr>
      <w:r>
        <w:rPr>
          <w:lang w:val="en-US"/>
        </w:rPr>
        <w:tab/>
        <w:t xml:space="preserve">Two different kinds of gene-gene interactions may occur: the first one occurs when two alleles of the same neurotransmitter system interact with each other, while in the second case a gene-gene interaction occurs between different neurotransmitters systems. Epistatic relationship between genes of 5-HT system modulates the </w:t>
      </w:r>
      <w:proofErr w:type="spellStart"/>
      <w:r>
        <w:rPr>
          <w:lang w:val="en-US"/>
        </w:rPr>
        <w:t>intersynaptic</w:t>
      </w:r>
      <w:proofErr w:type="spellEnd"/>
      <w:r>
        <w:rPr>
          <w:lang w:val="en-US"/>
        </w:rPr>
        <w:t xml:space="preserve"> level of 5-HT (Stoltenberg, 2005) with consequences on brain functionality. For example, allelic interaction between </w:t>
      </w:r>
      <w:r>
        <w:rPr>
          <w:i/>
          <w:lang w:val="en-US"/>
        </w:rPr>
        <w:t>MAOA</w:t>
      </w:r>
      <w:r>
        <w:rPr>
          <w:lang w:val="en-US"/>
        </w:rPr>
        <w:t xml:space="preserve"> and </w:t>
      </w:r>
      <w:r>
        <w:rPr>
          <w:i/>
          <w:lang w:val="en-US"/>
        </w:rPr>
        <w:t>5-HTT</w:t>
      </w:r>
      <w:r>
        <w:rPr>
          <w:lang w:val="en-US"/>
        </w:rPr>
        <w:t xml:space="preserve"> genes strongly influences the anterior cingulate cortex functionality, a brain area important for cognitive control and aggressiveness. Indeed, fMRI studies revealed that healthy males who simultaneously carry the </w:t>
      </w:r>
      <w:r>
        <w:rPr>
          <w:i/>
          <w:lang w:val="en-US"/>
        </w:rPr>
        <w:t>MAOA-H</w:t>
      </w:r>
      <w:r>
        <w:rPr>
          <w:lang w:val="en-US"/>
        </w:rPr>
        <w:t xml:space="preserve"> variant and at least one copy of </w:t>
      </w:r>
      <w:r>
        <w:rPr>
          <w:i/>
          <w:lang w:val="en-US"/>
        </w:rPr>
        <w:t>5-HTTLPR-S</w:t>
      </w:r>
      <w:r>
        <w:rPr>
          <w:lang w:val="en-US"/>
        </w:rPr>
        <w:t xml:space="preserve"> (both responsible for reduced serotonergic function </w:t>
      </w:r>
      <w:r>
        <w:rPr>
          <w:i/>
          <w:lang w:val="en-US"/>
        </w:rPr>
        <w:t>in vivo</w:t>
      </w:r>
      <w:r>
        <w:rPr>
          <w:lang w:val="en-US"/>
        </w:rPr>
        <w:t xml:space="preserve">) have the highest activation of anterior cingulate cortex, while subjects homozygous for </w:t>
      </w:r>
      <w:r>
        <w:rPr>
          <w:i/>
          <w:lang w:val="en-US"/>
        </w:rPr>
        <w:t>5-HTTLPR-L</w:t>
      </w:r>
      <w:r>
        <w:rPr>
          <w:lang w:val="en-US"/>
        </w:rPr>
        <w:t xml:space="preserve"> allele with at least one </w:t>
      </w:r>
      <w:r>
        <w:rPr>
          <w:i/>
          <w:lang w:val="en-US"/>
        </w:rPr>
        <w:t>MAOA-L</w:t>
      </w:r>
      <w:r>
        <w:rPr>
          <w:lang w:val="en-US"/>
        </w:rPr>
        <w:t xml:space="preserve"> allele (with higher serotonergic activity) display the lowest activation of the anterior cingulate cortex</w:t>
      </w:r>
      <w:r w:rsidR="00171622">
        <w:rPr>
          <w:lang w:val="en-US"/>
        </w:rPr>
        <w:t xml:space="preserve"> </w:t>
      </w:r>
      <w:r>
        <w:rPr>
          <w:lang w:val="en-US"/>
        </w:rPr>
        <w:t xml:space="preserve">(Passamonti et al., 2008). Moreover, both </w:t>
      </w:r>
      <w:r>
        <w:rPr>
          <w:i/>
          <w:lang w:val="en-US"/>
        </w:rPr>
        <w:t>5-HTT</w:t>
      </w:r>
      <w:r>
        <w:rPr>
          <w:lang w:val="en-US"/>
        </w:rPr>
        <w:t xml:space="preserve"> and </w:t>
      </w:r>
      <w:r>
        <w:rPr>
          <w:i/>
          <w:lang w:val="en-US"/>
        </w:rPr>
        <w:t>TPH2</w:t>
      </w:r>
      <w:r>
        <w:rPr>
          <w:lang w:val="en-US"/>
        </w:rPr>
        <w:t xml:space="preserve"> genes regulate the synaptic availability of 5-HT. An additive effect of </w:t>
      </w:r>
      <w:r>
        <w:rPr>
          <w:i/>
          <w:lang w:val="en-US"/>
        </w:rPr>
        <w:t>5-HTT</w:t>
      </w:r>
      <w:r>
        <w:rPr>
          <w:lang w:val="en-US"/>
        </w:rPr>
        <w:t xml:space="preserve"> and </w:t>
      </w:r>
      <w:r>
        <w:rPr>
          <w:i/>
          <w:lang w:val="en-US"/>
        </w:rPr>
        <w:t>TPH2</w:t>
      </w:r>
      <w:r>
        <w:rPr>
          <w:lang w:val="en-US"/>
        </w:rPr>
        <w:t xml:space="preserve"> genotypes was observed to influence the neural activity during emotional processing. Event-related potentials was used to assess brain electrical activation in response to emotional arousal in relation to gene variations and fMRI to identify specific neural loci that may mediate the additive effect of </w:t>
      </w:r>
      <w:r>
        <w:rPr>
          <w:i/>
          <w:lang w:val="en-US"/>
        </w:rPr>
        <w:t>5-HTT</w:t>
      </w:r>
      <w:r>
        <w:rPr>
          <w:lang w:val="en-US"/>
        </w:rPr>
        <w:t xml:space="preserve"> and </w:t>
      </w:r>
      <w:r>
        <w:rPr>
          <w:i/>
          <w:lang w:val="en-US"/>
        </w:rPr>
        <w:t>TPH2</w:t>
      </w:r>
      <w:r>
        <w:rPr>
          <w:lang w:val="en-US"/>
        </w:rPr>
        <w:t xml:space="preserve"> variants (</w:t>
      </w:r>
      <w:proofErr w:type="spellStart"/>
      <w:r>
        <w:rPr>
          <w:lang w:val="en-US"/>
        </w:rPr>
        <w:t>Canli</w:t>
      </w:r>
      <w:proofErr w:type="spellEnd"/>
      <w:r>
        <w:rPr>
          <w:lang w:val="en-US"/>
        </w:rPr>
        <w:t xml:space="preserve"> et al., 2008; Herrmann et al., 2007). Individuals with both </w:t>
      </w:r>
      <w:r>
        <w:rPr>
          <w:i/>
          <w:lang w:val="en-US"/>
        </w:rPr>
        <w:t>5-HTTLPR-S</w:t>
      </w:r>
      <w:r>
        <w:rPr>
          <w:lang w:val="en-US"/>
        </w:rPr>
        <w:t xml:space="preserve"> variant and T variant of rs4570625 in </w:t>
      </w:r>
      <w:r>
        <w:rPr>
          <w:i/>
          <w:lang w:val="en-US"/>
        </w:rPr>
        <w:t>TPH2</w:t>
      </w:r>
      <w:r>
        <w:rPr>
          <w:lang w:val="en-US"/>
        </w:rPr>
        <w:t xml:space="preserve"> had the greatest degree of neural activation in response to emotionally arousing versus neutral images, while the combination of </w:t>
      </w:r>
      <w:r>
        <w:rPr>
          <w:i/>
          <w:lang w:val="en-US"/>
        </w:rPr>
        <w:t>5-HTTLPR-L</w:t>
      </w:r>
      <w:r>
        <w:rPr>
          <w:lang w:val="en-US"/>
        </w:rPr>
        <w:t xml:space="preserve"> and G variant of rs4570625 in </w:t>
      </w:r>
      <w:r>
        <w:rPr>
          <w:i/>
          <w:lang w:val="en-US"/>
        </w:rPr>
        <w:t>TPH2</w:t>
      </w:r>
      <w:r>
        <w:rPr>
          <w:lang w:val="en-US"/>
        </w:rPr>
        <w:t xml:space="preserve"> had the lowest neural activity during this task while the remaining combination of genotypes had intermediate neural activity (Herrmann et al., 2007). These additive effects between genotypes were evident in the putamen and also in amygdala </w:t>
      </w:r>
      <w:r>
        <w:rPr>
          <w:lang w:val="en-US"/>
        </w:rPr>
        <w:lastRenderedPageBreak/>
        <w:t>(although to a lesser extent), and were more robust for visuospatial than for verbal stimuli, and for negative than positive stimuli (</w:t>
      </w:r>
      <w:proofErr w:type="spellStart"/>
      <w:r>
        <w:rPr>
          <w:lang w:val="en-US"/>
        </w:rPr>
        <w:t>Canli</w:t>
      </w:r>
      <w:proofErr w:type="spellEnd"/>
      <w:r>
        <w:rPr>
          <w:lang w:val="en-US"/>
        </w:rPr>
        <w:t xml:space="preserve"> et al., 2008).</w:t>
      </w:r>
    </w:p>
    <w:p w:rsidR="00E04905" w:rsidRPr="00B26E04" w:rsidRDefault="0096787B" w:rsidP="00113B97">
      <w:pPr>
        <w:spacing w:line="480" w:lineRule="auto"/>
        <w:rPr>
          <w:lang w:val="en-US"/>
        </w:rPr>
      </w:pPr>
      <w:r>
        <w:rPr>
          <w:lang w:val="en-US"/>
        </w:rPr>
        <w:tab/>
        <w:t xml:space="preserve">Furthermore, several studies do not preclude an interaction between </w:t>
      </w:r>
      <w:r>
        <w:rPr>
          <w:i/>
          <w:lang w:val="en-US"/>
        </w:rPr>
        <w:t>COMT</w:t>
      </w:r>
      <w:r>
        <w:rPr>
          <w:lang w:val="en-US"/>
        </w:rPr>
        <w:t xml:space="preserve"> Val</w:t>
      </w:r>
      <w:r>
        <w:rPr>
          <w:vertAlign w:val="superscript"/>
          <w:lang w:val="en-US"/>
        </w:rPr>
        <w:t>108/158</w:t>
      </w:r>
      <w:r>
        <w:rPr>
          <w:lang w:val="en-US"/>
        </w:rPr>
        <w:t>Met SNP and polymorphism in DA transporter gene (</w:t>
      </w:r>
      <w:r>
        <w:rPr>
          <w:i/>
          <w:lang w:val="en-US"/>
        </w:rPr>
        <w:t>SLC6A3</w:t>
      </w:r>
      <w:r>
        <w:rPr>
          <w:lang w:val="en-US"/>
        </w:rPr>
        <w:t xml:space="preserve">, chromosome location 5p15.33; Gene ID: 6531), the latter gene coding for DA transporter protein which regulates synaptic levels of DA by driving its reuptake from extracellular space into pre-synaptic neurons (Bannon et al., 2001). The </w:t>
      </w:r>
      <w:r>
        <w:rPr>
          <w:i/>
          <w:lang w:val="en-US"/>
        </w:rPr>
        <w:t>SLC6A3</w:t>
      </w:r>
      <w:r>
        <w:rPr>
          <w:lang w:val="en-US"/>
        </w:rPr>
        <w:t xml:space="preserve"> gene has polymorphic 40-bp VNTR in 3’-UTR ranging from 3- to 11-repeats, that acts a modulator in gene transcription (</w:t>
      </w:r>
      <w:proofErr w:type="spellStart"/>
      <w:r>
        <w:rPr>
          <w:lang w:val="en-US"/>
        </w:rPr>
        <w:t>Vandenbergh</w:t>
      </w:r>
      <w:proofErr w:type="spellEnd"/>
      <w:r>
        <w:rPr>
          <w:lang w:val="en-US"/>
        </w:rPr>
        <w:t xml:space="preserve"> et al., 1992), thus influencing levels of the DA transporter in the striatum. Since the dopaminergic innervation to the striatum mediates impulsivity, functional variants of </w:t>
      </w:r>
      <w:r>
        <w:rPr>
          <w:i/>
          <w:lang w:val="en-US"/>
        </w:rPr>
        <w:t>SLC6A3</w:t>
      </w:r>
      <w:r>
        <w:rPr>
          <w:lang w:val="en-US"/>
        </w:rPr>
        <w:t xml:space="preserve"> associated with synaptic DA availability in the striatum could therefore be implicated in aggression-related traits. The 9- and 10-repeats allele has the higher frequency, even if with specific population differences (Kang et al., 1999). It was demonstrated that the 9-repeats variant of </w:t>
      </w:r>
      <w:r>
        <w:rPr>
          <w:i/>
          <w:lang w:val="en-US"/>
        </w:rPr>
        <w:t>SLC6A3</w:t>
      </w:r>
      <w:r>
        <w:rPr>
          <w:lang w:val="en-US"/>
        </w:rPr>
        <w:t xml:space="preserve"> polymorphism represents a significant risk allele for externalizing behavior in children, which is a typical pattern of aggressive behavior (Young et al., 2002). More recently, another study showed that the 9-repeats allele of </w:t>
      </w:r>
      <w:r>
        <w:rPr>
          <w:i/>
          <w:lang w:val="en-US"/>
        </w:rPr>
        <w:t>SLC6A3</w:t>
      </w:r>
      <w:r>
        <w:rPr>
          <w:lang w:val="en-US"/>
        </w:rPr>
        <w:t xml:space="preserve"> polymorphism, either in homozygous or heterozygous form, was more prevalent in murderers than in </w:t>
      </w:r>
      <w:proofErr w:type="spellStart"/>
      <w:r>
        <w:rPr>
          <w:lang w:val="en-US"/>
        </w:rPr>
        <w:t>non aggressive</w:t>
      </w:r>
      <w:proofErr w:type="spellEnd"/>
      <w:r>
        <w:rPr>
          <w:lang w:val="en-US"/>
        </w:rPr>
        <w:t xml:space="preserve"> control subjects in a sample of prison inmates from Pakistan (Qadeer et al., 2017). Considering limitations of the above mentioned study on prisoners of a single population in a small region, further studies are needed to investigate the role of </w:t>
      </w:r>
      <w:r>
        <w:rPr>
          <w:i/>
          <w:lang w:val="en-US"/>
        </w:rPr>
        <w:t>SLC6A3</w:t>
      </w:r>
      <w:r>
        <w:rPr>
          <w:lang w:val="en-US"/>
        </w:rPr>
        <w:t xml:space="preserve"> polymorphisms in other populations in relation with different severity of aggressive antisocial behaviors. As mentioned before, </w:t>
      </w:r>
      <w:r>
        <w:rPr>
          <w:i/>
          <w:lang w:val="en-US"/>
        </w:rPr>
        <w:t>SLC6A3</w:t>
      </w:r>
      <w:r>
        <w:rPr>
          <w:lang w:val="en-US"/>
        </w:rPr>
        <w:t xml:space="preserve"> polymorphisms have been studied more extensively in association with polymorphisms of other genes. Indeed, an addictive effect of </w:t>
      </w:r>
      <w:r>
        <w:rPr>
          <w:i/>
          <w:lang w:val="en-US"/>
        </w:rPr>
        <w:t>COMT</w:t>
      </w:r>
      <w:r>
        <w:rPr>
          <w:lang w:val="en-US"/>
        </w:rPr>
        <w:t xml:space="preserve"> Val</w:t>
      </w:r>
      <w:r>
        <w:rPr>
          <w:vertAlign w:val="superscript"/>
          <w:lang w:val="en-US"/>
        </w:rPr>
        <w:t>108/158</w:t>
      </w:r>
      <w:r>
        <w:rPr>
          <w:lang w:val="en-US"/>
        </w:rPr>
        <w:t xml:space="preserve">Met polymorphism and the 40-bp VNTR in </w:t>
      </w:r>
      <w:r>
        <w:rPr>
          <w:i/>
          <w:lang w:val="en-US"/>
        </w:rPr>
        <w:t>SLC6A3</w:t>
      </w:r>
      <w:r>
        <w:rPr>
          <w:lang w:val="en-US"/>
        </w:rPr>
        <w:t xml:space="preserve"> gene was observed to modulate brain activity during activation of the reward system and in response to cognitive tasks (</w:t>
      </w:r>
      <w:proofErr w:type="spellStart"/>
      <w:r>
        <w:rPr>
          <w:lang w:val="en-US"/>
        </w:rPr>
        <w:t>Caldù</w:t>
      </w:r>
      <w:proofErr w:type="spellEnd"/>
      <w:r>
        <w:rPr>
          <w:lang w:val="en-US"/>
        </w:rPr>
        <w:t xml:space="preserve"> et al., 2007; Dreher et al., 2009). Carriers of the COMT Met/Met genotype and </w:t>
      </w:r>
      <w:r>
        <w:rPr>
          <w:i/>
          <w:lang w:val="en-US"/>
        </w:rPr>
        <w:t>SLC6A3</w:t>
      </w:r>
      <w:r>
        <w:rPr>
          <w:lang w:val="en-US"/>
        </w:rPr>
        <w:t xml:space="preserve"> 9-repeat allele </w:t>
      </w:r>
      <w:r>
        <w:rPr>
          <w:lang w:val="en-US"/>
        </w:rPr>
        <w:lastRenderedPageBreak/>
        <w:t xml:space="preserve">showed the highest activation of ventral striatum, prefrontal and orbitofrontal cortices as well as in the midbrain during reward anticipation and delivery (Dreher et al., 2009). Regarding the interaction between </w:t>
      </w:r>
      <w:r>
        <w:rPr>
          <w:i/>
          <w:lang w:val="en-US"/>
        </w:rPr>
        <w:t>SLC6A3</w:t>
      </w:r>
      <w:r>
        <w:rPr>
          <w:lang w:val="en-US"/>
        </w:rPr>
        <w:t xml:space="preserve"> gene polymorphisms and alterations in other dopaminergic genes in susceptibility to aggression and antisocial behavior, a study hypothesized a positive correlation of both DA transporter gene and </w:t>
      </w:r>
      <w:r>
        <w:rPr>
          <w:i/>
          <w:lang w:val="en-US"/>
        </w:rPr>
        <w:t>DRD2</w:t>
      </w:r>
      <w:r>
        <w:rPr>
          <w:lang w:val="en-US"/>
        </w:rPr>
        <w:t xml:space="preserve"> gene polymorphisms with pathological aggressive behavior in a small group of adolescents (Chen et al., 2005), although another study suggested the absence of a significant correlation between the two genetic variants in violent delinquency among adolescents and young adults (Guo et al., 2007).</w:t>
      </w:r>
    </w:p>
    <w:p w:rsidR="00E04905" w:rsidRPr="00B26E04" w:rsidRDefault="0096787B" w:rsidP="00113B97">
      <w:pPr>
        <w:spacing w:line="480" w:lineRule="auto"/>
        <w:rPr>
          <w:lang w:val="en-US"/>
        </w:rPr>
      </w:pPr>
      <w:r>
        <w:rPr>
          <w:lang w:val="en-US"/>
        </w:rPr>
        <w:tab/>
        <w:t xml:space="preserve">When gene-gene interaction occurs between DA and 5-HT systems, the outcome can be an additive effect of the two polymorphisms on trait impulsivity. This is the case of </w:t>
      </w:r>
      <w:r>
        <w:rPr>
          <w:i/>
          <w:lang w:val="en-US"/>
        </w:rPr>
        <w:t>DRD4</w:t>
      </w:r>
      <w:r>
        <w:rPr>
          <w:lang w:val="en-US"/>
        </w:rPr>
        <w:t xml:space="preserve"> 48 bp VNTR and serotonergic rs13212041 SNP in the in the 5-HT</w:t>
      </w:r>
      <w:r>
        <w:rPr>
          <w:vertAlign w:val="subscript"/>
          <w:lang w:val="en-US"/>
        </w:rPr>
        <w:t>1B</w:t>
      </w:r>
      <w:r>
        <w:rPr>
          <w:lang w:val="en-US"/>
        </w:rPr>
        <w:t xml:space="preserve"> receptor gene (</w:t>
      </w:r>
      <w:r>
        <w:rPr>
          <w:i/>
          <w:lang w:val="en-US"/>
        </w:rPr>
        <w:t xml:space="preserve">HTR1B </w:t>
      </w:r>
      <w:r>
        <w:rPr>
          <w:lang w:val="en-US"/>
        </w:rPr>
        <w:t xml:space="preserve">gene), and subjects with the simultaneous presence of </w:t>
      </w:r>
      <w:r>
        <w:rPr>
          <w:i/>
          <w:lang w:val="en-US"/>
        </w:rPr>
        <w:t>DRD4</w:t>
      </w:r>
      <w:r>
        <w:rPr>
          <w:lang w:val="en-US"/>
        </w:rPr>
        <w:t xml:space="preserve"> with 7-repeats and G allele showed lower impulsivity trait than those with other genotypes of DRD4 and 5-HT</w:t>
      </w:r>
      <w:r>
        <w:rPr>
          <w:vertAlign w:val="subscript"/>
          <w:lang w:val="en-US"/>
        </w:rPr>
        <w:t>1B</w:t>
      </w:r>
      <w:r>
        <w:rPr>
          <w:lang w:val="en-US"/>
        </w:rPr>
        <w:t xml:space="preserve"> receptor genes (</w:t>
      </w:r>
      <w:proofErr w:type="spellStart"/>
      <w:r>
        <w:rPr>
          <w:lang w:val="en-US"/>
        </w:rPr>
        <w:t>Varga</w:t>
      </w:r>
      <w:proofErr w:type="spellEnd"/>
      <w:r>
        <w:rPr>
          <w:lang w:val="en-US"/>
        </w:rPr>
        <w:t xml:space="preserve"> et al., 2012). Other evidences on gene-gene interaction between DA and 5-HT systems in externalizing behavior (aggression, violence or delinquency) were reported in groups of adolescents (Hohmann et al., 2009) and pre-adolescents (Schmidt et al., 2007): subjects carrying two copies of the </w:t>
      </w:r>
      <w:r>
        <w:rPr>
          <w:i/>
          <w:lang w:val="en-US"/>
        </w:rPr>
        <w:t>5-HTTLPR</w:t>
      </w:r>
      <w:r>
        <w:rPr>
          <w:lang w:val="en-US"/>
        </w:rPr>
        <w:t xml:space="preserve"> short allele and the </w:t>
      </w:r>
      <w:r>
        <w:rPr>
          <w:i/>
          <w:lang w:val="en-US"/>
        </w:rPr>
        <w:t>DRD4</w:t>
      </w:r>
      <w:r>
        <w:rPr>
          <w:lang w:val="en-US"/>
        </w:rPr>
        <w:t xml:space="preserve"> 7-repeats long allele variant had higher aggressive and/or delinquent behavior compared to other genotypes, thus showing a significant interaction between two polymorphisms. In contrast, a higher rate of externalizing behavior was observed pre-adolescents carrying the </w:t>
      </w:r>
      <w:r>
        <w:rPr>
          <w:i/>
          <w:lang w:val="en-US"/>
        </w:rPr>
        <w:t>DRD4</w:t>
      </w:r>
      <w:r>
        <w:rPr>
          <w:lang w:val="en-US"/>
        </w:rPr>
        <w:t xml:space="preserve"> long variant and the </w:t>
      </w:r>
      <w:r>
        <w:rPr>
          <w:i/>
          <w:lang w:val="en-US"/>
        </w:rPr>
        <w:t>5-HTTLPR</w:t>
      </w:r>
      <w:r>
        <w:rPr>
          <w:lang w:val="en-US"/>
        </w:rPr>
        <w:t xml:space="preserve"> long allele variant compared to other genotypes</w:t>
      </w:r>
      <w:r w:rsidR="00B371C8">
        <w:rPr>
          <w:lang w:val="en-US"/>
        </w:rPr>
        <w:t>,</w:t>
      </w:r>
      <w:r>
        <w:rPr>
          <w:lang w:val="en-US"/>
        </w:rPr>
        <w:t xml:space="preserve"> when living under conditions of a low socioeconomic status (Nobile et al., 2007). This finding suggests a complex interaction between both genetic (</w:t>
      </w:r>
      <w:r>
        <w:rPr>
          <w:i/>
          <w:lang w:val="en-US"/>
        </w:rPr>
        <w:t>DRD4</w:t>
      </w:r>
      <w:r>
        <w:rPr>
          <w:lang w:val="en-US"/>
        </w:rPr>
        <w:t xml:space="preserve"> and </w:t>
      </w:r>
      <w:r>
        <w:rPr>
          <w:i/>
          <w:lang w:val="en-US"/>
        </w:rPr>
        <w:t>5-HTTLPR</w:t>
      </w:r>
      <w:r>
        <w:rPr>
          <w:lang w:val="en-US"/>
        </w:rPr>
        <w:t xml:space="preserve"> polymorphisms) and enviro</w:t>
      </w:r>
      <w:r w:rsidR="00437E20">
        <w:rPr>
          <w:lang w:val="en-US"/>
        </w:rPr>
        <w:t>n</w:t>
      </w:r>
      <w:r>
        <w:rPr>
          <w:lang w:val="en-US"/>
        </w:rPr>
        <w:t>mental factors (low socioeconomic status) in determining aggressive behavior, as discussed in the following section.</w:t>
      </w:r>
    </w:p>
    <w:p w:rsidR="00E04905" w:rsidRPr="00B26E04" w:rsidRDefault="0096787B" w:rsidP="00113B97">
      <w:pPr>
        <w:spacing w:line="480" w:lineRule="auto"/>
        <w:rPr>
          <w:lang w:val="en-US"/>
        </w:rPr>
      </w:pPr>
      <w:r>
        <w:rPr>
          <w:lang w:val="en-US"/>
        </w:rPr>
        <w:lastRenderedPageBreak/>
        <w:tab/>
        <w:t xml:space="preserve">The externalized </w:t>
      </w:r>
      <w:r>
        <w:rPr>
          <w:rFonts w:cs="Arial"/>
          <w:lang w:val="en-US"/>
        </w:rPr>
        <w:t>aggressive</w:t>
      </w:r>
      <w:r>
        <w:rPr>
          <w:lang w:val="en-US"/>
        </w:rPr>
        <w:t xml:space="preserve"> behaviors are the result of neural networks cooperation between serotoninergic and dopaminergic systems, thus further investigation is necessary to better understand the effects of polymorphism interactions and provide a clear scientific basis for courtroom during the evaluation of the genetic aspects of aggressiveness.</w:t>
      </w:r>
    </w:p>
    <w:p w:rsidR="00E04905" w:rsidRPr="00B26E04" w:rsidRDefault="0096787B" w:rsidP="00113B97">
      <w:pPr>
        <w:spacing w:line="480" w:lineRule="auto"/>
        <w:rPr>
          <w:lang w:val="en-US"/>
        </w:rPr>
      </w:pPr>
      <w:r>
        <w:rPr>
          <w:lang w:val="en-US"/>
        </w:rPr>
        <w:tab/>
        <w:t xml:space="preserve">In the above-mentioned studies on genetic interactions, all mutations belong to different neurotransmitter systems. To our knowledge, studies that correlate genes belonging to neuro-hormonal and developmental systems (e.g., genes encoding for or regulating hormones, neuronal connectivity, membrane trafficking) are still underestimated in the scientific literature. Nevertheless, </w:t>
      </w:r>
      <w:proofErr w:type="spellStart"/>
      <w:r>
        <w:rPr>
          <w:lang w:val="en-US"/>
        </w:rPr>
        <w:t>Tiihonen</w:t>
      </w:r>
      <w:proofErr w:type="spellEnd"/>
      <w:r>
        <w:rPr>
          <w:lang w:val="en-US"/>
        </w:rPr>
        <w:t xml:space="preserve"> and colleagues suggested cellular membrane dysfunctions as possible factors in the etiology of extreme criminal </w:t>
      </w:r>
      <w:r>
        <w:rPr>
          <w:rFonts w:cs="Arial"/>
          <w:lang w:val="en-US"/>
        </w:rPr>
        <w:t xml:space="preserve">aggressive </w:t>
      </w:r>
      <w:r>
        <w:rPr>
          <w:lang w:val="en-US"/>
        </w:rPr>
        <w:t xml:space="preserve">conducts. In this pioneering investigation, variants in </w:t>
      </w:r>
      <w:r>
        <w:rPr>
          <w:i/>
          <w:lang w:val="en-US"/>
        </w:rPr>
        <w:t>CDH13</w:t>
      </w:r>
      <w:r>
        <w:rPr>
          <w:lang w:val="en-US"/>
        </w:rPr>
        <w:t xml:space="preserve"> gene encoding for T-cadherin (a cell adhesion molecule with important role in the proliferation, migration and connectivity of neurons) as well as low-activity </w:t>
      </w:r>
      <w:r>
        <w:rPr>
          <w:i/>
          <w:lang w:val="en-US"/>
        </w:rPr>
        <w:t>MAOA</w:t>
      </w:r>
      <w:r>
        <w:rPr>
          <w:lang w:val="en-US"/>
        </w:rPr>
        <w:t xml:space="preserve"> genotype were both associated to homicide offenders (</w:t>
      </w:r>
      <w:proofErr w:type="spellStart"/>
      <w:r>
        <w:rPr>
          <w:lang w:val="en-US"/>
        </w:rPr>
        <w:t>Tiihonen</w:t>
      </w:r>
      <w:proofErr w:type="spellEnd"/>
      <w:r>
        <w:rPr>
          <w:lang w:val="en-US"/>
        </w:rPr>
        <w:t xml:space="preserve"> et al., 2015). The study of this association might be of particular interest pursuing further studies exploring new gene-gene interactions in genome-wide association studies.</w:t>
      </w:r>
    </w:p>
    <w:p w:rsidR="00E04905" w:rsidRPr="00B26E04" w:rsidRDefault="00E04905" w:rsidP="00113B97">
      <w:pPr>
        <w:spacing w:line="480" w:lineRule="auto"/>
        <w:rPr>
          <w:lang w:val="en-US"/>
        </w:rPr>
      </w:pPr>
    </w:p>
    <w:p w:rsidR="00E04905" w:rsidRPr="00B26E04" w:rsidRDefault="0096787B" w:rsidP="00113B97">
      <w:pPr>
        <w:spacing w:line="480" w:lineRule="auto"/>
        <w:rPr>
          <w:b/>
          <w:i/>
          <w:u w:color="262626"/>
          <w:lang w:val="en-US"/>
        </w:rPr>
      </w:pPr>
      <w:r>
        <w:rPr>
          <w:b/>
          <w:lang w:val="en-US"/>
        </w:rPr>
        <w:t xml:space="preserve">6.2. </w:t>
      </w:r>
      <w:r>
        <w:rPr>
          <w:b/>
          <w:u w:color="262626"/>
          <w:lang w:val="en-US"/>
        </w:rPr>
        <w:t>Gene-environment interactions</w:t>
      </w:r>
    </w:p>
    <w:p w:rsidR="00E04905" w:rsidRPr="00B26E04" w:rsidRDefault="0096787B" w:rsidP="00113B97">
      <w:pPr>
        <w:spacing w:line="480" w:lineRule="auto"/>
        <w:rPr>
          <w:lang w:val="en-US"/>
        </w:rPr>
      </w:pPr>
      <w:r>
        <w:rPr>
          <w:lang w:val="en-US"/>
        </w:rPr>
        <w:tab/>
        <w:t xml:space="preserve">Genetic factors may account for about half of the variance in antisocial behavior, in both male and female, while the remaining part of the variance may be attributed to environmental factors (Fig. 1) (Miles and Carey, 1997; Rhee and Waldman, 2002), as based on a large selection of the twin and adoption studies (Burt, 2009; </w:t>
      </w:r>
      <w:proofErr w:type="spellStart"/>
      <w:r>
        <w:rPr>
          <w:lang w:val="en-US"/>
        </w:rPr>
        <w:t>Tuvblad</w:t>
      </w:r>
      <w:proofErr w:type="spellEnd"/>
      <w:r>
        <w:rPr>
          <w:lang w:val="en-US"/>
        </w:rPr>
        <w:t xml:space="preserve"> and Baker, 2011). In another study, </w:t>
      </w:r>
      <w:proofErr w:type="spellStart"/>
      <w:r>
        <w:rPr>
          <w:lang w:val="en-US"/>
        </w:rPr>
        <w:t>Tuvblad</w:t>
      </w:r>
      <w:proofErr w:type="spellEnd"/>
      <w:r>
        <w:rPr>
          <w:lang w:val="en-US"/>
        </w:rPr>
        <w:t xml:space="preserve"> and colleague observed 2,600 male and female twins from childhood to young adulthood, and showed that common genetic influence accounted for 67 % of the total variance in antisocial behavior, the shared environment explained 26 % while the remaining 7 % was due to the non-shared environmental factors (</w:t>
      </w:r>
      <w:proofErr w:type="spellStart"/>
      <w:r>
        <w:rPr>
          <w:lang w:val="en-US"/>
        </w:rPr>
        <w:t>Tuvblad</w:t>
      </w:r>
      <w:proofErr w:type="spellEnd"/>
      <w:r>
        <w:rPr>
          <w:lang w:val="en-US"/>
        </w:rPr>
        <w:t xml:space="preserve"> et al., 2011). The effects of environment were comparable for males and females, although some age-</w:t>
      </w:r>
      <w:r>
        <w:rPr>
          <w:lang w:val="en-US"/>
        </w:rPr>
        <w:lastRenderedPageBreak/>
        <w:t xml:space="preserve">related differences emerged, with the greatest effects of adverse environment conditions during childhood and adolescence (Rhee and Waldman, 2002; </w:t>
      </w:r>
      <w:proofErr w:type="spellStart"/>
      <w:r>
        <w:rPr>
          <w:lang w:val="en-US"/>
        </w:rPr>
        <w:t>Tuvblad</w:t>
      </w:r>
      <w:proofErr w:type="spellEnd"/>
      <w:r>
        <w:rPr>
          <w:lang w:val="en-US"/>
        </w:rPr>
        <w:t xml:space="preserve"> et al., 2011). It should be considered that the above-mentioned genetic mutations may represent only risk factors or predisposition for antisocial behavior, as well as environmental risk factors alone. In addition, environmental factors may not affect all individuals to the same extent, and genetic predispositions may also have different effects depending on the environment. The interplay between genetic and environmental risk factors can have high impact on the development of antisocial phenotype and </w:t>
      </w:r>
      <w:r>
        <w:rPr>
          <w:rFonts w:cs="Arial"/>
          <w:lang w:val="en-US"/>
        </w:rPr>
        <w:t>aggressive</w:t>
      </w:r>
      <w:r>
        <w:rPr>
          <w:lang w:val="en-US"/>
        </w:rPr>
        <w:t xml:space="preserve"> </w:t>
      </w:r>
      <w:r w:rsidR="004C7B12">
        <w:rPr>
          <w:lang w:val="en-US"/>
        </w:rPr>
        <w:t xml:space="preserve">violent </w:t>
      </w:r>
      <w:r>
        <w:rPr>
          <w:lang w:val="en-US"/>
        </w:rPr>
        <w:t>behavior (</w:t>
      </w:r>
      <w:proofErr w:type="spellStart"/>
      <w:r>
        <w:rPr>
          <w:lang w:val="en-US"/>
        </w:rPr>
        <w:t>Laucht</w:t>
      </w:r>
      <w:proofErr w:type="spellEnd"/>
      <w:r>
        <w:rPr>
          <w:lang w:val="en-US"/>
        </w:rPr>
        <w:t xml:space="preserve"> et al., 2014), as in the case of interaction between the </w:t>
      </w:r>
      <w:r>
        <w:rPr>
          <w:i/>
          <w:lang w:val="en-US"/>
        </w:rPr>
        <w:t>5-HTTLPR</w:t>
      </w:r>
      <w:r>
        <w:rPr>
          <w:lang w:val="en-US"/>
        </w:rPr>
        <w:t xml:space="preserve"> genotype and environmental adversities on antisocial behavior (</w:t>
      </w:r>
      <w:proofErr w:type="spellStart"/>
      <w:r>
        <w:rPr>
          <w:lang w:val="en-US"/>
        </w:rPr>
        <w:t>Tielbeek</w:t>
      </w:r>
      <w:proofErr w:type="spellEnd"/>
      <w:r>
        <w:rPr>
          <w:lang w:val="en-US"/>
        </w:rPr>
        <w:t xml:space="preserve"> et al., 2016).</w:t>
      </w:r>
    </w:p>
    <w:p w:rsidR="00E04905" w:rsidRPr="00B26E04" w:rsidRDefault="0096787B" w:rsidP="00113B97">
      <w:pPr>
        <w:spacing w:line="480" w:lineRule="auto"/>
        <w:rPr>
          <w:lang w:val="en-US"/>
        </w:rPr>
      </w:pPr>
      <w:r>
        <w:rPr>
          <w:lang w:val="en-US"/>
        </w:rPr>
        <w:tab/>
        <w:t xml:space="preserve">Some environmental conditions that negatively influence social behaviors have been identified. In childhood and adolescence, the "environmental risk factors" include exposure to community </w:t>
      </w:r>
      <w:r>
        <w:rPr>
          <w:rFonts w:cs="Arial"/>
          <w:lang w:val="en-US"/>
        </w:rPr>
        <w:t>aggression</w:t>
      </w:r>
      <w:r>
        <w:rPr>
          <w:lang w:val="en-US"/>
        </w:rPr>
        <w:t xml:space="preserve">, conditions that destroy family relationships such as mother neglect, child abuse (sexual and emotional maltreatment), and domestic </w:t>
      </w:r>
      <w:r>
        <w:rPr>
          <w:rFonts w:cs="Arial"/>
          <w:lang w:val="en-US"/>
        </w:rPr>
        <w:t>aggression</w:t>
      </w:r>
      <w:r w:rsidR="004C7B12">
        <w:rPr>
          <w:rFonts w:cs="Arial"/>
          <w:lang w:val="en-US"/>
        </w:rPr>
        <w:t xml:space="preserve"> and violence</w:t>
      </w:r>
      <w:r>
        <w:rPr>
          <w:lang w:val="en-US"/>
        </w:rPr>
        <w:t xml:space="preserve"> (direct exposure and/or as witness) (McCabe et al., 2005; Moylan et al., 2010; Wolfe et al., 2003) (Fig. 1). Economic factors also contribute to social behavior in adolescence (Costello et al., 2003). For example, it was demonstrated that low parental socioeconomic status may also act as enhancer of complex gene-gene interactions in influencing preadolescent aggressive behavior, as for </w:t>
      </w:r>
      <w:r>
        <w:rPr>
          <w:i/>
          <w:lang w:val="en-US"/>
        </w:rPr>
        <w:t>DRD4</w:t>
      </w:r>
      <w:r>
        <w:rPr>
          <w:lang w:val="en-US"/>
        </w:rPr>
        <w:t xml:space="preserve"> and </w:t>
      </w:r>
      <w:r>
        <w:rPr>
          <w:i/>
          <w:lang w:val="en-US"/>
        </w:rPr>
        <w:t>5-HTTLPR</w:t>
      </w:r>
      <w:r>
        <w:rPr>
          <w:lang w:val="en-US"/>
        </w:rPr>
        <w:t xml:space="preserve"> alleles in relation with environmental stimuli (Nobile et al., 2007). Nevertheless, the impact of child maltreatment on antisocial behavior and genetic mutations are still debated. Some researchers sustained that the "warrior gene" together with abuses during childhood favor criminal behavior in adults. An example is given by studies on childhood maltreatments. Among maltreated male children, subjects with high activity </w:t>
      </w:r>
      <w:r>
        <w:rPr>
          <w:i/>
          <w:lang w:val="en-US"/>
        </w:rPr>
        <w:t>MAOA</w:t>
      </w:r>
      <w:r>
        <w:rPr>
          <w:lang w:val="en-US"/>
        </w:rPr>
        <w:t xml:space="preserve"> variant are less likely to develop antisocial problems during adulthood, while low levels of </w:t>
      </w:r>
      <w:r>
        <w:rPr>
          <w:i/>
          <w:lang w:val="en-US"/>
        </w:rPr>
        <w:t>MAOA</w:t>
      </w:r>
      <w:r>
        <w:rPr>
          <w:lang w:val="en-US"/>
        </w:rPr>
        <w:t xml:space="preserve"> expression confer significant risk for violent conviction (Caspi et al., 2002). Moreover, other studies investigated the aggressiveness in adults who endured </w:t>
      </w:r>
      <w:r>
        <w:rPr>
          <w:lang w:val="en-US"/>
        </w:rPr>
        <w:lastRenderedPageBreak/>
        <w:t xml:space="preserve">infantile violence (i.e., sexual and physical abuse, maltreatments) in relation to polymorphisms in </w:t>
      </w:r>
      <w:r>
        <w:rPr>
          <w:i/>
          <w:lang w:val="en-US"/>
        </w:rPr>
        <w:t>MAOA</w:t>
      </w:r>
      <w:r>
        <w:rPr>
          <w:lang w:val="en-US"/>
        </w:rPr>
        <w:t xml:space="preserve">, </w:t>
      </w:r>
      <w:r>
        <w:rPr>
          <w:i/>
          <w:lang w:val="en-US"/>
        </w:rPr>
        <w:t xml:space="preserve">5-HTTLPR </w:t>
      </w:r>
      <w:r>
        <w:rPr>
          <w:lang w:val="en-US"/>
        </w:rPr>
        <w:t xml:space="preserve">and </w:t>
      </w:r>
      <w:r>
        <w:rPr>
          <w:i/>
          <w:lang w:val="en-US"/>
        </w:rPr>
        <w:t>TPH1</w:t>
      </w:r>
      <w:r>
        <w:rPr>
          <w:lang w:val="en-US"/>
        </w:rPr>
        <w:t xml:space="preserve"> genes. This research demonstrated that individuals who were maltreated during childhood and carrying one of these functional polymorphisms had aggressive antisocial behaviors across the life course (Cicchetti et al., 2012; Fergusson et al., 2011; </w:t>
      </w:r>
      <w:proofErr w:type="spellStart"/>
      <w:r>
        <w:rPr>
          <w:lang w:val="en-US"/>
        </w:rPr>
        <w:t>Gorodetsky</w:t>
      </w:r>
      <w:proofErr w:type="spellEnd"/>
      <w:r>
        <w:rPr>
          <w:lang w:val="en-US"/>
        </w:rPr>
        <w:t xml:space="preserve"> et al., 2014), suggesting the existence of stable interaction between genes and environment in determining antisocial behavior (Fig. 1). However, these studies were performed on relatively small group of individuals. On the other hand, a larger study on 3,356 white and 960 black men (aged 24-34 years) did not confirm the hypothesis that </w:t>
      </w:r>
      <w:r>
        <w:rPr>
          <w:i/>
          <w:lang w:val="en-US"/>
        </w:rPr>
        <w:t>MAOA</w:t>
      </w:r>
      <w:r>
        <w:rPr>
          <w:lang w:val="en-US"/>
        </w:rPr>
        <w:t xml:space="preserve"> genotype moderates the relationship between childhood maltreatment and adult antisocial behaviors (</w:t>
      </w:r>
      <w:proofErr w:type="spellStart"/>
      <w:r>
        <w:rPr>
          <w:lang w:val="en-US"/>
        </w:rPr>
        <w:t>Haberstick</w:t>
      </w:r>
      <w:proofErr w:type="spellEnd"/>
      <w:r>
        <w:rPr>
          <w:lang w:val="en-US"/>
        </w:rPr>
        <w:t xml:space="preserve"> et al., 2014). These controversial results suggest that future research is needed to better understand the interaction between genes and environment, based on large-scale longitudinal studies that take into account all relevant factors mediating the impact of genes and environmental risk factors on the development of antisocial behavior.</w:t>
      </w:r>
    </w:p>
    <w:p w:rsidR="00E04905" w:rsidRPr="00B26E04" w:rsidRDefault="0096787B" w:rsidP="00113B97">
      <w:pPr>
        <w:spacing w:line="480" w:lineRule="auto"/>
        <w:rPr>
          <w:lang w:val="en-US"/>
        </w:rPr>
      </w:pPr>
      <w:r>
        <w:rPr>
          <w:lang w:val="en-US"/>
        </w:rPr>
        <w:tab/>
        <w:t xml:space="preserve">Other important risk factors are represented by neighborhood and country-level criminal rates. These factors alone may affect the propensity for </w:t>
      </w:r>
      <w:r>
        <w:rPr>
          <w:rFonts w:cs="Arial"/>
          <w:lang w:val="en-US"/>
        </w:rPr>
        <w:t>aggressive attitudes</w:t>
      </w:r>
      <w:r>
        <w:rPr>
          <w:lang w:val="en-US"/>
        </w:rPr>
        <w:t xml:space="preserve">, but clearly not everybody who grows up in a disadvantaged neighborhood becomes an offender (Piquero, 2011). On this issue, two studies highlighted the link between antisocial behavior, dopaminergic genes polymorphisms and exposure to violent crimes or disadvantaged neighborhood: genetic risk had stronger influence on </w:t>
      </w:r>
      <w:r>
        <w:rPr>
          <w:rFonts w:cs="Arial"/>
          <w:lang w:val="en-US"/>
        </w:rPr>
        <w:t>aggressive</w:t>
      </w:r>
      <w:r>
        <w:rPr>
          <w:lang w:val="en-US"/>
        </w:rPr>
        <w:t xml:space="preserve"> </w:t>
      </w:r>
      <w:r w:rsidR="004C7B12">
        <w:rPr>
          <w:lang w:val="en-US"/>
        </w:rPr>
        <w:t xml:space="preserve">and violent </w:t>
      </w:r>
      <w:r>
        <w:rPr>
          <w:lang w:val="en-US"/>
        </w:rPr>
        <w:t>behavior in subjects who were exposed to higher criminality during life (Barnes and Jacobs, 2013; Beaver et al., 2012).</w:t>
      </w:r>
    </w:p>
    <w:p w:rsidR="00E04905" w:rsidRPr="00B26E04" w:rsidRDefault="0096787B" w:rsidP="00113B97">
      <w:pPr>
        <w:spacing w:line="480" w:lineRule="auto"/>
        <w:rPr>
          <w:lang w:val="en-US"/>
        </w:rPr>
      </w:pPr>
      <w:r>
        <w:rPr>
          <w:lang w:val="en-US"/>
        </w:rPr>
        <w:tab/>
        <w:t xml:space="preserve">Different forms of exposure to aggression, such as direct/physical and indirect/relational exposure to traumatic violent events, could interact with the predisposition to </w:t>
      </w:r>
      <w:r>
        <w:rPr>
          <w:rFonts w:cs="Arial"/>
          <w:lang w:val="en-US"/>
        </w:rPr>
        <w:t>aggressive</w:t>
      </w:r>
      <w:r>
        <w:rPr>
          <w:lang w:val="en-US"/>
        </w:rPr>
        <w:t xml:space="preserve"> behavior and could moderate the magnitude of genetic and environmental influences on aggressiveness (</w:t>
      </w:r>
      <w:proofErr w:type="spellStart"/>
      <w:r>
        <w:rPr>
          <w:lang w:val="en-US"/>
        </w:rPr>
        <w:t>Tuvblad</w:t>
      </w:r>
      <w:proofErr w:type="spellEnd"/>
      <w:r>
        <w:rPr>
          <w:lang w:val="en-US"/>
        </w:rPr>
        <w:t xml:space="preserve"> and Baker, 2011). For example, in the USA </w:t>
      </w:r>
      <w:r>
        <w:rPr>
          <w:lang w:val="en-US"/>
        </w:rPr>
        <w:lastRenderedPageBreak/>
        <w:t xml:space="preserve">population, the </w:t>
      </w:r>
      <w:r>
        <w:rPr>
          <w:i/>
          <w:lang w:val="en-US"/>
        </w:rPr>
        <w:t>5-HTTLPR</w:t>
      </w:r>
      <w:r>
        <w:rPr>
          <w:lang w:val="en-US"/>
        </w:rPr>
        <w:t xml:space="preserve"> genotype (that modulates 5-HTT levels) significantly interacts with environmental stressors such as the terrorist attacks on 9/11 in predicting gun-carrying. Before terrorist attacks, </w:t>
      </w:r>
      <w:r>
        <w:rPr>
          <w:i/>
          <w:lang w:val="en-US"/>
        </w:rPr>
        <w:t>SS</w:t>
      </w:r>
      <w:r>
        <w:rPr>
          <w:lang w:val="en-US"/>
        </w:rPr>
        <w:t xml:space="preserve"> carriers of </w:t>
      </w:r>
      <w:r>
        <w:rPr>
          <w:i/>
          <w:lang w:val="en-US"/>
        </w:rPr>
        <w:t>5-HTTLPR</w:t>
      </w:r>
      <w:r>
        <w:rPr>
          <w:lang w:val="en-US"/>
        </w:rPr>
        <w:t xml:space="preserve"> reported to have more guns, compared to </w:t>
      </w:r>
      <w:r>
        <w:rPr>
          <w:i/>
          <w:lang w:val="en-US"/>
        </w:rPr>
        <w:t>SL</w:t>
      </w:r>
      <w:r>
        <w:rPr>
          <w:lang w:val="en-US"/>
        </w:rPr>
        <w:t xml:space="preserve"> and </w:t>
      </w:r>
      <w:r>
        <w:rPr>
          <w:i/>
          <w:lang w:val="en-US"/>
        </w:rPr>
        <w:t>LL</w:t>
      </w:r>
      <w:r>
        <w:rPr>
          <w:lang w:val="en-US"/>
        </w:rPr>
        <w:t xml:space="preserve"> carriers; after the 9/11 attacks the reported use of guns was almost comparable for every </w:t>
      </w:r>
      <w:r>
        <w:rPr>
          <w:i/>
          <w:lang w:val="en-US"/>
        </w:rPr>
        <w:t>5-HTTLPR</w:t>
      </w:r>
      <w:r>
        <w:rPr>
          <w:lang w:val="en-US"/>
        </w:rPr>
        <w:t xml:space="preserve"> variants (Barnes et al., 2013).</w:t>
      </w:r>
    </w:p>
    <w:p w:rsidR="00E04905" w:rsidRPr="00B26E04" w:rsidRDefault="00E04905" w:rsidP="00113B97">
      <w:pPr>
        <w:spacing w:line="480" w:lineRule="auto"/>
        <w:rPr>
          <w:lang w:val="en-US"/>
        </w:rPr>
      </w:pPr>
    </w:p>
    <w:p w:rsidR="00C3476A" w:rsidRPr="00B26E04" w:rsidRDefault="0096787B" w:rsidP="00C3476A">
      <w:pPr>
        <w:spacing w:line="480" w:lineRule="auto"/>
        <w:rPr>
          <w:b/>
          <w:lang w:val="en-US"/>
        </w:rPr>
      </w:pPr>
      <w:r>
        <w:rPr>
          <w:b/>
          <w:lang w:val="en-US"/>
        </w:rPr>
        <w:t>6.3. Genome-wide association studies</w:t>
      </w:r>
    </w:p>
    <w:p w:rsidR="003C72DC" w:rsidRPr="00B26E04" w:rsidRDefault="0096787B" w:rsidP="003C72DC">
      <w:pPr>
        <w:spacing w:line="480" w:lineRule="auto"/>
        <w:rPr>
          <w:lang w:val="en-US"/>
        </w:rPr>
      </w:pPr>
      <w:r>
        <w:rPr>
          <w:lang w:val="en-US"/>
        </w:rPr>
        <w:tab/>
        <w:t>Recently, genome-wide association studies in humans have shed further light into the neurobiological pathways predisposing to aggression, although the precise genes involved, and the consequent molecular pathways remain obscure in most of the cases. A first study (</w:t>
      </w:r>
      <w:proofErr w:type="spellStart"/>
      <w:r>
        <w:rPr>
          <w:lang w:val="en-US"/>
        </w:rPr>
        <w:t>Ruisch</w:t>
      </w:r>
      <w:proofErr w:type="spellEnd"/>
      <w:r>
        <w:rPr>
          <w:lang w:val="en-US"/>
        </w:rPr>
        <w:t xml:space="preserve"> et al., 2019) in a large and ethnically homogeneous British cohort reported that males exposed to maternal smoking during pregnancy, carrying the rs4714329-GG polymorphism and rs9471290-AA polymorphism, were more likely to develop childhood antisocial behavior. The same study showed that females who experienced childhood maltreatment and carriers of the rs11215217-TC genotype were less likely to develop antisocial behavior. The opposite was found in females carrying the </w:t>
      </w:r>
      <w:r>
        <w:rPr>
          <w:i/>
          <w:lang w:val="en-US"/>
        </w:rPr>
        <w:t>MAOA-HL</w:t>
      </w:r>
      <w:r>
        <w:rPr>
          <w:lang w:val="en-US"/>
        </w:rPr>
        <w:t xml:space="preserve"> genotype who were more likely to display antisocial behavior after maltreatment. Importantly, these findings remained statistically significant after adjusting the main analyses for the presence of comorbid attention-deficit/hyperactivity disorder symptoms, with the exception of the rs11215217 gene variant ×  maltreatment interaction which became marginally significant after the inclusion of attention-deficit/hyperactivity disorder symptoms in the statistical model (</w:t>
      </w:r>
      <w:proofErr w:type="spellStart"/>
      <w:r>
        <w:rPr>
          <w:lang w:val="en-US"/>
        </w:rPr>
        <w:t>Ruisch</w:t>
      </w:r>
      <w:proofErr w:type="spellEnd"/>
      <w:r>
        <w:rPr>
          <w:lang w:val="en-US"/>
        </w:rPr>
        <w:t xml:space="preserve"> et al., 2019). Furthermore, in this study </w:t>
      </w:r>
      <w:proofErr w:type="spellStart"/>
      <w:r>
        <w:rPr>
          <w:lang w:val="en-US"/>
        </w:rPr>
        <w:t>Ruisch</w:t>
      </w:r>
      <w:proofErr w:type="spellEnd"/>
      <w:r>
        <w:rPr>
          <w:lang w:val="en-US"/>
        </w:rPr>
        <w:t xml:space="preserve"> and colleagues showed no significant association with maltreatment in males with </w:t>
      </w:r>
      <w:r>
        <w:rPr>
          <w:i/>
          <w:lang w:val="en-US"/>
        </w:rPr>
        <w:t>MAOA-L</w:t>
      </w:r>
      <w:r>
        <w:rPr>
          <w:lang w:val="en-US"/>
        </w:rPr>
        <w:t xml:space="preserve"> allele, thus in contrast with previous findings (Byrd and </w:t>
      </w:r>
      <w:proofErr w:type="spellStart"/>
      <w:r>
        <w:rPr>
          <w:lang w:val="en-US"/>
        </w:rPr>
        <w:t>Manuck</w:t>
      </w:r>
      <w:proofErr w:type="spellEnd"/>
      <w:r>
        <w:rPr>
          <w:lang w:val="en-US"/>
        </w:rPr>
        <w:t xml:space="preserve">, 2014; Caspi et al., 2002). Specifically, Caspi and colleagues in their pivotal study on gene-environment interaction found a significant association between maltreated males with </w:t>
      </w:r>
      <w:r>
        <w:rPr>
          <w:i/>
          <w:lang w:val="en-US"/>
        </w:rPr>
        <w:t>MAO-L</w:t>
      </w:r>
      <w:r>
        <w:rPr>
          <w:lang w:val="en-US"/>
        </w:rPr>
        <w:t xml:space="preserve"> genotype and antisocial outcomes in a large sample of male children (Caspi et al., </w:t>
      </w:r>
      <w:r>
        <w:rPr>
          <w:lang w:val="en-US"/>
        </w:rPr>
        <w:lastRenderedPageBreak/>
        <w:t>2002). This discre</w:t>
      </w:r>
      <w:r w:rsidR="00D61BBE">
        <w:rPr>
          <w:lang w:val="en-US"/>
        </w:rPr>
        <w:t>pancy could be due to differenc</w:t>
      </w:r>
      <w:r>
        <w:rPr>
          <w:lang w:val="en-US"/>
        </w:rPr>
        <w:t xml:space="preserve">es in the age of subjects when evaluated for antisocial behavior, in correction for comorbidity, in criteria of antisocial personality evaluation, and others (Caspi et al., 2002; </w:t>
      </w:r>
      <w:proofErr w:type="spellStart"/>
      <w:r>
        <w:rPr>
          <w:lang w:val="en-US"/>
        </w:rPr>
        <w:t>Ruisch</w:t>
      </w:r>
      <w:proofErr w:type="spellEnd"/>
      <w:r>
        <w:rPr>
          <w:lang w:val="en-US"/>
        </w:rPr>
        <w:t xml:space="preserve"> et al., 2019). More studies should consider different aspects such as genome-wide implicated variants, polygenic and/or </w:t>
      </w:r>
      <w:proofErr w:type="spellStart"/>
      <w:r>
        <w:rPr>
          <w:lang w:val="en-US"/>
        </w:rPr>
        <w:t>multimarker</w:t>
      </w:r>
      <w:proofErr w:type="spellEnd"/>
      <w:r>
        <w:rPr>
          <w:lang w:val="en-US"/>
        </w:rPr>
        <w:t xml:space="preserve"> analyses and potential sex differences when analyzing gene-environment interactions related to antisocial behaviors.</w:t>
      </w:r>
    </w:p>
    <w:p w:rsidR="003C72DC" w:rsidRPr="00B26E04" w:rsidRDefault="0096787B" w:rsidP="003C72DC">
      <w:pPr>
        <w:spacing w:line="480" w:lineRule="auto"/>
        <w:rPr>
          <w:lang w:val="en-US"/>
        </w:rPr>
      </w:pPr>
      <w:r>
        <w:rPr>
          <w:lang w:val="en-US"/>
        </w:rPr>
        <w:tab/>
        <w:t>Another original study explored the interaction between gene and exposure to aggression in early adolescence (unlike previous studies that only assessed violence exposure in childhood) via teacher-rated scores of aggressive and impulsive behaviors. Interestingly, there was a significant gene-environment interaction, in the sense that those individuals with a below to average polygenic risk factor and who had simultaneously been exposed to violence during early adolescence were more likely to display moderate to high levels of aggressive and impulsive behaviors (</w:t>
      </w:r>
      <w:proofErr w:type="spellStart"/>
      <w:r>
        <w:rPr>
          <w:lang w:val="en-US"/>
        </w:rPr>
        <w:t>Musci</w:t>
      </w:r>
      <w:proofErr w:type="spellEnd"/>
      <w:r>
        <w:rPr>
          <w:lang w:val="en-US"/>
        </w:rPr>
        <w:t xml:space="preserve"> et al., 2019).</w:t>
      </w:r>
    </w:p>
    <w:p w:rsidR="009E44AA" w:rsidRPr="00B26E04" w:rsidRDefault="0096787B" w:rsidP="003C72DC">
      <w:pPr>
        <w:spacing w:line="480" w:lineRule="auto"/>
        <w:rPr>
          <w:lang w:val="en-US"/>
        </w:rPr>
      </w:pPr>
      <w:r>
        <w:rPr>
          <w:lang w:val="en-US"/>
        </w:rPr>
        <w:tab/>
        <w:t>One of the larges</w:t>
      </w:r>
      <w:r w:rsidR="00D833AD">
        <w:rPr>
          <w:lang w:val="en-US"/>
        </w:rPr>
        <w:t xml:space="preserve">t </w:t>
      </w:r>
      <w:r w:rsidR="00947F3E">
        <w:rPr>
          <w:lang w:val="en-US"/>
        </w:rPr>
        <w:t xml:space="preserve">studies </w:t>
      </w:r>
      <w:r w:rsidR="00D833AD">
        <w:rPr>
          <w:lang w:val="en-US"/>
        </w:rPr>
        <w:t>on the genetic architec</w:t>
      </w:r>
      <w:r>
        <w:rPr>
          <w:lang w:val="en-US"/>
        </w:rPr>
        <w:t>ture of antisocial behavior confirmed the complex nature of gene-environment interaction underlying aggression (</w:t>
      </w:r>
      <w:proofErr w:type="spellStart"/>
      <w:r>
        <w:rPr>
          <w:lang w:val="en-US"/>
        </w:rPr>
        <w:t>Tielbeek</w:t>
      </w:r>
      <w:proofErr w:type="spellEnd"/>
      <w:r>
        <w:rPr>
          <w:lang w:val="en-US"/>
        </w:rPr>
        <w:t xml:space="preserve"> et al., 2017). This meta-analysis did not identify significant association of genetic variants with antisocial behavior in the overall sample incorporating both sexes, but suggested sex-discordant associations since sex-specific meta-</w:t>
      </w:r>
      <w:r w:rsidR="00947F3E">
        <w:rPr>
          <w:lang w:val="en-US"/>
        </w:rPr>
        <w:t xml:space="preserve">analysis </w:t>
      </w:r>
      <w:r>
        <w:rPr>
          <w:lang w:val="en-US"/>
        </w:rPr>
        <w:t>identified three loci approaching genome-wide significance. For females a genome-wide significance on chromosome 1 (rs2764450) and 11 (rs11215217) was found, while for males a genome-wide signal was identified on chromosome X (rs41456347). In the same SNPs a significant inverse genetic correlation of antisocial behavior with educational attainment was also found in this meta-analysis based on data from genome-wide association study of a broad spectrum of antisocial behavior (</w:t>
      </w:r>
      <w:proofErr w:type="spellStart"/>
      <w:r>
        <w:rPr>
          <w:lang w:val="en-US"/>
        </w:rPr>
        <w:t>Tielbeek</w:t>
      </w:r>
      <w:proofErr w:type="spellEnd"/>
      <w:r>
        <w:rPr>
          <w:lang w:val="en-US"/>
        </w:rPr>
        <w:t xml:space="preserve"> et al., 2017). This study on very large population further confirms the sex-influenced expression of antisocial behavior phenotype, and highlights the importance of polygenic analysis in the evaluation of antisocial behavior risk.</w:t>
      </w:r>
    </w:p>
    <w:p w:rsidR="00197561" w:rsidRPr="00B26E04" w:rsidRDefault="0096787B" w:rsidP="003C72DC">
      <w:pPr>
        <w:spacing w:line="480" w:lineRule="auto"/>
        <w:rPr>
          <w:lang w:val="en-US"/>
        </w:rPr>
      </w:pPr>
      <w:r>
        <w:rPr>
          <w:lang w:val="en-US"/>
        </w:rPr>
        <w:lastRenderedPageBreak/>
        <w:tab/>
        <w:t>Another genome-wide association study on antisocial personality disorder, a long-life condition characterized by antisocial behavior, highlighted some variants as genetic risk factors belonging to the chromosomal region of major histocompatibility complex (</w:t>
      </w:r>
      <w:proofErr w:type="spellStart"/>
      <w:r>
        <w:rPr>
          <w:lang w:val="en-US"/>
        </w:rPr>
        <w:t>Rautiainen</w:t>
      </w:r>
      <w:proofErr w:type="spellEnd"/>
      <w:r>
        <w:rPr>
          <w:lang w:val="en-US"/>
        </w:rPr>
        <w:t xml:space="preserve"> et al., 2016); interestingly, genetic risk factors residing in this region could be shared with other psychiatric and neurological disorders with common features and also with healthy population characterized by antisocial behaviors. This is the case of two polymorphisms at 6p21.2 </w:t>
      </w:r>
      <w:r>
        <w:rPr>
          <w:i/>
          <w:lang w:val="en-US"/>
        </w:rPr>
        <w:t>LINC00951–LRFN2</w:t>
      </w:r>
      <w:r>
        <w:rPr>
          <w:lang w:val="en-US"/>
        </w:rPr>
        <w:t xml:space="preserve"> gene region, that were found associated to antisocial personality disorder. In a nearby region of </w:t>
      </w:r>
      <w:r>
        <w:rPr>
          <w:i/>
          <w:lang w:val="en-US"/>
        </w:rPr>
        <w:t>LINC00951</w:t>
      </w:r>
      <w:r>
        <w:rPr>
          <w:lang w:val="en-US"/>
        </w:rPr>
        <w:t xml:space="preserve"> and </w:t>
      </w:r>
      <w:r>
        <w:rPr>
          <w:i/>
          <w:lang w:val="en-US"/>
        </w:rPr>
        <w:t>LRFN2</w:t>
      </w:r>
      <w:r>
        <w:rPr>
          <w:lang w:val="en-US"/>
        </w:rPr>
        <w:t xml:space="preserve"> genes (both expressed in human frontal cortex), the SNP rs4714329 reached genome-wide significance in the meta-analysis, and was also associated with antisocial b</w:t>
      </w:r>
      <w:r w:rsidR="00914649">
        <w:rPr>
          <w:lang w:val="en-US"/>
        </w:rPr>
        <w:t>e</w:t>
      </w:r>
      <w:r>
        <w:rPr>
          <w:lang w:val="en-US"/>
        </w:rPr>
        <w:t>haviors in healthy population of males especially among those who experienced severe difficulties in their childhood (</w:t>
      </w:r>
      <w:proofErr w:type="spellStart"/>
      <w:r>
        <w:rPr>
          <w:lang w:val="en-US"/>
        </w:rPr>
        <w:t>Rautiainen</w:t>
      </w:r>
      <w:proofErr w:type="spellEnd"/>
      <w:r>
        <w:rPr>
          <w:lang w:val="en-US"/>
        </w:rPr>
        <w:t xml:space="preserve"> et al., 2016).</w:t>
      </w:r>
    </w:p>
    <w:p w:rsidR="003C72DC" w:rsidRPr="00B26E04" w:rsidRDefault="0096787B" w:rsidP="003C72DC">
      <w:pPr>
        <w:spacing w:line="480" w:lineRule="auto"/>
        <w:rPr>
          <w:lang w:val="en-US"/>
        </w:rPr>
      </w:pPr>
      <w:r>
        <w:rPr>
          <w:lang w:val="en-US"/>
        </w:rPr>
        <w:tab/>
        <w:t xml:space="preserve">A recent genome-wide association study used an integrated and cross-species approach to identify eight genes that had high probability to determine aggressive behaviors in humans and rodents (Zhang-James et al., 2019). These genes included those regulating G-protein coupled receptors pathways and other pathways implicated in axonal guidance, reelin signaling (which promotes cell positioning during brain development and synaptic formation), and ERK/MAPK signaling that is constituted by a chain of proteins that enable communication from membrane receptors to nucleus. The contribution of each gene was statistically ranked to assess its relative importance as risk factor for aggressive behavior. This additional analysis showed that forty, and highly interconnected genes, were in the top list of those hereditary factors that determine aggression across humans and rodents. More specifically, three genetic networks were identified. Network A contains genes involved in behavioral regulation, brain development, and cell-to-cell signaling (score 35, 15 genes). Network B has been associated to some neurological disorders, psychopathological conditions and brain development (score 29, 13 genes). Network C has been linked to more basic cellular </w:t>
      </w:r>
      <w:r>
        <w:rPr>
          <w:lang w:val="en-US"/>
        </w:rPr>
        <w:lastRenderedPageBreak/>
        <w:t>functions including cellular maintenance and small molecule processes (score 26, 12 genes) (Zhang-James et al., 2019).</w:t>
      </w:r>
    </w:p>
    <w:p w:rsidR="00E917B2" w:rsidRPr="00B26E04" w:rsidRDefault="0096787B" w:rsidP="003C72DC">
      <w:pPr>
        <w:spacing w:line="480" w:lineRule="auto"/>
        <w:rPr>
          <w:lang w:val="en-US"/>
        </w:rPr>
      </w:pPr>
      <w:r>
        <w:rPr>
          <w:lang w:val="en-US"/>
        </w:rPr>
        <w:tab/>
        <w:t>Antisocial behavior is characterized by complex trait and dissimilar outcome driven by genetic and environmental factors. In genome-wide association studies reported here, SNP arrays were used and single variants have been identified as risk factors in certain environmental condition. The use of singular genetic variants does not necessarily provide a comprehensive picture of gene-environment interactions, since genetic architecture of antisocial behavior has a very complex nature, and sometimes can lead to contrasting results and biological pathways apparently far from behavioral networks. Although many SNPs significantly associated with complex traits in human population have been discovered by genome-wide association studies, these SNPs may explain only a small fraction of the genetic variation of complex traits (Yang et al., 2010</w:t>
      </w:r>
      <w:r w:rsidR="00776C3F">
        <w:rPr>
          <w:lang w:val="en-US"/>
        </w:rPr>
        <w:t>b</w:t>
      </w:r>
      <w:r>
        <w:rPr>
          <w:lang w:val="en-US"/>
        </w:rPr>
        <w:t>). The meta-analysis of many genome-wide association studies can improve the statistical power to identify genotype-phenotype associations, to pr</w:t>
      </w:r>
      <w:r w:rsidR="00063BFF">
        <w:rPr>
          <w:lang w:val="en-US"/>
        </w:rPr>
        <w:t>ove their consistency and heter</w:t>
      </w:r>
      <w:r>
        <w:rPr>
          <w:lang w:val="en-US"/>
        </w:rPr>
        <w:t>ogen</w:t>
      </w:r>
      <w:r w:rsidR="00C6479D">
        <w:rPr>
          <w:lang w:val="en-US"/>
        </w:rPr>
        <w:t>e</w:t>
      </w:r>
      <w:r>
        <w:rPr>
          <w:lang w:val="en-US"/>
        </w:rPr>
        <w:t>ity among different datasets and populations. However, association analysis in the case of complex genetic architectures traits, as aggressive behavior, should be considered cautiously due to the very large sample size required to increase the number of significant disease-associated SNPs (Nishino et al., 2018). Thus genome-wide association studies should be used to identify genes or chromosomal regions with high levels of variations in specific conditions, but further validations by specific and deep genetic analysis (e.g., targeted sequencing) is necessary to identify functional variations. Moreover, dataset obtained by genome-wide association studies could be integrated with other analyses, such as networks analysis and predictions. Genome-wide association studies require also multiple statistical testing, thus penalizing the significance level of variations on small sample size: restriction to specific candidate genomic region could allow to overcome this limitation.</w:t>
      </w:r>
    </w:p>
    <w:p w:rsidR="00E04905" w:rsidRPr="00B26E04" w:rsidRDefault="0096787B" w:rsidP="003C72DC">
      <w:pPr>
        <w:spacing w:line="480" w:lineRule="auto"/>
        <w:rPr>
          <w:lang w:val="en-US"/>
        </w:rPr>
      </w:pPr>
      <w:r>
        <w:rPr>
          <w:lang w:val="en-US"/>
        </w:rPr>
        <w:lastRenderedPageBreak/>
        <w:tab/>
        <w:t>Overall, discoveries obtained from genome-wide association studies, besides their limitations and strengt</w:t>
      </w:r>
      <w:r w:rsidR="00D06BA0">
        <w:rPr>
          <w:lang w:val="en-US"/>
        </w:rPr>
        <w:t>h</w:t>
      </w:r>
      <w:r>
        <w:rPr>
          <w:lang w:val="en-US"/>
        </w:rPr>
        <w:t>s (as reviewed in Tam et al., 2019), and translational research using animal and human data hold the promise to strongly boost our understanding of the complex etiology of aggressive behavior and neurobiological pathways mediating an evolutionary ancient behavior as aggression.</w:t>
      </w:r>
    </w:p>
    <w:p w:rsidR="00C3476A" w:rsidRPr="00B26E04" w:rsidRDefault="00C3476A" w:rsidP="00113B97">
      <w:pPr>
        <w:spacing w:line="480" w:lineRule="auto"/>
        <w:rPr>
          <w:lang w:val="en-US"/>
        </w:rPr>
      </w:pPr>
    </w:p>
    <w:p w:rsidR="00E04905" w:rsidRPr="00B26E04" w:rsidRDefault="0096787B" w:rsidP="00113B97">
      <w:pPr>
        <w:spacing w:line="480" w:lineRule="auto"/>
        <w:rPr>
          <w:b/>
          <w:lang w:val="en-US"/>
        </w:rPr>
      </w:pPr>
      <w:r>
        <w:rPr>
          <w:b/>
          <w:lang w:val="en-US"/>
        </w:rPr>
        <w:t>7. Regulation of gene expression by epigenetic mechanisms</w:t>
      </w:r>
    </w:p>
    <w:p w:rsidR="00E04905" w:rsidRPr="00B26E04" w:rsidRDefault="0096787B" w:rsidP="00113B97">
      <w:pPr>
        <w:spacing w:line="480" w:lineRule="auto"/>
        <w:rPr>
          <w:lang w:val="en-US"/>
        </w:rPr>
      </w:pPr>
      <w:r>
        <w:rPr>
          <w:lang w:val="en-US"/>
        </w:rPr>
        <w:tab/>
        <w:t>The epigenome regulates gene expression through non-mutagenic mechanisms: DNA methylation, modification of histone-protein and via non-coding RNA. In the CNS, epigenetic regulation of gene expression is involved in brain development, and in a variety of neural networks, including those for cognitive processes, such as learning and memory (Brunner et al., 2012). Dysregulation of epigenetic profile has been associated with neurodevelopmental, neurodegenerative and neuropsychiatric disorders (</w:t>
      </w:r>
      <w:proofErr w:type="spellStart"/>
      <w:r>
        <w:rPr>
          <w:lang w:val="en-US"/>
        </w:rPr>
        <w:t>Gräff</w:t>
      </w:r>
      <w:proofErr w:type="spellEnd"/>
      <w:r>
        <w:rPr>
          <w:lang w:val="en-US"/>
        </w:rPr>
        <w:t xml:space="preserve"> and </w:t>
      </w:r>
      <w:proofErr w:type="spellStart"/>
      <w:r>
        <w:rPr>
          <w:lang w:val="en-US"/>
        </w:rPr>
        <w:t>Mansuy</w:t>
      </w:r>
      <w:proofErr w:type="spellEnd"/>
      <w:r>
        <w:rPr>
          <w:lang w:val="en-US"/>
        </w:rPr>
        <w:t>, 2008). Epigenetic modifications can occur as a consequence of environmental factors, stress events and substances abuse, and they can be gene-specific, dynamic and reversible or remain stable across generations (</w:t>
      </w:r>
      <w:proofErr w:type="spellStart"/>
      <w:r>
        <w:rPr>
          <w:lang w:val="en-US"/>
        </w:rPr>
        <w:t>Mansuy</w:t>
      </w:r>
      <w:proofErr w:type="spellEnd"/>
      <w:r>
        <w:rPr>
          <w:lang w:val="en-US"/>
        </w:rPr>
        <w:t xml:space="preserve"> and </w:t>
      </w:r>
      <w:proofErr w:type="spellStart"/>
      <w:r>
        <w:rPr>
          <w:lang w:val="en-US"/>
        </w:rPr>
        <w:t>Mohanna</w:t>
      </w:r>
      <w:proofErr w:type="spellEnd"/>
      <w:r>
        <w:rPr>
          <w:lang w:val="en-US"/>
        </w:rPr>
        <w:t>, 2011). Analysis of global and locus-specific differences in DNA methylation and histone acetylation of 80 pairs of monozygotic twins, from 3 to 74 years of age, showed that twins are epigenetically indistinguishable during the early years of life, while older twins and those with history of non-shared environments had remarkable differences in their epigenetic profiles (Fraga et al., 2005). The methylation levels of CpG island loci increase with age (Christensen et al., 2009) and genome-wide methylation patterns could be considered as biomarker of biological aging (</w:t>
      </w:r>
      <w:proofErr w:type="spellStart"/>
      <w:r>
        <w:rPr>
          <w:lang w:val="en-US"/>
        </w:rPr>
        <w:t>Hannum</w:t>
      </w:r>
      <w:proofErr w:type="spellEnd"/>
      <w:r>
        <w:rPr>
          <w:lang w:val="en-US"/>
        </w:rPr>
        <w:t xml:space="preserve"> et al., 2013). When the "epigenetic clock" exceeds the chronological age, acceleration of aging and mortality increase are found. Direct exposure to neighborhood violence increases genome-wide methylation levels (measured via salivary assessments), then children exposed to violence are epigenetically older than controls with the same chronological age (Jovanovic et al., 2017).</w:t>
      </w:r>
    </w:p>
    <w:p w:rsidR="00E04905" w:rsidRPr="00B26E04" w:rsidRDefault="0096787B" w:rsidP="00113B97">
      <w:pPr>
        <w:spacing w:line="480" w:lineRule="auto"/>
        <w:rPr>
          <w:b/>
          <w:lang w:val="en-US"/>
        </w:rPr>
      </w:pPr>
      <w:r>
        <w:rPr>
          <w:lang w:val="en-US"/>
        </w:rPr>
        <w:lastRenderedPageBreak/>
        <w:tab/>
        <w:t xml:space="preserve">Methylation levels of the upstream CpG island of </w:t>
      </w:r>
      <w:r>
        <w:rPr>
          <w:i/>
          <w:lang w:val="en-US"/>
        </w:rPr>
        <w:t xml:space="preserve">SLC6A4 </w:t>
      </w:r>
      <w:r>
        <w:rPr>
          <w:lang w:val="en-US"/>
        </w:rPr>
        <w:t xml:space="preserve">gene encoding for 5-HTT was associated with report of abuse during childhood in both males and females, with abused subjects showing higher methylation levels than non-abused ones (Beach et al., 2010). This high methylation rate in the promoter region was associated with decreased levels of </w:t>
      </w:r>
      <w:r>
        <w:rPr>
          <w:i/>
          <w:lang w:val="en-US"/>
        </w:rPr>
        <w:t>5-HTT</w:t>
      </w:r>
      <w:r>
        <w:rPr>
          <w:lang w:val="en-US"/>
        </w:rPr>
        <w:t xml:space="preserve"> mRNA in cell lines (Philibert et al., 2007), indicating significant effects of environmental stressors on mRNA levels, through epigenetic modifications. This highlights the ability of epigenetic changes to counterbalancing genotype-dependent differences. This is the case of methylation levels within the promoter region of </w:t>
      </w:r>
      <w:r>
        <w:rPr>
          <w:i/>
          <w:lang w:val="en-US"/>
        </w:rPr>
        <w:t>SLC6A4</w:t>
      </w:r>
      <w:r>
        <w:rPr>
          <w:lang w:val="en-US"/>
        </w:rPr>
        <w:t xml:space="preserve"> gene: in subjects with low methylation levels, the </w:t>
      </w:r>
      <w:r>
        <w:rPr>
          <w:i/>
          <w:lang w:val="en-US"/>
        </w:rPr>
        <w:t>S</w:t>
      </w:r>
      <w:r>
        <w:rPr>
          <w:lang w:val="en-US"/>
        </w:rPr>
        <w:t xml:space="preserve"> allele of </w:t>
      </w:r>
      <w:r>
        <w:rPr>
          <w:i/>
          <w:lang w:val="en-US"/>
        </w:rPr>
        <w:t>5-HTTLPR</w:t>
      </w:r>
      <w:r>
        <w:rPr>
          <w:lang w:val="en-US"/>
        </w:rPr>
        <w:t xml:space="preserve"> genotype was related to increased cortisol stress reactivity to psychosocial stress, while there was no effect in subjects carrying the high methylated CpG islands (Alexander et al., 2014). Another gene-environment study, assessing for the relation between </w:t>
      </w:r>
      <w:r>
        <w:rPr>
          <w:i/>
          <w:lang w:val="en-US"/>
        </w:rPr>
        <w:t>5-HTTLPR</w:t>
      </w:r>
      <w:r>
        <w:rPr>
          <w:lang w:val="en-US"/>
        </w:rPr>
        <w:t xml:space="preserve"> genotypes, </w:t>
      </w:r>
      <w:r>
        <w:rPr>
          <w:i/>
          <w:lang w:val="en-US"/>
        </w:rPr>
        <w:t>SLC6A4</w:t>
      </w:r>
      <w:r>
        <w:rPr>
          <w:lang w:val="en-US"/>
        </w:rPr>
        <w:t xml:space="preserve"> methylation and stress response, found that life stress can alter methylation levels as a function of </w:t>
      </w:r>
      <w:r>
        <w:rPr>
          <w:i/>
          <w:lang w:val="en-US"/>
        </w:rPr>
        <w:t>5-HTTLPR</w:t>
      </w:r>
      <w:r>
        <w:rPr>
          <w:lang w:val="en-US"/>
        </w:rPr>
        <w:t xml:space="preserve"> genotype with effects on gene expression. This finding supports the notion that the complexity of genetic and epigenetic mechanisms characterize</w:t>
      </w:r>
      <w:r w:rsidR="00947F3E">
        <w:rPr>
          <w:lang w:val="en-US"/>
        </w:rPr>
        <w:t>s</w:t>
      </w:r>
      <w:r>
        <w:rPr>
          <w:lang w:val="en-US"/>
        </w:rPr>
        <w:t xml:space="preserve"> the individual susceptibility or resilience to life stressor events (</w:t>
      </w:r>
      <w:proofErr w:type="spellStart"/>
      <w:r>
        <w:rPr>
          <w:lang w:val="en-US"/>
        </w:rPr>
        <w:t>Duman</w:t>
      </w:r>
      <w:proofErr w:type="spellEnd"/>
      <w:r>
        <w:rPr>
          <w:lang w:val="en-US"/>
        </w:rPr>
        <w:t xml:space="preserve"> and </w:t>
      </w:r>
      <w:proofErr w:type="spellStart"/>
      <w:r>
        <w:rPr>
          <w:lang w:val="en-US"/>
        </w:rPr>
        <w:t>Canli</w:t>
      </w:r>
      <w:proofErr w:type="spellEnd"/>
      <w:r>
        <w:rPr>
          <w:lang w:val="en-US"/>
        </w:rPr>
        <w:t xml:space="preserve">, 2015). Other authors suggested that hyper-methylation in the promoter of </w:t>
      </w:r>
      <w:r>
        <w:rPr>
          <w:i/>
          <w:lang w:val="en-US"/>
        </w:rPr>
        <w:t>MAOA</w:t>
      </w:r>
      <w:r>
        <w:rPr>
          <w:lang w:val="en-US"/>
        </w:rPr>
        <w:t xml:space="preserve"> gene is associated with antisocial personality disorder and that this epigenetic modification could contribute to down-regulating </w:t>
      </w:r>
      <w:r>
        <w:rPr>
          <w:i/>
          <w:lang w:val="en-US"/>
        </w:rPr>
        <w:t>MAO</w:t>
      </w:r>
      <w:r>
        <w:rPr>
          <w:lang w:val="en-US"/>
        </w:rPr>
        <w:t xml:space="preserve"> expression and dysregulating the 5-HT system, leading to impulsive aggressiveness and criminal behavior (</w:t>
      </w:r>
      <w:proofErr w:type="spellStart"/>
      <w:r>
        <w:rPr>
          <w:lang w:val="en-US"/>
        </w:rPr>
        <w:t>Checknita</w:t>
      </w:r>
      <w:proofErr w:type="spellEnd"/>
      <w:r>
        <w:rPr>
          <w:lang w:val="en-US"/>
        </w:rPr>
        <w:t xml:space="preserve"> et al., 2015).</w:t>
      </w:r>
      <w:r w:rsidR="004805B2">
        <w:rPr>
          <w:lang w:val="en-US"/>
        </w:rPr>
        <w:t xml:space="preserve"> </w:t>
      </w:r>
      <w:r>
        <w:rPr>
          <w:lang w:val="en-US"/>
        </w:rPr>
        <w:t>These emerging data on the relationship between epigenetic modifications, environmental stressors and behavior suggests that further investigations are needed, especially because the few available reports have only assessed small cohorts of subjects.</w:t>
      </w:r>
    </w:p>
    <w:p w:rsidR="002032AE" w:rsidRPr="00B26E04" w:rsidRDefault="0096787B" w:rsidP="00113B97">
      <w:pPr>
        <w:spacing w:line="480" w:lineRule="auto"/>
        <w:rPr>
          <w:lang w:val="en-US"/>
        </w:rPr>
      </w:pPr>
      <w:r>
        <w:rPr>
          <w:lang w:val="en-US"/>
        </w:rPr>
        <w:tab/>
        <w:t xml:space="preserve">Methylation could be also considered as a marker for abuses and adverse childhood experiences as well as substance abuse. Indeed, it has been demonstrated that alteration of epigenetic regulation (via methylation) of the DA transporter gene promoter occurred in </w:t>
      </w:r>
      <w:r>
        <w:rPr>
          <w:lang w:val="en-US"/>
        </w:rPr>
        <w:lastRenderedPageBreak/>
        <w:t>alcohol dependent patients, being associated with craving (</w:t>
      </w:r>
      <w:proofErr w:type="spellStart"/>
      <w:r>
        <w:rPr>
          <w:lang w:val="en-US"/>
        </w:rPr>
        <w:t>Hillemacher</w:t>
      </w:r>
      <w:proofErr w:type="spellEnd"/>
      <w:r>
        <w:rPr>
          <w:lang w:val="en-US"/>
        </w:rPr>
        <w:t xml:space="preserve"> et al., 2009). Additionally, child sex abuse may be associated with long-lasting changes in methylation of the promoter region of </w:t>
      </w:r>
      <w:r>
        <w:rPr>
          <w:i/>
          <w:lang w:val="en-US"/>
        </w:rPr>
        <w:t>5-HTT</w:t>
      </w:r>
      <w:r>
        <w:rPr>
          <w:lang w:val="en-US"/>
        </w:rPr>
        <w:t xml:space="preserve"> gene in women (Beach et al., 2011), suggesting that this hypermethylation may be hypothesized as one of the mechanisms able to increase the risk for adult antisocial behavior in child-abused of both males and females (Beach et al., 2010). </w:t>
      </w:r>
    </w:p>
    <w:p w:rsidR="00E04905" w:rsidRPr="00B26E04" w:rsidRDefault="0096787B" w:rsidP="00113B97">
      <w:pPr>
        <w:spacing w:line="480" w:lineRule="auto"/>
        <w:rPr>
          <w:lang w:val="en-US"/>
        </w:rPr>
      </w:pPr>
      <w:r>
        <w:rPr>
          <w:lang w:val="en-US"/>
        </w:rPr>
        <w:t xml:space="preserve">All these data likely suggest a deeply complex interaction between substances use, more generally environmental stressors, and genes methylation. These interesting findings suggest the importance of the genetic-epigenetic interactions, highlighting that methylation and acetylation rates need to be analyzed simultaneously with genotype as key </w:t>
      </w:r>
      <w:proofErr w:type="spellStart"/>
      <w:r>
        <w:rPr>
          <w:lang w:val="en-US"/>
        </w:rPr>
        <w:t>actors</w:t>
      </w:r>
      <w:proofErr w:type="spellEnd"/>
      <w:r>
        <w:rPr>
          <w:lang w:val="en-US"/>
        </w:rPr>
        <w:t xml:space="preserve"> in determining the behavioral phenotype.</w:t>
      </w:r>
    </w:p>
    <w:p w:rsidR="00FC044F" w:rsidRPr="00B26E04" w:rsidRDefault="0096787B" w:rsidP="00113B97">
      <w:pPr>
        <w:spacing w:line="480" w:lineRule="auto"/>
        <w:rPr>
          <w:lang w:val="en-US"/>
        </w:rPr>
      </w:pPr>
      <w:r>
        <w:rPr>
          <w:lang w:val="en-US"/>
        </w:rPr>
        <w:tab/>
        <w:t>Nowadays, epigenetic offers an additional explanation to abnormal social behavior in addition to that of "the classic" genetic mutation (Fig. 1), and in some cases could also explain the divergent results of observations based on genetic or direct environmental factors. Additionally, interesting information may arise from deep investigation on the combined effect of both genetic and epigenetic variability on social behavior.</w:t>
      </w:r>
    </w:p>
    <w:p w:rsidR="00E04905" w:rsidRPr="00B26E04" w:rsidRDefault="00E04905" w:rsidP="00113B97">
      <w:pPr>
        <w:spacing w:line="480" w:lineRule="auto"/>
        <w:rPr>
          <w:lang w:val="en-US"/>
        </w:rPr>
      </w:pPr>
    </w:p>
    <w:p w:rsidR="00E04905" w:rsidRPr="00B26E04" w:rsidRDefault="0096787B" w:rsidP="00113B97">
      <w:pPr>
        <w:spacing w:line="480" w:lineRule="auto"/>
        <w:rPr>
          <w:b/>
          <w:lang w:val="en-US"/>
        </w:rPr>
      </w:pPr>
      <w:r>
        <w:rPr>
          <w:b/>
          <w:lang w:val="en-US"/>
        </w:rPr>
        <w:t>8. Conclusions and perspectives</w:t>
      </w:r>
    </w:p>
    <w:p w:rsidR="00E04905" w:rsidRPr="00B26E04" w:rsidRDefault="0096787B" w:rsidP="00113B97">
      <w:pPr>
        <w:spacing w:line="480" w:lineRule="auto"/>
        <w:rPr>
          <w:lang w:val="en-US"/>
        </w:rPr>
      </w:pPr>
      <w:r>
        <w:rPr>
          <w:lang w:val="en-US"/>
        </w:rPr>
        <w:tab/>
        <w:t>In this review we have discussed several studies related to neurobiological alterations and environmental influences on aggression. It seems that neurobiological abnormalities relate to aggression more than adverse environment, but in most cases their synergistic effect is required to produce such a behavior. Prenatal conditions like mother exposure to alcohol (Disney et al., 2008), cigarette smoking and substance abuse (Bada et al., 2007), nutritional deficits and birth complications can induce neuroanatomical-neurochemical deficits with development of antisocial and criminal behavior (Liu, 2011).</w:t>
      </w:r>
    </w:p>
    <w:p w:rsidR="00A41F47" w:rsidRPr="00B26E04" w:rsidRDefault="0096787B" w:rsidP="00113B97">
      <w:pPr>
        <w:spacing w:line="480" w:lineRule="auto"/>
        <w:rPr>
          <w:lang w:val="en-US"/>
        </w:rPr>
      </w:pPr>
      <w:r>
        <w:rPr>
          <w:lang w:val="en-US"/>
        </w:rPr>
        <w:tab/>
        <w:t xml:space="preserve">Imaging studies have shown that increased aggression is frequently linked to altered volume of different brain areas (e.g., amygdala), as well as alterations in their activity and </w:t>
      </w:r>
      <w:r>
        <w:rPr>
          <w:lang w:val="en-US"/>
        </w:rPr>
        <w:lastRenderedPageBreak/>
        <w:t>connectivity. However, imaging methods with higher resolution are necessary to provide an improved imaging of the anatomical and connectivity profiles of specific subregions of the amygdala and limbic prefrontal cortex (as well as other associated brain regions and neural networks) to clarify their involvement in the different subtypes of aggression. Nowadays there is an increased availability of MRI scanners at 7T providing high resolution images of the brain. Then, several studies here discussed reporting non conclusive, contradictory or negative results in changes of morphology and connectivity in aggression could be repeated with these high resolution instruments, so that specific changes in subregions of amygdala and other limbic areas could be better detected.</w:t>
      </w:r>
    </w:p>
    <w:p w:rsidR="00305AA9" w:rsidRPr="00B26E04" w:rsidRDefault="0096787B" w:rsidP="00113B97">
      <w:pPr>
        <w:spacing w:line="480" w:lineRule="auto"/>
        <w:rPr>
          <w:lang w:val="en-US"/>
        </w:rPr>
      </w:pPr>
      <w:r>
        <w:rPr>
          <w:lang w:val="en-US"/>
        </w:rPr>
        <w:tab/>
        <w:t xml:space="preserve">There are few </w:t>
      </w:r>
      <w:r>
        <w:rPr>
          <w:i/>
          <w:lang w:val="en-US"/>
        </w:rPr>
        <w:t xml:space="preserve">post mortem </w:t>
      </w:r>
      <w:r>
        <w:rPr>
          <w:lang w:val="en-US"/>
        </w:rPr>
        <w:t>studies with neurochemical and immunohistochemical methods on the brain of offenders: these studies would provide invaluable information on the neurobiological basis of their aggressive behavior. Among neurotransmitter systems involved in aggressive behavior, the 5-HT has the strongest evidence, although there is evidence for role of DA and other systems as well. This contribution has been reported in terms of neurotransmitter synthesis, degradation, storage and receptors involved in the neurotransmission. Beyond 5-HT and DA systems, the role of gamma-aminobutyric acid, an important inhibitory neurotransmitter which is abundant in many brain regions involved in aggression, is not clear and deserve appropriate studies in humans. Indeed, although direct stimulation of gamma-aminobutyric acid receptors generally suppresses aggression, endogenous positive modulators (like progesterone and testosterone) of gamma-aminobutyric acid type A receptors are known to increase aggression (</w:t>
      </w:r>
      <w:proofErr w:type="spellStart"/>
      <w:r>
        <w:rPr>
          <w:lang w:val="en-US"/>
        </w:rPr>
        <w:t>Belelli</w:t>
      </w:r>
      <w:proofErr w:type="spellEnd"/>
      <w:r>
        <w:rPr>
          <w:lang w:val="en-US"/>
        </w:rPr>
        <w:t xml:space="preserve"> and Lambert, 2005; </w:t>
      </w:r>
      <w:r w:rsidR="008C384C" w:rsidRPr="008C384C">
        <w:rPr>
          <w:lang w:val="en-US"/>
        </w:rPr>
        <w:t xml:space="preserve">Miczek </w:t>
      </w:r>
      <w:r w:rsidR="008C384C">
        <w:rPr>
          <w:lang w:val="en-US"/>
        </w:rPr>
        <w:t xml:space="preserve">et al., 2003; </w:t>
      </w:r>
      <w:r>
        <w:rPr>
          <w:lang w:val="en-US"/>
        </w:rPr>
        <w:t>Reddy, 2010).</w:t>
      </w:r>
    </w:p>
    <w:p w:rsidR="00E04905" w:rsidRPr="00B26E04" w:rsidRDefault="0096787B" w:rsidP="00113B97">
      <w:pPr>
        <w:spacing w:line="480" w:lineRule="auto"/>
        <w:rPr>
          <w:lang w:val="en-US"/>
        </w:rPr>
      </w:pPr>
      <w:r>
        <w:rPr>
          <w:lang w:val="en-US"/>
        </w:rPr>
        <w:tab/>
        <w:t>It is also important to develop rating scales to quantify the entity and type of neurobiological abnormalities and adverse environment for forensic use to estimate risk of recidivism and culpability in addition to psychosocial evaluations.</w:t>
      </w:r>
      <w:r>
        <w:rPr>
          <w:rFonts w:ascii="Calibri" w:eastAsia="Times New Roman" w:hAnsi="Calibri"/>
          <w:lang w:val="en-US"/>
        </w:rPr>
        <w:t xml:space="preserve"> </w:t>
      </w:r>
      <w:r>
        <w:rPr>
          <w:lang w:val="en-US"/>
        </w:rPr>
        <w:t xml:space="preserve">In court, considering the present state of neurobiology knowledge and its future development, there is a need for an </w:t>
      </w:r>
      <w:r>
        <w:rPr>
          <w:lang w:val="en-US"/>
        </w:rPr>
        <w:lastRenderedPageBreak/>
        <w:t>expert whom we could name "forensic translational neurobiologist" among the members of forensic team, to support judge and jury in establishing how the neurobiological abnormalities of defendant would affect his responsibilities and whether these abnormalities could predispose to future risks of aggressive behavior.</w:t>
      </w:r>
    </w:p>
    <w:p w:rsidR="008F5AD5" w:rsidRPr="00B26E04" w:rsidRDefault="0096787B" w:rsidP="00113B97">
      <w:pPr>
        <w:spacing w:line="480" w:lineRule="auto"/>
        <w:rPr>
          <w:lang w:val="en-US"/>
        </w:rPr>
      </w:pPr>
      <w:r>
        <w:rPr>
          <w:lang w:val="en-US"/>
        </w:rPr>
        <w:tab/>
        <w:t xml:space="preserve">There is high social relevance of these studies since they may contribute to improve prevention policies and social services capable to reduce the risk of eliciting antisocial behavior. Considering the increasing threat of terror in the last years, neurobiology studies on terrorists are also needed, either on living subjects and </w:t>
      </w:r>
      <w:r>
        <w:rPr>
          <w:i/>
          <w:lang w:val="en-US"/>
        </w:rPr>
        <w:t>post mortem</w:t>
      </w:r>
      <w:r>
        <w:rPr>
          <w:lang w:val="en-US"/>
        </w:rPr>
        <w:t xml:space="preserve"> specimens. These studies could unveil mechanisms driving to terroristic and intentional/planned violent behavior whose neurobiological bases are still poorly studied. Therefore, related information could be helpful for identifying subjects at risk for this attitude and possibly prevent their crimes.</w:t>
      </w:r>
    </w:p>
    <w:p w:rsidR="004F1FBE" w:rsidRPr="00B26E04" w:rsidRDefault="004F1FBE" w:rsidP="00113B97">
      <w:pPr>
        <w:spacing w:line="480" w:lineRule="auto"/>
        <w:rPr>
          <w:lang w:val="en-US"/>
        </w:rPr>
      </w:pPr>
    </w:p>
    <w:p w:rsidR="001A2663" w:rsidRPr="00B26E04" w:rsidRDefault="0096787B" w:rsidP="00113B97">
      <w:pPr>
        <w:spacing w:line="480" w:lineRule="auto"/>
        <w:rPr>
          <w:b/>
          <w:lang w:val="en-US"/>
        </w:rPr>
      </w:pPr>
      <w:r>
        <w:rPr>
          <w:b/>
          <w:lang w:val="en-US"/>
        </w:rPr>
        <w:t>Declaration of competing interest</w:t>
      </w:r>
    </w:p>
    <w:p w:rsidR="001A2663" w:rsidRPr="00B26E04" w:rsidRDefault="0096787B" w:rsidP="001A2663">
      <w:pPr>
        <w:spacing w:line="480" w:lineRule="auto"/>
        <w:rPr>
          <w:lang w:val="en-US"/>
        </w:rPr>
      </w:pPr>
      <w:r>
        <w:rPr>
          <w:lang w:val="en-US"/>
        </w:rPr>
        <w:t>The authors have no conflicts of interest to declare in relation to this article.</w:t>
      </w:r>
    </w:p>
    <w:p w:rsidR="001A2663" w:rsidRPr="00B26E04" w:rsidRDefault="001A2663" w:rsidP="001A2663">
      <w:pPr>
        <w:spacing w:line="480" w:lineRule="auto"/>
        <w:rPr>
          <w:lang w:val="en-US"/>
        </w:rPr>
      </w:pPr>
    </w:p>
    <w:p w:rsidR="00E04905" w:rsidRPr="00B26E04" w:rsidRDefault="0096787B" w:rsidP="00113B97">
      <w:pPr>
        <w:spacing w:line="480" w:lineRule="auto"/>
        <w:rPr>
          <w:b/>
          <w:lang w:val="en-US"/>
        </w:rPr>
      </w:pPr>
      <w:r>
        <w:rPr>
          <w:b/>
          <w:lang w:val="en-US"/>
        </w:rPr>
        <w:t>Acknowledgements</w:t>
      </w:r>
    </w:p>
    <w:p w:rsidR="0084168D" w:rsidRPr="00B26E04" w:rsidRDefault="0096787B" w:rsidP="0084168D">
      <w:pPr>
        <w:spacing w:line="480" w:lineRule="auto"/>
        <w:rPr>
          <w:lang w:val="en-US"/>
        </w:rPr>
      </w:pPr>
      <w:r>
        <w:rPr>
          <w:lang w:val="en-US"/>
        </w:rPr>
        <w:t xml:space="preserve">This work was supported by Italian Ministry of Education, University, and Research (MIUR) - National Research Council of Italy (CNR) - </w:t>
      </w:r>
      <w:proofErr w:type="spellStart"/>
      <w:r>
        <w:rPr>
          <w:lang w:val="en-US"/>
        </w:rPr>
        <w:t>Progetto</w:t>
      </w:r>
      <w:proofErr w:type="spellEnd"/>
      <w:r>
        <w:rPr>
          <w:lang w:val="en-US"/>
        </w:rPr>
        <w:t xml:space="preserve"> </w:t>
      </w:r>
      <w:proofErr w:type="spellStart"/>
      <w:r>
        <w:rPr>
          <w:lang w:val="en-US"/>
        </w:rPr>
        <w:t>Premiale</w:t>
      </w:r>
      <w:proofErr w:type="spellEnd"/>
      <w:r>
        <w:rPr>
          <w:lang w:val="en-US"/>
        </w:rPr>
        <w:t xml:space="preserve"> "</w:t>
      </w:r>
      <w:proofErr w:type="spellStart"/>
      <w:r>
        <w:rPr>
          <w:i/>
          <w:lang w:val="en-US"/>
        </w:rPr>
        <w:t>L’amministrazione</w:t>
      </w:r>
      <w:proofErr w:type="spellEnd"/>
      <w:r>
        <w:rPr>
          <w:i/>
          <w:lang w:val="en-US"/>
        </w:rPr>
        <w:t xml:space="preserve"> </w:t>
      </w:r>
      <w:proofErr w:type="spellStart"/>
      <w:r>
        <w:rPr>
          <w:i/>
          <w:lang w:val="en-US"/>
        </w:rPr>
        <w:t>della</w:t>
      </w:r>
      <w:proofErr w:type="spellEnd"/>
      <w:r>
        <w:rPr>
          <w:i/>
          <w:lang w:val="en-US"/>
        </w:rPr>
        <w:t xml:space="preserve"> </w:t>
      </w:r>
      <w:proofErr w:type="spellStart"/>
      <w:r>
        <w:rPr>
          <w:i/>
          <w:lang w:val="en-US"/>
        </w:rPr>
        <w:t>giustizia</w:t>
      </w:r>
      <w:proofErr w:type="spellEnd"/>
      <w:r>
        <w:rPr>
          <w:i/>
          <w:lang w:val="en-US"/>
        </w:rPr>
        <w:t xml:space="preserve"> in Italia: </w:t>
      </w:r>
      <w:proofErr w:type="spellStart"/>
      <w:r>
        <w:rPr>
          <w:i/>
          <w:lang w:val="en-US"/>
        </w:rPr>
        <w:t>il</w:t>
      </w:r>
      <w:proofErr w:type="spellEnd"/>
      <w:r>
        <w:rPr>
          <w:i/>
          <w:lang w:val="en-US"/>
        </w:rPr>
        <w:t xml:space="preserve"> </w:t>
      </w:r>
      <w:proofErr w:type="spellStart"/>
      <w:r>
        <w:rPr>
          <w:i/>
          <w:lang w:val="en-US"/>
        </w:rPr>
        <w:t>caso</w:t>
      </w:r>
      <w:proofErr w:type="spellEnd"/>
      <w:r>
        <w:rPr>
          <w:i/>
          <w:lang w:val="en-US"/>
        </w:rPr>
        <w:t xml:space="preserve"> </w:t>
      </w:r>
      <w:proofErr w:type="spellStart"/>
      <w:r>
        <w:rPr>
          <w:i/>
          <w:lang w:val="en-US"/>
        </w:rPr>
        <w:t>della</w:t>
      </w:r>
      <w:proofErr w:type="spellEnd"/>
      <w:r>
        <w:rPr>
          <w:i/>
          <w:lang w:val="en-US"/>
        </w:rPr>
        <w:t xml:space="preserve"> </w:t>
      </w:r>
      <w:proofErr w:type="spellStart"/>
      <w:r>
        <w:rPr>
          <w:i/>
          <w:lang w:val="en-US"/>
        </w:rPr>
        <w:t>neurogenetica</w:t>
      </w:r>
      <w:proofErr w:type="spellEnd"/>
      <w:r>
        <w:rPr>
          <w:i/>
          <w:lang w:val="en-US"/>
        </w:rPr>
        <w:t xml:space="preserve"> e </w:t>
      </w:r>
      <w:proofErr w:type="spellStart"/>
      <w:r>
        <w:rPr>
          <w:i/>
          <w:lang w:val="en-US"/>
        </w:rPr>
        <w:t>delle</w:t>
      </w:r>
      <w:proofErr w:type="spellEnd"/>
      <w:r>
        <w:rPr>
          <w:i/>
          <w:lang w:val="en-US"/>
        </w:rPr>
        <w:t xml:space="preserve"> </w:t>
      </w:r>
      <w:proofErr w:type="spellStart"/>
      <w:r>
        <w:rPr>
          <w:i/>
          <w:lang w:val="en-US"/>
        </w:rPr>
        <w:t>neuroscienze</w:t>
      </w:r>
      <w:proofErr w:type="spellEnd"/>
      <w:r>
        <w:rPr>
          <w:lang w:val="en-US"/>
        </w:rPr>
        <w:t xml:space="preserve">". FAC, FAZ and LZ were also supported by MIUR - National Research </w:t>
      </w:r>
      <w:proofErr w:type="spellStart"/>
      <w:r>
        <w:rPr>
          <w:lang w:val="en-US"/>
        </w:rPr>
        <w:t>Programme</w:t>
      </w:r>
      <w:proofErr w:type="spellEnd"/>
      <w:r>
        <w:rPr>
          <w:lang w:val="en-US"/>
        </w:rPr>
        <w:t xml:space="preserve"> (PNR) - CNR Flagship </w:t>
      </w:r>
      <w:proofErr w:type="spellStart"/>
      <w:r>
        <w:rPr>
          <w:lang w:val="en-US"/>
        </w:rPr>
        <w:t>InterOmics</w:t>
      </w:r>
      <w:proofErr w:type="spellEnd"/>
      <w:r>
        <w:rPr>
          <w:lang w:val="en-US"/>
        </w:rPr>
        <w:t xml:space="preserve"> Project (PB.P05) and by MIUR - PNR - CNR Aging </w:t>
      </w:r>
      <w:r w:rsidR="00CB5CFA">
        <w:rPr>
          <w:lang w:val="en-US"/>
        </w:rPr>
        <w:t xml:space="preserve">Program </w:t>
      </w:r>
      <w:r>
        <w:rPr>
          <w:lang w:val="en-US"/>
        </w:rPr>
        <w:t xml:space="preserve">2012-2014. KPL was supported by the Deutsche </w:t>
      </w:r>
      <w:proofErr w:type="spellStart"/>
      <w:r>
        <w:rPr>
          <w:lang w:val="en-US"/>
        </w:rPr>
        <w:t>Forschungsgemeinschaft</w:t>
      </w:r>
      <w:proofErr w:type="spellEnd"/>
      <w:r>
        <w:rPr>
          <w:lang w:val="en-US"/>
        </w:rPr>
        <w:t xml:space="preserve"> (DFG: CRU 125, CRC TRR 58 A1/A5), </w:t>
      </w:r>
      <w:r>
        <w:rPr>
          <w:bCs/>
          <w:lang w:val="en-US"/>
        </w:rPr>
        <w:t xml:space="preserve">the European Union’s Seventh Framework </w:t>
      </w:r>
      <w:proofErr w:type="spellStart"/>
      <w:r>
        <w:rPr>
          <w:bCs/>
          <w:lang w:val="en-US"/>
        </w:rPr>
        <w:t>Programme</w:t>
      </w:r>
      <w:proofErr w:type="spellEnd"/>
      <w:r>
        <w:rPr>
          <w:bCs/>
          <w:lang w:val="en-US"/>
        </w:rPr>
        <w:t xml:space="preserve"> under Grant N. 602805 (</w:t>
      </w:r>
      <w:proofErr w:type="spellStart"/>
      <w:r>
        <w:rPr>
          <w:bCs/>
          <w:lang w:val="en-US"/>
        </w:rPr>
        <w:t>Aggressotype</w:t>
      </w:r>
      <w:proofErr w:type="spellEnd"/>
      <w:r>
        <w:rPr>
          <w:bCs/>
          <w:lang w:val="en-US"/>
        </w:rPr>
        <w:t xml:space="preserve">), the Horizon 2020 Research and Innovation </w:t>
      </w:r>
      <w:proofErr w:type="spellStart"/>
      <w:r>
        <w:rPr>
          <w:bCs/>
          <w:lang w:val="en-US"/>
        </w:rPr>
        <w:t>Programme</w:t>
      </w:r>
      <w:proofErr w:type="spellEnd"/>
      <w:r>
        <w:rPr>
          <w:bCs/>
          <w:lang w:val="en-US"/>
        </w:rPr>
        <w:t xml:space="preserve"> under Grant N. 728018 (Eat2beNICE), </w:t>
      </w:r>
      <w:r>
        <w:rPr>
          <w:lang w:val="en-US"/>
        </w:rPr>
        <w:t xml:space="preserve">ERA-Net NEURON/RESPOND N. 01EW1602B, and 5-100 Russian Academic Excellence Project. </w:t>
      </w:r>
      <w:r w:rsidR="00C54C8A" w:rsidRPr="00382DDF">
        <w:rPr>
          <w:lang w:val="en-US"/>
        </w:rPr>
        <w:t xml:space="preserve">Luca Passamonti is funded by the Medical Research Council </w:t>
      </w:r>
      <w:r w:rsidR="00C54C8A" w:rsidRPr="00382DDF">
        <w:rPr>
          <w:lang w:val="en-US"/>
        </w:rPr>
        <w:lastRenderedPageBreak/>
        <w:t>(MRC) (</w:t>
      </w:r>
      <w:r w:rsidR="00C54C8A">
        <w:rPr>
          <w:lang w:val="en-US"/>
        </w:rPr>
        <w:t xml:space="preserve">MR/P01271X/1) at the University </w:t>
      </w:r>
      <w:r w:rsidR="00C54C8A" w:rsidRPr="00382DDF">
        <w:rPr>
          <w:lang w:val="en-US"/>
        </w:rPr>
        <w:t>of Cambridge, UK.</w:t>
      </w:r>
      <w:r w:rsidR="00C54C8A">
        <w:rPr>
          <w:lang w:val="en-US"/>
        </w:rPr>
        <w:t xml:space="preserve"> </w:t>
      </w:r>
      <w:r>
        <w:rPr>
          <w:lang w:val="en-US"/>
        </w:rPr>
        <w:t xml:space="preserve">Authors thank Mrs. Chiara </w:t>
      </w:r>
      <w:proofErr w:type="spellStart"/>
      <w:r>
        <w:rPr>
          <w:lang w:val="en-US"/>
        </w:rPr>
        <w:t>Bellei</w:t>
      </w:r>
      <w:proofErr w:type="spellEnd"/>
      <w:r>
        <w:rPr>
          <w:lang w:val="en-US"/>
        </w:rPr>
        <w:t xml:space="preserve"> for her assistance in bibliographic research.</w:t>
      </w:r>
      <w:r>
        <w:rPr>
          <w:lang w:val="en-US"/>
        </w:rPr>
        <w:br w:type="page"/>
      </w:r>
    </w:p>
    <w:p w:rsidR="000A1A12" w:rsidRPr="00B26E04" w:rsidRDefault="000A1A12" w:rsidP="00113B97">
      <w:pPr>
        <w:spacing w:line="480" w:lineRule="auto"/>
        <w:rPr>
          <w:lang w:val="en-US"/>
        </w:rPr>
      </w:pPr>
    </w:p>
    <w:p w:rsidR="00352A2A" w:rsidRPr="00B26E04" w:rsidRDefault="0096787B" w:rsidP="00113B97">
      <w:pPr>
        <w:spacing w:line="480" w:lineRule="auto"/>
        <w:rPr>
          <w:b/>
          <w:lang w:val="en-US"/>
        </w:rPr>
      </w:pPr>
      <w:r>
        <w:rPr>
          <w:b/>
          <w:lang w:val="en-US"/>
        </w:rPr>
        <w:t>References</w:t>
      </w:r>
    </w:p>
    <w:p w:rsidR="00352A2A" w:rsidRPr="00B26E04" w:rsidRDefault="0096787B" w:rsidP="00113B97">
      <w:pPr>
        <w:spacing w:after="120" w:line="480" w:lineRule="auto"/>
        <w:rPr>
          <w:sz w:val="20"/>
          <w:szCs w:val="20"/>
          <w:lang w:val="en-US"/>
        </w:rPr>
      </w:pPr>
      <w:proofErr w:type="spellStart"/>
      <w:r>
        <w:rPr>
          <w:sz w:val="20"/>
          <w:szCs w:val="20"/>
          <w:lang w:val="en-US"/>
        </w:rPr>
        <w:t>Adolphs</w:t>
      </w:r>
      <w:proofErr w:type="spellEnd"/>
      <w:r>
        <w:rPr>
          <w:sz w:val="20"/>
          <w:szCs w:val="20"/>
          <w:lang w:val="en-US"/>
        </w:rPr>
        <w:t xml:space="preserve">, R., </w:t>
      </w:r>
      <w:proofErr w:type="spellStart"/>
      <w:r>
        <w:rPr>
          <w:sz w:val="20"/>
          <w:szCs w:val="20"/>
          <w:lang w:val="en-US"/>
        </w:rPr>
        <w:t>Tranel</w:t>
      </w:r>
      <w:proofErr w:type="spellEnd"/>
      <w:r>
        <w:rPr>
          <w:sz w:val="20"/>
          <w:szCs w:val="20"/>
          <w:lang w:val="en-US"/>
        </w:rPr>
        <w:t>, D., Damasio, H., Damasio, A., 1994. Impaired recognition of emotion in facial expressions following bilateral damage to the human amygdala. Nature 372, 669-672.</w:t>
      </w:r>
    </w:p>
    <w:p w:rsidR="00352A2A" w:rsidRPr="00B26E04" w:rsidRDefault="0096787B" w:rsidP="00113B97">
      <w:pPr>
        <w:spacing w:after="120" w:line="480" w:lineRule="auto"/>
        <w:rPr>
          <w:sz w:val="20"/>
          <w:szCs w:val="20"/>
          <w:lang w:val="en-US"/>
        </w:rPr>
      </w:pPr>
      <w:proofErr w:type="spellStart"/>
      <w:r>
        <w:rPr>
          <w:sz w:val="20"/>
          <w:szCs w:val="20"/>
          <w:lang w:val="en-US"/>
        </w:rPr>
        <w:t>Adolphs</w:t>
      </w:r>
      <w:proofErr w:type="spellEnd"/>
      <w:r>
        <w:rPr>
          <w:sz w:val="20"/>
          <w:szCs w:val="20"/>
          <w:lang w:val="en-US"/>
        </w:rPr>
        <w:t xml:space="preserve">, R., Cahill, L., </w:t>
      </w:r>
      <w:proofErr w:type="spellStart"/>
      <w:r>
        <w:rPr>
          <w:sz w:val="20"/>
          <w:szCs w:val="20"/>
          <w:lang w:val="en-US"/>
        </w:rPr>
        <w:t>Schul</w:t>
      </w:r>
      <w:proofErr w:type="spellEnd"/>
      <w:r>
        <w:rPr>
          <w:sz w:val="20"/>
          <w:szCs w:val="20"/>
          <w:lang w:val="en-US"/>
        </w:rPr>
        <w:t xml:space="preserve">, R., </w:t>
      </w:r>
      <w:proofErr w:type="spellStart"/>
      <w:r>
        <w:rPr>
          <w:sz w:val="20"/>
          <w:szCs w:val="20"/>
          <w:lang w:val="en-US"/>
        </w:rPr>
        <w:t>Babinsky</w:t>
      </w:r>
      <w:proofErr w:type="spellEnd"/>
      <w:r>
        <w:rPr>
          <w:sz w:val="20"/>
          <w:szCs w:val="20"/>
          <w:lang w:val="en-US"/>
        </w:rPr>
        <w:t>, R., 1997. Impaired declarative memory for emotional material following bilateral amygdala damage in humans. Learn. Mem. 4, 291-300.</w:t>
      </w:r>
    </w:p>
    <w:p w:rsidR="00352A2A" w:rsidRPr="00B26E04" w:rsidRDefault="0096787B" w:rsidP="00113B97">
      <w:pPr>
        <w:spacing w:after="120" w:line="480" w:lineRule="auto"/>
        <w:rPr>
          <w:sz w:val="20"/>
          <w:szCs w:val="20"/>
          <w:lang w:val="en-US"/>
        </w:rPr>
      </w:pPr>
      <w:r>
        <w:rPr>
          <w:sz w:val="20"/>
          <w:szCs w:val="20"/>
          <w:lang w:val="en-US"/>
        </w:rPr>
        <w:t xml:space="preserve">Albaugh, M.D., Harder, V.S., </w:t>
      </w:r>
      <w:proofErr w:type="spellStart"/>
      <w:r>
        <w:rPr>
          <w:sz w:val="20"/>
          <w:szCs w:val="20"/>
          <w:lang w:val="en-US"/>
        </w:rPr>
        <w:t>Althoff</w:t>
      </w:r>
      <w:proofErr w:type="spellEnd"/>
      <w:r>
        <w:rPr>
          <w:sz w:val="20"/>
          <w:szCs w:val="20"/>
          <w:lang w:val="en-US"/>
        </w:rPr>
        <w:t xml:space="preserve">, R.R., </w:t>
      </w:r>
      <w:proofErr w:type="spellStart"/>
      <w:r>
        <w:rPr>
          <w:sz w:val="20"/>
          <w:szCs w:val="20"/>
          <w:lang w:val="en-US"/>
        </w:rPr>
        <w:t>Rettew</w:t>
      </w:r>
      <w:proofErr w:type="spellEnd"/>
      <w:r>
        <w:rPr>
          <w:sz w:val="20"/>
          <w:szCs w:val="20"/>
          <w:lang w:val="en-US"/>
        </w:rPr>
        <w:t xml:space="preserve">, D.C., </w:t>
      </w:r>
      <w:proofErr w:type="spellStart"/>
      <w:r>
        <w:rPr>
          <w:sz w:val="20"/>
          <w:szCs w:val="20"/>
          <w:lang w:val="en-US"/>
        </w:rPr>
        <w:t>Ehli</w:t>
      </w:r>
      <w:proofErr w:type="spellEnd"/>
      <w:r>
        <w:rPr>
          <w:sz w:val="20"/>
          <w:szCs w:val="20"/>
          <w:lang w:val="en-US"/>
        </w:rPr>
        <w:t xml:space="preserve">, E.A., Lengyel-Nelson, T., Davies, G.E., Ayer, L., </w:t>
      </w:r>
      <w:proofErr w:type="spellStart"/>
      <w:r>
        <w:rPr>
          <w:sz w:val="20"/>
          <w:szCs w:val="20"/>
          <w:lang w:val="en-US"/>
        </w:rPr>
        <w:t>Sulman</w:t>
      </w:r>
      <w:proofErr w:type="spellEnd"/>
      <w:r>
        <w:rPr>
          <w:sz w:val="20"/>
          <w:szCs w:val="20"/>
          <w:lang w:val="en-US"/>
        </w:rPr>
        <w:t xml:space="preserve">, J., Stanger, C., </w:t>
      </w:r>
      <w:proofErr w:type="spellStart"/>
      <w:r>
        <w:rPr>
          <w:sz w:val="20"/>
          <w:szCs w:val="20"/>
          <w:lang w:val="en-US"/>
        </w:rPr>
        <w:t>Hudziak</w:t>
      </w:r>
      <w:proofErr w:type="spellEnd"/>
      <w:r>
        <w:rPr>
          <w:sz w:val="20"/>
          <w:szCs w:val="20"/>
          <w:lang w:val="en-US"/>
        </w:rPr>
        <w:t xml:space="preserve">, J.J., 2010. COMT Val158Met genotype as a risk factor for problem behaviors in youth. J. Am. Acad. Child </w:t>
      </w:r>
      <w:proofErr w:type="spellStart"/>
      <w:r>
        <w:rPr>
          <w:sz w:val="20"/>
          <w:szCs w:val="20"/>
          <w:lang w:val="en-US"/>
        </w:rPr>
        <w:t>Adolesc</w:t>
      </w:r>
      <w:proofErr w:type="spellEnd"/>
      <w:r>
        <w:rPr>
          <w:sz w:val="20"/>
          <w:szCs w:val="20"/>
          <w:lang w:val="en-US"/>
        </w:rPr>
        <w:t>. Psychiatry. 49, 841-849.</w:t>
      </w:r>
    </w:p>
    <w:p w:rsidR="00777844" w:rsidRPr="00B26E04" w:rsidRDefault="0096787B" w:rsidP="00113B97">
      <w:pPr>
        <w:spacing w:after="120" w:line="480" w:lineRule="auto"/>
        <w:rPr>
          <w:sz w:val="20"/>
          <w:szCs w:val="20"/>
          <w:lang w:val="en-US"/>
        </w:rPr>
      </w:pPr>
      <w:r>
        <w:rPr>
          <w:sz w:val="20"/>
          <w:szCs w:val="20"/>
          <w:lang w:val="en-US"/>
        </w:rPr>
        <w:t xml:space="preserve">Alexander, N., </w:t>
      </w:r>
      <w:proofErr w:type="spellStart"/>
      <w:r>
        <w:rPr>
          <w:sz w:val="20"/>
          <w:szCs w:val="20"/>
          <w:lang w:val="en-US"/>
        </w:rPr>
        <w:t>Wankerl</w:t>
      </w:r>
      <w:proofErr w:type="spellEnd"/>
      <w:r>
        <w:rPr>
          <w:sz w:val="20"/>
          <w:szCs w:val="20"/>
          <w:lang w:val="en-US"/>
        </w:rPr>
        <w:t xml:space="preserve">, M., Hennig, J., Miller, R., </w:t>
      </w:r>
      <w:proofErr w:type="spellStart"/>
      <w:r>
        <w:rPr>
          <w:sz w:val="20"/>
          <w:szCs w:val="20"/>
          <w:lang w:val="en-US"/>
        </w:rPr>
        <w:t>Zänkert</w:t>
      </w:r>
      <w:proofErr w:type="spellEnd"/>
      <w:r>
        <w:rPr>
          <w:sz w:val="20"/>
          <w:szCs w:val="20"/>
          <w:lang w:val="en-US"/>
        </w:rPr>
        <w:t xml:space="preserve">, S., </w:t>
      </w:r>
      <w:proofErr w:type="spellStart"/>
      <w:r>
        <w:rPr>
          <w:sz w:val="20"/>
          <w:szCs w:val="20"/>
          <w:lang w:val="en-US"/>
        </w:rPr>
        <w:t>Steudte-Schmiedgen</w:t>
      </w:r>
      <w:proofErr w:type="spellEnd"/>
      <w:r>
        <w:rPr>
          <w:sz w:val="20"/>
          <w:szCs w:val="20"/>
          <w:lang w:val="en-US"/>
        </w:rPr>
        <w:t xml:space="preserve">, S., </w:t>
      </w:r>
      <w:proofErr w:type="spellStart"/>
      <w:r>
        <w:rPr>
          <w:sz w:val="20"/>
          <w:szCs w:val="20"/>
          <w:lang w:val="en-US"/>
        </w:rPr>
        <w:t>Stalder</w:t>
      </w:r>
      <w:proofErr w:type="spellEnd"/>
      <w:r>
        <w:rPr>
          <w:sz w:val="20"/>
          <w:szCs w:val="20"/>
          <w:lang w:val="en-US"/>
        </w:rPr>
        <w:t xml:space="preserve">, T., </w:t>
      </w:r>
      <w:proofErr w:type="spellStart"/>
      <w:r>
        <w:rPr>
          <w:sz w:val="20"/>
          <w:szCs w:val="20"/>
          <w:lang w:val="en-US"/>
        </w:rPr>
        <w:t>Kirschbaum</w:t>
      </w:r>
      <w:proofErr w:type="spellEnd"/>
      <w:r>
        <w:rPr>
          <w:sz w:val="20"/>
          <w:szCs w:val="20"/>
          <w:lang w:val="en-US"/>
        </w:rPr>
        <w:t>, C., 2014. DNA methylation profiles within the serotonin transporter gene moderate the association of 5-HTTLPR and cortisol stress reactivity. Transl. Psychiatry 4, e443.</w:t>
      </w:r>
    </w:p>
    <w:p w:rsidR="00352A2A" w:rsidRPr="00C54C8A" w:rsidRDefault="0096787B" w:rsidP="00113B97">
      <w:pPr>
        <w:spacing w:after="120" w:line="480" w:lineRule="auto"/>
        <w:rPr>
          <w:sz w:val="20"/>
          <w:szCs w:val="20"/>
        </w:rPr>
      </w:pPr>
      <w:r>
        <w:rPr>
          <w:sz w:val="20"/>
          <w:szCs w:val="20"/>
          <w:lang w:val="en-US"/>
        </w:rPr>
        <w:t xml:space="preserve">Ali, F.R., </w:t>
      </w:r>
      <w:proofErr w:type="spellStart"/>
      <w:r>
        <w:rPr>
          <w:sz w:val="20"/>
          <w:szCs w:val="20"/>
          <w:lang w:val="en-US"/>
        </w:rPr>
        <w:t>Vasiliou</w:t>
      </w:r>
      <w:proofErr w:type="spellEnd"/>
      <w:r>
        <w:rPr>
          <w:sz w:val="20"/>
          <w:szCs w:val="20"/>
          <w:lang w:val="en-US"/>
        </w:rPr>
        <w:t xml:space="preserve">, S.A., </w:t>
      </w:r>
      <w:proofErr w:type="spellStart"/>
      <w:r>
        <w:rPr>
          <w:sz w:val="20"/>
          <w:szCs w:val="20"/>
          <w:lang w:val="en-US"/>
        </w:rPr>
        <w:t>Haddley</w:t>
      </w:r>
      <w:proofErr w:type="spellEnd"/>
      <w:r>
        <w:rPr>
          <w:sz w:val="20"/>
          <w:szCs w:val="20"/>
          <w:lang w:val="en-US"/>
        </w:rPr>
        <w:t xml:space="preserve">, K., Paredes, U.M., Roberts, J.C., </w:t>
      </w:r>
      <w:proofErr w:type="spellStart"/>
      <w:r>
        <w:rPr>
          <w:sz w:val="20"/>
          <w:szCs w:val="20"/>
          <w:lang w:val="en-US"/>
        </w:rPr>
        <w:t>Miyajima</w:t>
      </w:r>
      <w:proofErr w:type="spellEnd"/>
      <w:r>
        <w:rPr>
          <w:sz w:val="20"/>
          <w:szCs w:val="20"/>
          <w:lang w:val="en-US"/>
        </w:rPr>
        <w:t xml:space="preserve">, F., </w:t>
      </w:r>
      <w:proofErr w:type="spellStart"/>
      <w:r>
        <w:rPr>
          <w:sz w:val="20"/>
          <w:szCs w:val="20"/>
          <w:lang w:val="en-US"/>
        </w:rPr>
        <w:t>Klenova</w:t>
      </w:r>
      <w:proofErr w:type="spellEnd"/>
      <w:r>
        <w:rPr>
          <w:sz w:val="20"/>
          <w:szCs w:val="20"/>
          <w:lang w:val="en-US"/>
        </w:rPr>
        <w:t xml:space="preserve">, E., </w:t>
      </w:r>
      <w:proofErr w:type="spellStart"/>
      <w:r>
        <w:rPr>
          <w:sz w:val="20"/>
          <w:szCs w:val="20"/>
          <w:lang w:val="en-US"/>
        </w:rPr>
        <w:t>Bubb</w:t>
      </w:r>
      <w:proofErr w:type="spellEnd"/>
      <w:r>
        <w:rPr>
          <w:sz w:val="20"/>
          <w:szCs w:val="20"/>
          <w:lang w:val="en-US"/>
        </w:rPr>
        <w:t xml:space="preserve">, V.J., Quinn, J.P., 2010. Combinatorial interaction between two human serotonin transporter gene variable number tandem repeats and their regulation by CTCF. J. </w:t>
      </w:r>
      <w:proofErr w:type="spellStart"/>
      <w:r>
        <w:rPr>
          <w:sz w:val="20"/>
          <w:szCs w:val="20"/>
          <w:lang w:val="en-US"/>
        </w:rPr>
        <w:t>Neurochem</w:t>
      </w:r>
      <w:proofErr w:type="spellEnd"/>
      <w:r>
        <w:rPr>
          <w:sz w:val="20"/>
          <w:szCs w:val="20"/>
          <w:lang w:val="en-US"/>
        </w:rPr>
        <w:t xml:space="preserve">. </w:t>
      </w:r>
      <w:r w:rsidR="00352A2A" w:rsidRPr="00C54C8A">
        <w:rPr>
          <w:sz w:val="20"/>
          <w:szCs w:val="20"/>
        </w:rPr>
        <w:t>112, 296-306.</w:t>
      </w:r>
    </w:p>
    <w:p w:rsidR="00352A2A" w:rsidRPr="00B26E04" w:rsidRDefault="00352A2A" w:rsidP="00113B97">
      <w:pPr>
        <w:spacing w:after="120" w:line="480" w:lineRule="auto"/>
        <w:rPr>
          <w:sz w:val="20"/>
          <w:szCs w:val="20"/>
          <w:lang w:val="en-US"/>
        </w:rPr>
      </w:pPr>
      <w:proofErr w:type="spellStart"/>
      <w:r w:rsidRPr="00C54C8A">
        <w:rPr>
          <w:sz w:val="20"/>
          <w:szCs w:val="20"/>
        </w:rPr>
        <w:t>Aluja</w:t>
      </w:r>
      <w:proofErr w:type="spellEnd"/>
      <w:r w:rsidRPr="00C54C8A">
        <w:rPr>
          <w:sz w:val="20"/>
          <w:szCs w:val="20"/>
        </w:rPr>
        <w:t xml:space="preserve">, A., Garcia, L.F., </w:t>
      </w:r>
      <w:proofErr w:type="spellStart"/>
      <w:r w:rsidRPr="00C54C8A">
        <w:rPr>
          <w:sz w:val="20"/>
          <w:szCs w:val="20"/>
        </w:rPr>
        <w:t>Blanch</w:t>
      </w:r>
      <w:proofErr w:type="spellEnd"/>
      <w:r w:rsidRPr="00C54C8A">
        <w:rPr>
          <w:sz w:val="20"/>
          <w:szCs w:val="20"/>
        </w:rPr>
        <w:t xml:space="preserve">, A., De Lorenzo, D., </w:t>
      </w:r>
      <w:proofErr w:type="spellStart"/>
      <w:r w:rsidRPr="00C54C8A">
        <w:rPr>
          <w:sz w:val="20"/>
          <w:szCs w:val="20"/>
        </w:rPr>
        <w:t>Fibla</w:t>
      </w:r>
      <w:proofErr w:type="spellEnd"/>
      <w:r w:rsidRPr="00C54C8A">
        <w:rPr>
          <w:sz w:val="20"/>
          <w:szCs w:val="20"/>
        </w:rPr>
        <w:t xml:space="preserve">, J., 2009. </w:t>
      </w:r>
      <w:r w:rsidRPr="00B26E04">
        <w:rPr>
          <w:sz w:val="20"/>
          <w:szCs w:val="20"/>
          <w:lang w:val="en-US"/>
        </w:rPr>
        <w:t xml:space="preserve">Impulsive-disinhibited personality and serotonin </w:t>
      </w:r>
      <w:r w:rsidR="0096787B">
        <w:rPr>
          <w:sz w:val="20"/>
          <w:szCs w:val="20"/>
          <w:lang w:val="en-US"/>
        </w:rPr>
        <w:t xml:space="preserve">transporter gene polymorphisms: association study in an inmate's sample. J. </w:t>
      </w:r>
      <w:proofErr w:type="spellStart"/>
      <w:r w:rsidR="0096787B">
        <w:rPr>
          <w:sz w:val="20"/>
          <w:szCs w:val="20"/>
          <w:lang w:val="en-US"/>
        </w:rPr>
        <w:t>Psychiatr</w:t>
      </w:r>
      <w:proofErr w:type="spellEnd"/>
      <w:r w:rsidR="0096787B">
        <w:rPr>
          <w:sz w:val="20"/>
          <w:szCs w:val="20"/>
          <w:lang w:val="en-US"/>
        </w:rPr>
        <w:t>. Res. 43, 906-914.</w:t>
      </w:r>
    </w:p>
    <w:p w:rsidR="00352A2A" w:rsidRPr="00B26E04" w:rsidRDefault="0096787B" w:rsidP="00113B97">
      <w:pPr>
        <w:spacing w:after="120" w:line="480" w:lineRule="auto"/>
        <w:rPr>
          <w:sz w:val="20"/>
          <w:szCs w:val="20"/>
          <w:lang w:val="en-US"/>
        </w:rPr>
      </w:pPr>
      <w:proofErr w:type="spellStart"/>
      <w:r>
        <w:rPr>
          <w:sz w:val="20"/>
          <w:szCs w:val="20"/>
          <w:lang w:val="en-US"/>
        </w:rPr>
        <w:t>Anden</w:t>
      </w:r>
      <w:proofErr w:type="spellEnd"/>
      <w:r>
        <w:rPr>
          <w:sz w:val="20"/>
          <w:szCs w:val="20"/>
          <w:lang w:val="en-US"/>
        </w:rPr>
        <w:t xml:space="preserve">, N.E., Carlsson, A., </w:t>
      </w:r>
      <w:proofErr w:type="spellStart"/>
      <w:r>
        <w:rPr>
          <w:sz w:val="20"/>
          <w:szCs w:val="20"/>
          <w:lang w:val="en-US"/>
        </w:rPr>
        <w:t>Dahlstroem</w:t>
      </w:r>
      <w:proofErr w:type="spellEnd"/>
      <w:r>
        <w:rPr>
          <w:sz w:val="20"/>
          <w:szCs w:val="20"/>
          <w:lang w:val="en-US"/>
        </w:rPr>
        <w:t xml:space="preserve">, A., </w:t>
      </w:r>
      <w:proofErr w:type="spellStart"/>
      <w:r>
        <w:rPr>
          <w:sz w:val="20"/>
          <w:szCs w:val="20"/>
          <w:lang w:val="en-US"/>
        </w:rPr>
        <w:t>Fuxe</w:t>
      </w:r>
      <w:proofErr w:type="spellEnd"/>
      <w:r>
        <w:rPr>
          <w:sz w:val="20"/>
          <w:szCs w:val="20"/>
          <w:lang w:val="en-US"/>
        </w:rPr>
        <w:t xml:space="preserve">, K., </w:t>
      </w:r>
      <w:proofErr w:type="spellStart"/>
      <w:r>
        <w:rPr>
          <w:sz w:val="20"/>
          <w:szCs w:val="20"/>
          <w:lang w:val="en-US"/>
        </w:rPr>
        <w:t>Hillarp</w:t>
      </w:r>
      <w:proofErr w:type="spellEnd"/>
      <w:r>
        <w:rPr>
          <w:sz w:val="20"/>
          <w:szCs w:val="20"/>
          <w:lang w:val="en-US"/>
        </w:rPr>
        <w:t xml:space="preserve">, N.A., Larsson, K., 1964. Demonstration and mapping out of </w:t>
      </w:r>
      <w:proofErr w:type="spellStart"/>
      <w:r>
        <w:rPr>
          <w:sz w:val="20"/>
          <w:szCs w:val="20"/>
          <w:lang w:val="en-US"/>
        </w:rPr>
        <w:t>nigro-neostriatal</w:t>
      </w:r>
      <w:proofErr w:type="spellEnd"/>
      <w:r>
        <w:rPr>
          <w:sz w:val="20"/>
          <w:szCs w:val="20"/>
          <w:lang w:val="en-US"/>
        </w:rPr>
        <w:t xml:space="preserve"> dopamine neurons. Life Sci. 3, 523-530.</w:t>
      </w:r>
    </w:p>
    <w:p w:rsidR="00352A2A" w:rsidRPr="00B26E04" w:rsidRDefault="0096787B" w:rsidP="00113B97">
      <w:pPr>
        <w:spacing w:after="120" w:line="480" w:lineRule="auto"/>
        <w:rPr>
          <w:sz w:val="20"/>
          <w:szCs w:val="20"/>
          <w:lang w:val="en-US"/>
        </w:rPr>
      </w:pPr>
      <w:r>
        <w:rPr>
          <w:sz w:val="20"/>
          <w:szCs w:val="20"/>
          <w:lang w:val="en-US"/>
        </w:rPr>
        <w:t xml:space="preserve">Anderson, S.W., Bechara, A., Damasio, H., </w:t>
      </w:r>
      <w:proofErr w:type="spellStart"/>
      <w:r>
        <w:rPr>
          <w:sz w:val="20"/>
          <w:szCs w:val="20"/>
          <w:lang w:val="en-US"/>
        </w:rPr>
        <w:t>Tranel</w:t>
      </w:r>
      <w:proofErr w:type="spellEnd"/>
      <w:r>
        <w:rPr>
          <w:sz w:val="20"/>
          <w:szCs w:val="20"/>
          <w:lang w:val="en-US"/>
        </w:rPr>
        <w:t xml:space="preserve">, D., Damasio, A.R., 1999. Impairment of social and moral behavior related to early damage in human prefrontal cortex. Nat. </w:t>
      </w:r>
      <w:proofErr w:type="spellStart"/>
      <w:r>
        <w:rPr>
          <w:sz w:val="20"/>
          <w:szCs w:val="20"/>
          <w:lang w:val="en-US"/>
        </w:rPr>
        <w:t>Neurosci</w:t>
      </w:r>
      <w:proofErr w:type="spellEnd"/>
      <w:r>
        <w:rPr>
          <w:sz w:val="20"/>
          <w:szCs w:val="20"/>
          <w:lang w:val="en-US"/>
        </w:rPr>
        <w:t>. 2, 1032-1037.</w:t>
      </w:r>
    </w:p>
    <w:p w:rsidR="00352A2A" w:rsidRPr="00B26E04" w:rsidRDefault="0096787B" w:rsidP="00113B97">
      <w:pPr>
        <w:spacing w:after="120" w:line="480" w:lineRule="auto"/>
        <w:rPr>
          <w:sz w:val="20"/>
          <w:szCs w:val="20"/>
          <w:lang w:val="en-US"/>
        </w:rPr>
      </w:pPr>
      <w:proofErr w:type="spellStart"/>
      <w:r>
        <w:rPr>
          <w:sz w:val="20"/>
          <w:szCs w:val="20"/>
          <w:lang w:val="en-US"/>
        </w:rPr>
        <w:t>Aprison</w:t>
      </w:r>
      <w:proofErr w:type="spellEnd"/>
      <w:r>
        <w:rPr>
          <w:sz w:val="20"/>
          <w:szCs w:val="20"/>
          <w:lang w:val="en-US"/>
        </w:rPr>
        <w:t xml:space="preserve">, M.H., </w:t>
      </w:r>
      <w:proofErr w:type="spellStart"/>
      <w:r>
        <w:rPr>
          <w:sz w:val="20"/>
          <w:szCs w:val="20"/>
          <w:lang w:val="en-US"/>
        </w:rPr>
        <w:t>Ferster</w:t>
      </w:r>
      <w:proofErr w:type="spellEnd"/>
      <w:r>
        <w:rPr>
          <w:sz w:val="20"/>
          <w:szCs w:val="20"/>
          <w:lang w:val="en-US"/>
        </w:rPr>
        <w:t xml:space="preserve">, C.B., 1961. Neurochemical correlates of behavior II. Correlation of brain monoamine oxidase activity with behavioural changes after iproniazid and 5-hydroxytryptophan administration. J. </w:t>
      </w:r>
      <w:proofErr w:type="spellStart"/>
      <w:r>
        <w:rPr>
          <w:sz w:val="20"/>
          <w:szCs w:val="20"/>
          <w:lang w:val="en-US"/>
        </w:rPr>
        <w:t>Neurochem</w:t>
      </w:r>
      <w:proofErr w:type="spellEnd"/>
      <w:r>
        <w:rPr>
          <w:sz w:val="20"/>
          <w:szCs w:val="20"/>
          <w:lang w:val="en-US"/>
        </w:rPr>
        <w:t>. 6, 350-357.</w:t>
      </w:r>
    </w:p>
    <w:p w:rsidR="00352A2A" w:rsidRPr="00B26E04" w:rsidRDefault="0096787B" w:rsidP="00113B97">
      <w:pPr>
        <w:spacing w:after="120" w:line="480" w:lineRule="auto"/>
        <w:rPr>
          <w:sz w:val="20"/>
          <w:szCs w:val="20"/>
          <w:lang w:val="en-US"/>
        </w:rPr>
      </w:pPr>
      <w:proofErr w:type="spellStart"/>
      <w:r>
        <w:rPr>
          <w:sz w:val="20"/>
          <w:szCs w:val="20"/>
          <w:lang w:val="en-US"/>
        </w:rPr>
        <w:t>Asghari</w:t>
      </w:r>
      <w:proofErr w:type="spellEnd"/>
      <w:r>
        <w:rPr>
          <w:sz w:val="20"/>
          <w:szCs w:val="20"/>
          <w:lang w:val="en-US"/>
        </w:rPr>
        <w:t xml:space="preserve">, V., </w:t>
      </w:r>
      <w:proofErr w:type="spellStart"/>
      <w:r>
        <w:rPr>
          <w:sz w:val="20"/>
          <w:szCs w:val="20"/>
          <w:lang w:val="en-US"/>
        </w:rPr>
        <w:t>Schoots</w:t>
      </w:r>
      <w:proofErr w:type="spellEnd"/>
      <w:r>
        <w:rPr>
          <w:sz w:val="20"/>
          <w:szCs w:val="20"/>
          <w:lang w:val="en-US"/>
        </w:rPr>
        <w:t xml:space="preserve">, O., van Kats, S., Ohara, K., Jovanovic, V., Guan, H.C., </w:t>
      </w:r>
      <w:proofErr w:type="spellStart"/>
      <w:r>
        <w:rPr>
          <w:sz w:val="20"/>
          <w:szCs w:val="20"/>
          <w:lang w:val="en-US"/>
        </w:rPr>
        <w:t>Bunzow</w:t>
      </w:r>
      <w:proofErr w:type="spellEnd"/>
      <w:r>
        <w:rPr>
          <w:sz w:val="20"/>
          <w:szCs w:val="20"/>
          <w:lang w:val="en-US"/>
        </w:rPr>
        <w:t xml:space="preserve">, J.R., </w:t>
      </w:r>
      <w:proofErr w:type="spellStart"/>
      <w:r>
        <w:rPr>
          <w:sz w:val="20"/>
          <w:szCs w:val="20"/>
          <w:lang w:val="en-US"/>
        </w:rPr>
        <w:t>Petronis</w:t>
      </w:r>
      <w:proofErr w:type="spellEnd"/>
      <w:r>
        <w:rPr>
          <w:sz w:val="20"/>
          <w:szCs w:val="20"/>
          <w:lang w:val="en-US"/>
        </w:rPr>
        <w:t xml:space="preserve">, A., Van Tol, H.H., 1994. Dopamine D4 receptor repeat: analysis of different native and mutant forms of the human and rat genes. Mol. </w:t>
      </w:r>
      <w:proofErr w:type="spellStart"/>
      <w:r>
        <w:rPr>
          <w:sz w:val="20"/>
          <w:szCs w:val="20"/>
          <w:lang w:val="en-US"/>
        </w:rPr>
        <w:t>Pharmacol</w:t>
      </w:r>
      <w:proofErr w:type="spellEnd"/>
      <w:r>
        <w:rPr>
          <w:sz w:val="20"/>
          <w:szCs w:val="20"/>
          <w:lang w:val="en-US"/>
        </w:rPr>
        <w:t>. 46, 364-373.</w:t>
      </w:r>
    </w:p>
    <w:p w:rsidR="00352A2A" w:rsidRPr="00B26E04" w:rsidRDefault="0096787B" w:rsidP="00113B97">
      <w:pPr>
        <w:spacing w:after="120" w:line="480" w:lineRule="auto"/>
        <w:rPr>
          <w:sz w:val="20"/>
          <w:szCs w:val="20"/>
          <w:lang w:val="en-US"/>
        </w:rPr>
      </w:pPr>
      <w:proofErr w:type="spellStart"/>
      <w:r>
        <w:rPr>
          <w:sz w:val="20"/>
          <w:szCs w:val="20"/>
          <w:lang w:val="en-US"/>
        </w:rPr>
        <w:lastRenderedPageBreak/>
        <w:t>Asghari</w:t>
      </w:r>
      <w:proofErr w:type="spellEnd"/>
      <w:r>
        <w:rPr>
          <w:sz w:val="20"/>
          <w:szCs w:val="20"/>
          <w:lang w:val="en-US"/>
        </w:rPr>
        <w:t xml:space="preserve">, V., </w:t>
      </w:r>
      <w:proofErr w:type="spellStart"/>
      <w:r>
        <w:rPr>
          <w:sz w:val="20"/>
          <w:szCs w:val="20"/>
          <w:lang w:val="en-US"/>
        </w:rPr>
        <w:t>Sanyal</w:t>
      </w:r>
      <w:proofErr w:type="spellEnd"/>
      <w:r>
        <w:rPr>
          <w:sz w:val="20"/>
          <w:szCs w:val="20"/>
          <w:lang w:val="en-US"/>
        </w:rPr>
        <w:t xml:space="preserve">, S., </w:t>
      </w:r>
      <w:proofErr w:type="spellStart"/>
      <w:r>
        <w:rPr>
          <w:sz w:val="20"/>
          <w:szCs w:val="20"/>
          <w:lang w:val="en-US"/>
        </w:rPr>
        <w:t>Buchwaldt</w:t>
      </w:r>
      <w:proofErr w:type="spellEnd"/>
      <w:r>
        <w:rPr>
          <w:sz w:val="20"/>
          <w:szCs w:val="20"/>
          <w:lang w:val="en-US"/>
        </w:rPr>
        <w:t xml:space="preserve">, S., Paterson, A., Jovanovic, V., Van Tol, H.H., 1995. Modulation of intracellular cyclic AMP levels by different human dopamine D4 receptor variants. </w:t>
      </w:r>
      <w:r w:rsidR="00352A2A" w:rsidRPr="00B26E04">
        <w:rPr>
          <w:sz w:val="20"/>
          <w:szCs w:val="20"/>
          <w:lang w:val="en-US"/>
        </w:rPr>
        <w:t>J</w:t>
      </w:r>
      <w:r w:rsidR="00567177" w:rsidRPr="00B26E04">
        <w:rPr>
          <w:sz w:val="20"/>
          <w:szCs w:val="20"/>
          <w:lang w:val="en-US"/>
        </w:rPr>
        <w:t>.</w:t>
      </w:r>
      <w:r w:rsidR="00352A2A" w:rsidRPr="00B26E04">
        <w:rPr>
          <w:sz w:val="20"/>
          <w:szCs w:val="20"/>
          <w:lang w:val="en-US"/>
        </w:rPr>
        <w:t xml:space="preserve"> </w:t>
      </w:r>
      <w:proofErr w:type="spellStart"/>
      <w:r w:rsidR="00352A2A" w:rsidRPr="00B26E04">
        <w:rPr>
          <w:sz w:val="20"/>
          <w:szCs w:val="20"/>
          <w:lang w:val="en-US"/>
        </w:rPr>
        <w:t>Neurochem</w:t>
      </w:r>
      <w:proofErr w:type="spellEnd"/>
      <w:r w:rsidR="00567177" w:rsidRPr="00B26E04">
        <w:rPr>
          <w:sz w:val="20"/>
          <w:szCs w:val="20"/>
          <w:lang w:val="en-US"/>
        </w:rPr>
        <w:t>.</w:t>
      </w:r>
      <w:r w:rsidR="00352A2A" w:rsidRPr="00B26E04">
        <w:rPr>
          <w:sz w:val="20"/>
          <w:szCs w:val="20"/>
          <w:lang w:val="en-US"/>
        </w:rPr>
        <w:t xml:space="preserve"> 65, 1157-1165.</w:t>
      </w:r>
    </w:p>
    <w:p w:rsidR="00205932" w:rsidRPr="00B26E04" w:rsidRDefault="00205932" w:rsidP="00205932">
      <w:pPr>
        <w:spacing w:after="120" w:line="480" w:lineRule="auto"/>
        <w:rPr>
          <w:sz w:val="20"/>
          <w:szCs w:val="20"/>
          <w:lang w:val="en-US"/>
        </w:rPr>
      </w:pPr>
      <w:proofErr w:type="spellStart"/>
      <w:r w:rsidRPr="00B26E04">
        <w:rPr>
          <w:sz w:val="20"/>
          <w:szCs w:val="20"/>
          <w:lang w:val="en-US"/>
        </w:rPr>
        <w:t>Asherson</w:t>
      </w:r>
      <w:proofErr w:type="spellEnd"/>
      <w:r w:rsidRPr="00B26E04">
        <w:rPr>
          <w:sz w:val="20"/>
          <w:szCs w:val="20"/>
          <w:lang w:val="en-US"/>
        </w:rPr>
        <w:t xml:space="preserve">, P., </w:t>
      </w:r>
      <w:proofErr w:type="spellStart"/>
      <w:r w:rsidRPr="00B26E04">
        <w:rPr>
          <w:sz w:val="20"/>
          <w:szCs w:val="20"/>
          <w:lang w:val="en-US"/>
        </w:rPr>
        <w:t>Cormand</w:t>
      </w:r>
      <w:proofErr w:type="spellEnd"/>
      <w:r w:rsidRPr="00B26E04">
        <w:rPr>
          <w:sz w:val="20"/>
          <w:szCs w:val="20"/>
          <w:lang w:val="en-US"/>
        </w:rPr>
        <w:t>, B.</w:t>
      </w:r>
      <w:r w:rsidR="005321F0" w:rsidRPr="00B26E04">
        <w:rPr>
          <w:sz w:val="20"/>
          <w:szCs w:val="20"/>
          <w:lang w:val="en-US"/>
        </w:rPr>
        <w:t>,</w:t>
      </w:r>
      <w:r w:rsidRPr="00B26E04">
        <w:rPr>
          <w:sz w:val="20"/>
          <w:szCs w:val="20"/>
          <w:lang w:val="en-US"/>
        </w:rPr>
        <w:t xml:space="preserve"> 2016. The genetics of aggression: Where are we now? Am. J. Med. Genet. B </w:t>
      </w:r>
      <w:proofErr w:type="spellStart"/>
      <w:r w:rsidRPr="00B26E04">
        <w:rPr>
          <w:sz w:val="20"/>
          <w:szCs w:val="20"/>
          <w:lang w:val="en-US"/>
        </w:rPr>
        <w:t>Neuropsychiatr</w:t>
      </w:r>
      <w:proofErr w:type="spellEnd"/>
      <w:r w:rsidRPr="00B26E04">
        <w:rPr>
          <w:sz w:val="20"/>
          <w:szCs w:val="20"/>
          <w:lang w:val="en-US"/>
        </w:rPr>
        <w:t xml:space="preserve">. Genet. </w:t>
      </w:r>
      <w:r w:rsidR="00A42A6D" w:rsidRPr="00B26E04">
        <w:rPr>
          <w:sz w:val="20"/>
          <w:szCs w:val="20"/>
          <w:lang w:val="en-US"/>
        </w:rPr>
        <w:t xml:space="preserve">171, </w:t>
      </w:r>
      <w:r w:rsidRPr="00B26E04">
        <w:rPr>
          <w:sz w:val="20"/>
          <w:szCs w:val="20"/>
          <w:lang w:val="en-US"/>
        </w:rPr>
        <w:t>559-</w:t>
      </w:r>
      <w:r w:rsidR="00A42A6D" w:rsidRPr="00B26E04">
        <w:rPr>
          <w:sz w:val="20"/>
          <w:szCs w:val="20"/>
          <w:lang w:val="en-US"/>
        </w:rPr>
        <w:t>5</w:t>
      </w:r>
      <w:r w:rsidRPr="00B26E04">
        <w:rPr>
          <w:sz w:val="20"/>
          <w:szCs w:val="20"/>
          <w:lang w:val="en-US"/>
        </w:rPr>
        <w:t>61.</w:t>
      </w:r>
    </w:p>
    <w:p w:rsidR="00352A2A" w:rsidRPr="00B26E04" w:rsidRDefault="00352A2A" w:rsidP="00205932">
      <w:pPr>
        <w:spacing w:after="120" w:line="480" w:lineRule="auto"/>
        <w:rPr>
          <w:sz w:val="20"/>
          <w:szCs w:val="20"/>
          <w:lang w:val="en-US"/>
        </w:rPr>
      </w:pPr>
      <w:proofErr w:type="spellStart"/>
      <w:r w:rsidRPr="00B26E04">
        <w:rPr>
          <w:sz w:val="20"/>
          <w:szCs w:val="20"/>
          <w:lang w:val="en-US"/>
        </w:rPr>
        <w:t>Audero</w:t>
      </w:r>
      <w:proofErr w:type="spellEnd"/>
      <w:r w:rsidRPr="00B26E04">
        <w:rPr>
          <w:sz w:val="20"/>
          <w:szCs w:val="20"/>
          <w:lang w:val="en-US"/>
        </w:rPr>
        <w:t xml:space="preserve">, E., </w:t>
      </w:r>
      <w:proofErr w:type="spellStart"/>
      <w:r w:rsidRPr="00B26E04">
        <w:rPr>
          <w:sz w:val="20"/>
          <w:szCs w:val="20"/>
          <w:lang w:val="en-US"/>
        </w:rPr>
        <w:t>Mlinar</w:t>
      </w:r>
      <w:proofErr w:type="spellEnd"/>
      <w:r w:rsidRPr="00B26E04">
        <w:rPr>
          <w:sz w:val="20"/>
          <w:szCs w:val="20"/>
          <w:lang w:val="en-US"/>
        </w:rPr>
        <w:t xml:space="preserve">, B., </w:t>
      </w:r>
      <w:proofErr w:type="spellStart"/>
      <w:r w:rsidRPr="00B26E04">
        <w:rPr>
          <w:sz w:val="20"/>
          <w:szCs w:val="20"/>
          <w:lang w:val="en-US"/>
        </w:rPr>
        <w:t>Baccini</w:t>
      </w:r>
      <w:proofErr w:type="spellEnd"/>
      <w:r w:rsidRPr="00B26E04">
        <w:rPr>
          <w:sz w:val="20"/>
          <w:szCs w:val="20"/>
          <w:lang w:val="en-US"/>
        </w:rPr>
        <w:t xml:space="preserve">, G., </w:t>
      </w:r>
      <w:proofErr w:type="spellStart"/>
      <w:r w:rsidRPr="00B26E04">
        <w:rPr>
          <w:sz w:val="20"/>
          <w:szCs w:val="20"/>
          <w:lang w:val="en-US"/>
        </w:rPr>
        <w:t>Skachokova</w:t>
      </w:r>
      <w:proofErr w:type="spellEnd"/>
      <w:r w:rsidRPr="00B26E04">
        <w:rPr>
          <w:sz w:val="20"/>
          <w:szCs w:val="20"/>
          <w:lang w:val="en-US"/>
        </w:rPr>
        <w:t xml:space="preserve">, Z.K., </w:t>
      </w:r>
      <w:proofErr w:type="spellStart"/>
      <w:r w:rsidRPr="00B26E04">
        <w:rPr>
          <w:sz w:val="20"/>
          <w:szCs w:val="20"/>
          <w:lang w:val="en-US"/>
        </w:rPr>
        <w:t>Corradetti</w:t>
      </w:r>
      <w:proofErr w:type="spellEnd"/>
      <w:r w:rsidRPr="00B26E04">
        <w:rPr>
          <w:sz w:val="20"/>
          <w:szCs w:val="20"/>
          <w:lang w:val="en-US"/>
        </w:rPr>
        <w:t>, R., Gross, C., 2013. Suppression of serotonin neuron firing increases aggression in mice. J</w:t>
      </w:r>
      <w:r w:rsidR="0096787B">
        <w:rPr>
          <w:sz w:val="20"/>
          <w:szCs w:val="20"/>
          <w:lang w:val="en-US"/>
        </w:rPr>
        <w:t xml:space="preserve">. </w:t>
      </w:r>
      <w:proofErr w:type="spellStart"/>
      <w:r w:rsidR="0096787B">
        <w:rPr>
          <w:sz w:val="20"/>
          <w:szCs w:val="20"/>
          <w:lang w:val="en-US"/>
        </w:rPr>
        <w:t>Neurosci</w:t>
      </w:r>
      <w:proofErr w:type="spellEnd"/>
      <w:r w:rsidR="0096787B">
        <w:rPr>
          <w:sz w:val="20"/>
          <w:szCs w:val="20"/>
          <w:lang w:val="en-US"/>
        </w:rPr>
        <w:t>. 33, 8678-8688.</w:t>
      </w:r>
    </w:p>
    <w:p w:rsidR="00352A2A" w:rsidRPr="00B26E04" w:rsidRDefault="0096787B" w:rsidP="00113B97">
      <w:pPr>
        <w:spacing w:after="120" w:line="480" w:lineRule="auto"/>
        <w:rPr>
          <w:sz w:val="20"/>
          <w:szCs w:val="20"/>
          <w:lang w:val="en-US"/>
        </w:rPr>
      </w:pPr>
      <w:r>
        <w:rPr>
          <w:sz w:val="20"/>
          <w:szCs w:val="20"/>
          <w:lang w:val="en-US"/>
        </w:rPr>
        <w:t>Augustine, J.R., 1985. The insular lobe in primates including humans. Neurol. Res. 7, 2-10.</w:t>
      </w:r>
    </w:p>
    <w:p w:rsidR="00352A2A" w:rsidRPr="00B26E04" w:rsidRDefault="0096787B" w:rsidP="00113B97">
      <w:pPr>
        <w:spacing w:after="120" w:line="480" w:lineRule="auto"/>
        <w:rPr>
          <w:sz w:val="20"/>
          <w:szCs w:val="20"/>
          <w:lang w:val="en-US"/>
        </w:rPr>
      </w:pPr>
      <w:r>
        <w:rPr>
          <w:sz w:val="20"/>
          <w:szCs w:val="20"/>
          <w:lang w:val="en-US"/>
        </w:rPr>
        <w:t>Augustine, J.R., 1996. Circuitry and functional aspects of the insular lobe in primates including humans. Brain Res. Brain Res. Rev. 22, 229-244.</w:t>
      </w:r>
    </w:p>
    <w:p w:rsidR="00352A2A" w:rsidRPr="00B26E04" w:rsidRDefault="0096787B" w:rsidP="00113B97">
      <w:pPr>
        <w:spacing w:after="120" w:line="480" w:lineRule="auto"/>
        <w:rPr>
          <w:sz w:val="20"/>
          <w:szCs w:val="20"/>
          <w:lang w:val="en-US"/>
        </w:rPr>
      </w:pPr>
      <w:proofErr w:type="spellStart"/>
      <w:r>
        <w:rPr>
          <w:sz w:val="20"/>
          <w:szCs w:val="20"/>
          <w:lang w:val="en-US"/>
        </w:rPr>
        <w:t>Azmitia</w:t>
      </w:r>
      <w:proofErr w:type="spellEnd"/>
      <w:r>
        <w:rPr>
          <w:sz w:val="20"/>
          <w:szCs w:val="20"/>
          <w:lang w:val="en-US"/>
        </w:rPr>
        <w:t>, E.C., Whitaker-</w:t>
      </w:r>
      <w:proofErr w:type="spellStart"/>
      <w:r>
        <w:rPr>
          <w:sz w:val="20"/>
          <w:szCs w:val="20"/>
          <w:lang w:val="en-US"/>
        </w:rPr>
        <w:t>Azmitia</w:t>
      </w:r>
      <w:proofErr w:type="spellEnd"/>
      <w:r>
        <w:rPr>
          <w:sz w:val="20"/>
          <w:szCs w:val="20"/>
          <w:lang w:val="en-US"/>
        </w:rPr>
        <w:t>, P.M., 1991. Awakening the sleeping giant: anatomy and plasticity of the brain serotonergic system. J. Clin. Psychiatry 52, Suppl., 4-16.</w:t>
      </w:r>
    </w:p>
    <w:p w:rsidR="00D00953" w:rsidRPr="00C54C8A" w:rsidRDefault="0096787B" w:rsidP="00113B97">
      <w:pPr>
        <w:spacing w:after="120" w:line="480" w:lineRule="auto"/>
        <w:rPr>
          <w:sz w:val="20"/>
          <w:szCs w:val="20"/>
        </w:rPr>
      </w:pPr>
      <w:r>
        <w:rPr>
          <w:sz w:val="20"/>
          <w:szCs w:val="20"/>
          <w:lang w:val="en-US"/>
        </w:rPr>
        <w:t xml:space="preserve">Bada, H.S., Das, A., Bauer, C.R., </w:t>
      </w:r>
      <w:proofErr w:type="spellStart"/>
      <w:r>
        <w:rPr>
          <w:sz w:val="20"/>
          <w:szCs w:val="20"/>
          <w:lang w:val="en-US"/>
        </w:rPr>
        <w:t>Shankaran</w:t>
      </w:r>
      <w:proofErr w:type="spellEnd"/>
      <w:r>
        <w:rPr>
          <w:sz w:val="20"/>
          <w:szCs w:val="20"/>
          <w:lang w:val="en-US"/>
        </w:rPr>
        <w:t xml:space="preserve">, S., Lester, B., </w:t>
      </w:r>
      <w:proofErr w:type="spellStart"/>
      <w:r>
        <w:rPr>
          <w:sz w:val="20"/>
          <w:szCs w:val="20"/>
          <w:lang w:val="en-US"/>
        </w:rPr>
        <w:t>LaGasse</w:t>
      </w:r>
      <w:proofErr w:type="spellEnd"/>
      <w:r>
        <w:rPr>
          <w:sz w:val="20"/>
          <w:szCs w:val="20"/>
          <w:lang w:val="en-US"/>
        </w:rPr>
        <w:t xml:space="preserve">, L., Hammond, J., Wright, L.L., Higgins, R., 2007. Impact of prenatal cocaine exposure on child behavior problems through school age. </w:t>
      </w:r>
      <w:proofErr w:type="spellStart"/>
      <w:r w:rsidRPr="00C54C8A">
        <w:rPr>
          <w:sz w:val="20"/>
          <w:szCs w:val="20"/>
        </w:rPr>
        <w:t>Pediatrics</w:t>
      </w:r>
      <w:proofErr w:type="spellEnd"/>
      <w:r w:rsidRPr="00C54C8A">
        <w:rPr>
          <w:sz w:val="20"/>
          <w:szCs w:val="20"/>
        </w:rPr>
        <w:t xml:space="preserve"> 119, e348-359.</w:t>
      </w:r>
    </w:p>
    <w:p w:rsidR="00352A2A" w:rsidRPr="00B26E04" w:rsidRDefault="0096787B" w:rsidP="00113B97">
      <w:pPr>
        <w:spacing w:after="120" w:line="480" w:lineRule="auto"/>
        <w:rPr>
          <w:sz w:val="20"/>
          <w:szCs w:val="20"/>
          <w:lang w:val="en-US"/>
        </w:rPr>
      </w:pPr>
      <w:r w:rsidRPr="00C54C8A">
        <w:rPr>
          <w:sz w:val="20"/>
          <w:szCs w:val="20"/>
        </w:rPr>
        <w:t xml:space="preserve">Bailey, C.J., </w:t>
      </w:r>
      <w:proofErr w:type="spellStart"/>
      <w:r w:rsidRPr="00C54C8A">
        <w:rPr>
          <w:sz w:val="20"/>
          <w:szCs w:val="20"/>
        </w:rPr>
        <w:t>Karhu</w:t>
      </w:r>
      <w:proofErr w:type="spellEnd"/>
      <w:r w:rsidRPr="00C54C8A">
        <w:rPr>
          <w:sz w:val="20"/>
          <w:szCs w:val="20"/>
        </w:rPr>
        <w:t xml:space="preserve">, J., </w:t>
      </w:r>
      <w:proofErr w:type="spellStart"/>
      <w:r w:rsidRPr="00C54C8A">
        <w:rPr>
          <w:sz w:val="20"/>
          <w:szCs w:val="20"/>
        </w:rPr>
        <w:t>Ilmoniemi</w:t>
      </w:r>
      <w:proofErr w:type="spellEnd"/>
      <w:r w:rsidRPr="00C54C8A">
        <w:rPr>
          <w:sz w:val="20"/>
          <w:szCs w:val="20"/>
        </w:rPr>
        <w:t xml:space="preserve">, R.J., 2001. </w:t>
      </w:r>
      <w:r>
        <w:rPr>
          <w:sz w:val="20"/>
          <w:szCs w:val="20"/>
          <w:lang w:val="en-US"/>
        </w:rPr>
        <w:t>Transcranial magnetic stimulation as a tool for cognitive studies. Scand. J. Psychol. 42, 297-305.</w:t>
      </w:r>
    </w:p>
    <w:p w:rsidR="00420B76" w:rsidRPr="00B26E04" w:rsidRDefault="0096787B" w:rsidP="00113B97">
      <w:pPr>
        <w:spacing w:after="120" w:line="480" w:lineRule="auto"/>
        <w:rPr>
          <w:sz w:val="20"/>
          <w:szCs w:val="20"/>
          <w:lang w:val="en-US"/>
        </w:rPr>
      </w:pPr>
      <w:r>
        <w:rPr>
          <w:sz w:val="20"/>
          <w:szCs w:val="20"/>
          <w:lang w:val="en-US"/>
        </w:rPr>
        <w:t xml:space="preserve">Baker, K.G., Halliday, G.M., </w:t>
      </w:r>
      <w:proofErr w:type="spellStart"/>
      <w:r>
        <w:rPr>
          <w:sz w:val="20"/>
          <w:szCs w:val="20"/>
          <w:lang w:val="en-US"/>
        </w:rPr>
        <w:t>Törk</w:t>
      </w:r>
      <w:proofErr w:type="spellEnd"/>
      <w:r>
        <w:rPr>
          <w:sz w:val="20"/>
          <w:szCs w:val="20"/>
          <w:lang w:val="en-US"/>
        </w:rPr>
        <w:t>, I., 1990. Cytoarchitecture of the human dorsal raphe nucleus. J. Comp. Neurol. 301, 147-161.</w:t>
      </w:r>
    </w:p>
    <w:p w:rsidR="00420B76" w:rsidRPr="00B26E04" w:rsidRDefault="0096787B" w:rsidP="00113B97">
      <w:pPr>
        <w:spacing w:after="120" w:line="480" w:lineRule="auto"/>
        <w:rPr>
          <w:sz w:val="20"/>
          <w:szCs w:val="20"/>
          <w:lang w:val="en-US"/>
        </w:rPr>
      </w:pPr>
      <w:r>
        <w:rPr>
          <w:sz w:val="20"/>
          <w:szCs w:val="20"/>
          <w:lang w:val="en-US"/>
        </w:rPr>
        <w:t xml:space="preserve">Baker, K.G., Halliday, G.M., </w:t>
      </w:r>
      <w:proofErr w:type="spellStart"/>
      <w:r>
        <w:rPr>
          <w:sz w:val="20"/>
          <w:szCs w:val="20"/>
          <w:lang w:val="en-US"/>
        </w:rPr>
        <w:t>Halasz</w:t>
      </w:r>
      <w:proofErr w:type="spellEnd"/>
      <w:r>
        <w:rPr>
          <w:sz w:val="20"/>
          <w:szCs w:val="20"/>
          <w:lang w:val="en-US"/>
        </w:rPr>
        <w:t xml:space="preserve">, P., Hornung, J.P., Geffen, L.B., Cotton, R.G., </w:t>
      </w:r>
      <w:proofErr w:type="spellStart"/>
      <w:r>
        <w:rPr>
          <w:sz w:val="20"/>
          <w:szCs w:val="20"/>
          <w:lang w:val="en-US"/>
        </w:rPr>
        <w:t>Törk</w:t>
      </w:r>
      <w:proofErr w:type="spellEnd"/>
      <w:r>
        <w:rPr>
          <w:sz w:val="20"/>
          <w:szCs w:val="20"/>
          <w:lang w:val="en-US"/>
        </w:rPr>
        <w:t>, I., 1991. Cytoarchitecture of serotonin-synthesizing neurons in the pontine tegmentum of the human brain. Synapse 7, 301-320.</w:t>
      </w:r>
    </w:p>
    <w:p w:rsidR="00352A2A" w:rsidRPr="00B26E04" w:rsidRDefault="0096787B" w:rsidP="00113B97">
      <w:pPr>
        <w:spacing w:after="120" w:line="480" w:lineRule="auto"/>
        <w:rPr>
          <w:sz w:val="20"/>
          <w:szCs w:val="20"/>
          <w:lang w:val="en-US"/>
        </w:rPr>
      </w:pPr>
      <w:r>
        <w:rPr>
          <w:sz w:val="20"/>
          <w:szCs w:val="20"/>
          <w:lang w:val="en-US"/>
        </w:rPr>
        <w:t xml:space="preserve">Ballard, C., Corbett, A., 2013. Agitation and aggression in people with Alzheimer's disease. </w:t>
      </w:r>
      <w:proofErr w:type="spellStart"/>
      <w:r>
        <w:rPr>
          <w:sz w:val="20"/>
          <w:szCs w:val="20"/>
          <w:lang w:val="en-US"/>
        </w:rPr>
        <w:t>Curr</w:t>
      </w:r>
      <w:proofErr w:type="spellEnd"/>
      <w:r>
        <w:rPr>
          <w:sz w:val="20"/>
          <w:szCs w:val="20"/>
          <w:lang w:val="en-US"/>
        </w:rPr>
        <w:t xml:space="preserve">. </w:t>
      </w:r>
      <w:proofErr w:type="spellStart"/>
      <w:r>
        <w:rPr>
          <w:sz w:val="20"/>
          <w:szCs w:val="20"/>
          <w:lang w:val="en-US"/>
        </w:rPr>
        <w:t>Opin</w:t>
      </w:r>
      <w:proofErr w:type="spellEnd"/>
      <w:r>
        <w:rPr>
          <w:sz w:val="20"/>
          <w:szCs w:val="20"/>
          <w:lang w:val="en-US"/>
        </w:rPr>
        <w:t xml:space="preserve">. Psychiatry 26, 252-259. </w:t>
      </w:r>
    </w:p>
    <w:p w:rsidR="00352A2A" w:rsidRPr="00C54C8A" w:rsidRDefault="0096787B" w:rsidP="00113B97">
      <w:pPr>
        <w:spacing w:after="120" w:line="480" w:lineRule="auto"/>
        <w:rPr>
          <w:sz w:val="20"/>
          <w:szCs w:val="20"/>
        </w:rPr>
      </w:pPr>
      <w:r>
        <w:rPr>
          <w:sz w:val="20"/>
          <w:szCs w:val="20"/>
          <w:lang w:val="en-US"/>
        </w:rPr>
        <w:t xml:space="preserve">Ballard, I.C., </w:t>
      </w:r>
      <w:proofErr w:type="spellStart"/>
      <w:r>
        <w:rPr>
          <w:sz w:val="20"/>
          <w:szCs w:val="20"/>
          <w:lang w:val="en-US"/>
        </w:rPr>
        <w:t>Murty</w:t>
      </w:r>
      <w:proofErr w:type="spellEnd"/>
      <w:r>
        <w:rPr>
          <w:sz w:val="20"/>
          <w:szCs w:val="20"/>
          <w:lang w:val="en-US"/>
        </w:rPr>
        <w:t xml:space="preserve">, V.P., Carter, R.M., MacInnes, J.J., </w:t>
      </w:r>
      <w:proofErr w:type="spellStart"/>
      <w:r>
        <w:rPr>
          <w:sz w:val="20"/>
          <w:szCs w:val="20"/>
          <w:lang w:val="en-US"/>
        </w:rPr>
        <w:t>Huettel</w:t>
      </w:r>
      <w:proofErr w:type="spellEnd"/>
      <w:r>
        <w:rPr>
          <w:sz w:val="20"/>
          <w:szCs w:val="20"/>
          <w:lang w:val="en-US"/>
        </w:rPr>
        <w:t xml:space="preserve">, S.A., Adcock, R.A., 2011. Dorsolateral prefrontal cortex drives mesolimbic dopaminergic regions to initiate motivated behavior. </w:t>
      </w:r>
      <w:r w:rsidRPr="00C54C8A">
        <w:rPr>
          <w:sz w:val="20"/>
          <w:szCs w:val="20"/>
        </w:rPr>
        <w:t xml:space="preserve">J. </w:t>
      </w:r>
      <w:proofErr w:type="spellStart"/>
      <w:r w:rsidRPr="00C54C8A">
        <w:rPr>
          <w:sz w:val="20"/>
          <w:szCs w:val="20"/>
        </w:rPr>
        <w:t>Neurosci</w:t>
      </w:r>
      <w:proofErr w:type="spellEnd"/>
      <w:r w:rsidRPr="00C54C8A">
        <w:rPr>
          <w:sz w:val="20"/>
          <w:szCs w:val="20"/>
        </w:rPr>
        <w:t>. 31, 10340-10346.</w:t>
      </w:r>
    </w:p>
    <w:p w:rsidR="00D04480" w:rsidRPr="00B26E04" w:rsidRDefault="0096787B" w:rsidP="00113B97">
      <w:pPr>
        <w:spacing w:after="120" w:line="480" w:lineRule="auto"/>
        <w:rPr>
          <w:sz w:val="20"/>
          <w:szCs w:val="20"/>
          <w:lang w:val="en-US"/>
        </w:rPr>
      </w:pPr>
      <w:proofErr w:type="spellStart"/>
      <w:r w:rsidRPr="00C54C8A">
        <w:rPr>
          <w:sz w:val="20"/>
          <w:szCs w:val="20"/>
        </w:rPr>
        <w:lastRenderedPageBreak/>
        <w:t>Bannon</w:t>
      </w:r>
      <w:proofErr w:type="spellEnd"/>
      <w:r w:rsidRPr="00C54C8A">
        <w:rPr>
          <w:sz w:val="20"/>
          <w:szCs w:val="20"/>
        </w:rPr>
        <w:t xml:space="preserve">, M.J., </w:t>
      </w:r>
      <w:proofErr w:type="spellStart"/>
      <w:r w:rsidRPr="00C54C8A">
        <w:rPr>
          <w:sz w:val="20"/>
          <w:szCs w:val="20"/>
        </w:rPr>
        <w:t>Michelhaugh</w:t>
      </w:r>
      <w:proofErr w:type="spellEnd"/>
      <w:r w:rsidRPr="00C54C8A">
        <w:rPr>
          <w:sz w:val="20"/>
          <w:szCs w:val="20"/>
        </w:rPr>
        <w:t xml:space="preserve">, S.K., </w:t>
      </w:r>
      <w:proofErr w:type="spellStart"/>
      <w:r w:rsidRPr="00C54C8A">
        <w:rPr>
          <w:sz w:val="20"/>
          <w:szCs w:val="20"/>
        </w:rPr>
        <w:t>Wang</w:t>
      </w:r>
      <w:proofErr w:type="spellEnd"/>
      <w:r w:rsidRPr="00C54C8A">
        <w:rPr>
          <w:sz w:val="20"/>
          <w:szCs w:val="20"/>
        </w:rPr>
        <w:t xml:space="preserve">, J., Sacchetti, P., 2001. </w:t>
      </w:r>
      <w:r>
        <w:rPr>
          <w:sz w:val="20"/>
          <w:szCs w:val="20"/>
          <w:lang w:val="en-US"/>
        </w:rPr>
        <w:t xml:space="preserve">The human dopamine transporter gene: gene organization, transcriptional regulation, and potential involvement in neuropsychiatric disorders. Eur. </w:t>
      </w:r>
      <w:proofErr w:type="spellStart"/>
      <w:r>
        <w:rPr>
          <w:sz w:val="20"/>
          <w:szCs w:val="20"/>
          <w:lang w:val="en-US"/>
        </w:rPr>
        <w:t>Neuropsychopharmacol</w:t>
      </w:r>
      <w:proofErr w:type="spellEnd"/>
      <w:r>
        <w:rPr>
          <w:sz w:val="20"/>
          <w:szCs w:val="20"/>
          <w:lang w:val="en-US"/>
        </w:rPr>
        <w:t>. 11, 449-455.</w:t>
      </w:r>
    </w:p>
    <w:p w:rsidR="00352A2A" w:rsidRPr="00B26E04" w:rsidRDefault="0096787B" w:rsidP="00113B97">
      <w:pPr>
        <w:spacing w:after="120" w:line="480" w:lineRule="auto"/>
        <w:rPr>
          <w:sz w:val="20"/>
          <w:szCs w:val="20"/>
          <w:lang w:val="en-US"/>
        </w:rPr>
      </w:pPr>
      <w:r>
        <w:rPr>
          <w:sz w:val="20"/>
          <w:szCs w:val="20"/>
          <w:lang w:val="en-US"/>
        </w:rPr>
        <w:t xml:space="preserve">Barnes, J.C., Jacobs, B.A., 2013. Genetic risk for violent behavior and environmental exposure to disadvantage and violent crime: the case for gene-environment interaction. J. </w:t>
      </w:r>
      <w:proofErr w:type="spellStart"/>
      <w:r>
        <w:rPr>
          <w:sz w:val="20"/>
          <w:szCs w:val="20"/>
          <w:lang w:val="en-US"/>
        </w:rPr>
        <w:t>Interpers</w:t>
      </w:r>
      <w:proofErr w:type="spellEnd"/>
      <w:r>
        <w:rPr>
          <w:sz w:val="20"/>
          <w:szCs w:val="20"/>
          <w:lang w:val="en-US"/>
        </w:rPr>
        <w:t>. Violence 28, 92-120.</w:t>
      </w:r>
    </w:p>
    <w:p w:rsidR="00352A2A" w:rsidRPr="00B26E04" w:rsidRDefault="0096787B" w:rsidP="00113B97">
      <w:pPr>
        <w:spacing w:after="120" w:line="480" w:lineRule="auto"/>
        <w:rPr>
          <w:sz w:val="20"/>
          <w:szCs w:val="20"/>
          <w:lang w:val="en-US"/>
        </w:rPr>
      </w:pPr>
      <w:r>
        <w:rPr>
          <w:sz w:val="20"/>
          <w:szCs w:val="20"/>
          <w:lang w:val="en-US"/>
        </w:rPr>
        <w:t xml:space="preserve">Barnes, J.C., Beaver, K.M., Boutwell, B.B., 2013. A functional polymorphism in a serotonin transporter gene (5-HTTLPR) interacts with 9/11 to predict gun-carrying behavior. </w:t>
      </w:r>
      <w:proofErr w:type="spellStart"/>
      <w:r>
        <w:rPr>
          <w:sz w:val="20"/>
          <w:szCs w:val="20"/>
          <w:lang w:val="en-US"/>
        </w:rPr>
        <w:t>PLoS</w:t>
      </w:r>
      <w:proofErr w:type="spellEnd"/>
      <w:r>
        <w:rPr>
          <w:sz w:val="20"/>
          <w:szCs w:val="20"/>
          <w:lang w:val="en-US"/>
        </w:rPr>
        <w:t xml:space="preserve"> One 8, e70807.</w:t>
      </w:r>
    </w:p>
    <w:p w:rsidR="00352A2A" w:rsidRPr="00B26E04" w:rsidRDefault="0096787B" w:rsidP="00113B97">
      <w:pPr>
        <w:spacing w:after="120" w:line="480" w:lineRule="auto"/>
        <w:rPr>
          <w:sz w:val="20"/>
          <w:szCs w:val="20"/>
          <w:lang w:val="en-US"/>
        </w:rPr>
      </w:pPr>
      <w:r>
        <w:rPr>
          <w:sz w:val="20"/>
          <w:szCs w:val="20"/>
          <w:lang w:val="en-US"/>
        </w:rPr>
        <w:t>Barnes, N.M., Sharp, T., 1999. A review of central 5-HT receptors and their function. Neuropharmacology 38, 1083-1152.</w:t>
      </w:r>
    </w:p>
    <w:p w:rsidR="00352A2A" w:rsidRPr="00B26E04" w:rsidRDefault="0096787B" w:rsidP="00113B97">
      <w:pPr>
        <w:spacing w:after="120" w:line="480" w:lineRule="auto"/>
        <w:rPr>
          <w:sz w:val="20"/>
          <w:szCs w:val="20"/>
          <w:lang w:val="en-US"/>
        </w:rPr>
      </w:pPr>
      <w:proofErr w:type="spellStart"/>
      <w:r>
        <w:rPr>
          <w:sz w:val="20"/>
          <w:szCs w:val="20"/>
          <w:lang w:val="en-US"/>
        </w:rPr>
        <w:t>Barrash</w:t>
      </w:r>
      <w:proofErr w:type="spellEnd"/>
      <w:r>
        <w:rPr>
          <w:sz w:val="20"/>
          <w:szCs w:val="20"/>
          <w:lang w:val="en-US"/>
        </w:rPr>
        <w:t xml:space="preserve">, J., </w:t>
      </w:r>
      <w:proofErr w:type="spellStart"/>
      <w:r>
        <w:rPr>
          <w:sz w:val="20"/>
          <w:szCs w:val="20"/>
          <w:lang w:val="en-US"/>
        </w:rPr>
        <w:t>Tranel</w:t>
      </w:r>
      <w:proofErr w:type="spellEnd"/>
      <w:r>
        <w:rPr>
          <w:sz w:val="20"/>
          <w:szCs w:val="20"/>
          <w:lang w:val="en-US"/>
        </w:rPr>
        <w:t xml:space="preserve">, D., Anderson, S.W., 2000. Acquired personality disturbances associated with bilateral damage to the ventromedial prefrontal region. Dev. </w:t>
      </w:r>
      <w:proofErr w:type="spellStart"/>
      <w:r>
        <w:rPr>
          <w:sz w:val="20"/>
          <w:szCs w:val="20"/>
          <w:lang w:val="en-US"/>
        </w:rPr>
        <w:t>Neuropsychol</w:t>
      </w:r>
      <w:proofErr w:type="spellEnd"/>
      <w:r>
        <w:rPr>
          <w:sz w:val="20"/>
          <w:szCs w:val="20"/>
          <w:lang w:val="en-US"/>
        </w:rPr>
        <w:t>. 18, 355-381.</w:t>
      </w:r>
    </w:p>
    <w:p w:rsidR="00352A2A" w:rsidRPr="00B26E04" w:rsidRDefault="0096787B" w:rsidP="00113B97">
      <w:pPr>
        <w:spacing w:after="120" w:line="480" w:lineRule="auto"/>
        <w:rPr>
          <w:sz w:val="20"/>
          <w:szCs w:val="20"/>
          <w:lang w:val="en-US"/>
        </w:rPr>
      </w:pPr>
      <w:r>
        <w:rPr>
          <w:sz w:val="20"/>
          <w:szCs w:val="20"/>
          <w:lang w:val="en-US"/>
        </w:rPr>
        <w:t xml:space="preserve">Baumgartner, T., Schiller, B., Hill, C., </w:t>
      </w:r>
      <w:proofErr w:type="spellStart"/>
      <w:r>
        <w:rPr>
          <w:sz w:val="20"/>
          <w:szCs w:val="20"/>
          <w:lang w:val="en-US"/>
        </w:rPr>
        <w:t>Knoch</w:t>
      </w:r>
      <w:proofErr w:type="spellEnd"/>
      <w:r>
        <w:rPr>
          <w:sz w:val="20"/>
          <w:szCs w:val="20"/>
          <w:lang w:val="en-US"/>
        </w:rPr>
        <w:t>, D., 2013. Impartiality in humans is predicted by brain structure of dorsomedial prefrontal cortex. Neuroimage 81, 317-324.</w:t>
      </w:r>
    </w:p>
    <w:p w:rsidR="00352A2A" w:rsidRPr="00B26E04" w:rsidRDefault="0096787B" w:rsidP="00113B97">
      <w:pPr>
        <w:spacing w:after="120" w:line="480" w:lineRule="auto"/>
        <w:rPr>
          <w:sz w:val="20"/>
          <w:szCs w:val="20"/>
          <w:lang w:val="en-US"/>
        </w:rPr>
      </w:pPr>
      <w:r>
        <w:rPr>
          <w:sz w:val="20"/>
          <w:szCs w:val="20"/>
          <w:lang w:val="en-US"/>
        </w:rPr>
        <w:t xml:space="preserve">Beach, S.R., Brody, G.H., Todorov, A.A., Gunter, T.D., Philibert, R.A., 2010. Methylation at SLC6A4 is linked to family history of child abuse: an examination of the Iowa Adoptee sample. Am. J. Med. Genet. B </w:t>
      </w:r>
      <w:proofErr w:type="spellStart"/>
      <w:r>
        <w:rPr>
          <w:sz w:val="20"/>
          <w:szCs w:val="20"/>
          <w:lang w:val="en-US"/>
        </w:rPr>
        <w:t>Neuropsychiatr</w:t>
      </w:r>
      <w:proofErr w:type="spellEnd"/>
      <w:r>
        <w:rPr>
          <w:sz w:val="20"/>
          <w:szCs w:val="20"/>
          <w:lang w:val="en-US"/>
        </w:rPr>
        <w:t>. Genet. 153B, 710-713.</w:t>
      </w:r>
    </w:p>
    <w:p w:rsidR="00352A2A" w:rsidRPr="00B26E04" w:rsidRDefault="0096787B" w:rsidP="00113B97">
      <w:pPr>
        <w:spacing w:after="120" w:line="480" w:lineRule="auto"/>
        <w:rPr>
          <w:sz w:val="20"/>
          <w:szCs w:val="20"/>
          <w:lang w:val="en-US"/>
        </w:rPr>
      </w:pPr>
      <w:r>
        <w:rPr>
          <w:sz w:val="20"/>
          <w:szCs w:val="20"/>
          <w:lang w:val="en-US"/>
        </w:rPr>
        <w:t xml:space="preserve">Beach, S.R., Brody, G.H., Todorov, A.A., Gunter, T.D., Philibert, R.A., 2011. Methylation at 5HTT mediates the impact of child sex abuse on women's antisocial behavior: an examination of the Iowa adoptee sample. </w:t>
      </w:r>
      <w:proofErr w:type="spellStart"/>
      <w:r>
        <w:rPr>
          <w:sz w:val="20"/>
          <w:szCs w:val="20"/>
          <w:lang w:val="en-US"/>
        </w:rPr>
        <w:t>Psychosom</w:t>
      </w:r>
      <w:proofErr w:type="spellEnd"/>
      <w:r>
        <w:rPr>
          <w:sz w:val="20"/>
          <w:szCs w:val="20"/>
          <w:lang w:val="en-US"/>
        </w:rPr>
        <w:t>. Med. 73, 83-87.</w:t>
      </w:r>
    </w:p>
    <w:p w:rsidR="00352A2A" w:rsidRPr="00B26E04" w:rsidRDefault="0096787B" w:rsidP="00113B97">
      <w:pPr>
        <w:spacing w:after="120" w:line="480" w:lineRule="auto"/>
        <w:rPr>
          <w:sz w:val="20"/>
          <w:szCs w:val="20"/>
          <w:lang w:val="en-US"/>
        </w:rPr>
      </w:pPr>
      <w:r>
        <w:rPr>
          <w:sz w:val="20"/>
          <w:szCs w:val="20"/>
          <w:lang w:val="en-US"/>
        </w:rPr>
        <w:t xml:space="preserve">Bear, D., 1991. Neurological perspectives on aggressive behavior. J. Neuropsychiatry Clin. </w:t>
      </w:r>
      <w:proofErr w:type="spellStart"/>
      <w:r>
        <w:rPr>
          <w:sz w:val="20"/>
          <w:szCs w:val="20"/>
          <w:lang w:val="en-US"/>
        </w:rPr>
        <w:t>Neurosci</w:t>
      </w:r>
      <w:proofErr w:type="spellEnd"/>
      <w:r>
        <w:rPr>
          <w:sz w:val="20"/>
          <w:szCs w:val="20"/>
          <w:lang w:val="en-US"/>
        </w:rPr>
        <w:t>. 3, S3-8.</w:t>
      </w:r>
    </w:p>
    <w:p w:rsidR="00352A2A" w:rsidRPr="00B26E04" w:rsidRDefault="0096787B" w:rsidP="00113B97">
      <w:pPr>
        <w:spacing w:after="120" w:line="480" w:lineRule="auto"/>
        <w:rPr>
          <w:sz w:val="20"/>
          <w:szCs w:val="20"/>
          <w:lang w:val="en-US"/>
        </w:rPr>
      </w:pPr>
      <w:r>
        <w:rPr>
          <w:sz w:val="20"/>
          <w:szCs w:val="20"/>
          <w:lang w:val="en-US"/>
        </w:rPr>
        <w:t xml:space="preserve">Beaulieu, J.M., </w:t>
      </w:r>
      <w:proofErr w:type="spellStart"/>
      <w:r>
        <w:rPr>
          <w:sz w:val="20"/>
          <w:szCs w:val="20"/>
          <w:lang w:val="en-US"/>
        </w:rPr>
        <w:t>Gainetdinov</w:t>
      </w:r>
      <w:proofErr w:type="spellEnd"/>
      <w:r>
        <w:rPr>
          <w:sz w:val="20"/>
          <w:szCs w:val="20"/>
          <w:lang w:val="en-US"/>
        </w:rPr>
        <w:t xml:space="preserve">, R.R., 2011. The physiology, signaling, and pharmacology of dopamine receptors. </w:t>
      </w:r>
      <w:proofErr w:type="spellStart"/>
      <w:r>
        <w:rPr>
          <w:sz w:val="20"/>
          <w:szCs w:val="20"/>
          <w:lang w:val="en-US"/>
        </w:rPr>
        <w:t>Pharmacol</w:t>
      </w:r>
      <w:proofErr w:type="spellEnd"/>
      <w:r>
        <w:rPr>
          <w:sz w:val="20"/>
          <w:szCs w:val="20"/>
          <w:lang w:val="en-US"/>
        </w:rPr>
        <w:t>. Rev. 63, 182-217.</w:t>
      </w:r>
    </w:p>
    <w:p w:rsidR="00352A2A" w:rsidRPr="00B26E04" w:rsidRDefault="0096787B" w:rsidP="00113B97">
      <w:pPr>
        <w:spacing w:after="120" w:line="480" w:lineRule="auto"/>
        <w:rPr>
          <w:sz w:val="20"/>
          <w:szCs w:val="20"/>
          <w:lang w:val="en-US"/>
        </w:rPr>
      </w:pPr>
      <w:r>
        <w:rPr>
          <w:sz w:val="20"/>
          <w:szCs w:val="20"/>
          <w:lang w:val="en-US"/>
        </w:rPr>
        <w:t xml:space="preserve">Beaver, K.M., </w:t>
      </w:r>
      <w:proofErr w:type="spellStart"/>
      <w:r>
        <w:rPr>
          <w:sz w:val="20"/>
          <w:szCs w:val="20"/>
          <w:lang w:val="en-US"/>
        </w:rPr>
        <w:t>DeLisi</w:t>
      </w:r>
      <w:proofErr w:type="spellEnd"/>
      <w:r>
        <w:rPr>
          <w:sz w:val="20"/>
          <w:szCs w:val="20"/>
          <w:lang w:val="en-US"/>
        </w:rPr>
        <w:t xml:space="preserve">, M., Vaughn, M.G., Barnes, J.C., 2010. Monoamine oxidase A genotype is associated with gang membership and weapon use. </w:t>
      </w:r>
      <w:proofErr w:type="spellStart"/>
      <w:r>
        <w:rPr>
          <w:sz w:val="20"/>
          <w:szCs w:val="20"/>
          <w:lang w:val="en-US"/>
        </w:rPr>
        <w:t>Compr</w:t>
      </w:r>
      <w:proofErr w:type="spellEnd"/>
      <w:r>
        <w:rPr>
          <w:sz w:val="20"/>
          <w:szCs w:val="20"/>
          <w:lang w:val="en-US"/>
        </w:rPr>
        <w:t>. Psychiatry 51, 130-134.</w:t>
      </w:r>
    </w:p>
    <w:p w:rsidR="00352A2A" w:rsidRPr="00B26E04" w:rsidRDefault="0096787B" w:rsidP="00113B97">
      <w:pPr>
        <w:spacing w:after="120" w:line="480" w:lineRule="auto"/>
        <w:rPr>
          <w:sz w:val="20"/>
          <w:szCs w:val="20"/>
          <w:lang w:val="en-US"/>
        </w:rPr>
      </w:pPr>
      <w:r>
        <w:rPr>
          <w:sz w:val="20"/>
          <w:szCs w:val="20"/>
          <w:lang w:val="en-US"/>
        </w:rPr>
        <w:t xml:space="preserve">Beaver, K.M., Gibson, C.L., </w:t>
      </w:r>
      <w:proofErr w:type="spellStart"/>
      <w:r>
        <w:rPr>
          <w:sz w:val="20"/>
          <w:szCs w:val="20"/>
          <w:lang w:val="en-US"/>
        </w:rPr>
        <w:t>DeLisi</w:t>
      </w:r>
      <w:proofErr w:type="spellEnd"/>
      <w:r>
        <w:rPr>
          <w:sz w:val="20"/>
          <w:szCs w:val="20"/>
          <w:lang w:val="en-US"/>
        </w:rPr>
        <w:t>, M., Vaughn, M.G., Wright, J.P., 2012. The interaction between neighborhood disadvantage and genetic factors in the prediction of antisocial outcomes. Youth Violence and Juvenile Justice 10, 25-40.</w:t>
      </w:r>
    </w:p>
    <w:p w:rsidR="00352A2A" w:rsidRPr="00B26E04" w:rsidRDefault="0096787B" w:rsidP="00113B97">
      <w:pPr>
        <w:spacing w:after="120" w:line="480" w:lineRule="auto"/>
        <w:rPr>
          <w:sz w:val="20"/>
          <w:szCs w:val="20"/>
          <w:lang w:val="en-US"/>
        </w:rPr>
      </w:pPr>
      <w:r>
        <w:rPr>
          <w:sz w:val="20"/>
          <w:szCs w:val="20"/>
          <w:lang w:val="en-US"/>
        </w:rPr>
        <w:lastRenderedPageBreak/>
        <w:t xml:space="preserve">Beaver, K.M., Barnes, J.C., Boutwell, B.B., 2014. The 2-repeat allele of the MAOA gene confers an increased risk for shooting and stabbing behaviors. </w:t>
      </w:r>
      <w:proofErr w:type="spellStart"/>
      <w:r>
        <w:rPr>
          <w:sz w:val="20"/>
          <w:szCs w:val="20"/>
          <w:lang w:val="en-US"/>
        </w:rPr>
        <w:t>Psychiatr</w:t>
      </w:r>
      <w:proofErr w:type="spellEnd"/>
      <w:r>
        <w:rPr>
          <w:sz w:val="20"/>
          <w:szCs w:val="20"/>
          <w:lang w:val="en-US"/>
        </w:rPr>
        <w:t>. Q. 85, 257-265.</w:t>
      </w:r>
    </w:p>
    <w:p w:rsidR="00352A2A" w:rsidRPr="00B26E04" w:rsidRDefault="0096787B" w:rsidP="00113B97">
      <w:pPr>
        <w:spacing w:after="120" w:line="480" w:lineRule="auto"/>
        <w:rPr>
          <w:sz w:val="20"/>
          <w:szCs w:val="20"/>
          <w:lang w:val="en-US"/>
        </w:rPr>
      </w:pPr>
      <w:r>
        <w:rPr>
          <w:sz w:val="20"/>
          <w:szCs w:val="20"/>
          <w:lang w:val="en-US"/>
        </w:rPr>
        <w:t xml:space="preserve">Bechara, A., Damasio, H., Damasio, A.R., Lee, G.P., 1999. Different contributions of the human amygdala and ventromedial prefrontal cortex to decision-making. J. </w:t>
      </w:r>
      <w:proofErr w:type="spellStart"/>
      <w:r>
        <w:rPr>
          <w:sz w:val="20"/>
          <w:szCs w:val="20"/>
          <w:lang w:val="en-US"/>
        </w:rPr>
        <w:t>Neurosci</w:t>
      </w:r>
      <w:proofErr w:type="spellEnd"/>
      <w:r>
        <w:rPr>
          <w:sz w:val="20"/>
          <w:szCs w:val="20"/>
          <w:lang w:val="en-US"/>
        </w:rPr>
        <w:t>. 19, 5473-5481.</w:t>
      </w:r>
    </w:p>
    <w:p w:rsidR="00352A2A" w:rsidRPr="00B26E04" w:rsidRDefault="0096787B" w:rsidP="00113B97">
      <w:pPr>
        <w:spacing w:after="120" w:line="480" w:lineRule="auto"/>
        <w:rPr>
          <w:sz w:val="20"/>
          <w:szCs w:val="20"/>
          <w:lang w:val="en-US"/>
        </w:rPr>
      </w:pPr>
      <w:r>
        <w:rPr>
          <w:sz w:val="20"/>
          <w:szCs w:val="20"/>
          <w:lang w:val="en-US"/>
        </w:rPr>
        <w:t xml:space="preserve">Bechara, A., 2004. The role of emotion in decision-making: evidence from neurological patients with orbitofrontal damage. Brain </w:t>
      </w:r>
      <w:proofErr w:type="spellStart"/>
      <w:r>
        <w:rPr>
          <w:sz w:val="20"/>
          <w:szCs w:val="20"/>
          <w:lang w:val="en-US"/>
        </w:rPr>
        <w:t>Cogn</w:t>
      </w:r>
      <w:proofErr w:type="spellEnd"/>
      <w:r>
        <w:rPr>
          <w:sz w:val="20"/>
          <w:szCs w:val="20"/>
          <w:lang w:val="en-US"/>
        </w:rPr>
        <w:t>. 55, 30-40.</w:t>
      </w:r>
    </w:p>
    <w:p w:rsidR="00352A2A" w:rsidRPr="00B26E04" w:rsidRDefault="0096787B" w:rsidP="00113B97">
      <w:pPr>
        <w:spacing w:after="120" w:line="480" w:lineRule="auto"/>
        <w:rPr>
          <w:sz w:val="20"/>
          <w:szCs w:val="20"/>
          <w:lang w:val="en-US"/>
        </w:rPr>
      </w:pPr>
      <w:r>
        <w:rPr>
          <w:sz w:val="20"/>
          <w:szCs w:val="20"/>
          <w:lang w:val="en-US"/>
        </w:rPr>
        <w:t xml:space="preserve">Bechara, A., 2005. Decision making, impulse control and loss of willpower to resist drugs: a neurocognitive perspective. Nat. </w:t>
      </w:r>
      <w:proofErr w:type="spellStart"/>
      <w:r>
        <w:rPr>
          <w:sz w:val="20"/>
          <w:szCs w:val="20"/>
          <w:lang w:val="en-US"/>
        </w:rPr>
        <w:t>Neurosci</w:t>
      </w:r>
      <w:proofErr w:type="spellEnd"/>
      <w:r>
        <w:rPr>
          <w:sz w:val="20"/>
          <w:szCs w:val="20"/>
          <w:lang w:val="en-US"/>
        </w:rPr>
        <w:t>. 8, 1458-1463.</w:t>
      </w:r>
    </w:p>
    <w:p w:rsidR="00106B23" w:rsidRPr="00B26E04" w:rsidRDefault="0096787B" w:rsidP="00106B23">
      <w:pPr>
        <w:spacing w:line="480" w:lineRule="auto"/>
        <w:rPr>
          <w:sz w:val="20"/>
          <w:szCs w:val="20"/>
          <w:lang w:val="en-US"/>
        </w:rPr>
      </w:pPr>
      <w:r>
        <w:rPr>
          <w:sz w:val="20"/>
          <w:szCs w:val="20"/>
          <w:lang w:val="en-US"/>
        </w:rPr>
        <w:t xml:space="preserve">Beck, A., Heinz, A., 2013. Alcohol-related aggression-social and neurobiological factors. </w:t>
      </w:r>
      <w:proofErr w:type="spellStart"/>
      <w:r>
        <w:rPr>
          <w:sz w:val="20"/>
          <w:szCs w:val="20"/>
          <w:lang w:val="en-US"/>
        </w:rPr>
        <w:t>Dtsch</w:t>
      </w:r>
      <w:proofErr w:type="spellEnd"/>
      <w:r>
        <w:rPr>
          <w:sz w:val="20"/>
          <w:szCs w:val="20"/>
          <w:lang w:val="en-US"/>
        </w:rPr>
        <w:t xml:space="preserve">. </w:t>
      </w:r>
      <w:proofErr w:type="spellStart"/>
      <w:r>
        <w:rPr>
          <w:sz w:val="20"/>
          <w:szCs w:val="20"/>
          <w:lang w:val="en-US"/>
        </w:rPr>
        <w:t>Arztebl</w:t>
      </w:r>
      <w:proofErr w:type="spellEnd"/>
      <w:r>
        <w:rPr>
          <w:sz w:val="20"/>
          <w:szCs w:val="20"/>
          <w:lang w:val="en-US"/>
        </w:rPr>
        <w:t>. Int. 110, 711-715.</w:t>
      </w:r>
    </w:p>
    <w:p w:rsidR="00352A2A" w:rsidRPr="00B26E04" w:rsidRDefault="0096787B" w:rsidP="00113B97">
      <w:pPr>
        <w:spacing w:after="120" w:line="480" w:lineRule="auto"/>
        <w:rPr>
          <w:sz w:val="20"/>
          <w:szCs w:val="20"/>
          <w:lang w:val="en-US"/>
        </w:rPr>
      </w:pPr>
      <w:r>
        <w:rPr>
          <w:sz w:val="20"/>
          <w:szCs w:val="20"/>
          <w:lang w:val="en-US"/>
        </w:rPr>
        <w:t xml:space="preserve">Beckmann, M., Johansen-Berg, H., Rushworth, M.F., 2009. Connectivity-based parcellation of human cingulate cortex and its relation to functional specialization. J. </w:t>
      </w:r>
      <w:proofErr w:type="spellStart"/>
      <w:r>
        <w:rPr>
          <w:sz w:val="20"/>
          <w:szCs w:val="20"/>
          <w:lang w:val="en-US"/>
        </w:rPr>
        <w:t>Neurosci</w:t>
      </w:r>
      <w:proofErr w:type="spellEnd"/>
      <w:r>
        <w:rPr>
          <w:sz w:val="20"/>
          <w:szCs w:val="20"/>
          <w:lang w:val="en-US"/>
        </w:rPr>
        <w:t>. 29, 1175-1190.</w:t>
      </w:r>
    </w:p>
    <w:p w:rsidR="006C2CFE" w:rsidRPr="00B26E04" w:rsidRDefault="0096787B" w:rsidP="00113B97">
      <w:pPr>
        <w:spacing w:after="120" w:line="480" w:lineRule="auto"/>
        <w:rPr>
          <w:sz w:val="20"/>
          <w:szCs w:val="20"/>
          <w:lang w:val="en-US"/>
        </w:rPr>
      </w:pPr>
      <w:r>
        <w:rPr>
          <w:sz w:val="20"/>
          <w:szCs w:val="20"/>
          <w:lang w:val="en-US"/>
        </w:rPr>
        <w:t>Been, L.E., Gibbons, A.B., Meisel, R.L., 2019. Towards a neurobiology of female aggression. Neuropharmacology</w:t>
      </w:r>
      <w:r w:rsidR="00754355">
        <w:rPr>
          <w:sz w:val="20"/>
          <w:szCs w:val="20"/>
          <w:lang w:val="en-US"/>
        </w:rPr>
        <w:t xml:space="preserve"> </w:t>
      </w:r>
      <w:r>
        <w:rPr>
          <w:sz w:val="20"/>
          <w:szCs w:val="20"/>
          <w:lang w:val="en-US"/>
        </w:rPr>
        <w:t>156, 107451.</w:t>
      </w:r>
    </w:p>
    <w:p w:rsidR="00352A2A" w:rsidRPr="00B26E04" w:rsidRDefault="0096787B" w:rsidP="00113B97">
      <w:pPr>
        <w:spacing w:after="120" w:line="480" w:lineRule="auto"/>
        <w:rPr>
          <w:sz w:val="20"/>
          <w:szCs w:val="20"/>
          <w:lang w:val="en-US"/>
        </w:rPr>
      </w:pPr>
      <w:proofErr w:type="spellStart"/>
      <w:r>
        <w:rPr>
          <w:sz w:val="20"/>
          <w:szCs w:val="20"/>
          <w:lang w:val="en-US"/>
        </w:rPr>
        <w:t>Beevers</w:t>
      </w:r>
      <w:proofErr w:type="spellEnd"/>
      <w:r>
        <w:rPr>
          <w:sz w:val="20"/>
          <w:szCs w:val="20"/>
          <w:lang w:val="en-US"/>
        </w:rPr>
        <w:t xml:space="preserve">, C.G., Christopher, G., Scott, W.D, </w:t>
      </w:r>
      <w:proofErr w:type="spellStart"/>
      <w:r>
        <w:rPr>
          <w:sz w:val="20"/>
          <w:szCs w:val="20"/>
          <w:lang w:val="en-US"/>
        </w:rPr>
        <w:t>McGeary</w:t>
      </w:r>
      <w:proofErr w:type="spellEnd"/>
      <w:r>
        <w:rPr>
          <w:sz w:val="20"/>
          <w:szCs w:val="20"/>
          <w:lang w:val="en-US"/>
        </w:rPr>
        <w:t xml:space="preserve">, C., </w:t>
      </w:r>
      <w:proofErr w:type="spellStart"/>
      <w:r>
        <w:rPr>
          <w:sz w:val="20"/>
          <w:szCs w:val="20"/>
          <w:lang w:val="en-US"/>
        </w:rPr>
        <w:t>McGeary</w:t>
      </w:r>
      <w:proofErr w:type="spellEnd"/>
      <w:r>
        <w:rPr>
          <w:sz w:val="20"/>
          <w:szCs w:val="20"/>
          <w:lang w:val="en-US"/>
        </w:rPr>
        <w:t xml:space="preserve">, J.E., 2009a. Negative cognitive response to a sad mood induction: Associations with polymorphisms of the serotonin transporter (5-HTTLPR) gene. Cognition and Emotion 23, 726-738. </w:t>
      </w:r>
    </w:p>
    <w:p w:rsidR="00352A2A" w:rsidRPr="00B26E04" w:rsidRDefault="0096787B" w:rsidP="00113B97">
      <w:pPr>
        <w:spacing w:after="120" w:line="480" w:lineRule="auto"/>
        <w:rPr>
          <w:sz w:val="20"/>
          <w:szCs w:val="20"/>
          <w:lang w:val="en-US"/>
        </w:rPr>
      </w:pPr>
      <w:proofErr w:type="spellStart"/>
      <w:r>
        <w:rPr>
          <w:sz w:val="20"/>
          <w:szCs w:val="20"/>
          <w:lang w:val="en-US"/>
        </w:rPr>
        <w:t>Beevers</w:t>
      </w:r>
      <w:proofErr w:type="spellEnd"/>
      <w:r>
        <w:rPr>
          <w:sz w:val="20"/>
          <w:szCs w:val="20"/>
          <w:lang w:val="en-US"/>
        </w:rPr>
        <w:t xml:space="preserve">, C.G., Wells, T.T., Ellis, A.J., </w:t>
      </w:r>
      <w:proofErr w:type="spellStart"/>
      <w:r>
        <w:rPr>
          <w:sz w:val="20"/>
          <w:szCs w:val="20"/>
          <w:lang w:val="en-US"/>
        </w:rPr>
        <w:t>McGeary</w:t>
      </w:r>
      <w:proofErr w:type="spellEnd"/>
      <w:r>
        <w:rPr>
          <w:sz w:val="20"/>
          <w:szCs w:val="20"/>
          <w:lang w:val="en-US"/>
        </w:rPr>
        <w:t xml:space="preserve">, J.E., 2009b. Association of the serotonin transporter gene promoter region (5-HTTLPR) polymorphism with biased attention for emotional stimuli. J. </w:t>
      </w:r>
      <w:proofErr w:type="spellStart"/>
      <w:r>
        <w:rPr>
          <w:sz w:val="20"/>
          <w:szCs w:val="20"/>
          <w:lang w:val="en-US"/>
        </w:rPr>
        <w:t>Abnorm</w:t>
      </w:r>
      <w:proofErr w:type="spellEnd"/>
      <w:r>
        <w:rPr>
          <w:sz w:val="20"/>
          <w:szCs w:val="20"/>
          <w:lang w:val="en-US"/>
        </w:rPr>
        <w:t>. Psychol. 118, 670-681.</w:t>
      </w:r>
    </w:p>
    <w:p w:rsidR="00352A2A" w:rsidRPr="00B26E04" w:rsidRDefault="0096787B" w:rsidP="00113B97">
      <w:pPr>
        <w:spacing w:after="120" w:line="480" w:lineRule="auto"/>
        <w:rPr>
          <w:sz w:val="20"/>
          <w:szCs w:val="20"/>
          <w:lang w:val="en-US"/>
        </w:rPr>
      </w:pPr>
      <w:proofErr w:type="spellStart"/>
      <w:r>
        <w:rPr>
          <w:sz w:val="20"/>
          <w:szCs w:val="20"/>
          <w:lang w:val="en-US"/>
        </w:rPr>
        <w:t>Beitchman</w:t>
      </w:r>
      <w:proofErr w:type="spellEnd"/>
      <w:r>
        <w:rPr>
          <w:sz w:val="20"/>
          <w:szCs w:val="20"/>
          <w:lang w:val="en-US"/>
        </w:rPr>
        <w:t xml:space="preserve">, J.H., </w:t>
      </w:r>
      <w:proofErr w:type="spellStart"/>
      <w:r>
        <w:rPr>
          <w:sz w:val="20"/>
          <w:szCs w:val="20"/>
          <w:lang w:val="en-US"/>
        </w:rPr>
        <w:t>Baldassarra</w:t>
      </w:r>
      <w:proofErr w:type="spellEnd"/>
      <w:r>
        <w:rPr>
          <w:sz w:val="20"/>
          <w:szCs w:val="20"/>
          <w:lang w:val="en-US"/>
        </w:rPr>
        <w:t xml:space="preserve">, L., </w:t>
      </w:r>
      <w:proofErr w:type="spellStart"/>
      <w:r>
        <w:rPr>
          <w:sz w:val="20"/>
          <w:szCs w:val="20"/>
          <w:lang w:val="en-US"/>
        </w:rPr>
        <w:t>Mik</w:t>
      </w:r>
      <w:proofErr w:type="spellEnd"/>
      <w:r>
        <w:rPr>
          <w:sz w:val="20"/>
          <w:szCs w:val="20"/>
          <w:lang w:val="en-US"/>
        </w:rPr>
        <w:t xml:space="preserve">, H., De Luca, V., King, N., Bender, D., </w:t>
      </w:r>
      <w:proofErr w:type="spellStart"/>
      <w:r>
        <w:rPr>
          <w:sz w:val="20"/>
          <w:szCs w:val="20"/>
          <w:lang w:val="en-US"/>
        </w:rPr>
        <w:t>Ehtesham</w:t>
      </w:r>
      <w:proofErr w:type="spellEnd"/>
      <w:r>
        <w:rPr>
          <w:sz w:val="20"/>
          <w:szCs w:val="20"/>
          <w:lang w:val="en-US"/>
        </w:rPr>
        <w:t>, S., Kennedy, J.L., 2006. Serotonin transporter polymorphisms and persistent, pervasive childhood aggression. Am. J. Psychiatry 163, 1103-1105.</w:t>
      </w:r>
    </w:p>
    <w:p w:rsidR="00640F08" w:rsidRPr="00B26E04" w:rsidRDefault="0096787B" w:rsidP="00113B97">
      <w:pPr>
        <w:spacing w:after="120" w:line="480" w:lineRule="auto"/>
        <w:rPr>
          <w:sz w:val="20"/>
          <w:szCs w:val="20"/>
          <w:lang w:val="en-US"/>
        </w:rPr>
      </w:pPr>
      <w:r w:rsidRPr="00C54C8A">
        <w:rPr>
          <w:sz w:val="20"/>
          <w:szCs w:val="20"/>
        </w:rPr>
        <w:t xml:space="preserve">Belelli, D., Lambert, J.J., 2005. </w:t>
      </w:r>
      <w:proofErr w:type="spellStart"/>
      <w:r>
        <w:rPr>
          <w:sz w:val="20"/>
          <w:szCs w:val="20"/>
          <w:lang w:val="en-US"/>
        </w:rPr>
        <w:t>Neurosteroids</w:t>
      </w:r>
      <w:proofErr w:type="spellEnd"/>
      <w:r>
        <w:rPr>
          <w:sz w:val="20"/>
          <w:szCs w:val="20"/>
          <w:lang w:val="en-US"/>
        </w:rPr>
        <w:t xml:space="preserve">: endogenous regulators of the GABA(A) receptor. Nat. Rev. </w:t>
      </w:r>
      <w:proofErr w:type="spellStart"/>
      <w:r>
        <w:rPr>
          <w:sz w:val="20"/>
          <w:szCs w:val="20"/>
          <w:lang w:val="en-US"/>
        </w:rPr>
        <w:t>Neurosci</w:t>
      </w:r>
      <w:proofErr w:type="spellEnd"/>
      <w:r>
        <w:rPr>
          <w:sz w:val="20"/>
          <w:szCs w:val="20"/>
          <w:lang w:val="en-US"/>
        </w:rPr>
        <w:t>. 6, 565-755.</w:t>
      </w:r>
    </w:p>
    <w:p w:rsidR="00352A2A" w:rsidRPr="00B26E04" w:rsidRDefault="0096787B" w:rsidP="00113B97">
      <w:pPr>
        <w:spacing w:after="120" w:line="480" w:lineRule="auto"/>
        <w:rPr>
          <w:sz w:val="20"/>
          <w:szCs w:val="20"/>
          <w:lang w:val="en-US"/>
        </w:rPr>
      </w:pPr>
      <w:r>
        <w:rPr>
          <w:sz w:val="20"/>
          <w:szCs w:val="20"/>
          <w:lang w:val="en-US"/>
        </w:rPr>
        <w:t>Benjamin, J., Li, L., Patterson, C., Greenberg, B.D., Murphy, D.L., Hamer, D.H., 1996. Population and familial association between the D4 dopamine receptor gene and measures of Novelty Seeking. Nat. Genet. 12, 81-84.</w:t>
      </w:r>
    </w:p>
    <w:p w:rsidR="00352A2A" w:rsidRPr="00C54C8A" w:rsidRDefault="0096787B" w:rsidP="00113B97">
      <w:pPr>
        <w:spacing w:after="120" w:line="480" w:lineRule="auto"/>
        <w:rPr>
          <w:sz w:val="20"/>
          <w:szCs w:val="20"/>
        </w:rPr>
      </w:pPr>
      <w:r>
        <w:rPr>
          <w:sz w:val="20"/>
          <w:szCs w:val="20"/>
          <w:lang w:val="en-US"/>
        </w:rPr>
        <w:t xml:space="preserve">Berman, M.E., Tracy, J.I., </w:t>
      </w:r>
      <w:proofErr w:type="spellStart"/>
      <w:r>
        <w:rPr>
          <w:sz w:val="20"/>
          <w:szCs w:val="20"/>
          <w:lang w:val="en-US"/>
        </w:rPr>
        <w:t>Coccaro</w:t>
      </w:r>
      <w:proofErr w:type="spellEnd"/>
      <w:r>
        <w:rPr>
          <w:sz w:val="20"/>
          <w:szCs w:val="20"/>
          <w:lang w:val="en-US"/>
        </w:rPr>
        <w:t xml:space="preserve">, E.F., 1997. The serotonin hypothesis of aggression revisited. </w:t>
      </w:r>
      <w:proofErr w:type="spellStart"/>
      <w:r w:rsidR="00352A2A" w:rsidRPr="00C54C8A">
        <w:rPr>
          <w:sz w:val="20"/>
          <w:szCs w:val="20"/>
        </w:rPr>
        <w:t>Clin</w:t>
      </w:r>
      <w:proofErr w:type="spellEnd"/>
      <w:r w:rsidR="00307FD7" w:rsidRPr="00C54C8A">
        <w:rPr>
          <w:sz w:val="20"/>
          <w:szCs w:val="20"/>
        </w:rPr>
        <w:t>.</w:t>
      </w:r>
      <w:r w:rsidR="00352A2A" w:rsidRPr="00C54C8A">
        <w:rPr>
          <w:sz w:val="20"/>
          <w:szCs w:val="20"/>
        </w:rPr>
        <w:t xml:space="preserve"> </w:t>
      </w:r>
      <w:proofErr w:type="spellStart"/>
      <w:r w:rsidR="00352A2A" w:rsidRPr="00C54C8A">
        <w:rPr>
          <w:sz w:val="20"/>
          <w:szCs w:val="20"/>
        </w:rPr>
        <w:t>Psychol</w:t>
      </w:r>
      <w:proofErr w:type="spellEnd"/>
      <w:r w:rsidR="00307FD7" w:rsidRPr="00C54C8A">
        <w:rPr>
          <w:sz w:val="20"/>
          <w:szCs w:val="20"/>
        </w:rPr>
        <w:t>.</w:t>
      </w:r>
      <w:r w:rsidR="00352A2A" w:rsidRPr="00C54C8A">
        <w:rPr>
          <w:sz w:val="20"/>
          <w:szCs w:val="20"/>
        </w:rPr>
        <w:t xml:space="preserve"> Rev</w:t>
      </w:r>
      <w:r w:rsidR="00307FD7" w:rsidRPr="00C54C8A">
        <w:rPr>
          <w:sz w:val="20"/>
          <w:szCs w:val="20"/>
        </w:rPr>
        <w:t>.</w:t>
      </w:r>
      <w:r w:rsidR="00352A2A" w:rsidRPr="00C54C8A">
        <w:rPr>
          <w:sz w:val="20"/>
          <w:szCs w:val="20"/>
        </w:rPr>
        <w:t xml:space="preserve"> 17, 651-665.</w:t>
      </w:r>
    </w:p>
    <w:p w:rsidR="00352A2A" w:rsidRPr="00B26E04" w:rsidRDefault="00352A2A" w:rsidP="00113B97">
      <w:pPr>
        <w:spacing w:after="120" w:line="480" w:lineRule="auto"/>
        <w:rPr>
          <w:sz w:val="20"/>
          <w:szCs w:val="20"/>
          <w:lang w:val="en-US"/>
        </w:rPr>
      </w:pPr>
      <w:r w:rsidRPr="00C54C8A">
        <w:rPr>
          <w:sz w:val="20"/>
          <w:szCs w:val="20"/>
        </w:rPr>
        <w:lastRenderedPageBreak/>
        <w:t xml:space="preserve">Bertocci, B., Miggiano, V., Da Prada, M., </w:t>
      </w:r>
      <w:proofErr w:type="spellStart"/>
      <w:r w:rsidRPr="00C54C8A">
        <w:rPr>
          <w:sz w:val="20"/>
          <w:szCs w:val="20"/>
        </w:rPr>
        <w:t>Dembic</w:t>
      </w:r>
      <w:proofErr w:type="spellEnd"/>
      <w:r w:rsidRPr="00C54C8A">
        <w:rPr>
          <w:sz w:val="20"/>
          <w:szCs w:val="20"/>
        </w:rPr>
        <w:t xml:space="preserve">, Z., </w:t>
      </w:r>
      <w:proofErr w:type="spellStart"/>
      <w:r w:rsidRPr="00C54C8A">
        <w:rPr>
          <w:sz w:val="20"/>
          <w:szCs w:val="20"/>
        </w:rPr>
        <w:t>Lahm</w:t>
      </w:r>
      <w:proofErr w:type="spellEnd"/>
      <w:r w:rsidRPr="00C54C8A">
        <w:rPr>
          <w:sz w:val="20"/>
          <w:szCs w:val="20"/>
        </w:rPr>
        <w:t xml:space="preserve">, H.W., </w:t>
      </w:r>
      <w:proofErr w:type="spellStart"/>
      <w:r w:rsidRPr="00C54C8A">
        <w:rPr>
          <w:sz w:val="20"/>
          <w:szCs w:val="20"/>
        </w:rPr>
        <w:t>Malherbe</w:t>
      </w:r>
      <w:proofErr w:type="spellEnd"/>
      <w:r w:rsidRPr="00C54C8A">
        <w:rPr>
          <w:sz w:val="20"/>
          <w:szCs w:val="20"/>
        </w:rPr>
        <w:t xml:space="preserve">, P., 1991. </w:t>
      </w:r>
      <w:r w:rsidRPr="00B26E04">
        <w:rPr>
          <w:sz w:val="20"/>
          <w:szCs w:val="20"/>
          <w:lang w:val="en-US"/>
        </w:rPr>
        <w:t>Human catechol-O-methyltransferase: cloning and expression of the membrane-associated form. Proc</w:t>
      </w:r>
      <w:r w:rsidR="0096787B">
        <w:rPr>
          <w:sz w:val="20"/>
          <w:szCs w:val="20"/>
          <w:lang w:val="en-US"/>
        </w:rPr>
        <w:t>. Natl. Acad. Sci. U. S. A. 88, 1416-1420.</w:t>
      </w:r>
    </w:p>
    <w:p w:rsidR="00192A40" w:rsidRPr="00B26E04" w:rsidRDefault="0096787B" w:rsidP="00113B97">
      <w:pPr>
        <w:spacing w:after="120" w:line="480" w:lineRule="auto"/>
        <w:rPr>
          <w:sz w:val="20"/>
          <w:szCs w:val="20"/>
          <w:lang w:val="en-US"/>
        </w:rPr>
      </w:pPr>
      <w:r>
        <w:rPr>
          <w:sz w:val="20"/>
          <w:szCs w:val="20"/>
          <w:lang w:val="en-US"/>
        </w:rPr>
        <w:t xml:space="preserve">Betts, M.J., </w:t>
      </w:r>
      <w:proofErr w:type="spellStart"/>
      <w:r>
        <w:rPr>
          <w:sz w:val="20"/>
          <w:szCs w:val="20"/>
          <w:lang w:val="en-US"/>
        </w:rPr>
        <w:t>Kirilina</w:t>
      </w:r>
      <w:proofErr w:type="spellEnd"/>
      <w:r>
        <w:rPr>
          <w:sz w:val="20"/>
          <w:szCs w:val="20"/>
          <w:lang w:val="en-US"/>
        </w:rPr>
        <w:t xml:space="preserve">, E., </w:t>
      </w:r>
      <w:proofErr w:type="spellStart"/>
      <w:r>
        <w:rPr>
          <w:sz w:val="20"/>
          <w:szCs w:val="20"/>
          <w:lang w:val="en-US"/>
        </w:rPr>
        <w:t>Otaduy</w:t>
      </w:r>
      <w:proofErr w:type="spellEnd"/>
      <w:r>
        <w:rPr>
          <w:sz w:val="20"/>
          <w:szCs w:val="20"/>
          <w:lang w:val="en-US"/>
        </w:rPr>
        <w:t>, M.C.G., Ivanov, D., Acosta-</w:t>
      </w:r>
      <w:proofErr w:type="spellStart"/>
      <w:r>
        <w:rPr>
          <w:sz w:val="20"/>
          <w:szCs w:val="20"/>
          <w:lang w:val="en-US"/>
        </w:rPr>
        <w:t>Cabronero</w:t>
      </w:r>
      <w:proofErr w:type="spellEnd"/>
      <w:r>
        <w:rPr>
          <w:sz w:val="20"/>
          <w:szCs w:val="20"/>
          <w:lang w:val="en-US"/>
        </w:rPr>
        <w:t xml:space="preserve">, J., Callaghan, M.F., Lambert, C., Cardenas-Blanco, A., Pine, K., Passamonti, L., </w:t>
      </w:r>
      <w:proofErr w:type="spellStart"/>
      <w:r>
        <w:rPr>
          <w:sz w:val="20"/>
          <w:szCs w:val="20"/>
          <w:lang w:val="en-US"/>
        </w:rPr>
        <w:t>Loane</w:t>
      </w:r>
      <w:proofErr w:type="spellEnd"/>
      <w:r>
        <w:rPr>
          <w:sz w:val="20"/>
          <w:szCs w:val="20"/>
          <w:lang w:val="en-US"/>
        </w:rPr>
        <w:t xml:space="preserve">, C., </w:t>
      </w:r>
      <w:proofErr w:type="spellStart"/>
      <w:r>
        <w:rPr>
          <w:sz w:val="20"/>
          <w:szCs w:val="20"/>
          <w:lang w:val="en-US"/>
        </w:rPr>
        <w:t>Keuken</w:t>
      </w:r>
      <w:proofErr w:type="spellEnd"/>
      <w:r>
        <w:rPr>
          <w:sz w:val="20"/>
          <w:szCs w:val="20"/>
          <w:lang w:val="en-US"/>
        </w:rPr>
        <w:t xml:space="preserve">, M.C., Trujillo, P., </w:t>
      </w:r>
      <w:proofErr w:type="spellStart"/>
      <w:r>
        <w:rPr>
          <w:sz w:val="20"/>
          <w:szCs w:val="20"/>
          <w:lang w:val="en-US"/>
        </w:rPr>
        <w:t>Lüsebrink</w:t>
      </w:r>
      <w:proofErr w:type="spellEnd"/>
      <w:r>
        <w:rPr>
          <w:sz w:val="20"/>
          <w:szCs w:val="20"/>
          <w:lang w:val="en-US"/>
        </w:rPr>
        <w:t xml:space="preserve">, F., </w:t>
      </w:r>
      <w:proofErr w:type="spellStart"/>
      <w:r>
        <w:rPr>
          <w:sz w:val="20"/>
          <w:szCs w:val="20"/>
          <w:lang w:val="en-US"/>
        </w:rPr>
        <w:t>Mattern</w:t>
      </w:r>
      <w:proofErr w:type="spellEnd"/>
      <w:r>
        <w:rPr>
          <w:sz w:val="20"/>
          <w:szCs w:val="20"/>
          <w:lang w:val="en-US"/>
        </w:rPr>
        <w:t xml:space="preserve">, H., Liu, K.Y., </w:t>
      </w:r>
      <w:proofErr w:type="spellStart"/>
      <w:r>
        <w:rPr>
          <w:sz w:val="20"/>
          <w:szCs w:val="20"/>
          <w:lang w:val="en-US"/>
        </w:rPr>
        <w:t>Priovoulos</w:t>
      </w:r>
      <w:proofErr w:type="spellEnd"/>
      <w:r>
        <w:rPr>
          <w:sz w:val="20"/>
          <w:szCs w:val="20"/>
          <w:lang w:val="en-US"/>
        </w:rPr>
        <w:t xml:space="preserve">, N., </w:t>
      </w:r>
      <w:proofErr w:type="spellStart"/>
      <w:r>
        <w:rPr>
          <w:sz w:val="20"/>
          <w:szCs w:val="20"/>
          <w:lang w:val="en-US"/>
        </w:rPr>
        <w:t>Fliessbach</w:t>
      </w:r>
      <w:proofErr w:type="spellEnd"/>
      <w:r>
        <w:rPr>
          <w:sz w:val="20"/>
          <w:szCs w:val="20"/>
          <w:lang w:val="en-US"/>
        </w:rPr>
        <w:t xml:space="preserve">, K., Dahl, M.J., </w:t>
      </w:r>
      <w:proofErr w:type="spellStart"/>
      <w:r>
        <w:rPr>
          <w:sz w:val="20"/>
          <w:szCs w:val="20"/>
          <w:lang w:val="en-US"/>
        </w:rPr>
        <w:t>Maaß</w:t>
      </w:r>
      <w:proofErr w:type="spellEnd"/>
      <w:r>
        <w:rPr>
          <w:sz w:val="20"/>
          <w:szCs w:val="20"/>
          <w:lang w:val="en-US"/>
        </w:rPr>
        <w:t xml:space="preserve">, A., Madelung, C.F., </w:t>
      </w:r>
      <w:proofErr w:type="spellStart"/>
      <w:r>
        <w:rPr>
          <w:sz w:val="20"/>
          <w:szCs w:val="20"/>
          <w:lang w:val="en-US"/>
        </w:rPr>
        <w:t>Meder</w:t>
      </w:r>
      <w:proofErr w:type="spellEnd"/>
      <w:r>
        <w:rPr>
          <w:sz w:val="20"/>
          <w:szCs w:val="20"/>
          <w:lang w:val="en-US"/>
        </w:rPr>
        <w:t xml:space="preserve">, D., Ehrenberg, A.J., Speck, O., Weiskopf, N., Dolan, R., Inglis, B., </w:t>
      </w:r>
      <w:proofErr w:type="spellStart"/>
      <w:r>
        <w:rPr>
          <w:sz w:val="20"/>
          <w:szCs w:val="20"/>
          <w:lang w:val="en-US"/>
        </w:rPr>
        <w:t>Tosun</w:t>
      </w:r>
      <w:proofErr w:type="spellEnd"/>
      <w:r>
        <w:rPr>
          <w:sz w:val="20"/>
          <w:szCs w:val="20"/>
          <w:lang w:val="en-US"/>
        </w:rPr>
        <w:t xml:space="preserve">, D., </w:t>
      </w:r>
      <w:proofErr w:type="spellStart"/>
      <w:r>
        <w:rPr>
          <w:sz w:val="20"/>
          <w:szCs w:val="20"/>
          <w:lang w:val="en-US"/>
        </w:rPr>
        <w:t>Morawski</w:t>
      </w:r>
      <w:proofErr w:type="spellEnd"/>
      <w:r>
        <w:rPr>
          <w:sz w:val="20"/>
          <w:szCs w:val="20"/>
          <w:lang w:val="en-US"/>
        </w:rPr>
        <w:t xml:space="preserve">, M., </w:t>
      </w:r>
      <w:proofErr w:type="spellStart"/>
      <w:r>
        <w:rPr>
          <w:sz w:val="20"/>
          <w:szCs w:val="20"/>
          <w:lang w:val="en-US"/>
        </w:rPr>
        <w:t>Zucca</w:t>
      </w:r>
      <w:proofErr w:type="spellEnd"/>
      <w:r>
        <w:rPr>
          <w:sz w:val="20"/>
          <w:szCs w:val="20"/>
          <w:lang w:val="en-US"/>
        </w:rPr>
        <w:t xml:space="preserve">, F.A., </w:t>
      </w:r>
      <w:proofErr w:type="spellStart"/>
      <w:r>
        <w:rPr>
          <w:sz w:val="20"/>
          <w:szCs w:val="20"/>
          <w:lang w:val="en-US"/>
        </w:rPr>
        <w:t>Siebner</w:t>
      </w:r>
      <w:proofErr w:type="spellEnd"/>
      <w:r>
        <w:rPr>
          <w:sz w:val="20"/>
          <w:szCs w:val="20"/>
          <w:lang w:val="en-US"/>
        </w:rPr>
        <w:t xml:space="preserve">, H.R., Mather, M., </w:t>
      </w:r>
      <w:proofErr w:type="spellStart"/>
      <w:r>
        <w:rPr>
          <w:sz w:val="20"/>
          <w:szCs w:val="20"/>
          <w:lang w:val="en-US"/>
        </w:rPr>
        <w:t>Uludag</w:t>
      </w:r>
      <w:proofErr w:type="spellEnd"/>
      <w:r>
        <w:rPr>
          <w:sz w:val="20"/>
          <w:szCs w:val="20"/>
          <w:lang w:val="en-US"/>
        </w:rPr>
        <w:t xml:space="preserve">, K., </w:t>
      </w:r>
      <w:proofErr w:type="spellStart"/>
      <w:r>
        <w:rPr>
          <w:sz w:val="20"/>
          <w:szCs w:val="20"/>
          <w:lang w:val="en-US"/>
        </w:rPr>
        <w:t>Heinsen</w:t>
      </w:r>
      <w:proofErr w:type="spellEnd"/>
      <w:r>
        <w:rPr>
          <w:sz w:val="20"/>
          <w:szCs w:val="20"/>
          <w:lang w:val="en-US"/>
        </w:rPr>
        <w:t xml:space="preserve">, H., Poser, B.A., Howard, R., </w:t>
      </w:r>
      <w:proofErr w:type="spellStart"/>
      <w:r>
        <w:rPr>
          <w:sz w:val="20"/>
          <w:szCs w:val="20"/>
          <w:lang w:val="en-US"/>
        </w:rPr>
        <w:t>Zecca</w:t>
      </w:r>
      <w:proofErr w:type="spellEnd"/>
      <w:r>
        <w:rPr>
          <w:sz w:val="20"/>
          <w:szCs w:val="20"/>
          <w:lang w:val="en-US"/>
        </w:rPr>
        <w:t xml:space="preserve">, L., Rowe, J.B., Grinberg, L.T., Jacobs, H.I.L., </w:t>
      </w:r>
      <w:proofErr w:type="spellStart"/>
      <w:r>
        <w:rPr>
          <w:sz w:val="20"/>
          <w:szCs w:val="20"/>
          <w:lang w:val="en-US"/>
        </w:rPr>
        <w:t>Düzel</w:t>
      </w:r>
      <w:proofErr w:type="spellEnd"/>
      <w:r>
        <w:rPr>
          <w:sz w:val="20"/>
          <w:szCs w:val="20"/>
          <w:lang w:val="en-US"/>
        </w:rPr>
        <w:t xml:space="preserve">, E., </w:t>
      </w:r>
      <w:proofErr w:type="spellStart"/>
      <w:r>
        <w:rPr>
          <w:sz w:val="20"/>
          <w:szCs w:val="20"/>
          <w:lang w:val="en-US"/>
        </w:rPr>
        <w:t>Hämmerer</w:t>
      </w:r>
      <w:proofErr w:type="spellEnd"/>
      <w:r>
        <w:rPr>
          <w:sz w:val="20"/>
          <w:szCs w:val="20"/>
          <w:lang w:val="en-US"/>
        </w:rPr>
        <w:t>, D., 2019. Locus coeruleus imaging as a biomarker for noradrenergic dysfunction in neurodegenerative diseases. 142, 2558-2571.</w:t>
      </w:r>
    </w:p>
    <w:p w:rsidR="00352A2A" w:rsidRPr="00B26E04" w:rsidRDefault="0096787B" w:rsidP="00113B97">
      <w:pPr>
        <w:spacing w:after="120" w:line="480" w:lineRule="auto"/>
        <w:rPr>
          <w:sz w:val="20"/>
          <w:szCs w:val="20"/>
          <w:lang w:val="en-US"/>
        </w:rPr>
      </w:pPr>
      <w:r>
        <w:rPr>
          <w:sz w:val="20"/>
          <w:szCs w:val="20"/>
          <w:lang w:val="en-US"/>
        </w:rPr>
        <w:t xml:space="preserve">Bevilacqua, L., </w:t>
      </w:r>
      <w:proofErr w:type="spellStart"/>
      <w:r>
        <w:rPr>
          <w:sz w:val="20"/>
          <w:szCs w:val="20"/>
          <w:lang w:val="en-US"/>
        </w:rPr>
        <w:t>Doly</w:t>
      </w:r>
      <w:proofErr w:type="spellEnd"/>
      <w:r>
        <w:rPr>
          <w:sz w:val="20"/>
          <w:szCs w:val="20"/>
          <w:lang w:val="en-US"/>
        </w:rPr>
        <w:t xml:space="preserve">, S., </w:t>
      </w:r>
      <w:proofErr w:type="spellStart"/>
      <w:r>
        <w:rPr>
          <w:sz w:val="20"/>
          <w:szCs w:val="20"/>
          <w:lang w:val="en-US"/>
        </w:rPr>
        <w:t>Kaprio</w:t>
      </w:r>
      <w:proofErr w:type="spellEnd"/>
      <w:r>
        <w:rPr>
          <w:sz w:val="20"/>
          <w:szCs w:val="20"/>
          <w:lang w:val="en-US"/>
        </w:rPr>
        <w:t xml:space="preserve">, J., Yuan, Q., </w:t>
      </w:r>
      <w:proofErr w:type="spellStart"/>
      <w:r>
        <w:rPr>
          <w:sz w:val="20"/>
          <w:szCs w:val="20"/>
          <w:lang w:val="en-US"/>
        </w:rPr>
        <w:t>Tikkanen</w:t>
      </w:r>
      <w:proofErr w:type="spellEnd"/>
      <w:r>
        <w:rPr>
          <w:sz w:val="20"/>
          <w:szCs w:val="20"/>
          <w:lang w:val="en-US"/>
        </w:rPr>
        <w:t xml:space="preserve">, R., </w:t>
      </w:r>
      <w:proofErr w:type="spellStart"/>
      <w:r>
        <w:rPr>
          <w:sz w:val="20"/>
          <w:szCs w:val="20"/>
          <w:lang w:val="en-US"/>
        </w:rPr>
        <w:t>Paunio</w:t>
      </w:r>
      <w:proofErr w:type="spellEnd"/>
      <w:r>
        <w:rPr>
          <w:sz w:val="20"/>
          <w:szCs w:val="20"/>
          <w:lang w:val="en-US"/>
        </w:rPr>
        <w:t xml:space="preserve">, T., Zhou, Z., </w:t>
      </w:r>
      <w:proofErr w:type="spellStart"/>
      <w:r>
        <w:rPr>
          <w:sz w:val="20"/>
          <w:szCs w:val="20"/>
          <w:lang w:val="en-US"/>
        </w:rPr>
        <w:t>Wedenoja</w:t>
      </w:r>
      <w:proofErr w:type="spellEnd"/>
      <w:r>
        <w:rPr>
          <w:sz w:val="20"/>
          <w:szCs w:val="20"/>
          <w:lang w:val="en-US"/>
        </w:rPr>
        <w:t xml:space="preserve">, J., </w:t>
      </w:r>
      <w:proofErr w:type="spellStart"/>
      <w:r>
        <w:rPr>
          <w:sz w:val="20"/>
          <w:szCs w:val="20"/>
          <w:lang w:val="en-US"/>
        </w:rPr>
        <w:t>Maroteaux</w:t>
      </w:r>
      <w:proofErr w:type="spellEnd"/>
      <w:r>
        <w:rPr>
          <w:sz w:val="20"/>
          <w:szCs w:val="20"/>
          <w:lang w:val="en-US"/>
        </w:rPr>
        <w:t xml:space="preserve">, L., Diaz, S., </w:t>
      </w:r>
      <w:proofErr w:type="spellStart"/>
      <w:r>
        <w:rPr>
          <w:sz w:val="20"/>
          <w:szCs w:val="20"/>
          <w:lang w:val="en-US"/>
        </w:rPr>
        <w:t>Belmer</w:t>
      </w:r>
      <w:proofErr w:type="spellEnd"/>
      <w:r>
        <w:rPr>
          <w:sz w:val="20"/>
          <w:szCs w:val="20"/>
          <w:lang w:val="en-US"/>
        </w:rPr>
        <w:t xml:space="preserve">, A., Hodgkinson, C.A., </w:t>
      </w:r>
      <w:proofErr w:type="spellStart"/>
      <w:r>
        <w:rPr>
          <w:sz w:val="20"/>
          <w:szCs w:val="20"/>
          <w:lang w:val="en-US"/>
        </w:rPr>
        <w:t>Dell'osso</w:t>
      </w:r>
      <w:proofErr w:type="spellEnd"/>
      <w:r>
        <w:rPr>
          <w:sz w:val="20"/>
          <w:szCs w:val="20"/>
          <w:lang w:val="en-US"/>
        </w:rPr>
        <w:t xml:space="preserve">, L., </w:t>
      </w:r>
      <w:proofErr w:type="spellStart"/>
      <w:r>
        <w:rPr>
          <w:sz w:val="20"/>
          <w:szCs w:val="20"/>
          <w:lang w:val="en-US"/>
        </w:rPr>
        <w:t>Suvisaari</w:t>
      </w:r>
      <w:proofErr w:type="spellEnd"/>
      <w:r>
        <w:rPr>
          <w:sz w:val="20"/>
          <w:szCs w:val="20"/>
          <w:lang w:val="en-US"/>
        </w:rPr>
        <w:t xml:space="preserve">, J., </w:t>
      </w:r>
      <w:proofErr w:type="spellStart"/>
      <w:r>
        <w:rPr>
          <w:sz w:val="20"/>
          <w:szCs w:val="20"/>
          <w:lang w:val="en-US"/>
        </w:rPr>
        <w:t>Coccaro</w:t>
      </w:r>
      <w:proofErr w:type="spellEnd"/>
      <w:r>
        <w:rPr>
          <w:sz w:val="20"/>
          <w:szCs w:val="20"/>
          <w:lang w:val="en-US"/>
        </w:rPr>
        <w:t xml:space="preserve">, E., Rose, R.J., </w:t>
      </w:r>
      <w:proofErr w:type="spellStart"/>
      <w:r>
        <w:rPr>
          <w:sz w:val="20"/>
          <w:szCs w:val="20"/>
          <w:lang w:val="en-US"/>
        </w:rPr>
        <w:t>Peltonen</w:t>
      </w:r>
      <w:proofErr w:type="spellEnd"/>
      <w:r>
        <w:rPr>
          <w:sz w:val="20"/>
          <w:szCs w:val="20"/>
          <w:lang w:val="en-US"/>
        </w:rPr>
        <w:t xml:space="preserve">, L., </w:t>
      </w:r>
      <w:proofErr w:type="spellStart"/>
      <w:r>
        <w:rPr>
          <w:sz w:val="20"/>
          <w:szCs w:val="20"/>
          <w:lang w:val="en-US"/>
        </w:rPr>
        <w:t>Virkkunen</w:t>
      </w:r>
      <w:proofErr w:type="spellEnd"/>
      <w:r>
        <w:rPr>
          <w:sz w:val="20"/>
          <w:szCs w:val="20"/>
          <w:lang w:val="en-US"/>
        </w:rPr>
        <w:t>, M., Goldman, D., 2010. A population-specific HTR2B stop codon predisposes to severe impulsivity. Nature 468, 1061-1066.</w:t>
      </w:r>
    </w:p>
    <w:p w:rsidR="00352A2A" w:rsidRPr="00B26E04" w:rsidRDefault="0096787B" w:rsidP="00113B97">
      <w:pPr>
        <w:spacing w:after="120" w:line="480" w:lineRule="auto"/>
        <w:rPr>
          <w:sz w:val="20"/>
          <w:szCs w:val="20"/>
          <w:lang w:val="en-US"/>
        </w:rPr>
      </w:pPr>
      <w:r>
        <w:rPr>
          <w:sz w:val="20"/>
          <w:szCs w:val="20"/>
          <w:lang w:val="en-US"/>
        </w:rPr>
        <w:t xml:space="preserve">Beyer, F., </w:t>
      </w:r>
      <w:proofErr w:type="spellStart"/>
      <w:r>
        <w:rPr>
          <w:sz w:val="20"/>
          <w:szCs w:val="20"/>
          <w:lang w:val="en-US"/>
        </w:rPr>
        <w:t>Münte</w:t>
      </w:r>
      <w:proofErr w:type="spellEnd"/>
      <w:r>
        <w:rPr>
          <w:sz w:val="20"/>
          <w:szCs w:val="20"/>
          <w:lang w:val="en-US"/>
        </w:rPr>
        <w:t xml:space="preserve">, T.F., </w:t>
      </w:r>
      <w:proofErr w:type="spellStart"/>
      <w:r>
        <w:rPr>
          <w:sz w:val="20"/>
          <w:szCs w:val="20"/>
          <w:lang w:val="en-US"/>
        </w:rPr>
        <w:t>Wiechert</w:t>
      </w:r>
      <w:proofErr w:type="spellEnd"/>
      <w:r>
        <w:rPr>
          <w:sz w:val="20"/>
          <w:szCs w:val="20"/>
          <w:lang w:val="en-US"/>
        </w:rPr>
        <w:t xml:space="preserve">, J., </w:t>
      </w:r>
      <w:proofErr w:type="spellStart"/>
      <w:r>
        <w:rPr>
          <w:sz w:val="20"/>
          <w:szCs w:val="20"/>
          <w:lang w:val="en-US"/>
        </w:rPr>
        <w:t>Heldmann</w:t>
      </w:r>
      <w:proofErr w:type="spellEnd"/>
      <w:r>
        <w:rPr>
          <w:sz w:val="20"/>
          <w:szCs w:val="20"/>
          <w:lang w:val="en-US"/>
        </w:rPr>
        <w:t xml:space="preserve">, M., </w:t>
      </w:r>
      <w:proofErr w:type="spellStart"/>
      <w:r>
        <w:rPr>
          <w:sz w:val="20"/>
          <w:szCs w:val="20"/>
          <w:lang w:val="en-US"/>
        </w:rPr>
        <w:t>Krämer</w:t>
      </w:r>
      <w:proofErr w:type="spellEnd"/>
      <w:r>
        <w:rPr>
          <w:sz w:val="20"/>
          <w:szCs w:val="20"/>
          <w:lang w:val="en-US"/>
        </w:rPr>
        <w:t xml:space="preserve">, U.M., 2014. Trait aggressiveness is not related to structural connectivity between orbitofrontal cortex and amygdala. </w:t>
      </w:r>
      <w:proofErr w:type="spellStart"/>
      <w:r>
        <w:rPr>
          <w:sz w:val="20"/>
          <w:szCs w:val="20"/>
          <w:lang w:val="en-US"/>
        </w:rPr>
        <w:t>PLoS</w:t>
      </w:r>
      <w:proofErr w:type="spellEnd"/>
      <w:r>
        <w:rPr>
          <w:sz w:val="20"/>
          <w:szCs w:val="20"/>
          <w:lang w:val="en-US"/>
        </w:rPr>
        <w:t xml:space="preserve"> One 9, e101105.</w:t>
      </w:r>
    </w:p>
    <w:p w:rsidR="00352A2A" w:rsidRPr="00B26E04" w:rsidRDefault="0096787B" w:rsidP="00113B97">
      <w:pPr>
        <w:spacing w:after="120" w:line="480" w:lineRule="auto"/>
        <w:rPr>
          <w:sz w:val="20"/>
          <w:szCs w:val="20"/>
          <w:lang w:val="en-US"/>
        </w:rPr>
      </w:pPr>
      <w:r>
        <w:rPr>
          <w:sz w:val="20"/>
          <w:szCs w:val="20"/>
          <w:lang w:val="en-US"/>
        </w:rPr>
        <w:t xml:space="preserve">Bhakta, S.G., Zhang, J.P., Malhotra, A.K., 2012. The COMT Met158 allele and violence in schizophrenia: a meta-analysis. </w:t>
      </w:r>
      <w:proofErr w:type="spellStart"/>
      <w:r>
        <w:rPr>
          <w:sz w:val="20"/>
          <w:szCs w:val="20"/>
          <w:lang w:val="en-US"/>
        </w:rPr>
        <w:t>Schizophr</w:t>
      </w:r>
      <w:proofErr w:type="spellEnd"/>
      <w:r>
        <w:rPr>
          <w:sz w:val="20"/>
          <w:szCs w:val="20"/>
          <w:lang w:val="en-US"/>
        </w:rPr>
        <w:t>. Res. 140, 192-197.</w:t>
      </w:r>
    </w:p>
    <w:p w:rsidR="00ED6D63" w:rsidRPr="00B26E04" w:rsidRDefault="0096787B" w:rsidP="00113B97">
      <w:pPr>
        <w:spacing w:after="120" w:line="480" w:lineRule="auto"/>
        <w:rPr>
          <w:sz w:val="20"/>
          <w:szCs w:val="20"/>
          <w:lang w:val="en-US"/>
        </w:rPr>
      </w:pPr>
      <w:proofErr w:type="spellStart"/>
      <w:r>
        <w:rPr>
          <w:sz w:val="20"/>
          <w:szCs w:val="20"/>
          <w:lang w:val="en-US"/>
        </w:rPr>
        <w:t>Bianciardi</w:t>
      </w:r>
      <w:proofErr w:type="spellEnd"/>
      <w:r>
        <w:rPr>
          <w:sz w:val="20"/>
          <w:szCs w:val="20"/>
          <w:lang w:val="en-US"/>
        </w:rPr>
        <w:t xml:space="preserve">, M., Strong, C., Toschi, N., </w:t>
      </w:r>
      <w:proofErr w:type="spellStart"/>
      <w:r>
        <w:rPr>
          <w:sz w:val="20"/>
          <w:szCs w:val="20"/>
          <w:lang w:val="en-US"/>
        </w:rPr>
        <w:t>Edlow</w:t>
      </w:r>
      <w:proofErr w:type="spellEnd"/>
      <w:r>
        <w:rPr>
          <w:sz w:val="20"/>
          <w:szCs w:val="20"/>
          <w:lang w:val="en-US"/>
        </w:rPr>
        <w:t xml:space="preserve">, B.L., </w:t>
      </w:r>
      <w:proofErr w:type="spellStart"/>
      <w:r>
        <w:rPr>
          <w:sz w:val="20"/>
          <w:szCs w:val="20"/>
          <w:lang w:val="en-US"/>
        </w:rPr>
        <w:t>Fischl</w:t>
      </w:r>
      <w:proofErr w:type="spellEnd"/>
      <w:r>
        <w:rPr>
          <w:sz w:val="20"/>
          <w:szCs w:val="20"/>
          <w:lang w:val="en-US"/>
        </w:rPr>
        <w:t xml:space="preserve">, B., Brown, E.N., Rosen, B.R., Wald, L.L., 2018. A probabilistic template of human </w:t>
      </w:r>
      <w:proofErr w:type="spellStart"/>
      <w:r>
        <w:rPr>
          <w:sz w:val="20"/>
          <w:szCs w:val="20"/>
          <w:lang w:val="en-US"/>
        </w:rPr>
        <w:t>mesopontine</w:t>
      </w:r>
      <w:proofErr w:type="spellEnd"/>
      <w:r>
        <w:rPr>
          <w:sz w:val="20"/>
          <w:szCs w:val="20"/>
          <w:lang w:val="en-US"/>
        </w:rPr>
        <w:t xml:space="preserve"> tegmental nuclei from in vivo 7T MRI. Neuroimage 170, 222-230.</w:t>
      </w:r>
    </w:p>
    <w:p w:rsidR="00352A2A" w:rsidRPr="00B26E04" w:rsidRDefault="0096787B" w:rsidP="00113B97">
      <w:pPr>
        <w:spacing w:after="120" w:line="480" w:lineRule="auto"/>
        <w:rPr>
          <w:sz w:val="20"/>
          <w:szCs w:val="20"/>
          <w:lang w:val="en-US"/>
        </w:rPr>
      </w:pPr>
      <w:r>
        <w:rPr>
          <w:sz w:val="20"/>
          <w:szCs w:val="20"/>
          <w:lang w:val="en-US"/>
        </w:rPr>
        <w:t xml:space="preserve">Blair, R.J., 2004. The roles of orbital frontal cortex in the modulation of antisocial behavior. Brain </w:t>
      </w:r>
      <w:proofErr w:type="spellStart"/>
      <w:r>
        <w:rPr>
          <w:sz w:val="20"/>
          <w:szCs w:val="20"/>
          <w:lang w:val="en-US"/>
        </w:rPr>
        <w:t>Cogn</w:t>
      </w:r>
      <w:proofErr w:type="spellEnd"/>
      <w:r>
        <w:rPr>
          <w:sz w:val="20"/>
          <w:szCs w:val="20"/>
          <w:lang w:val="en-US"/>
        </w:rPr>
        <w:t>. 55, 198-208.</w:t>
      </w:r>
    </w:p>
    <w:p w:rsidR="00352A2A" w:rsidRPr="00B26E04" w:rsidRDefault="0096787B" w:rsidP="00113B97">
      <w:pPr>
        <w:spacing w:after="120" w:line="480" w:lineRule="auto"/>
        <w:rPr>
          <w:sz w:val="20"/>
          <w:szCs w:val="20"/>
          <w:lang w:val="en-US"/>
        </w:rPr>
      </w:pPr>
      <w:r>
        <w:rPr>
          <w:sz w:val="20"/>
          <w:szCs w:val="20"/>
          <w:lang w:val="en-US"/>
        </w:rPr>
        <w:t>Blake, P.Y., Pincus, J.H., Buckner, C., 1995. Neurologic abnormalities in murderers. Neurology 45, 1641-1647.</w:t>
      </w:r>
    </w:p>
    <w:p w:rsidR="00352A2A" w:rsidRPr="00B26E04" w:rsidRDefault="0096787B" w:rsidP="00113B97">
      <w:pPr>
        <w:spacing w:after="120" w:line="480" w:lineRule="auto"/>
        <w:rPr>
          <w:sz w:val="20"/>
          <w:szCs w:val="20"/>
          <w:lang w:val="en-US"/>
        </w:rPr>
      </w:pPr>
      <w:r>
        <w:rPr>
          <w:sz w:val="20"/>
          <w:szCs w:val="20"/>
          <w:lang w:val="en-US"/>
        </w:rPr>
        <w:t xml:space="preserve">Blumer, D., Benson, D., 1975. Personality changes with frontal and temporal lobe lesions, in: Benson, D., Blumer, D. (Eds.), Psychiatric Aspects of Neurologic Disease. </w:t>
      </w:r>
      <w:proofErr w:type="spellStart"/>
      <w:r>
        <w:rPr>
          <w:sz w:val="20"/>
          <w:szCs w:val="20"/>
          <w:lang w:val="en-US"/>
        </w:rPr>
        <w:t>Grune</w:t>
      </w:r>
      <w:proofErr w:type="spellEnd"/>
      <w:r>
        <w:rPr>
          <w:sz w:val="20"/>
          <w:szCs w:val="20"/>
          <w:lang w:val="en-US"/>
        </w:rPr>
        <w:t xml:space="preserve"> &amp; Stratton New York, pp.151–169.</w:t>
      </w:r>
    </w:p>
    <w:p w:rsidR="00352A2A" w:rsidRPr="00B26E04" w:rsidRDefault="0096787B" w:rsidP="00113B97">
      <w:pPr>
        <w:spacing w:after="120" w:line="480" w:lineRule="auto"/>
        <w:rPr>
          <w:sz w:val="20"/>
          <w:szCs w:val="20"/>
          <w:lang w:val="en-US"/>
        </w:rPr>
      </w:pPr>
      <w:proofErr w:type="spellStart"/>
      <w:r>
        <w:rPr>
          <w:sz w:val="20"/>
          <w:szCs w:val="20"/>
          <w:lang w:val="en-US"/>
        </w:rPr>
        <w:t>Boes</w:t>
      </w:r>
      <w:proofErr w:type="spellEnd"/>
      <w:r>
        <w:rPr>
          <w:sz w:val="20"/>
          <w:szCs w:val="20"/>
          <w:lang w:val="en-US"/>
        </w:rPr>
        <w:t xml:space="preserve">, A.D., </w:t>
      </w:r>
      <w:proofErr w:type="spellStart"/>
      <w:r>
        <w:rPr>
          <w:sz w:val="20"/>
          <w:szCs w:val="20"/>
          <w:lang w:val="en-US"/>
        </w:rPr>
        <w:t>Tranel</w:t>
      </w:r>
      <w:proofErr w:type="spellEnd"/>
      <w:r>
        <w:rPr>
          <w:sz w:val="20"/>
          <w:szCs w:val="20"/>
          <w:lang w:val="en-US"/>
        </w:rPr>
        <w:t xml:space="preserve">, D., Anderson, S.W., </w:t>
      </w:r>
      <w:proofErr w:type="spellStart"/>
      <w:r>
        <w:rPr>
          <w:sz w:val="20"/>
          <w:szCs w:val="20"/>
          <w:lang w:val="en-US"/>
        </w:rPr>
        <w:t>Nopoulos</w:t>
      </w:r>
      <w:proofErr w:type="spellEnd"/>
      <w:r>
        <w:rPr>
          <w:sz w:val="20"/>
          <w:szCs w:val="20"/>
          <w:lang w:val="en-US"/>
        </w:rPr>
        <w:t xml:space="preserve">, P., 2008. Right anterior cingulate: a neuroanatomical correlate of aggression and defiance in boys. </w:t>
      </w:r>
      <w:proofErr w:type="spellStart"/>
      <w:r>
        <w:rPr>
          <w:sz w:val="20"/>
          <w:szCs w:val="20"/>
          <w:lang w:val="en-US"/>
        </w:rPr>
        <w:t>Behav</w:t>
      </w:r>
      <w:proofErr w:type="spellEnd"/>
      <w:r>
        <w:rPr>
          <w:sz w:val="20"/>
          <w:szCs w:val="20"/>
          <w:lang w:val="en-US"/>
        </w:rPr>
        <w:t xml:space="preserve">. </w:t>
      </w:r>
      <w:proofErr w:type="spellStart"/>
      <w:r>
        <w:rPr>
          <w:sz w:val="20"/>
          <w:szCs w:val="20"/>
          <w:lang w:val="en-US"/>
        </w:rPr>
        <w:t>Neurosci</w:t>
      </w:r>
      <w:proofErr w:type="spellEnd"/>
      <w:r>
        <w:rPr>
          <w:sz w:val="20"/>
          <w:szCs w:val="20"/>
          <w:lang w:val="en-US"/>
        </w:rPr>
        <w:t>. 122, 677-684.</w:t>
      </w:r>
    </w:p>
    <w:p w:rsidR="00BA6666" w:rsidRPr="00B26E04" w:rsidRDefault="0096787B" w:rsidP="00113B97">
      <w:pPr>
        <w:spacing w:after="120" w:line="480" w:lineRule="auto"/>
        <w:rPr>
          <w:sz w:val="20"/>
          <w:szCs w:val="20"/>
          <w:lang w:val="en-US"/>
        </w:rPr>
      </w:pPr>
      <w:proofErr w:type="spellStart"/>
      <w:r>
        <w:rPr>
          <w:sz w:val="20"/>
          <w:szCs w:val="20"/>
          <w:lang w:val="en-US"/>
        </w:rPr>
        <w:t>Boes</w:t>
      </w:r>
      <w:proofErr w:type="spellEnd"/>
      <w:r>
        <w:rPr>
          <w:sz w:val="20"/>
          <w:szCs w:val="20"/>
          <w:lang w:val="en-US"/>
        </w:rPr>
        <w:t xml:space="preserve">, A.D., </w:t>
      </w:r>
      <w:proofErr w:type="spellStart"/>
      <w:r>
        <w:rPr>
          <w:sz w:val="20"/>
          <w:szCs w:val="20"/>
          <w:lang w:val="en-US"/>
        </w:rPr>
        <w:t>Grafft</w:t>
      </w:r>
      <w:proofErr w:type="spellEnd"/>
      <w:r>
        <w:rPr>
          <w:sz w:val="20"/>
          <w:szCs w:val="20"/>
          <w:lang w:val="en-US"/>
        </w:rPr>
        <w:t xml:space="preserve">, A.H., Joshi, C., Chuang, N.A., </w:t>
      </w:r>
      <w:proofErr w:type="spellStart"/>
      <w:r>
        <w:rPr>
          <w:sz w:val="20"/>
          <w:szCs w:val="20"/>
          <w:lang w:val="en-US"/>
        </w:rPr>
        <w:t>Nopoulos</w:t>
      </w:r>
      <w:proofErr w:type="spellEnd"/>
      <w:r>
        <w:rPr>
          <w:sz w:val="20"/>
          <w:szCs w:val="20"/>
          <w:lang w:val="en-US"/>
        </w:rPr>
        <w:t>, P., Anderson, S.W., 2011. Behavioral effects of congenital ventromedial prefrontal cortex malformation. BMC Neurol. 11, 151.</w:t>
      </w:r>
    </w:p>
    <w:p w:rsidR="00352A2A" w:rsidRPr="00B26E04" w:rsidRDefault="0096787B" w:rsidP="00113B97">
      <w:pPr>
        <w:spacing w:after="120" w:line="480" w:lineRule="auto"/>
        <w:rPr>
          <w:sz w:val="20"/>
          <w:szCs w:val="20"/>
          <w:lang w:val="en-US"/>
        </w:rPr>
      </w:pPr>
      <w:r>
        <w:rPr>
          <w:sz w:val="20"/>
          <w:szCs w:val="20"/>
          <w:lang w:val="en-US"/>
        </w:rPr>
        <w:lastRenderedPageBreak/>
        <w:t xml:space="preserve">Boileau, I., </w:t>
      </w:r>
      <w:proofErr w:type="spellStart"/>
      <w:r>
        <w:rPr>
          <w:sz w:val="20"/>
          <w:szCs w:val="20"/>
          <w:lang w:val="en-US"/>
        </w:rPr>
        <w:t>Assaad</w:t>
      </w:r>
      <w:proofErr w:type="spellEnd"/>
      <w:r>
        <w:rPr>
          <w:sz w:val="20"/>
          <w:szCs w:val="20"/>
          <w:lang w:val="en-US"/>
        </w:rPr>
        <w:t xml:space="preserve">, J.M., Pihl, R.O., </w:t>
      </w:r>
      <w:proofErr w:type="spellStart"/>
      <w:r>
        <w:rPr>
          <w:sz w:val="20"/>
          <w:szCs w:val="20"/>
          <w:lang w:val="en-US"/>
        </w:rPr>
        <w:t>Benkelfat</w:t>
      </w:r>
      <w:proofErr w:type="spellEnd"/>
      <w:r>
        <w:rPr>
          <w:sz w:val="20"/>
          <w:szCs w:val="20"/>
          <w:lang w:val="en-US"/>
        </w:rPr>
        <w:t xml:space="preserve">, C., </w:t>
      </w:r>
      <w:proofErr w:type="spellStart"/>
      <w:r>
        <w:rPr>
          <w:sz w:val="20"/>
          <w:szCs w:val="20"/>
          <w:lang w:val="en-US"/>
        </w:rPr>
        <w:t>Leyton</w:t>
      </w:r>
      <w:proofErr w:type="spellEnd"/>
      <w:r>
        <w:rPr>
          <w:sz w:val="20"/>
          <w:szCs w:val="20"/>
          <w:lang w:val="en-US"/>
        </w:rPr>
        <w:t xml:space="preserve">, M., </w:t>
      </w:r>
      <w:proofErr w:type="spellStart"/>
      <w:r>
        <w:rPr>
          <w:sz w:val="20"/>
          <w:szCs w:val="20"/>
          <w:lang w:val="en-US"/>
        </w:rPr>
        <w:t>Diksic</w:t>
      </w:r>
      <w:proofErr w:type="spellEnd"/>
      <w:r>
        <w:rPr>
          <w:sz w:val="20"/>
          <w:szCs w:val="20"/>
          <w:lang w:val="en-US"/>
        </w:rPr>
        <w:t xml:space="preserve">, M., Tremblay, R.E., </w:t>
      </w:r>
      <w:proofErr w:type="spellStart"/>
      <w:r>
        <w:rPr>
          <w:sz w:val="20"/>
          <w:szCs w:val="20"/>
          <w:lang w:val="en-US"/>
        </w:rPr>
        <w:t>Dagher</w:t>
      </w:r>
      <w:proofErr w:type="spellEnd"/>
      <w:r>
        <w:rPr>
          <w:sz w:val="20"/>
          <w:szCs w:val="20"/>
          <w:lang w:val="en-US"/>
        </w:rPr>
        <w:t xml:space="preserve">, A., 2003. Alcohol promotes dopamine release in the human nucleus </w:t>
      </w:r>
      <w:proofErr w:type="spellStart"/>
      <w:r>
        <w:rPr>
          <w:sz w:val="20"/>
          <w:szCs w:val="20"/>
          <w:lang w:val="en-US"/>
        </w:rPr>
        <w:t>accumbens</w:t>
      </w:r>
      <w:proofErr w:type="spellEnd"/>
      <w:r>
        <w:rPr>
          <w:sz w:val="20"/>
          <w:szCs w:val="20"/>
          <w:lang w:val="en-US"/>
        </w:rPr>
        <w:t>. Synapse 49, 226-231.</w:t>
      </w:r>
    </w:p>
    <w:p w:rsidR="00352A2A" w:rsidRPr="00B26E04" w:rsidRDefault="0096787B" w:rsidP="00113B97">
      <w:pPr>
        <w:spacing w:after="120" w:line="480" w:lineRule="auto"/>
        <w:rPr>
          <w:sz w:val="20"/>
          <w:szCs w:val="20"/>
          <w:lang w:val="en-US"/>
        </w:rPr>
      </w:pPr>
      <w:proofErr w:type="spellStart"/>
      <w:r>
        <w:rPr>
          <w:sz w:val="20"/>
          <w:szCs w:val="20"/>
          <w:lang w:val="en-US"/>
        </w:rPr>
        <w:t>Booij</w:t>
      </w:r>
      <w:proofErr w:type="spellEnd"/>
      <w:r>
        <w:rPr>
          <w:sz w:val="20"/>
          <w:szCs w:val="20"/>
          <w:lang w:val="en-US"/>
        </w:rPr>
        <w:t xml:space="preserve">, L., </w:t>
      </w:r>
      <w:proofErr w:type="spellStart"/>
      <w:r>
        <w:rPr>
          <w:sz w:val="20"/>
          <w:szCs w:val="20"/>
          <w:lang w:val="en-US"/>
        </w:rPr>
        <w:t>Turecki</w:t>
      </w:r>
      <w:proofErr w:type="spellEnd"/>
      <w:r>
        <w:rPr>
          <w:sz w:val="20"/>
          <w:szCs w:val="20"/>
          <w:lang w:val="en-US"/>
        </w:rPr>
        <w:t xml:space="preserve">, G., </w:t>
      </w:r>
      <w:proofErr w:type="spellStart"/>
      <w:r>
        <w:rPr>
          <w:sz w:val="20"/>
          <w:szCs w:val="20"/>
          <w:lang w:val="en-US"/>
        </w:rPr>
        <w:t>Leyton</w:t>
      </w:r>
      <w:proofErr w:type="spellEnd"/>
      <w:r>
        <w:rPr>
          <w:sz w:val="20"/>
          <w:szCs w:val="20"/>
          <w:lang w:val="en-US"/>
        </w:rPr>
        <w:t xml:space="preserve">, M., Gravel, P., Lopez De Lara, C., </w:t>
      </w:r>
      <w:proofErr w:type="spellStart"/>
      <w:r>
        <w:rPr>
          <w:sz w:val="20"/>
          <w:szCs w:val="20"/>
          <w:lang w:val="en-US"/>
        </w:rPr>
        <w:t>Diksic</w:t>
      </w:r>
      <w:proofErr w:type="spellEnd"/>
      <w:r>
        <w:rPr>
          <w:sz w:val="20"/>
          <w:szCs w:val="20"/>
          <w:lang w:val="en-US"/>
        </w:rPr>
        <w:t xml:space="preserve">, M., </w:t>
      </w:r>
      <w:proofErr w:type="spellStart"/>
      <w:r>
        <w:rPr>
          <w:sz w:val="20"/>
          <w:szCs w:val="20"/>
          <w:lang w:val="en-US"/>
        </w:rPr>
        <w:t>Benkelfat</w:t>
      </w:r>
      <w:proofErr w:type="spellEnd"/>
      <w:r>
        <w:rPr>
          <w:sz w:val="20"/>
          <w:szCs w:val="20"/>
          <w:lang w:val="en-US"/>
        </w:rPr>
        <w:t>, C., 2012. Tryptophan hydroxylase(2) gene polymorphisms predict brain serotonin synthesis in the orbitofrontal cortex in humans. Mol. Psychiatry 17, 809-817.</w:t>
      </w:r>
    </w:p>
    <w:p w:rsidR="006C2CFE" w:rsidRPr="00B26E04" w:rsidRDefault="0096787B" w:rsidP="00113B97">
      <w:pPr>
        <w:spacing w:after="120" w:line="480" w:lineRule="auto"/>
        <w:rPr>
          <w:sz w:val="20"/>
          <w:szCs w:val="20"/>
          <w:lang w:val="en-US"/>
        </w:rPr>
      </w:pPr>
      <w:proofErr w:type="spellStart"/>
      <w:r>
        <w:rPr>
          <w:sz w:val="20"/>
          <w:szCs w:val="20"/>
          <w:lang w:val="en-US"/>
        </w:rPr>
        <w:t>Bortolato</w:t>
      </w:r>
      <w:proofErr w:type="spellEnd"/>
      <w:r>
        <w:rPr>
          <w:sz w:val="20"/>
          <w:szCs w:val="20"/>
          <w:lang w:val="en-US"/>
        </w:rPr>
        <w:t xml:space="preserve">, M., Floris, G., Shih, J.C., 2018. From aggression to autism: new perspectives on the behavioral sequelae of monoamine oxidase deficiency. J. Neural. </w:t>
      </w:r>
      <w:proofErr w:type="spellStart"/>
      <w:r>
        <w:rPr>
          <w:sz w:val="20"/>
          <w:szCs w:val="20"/>
          <w:lang w:val="en-US"/>
        </w:rPr>
        <w:t>Transm</w:t>
      </w:r>
      <w:proofErr w:type="spellEnd"/>
      <w:r>
        <w:rPr>
          <w:sz w:val="20"/>
          <w:szCs w:val="20"/>
          <w:lang w:val="en-US"/>
        </w:rPr>
        <w:t>. (Vienna) 125, 1589-1599.</w:t>
      </w:r>
    </w:p>
    <w:p w:rsidR="00352A2A" w:rsidRPr="00B26E04" w:rsidRDefault="0096787B" w:rsidP="00113B97">
      <w:pPr>
        <w:spacing w:after="120" w:line="480" w:lineRule="auto"/>
        <w:rPr>
          <w:sz w:val="20"/>
          <w:szCs w:val="20"/>
          <w:lang w:val="en-US"/>
        </w:rPr>
      </w:pPr>
      <w:r>
        <w:rPr>
          <w:sz w:val="20"/>
          <w:szCs w:val="20"/>
          <w:lang w:val="en-US"/>
        </w:rPr>
        <w:t>Bray, N.J., Buckland, P.R., Williams, N.M., Williams, H.J., Norton, N., Owen, M.J., O'Donovan, M.C., 2003. A haplotype implicated in schizophrenia susceptibility is associated with reduced COMT expression in human brain. Am. J. Hum. Genet. 73, 152-161.</w:t>
      </w:r>
    </w:p>
    <w:p w:rsidR="00352A2A" w:rsidRPr="00B26E04" w:rsidRDefault="0096787B" w:rsidP="00113B97">
      <w:pPr>
        <w:spacing w:after="120" w:line="480" w:lineRule="auto"/>
        <w:rPr>
          <w:sz w:val="20"/>
          <w:szCs w:val="20"/>
          <w:lang w:val="en-US"/>
        </w:rPr>
      </w:pPr>
      <w:r>
        <w:rPr>
          <w:sz w:val="20"/>
          <w:szCs w:val="20"/>
          <w:lang w:val="en-US"/>
        </w:rPr>
        <w:t xml:space="preserve">Brower, M.C., Price, B.H., 2001. Neuropsychiatry of frontal lobe dysfunction in violent and criminal behaviour: a critical review. J. Neurol. </w:t>
      </w:r>
      <w:proofErr w:type="spellStart"/>
      <w:r>
        <w:rPr>
          <w:sz w:val="20"/>
          <w:szCs w:val="20"/>
          <w:lang w:val="en-US"/>
        </w:rPr>
        <w:t>Neurosurg</w:t>
      </w:r>
      <w:proofErr w:type="spellEnd"/>
      <w:r>
        <w:rPr>
          <w:sz w:val="20"/>
          <w:szCs w:val="20"/>
          <w:lang w:val="en-US"/>
        </w:rPr>
        <w:t>. Psychiatry 71, 720-726.</w:t>
      </w:r>
    </w:p>
    <w:p w:rsidR="00352A2A" w:rsidRPr="00B26E04" w:rsidRDefault="0096787B" w:rsidP="00113B97">
      <w:pPr>
        <w:spacing w:after="120" w:line="480" w:lineRule="auto"/>
        <w:rPr>
          <w:sz w:val="20"/>
          <w:szCs w:val="20"/>
          <w:lang w:val="en-US"/>
        </w:rPr>
      </w:pPr>
      <w:r>
        <w:rPr>
          <w:sz w:val="20"/>
          <w:szCs w:val="20"/>
          <w:lang w:val="en-US"/>
        </w:rPr>
        <w:t xml:space="preserve">Brown, G.L., Ebert, M.H., </w:t>
      </w:r>
      <w:proofErr w:type="spellStart"/>
      <w:r>
        <w:rPr>
          <w:sz w:val="20"/>
          <w:szCs w:val="20"/>
          <w:lang w:val="en-US"/>
        </w:rPr>
        <w:t>Goyer</w:t>
      </w:r>
      <w:proofErr w:type="spellEnd"/>
      <w:r>
        <w:rPr>
          <w:sz w:val="20"/>
          <w:szCs w:val="20"/>
          <w:lang w:val="en-US"/>
        </w:rPr>
        <w:t xml:space="preserve">, P.F., Jimerson, D.C., Klein, W.J., </w:t>
      </w:r>
      <w:proofErr w:type="spellStart"/>
      <w:r>
        <w:rPr>
          <w:sz w:val="20"/>
          <w:szCs w:val="20"/>
          <w:lang w:val="en-US"/>
        </w:rPr>
        <w:t>Bunney</w:t>
      </w:r>
      <w:proofErr w:type="spellEnd"/>
      <w:r>
        <w:rPr>
          <w:sz w:val="20"/>
          <w:szCs w:val="20"/>
          <w:lang w:val="en-US"/>
        </w:rPr>
        <w:t>, W.E., Goodwin, F.K., 1982. Aggression, suicide, and serotonin: relationships to CSF amine metabolites. Am. J. Psychiatry 139, 741-746.</w:t>
      </w:r>
    </w:p>
    <w:p w:rsidR="00352A2A" w:rsidRPr="00B26E04" w:rsidRDefault="0096787B" w:rsidP="00113B97">
      <w:pPr>
        <w:spacing w:after="120" w:line="480" w:lineRule="auto"/>
        <w:rPr>
          <w:sz w:val="20"/>
          <w:szCs w:val="20"/>
          <w:lang w:val="en-US"/>
        </w:rPr>
      </w:pPr>
      <w:r>
        <w:rPr>
          <w:sz w:val="20"/>
          <w:szCs w:val="20"/>
          <w:lang w:val="en-US"/>
        </w:rPr>
        <w:t xml:space="preserve">Brown, S.M., Peet, E., </w:t>
      </w:r>
      <w:proofErr w:type="spellStart"/>
      <w:r>
        <w:rPr>
          <w:sz w:val="20"/>
          <w:szCs w:val="20"/>
          <w:lang w:val="en-US"/>
        </w:rPr>
        <w:t>Manuck</w:t>
      </w:r>
      <w:proofErr w:type="spellEnd"/>
      <w:r>
        <w:rPr>
          <w:sz w:val="20"/>
          <w:szCs w:val="20"/>
          <w:lang w:val="en-US"/>
        </w:rPr>
        <w:t>, S.B., Williamson, D.E., Dahl, R.E., Ferrell, R.E., Hariri, A.R., 2005. A regulatory variant of the human tryptophan hydroxylase-2 gene biases amygdala reactivity. Mol. Psychiatry 10, 884-888.</w:t>
      </w:r>
    </w:p>
    <w:p w:rsidR="00352A2A" w:rsidRPr="00B26E04" w:rsidRDefault="0096787B" w:rsidP="00113B97">
      <w:pPr>
        <w:spacing w:after="120" w:line="480" w:lineRule="auto"/>
        <w:rPr>
          <w:sz w:val="20"/>
          <w:szCs w:val="20"/>
          <w:lang w:val="en-US"/>
        </w:rPr>
      </w:pPr>
      <w:proofErr w:type="spellStart"/>
      <w:r>
        <w:rPr>
          <w:sz w:val="20"/>
          <w:szCs w:val="20"/>
          <w:lang w:val="en-US"/>
        </w:rPr>
        <w:t>Brüne</w:t>
      </w:r>
      <w:proofErr w:type="spellEnd"/>
      <w:r>
        <w:rPr>
          <w:sz w:val="20"/>
          <w:szCs w:val="20"/>
          <w:lang w:val="en-US"/>
        </w:rPr>
        <w:t xml:space="preserve">, M., Scheele, D., Heinisch, C., Tas, C., </w:t>
      </w:r>
      <w:proofErr w:type="spellStart"/>
      <w:r>
        <w:rPr>
          <w:sz w:val="20"/>
          <w:szCs w:val="20"/>
          <w:lang w:val="en-US"/>
        </w:rPr>
        <w:t>Wischniewski</w:t>
      </w:r>
      <w:proofErr w:type="spellEnd"/>
      <w:r>
        <w:rPr>
          <w:sz w:val="20"/>
          <w:szCs w:val="20"/>
          <w:lang w:val="en-US"/>
        </w:rPr>
        <w:t xml:space="preserve">, J., </w:t>
      </w:r>
      <w:proofErr w:type="spellStart"/>
      <w:r>
        <w:rPr>
          <w:sz w:val="20"/>
          <w:szCs w:val="20"/>
          <w:lang w:val="en-US"/>
        </w:rPr>
        <w:t>Güntürkün</w:t>
      </w:r>
      <w:proofErr w:type="spellEnd"/>
      <w:r>
        <w:rPr>
          <w:sz w:val="20"/>
          <w:szCs w:val="20"/>
          <w:lang w:val="en-US"/>
        </w:rPr>
        <w:t xml:space="preserve">, O., 2012. Empathy moderates the effect of repetitive transcranial magnetic stimulation of the right dorsolateral prefrontal cortex on costly punishment. </w:t>
      </w:r>
      <w:proofErr w:type="spellStart"/>
      <w:r>
        <w:rPr>
          <w:sz w:val="20"/>
          <w:szCs w:val="20"/>
          <w:lang w:val="en-US"/>
        </w:rPr>
        <w:t>PLoS</w:t>
      </w:r>
      <w:proofErr w:type="spellEnd"/>
      <w:r>
        <w:rPr>
          <w:sz w:val="20"/>
          <w:szCs w:val="20"/>
          <w:lang w:val="en-US"/>
        </w:rPr>
        <w:t xml:space="preserve"> One 7, e44747.</w:t>
      </w:r>
    </w:p>
    <w:p w:rsidR="00352A2A" w:rsidRPr="00B26E04" w:rsidRDefault="0096787B" w:rsidP="00113B97">
      <w:pPr>
        <w:spacing w:after="120" w:line="480" w:lineRule="auto"/>
        <w:rPr>
          <w:sz w:val="20"/>
          <w:szCs w:val="20"/>
          <w:lang w:val="en-US"/>
        </w:rPr>
      </w:pPr>
      <w:r>
        <w:rPr>
          <w:sz w:val="20"/>
          <w:szCs w:val="20"/>
          <w:lang w:val="en-US"/>
        </w:rPr>
        <w:t xml:space="preserve">Brunner, A.M., Tweedie-Cullen, R.Y., </w:t>
      </w:r>
      <w:proofErr w:type="spellStart"/>
      <w:r>
        <w:rPr>
          <w:sz w:val="20"/>
          <w:szCs w:val="20"/>
          <w:lang w:val="en-US"/>
        </w:rPr>
        <w:t>Mansuy</w:t>
      </w:r>
      <w:proofErr w:type="spellEnd"/>
      <w:r>
        <w:rPr>
          <w:sz w:val="20"/>
          <w:szCs w:val="20"/>
          <w:lang w:val="en-US"/>
        </w:rPr>
        <w:t xml:space="preserve">, I.M., 2012. Epigenetic modifications of the </w:t>
      </w:r>
      <w:proofErr w:type="spellStart"/>
      <w:r>
        <w:rPr>
          <w:sz w:val="20"/>
          <w:szCs w:val="20"/>
          <w:lang w:val="en-US"/>
        </w:rPr>
        <w:t>neuroproteome</w:t>
      </w:r>
      <w:proofErr w:type="spellEnd"/>
      <w:r>
        <w:rPr>
          <w:sz w:val="20"/>
          <w:szCs w:val="20"/>
          <w:lang w:val="en-US"/>
        </w:rPr>
        <w:t>. Proteomics 12, 2404-2420.</w:t>
      </w:r>
    </w:p>
    <w:p w:rsidR="00352A2A" w:rsidRPr="00B26E04" w:rsidRDefault="0096787B" w:rsidP="00113B97">
      <w:pPr>
        <w:spacing w:after="120" w:line="480" w:lineRule="auto"/>
        <w:rPr>
          <w:sz w:val="20"/>
          <w:szCs w:val="20"/>
          <w:lang w:val="en-US"/>
        </w:rPr>
      </w:pPr>
      <w:r>
        <w:rPr>
          <w:sz w:val="20"/>
          <w:szCs w:val="20"/>
          <w:lang w:val="en-US"/>
        </w:rPr>
        <w:t xml:space="preserve">Brunner, H.G., </w:t>
      </w:r>
      <w:proofErr w:type="spellStart"/>
      <w:r>
        <w:rPr>
          <w:sz w:val="20"/>
          <w:szCs w:val="20"/>
          <w:lang w:val="en-US"/>
        </w:rPr>
        <w:t>Nelen</w:t>
      </w:r>
      <w:proofErr w:type="spellEnd"/>
      <w:r>
        <w:rPr>
          <w:sz w:val="20"/>
          <w:szCs w:val="20"/>
          <w:lang w:val="en-US"/>
        </w:rPr>
        <w:t xml:space="preserve">, M., </w:t>
      </w:r>
      <w:proofErr w:type="spellStart"/>
      <w:r>
        <w:rPr>
          <w:sz w:val="20"/>
          <w:szCs w:val="20"/>
          <w:lang w:val="en-US"/>
        </w:rPr>
        <w:t>Breakefield</w:t>
      </w:r>
      <w:proofErr w:type="spellEnd"/>
      <w:r>
        <w:rPr>
          <w:sz w:val="20"/>
          <w:szCs w:val="20"/>
          <w:lang w:val="en-US"/>
        </w:rPr>
        <w:t>, X.O., Ropers, H.H., van Oost, B.A., 1993. Abnormal behavior associated with a point mutation in the structural gene for monoamine oxidase A. Science 262, 578-580.</w:t>
      </w:r>
    </w:p>
    <w:p w:rsidR="00352A2A" w:rsidRPr="00B26E04" w:rsidRDefault="0096787B" w:rsidP="00113B97">
      <w:pPr>
        <w:spacing w:after="120" w:line="480" w:lineRule="auto"/>
        <w:rPr>
          <w:sz w:val="20"/>
          <w:szCs w:val="20"/>
          <w:lang w:val="en-US"/>
        </w:rPr>
      </w:pPr>
      <w:proofErr w:type="spellStart"/>
      <w:r>
        <w:rPr>
          <w:sz w:val="20"/>
          <w:szCs w:val="20"/>
          <w:lang w:val="en-US"/>
        </w:rPr>
        <w:t>Bufkin</w:t>
      </w:r>
      <w:proofErr w:type="spellEnd"/>
      <w:r>
        <w:rPr>
          <w:sz w:val="20"/>
          <w:szCs w:val="20"/>
          <w:lang w:val="en-US"/>
        </w:rPr>
        <w:t>, J.L., Luttrell, V.R., 2005. Neuroimaging studies of aggressive and violent behavior: current findings and implications for criminology and criminal justice. Trauma Violence Abuse 6, 176-191.</w:t>
      </w:r>
    </w:p>
    <w:p w:rsidR="00352A2A" w:rsidRPr="00B26E04" w:rsidRDefault="0096787B" w:rsidP="00113B97">
      <w:pPr>
        <w:spacing w:after="120" w:line="480" w:lineRule="auto"/>
        <w:rPr>
          <w:sz w:val="20"/>
          <w:szCs w:val="20"/>
          <w:lang w:val="en-US"/>
        </w:rPr>
      </w:pPr>
      <w:r>
        <w:rPr>
          <w:sz w:val="20"/>
          <w:szCs w:val="20"/>
          <w:lang w:val="en-US"/>
        </w:rPr>
        <w:t>Burt, S.A., 2009. Are there meaningful etiological differences within antisocial behavior? Results of a meta-analysis. Clin. Psychol. Rev. 29, 163-178.</w:t>
      </w:r>
    </w:p>
    <w:p w:rsidR="00352A2A" w:rsidRPr="00B26E04" w:rsidRDefault="0096787B" w:rsidP="00113B97">
      <w:pPr>
        <w:spacing w:after="120" w:line="480" w:lineRule="auto"/>
        <w:rPr>
          <w:sz w:val="20"/>
          <w:szCs w:val="20"/>
          <w:lang w:val="en-US"/>
        </w:rPr>
      </w:pPr>
      <w:r>
        <w:rPr>
          <w:sz w:val="20"/>
          <w:szCs w:val="20"/>
          <w:lang w:val="en-US"/>
        </w:rPr>
        <w:lastRenderedPageBreak/>
        <w:t xml:space="preserve">Bush, G., </w:t>
      </w:r>
      <w:proofErr w:type="spellStart"/>
      <w:r>
        <w:rPr>
          <w:sz w:val="20"/>
          <w:szCs w:val="20"/>
          <w:lang w:val="en-US"/>
        </w:rPr>
        <w:t>Luu</w:t>
      </w:r>
      <w:proofErr w:type="spellEnd"/>
      <w:r>
        <w:rPr>
          <w:sz w:val="20"/>
          <w:szCs w:val="20"/>
          <w:lang w:val="en-US"/>
        </w:rPr>
        <w:t xml:space="preserve">, P., Posner, M.I., 2000. Cognitive and emotional influences in anterior cingulate cortex. Trends </w:t>
      </w:r>
      <w:proofErr w:type="spellStart"/>
      <w:r>
        <w:rPr>
          <w:sz w:val="20"/>
          <w:szCs w:val="20"/>
          <w:lang w:val="en-US"/>
        </w:rPr>
        <w:t>Cogn</w:t>
      </w:r>
      <w:proofErr w:type="spellEnd"/>
      <w:r>
        <w:rPr>
          <w:sz w:val="20"/>
          <w:szCs w:val="20"/>
          <w:lang w:val="en-US"/>
        </w:rPr>
        <w:t>. Sci. 4, 215-222.</w:t>
      </w:r>
    </w:p>
    <w:p w:rsidR="00352A2A" w:rsidRPr="00B26E04" w:rsidRDefault="0096787B" w:rsidP="00113B97">
      <w:pPr>
        <w:spacing w:after="120" w:line="480" w:lineRule="auto"/>
        <w:rPr>
          <w:sz w:val="20"/>
          <w:szCs w:val="20"/>
          <w:lang w:val="en-US"/>
        </w:rPr>
      </w:pPr>
      <w:r>
        <w:rPr>
          <w:sz w:val="20"/>
          <w:szCs w:val="20"/>
          <w:lang w:val="en-US"/>
        </w:rPr>
        <w:t xml:space="preserve">Bustillo, J.R., 2013. Use of proton magnetic resonance spectroscopy in the treatment of psychiatric disorders: a critical update. Dialogues Clin. </w:t>
      </w:r>
      <w:proofErr w:type="spellStart"/>
      <w:r>
        <w:rPr>
          <w:sz w:val="20"/>
          <w:szCs w:val="20"/>
          <w:lang w:val="en-US"/>
        </w:rPr>
        <w:t>Neurosci</w:t>
      </w:r>
      <w:proofErr w:type="spellEnd"/>
      <w:r>
        <w:rPr>
          <w:sz w:val="20"/>
          <w:szCs w:val="20"/>
          <w:lang w:val="en-US"/>
        </w:rPr>
        <w:t>. 15, 329-337.</w:t>
      </w:r>
    </w:p>
    <w:p w:rsidR="00A06E89" w:rsidRPr="00B26E04" w:rsidRDefault="0096787B" w:rsidP="00113B97">
      <w:pPr>
        <w:spacing w:after="120" w:line="480" w:lineRule="auto"/>
        <w:rPr>
          <w:sz w:val="20"/>
          <w:szCs w:val="20"/>
          <w:lang w:val="en-US"/>
        </w:rPr>
      </w:pPr>
      <w:r>
        <w:rPr>
          <w:sz w:val="20"/>
          <w:szCs w:val="20"/>
          <w:lang w:val="en-US"/>
        </w:rPr>
        <w:t xml:space="preserve">Byrd, A.L., </w:t>
      </w:r>
      <w:proofErr w:type="spellStart"/>
      <w:r>
        <w:rPr>
          <w:sz w:val="20"/>
          <w:szCs w:val="20"/>
          <w:lang w:val="en-US"/>
        </w:rPr>
        <w:t>Manuck</w:t>
      </w:r>
      <w:proofErr w:type="spellEnd"/>
      <w:r>
        <w:rPr>
          <w:sz w:val="20"/>
          <w:szCs w:val="20"/>
          <w:lang w:val="en-US"/>
        </w:rPr>
        <w:t xml:space="preserve">, S.B., 2014. MAOA, childhood maltreatment, and antisocial behavior: meta-analysis of a gene-environment interaction. Biol. Psychiatry. </w:t>
      </w:r>
      <w:r w:rsidR="00A06E89" w:rsidRPr="00B26E04">
        <w:rPr>
          <w:sz w:val="20"/>
          <w:szCs w:val="20"/>
          <w:lang w:val="en-US"/>
        </w:rPr>
        <w:t>75, 9-17.</w:t>
      </w:r>
    </w:p>
    <w:p w:rsidR="00352A2A" w:rsidRPr="00B26E04" w:rsidRDefault="0096787B" w:rsidP="00113B97">
      <w:pPr>
        <w:spacing w:after="120" w:line="480" w:lineRule="auto"/>
        <w:rPr>
          <w:sz w:val="20"/>
          <w:szCs w:val="20"/>
          <w:lang w:val="en-US"/>
        </w:rPr>
      </w:pPr>
      <w:proofErr w:type="spellStart"/>
      <w:r>
        <w:rPr>
          <w:sz w:val="20"/>
          <w:szCs w:val="20"/>
          <w:lang w:val="en-US"/>
        </w:rPr>
        <w:t>Cadoret</w:t>
      </w:r>
      <w:proofErr w:type="spellEnd"/>
      <w:r>
        <w:rPr>
          <w:sz w:val="20"/>
          <w:szCs w:val="20"/>
          <w:lang w:val="en-US"/>
        </w:rPr>
        <w:t xml:space="preserve">, R.J., Langbehn, D., </w:t>
      </w:r>
      <w:proofErr w:type="spellStart"/>
      <w:r>
        <w:rPr>
          <w:sz w:val="20"/>
          <w:szCs w:val="20"/>
          <w:lang w:val="en-US"/>
        </w:rPr>
        <w:t>Caspers</w:t>
      </w:r>
      <w:proofErr w:type="spellEnd"/>
      <w:r>
        <w:rPr>
          <w:sz w:val="20"/>
          <w:szCs w:val="20"/>
          <w:lang w:val="en-US"/>
        </w:rPr>
        <w:t xml:space="preserve">, K., Troughton, E.P., </w:t>
      </w:r>
      <w:proofErr w:type="spellStart"/>
      <w:r>
        <w:rPr>
          <w:sz w:val="20"/>
          <w:szCs w:val="20"/>
          <w:lang w:val="en-US"/>
        </w:rPr>
        <w:t>Yucuis</w:t>
      </w:r>
      <w:proofErr w:type="spellEnd"/>
      <w:r>
        <w:rPr>
          <w:sz w:val="20"/>
          <w:szCs w:val="20"/>
          <w:lang w:val="en-US"/>
        </w:rPr>
        <w:t xml:space="preserve">, R., Sandhu, H.K., Philibert, R., 2003. Associations of the serotonin transporter promoter polymorphism with aggressivity, attention deficit, and conduct disorder in an adoptee population. </w:t>
      </w:r>
      <w:proofErr w:type="spellStart"/>
      <w:r>
        <w:rPr>
          <w:sz w:val="20"/>
          <w:szCs w:val="20"/>
          <w:lang w:val="en-US"/>
        </w:rPr>
        <w:t>Compr</w:t>
      </w:r>
      <w:proofErr w:type="spellEnd"/>
      <w:r>
        <w:rPr>
          <w:sz w:val="20"/>
          <w:szCs w:val="20"/>
          <w:lang w:val="en-US"/>
        </w:rPr>
        <w:t>. Psychiatry 44, 88-101.</w:t>
      </w:r>
    </w:p>
    <w:p w:rsidR="00352A2A" w:rsidRPr="00B26E04" w:rsidRDefault="0096787B" w:rsidP="00113B97">
      <w:pPr>
        <w:spacing w:after="120" w:line="480" w:lineRule="auto"/>
        <w:rPr>
          <w:sz w:val="20"/>
          <w:szCs w:val="20"/>
          <w:lang w:val="en-US"/>
        </w:rPr>
      </w:pPr>
      <w:proofErr w:type="spellStart"/>
      <w:r>
        <w:rPr>
          <w:sz w:val="20"/>
          <w:szCs w:val="20"/>
          <w:lang w:val="en-US"/>
        </w:rPr>
        <w:t>Caldú</w:t>
      </w:r>
      <w:proofErr w:type="spellEnd"/>
      <w:r>
        <w:rPr>
          <w:sz w:val="20"/>
          <w:szCs w:val="20"/>
          <w:lang w:val="en-US"/>
        </w:rPr>
        <w:t xml:space="preserve">, X., </w:t>
      </w:r>
      <w:proofErr w:type="spellStart"/>
      <w:r>
        <w:rPr>
          <w:sz w:val="20"/>
          <w:szCs w:val="20"/>
          <w:lang w:val="en-US"/>
        </w:rPr>
        <w:t>Vendrell</w:t>
      </w:r>
      <w:proofErr w:type="spellEnd"/>
      <w:r>
        <w:rPr>
          <w:sz w:val="20"/>
          <w:szCs w:val="20"/>
          <w:lang w:val="en-US"/>
        </w:rPr>
        <w:t xml:space="preserve">, P., </w:t>
      </w:r>
      <w:proofErr w:type="spellStart"/>
      <w:r>
        <w:rPr>
          <w:sz w:val="20"/>
          <w:szCs w:val="20"/>
          <w:lang w:val="en-US"/>
        </w:rPr>
        <w:t>Bartrés-Faz</w:t>
      </w:r>
      <w:proofErr w:type="spellEnd"/>
      <w:r>
        <w:rPr>
          <w:sz w:val="20"/>
          <w:szCs w:val="20"/>
          <w:lang w:val="en-US"/>
        </w:rPr>
        <w:t xml:space="preserve">, D., Clemente, I., </w:t>
      </w:r>
      <w:proofErr w:type="spellStart"/>
      <w:r>
        <w:rPr>
          <w:sz w:val="20"/>
          <w:szCs w:val="20"/>
          <w:lang w:val="en-US"/>
        </w:rPr>
        <w:t>Bargalló</w:t>
      </w:r>
      <w:proofErr w:type="spellEnd"/>
      <w:r>
        <w:rPr>
          <w:sz w:val="20"/>
          <w:szCs w:val="20"/>
          <w:lang w:val="en-US"/>
        </w:rPr>
        <w:t>, N., Jurado, M.A., Serra-</w:t>
      </w:r>
      <w:proofErr w:type="spellStart"/>
      <w:r>
        <w:rPr>
          <w:sz w:val="20"/>
          <w:szCs w:val="20"/>
          <w:lang w:val="en-US"/>
        </w:rPr>
        <w:t>Grabulosa</w:t>
      </w:r>
      <w:proofErr w:type="spellEnd"/>
      <w:r>
        <w:rPr>
          <w:sz w:val="20"/>
          <w:szCs w:val="20"/>
          <w:lang w:val="en-US"/>
        </w:rPr>
        <w:t xml:space="preserve">, J.M., </w:t>
      </w:r>
      <w:proofErr w:type="spellStart"/>
      <w:r>
        <w:rPr>
          <w:sz w:val="20"/>
          <w:szCs w:val="20"/>
          <w:lang w:val="en-US"/>
        </w:rPr>
        <w:t>Junqué</w:t>
      </w:r>
      <w:proofErr w:type="spellEnd"/>
      <w:r>
        <w:rPr>
          <w:sz w:val="20"/>
          <w:szCs w:val="20"/>
          <w:lang w:val="en-US"/>
        </w:rPr>
        <w:t>, C., 2007. Impact of the COMT Val108/158 Met and DAT genotypes on prefrontal function in healthy subjects. Neuroimage 37, 1437-1444.</w:t>
      </w:r>
    </w:p>
    <w:p w:rsidR="00352A2A" w:rsidRPr="00B26E04" w:rsidRDefault="0096787B" w:rsidP="00113B97">
      <w:pPr>
        <w:spacing w:after="120" w:line="480" w:lineRule="auto"/>
        <w:rPr>
          <w:sz w:val="20"/>
          <w:szCs w:val="20"/>
          <w:lang w:val="en-US"/>
        </w:rPr>
      </w:pPr>
      <w:r>
        <w:rPr>
          <w:sz w:val="20"/>
          <w:szCs w:val="20"/>
          <w:lang w:val="en-US"/>
        </w:rPr>
        <w:t xml:space="preserve">Campbell, A., </w:t>
      </w:r>
      <w:proofErr w:type="spellStart"/>
      <w:r>
        <w:rPr>
          <w:sz w:val="20"/>
          <w:szCs w:val="20"/>
          <w:lang w:val="en-US"/>
        </w:rPr>
        <w:t>Muncer</w:t>
      </w:r>
      <w:proofErr w:type="spellEnd"/>
      <w:r>
        <w:rPr>
          <w:sz w:val="20"/>
          <w:szCs w:val="20"/>
          <w:lang w:val="en-US"/>
        </w:rPr>
        <w:t xml:space="preserve">, S., 2009. Can ‘risky’ impulsivity explain sex differences in aggression? Pers. </w:t>
      </w:r>
      <w:proofErr w:type="spellStart"/>
      <w:r>
        <w:rPr>
          <w:sz w:val="20"/>
          <w:szCs w:val="20"/>
          <w:lang w:val="en-US"/>
        </w:rPr>
        <w:t>Individ</w:t>
      </w:r>
      <w:proofErr w:type="spellEnd"/>
      <w:r>
        <w:rPr>
          <w:sz w:val="20"/>
          <w:szCs w:val="20"/>
          <w:lang w:val="en-US"/>
        </w:rPr>
        <w:t>. Differ. 47, 402-406.</w:t>
      </w:r>
    </w:p>
    <w:p w:rsidR="00352A2A" w:rsidRPr="00B26E04" w:rsidRDefault="0096787B" w:rsidP="00113B97">
      <w:pPr>
        <w:spacing w:after="120" w:line="480" w:lineRule="auto"/>
        <w:rPr>
          <w:sz w:val="20"/>
          <w:szCs w:val="20"/>
          <w:lang w:val="en-US"/>
        </w:rPr>
      </w:pPr>
      <w:proofErr w:type="spellStart"/>
      <w:r>
        <w:rPr>
          <w:sz w:val="20"/>
          <w:szCs w:val="20"/>
          <w:lang w:val="en-US"/>
        </w:rPr>
        <w:t>Canli</w:t>
      </w:r>
      <w:proofErr w:type="spellEnd"/>
      <w:r>
        <w:rPr>
          <w:sz w:val="20"/>
          <w:szCs w:val="20"/>
          <w:lang w:val="en-US"/>
        </w:rPr>
        <w:t xml:space="preserve">, T., Congdon, E., Gutknecht, L., Constable, R.T., </w:t>
      </w:r>
      <w:proofErr w:type="spellStart"/>
      <w:r>
        <w:rPr>
          <w:sz w:val="20"/>
          <w:szCs w:val="20"/>
          <w:lang w:val="en-US"/>
        </w:rPr>
        <w:t>Lesch</w:t>
      </w:r>
      <w:proofErr w:type="spellEnd"/>
      <w:r>
        <w:rPr>
          <w:sz w:val="20"/>
          <w:szCs w:val="20"/>
          <w:lang w:val="en-US"/>
        </w:rPr>
        <w:t xml:space="preserve">, K.P., 2005. Amygdala responsiveness is modulated by tryptophan hydroxylase-2 gene variation. J. Neural </w:t>
      </w:r>
      <w:proofErr w:type="spellStart"/>
      <w:r>
        <w:rPr>
          <w:sz w:val="20"/>
          <w:szCs w:val="20"/>
          <w:lang w:val="en-US"/>
        </w:rPr>
        <w:t>Transm</w:t>
      </w:r>
      <w:proofErr w:type="spellEnd"/>
      <w:r>
        <w:rPr>
          <w:sz w:val="20"/>
          <w:szCs w:val="20"/>
          <w:lang w:val="en-US"/>
        </w:rPr>
        <w:t>. (Vienna) 112, 1479-1485.</w:t>
      </w:r>
    </w:p>
    <w:p w:rsidR="00352A2A" w:rsidRPr="00B26E04" w:rsidRDefault="0096787B" w:rsidP="00113B97">
      <w:pPr>
        <w:spacing w:after="120" w:line="480" w:lineRule="auto"/>
        <w:rPr>
          <w:sz w:val="20"/>
          <w:szCs w:val="20"/>
          <w:lang w:val="en-US"/>
        </w:rPr>
      </w:pPr>
      <w:proofErr w:type="spellStart"/>
      <w:r>
        <w:rPr>
          <w:sz w:val="20"/>
          <w:szCs w:val="20"/>
          <w:lang w:val="en-US"/>
        </w:rPr>
        <w:t>Canli</w:t>
      </w:r>
      <w:proofErr w:type="spellEnd"/>
      <w:r>
        <w:rPr>
          <w:sz w:val="20"/>
          <w:szCs w:val="20"/>
          <w:lang w:val="en-US"/>
        </w:rPr>
        <w:t xml:space="preserve">, T., Congdon, E., Todd Constable, R., </w:t>
      </w:r>
      <w:proofErr w:type="spellStart"/>
      <w:r>
        <w:rPr>
          <w:sz w:val="20"/>
          <w:szCs w:val="20"/>
          <w:lang w:val="en-US"/>
        </w:rPr>
        <w:t>Lesch</w:t>
      </w:r>
      <w:proofErr w:type="spellEnd"/>
      <w:r>
        <w:rPr>
          <w:sz w:val="20"/>
          <w:szCs w:val="20"/>
          <w:lang w:val="en-US"/>
        </w:rPr>
        <w:t>, K.P., 2008. Additive effects of serotonin transporter and tryptophan hydroxylase-2 gene variation on neural correlates of affective processing. Biol. Psychol. 79, 118-125.</w:t>
      </w:r>
    </w:p>
    <w:p w:rsidR="00352A2A" w:rsidRPr="00B26E04" w:rsidRDefault="0096787B" w:rsidP="00113B97">
      <w:pPr>
        <w:spacing w:after="120" w:line="480" w:lineRule="auto"/>
        <w:rPr>
          <w:sz w:val="20"/>
          <w:szCs w:val="20"/>
          <w:lang w:val="en-US"/>
        </w:rPr>
      </w:pPr>
      <w:proofErr w:type="spellStart"/>
      <w:r>
        <w:rPr>
          <w:sz w:val="20"/>
          <w:szCs w:val="20"/>
          <w:lang w:val="en-US"/>
        </w:rPr>
        <w:t>Caramaschi</w:t>
      </w:r>
      <w:proofErr w:type="spellEnd"/>
      <w:r>
        <w:rPr>
          <w:sz w:val="20"/>
          <w:szCs w:val="20"/>
          <w:lang w:val="en-US"/>
        </w:rPr>
        <w:t xml:space="preserve">, D., de Boer, S.F., Koolhaas, J.M., 2007. Differential role of the 5-HT1A receptor in aggressive and non-aggressive mice: an across-strain comparison. Physiol. </w:t>
      </w:r>
      <w:proofErr w:type="spellStart"/>
      <w:r>
        <w:rPr>
          <w:sz w:val="20"/>
          <w:szCs w:val="20"/>
          <w:lang w:val="en-US"/>
        </w:rPr>
        <w:t>Behav</w:t>
      </w:r>
      <w:proofErr w:type="spellEnd"/>
      <w:r>
        <w:rPr>
          <w:sz w:val="20"/>
          <w:szCs w:val="20"/>
          <w:lang w:val="en-US"/>
        </w:rPr>
        <w:t>. 90, 590-601.</w:t>
      </w:r>
    </w:p>
    <w:p w:rsidR="006C184E" w:rsidRPr="00B26E04" w:rsidRDefault="0096787B" w:rsidP="00113B97">
      <w:pPr>
        <w:spacing w:after="120" w:line="480" w:lineRule="auto"/>
        <w:rPr>
          <w:sz w:val="20"/>
          <w:szCs w:val="20"/>
          <w:lang w:val="en-US"/>
        </w:rPr>
      </w:pPr>
      <w:r>
        <w:rPr>
          <w:sz w:val="20"/>
          <w:szCs w:val="20"/>
          <w:lang w:val="en-US"/>
        </w:rPr>
        <w:t xml:space="preserve">Cases, O., </w:t>
      </w:r>
      <w:proofErr w:type="spellStart"/>
      <w:r>
        <w:rPr>
          <w:sz w:val="20"/>
          <w:szCs w:val="20"/>
          <w:lang w:val="en-US"/>
        </w:rPr>
        <w:t>Seif</w:t>
      </w:r>
      <w:proofErr w:type="spellEnd"/>
      <w:r>
        <w:rPr>
          <w:sz w:val="20"/>
          <w:szCs w:val="20"/>
          <w:lang w:val="en-US"/>
        </w:rPr>
        <w:t xml:space="preserve">, I., Grimsby, J., Gaspar, P., Chen, K., </w:t>
      </w:r>
      <w:proofErr w:type="spellStart"/>
      <w:r>
        <w:rPr>
          <w:sz w:val="20"/>
          <w:szCs w:val="20"/>
          <w:lang w:val="en-US"/>
        </w:rPr>
        <w:t>Pournin</w:t>
      </w:r>
      <w:proofErr w:type="spellEnd"/>
      <w:r>
        <w:rPr>
          <w:sz w:val="20"/>
          <w:szCs w:val="20"/>
          <w:lang w:val="en-US"/>
        </w:rPr>
        <w:t xml:space="preserve">, S., Müller, U., </w:t>
      </w:r>
      <w:proofErr w:type="spellStart"/>
      <w:r>
        <w:rPr>
          <w:sz w:val="20"/>
          <w:szCs w:val="20"/>
          <w:lang w:val="en-US"/>
        </w:rPr>
        <w:t>Aguet</w:t>
      </w:r>
      <w:proofErr w:type="spellEnd"/>
      <w:r>
        <w:rPr>
          <w:sz w:val="20"/>
          <w:szCs w:val="20"/>
          <w:lang w:val="en-US"/>
        </w:rPr>
        <w:t xml:space="preserve">, M., </w:t>
      </w:r>
      <w:proofErr w:type="spellStart"/>
      <w:r>
        <w:rPr>
          <w:sz w:val="20"/>
          <w:szCs w:val="20"/>
          <w:lang w:val="en-US"/>
        </w:rPr>
        <w:t>Babinet</w:t>
      </w:r>
      <w:proofErr w:type="spellEnd"/>
      <w:r>
        <w:rPr>
          <w:sz w:val="20"/>
          <w:szCs w:val="20"/>
          <w:lang w:val="en-US"/>
        </w:rPr>
        <w:t>, C., Shih, J.C., et al., 1995. Aggressive behavior and altered amounts of brain serotonin and norepinephrine in mice lacking MAOA. Science 268, 1763-1766.</w:t>
      </w:r>
    </w:p>
    <w:p w:rsidR="00352A2A" w:rsidRPr="00B26E04" w:rsidRDefault="0096787B" w:rsidP="00113B97">
      <w:pPr>
        <w:spacing w:after="120" w:line="480" w:lineRule="auto"/>
        <w:rPr>
          <w:sz w:val="20"/>
          <w:szCs w:val="20"/>
          <w:lang w:val="en-US"/>
        </w:rPr>
      </w:pPr>
      <w:r>
        <w:rPr>
          <w:sz w:val="20"/>
          <w:szCs w:val="20"/>
          <w:lang w:val="en-US"/>
        </w:rPr>
        <w:t>Caspi, A., McClay, J., Moffitt, T.E., Mill, J., Martin, J., Craig, I.W., Taylor, A., Poulton, R., 2002. Role of genotype in the cycle of violence in maltreated children. Science 297, 851-854.</w:t>
      </w:r>
    </w:p>
    <w:p w:rsidR="00192A40" w:rsidRPr="00B26E04" w:rsidRDefault="0096787B" w:rsidP="00113B97">
      <w:pPr>
        <w:spacing w:after="120" w:line="480" w:lineRule="auto"/>
        <w:rPr>
          <w:sz w:val="20"/>
          <w:szCs w:val="20"/>
          <w:lang w:val="en-US"/>
        </w:rPr>
      </w:pPr>
      <w:r>
        <w:rPr>
          <w:sz w:val="20"/>
          <w:szCs w:val="20"/>
          <w:lang w:val="en-US"/>
        </w:rPr>
        <w:t xml:space="preserve">Cassidy, C.M., </w:t>
      </w:r>
      <w:proofErr w:type="spellStart"/>
      <w:r>
        <w:rPr>
          <w:sz w:val="20"/>
          <w:szCs w:val="20"/>
          <w:lang w:val="en-US"/>
        </w:rPr>
        <w:t>Zucca</w:t>
      </w:r>
      <w:proofErr w:type="spellEnd"/>
      <w:r>
        <w:rPr>
          <w:sz w:val="20"/>
          <w:szCs w:val="20"/>
          <w:lang w:val="en-US"/>
        </w:rPr>
        <w:t xml:space="preserve">, F.A., Girgis, R.R., Baker, S.C., Weinstein, J.J., Sharp, M.E., </w:t>
      </w:r>
      <w:proofErr w:type="spellStart"/>
      <w:r>
        <w:rPr>
          <w:sz w:val="20"/>
          <w:szCs w:val="20"/>
          <w:lang w:val="en-US"/>
        </w:rPr>
        <w:t>Bellei</w:t>
      </w:r>
      <w:proofErr w:type="spellEnd"/>
      <w:r>
        <w:rPr>
          <w:sz w:val="20"/>
          <w:szCs w:val="20"/>
          <w:lang w:val="en-US"/>
        </w:rPr>
        <w:t xml:space="preserve">, C., </w:t>
      </w:r>
      <w:proofErr w:type="spellStart"/>
      <w:r>
        <w:rPr>
          <w:sz w:val="20"/>
          <w:szCs w:val="20"/>
          <w:lang w:val="en-US"/>
        </w:rPr>
        <w:t>Valmadre</w:t>
      </w:r>
      <w:proofErr w:type="spellEnd"/>
      <w:r>
        <w:rPr>
          <w:sz w:val="20"/>
          <w:szCs w:val="20"/>
          <w:lang w:val="en-US"/>
        </w:rPr>
        <w:t xml:space="preserve">, A., Vanegas, N., </w:t>
      </w:r>
      <w:proofErr w:type="spellStart"/>
      <w:r>
        <w:rPr>
          <w:sz w:val="20"/>
          <w:szCs w:val="20"/>
          <w:lang w:val="en-US"/>
        </w:rPr>
        <w:t>Kegeles</w:t>
      </w:r>
      <w:proofErr w:type="spellEnd"/>
      <w:r>
        <w:rPr>
          <w:sz w:val="20"/>
          <w:szCs w:val="20"/>
          <w:lang w:val="en-US"/>
        </w:rPr>
        <w:t xml:space="preserve">, L.S., </w:t>
      </w:r>
      <w:proofErr w:type="spellStart"/>
      <w:r>
        <w:rPr>
          <w:sz w:val="20"/>
          <w:szCs w:val="20"/>
          <w:lang w:val="en-US"/>
        </w:rPr>
        <w:t>Brucato</w:t>
      </w:r>
      <w:proofErr w:type="spellEnd"/>
      <w:r>
        <w:rPr>
          <w:sz w:val="20"/>
          <w:szCs w:val="20"/>
          <w:lang w:val="en-US"/>
        </w:rPr>
        <w:t xml:space="preserve">, G., Kang, U.J., Sulzer, D., </w:t>
      </w:r>
      <w:proofErr w:type="spellStart"/>
      <w:r>
        <w:rPr>
          <w:sz w:val="20"/>
          <w:szCs w:val="20"/>
          <w:lang w:val="en-US"/>
        </w:rPr>
        <w:t>Zecca</w:t>
      </w:r>
      <w:proofErr w:type="spellEnd"/>
      <w:r>
        <w:rPr>
          <w:sz w:val="20"/>
          <w:szCs w:val="20"/>
          <w:lang w:val="en-US"/>
        </w:rPr>
        <w:t>, L., Abi-</w:t>
      </w:r>
      <w:proofErr w:type="spellStart"/>
      <w:r>
        <w:rPr>
          <w:sz w:val="20"/>
          <w:szCs w:val="20"/>
          <w:lang w:val="en-US"/>
        </w:rPr>
        <w:t>Dargham</w:t>
      </w:r>
      <w:proofErr w:type="spellEnd"/>
      <w:r>
        <w:rPr>
          <w:sz w:val="20"/>
          <w:szCs w:val="20"/>
          <w:lang w:val="en-US"/>
        </w:rPr>
        <w:t xml:space="preserve">, A., </w:t>
      </w:r>
      <w:proofErr w:type="spellStart"/>
      <w:r>
        <w:rPr>
          <w:sz w:val="20"/>
          <w:szCs w:val="20"/>
          <w:lang w:val="en-US"/>
        </w:rPr>
        <w:t>Horga</w:t>
      </w:r>
      <w:proofErr w:type="spellEnd"/>
      <w:r>
        <w:rPr>
          <w:sz w:val="20"/>
          <w:szCs w:val="20"/>
          <w:lang w:val="en-US"/>
        </w:rPr>
        <w:t>, G., 2019. Neuromelanin-sensitive MRI as a noninvasive proxy measure of dopamine function in the human brain. Proc. Natl. Acad. Sci. U. S. A. 116, 5108-5117.</w:t>
      </w:r>
    </w:p>
    <w:p w:rsidR="00352A2A" w:rsidRPr="00C54C8A" w:rsidRDefault="0096787B" w:rsidP="00113B97">
      <w:pPr>
        <w:spacing w:after="120" w:line="480" w:lineRule="auto"/>
        <w:rPr>
          <w:sz w:val="20"/>
          <w:szCs w:val="20"/>
        </w:rPr>
      </w:pPr>
      <w:proofErr w:type="spellStart"/>
      <w:r>
        <w:rPr>
          <w:sz w:val="20"/>
          <w:szCs w:val="20"/>
          <w:lang w:val="en-US"/>
        </w:rPr>
        <w:lastRenderedPageBreak/>
        <w:t>Charnay</w:t>
      </w:r>
      <w:proofErr w:type="spellEnd"/>
      <w:r>
        <w:rPr>
          <w:sz w:val="20"/>
          <w:szCs w:val="20"/>
          <w:lang w:val="en-US"/>
        </w:rPr>
        <w:t xml:space="preserve">, Y., Léger, L., 2010. Brain serotonergic circuitries. Dialogues Clin. </w:t>
      </w:r>
      <w:proofErr w:type="spellStart"/>
      <w:r w:rsidRPr="00C54C8A">
        <w:rPr>
          <w:sz w:val="20"/>
          <w:szCs w:val="20"/>
        </w:rPr>
        <w:t>Neurosci</w:t>
      </w:r>
      <w:proofErr w:type="spellEnd"/>
      <w:r w:rsidRPr="00C54C8A">
        <w:rPr>
          <w:sz w:val="20"/>
          <w:szCs w:val="20"/>
        </w:rPr>
        <w:t>. 12, 471-487.</w:t>
      </w:r>
    </w:p>
    <w:p w:rsidR="00352A2A" w:rsidRPr="00B26E04" w:rsidRDefault="00352A2A" w:rsidP="00113B97">
      <w:pPr>
        <w:spacing w:after="120" w:line="480" w:lineRule="auto"/>
        <w:rPr>
          <w:sz w:val="20"/>
          <w:szCs w:val="20"/>
          <w:lang w:val="en-US"/>
        </w:rPr>
      </w:pPr>
      <w:proofErr w:type="spellStart"/>
      <w:r w:rsidRPr="00C54C8A">
        <w:rPr>
          <w:sz w:val="20"/>
          <w:szCs w:val="20"/>
        </w:rPr>
        <w:t>Checknita</w:t>
      </w:r>
      <w:proofErr w:type="spellEnd"/>
      <w:r w:rsidRPr="00C54C8A">
        <w:rPr>
          <w:sz w:val="20"/>
          <w:szCs w:val="20"/>
        </w:rPr>
        <w:t xml:space="preserve">, D., </w:t>
      </w:r>
      <w:proofErr w:type="spellStart"/>
      <w:r w:rsidRPr="00C54C8A">
        <w:rPr>
          <w:sz w:val="20"/>
          <w:szCs w:val="20"/>
        </w:rPr>
        <w:t>Maussion</w:t>
      </w:r>
      <w:proofErr w:type="spellEnd"/>
      <w:r w:rsidRPr="00C54C8A">
        <w:rPr>
          <w:sz w:val="20"/>
          <w:szCs w:val="20"/>
        </w:rPr>
        <w:t xml:space="preserve">, G., </w:t>
      </w:r>
      <w:proofErr w:type="spellStart"/>
      <w:r w:rsidRPr="00C54C8A">
        <w:rPr>
          <w:sz w:val="20"/>
          <w:szCs w:val="20"/>
        </w:rPr>
        <w:t>Labonté</w:t>
      </w:r>
      <w:proofErr w:type="spellEnd"/>
      <w:r w:rsidRPr="00C54C8A">
        <w:rPr>
          <w:sz w:val="20"/>
          <w:szCs w:val="20"/>
        </w:rPr>
        <w:t xml:space="preserve">, B., Comai, S., </w:t>
      </w:r>
      <w:proofErr w:type="spellStart"/>
      <w:r w:rsidRPr="00C54C8A">
        <w:rPr>
          <w:sz w:val="20"/>
          <w:szCs w:val="20"/>
        </w:rPr>
        <w:t>Tremblay</w:t>
      </w:r>
      <w:proofErr w:type="spellEnd"/>
      <w:r w:rsidRPr="00C54C8A">
        <w:rPr>
          <w:sz w:val="20"/>
          <w:szCs w:val="20"/>
        </w:rPr>
        <w:t xml:space="preserve">, R.E., </w:t>
      </w:r>
      <w:proofErr w:type="spellStart"/>
      <w:r w:rsidRPr="00C54C8A">
        <w:rPr>
          <w:sz w:val="20"/>
          <w:szCs w:val="20"/>
        </w:rPr>
        <w:t>Vitaro</w:t>
      </w:r>
      <w:proofErr w:type="spellEnd"/>
      <w:r w:rsidRPr="00C54C8A">
        <w:rPr>
          <w:sz w:val="20"/>
          <w:szCs w:val="20"/>
        </w:rPr>
        <w:t xml:space="preserve">, F., </w:t>
      </w:r>
      <w:proofErr w:type="spellStart"/>
      <w:r w:rsidRPr="00C54C8A">
        <w:rPr>
          <w:sz w:val="20"/>
          <w:szCs w:val="20"/>
        </w:rPr>
        <w:t>Turecki</w:t>
      </w:r>
      <w:proofErr w:type="spellEnd"/>
      <w:r w:rsidRPr="00C54C8A">
        <w:rPr>
          <w:sz w:val="20"/>
          <w:szCs w:val="20"/>
        </w:rPr>
        <w:t xml:space="preserve">, N., </w:t>
      </w:r>
      <w:proofErr w:type="spellStart"/>
      <w:r w:rsidRPr="00C54C8A">
        <w:rPr>
          <w:sz w:val="20"/>
          <w:szCs w:val="20"/>
        </w:rPr>
        <w:t>Bertazzo</w:t>
      </w:r>
      <w:proofErr w:type="spellEnd"/>
      <w:r w:rsidRPr="00C54C8A">
        <w:rPr>
          <w:sz w:val="20"/>
          <w:szCs w:val="20"/>
        </w:rPr>
        <w:t xml:space="preserve">, A., Gobbi, G., </w:t>
      </w:r>
      <w:proofErr w:type="spellStart"/>
      <w:r w:rsidRPr="00C54C8A">
        <w:rPr>
          <w:sz w:val="20"/>
          <w:szCs w:val="20"/>
        </w:rPr>
        <w:t>Côté</w:t>
      </w:r>
      <w:proofErr w:type="spellEnd"/>
      <w:r w:rsidRPr="00C54C8A">
        <w:rPr>
          <w:sz w:val="20"/>
          <w:szCs w:val="20"/>
        </w:rPr>
        <w:t xml:space="preserve">, G., </w:t>
      </w:r>
      <w:proofErr w:type="spellStart"/>
      <w:r w:rsidRPr="00C54C8A">
        <w:rPr>
          <w:sz w:val="20"/>
          <w:szCs w:val="20"/>
        </w:rPr>
        <w:t>Turecki</w:t>
      </w:r>
      <w:proofErr w:type="spellEnd"/>
      <w:r w:rsidRPr="00C54C8A">
        <w:rPr>
          <w:sz w:val="20"/>
          <w:szCs w:val="20"/>
        </w:rPr>
        <w:t xml:space="preserve">, G., 2015. </w:t>
      </w:r>
      <w:r w:rsidRPr="00B26E04">
        <w:rPr>
          <w:sz w:val="20"/>
          <w:szCs w:val="20"/>
          <w:lang w:val="en-US"/>
        </w:rPr>
        <w:t>Monoamine oxidase A gene promoter methylation and transcriptional downregulation in an offender population with antisocial personality disorder. Br</w:t>
      </w:r>
      <w:r w:rsidR="0096787B">
        <w:rPr>
          <w:sz w:val="20"/>
          <w:szCs w:val="20"/>
          <w:lang w:val="en-US"/>
        </w:rPr>
        <w:t>. J. Psychiatry 206, 216-222.</w:t>
      </w:r>
    </w:p>
    <w:p w:rsidR="00352A2A" w:rsidRPr="00B26E04" w:rsidRDefault="0096787B" w:rsidP="00113B97">
      <w:pPr>
        <w:spacing w:after="120" w:line="480" w:lineRule="auto"/>
        <w:rPr>
          <w:sz w:val="20"/>
          <w:szCs w:val="20"/>
          <w:lang w:val="en-US"/>
        </w:rPr>
      </w:pPr>
      <w:r>
        <w:rPr>
          <w:sz w:val="20"/>
          <w:szCs w:val="20"/>
          <w:lang w:val="en-US"/>
        </w:rPr>
        <w:t xml:space="preserve">Chen, J., </w:t>
      </w:r>
      <w:proofErr w:type="spellStart"/>
      <w:r>
        <w:rPr>
          <w:sz w:val="20"/>
          <w:szCs w:val="20"/>
          <w:lang w:val="en-US"/>
        </w:rPr>
        <w:t>Lipska</w:t>
      </w:r>
      <w:proofErr w:type="spellEnd"/>
      <w:r>
        <w:rPr>
          <w:sz w:val="20"/>
          <w:szCs w:val="20"/>
          <w:lang w:val="en-US"/>
        </w:rPr>
        <w:t xml:space="preserve">, B.K., Halim, N., Ma, Q.D., Matsumoto, M., </w:t>
      </w:r>
      <w:proofErr w:type="spellStart"/>
      <w:r>
        <w:rPr>
          <w:sz w:val="20"/>
          <w:szCs w:val="20"/>
          <w:lang w:val="en-US"/>
        </w:rPr>
        <w:t>Melhem</w:t>
      </w:r>
      <w:proofErr w:type="spellEnd"/>
      <w:r>
        <w:rPr>
          <w:sz w:val="20"/>
          <w:szCs w:val="20"/>
          <w:lang w:val="en-US"/>
        </w:rPr>
        <w:t xml:space="preserve">, S., </w:t>
      </w:r>
      <w:proofErr w:type="spellStart"/>
      <w:r>
        <w:rPr>
          <w:sz w:val="20"/>
          <w:szCs w:val="20"/>
          <w:lang w:val="en-US"/>
        </w:rPr>
        <w:t>Kolachana</w:t>
      </w:r>
      <w:proofErr w:type="spellEnd"/>
      <w:r>
        <w:rPr>
          <w:sz w:val="20"/>
          <w:szCs w:val="20"/>
          <w:lang w:val="en-US"/>
        </w:rPr>
        <w:t xml:space="preserve">, B.S., Hyde, T.M., Herman, M.M., Apud, J., Egan, M.F., Kleinman, J.E., Weinberger, D.R., 2004. Functional analysis of genetic variation in catechol-O-methyltransferase (COMT): effects on mRNA, protein, and enzyme activity in postmortem human brain. Am. J. Hum. Genet. 75, 807-821. </w:t>
      </w:r>
    </w:p>
    <w:p w:rsidR="00352A2A" w:rsidRPr="00B26E04" w:rsidRDefault="0096787B" w:rsidP="00113B97">
      <w:pPr>
        <w:spacing w:after="120" w:line="480" w:lineRule="auto"/>
        <w:rPr>
          <w:sz w:val="20"/>
          <w:szCs w:val="20"/>
          <w:lang w:val="en-US"/>
        </w:rPr>
      </w:pPr>
      <w:r>
        <w:rPr>
          <w:sz w:val="20"/>
          <w:szCs w:val="20"/>
          <w:lang w:val="en-US"/>
        </w:rPr>
        <w:t xml:space="preserve">Chen, T.J., Blum, K., Mathews, D., Fisher, L., </w:t>
      </w:r>
      <w:proofErr w:type="spellStart"/>
      <w:r>
        <w:rPr>
          <w:sz w:val="20"/>
          <w:szCs w:val="20"/>
          <w:lang w:val="en-US"/>
        </w:rPr>
        <w:t>Schnautz</w:t>
      </w:r>
      <w:proofErr w:type="spellEnd"/>
      <w:r>
        <w:rPr>
          <w:sz w:val="20"/>
          <w:szCs w:val="20"/>
          <w:lang w:val="en-US"/>
        </w:rPr>
        <w:t xml:space="preserve">, N., Braverman, E.R., </w:t>
      </w:r>
      <w:proofErr w:type="spellStart"/>
      <w:r>
        <w:rPr>
          <w:sz w:val="20"/>
          <w:szCs w:val="20"/>
          <w:lang w:val="en-US"/>
        </w:rPr>
        <w:t>Schoolfield</w:t>
      </w:r>
      <w:proofErr w:type="spellEnd"/>
      <w:r>
        <w:rPr>
          <w:sz w:val="20"/>
          <w:szCs w:val="20"/>
          <w:lang w:val="en-US"/>
        </w:rPr>
        <w:t xml:space="preserve">, J., Downs, B.W., Comings, D.E., 2005. Are dopaminergic genes involved in a predisposition to pathological aggression? Hypothesizing the importance of "super normal controls" in </w:t>
      </w:r>
      <w:proofErr w:type="spellStart"/>
      <w:r>
        <w:rPr>
          <w:sz w:val="20"/>
          <w:szCs w:val="20"/>
          <w:lang w:val="en-US"/>
        </w:rPr>
        <w:t>psychiatricgenetic</w:t>
      </w:r>
      <w:proofErr w:type="spellEnd"/>
      <w:r>
        <w:rPr>
          <w:sz w:val="20"/>
          <w:szCs w:val="20"/>
          <w:lang w:val="en-US"/>
        </w:rPr>
        <w:t xml:space="preserve"> research of complex behavioral disorders. Med. Hypotheses 65, 703-707.</w:t>
      </w:r>
    </w:p>
    <w:p w:rsidR="00352A2A" w:rsidRPr="00B26E04" w:rsidRDefault="0096787B" w:rsidP="00113B97">
      <w:pPr>
        <w:spacing w:after="120" w:line="480" w:lineRule="auto"/>
        <w:rPr>
          <w:sz w:val="20"/>
          <w:szCs w:val="20"/>
          <w:lang w:val="en-US"/>
        </w:rPr>
      </w:pPr>
      <w:r>
        <w:rPr>
          <w:sz w:val="20"/>
          <w:szCs w:val="20"/>
          <w:lang w:val="en-US"/>
        </w:rPr>
        <w:t xml:space="preserve">Cheng, A., Scott, A.L., </w:t>
      </w:r>
      <w:proofErr w:type="spellStart"/>
      <w:r>
        <w:rPr>
          <w:sz w:val="20"/>
          <w:szCs w:val="20"/>
          <w:lang w:val="en-US"/>
        </w:rPr>
        <w:t>Ladenheim</w:t>
      </w:r>
      <w:proofErr w:type="spellEnd"/>
      <w:r>
        <w:rPr>
          <w:sz w:val="20"/>
          <w:szCs w:val="20"/>
          <w:lang w:val="en-US"/>
        </w:rPr>
        <w:t xml:space="preserve">, B., Chen, K., Ouyang, X., </w:t>
      </w:r>
      <w:proofErr w:type="spellStart"/>
      <w:r>
        <w:rPr>
          <w:sz w:val="20"/>
          <w:szCs w:val="20"/>
          <w:lang w:val="en-US"/>
        </w:rPr>
        <w:t>Lathia</w:t>
      </w:r>
      <w:proofErr w:type="spellEnd"/>
      <w:r>
        <w:rPr>
          <w:sz w:val="20"/>
          <w:szCs w:val="20"/>
          <w:lang w:val="en-US"/>
        </w:rPr>
        <w:t xml:space="preserve">, J.D., Mughal, M., Cadet, J.L., Mattson, M.P., Shih, J.C., 2010. Monoamine oxidases regulate telencephalic neural progenitors in late embryonic and early postnatal development. J. </w:t>
      </w:r>
      <w:proofErr w:type="spellStart"/>
      <w:r>
        <w:rPr>
          <w:sz w:val="20"/>
          <w:szCs w:val="20"/>
          <w:lang w:val="en-US"/>
        </w:rPr>
        <w:t>Neurosci</w:t>
      </w:r>
      <w:proofErr w:type="spellEnd"/>
      <w:r>
        <w:rPr>
          <w:sz w:val="20"/>
          <w:szCs w:val="20"/>
          <w:lang w:val="en-US"/>
        </w:rPr>
        <w:t>. 30, 10752-10762.</w:t>
      </w:r>
    </w:p>
    <w:p w:rsidR="003364F8" w:rsidRPr="00B26E04" w:rsidRDefault="0096787B" w:rsidP="00113B97">
      <w:pPr>
        <w:spacing w:after="120" w:line="480" w:lineRule="auto"/>
        <w:rPr>
          <w:sz w:val="20"/>
          <w:szCs w:val="20"/>
          <w:lang w:val="en-US"/>
        </w:rPr>
      </w:pPr>
      <w:proofErr w:type="spellStart"/>
      <w:r>
        <w:rPr>
          <w:sz w:val="20"/>
          <w:szCs w:val="20"/>
          <w:lang w:val="en-US"/>
        </w:rPr>
        <w:t>Chermack</w:t>
      </w:r>
      <w:proofErr w:type="spellEnd"/>
      <w:r>
        <w:rPr>
          <w:sz w:val="20"/>
          <w:szCs w:val="20"/>
          <w:lang w:val="en-US"/>
        </w:rPr>
        <w:t>, S.T., Blow, F.C., 2002. Violence among individuals in substance abuse treatment: the role of alcohol and cocaine consumption. Drug. Alcohol Depend. 66, 29-37.</w:t>
      </w:r>
    </w:p>
    <w:p w:rsidR="00352A2A" w:rsidRPr="00C54C8A" w:rsidRDefault="0096787B" w:rsidP="00113B97">
      <w:pPr>
        <w:spacing w:after="120" w:line="480" w:lineRule="auto"/>
        <w:rPr>
          <w:sz w:val="20"/>
          <w:szCs w:val="20"/>
        </w:rPr>
      </w:pPr>
      <w:r>
        <w:rPr>
          <w:sz w:val="20"/>
          <w:szCs w:val="20"/>
          <w:lang w:val="en-US"/>
        </w:rPr>
        <w:t xml:space="preserve">Christensen, B.C., Houseman, E.A., </w:t>
      </w:r>
      <w:proofErr w:type="spellStart"/>
      <w:r>
        <w:rPr>
          <w:sz w:val="20"/>
          <w:szCs w:val="20"/>
          <w:lang w:val="en-US"/>
        </w:rPr>
        <w:t>Marsit</w:t>
      </w:r>
      <w:proofErr w:type="spellEnd"/>
      <w:r>
        <w:rPr>
          <w:sz w:val="20"/>
          <w:szCs w:val="20"/>
          <w:lang w:val="en-US"/>
        </w:rPr>
        <w:t xml:space="preserve">, C.J., Zheng, S., </w:t>
      </w:r>
      <w:proofErr w:type="spellStart"/>
      <w:r>
        <w:rPr>
          <w:sz w:val="20"/>
          <w:szCs w:val="20"/>
          <w:lang w:val="en-US"/>
        </w:rPr>
        <w:t>Wrensch</w:t>
      </w:r>
      <w:proofErr w:type="spellEnd"/>
      <w:r>
        <w:rPr>
          <w:sz w:val="20"/>
          <w:szCs w:val="20"/>
          <w:lang w:val="en-US"/>
        </w:rPr>
        <w:t xml:space="preserve">, M.R., </w:t>
      </w:r>
      <w:proofErr w:type="spellStart"/>
      <w:r>
        <w:rPr>
          <w:sz w:val="20"/>
          <w:szCs w:val="20"/>
          <w:lang w:val="en-US"/>
        </w:rPr>
        <w:t>Wiemels</w:t>
      </w:r>
      <w:proofErr w:type="spellEnd"/>
      <w:r>
        <w:rPr>
          <w:sz w:val="20"/>
          <w:szCs w:val="20"/>
          <w:lang w:val="en-US"/>
        </w:rPr>
        <w:t xml:space="preserve">, J.L., Nelson, H.H., </w:t>
      </w:r>
      <w:proofErr w:type="spellStart"/>
      <w:r>
        <w:rPr>
          <w:sz w:val="20"/>
          <w:szCs w:val="20"/>
          <w:lang w:val="en-US"/>
        </w:rPr>
        <w:t>Karagas</w:t>
      </w:r>
      <w:proofErr w:type="spellEnd"/>
      <w:r>
        <w:rPr>
          <w:sz w:val="20"/>
          <w:szCs w:val="20"/>
          <w:lang w:val="en-US"/>
        </w:rPr>
        <w:t xml:space="preserve">, M.R., Padbury, J.F., Bueno, R., </w:t>
      </w:r>
      <w:proofErr w:type="spellStart"/>
      <w:r>
        <w:rPr>
          <w:sz w:val="20"/>
          <w:szCs w:val="20"/>
          <w:lang w:val="en-US"/>
        </w:rPr>
        <w:t>Sugarbaker</w:t>
      </w:r>
      <w:proofErr w:type="spellEnd"/>
      <w:r>
        <w:rPr>
          <w:sz w:val="20"/>
          <w:szCs w:val="20"/>
          <w:lang w:val="en-US"/>
        </w:rPr>
        <w:t xml:space="preserve">, D.J., Yeh, R.F., </w:t>
      </w:r>
      <w:proofErr w:type="spellStart"/>
      <w:r>
        <w:rPr>
          <w:sz w:val="20"/>
          <w:szCs w:val="20"/>
          <w:lang w:val="en-US"/>
        </w:rPr>
        <w:t>Wiencke</w:t>
      </w:r>
      <w:proofErr w:type="spellEnd"/>
      <w:r>
        <w:rPr>
          <w:sz w:val="20"/>
          <w:szCs w:val="20"/>
          <w:lang w:val="en-US"/>
        </w:rPr>
        <w:t xml:space="preserve">, J.K., Kelsey, K.T., 2009. Aging and environmental exposures alter tissue-specific DNA methylation dependent upon CpG island context. </w:t>
      </w:r>
      <w:proofErr w:type="spellStart"/>
      <w:r w:rsidR="00352A2A" w:rsidRPr="00C54C8A">
        <w:rPr>
          <w:sz w:val="20"/>
          <w:szCs w:val="20"/>
        </w:rPr>
        <w:t>PLoS</w:t>
      </w:r>
      <w:proofErr w:type="spellEnd"/>
      <w:r w:rsidR="00352A2A" w:rsidRPr="00C54C8A">
        <w:rPr>
          <w:sz w:val="20"/>
          <w:szCs w:val="20"/>
        </w:rPr>
        <w:t xml:space="preserve"> </w:t>
      </w:r>
      <w:proofErr w:type="spellStart"/>
      <w:r w:rsidR="00352A2A" w:rsidRPr="00C54C8A">
        <w:rPr>
          <w:sz w:val="20"/>
          <w:szCs w:val="20"/>
        </w:rPr>
        <w:t>Genet</w:t>
      </w:r>
      <w:proofErr w:type="spellEnd"/>
      <w:r w:rsidR="00352A2A" w:rsidRPr="00C54C8A">
        <w:rPr>
          <w:sz w:val="20"/>
          <w:szCs w:val="20"/>
        </w:rPr>
        <w:t xml:space="preserve"> 5, e1000602.</w:t>
      </w:r>
    </w:p>
    <w:p w:rsidR="00352A2A" w:rsidRPr="00B26E04" w:rsidRDefault="00352A2A" w:rsidP="00113B97">
      <w:pPr>
        <w:spacing w:after="120" w:line="480" w:lineRule="auto"/>
        <w:rPr>
          <w:sz w:val="20"/>
          <w:szCs w:val="20"/>
          <w:lang w:val="en-US"/>
        </w:rPr>
      </w:pPr>
      <w:r w:rsidRPr="00C54C8A">
        <w:rPr>
          <w:sz w:val="20"/>
          <w:szCs w:val="20"/>
        </w:rPr>
        <w:t xml:space="preserve">Cicchetti, D., </w:t>
      </w:r>
      <w:proofErr w:type="spellStart"/>
      <w:r w:rsidRPr="00C54C8A">
        <w:rPr>
          <w:sz w:val="20"/>
          <w:szCs w:val="20"/>
        </w:rPr>
        <w:t>Rogosch</w:t>
      </w:r>
      <w:proofErr w:type="spellEnd"/>
      <w:r w:rsidRPr="00C54C8A">
        <w:rPr>
          <w:sz w:val="20"/>
          <w:szCs w:val="20"/>
        </w:rPr>
        <w:t xml:space="preserve">, F.A., </w:t>
      </w:r>
      <w:proofErr w:type="spellStart"/>
      <w:r w:rsidRPr="00C54C8A">
        <w:rPr>
          <w:sz w:val="20"/>
          <w:szCs w:val="20"/>
        </w:rPr>
        <w:t>Thibodeau</w:t>
      </w:r>
      <w:proofErr w:type="spellEnd"/>
      <w:r w:rsidRPr="00C54C8A">
        <w:rPr>
          <w:sz w:val="20"/>
          <w:szCs w:val="20"/>
        </w:rPr>
        <w:t xml:space="preserve">, E.L., 2012. </w:t>
      </w:r>
      <w:r w:rsidRPr="00B26E04">
        <w:rPr>
          <w:sz w:val="20"/>
          <w:szCs w:val="20"/>
          <w:lang w:val="en-US"/>
        </w:rPr>
        <w:t xml:space="preserve">The effects of child maltreatment on early signs of antisocial behavior: genetic moderation by tryptophan hydroxylase, </w:t>
      </w:r>
      <w:r w:rsidR="0096787B">
        <w:rPr>
          <w:sz w:val="20"/>
          <w:szCs w:val="20"/>
          <w:lang w:val="en-US"/>
        </w:rPr>
        <w:t xml:space="preserve">serotonin transporter, and monoamine oxidase A genes. Dev. </w:t>
      </w:r>
      <w:proofErr w:type="spellStart"/>
      <w:r w:rsidR="0096787B">
        <w:rPr>
          <w:sz w:val="20"/>
          <w:szCs w:val="20"/>
          <w:lang w:val="en-US"/>
        </w:rPr>
        <w:t>Psychopathol</w:t>
      </w:r>
      <w:proofErr w:type="spellEnd"/>
      <w:r w:rsidR="0096787B">
        <w:rPr>
          <w:sz w:val="20"/>
          <w:szCs w:val="20"/>
          <w:lang w:val="en-US"/>
        </w:rPr>
        <w:t>. 24, 907-928.</w:t>
      </w:r>
    </w:p>
    <w:p w:rsidR="002848F8" w:rsidRPr="00B26E04" w:rsidRDefault="0096787B" w:rsidP="00113B97">
      <w:pPr>
        <w:spacing w:after="120" w:line="480" w:lineRule="auto"/>
        <w:rPr>
          <w:sz w:val="20"/>
          <w:szCs w:val="20"/>
          <w:lang w:val="en-US"/>
        </w:rPr>
      </w:pPr>
      <w:proofErr w:type="spellStart"/>
      <w:r>
        <w:rPr>
          <w:sz w:val="20"/>
          <w:szCs w:val="20"/>
          <w:lang w:val="en-US"/>
        </w:rPr>
        <w:t>Coccaro</w:t>
      </w:r>
      <w:proofErr w:type="spellEnd"/>
      <w:r>
        <w:rPr>
          <w:sz w:val="20"/>
          <w:szCs w:val="20"/>
          <w:lang w:val="en-US"/>
        </w:rPr>
        <w:t>, E.F., 1989. Central serotonin and impulsive aggression. Br. J. Psychiatry Suppl. 8, 52-62.</w:t>
      </w:r>
    </w:p>
    <w:p w:rsidR="00097CE4" w:rsidRPr="00B26E04" w:rsidRDefault="0096787B" w:rsidP="00113B97">
      <w:pPr>
        <w:spacing w:after="120" w:line="480" w:lineRule="auto"/>
        <w:rPr>
          <w:sz w:val="20"/>
          <w:szCs w:val="20"/>
          <w:lang w:val="en-US"/>
        </w:rPr>
      </w:pPr>
      <w:proofErr w:type="spellStart"/>
      <w:r>
        <w:rPr>
          <w:sz w:val="20"/>
          <w:szCs w:val="20"/>
          <w:lang w:val="en-US"/>
        </w:rPr>
        <w:t>Coccaro</w:t>
      </w:r>
      <w:proofErr w:type="spellEnd"/>
      <w:r>
        <w:rPr>
          <w:sz w:val="20"/>
          <w:szCs w:val="20"/>
          <w:lang w:val="en-US"/>
        </w:rPr>
        <w:t xml:space="preserve">, E.F., Lee, R., 2010. Cerebrospinal fluid 5-hydroxyindolacetic acid and </w:t>
      </w:r>
      <w:proofErr w:type="spellStart"/>
      <w:r>
        <w:rPr>
          <w:sz w:val="20"/>
          <w:szCs w:val="20"/>
          <w:lang w:val="en-US"/>
        </w:rPr>
        <w:t>homovanillic</w:t>
      </w:r>
      <w:proofErr w:type="spellEnd"/>
      <w:r>
        <w:rPr>
          <w:sz w:val="20"/>
          <w:szCs w:val="20"/>
          <w:lang w:val="en-US"/>
        </w:rPr>
        <w:t xml:space="preserve"> acid: reciprocal relationships with impulsive aggression in human subjects. J. Neural. </w:t>
      </w:r>
      <w:proofErr w:type="spellStart"/>
      <w:r>
        <w:rPr>
          <w:sz w:val="20"/>
          <w:szCs w:val="20"/>
          <w:lang w:val="en-US"/>
        </w:rPr>
        <w:t>Transm</w:t>
      </w:r>
      <w:proofErr w:type="spellEnd"/>
      <w:r>
        <w:rPr>
          <w:sz w:val="20"/>
          <w:szCs w:val="20"/>
          <w:lang w:val="en-US"/>
        </w:rPr>
        <w:t>. (Vienna), 117, 241-248.</w:t>
      </w:r>
    </w:p>
    <w:p w:rsidR="009F6D39" w:rsidRPr="00B26E04" w:rsidRDefault="0096787B" w:rsidP="00113B97">
      <w:pPr>
        <w:spacing w:after="120" w:line="480" w:lineRule="auto"/>
        <w:rPr>
          <w:sz w:val="20"/>
          <w:szCs w:val="20"/>
          <w:lang w:val="en-US"/>
        </w:rPr>
      </w:pPr>
      <w:proofErr w:type="spellStart"/>
      <w:r>
        <w:rPr>
          <w:sz w:val="20"/>
          <w:szCs w:val="20"/>
          <w:lang w:val="en-US"/>
        </w:rPr>
        <w:t>Coccaro</w:t>
      </w:r>
      <w:proofErr w:type="spellEnd"/>
      <w:r>
        <w:rPr>
          <w:sz w:val="20"/>
          <w:szCs w:val="20"/>
          <w:lang w:val="en-US"/>
        </w:rPr>
        <w:t xml:space="preserve">, E.F., </w:t>
      </w:r>
      <w:proofErr w:type="spellStart"/>
      <w:r>
        <w:rPr>
          <w:sz w:val="20"/>
          <w:szCs w:val="20"/>
          <w:lang w:val="en-US"/>
        </w:rPr>
        <w:t>Bergeman</w:t>
      </w:r>
      <w:proofErr w:type="spellEnd"/>
      <w:r>
        <w:rPr>
          <w:sz w:val="20"/>
          <w:szCs w:val="20"/>
          <w:lang w:val="en-US"/>
        </w:rPr>
        <w:t xml:space="preserve">, C.S., </w:t>
      </w:r>
      <w:proofErr w:type="spellStart"/>
      <w:r>
        <w:rPr>
          <w:sz w:val="20"/>
          <w:szCs w:val="20"/>
          <w:lang w:val="en-US"/>
        </w:rPr>
        <w:t>McClearn</w:t>
      </w:r>
      <w:proofErr w:type="spellEnd"/>
      <w:r>
        <w:rPr>
          <w:sz w:val="20"/>
          <w:szCs w:val="20"/>
          <w:lang w:val="en-US"/>
        </w:rPr>
        <w:t>, G.E., 1993. Heritability of irritable impulsiveness: a study of twins reared together and apart. Psychiatry Res. 48, 229-242.</w:t>
      </w:r>
    </w:p>
    <w:p w:rsidR="0012236D" w:rsidRPr="00B26E04" w:rsidRDefault="0096787B" w:rsidP="0012236D">
      <w:pPr>
        <w:spacing w:after="120" w:line="480" w:lineRule="auto"/>
        <w:rPr>
          <w:sz w:val="20"/>
          <w:szCs w:val="20"/>
          <w:lang w:val="en-US"/>
        </w:rPr>
      </w:pPr>
      <w:proofErr w:type="spellStart"/>
      <w:r>
        <w:rPr>
          <w:sz w:val="20"/>
          <w:szCs w:val="20"/>
          <w:lang w:val="en-US"/>
        </w:rPr>
        <w:lastRenderedPageBreak/>
        <w:t>Coccaro</w:t>
      </w:r>
      <w:proofErr w:type="spellEnd"/>
      <w:r>
        <w:rPr>
          <w:sz w:val="20"/>
          <w:szCs w:val="20"/>
          <w:lang w:val="en-US"/>
        </w:rPr>
        <w:t xml:space="preserve">, E.F., </w:t>
      </w:r>
      <w:proofErr w:type="spellStart"/>
      <w:r>
        <w:rPr>
          <w:sz w:val="20"/>
          <w:szCs w:val="20"/>
          <w:lang w:val="en-US"/>
        </w:rPr>
        <w:t>Kavoussi</w:t>
      </w:r>
      <w:proofErr w:type="spellEnd"/>
      <w:r>
        <w:rPr>
          <w:sz w:val="20"/>
          <w:szCs w:val="20"/>
          <w:lang w:val="en-US"/>
        </w:rPr>
        <w:t xml:space="preserve">, R.J., Trestman, R.L., Gabriel, S.M., Cooper, T.B., </w:t>
      </w:r>
      <w:proofErr w:type="spellStart"/>
      <w:r>
        <w:rPr>
          <w:sz w:val="20"/>
          <w:szCs w:val="20"/>
          <w:lang w:val="en-US"/>
        </w:rPr>
        <w:t>Siever</w:t>
      </w:r>
      <w:proofErr w:type="spellEnd"/>
      <w:r>
        <w:rPr>
          <w:sz w:val="20"/>
          <w:szCs w:val="20"/>
          <w:lang w:val="en-US"/>
        </w:rPr>
        <w:t>, L.J., 1997a. Serotonin function in human subjects: intercorrelations among central 5-HT indices and aggressiveness. Psychiatry Res. 73(1-2), 1-14.</w:t>
      </w:r>
    </w:p>
    <w:p w:rsidR="00097CE4" w:rsidRPr="00B26E04" w:rsidRDefault="0096787B" w:rsidP="0012236D">
      <w:pPr>
        <w:spacing w:after="120" w:line="480" w:lineRule="auto"/>
        <w:rPr>
          <w:sz w:val="20"/>
          <w:szCs w:val="20"/>
          <w:lang w:val="en-US"/>
        </w:rPr>
      </w:pPr>
      <w:proofErr w:type="spellStart"/>
      <w:r>
        <w:rPr>
          <w:sz w:val="20"/>
          <w:szCs w:val="20"/>
          <w:lang w:val="en-US"/>
        </w:rPr>
        <w:t>Coccaro</w:t>
      </w:r>
      <w:proofErr w:type="spellEnd"/>
      <w:r>
        <w:rPr>
          <w:sz w:val="20"/>
          <w:szCs w:val="20"/>
          <w:lang w:val="en-US"/>
        </w:rPr>
        <w:t xml:space="preserve">, E.F., </w:t>
      </w:r>
      <w:proofErr w:type="spellStart"/>
      <w:r>
        <w:rPr>
          <w:sz w:val="20"/>
          <w:szCs w:val="20"/>
          <w:lang w:val="en-US"/>
        </w:rPr>
        <w:t>Kavoussi</w:t>
      </w:r>
      <w:proofErr w:type="spellEnd"/>
      <w:r>
        <w:rPr>
          <w:sz w:val="20"/>
          <w:szCs w:val="20"/>
          <w:lang w:val="en-US"/>
        </w:rPr>
        <w:t xml:space="preserve">, R.J., Cooper, T.B., </w:t>
      </w:r>
      <w:proofErr w:type="spellStart"/>
      <w:r>
        <w:rPr>
          <w:sz w:val="20"/>
          <w:szCs w:val="20"/>
          <w:lang w:val="en-US"/>
        </w:rPr>
        <w:t>Hauger</w:t>
      </w:r>
      <w:proofErr w:type="spellEnd"/>
      <w:r>
        <w:rPr>
          <w:sz w:val="20"/>
          <w:szCs w:val="20"/>
          <w:lang w:val="en-US"/>
        </w:rPr>
        <w:t>, R.L., 1997b. Central serotonin activity and aggression: inverse relationship with prolactin response to d-fenfluramine, but not CSF 5-HIAA concentration, in human subjects. Am. J. Psychiatry 154, 1430-1435.</w:t>
      </w:r>
    </w:p>
    <w:p w:rsidR="00352A2A" w:rsidRPr="00B26E04" w:rsidRDefault="0096787B" w:rsidP="00113B97">
      <w:pPr>
        <w:spacing w:after="120" w:line="480" w:lineRule="auto"/>
        <w:rPr>
          <w:sz w:val="20"/>
          <w:szCs w:val="20"/>
          <w:lang w:val="en-US"/>
        </w:rPr>
      </w:pPr>
      <w:proofErr w:type="spellStart"/>
      <w:r>
        <w:rPr>
          <w:sz w:val="20"/>
          <w:szCs w:val="20"/>
          <w:lang w:val="en-US"/>
        </w:rPr>
        <w:t>Coccaro</w:t>
      </w:r>
      <w:proofErr w:type="spellEnd"/>
      <w:r>
        <w:rPr>
          <w:sz w:val="20"/>
          <w:szCs w:val="20"/>
          <w:lang w:val="en-US"/>
        </w:rPr>
        <w:t>, E.F., McCloskey, M.S., Fitzgerald, D.A., Phan, K.L., 2007. Amygdala and orbitofrontal reactivity to social threat in individuals with impulsive aggression. Biol. Psychiatry 62, 168-178.</w:t>
      </w:r>
    </w:p>
    <w:p w:rsidR="00352A2A" w:rsidRPr="00B26E04" w:rsidRDefault="0096787B" w:rsidP="00113B97">
      <w:pPr>
        <w:spacing w:after="120" w:line="480" w:lineRule="auto"/>
        <w:rPr>
          <w:sz w:val="20"/>
          <w:szCs w:val="20"/>
          <w:lang w:val="en-US"/>
        </w:rPr>
      </w:pPr>
      <w:proofErr w:type="spellStart"/>
      <w:r>
        <w:rPr>
          <w:sz w:val="20"/>
          <w:szCs w:val="20"/>
          <w:lang w:val="en-US"/>
        </w:rPr>
        <w:t>Coccaro</w:t>
      </w:r>
      <w:proofErr w:type="spellEnd"/>
      <w:r>
        <w:rPr>
          <w:sz w:val="20"/>
          <w:szCs w:val="20"/>
          <w:lang w:val="en-US"/>
        </w:rPr>
        <w:t xml:space="preserve">, E.F., </w:t>
      </w:r>
      <w:proofErr w:type="spellStart"/>
      <w:r>
        <w:rPr>
          <w:sz w:val="20"/>
          <w:szCs w:val="20"/>
          <w:lang w:val="en-US"/>
        </w:rPr>
        <w:t>Sripada</w:t>
      </w:r>
      <w:proofErr w:type="spellEnd"/>
      <w:r>
        <w:rPr>
          <w:sz w:val="20"/>
          <w:szCs w:val="20"/>
          <w:lang w:val="en-US"/>
        </w:rPr>
        <w:t xml:space="preserve">, C.S., </w:t>
      </w:r>
      <w:proofErr w:type="spellStart"/>
      <w:r>
        <w:rPr>
          <w:sz w:val="20"/>
          <w:szCs w:val="20"/>
          <w:lang w:val="en-US"/>
        </w:rPr>
        <w:t>Yanowitch</w:t>
      </w:r>
      <w:proofErr w:type="spellEnd"/>
      <w:r>
        <w:rPr>
          <w:sz w:val="20"/>
          <w:szCs w:val="20"/>
          <w:lang w:val="en-US"/>
        </w:rPr>
        <w:t>, R.N., Phan, K.L., 2011. Corticolimbic function in impulsive aggressive behavior. Biol. Psychiatry 69, 1153-1159.</w:t>
      </w:r>
    </w:p>
    <w:p w:rsidR="00352A2A" w:rsidRPr="00B26E04" w:rsidRDefault="0096787B" w:rsidP="00113B97">
      <w:pPr>
        <w:spacing w:after="120" w:line="480" w:lineRule="auto"/>
        <w:rPr>
          <w:sz w:val="20"/>
          <w:szCs w:val="20"/>
          <w:lang w:val="en-US"/>
        </w:rPr>
      </w:pPr>
      <w:r>
        <w:rPr>
          <w:sz w:val="20"/>
          <w:szCs w:val="20"/>
          <w:lang w:val="en-US"/>
        </w:rPr>
        <w:t xml:space="preserve">Cohen, J.R., Lieberman, M.D., 2010. The Common Neural Basis of Exerting Self-Control in Multiple Domains, chapter in: </w:t>
      </w:r>
      <w:proofErr w:type="spellStart"/>
      <w:r>
        <w:rPr>
          <w:sz w:val="20"/>
          <w:szCs w:val="20"/>
          <w:lang w:val="en-US"/>
        </w:rPr>
        <w:t>Hassin</w:t>
      </w:r>
      <w:proofErr w:type="spellEnd"/>
      <w:r>
        <w:rPr>
          <w:sz w:val="20"/>
          <w:szCs w:val="20"/>
          <w:lang w:val="en-US"/>
        </w:rPr>
        <w:t xml:space="preserve">, R., Ochsner, K., Trope, Y. (Eds.), </w:t>
      </w:r>
      <w:proofErr w:type="spellStart"/>
      <w:r>
        <w:rPr>
          <w:sz w:val="20"/>
          <w:szCs w:val="20"/>
          <w:lang w:val="en-US"/>
        </w:rPr>
        <w:t>Self Control</w:t>
      </w:r>
      <w:proofErr w:type="spellEnd"/>
      <w:r>
        <w:rPr>
          <w:sz w:val="20"/>
          <w:szCs w:val="20"/>
          <w:lang w:val="en-US"/>
        </w:rPr>
        <w:t xml:space="preserve"> in Society, Mind, and Brain. Oxford University Press: New York, pp. 141-160.</w:t>
      </w:r>
    </w:p>
    <w:p w:rsidR="00F303E3" w:rsidRPr="00C54C8A" w:rsidRDefault="0096787B" w:rsidP="00F303E3">
      <w:pPr>
        <w:spacing w:after="120" w:line="480" w:lineRule="auto"/>
        <w:rPr>
          <w:sz w:val="20"/>
          <w:szCs w:val="20"/>
        </w:rPr>
      </w:pPr>
      <w:r>
        <w:rPr>
          <w:sz w:val="20"/>
          <w:szCs w:val="20"/>
          <w:lang w:val="en-US"/>
        </w:rPr>
        <w:t xml:space="preserve">Collins, J.J., </w:t>
      </w:r>
      <w:proofErr w:type="spellStart"/>
      <w:r>
        <w:rPr>
          <w:sz w:val="20"/>
          <w:szCs w:val="20"/>
          <w:lang w:val="en-US"/>
        </w:rPr>
        <w:t>Schlenger</w:t>
      </w:r>
      <w:proofErr w:type="spellEnd"/>
      <w:r>
        <w:rPr>
          <w:sz w:val="20"/>
          <w:szCs w:val="20"/>
          <w:lang w:val="en-US"/>
        </w:rPr>
        <w:t xml:space="preserve">, W.E., 1988. Acute and chronic effects of alcohol use on violence. </w:t>
      </w:r>
      <w:r w:rsidRPr="00C54C8A">
        <w:rPr>
          <w:sz w:val="20"/>
          <w:szCs w:val="20"/>
        </w:rPr>
        <w:t xml:space="preserve">J. </w:t>
      </w:r>
      <w:proofErr w:type="spellStart"/>
      <w:r w:rsidRPr="00C54C8A">
        <w:rPr>
          <w:sz w:val="20"/>
          <w:szCs w:val="20"/>
        </w:rPr>
        <w:t>Stud</w:t>
      </w:r>
      <w:proofErr w:type="spellEnd"/>
      <w:r w:rsidRPr="00C54C8A">
        <w:rPr>
          <w:sz w:val="20"/>
          <w:szCs w:val="20"/>
        </w:rPr>
        <w:t xml:space="preserve">. </w:t>
      </w:r>
      <w:proofErr w:type="spellStart"/>
      <w:r w:rsidRPr="00C54C8A">
        <w:rPr>
          <w:sz w:val="20"/>
          <w:szCs w:val="20"/>
        </w:rPr>
        <w:t>Alcohol</w:t>
      </w:r>
      <w:proofErr w:type="spellEnd"/>
      <w:r w:rsidRPr="00C54C8A">
        <w:rPr>
          <w:sz w:val="20"/>
          <w:szCs w:val="20"/>
        </w:rPr>
        <w:t xml:space="preserve"> 49, 516-521.</w:t>
      </w:r>
    </w:p>
    <w:p w:rsidR="00352A2A" w:rsidRPr="00B26E04" w:rsidRDefault="00352A2A" w:rsidP="00113B97">
      <w:pPr>
        <w:spacing w:after="120" w:line="480" w:lineRule="auto"/>
        <w:rPr>
          <w:sz w:val="20"/>
          <w:szCs w:val="20"/>
          <w:lang w:val="en-US"/>
        </w:rPr>
      </w:pPr>
      <w:r w:rsidRPr="00C54C8A">
        <w:rPr>
          <w:sz w:val="20"/>
          <w:szCs w:val="20"/>
        </w:rPr>
        <w:t xml:space="preserve">Comai, S., </w:t>
      </w:r>
      <w:proofErr w:type="spellStart"/>
      <w:r w:rsidRPr="00C54C8A">
        <w:rPr>
          <w:sz w:val="20"/>
          <w:szCs w:val="20"/>
        </w:rPr>
        <w:t>Bertazzo</w:t>
      </w:r>
      <w:proofErr w:type="spellEnd"/>
      <w:r w:rsidRPr="00C54C8A">
        <w:rPr>
          <w:sz w:val="20"/>
          <w:szCs w:val="20"/>
        </w:rPr>
        <w:t xml:space="preserve">, A., </w:t>
      </w:r>
      <w:proofErr w:type="spellStart"/>
      <w:r w:rsidRPr="00C54C8A">
        <w:rPr>
          <w:sz w:val="20"/>
          <w:szCs w:val="20"/>
        </w:rPr>
        <w:t>Vachon</w:t>
      </w:r>
      <w:proofErr w:type="spellEnd"/>
      <w:r w:rsidRPr="00C54C8A">
        <w:rPr>
          <w:sz w:val="20"/>
          <w:szCs w:val="20"/>
        </w:rPr>
        <w:t xml:space="preserve">, J., </w:t>
      </w:r>
      <w:proofErr w:type="spellStart"/>
      <w:r w:rsidRPr="00C54C8A">
        <w:rPr>
          <w:sz w:val="20"/>
          <w:szCs w:val="20"/>
        </w:rPr>
        <w:t>Daigle</w:t>
      </w:r>
      <w:proofErr w:type="spellEnd"/>
      <w:r w:rsidRPr="00C54C8A">
        <w:rPr>
          <w:sz w:val="20"/>
          <w:szCs w:val="20"/>
        </w:rPr>
        <w:t xml:space="preserve">, M., </w:t>
      </w:r>
      <w:proofErr w:type="spellStart"/>
      <w:r w:rsidRPr="00C54C8A">
        <w:rPr>
          <w:sz w:val="20"/>
          <w:szCs w:val="20"/>
        </w:rPr>
        <w:t>Toupin</w:t>
      </w:r>
      <w:proofErr w:type="spellEnd"/>
      <w:r w:rsidRPr="00C54C8A">
        <w:rPr>
          <w:sz w:val="20"/>
          <w:szCs w:val="20"/>
        </w:rPr>
        <w:t xml:space="preserve">, J., </w:t>
      </w:r>
      <w:proofErr w:type="spellStart"/>
      <w:r w:rsidRPr="00C54C8A">
        <w:rPr>
          <w:sz w:val="20"/>
          <w:szCs w:val="20"/>
        </w:rPr>
        <w:t>Côté</w:t>
      </w:r>
      <w:proofErr w:type="spellEnd"/>
      <w:r w:rsidRPr="00C54C8A">
        <w:rPr>
          <w:sz w:val="20"/>
          <w:szCs w:val="20"/>
        </w:rPr>
        <w:t xml:space="preserve">, G., </w:t>
      </w:r>
      <w:proofErr w:type="spellStart"/>
      <w:r w:rsidRPr="00C54C8A">
        <w:rPr>
          <w:sz w:val="20"/>
          <w:szCs w:val="20"/>
        </w:rPr>
        <w:t>Turecki</w:t>
      </w:r>
      <w:proofErr w:type="spellEnd"/>
      <w:r w:rsidRPr="00C54C8A">
        <w:rPr>
          <w:sz w:val="20"/>
          <w:szCs w:val="20"/>
        </w:rPr>
        <w:t xml:space="preserve">, G., Gobbi, G., 2016. </w:t>
      </w:r>
      <w:r w:rsidRPr="00B26E04">
        <w:rPr>
          <w:sz w:val="20"/>
          <w:szCs w:val="20"/>
          <w:lang w:val="en-US"/>
        </w:rPr>
        <w:t>Tryptophan via serotonin/kynurenine pathways abnormalities in a large cohort of aggressive inmates: markers for aggression. Prog</w:t>
      </w:r>
      <w:r w:rsidR="0096787B">
        <w:rPr>
          <w:sz w:val="20"/>
          <w:szCs w:val="20"/>
          <w:lang w:val="en-US"/>
        </w:rPr>
        <w:t xml:space="preserve">. </w:t>
      </w:r>
      <w:proofErr w:type="spellStart"/>
      <w:r w:rsidR="0096787B">
        <w:rPr>
          <w:sz w:val="20"/>
          <w:szCs w:val="20"/>
          <w:lang w:val="en-US"/>
        </w:rPr>
        <w:t>Neuropsychopharmacol</w:t>
      </w:r>
      <w:proofErr w:type="spellEnd"/>
      <w:r w:rsidR="0096787B">
        <w:rPr>
          <w:sz w:val="20"/>
          <w:szCs w:val="20"/>
          <w:lang w:val="en-US"/>
        </w:rPr>
        <w:t>. Biol. Psychiatry 70, 8-16.</w:t>
      </w:r>
    </w:p>
    <w:p w:rsidR="00352A2A" w:rsidRPr="00B26E04" w:rsidRDefault="0096787B" w:rsidP="00113B97">
      <w:pPr>
        <w:spacing w:after="120" w:line="480" w:lineRule="auto"/>
        <w:rPr>
          <w:sz w:val="20"/>
          <w:szCs w:val="20"/>
          <w:lang w:val="en-US"/>
        </w:rPr>
      </w:pPr>
      <w:r>
        <w:rPr>
          <w:sz w:val="20"/>
          <w:szCs w:val="20"/>
          <w:lang w:val="en-US"/>
        </w:rPr>
        <w:t xml:space="preserve">Conner, T.S., Jensen, K.P., </w:t>
      </w:r>
      <w:proofErr w:type="spellStart"/>
      <w:r>
        <w:rPr>
          <w:sz w:val="20"/>
          <w:szCs w:val="20"/>
          <w:lang w:val="en-US"/>
        </w:rPr>
        <w:t>Tennen</w:t>
      </w:r>
      <w:proofErr w:type="spellEnd"/>
      <w:r>
        <w:rPr>
          <w:sz w:val="20"/>
          <w:szCs w:val="20"/>
          <w:lang w:val="en-US"/>
        </w:rPr>
        <w:t xml:space="preserve">, H., </w:t>
      </w:r>
      <w:proofErr w:type="spellStart"/>
      <w:r>
        <w:rPr>
          <w:sz w:val="20"/>
          <w:szCs w:val="20"/>
          <w:lang w:val="en-US"/>
        </w:rPr>
        <w:t>Furneaux</w:t>
      </w:r>
      <w:proofErr w:type="spellEnd"/>
      <w:r>
        <w:rPr>
          <w:sz w:val="20"/>
          <w:szCs w:val="20"/>
          <w:lang w:val="en-US"/>
        </w:rPr>
        <w:t xml:space="preserve">, H.M., </w:t>
      </w:r>
      <w:proofErr w:type="spellStart"/>
      <w:r>
        <w:rPr>
          <w:sz w:val="20"/>
          <w:szCs w:val="20"/>
          <w:lang w:val="en-US"/>
        </w:rPr>
        <w:t>Kranzler</w:t>
      </w:r>
      <w:proofErr w:type="spellEnd"/>
      <w:r>
        <w:rPr>
          <w:sz w:val="20"/>
          <w:szCs w:val="20"/>
          <w:lang w:val="en-US"/>
        </w:rPr>
        <w:t xml:space="preserve">, H.R., </w:t>
      </w:r>
      <w:proofErr w:type="spellStart"/>
      <w:r>
        <w:rPr>
          <w:sz w:val="20"/>
          <w:szCs w:val="20"/>
          <w:lang w:val="en-US"/>
        </w:rPr>
        <w:t>Covault</w:t>
      </w:r>
      <w:proofErr w:type="spellEnd"/>
      <w:r>
        <w:rPr>
          <w:sz w:val="20"/>
          <w:szCs w:val="20"/>
          <w:lang w:val="en-US"/>
        </w:rPr>
        <w:t xml:space="preserve">, J., 2010. Functional polymorphisms in the serotonin 1B receptor gene (HTR1B) predict self-reported anger and hostility among young men. Am. J. Med. Genet. B </w:t>
      </w:r>
      <w:proofErr w:type="spellStart"/>
      <w:r>
        <w:rPr>
          <w:sz w:val="20"/>
          <w:szCs w:val="20"/>
          <w:lang w:val="en-US"/>
        </w:rPr>
        <w:t>Neuropsychiatr</w:t>
      </w:r>
      <w:proofErr w:type="spellEnd"/>
      <w:r>
        <w:rPr>
          <w:sz w:val="20"/>
          <w:szCs w:val="20"/>
          <w:lang w:val="en-US"/>
        </w:rPr>
        <w:t>. Genet. 153B, 67-78.</w:t>
      </w:r>
    </w:p>
    <w:p w:rsidR="00352A2A" w:rsidRPr="00B26E04" w:rsidRDefault="0096787B" w:rsidP="00113B97">
      <w:pPr>
        <w:spacing w:after="120" w:line="480" w:lineRule="auto"/>
        <w:rPr>
          <w:sz w:val="20"/>
          <w:szCs w:val="20"/>
          <w:lang w:val="en-US"/>
        </w:rPr>
      </w:pPr>
      <w:r>
        <w:rPr>
          <w:sz w:val="20"/>
          <w:szCs w:val="20"/>
          <w:lang w:val="en-US"/>
        </w:rPr>
        <w:t xml:space="preserve">Cools, A.R., Van Rossum, J.M., 1976. Excitation-mediating and inhibition-mediating dopamine-receptors: a new concept towards a better understanding of electrophysiological, biochemical, pharmacological, functional and clinical data. </w:t>
      </w:r>
      <w:proofErr w:type="spellStart"/>
      <w:r>
        <w:rPr>
          <w:sz w:val="20"/>
          <w:szCs w:val="20"/>
          <w:lang w:val="en-US"/>
        </w:rPr>
        <w:t>Psychopharmacologia</w:t>
      </w:r>
      <w:proofErr w:type="spellEnd"/>
      <w:r>
        <w:rPr>
          <w:sz w:val="20"/>
          <w:szCs w:val="20"/>
          <w:lang w:val="en-US"/>
        </w:rPr>
        <w:t xml:space="preserve"> 45, 243-254.</w:t>
      </w:r>
    </w:p>
    <w:p w:rsidR="00352A2A" w:rsidRPr="00B26E04" w:rsidRDefault="0096787B" w:rsidP="00113B97">
      <w:pPr>
        <w:spacing w:after="120" w:line="480" w:lineRule="auto"/>
        <w:rPr>
          <w:sz w:val="20"/>
          <w:szCs w:val="20"/>
          <w:lang w:val="en-US"/>
        </w:rPr>
      </w:pPr>
      <w:r>
        <w:rPr>
          <w:sz w:val="20"/>
          <w:szCs w:val="20"/>
          <w:lang w:val="en-US"/>
        </w:rPr>
        <w:t xml:space="preserve">Cope, L.M., </w:t>
      </w:r>
      <w:proofErr w:type="spellStart"/>
      <w:r>
        <w:rPr>
          <w:sz w:val="20"/>
          <w:szCs w:val="20"/>
          <w:lang w:val="en-US"/>
        </w:rPr>
        <w:t>Ermer</w:t>
      </w:r>
      <w:proofErr w:type="spellEnd"/>
      <w:r>
        <w:rPr>
          <w:sz w:val="20"/>
          <w:szCs w:val="20"/>
          <w:lang w:val="en-US"/>
        </w:rPr>
        <w:t xml:space="preserve">, E., Gaudet, L.M., Steele, V.R., Eckhardt, A.L., </w:t>
      </w:r>
      <w:proofErr w:type="spellStart"/>
      <w:r>
        <w:rPr>
          <w:sz w:val="20"/>
          <w:szCs w:val="20"/>
          <w:lang w:val="en-US"/>
        </w:rPr>
        <w:t>Arbabshirani</w:t>
      </w:r>
      <w:proofErr w:type="spellEnd"/>
      <w:r>
        <w:rPr>
          <w:sz w:val="20"/>
          <w:szCs w:val="20"/>
          <w:lang w:val="en-US"/>
        </w:rPr>
        <w:t xml:space="preserve">, M.R., Caldwell, M.F., Calhoun, V.D., </w:t>
      </w:r>
      <w:proofErr w:type="spellStart"/>
      <w:r>
        <w:rPr>
          <w:sz w:val="20"/>
          <w:szCs w:val="20"/>
          <w:lang w:val="en-US"/>
        </w:rPr>
        <w:t>Kiehl</w:t>
      </w:r>
      <w:proofErr w:type="spellEnd"/>
      <w:r>
        <w:rPr>
          <w:sz w:val="20"/>
          <w:szCs w:val="20"/>
          <w:lang w:val="en-US"/>
        </w:rPr>
        <w:t>, K.A., 2014. Abnormal brain structure in youth who commit homicide. Neuroimage Clin. 4, 800-807.</w:t>
      </w:r>
    </w:p>
    <w:p w:rsidR="00352A2A" w:rsidRPr="00B26E04" w:rsidRDefault="00352A2A" w:rsidP="00113B97">
      <w:pPr>
        <w:spacing w:after="120" w:line="480" w:lineRule="auto"/>
        <w:rPr>
          <w:sz w:val="20"/>
          <w:szCs w:val="20"/>
          <w:lang w:val="en-US"/>
        </w:rPr>
      </w:pPr>
      <w:r w:rsidRPr="00C54C8A">
        <w:rPr>
          <w:sz w:val="20"/>
          <w:szCs w:val="20"/>
        </w:rPr>
        <w:t xml:space="preserve">Costello, E.J., Compton, S.N., </w:t>
      </w:r>
      <w:proofErr w:type="spellStart"/>
      <w:r w:rsidRPr="00C54C8A">
        <w:rPr>
          <w:sz w:val="20"/>
          <w:szCs w:val="20"/>
        </w:rPr>
        <w:t>Keeler</w:t>
      </w:r>
      <w:proofErr w:type="spellEnd"/>
      <w:r w:rsidRPr="00C54C8A">
        <w:rPr>
          <w:sz w:val="20"/>
          <w:szCs w:val="20"/>
        </w:rPr>
        <w:t xml:space="preserve">, G., </w:t>
      </w:r>
      <w:proofErr w:type="spellStart"/>
      <w:r w:rsidRPr="00C54C8A">
        <w:rPr>
          <w:sz w:val="20"/>
          <w:szCs w:val="20"/>
        </w:rPr>
        <w:t>Angold</w:t>
      </w:r>
      <w:proofErr w:type="spellEnd"/>
      <w:r w:rsidRPr="00C54C8A">
        <w:rPr>
          <w:sz w:val="20"/>
          <w:szCs w:val="20"/>
        </w:rPr>
        <w:t xml:space="preserve">, A., 2003. </w:t>
      </w:r>
      <w:r w:rsidRPr="00B26E04">
        <w:rPr>
          <w:sz w:val="20"/>
          <w:szCs w:val="20"/>
          <w:lang w:val="en-US"/>
        </w:rPr>
        <w:t>Relationships between poverty and psychopathology: a natural experiment. JAMA 290, 2023-2029.</w:t>
      </w:r>
    </w:p>
    <w:p w:rsidR="00352A2A" w:rsidRPr="00B26E04" w:rsidRDefault="0096787B" w:rsidP="00113B97">
      <w:pPr>
        <w:spacing w:after="120" w:line="480" w:lineRule="auto"/>
        <w:rPr>
          <w:sz w:val="20"/>
          <w:szCs w:val="20"/>
          <w:lang w:val="en-US"/>
        </w:rPr>
      </w:pPr>
      <w:proofErr w:type="spellStart"/>
      <w:r>
        <w:rPr>
          <w:sz w:val="20"/>
          <w:szCs w:val="20"/>
          <w:lang w:val="en-US"/>
        </w:rPr>
        <w:lastRenderedPageBreak/>
        <w:t>Courtet</w:t>
      </w:r>
      <w:proofErr w:type="spellEnd"/>
      <w:r>
        <w:rPr>
          <w:sz w:val="20"/>
          <w:szCs w:val="20"/>
          <w:lang w:val="en-US"/>
        </w:rPr>
        <w:t xml:space="preserve">, P., </w:t>
      </w:r>
      <w:proofErr w:type="spellStart"/>
      <w:r>
        <w:rPr>
          <w:sz w:val="20"/>
          <w:szCs w:val="20"/>
          <w:lang w:val="en-US"/>
        </w:rPr>
        <w:t>Jollant</w:t>
      </w:r>
      <w:proofErr w:type="spellEnd"/>
      <w:r>
        <w:rPr>
          <w:sz w:val="20"/>
          <w:szCs w:val="20"/>
          <w:lang w:val="en-US"/>
        </w:rPr>
        <w:t xml:space="preserve">, F., </w:t>
      </w:r>
      <w:proofErr w:type="spellStart"/>
      <w:r>
        <w:rPr>
          <w:sz w:val="20"/>
          <w:szCs w:val="20"/>
          <w:lang w:val="en-US"/>
        </w:rPr>
        <w:t>Castelnau</w:t>
      </w:r>
      <w:proofErr w:type="spellEnd"/>
      <w:r>
        <w:rPr>
          <w:sz w:val="20"/>
          <w:szCs w:val="20"/>
          <w:lang w:val="en-US"/>
        </w:rPr>
        <w:t xml:space="preserve">, D., </w:t>
      </w:r>
      <w:proofErr w:type="spellStart"/>
      <w:r>
        <w:rPr>
          <w:sz w:val="20"/>
          <w:szCs w:val="20"/>
          <w:lang w:val="en-US"/>
        </w:rPr>
        <w:t>Buresi</w:t>
      </w:r>
      <w:proofErr w:type="spellEnd"/>
      <w:r>
        <w:rPr>
          <w:sz w:val="20"/>
          <w:szCs w:val="20"/>
          <w:lang w:val="en-US"/>
        </w:rPr>
        <w:t xml:space="preserve">, C., </w:t>
      </w:r>
      <w:proofErr w:type="spellStart"/>
      <w:r>
        <w:rPr>
          <w:sz w:val="20"/>
          <w:szCs w:val="20"/>
          <w:lang w:val="en-US"/>
        </w:rPr>
        <w:t>Malafosse</w:t>
      </w:r>
      <w:proofErr w:type="spellEnd"/>
      <w:r>
        <w:rPr>
          <w:sz w:val="20"/>
          <w:szCs w:val="20"/>
          <w:lang w:val="en-US"/>
        </w:rPr>
        <w:t xml:space="preserve">, A., 2005. Suicidal behavior: relationship between phenotype and serotonergic genotype. Am. J. Med. Genet. C </w:t>
      </w:r>
      <w:proofErr w:type="spellStart"/>
      <w:r>
        <w:rPr>
          <w:sz w:val="20"/>
          <w:szCs w:val="20"/>
          <w:lang w:val="en-US"/>
        </w:rPr>
        <w:t>Semin</w:t>
      </w:r>
      <w:proofErr w:type="spellEnd"/>
      <w:r>
        <w:rPr>
          <w:sz w:val="20"/>
          <w:szCs w:val="20"/>
          <w:lang w:val="en-US"/>
        </w:rPr>
        <w:t>. Med. Genet. 133C, 25-33.</w:t>
      </w:r>
    </w:p>
    <w:p w:rsidR="00EF2B7D" w:rsidRPr="00B26E04" w:rsidRDefault="0096787B" w:rsidP="00113B97">
      <w:pPr>
        <w:spacing w:after="120" w:line="480" w:lineRule="auto"/>
        <w:rPr>
          <w:sz w:val="20"/>
          <w:szCs w:val="20"/>
          <w:lang w:val="en-US"/>
        </w:rPr>
      </w:pPr>
      <w:r>
        <w:rPr>
          <w:sz w:val="20"/>
          <w:szCs w:val="20"/>
          <w:lang w:val="en-US"/>
        </w:rPr>
        <w:t xml:space="preserve">Craig, M.C., Catani, M., Deeley, Q., Latham, R., Daly, E., Kanaan, R., </w:t>
      </w:r>
      <w:proofErr w:type="spellStart"/>
      <w:r>
        <w:rPr>
          <w:sz w:val="20"/>
          <w:szCs w:val="20"/>
          <w:lang w:val="en-US"/>
        </w:rPr>
        <w:t>Picchioni</w:t>
      </w:r>
      <w:proofErr w:type="spellEnd"/>
      <w:r>
        <w:rPr>
          <w:sz w:val="20"/>
          <w:szCs w:val="20"/>
          <w:lang w:val="en-US"/>
        </w:rPr>
        <w:t>, M., McGuire, P.K., Fahy, T., Murphy, D.G., 2009. Altered connections on the road to psychopathy. Mol. Psychiatry 14, 946-953.</w:t>
      </w:r>
    </w:p>
    <w:p w:rsidR="00352A2A" w:rsidRPr="00B26E04" w:rsidRDefault="0096787B" w:rsidP="00113B97">
      <w:pPr>
        <w:spacing w:after="120" w:line="480" w:lineRule="auto"/>
        <w:rPr>
          <w:sz w:val="20"/>
          <w:szCs w:val="20"/>
          <w:lang w:val="en-US"/>
        </w:rPr>
      </w:pPr>
      <w:r>
        <w:rPr>
          <w:sz w:val="20"/>
          <w:szCs w:val="20"/>
          <w:lang w:val="en-US"/>
        </w:rPr>
        <w:t xml:space="preserve">Craig, S.P., </w:t>
      </w:r>
      <w:proofErr w:type="spellStart"/>
      <w:r>
        <w:rPr>
          <w:sz w:val="20"/>
          <w:szCs w:val="20"/>
          <w:lang w:val="en-US"/>
        </w:rPr>
        <w:t>Boularand</w:t>
      </w:r>
      <w:proofErr w:type="spellEnd"/>
      <w:r>
        <w:rPr>
          <w:sz w:val="20"/>
          <w:szCs w:val="20"/>
          <w:lang w:val="en-US"/>
        </w:rPr>
        <w:t xml:space="preserve">, S., </w:t>
      </w:r>
      <w:proofErr w:type="spellStart"/>
      <w:r>
        <w:rPr>
          <w:sz w:val="20"/>
          <w:szCs w:val="20"/>
          <w:lang w:val="en-US"/>
        </w:rPr>
        <w:t>Darmon</w:t>
      </w:r>
      <w:proofErr w:type="spellEnd"/>
      <w:r>
        <w:rPr>
          <w:sz w:val="20"/>
          <w:szCs w:val="20"/>
          <w:lang w:val="en-US"/>
        </w:rPr>
        <w:t xml:space="preserve">, M.C., Mallet, J., Craig, I.W., 1991. Localization of human tryptophan hydroxylase (TPH) to chromosome 11p15.3----p14 by in situ hybridization. </w:t>
      </w:r>
      <w:proofErr w:type="spellStart"/>
      <w:r>
        <w:rPr>
          <w:sz w:val="20"/>
          <w:szCs w:val="20"/>
          <w:lang w:val="en-US"/>
        </w:rPr>
        <w:t>Cytogenet</w:t>
      </w:r>
      <w:proofErr w:type="spellEnd"/>
      <w:r>
        <w:rPr>
          <w:sz w:val="20"/>
          <w:szCs w:val="20"/>
          <w:lang w:val="en-US"/>
        </w:rPr>
        <w:t>. Cell Genet. 56, 157-159.</w:t>
      </w:r>
    </w:p>
    <w:p w:rsidR="00C01AE4" w:rsidRPr="00B26E04" w:rsidRDefault="0096787B" w:rsidP="00113B97">
      <w:pPr>
        <w:spacing w:after="120" w:line="480" w:lineRule="auto"/>
        <w:rPr>
          <w:sz w:val="20"/>
          <w:szCs w:val="20"/>
          <w:lang w:val="en-US"/>
        </w:rPr>
      </w:pPr>
      <w:r>
        <w:rPr>
          <w:sz w:val="20"/>
          <w:szCs w:val="20"/>
          <w:lang w:val="en-US"/>
        </w:rPr>
        <w:t xml:space="preserve">da Cunha-Bang, S., </w:t>
      </w:r>
      <w:proofErr w:type="spellStart"/>
      <w:r>
        <w:rPr>
          <w:sz w:val="20"/>
          <w:szCs w:val="20"/>
          <w:lang w:val="en-US"/>
        </w:rPr>
        <w:t>Hjordt</w:t>
      </w:r>
      <w:proofErr w:type="spellEnd"/>
      <w:r>
        <w:rPr>
          <w:sz w:val="20"/>
          <w:szCs w:val="20"/>
          <w:lang w:val="en-US"/>
        </w:rPr>
        <w:t xml:space="preserve">, L.V., </w:t>
      </w:r>
      <w:proofErr w:type="spellStart"/>
      <w:r>
        <w:rPr>
          <w:sz w:val="20"/>
          <w:szCs w:val="20"/>
          <w:lang w:val="en-US"/>
        </w:rPr>
        <w:t>Perfalk</w:t>
      </w:r>
      <w:proofErr w:type="spellEnd"/>
      <w:r>
        <w:rPr>
          <w:sz w:val="20"/>
          <w:szCs w:val="20"/>
          <w:lang w:val="en-US"/>
        </w:rPr>
        <w:t xml:space="preserve">, E., Beliveau, V., Bock, C., </w:t>
      </w:r>
      <w:proofErr w:type="spellStart"/>
      <w:r>
        <w:rPr>
          <w:sz w:val="20"/>
          <w:szCs w:val="20"/>
          <w:lang w:val="en-US"/>
        </w:rPr>
        <w:t>Lehel</w:t>
      </w:r>
      <w:proofErr w:type="spellEnd"/>
      <w:r>
        <w:rPr>
          <w:sz w:val="20"/>
          <w:szCs w:val="20"/>
          <w:lang w:val="en-US"/>
        </w:rPr>
        <w:t xml:space="preserve">, S., Thomsen, C., </w:t>
      </w:r>
      <w:proofErr w:type="spellStart"/>
      <w:r>
        <w:rPr>
          <w:sz w:val="20"/>
          <w:szCs w:val="20"/>
          <w:lang w:val="en-US"/>
        </w:rPr>
        <w:t>Sestoft</w:t>
      </w:r>
      <w:proofErr w:type="spellEnd"/>
      <w:r>
        <w:rPr>
          <w:sz w:val="20"/>
          <w:szCs w:val="20"/>
          <w:lang w:val="en-US"/>
        </w:rPr>
        <w:t xml:space="preserve">, D., </w:t>
      </w:r>
      <w:proofErr w:type="spellStart"/>
      <w:r>
        <w:rPr>
          <w:sz w:val="20"/>
          <w:szCs w:val="20"/>
          <w:lang w:val="en-US"/>
        </w:rPr>
        <w:t>Svarer</w:t>
      </w:r>
      <w:proofErr w:type="spellEnd"/>
      <w:r>
        <w:rPr>
          <w:sz w:val="20"/>
          <w:szCs w:val="20"/>
          <w:lang w:val="en-US"/>
        </w:rPr>
        <w:t>, C, Knudsen, G.M., 2017. Serotonin 1B Receptor Binding Is Associated With Trait Anger and Level of Psychopathy in Violent Offenders. Biol. Psychiatry 82, 267-274.</w:t>
      </w:r>
    </w:p>
    <w:p w:rsidR="00352A2A" w:rsidRPr="00B26E04" w:rsidRDefault="0096787B" w:rsidP="00113B97">
      <w:pPr>
        <w:spacing w:after="120" w:line="480" w:lineRule="auto"/>
        <w:rPr>
          <w:sz w:val="20"/>
          <w:szCs w:val="20"/>
          <w:lang w:val="en-US"/>
        </w:rPr>
      </w:pPr>
      <w:proofErr w:type="spellStart"/>
      <w:r>
        <w:rPr>
          <w:sz w:val="20"/>
          <w:szCs w:val="20"/>
          <w:lang w:val="en-US"/>
        </w:rPr>
        <w:t>Dalley</w:t>
      </w:r>
      <w:proofErr w:type="spellEnd"/>
      <w:r>
        <w:rPr>
          <w:sz w:val="20"/>
          <w:szCs w:val="20"/>
          <w:lang w:val="en-US"/>
        </w:rPr>
        <w:t xml:space="preserve">, J.W., </w:t>
      </w:r>
      <w:proofErr w:type="spellStart"/>
      <w:r>
        <w:rPr>
          <w:sz w:val="20"/>
          <w:szCs w:val="20"/>
          <w:lang w:val="en-US"/>
        </w:rPr>
        <w:t>Roiser</w:t>
      </w:r>
      <w:proofErr w:type="spellEnd"/>
      <w:r>
        <w:rPr>
          <w:sz w:val="20"/>
          <w:szCs w:val="20"/>
          <w:lang w:val="en-US"/>
        </w:rPr>
        <w:t>, J.P., 2012. Dopamine, serotonin and impulsivity. Neuroscience 215, 42-58.</w:t>
      </w:r>
    </w:p>
    <w:p w:rsidR="00352A2A" w:rsidRPr="00B26E04" w:rsidRDefault="0096787B" w:rsidP="00113B97">
      <w:pPr>
        <w:spacing w:after="120" w:line="480" w:lineRule="auto"/>
        <w:rPr>
          <w:sz w:val="20"/>
          <w:szCs w:val="20"/>
          <w:lang w:val="en-US"/>
        </w:rPr>
      </w:pPr>
      <w:r>
        <w:rPr>
          <w:sz w:val="20"/>
          <w:szCs w:val="20"/>
          <w:lang w:val="en-US"/>
        </w:rPr>
        <w:t xml:space="preserve">Damasio, A.R., </w:t>
      </w:r>
      <w:proofErr w:type="spellStart"/>
      <w:r>
        <w:rPr>
          <w:sz w:val="20"/>
          <w:szCs w:val="20"/>
          <w:lang w:val="en-US"/>
        </w:rPr>
        <w:t>Tranel</w:t>
      </w:r>
      <w:proofErr w:type="spellEnd"/>
      <w:r>
        <w:rPr>
          <w:sz w:val="20"/>
          <w:szCs w:val="20"/>
          <w:lang w:val="en-US"/>
        </w:rPr>
        <w:t xml:space="preserve">, D., Damasio, H., 1990. Individuals with sociopathic behavior caused by frontal damage fail to respond autonomically to social stimuli. </w:t>
      </w:r>
      <w:proofErr w:type="spellStart"/>
      <w:r>
        <w:rPr>
          <w:sz w:val="20"/>
          <w:szCs w:val="20"/>
          <w:lang w:val="en-US"/>
        </w:rPr>
        <w:t>Behav</w:t>
      </w:r>
      <w:proofErr w:type="spellEnd"/>
      <w:r>
        <w:rPr>
          <w:sz w:val="20"/>
          <w:szCs w:val="20"/>
          <w:lang w:val="en-US"/>
        </w:rPr>
        <w:t>. Brain Res. 41, 81-94.</w:t>
      </w:r>
    </w:p>
    <w:p w:rsidR="00BF3085" w:rsidRPr="00B26E04" w:rsidRDefault="0096787B" w:rsidP="00113B97">
      <w:pPr>
        <w:spacing w:after="120" w:line="480" w:lineRule="auto"/>
        <w:rPr>
          <w:sz w:val="20"/>
          <w:szCs w:val="20"/>
          <w:lang w:val="en-US"/>
        </w:rPr>
      </w:pPr>
      <w:proofErr w:type="spellStart"/>
      <w:r>
        <w:rPr>
          <w:sz w:val="20"/>
          <w:szCs w:val="20"/>
          <w:lang w:val="en-US"/>
        </w:rPr>
        <w:t>Dambacher</w:t>
      </w:r>
      <w:proofErr w:type="spellEnd"/>
      <w:r>
        <w:rPr>
          <w:sz w:val="20"/>
          <w:szCs w:val="20"/>
          <w:lang w:val="en-US"/>
        </w:rPr>
        <w:t xml:space="preserve">, F., Sack, A.T., </w:t>
      </w:r>
      <w:proofErr w:type="spellStart"/>
      <w:r>
        <w:rPr>
          <w:sz w:val="20"/>
          <w:szCs w:val="20"/>
          <w:lang w:val="en-US"/>
        </w:rPr>
        <w:t>Lobbestael</w:t>
      </w:r>
      <w:proofErr w:type="spellEnd"/>
      <w:r>
        <w:rPr>
          <w:sz w:val="20"/>
          <w:szCs w:val="20"/>
          <w:lang w:val="en-US"/>
        </w:rPr>
        <w:t xml:space="preserve">, J., </w:t>
      </w:r>
      <w:proofErr w:type="spellStart"/>
      <w:r>
        <w:rPr>
          <w:sz w:val="20"/>
          <w:szCs w:val="20"/>
          <w:lang w:val="en-US"/>
        </w:rPr>
        <w:t>Arntz</w:t>
      </w:r>
      <w:proofErr w:type="spellEnd"/>
      <w:r>
        <w:rPr>
          <w:sz w:val="20"/>
          <w:szCs w:val="20"/>
          <w:lang w:val="en-US"/>
        </w:rPr>
        <w:t xml:space="preserve">, A., </w:t>
      </w:r>
      <w:proofErr w:type="spellStart"/>
      <w:r>
        <w:rPr>
          <w:sz w:val="20"/>
          <w:szCs w:val="20"/>
          <w:lang w:val="en-US"/>
        </w:rPr>
        <w:t>Brugman</w:t>
      </w:r>
      <w:proofErr w:type="spellEnd"/>
      <w:r>
        <w:rPr>
          <w:sz w:val="20"/>
          <w:szCs w:val="20"/>
          <w:lang w:val="en-US"/>
        </w:rPr>
        <w:t xml:space="preserve">, S., </w:t>
      </w:r>
      <w:proofErr w:type="spellStart"/>
      <w:r>
        <w:rPr>
          <w:sz w:val="20"/>
          <w:szCs w:val="20"/>
          <w:lang w:val="en-US"/>
        </w:rPr>
        <w:t>Schuhmann</w:t>
      </w:r>
      <w:proofErr w:type="spellEnd"/>
      <w:r>
        <w:rPr>
          <w:sz w:val="20"/>
          <w:szCs w:val="20"/>
          <w:lang w:val="en-US"/>
        </w:rPr>
        <w:t xml:space="preserve">, T., 2015. Out of control: evidence for anterior insula involvement in motor impulsivity and reactive aggression. Soc. </w:t>
      </w:r>
      <w:proofErr w:type="spellStart"/>
      <w:r>
        <w:rPr>
          <w:sz w:val="20"/>
          <w:szCs w:val="20"/>
          <w:lang w:val="en-US"/>
        </w:rPr>
        <w:t>Cogn</w:t>
      </w:r>
      <w:proofErr w:type="spellEnd"/>
      <w:r>
        <w:rPr>
          <w:sz w:val="20"/>
          <w:szCs w:val="20"/>
          <w:lang w:val="en-US"/>
        </w:rPr>
        <w:t xml:space="preserve">. Affect. </w:t>
      </w:r>
      <w:proofErr w:type="spellStart"/>
      <w:r>
        <w:rPr>
          <w:sz w:val="20"/>
          <w:szCs w:val="20"/>
          <w:lang w:val="en-US"/>
        </w:rPr>
        <w:t>Neurosci</w:t>
      </w:r>
      <w:proofErr w:type="spellEnd"/>
      <w:r>
        <w:rPr>
          <w:sz w:val="20"/>
          <w:szCs w:val="20"/>
          <w:lang w:val="en-US"/>
        </w:rPr>
        <w:t>. 10, 508-516.</w:t>
      </w:r>
    </w:p>
    <w:p w:rsidR="00352A2A" w:rsidRPr="00B26E04" w:rsidRDefault="0096787B" w:rsidP="00113B97">
      <w:pPr>
        <w:spacing w:after="120" w:line="480" w:lineRule="auto"/>
        <w:rPr>
          <w:sz w:val="20"/>
          <w:szCs w:val="20"/>
          <w:lang w:val="en-US"/>
        </w:rPr>
      </w:pPr>
      <w:r>
        <w:rPr>
          <w:sz w:val="20"/>
          <w:szCs w:val="20"/>
          <w:lang w:val="en-US"/>
        </w:rPr>
        <w:t>Darke, S., 2010. The toxicology of homicide offenders and victims: A review. Drug Alcohol Rev. 29, 202-215.</w:t>
      </w:r>
    </w:p>
    <w:p w:rsidR="00352A2A" w:rsidRPr="00B26E04" w:rsidRDefault="0096787B" w:rsidP="00113B97">
      <w:pPr>
        <w:spacing w:after="120" w:line="480" w:lineRule="auto"/>
        <w:rPr>
          <w:sz w:val="20"/>
          <w:szCs w:val="20"/>
          <w:lang w:val="en-US"/>
        </w:rPr>
      </w:pPr>
      <w:r>
        <w:rPr>
          <w:sz w:val="20"/>
          <w:szCs w:val="20"/>
          <w:lang w:val="en-US"/>
        </w:rPr>
        <w:t>Davidson, R.J., Putnam, K.M., Larson, C.L., 2000a. Dysfunction in the neural circuitry of emotion regulation--a possible prelude to violence. Science 289, 591-594.</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Davidson, R.J., Jackson, D.C., Kalin, N.H., 2000b. Emotion, plasticity, context, and regulation: perspectives from affective neuroscience. Psychol. Bull. 126, 890-909.</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Davis, M., 1992. The role of the amygdala in fear and anxiety. </w:t>
      </w:r>
      <w:proofErr w:type="spellStart"/>
      <w:r>
        <w:rPr>
          <w:sz w:val="20"/>
          <w:szCs w:val="20"/>
          <w:lang w:val="en-US"/>
        </w:rPr>
        <w:t>Annu</w:t>
      </w:r>
      <w:proofErr w:type="spellEnd"/>
      <w:r>
        <w:rPr>
          <w:sz w:val="20"/>
          <w:szCs w:val="20"/>
          <w:lang w:val="en-US"/>
        </w:rPr>
        <w:t xml:space="preserve">. Rev. </w:t>
      </w:r>
      <w:proofErr w:type="spellStart"/>
      <w:r>
        <w:rPr>
          <w:sz w:val="20"/>
          <w:szCs w:val="20"/>
          <w:lang w:val="en-US"/>
        </w:rPr>
        <w:t>Neurosci</w:t>
      </w:r>
      <w:proofErr w:type="spellEnd"/>
      <w:r>
        <w:rPr>
          <w:sz w:val="20"/>
          <w:szCs w:val="20"/>
          <w:lang w:val="en-US"/>
        </w:rPr>
        <w:t>. 15, 353-375.</w:t>
      </w:r>
    </w:p>
    <w:p w:rsidR="00352A2A" w:rsidRPr="00B26E04" w:rsidRDefault="0096787B" w:rsidP="00113B97">
      <w:pPr>
        <w:widowControl w:val="0"/>
        <w:autoSpaceDE w:val="0"/>
        <w:autoSpaceDN w:val="0"/>
        <w:adjustRightInd w:val="0"/>
        <w:spacing w:after="120" w:line="480" w:lineRule="auto"/>
        <w:rPr>
          <w:sz w:val="20"/>
          <w:szCs w:val="20"/>
          <w:lang w:val="en-US"/>
        </w:rPr>
      </w:pPr>
      <w:proofErr w:type="spellStart"/>
      <w:r>
        <w:rPr>
          <w:sz w:val="20"/>
          <w:szCs w:val="20"/>
          <w:lang w:val="en-US"/>
        </w:rPr>
        <w:t>Deckert</w:t>
      </w:r>
      <w:proofErr w:type="spellEnd"/>
      <w:r>
        <w:rPr>
          <w:sz w:val="20"/>
          <w:szCs w:val="20"/>
          <w:lang w:val="en-US"/>
        </w:rPr>
        <w:t xml:space="preserve">, J., Catalano, M., </w:t>
      </w:r>
      <w:proofErr w:type="spellStart"/>
      <w:r>
        <w:rPr>
          <w:sz w:val="20"/>
          <w:szCs w:val="20"/>
          <w:lang w:val="en-US"/>
        </w:rPr>
        <w:t>Syagailo</w:t>
      </w:r>
      <w:proofErr w:type="spellEnd"/>
      <w:r>
        <w:rPr>
          <w:sz w:val="20"/>
          <w:szCs w:val="20"/>
          <w:lang w:val="en-US"/>
        </w:rPr>
        <w:t xml:space="preserve">, Y.V., </w:t>
      </w:r>
      <w:proofErr w:type="spellStart"/>
      <w:r>
        <w:rPr>
          <w:sz w:val="20"/>
          <w:szCs w:val="20"/>
          <w:lang w:val="en-US"/>
        </w:rPr>
        <w:t>Bosi</w:t>
      </w:r>
      <w:proofErr w:type="spellEnd"/>
      <w:r>
        <w:rPr>
          <w:sz w:val="20"/>
          <w:szCs w:val="20"/>
          <w:lang w:val="en-US"/>
        </w:rPr>
        <w:t xml:space="preserve">, M., </w:t>
      </w:r>
      <w:proofErr w:type="spellStart"/>
      <w:r>
        <w:rPr>
          <w:sz w:val="20"/>
          <w:szCs w:val="20"/>
          <w:lang w:val="en-US"/>
        </w:rPr>
        <w:t>Okladnova</w:t>
      </w:r>
      <w:proofErr w:type="spellEnd"/>
      <w:r>
        <w:rPr>
          <w:sz w:val="20"/>
          <w:szCs w:val="20"/>
          <w:lang w:val="en-US"/>
        </w:rPr>
        <w:t xml:space="preserve">, O., Di Bella, D., </w:t>
      </w:r>
      <w:proofErr w:type="spellStart"/>
      <w:r>
        <w:rPr>
          <w:sz w:val="20"/>
          <w:szCs w:val="20"/>
          <w:lang w:val="en-US"/>
        </w:rPr>
        <w:t>Nöthen</w:t>
      </w:r>
      <w:proofErr w:type="spellEnd"/>
      <w:r>
        <w:rPr>
          <w:sz w:val="20"/>
          <w:szCs w:val="20"/>
          <w:lang w:val="en-US"/>
        </w:rPr>
        <w:t xml:space="preserve">, M.M., Maffei, P., Franke, P., </w:t>
      </w:r>
      <w:proofErr w:type="spellStart"/>
      <w:r>
        <w:rPr>
          <w:sz w:val="20"/>
          <w:szCs w:val="20"/>
          <w:lang w:val="en-US"/>
        </w:rPr>
        <w:t>Fritze</w:t>
      </w:r>
      <w:proofErr w:type="spellEnd"/>
      <w:r>
        <w:rPr>
          <w:sz w:val="20"/>
          <w:szCs w:val="20"/>
          <w:lang w:val="en-US"/>
        </w:rPr>
        <w:t xml:space="preserve">, J., Maier, W., Propping, P., Beckmann, H., </w:t>
      </w:r>
      <w:proofErr w:type="spellStart"/>
      <w:r>
        <w:rPr>
          <w:sz w:val="20"/>
          <w:szCs w:val="20"/>
          <w:lang w:val="en-US"/>
        </w:rPr>
        <w:t>Bellodi</w:t>
      </w:r>
      <w:proofErr w:type="spellEnd"/>
      <w:r>
        <w:rPr>
          <w:sz w:val="20"/>
          <w:szCs w:val="20"/>
          <w:lang w:val="en-US"/>
        </w:rPr>
        <w:t xml:space="preserve">, L., </w:t>
      </w:r>
      <w:proofErr w:type="spellStart"/>
      <w:r>
        <w:rPr>
          <w:sz w:val="20"/>
          <w:szCs w:val="20"/>
          <w:lang w:val="en-US"/>
        </w:rPr>
        <w:t>Lesch</w:t>
      </w:r>
      <w:proofErr w:type="spellEnd"/>
      <w:r>
        <w:rPr>
          <w:sz w:val="20"/>
          <w:szCs w:val="20"/>
          <w:lang w:val="en-US"/>
        </w:rPr>
        <w:t>, K.P., 1999. Excess of high activity monoamine oxidase A gene promoter alleles in female patients with panic disorder. Hum. Mol. Genet. 8, 621-624.</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Del Bene, V.A., Foxe, J.J., Ross, L.A., Krakowski, M.I., </w:t>
      </w:r>
      <w:proofErr w:type="spellStart"/>
      <w:r>
        <w:rPr>
          <w:sz w:val="20"/>
          <w:szCs w:val="20"/>
          <w:lang w:val="en-US"/>
        </w:rPr>
        <w:t>Czobor</w:t>
      </w:r>
      <w:proofErr w:type="spellEnd"/>
      <w:r>
        <w:rPr>
          <w:sz w:val="20"/>
          <w:szCs w:val="20"/>
          <w:lang w:val="en-US"/>
        </w:rPr>
        <w:t xml:space="preserve">, P., De </w:t>
      </w:r>
      <w:proofErr w:type="spellStart"/>
      <w:r>
        <w:rPr>
          <w:sz w:val="20"/>
          <w:szCs w:val="20"/>
          <w:lang w:val="en-US"/>
        </w:rPr>
        <w:t>Sanctis</w:t>
      </w:r>
      <w:proofErr w:type="spellEnd"/>
      <w:r>
        <w:rPr>
          <w:sz w:val="20"/>
          <w:szCs w:val="20"/>
          <w:lang w:val="en-US"/>
        </w:rPr>
        <w:t xml:space="preserve">, P., 2016. Neuroanatomical Abnormalities in Violent Individuals with and without a Diagnosis of Schizophrenia. </w:t>
      </w:r>
      <w:proofErr w:type="spellStart"/>
      <w:r>
        <w:rPr>
          <w:sz w:val="20"/>
          <w:szCs w:val="20"/>
          <w:lang w:val="en-US"/>
        </w:rPr>
        <w:t>PLoS</w:t>
      </w:r>
      <w:proofErr w:type="spellEnd"/>
      <w:r>
        <w:rPr>
          <w:sz w:val="20"/>
          <w:szCs w:val="20"/>
          <w:lang w:val="en-US"/>
        </w:rPr>
        <w:t xml:space="preserve"> One 11, e0168100.</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Denney, R.M., Koch, H., Craig, I.W., 1999. Association between monoamine oxidase A activity in human male </w:t>
      </w:r>
      <w:r>
        <w:rPr>
          <w:sz w:val="20"/>
          <w:szCs w:val="20"/>
          <w:lang w:val="en-US"/>
        </w:rPr>
        <w:lastRenderedPageBreak/>
        <w:t>skin fibroblasts and genotype of the MAOA promoter-associated variable number tandem repeat. Hum. Genet. 105, 542-551.</w:t>
      </w:r>
    </w:p>
    <w:p w:rsidR="00732D2A" w:rsidRPr="00C54C8A" w:rsidRDefault="0096787B" w:rsidP="00113B97">
      <w:pPr>
        <w:widowControl w:val="0"/>
        <w:autoSpaceDE w:val="0"/>
        <w:autoSpaceDN w:val="0"/>
        <w:adjustRightInd w:val="0"/>
        <w:spacing w:after="120" w:line="480" w:lineRule="auto"/>
        <w:rPr>
          <w:sz w:val="20"/>
          <w:szCs w:val="20"/>
        </w:rPr>
      </w:pPr>
      <w:r>
        <w:rPr>
          <w:sz w:val="20"/>
          <w:szCs w:val="20"/>
          <w:lang w:val="en-US"/>
        </w:rPr>
        <w:t xml:space="preserve">Denson, T.F., Dobson-Stone, C., </w:t>
      </w:r>
      <w:proofErr w:type="spellStart"/>
      <w:r>
        <w:rPr>
          <w:sz w:val="20"/>
          <w:szCs w:val="20"/>
          <w:lang w:val="en-US"/>
        </w:rPr>
        <w:t>Ronay</w:t>
      </w:r>
      <w:proofErr w:type="spellEnd"/>
      <w:r>
        <w:rPr>
          <w:sz w:val="20"/>
          <w:szCs w:val="20"/>
          <w:lang w:val="en-US"/>
        </w:rPr>
        <w:t xml:space="preserve">, R., von Hippel, W., </w:t>
      </w:r>
      <w:proofErr w:type="spellStart"/>
      <w:r>
        <w:rPr>
          <w:sz w:val="20"/>
          <w:szCs w:val="20"/>
          <w:lang w:val="en-US"/>
        </w:rPr>
        <w:t>Schira</w:t>
      </w:r>
      <w:proofErr w:type="spellEnd"/>
      <w:r>
        <w:rPr>
          <w:sz w:val="20"/>
          <w:szCs w:val="20"/>
          <w:lang w:val="en-US"/>
        </w:rPr>
        <w:t xml:space="preserve">, M.M., 2014. A functional polymorphism of the MAOA gene is associated with neural responses to induced anger control. </w:t>
      </w:r>
      <w:r w:rsidR="00352A2A" w:rsidRPr="00C54C8A">
        <w:rPr>
          <w:sz w:val="20"/>
          <w:szCs w:val="20"/>
        </w:rPr>
        <w:t>J</w:t>
      </w:r>
      <w:r w:rsidR="00E370F4" w:rsidRPr="00C54C8A">
        <w:rPr>
          <w:sz w:val="20"/>
          <w:szCs w:val="20"/>
        </w:rPr>
        <w:t>.</w:t>
      </w:r>
      <w:r w:rsidR="00352A2A" w:rsidRPr="00C54C8A">
        <w:rPr>
          <w:sz w:val="20"/>
          <w:szCs w:val="20"/>
        </w:rPr>
        <w:t xml:space="preserve"> </w:t>
      </w:r>
      <w:proofErr w:type="spellStart"/>
      <w:r w:rsidR="00352A2A" w:rsidRPr="00C54C8A">
        <w:rPr>
          <w:sz w:val="20"/>
          <w:szCs w:val="20"/>
        </w:rPr>
        <w:t>Cogn</w:t>
      </w:r>
      <w:proofErr w:type="spellEnd"/>
      <w:r w:rsidR="00E370F4" w:rsidRPr="00C54C8A">
        <w:rPr>
          <w:sz w:val="20"/>
          <w:szCs w:val="20"/>
        </w:rPr>
        <w:t>.</w:t>
      </w:r>
      <w:r w:rsidR="00352A2A" w:rsidRPr="00C54C8A">
        <w:rPr>
          <w:sz w:val="20"/>
          <w:szCs w:val="20"/>
        </w:rPr>
        <w:t xml:space="preserve"> </w:t>
      </w:r>
      <w:proofErr w:type="spellStart"/>
      <w:r w:rsidR="00352A2A" w:rsidRPr="00C54C8A">
        <w:rPr>
          <w:sz w:val="20"/>
          <w:szCs w:val="20"/>
        </w:rPr>
        <w:t>Neurosci</w:t>
      </w:r>
      <w:proofErr w:type="spellEnd"/>
      <w:r w:rsidR="00E370F4" w:rsidRPr="00C54C8A">
        <w:rPr>
          <w:sz w:val="20"/>
          <w:szCs w:val="20"/>
        </w:rPr>
        <w:t>.</w:t>
      </w:r>
      <w:r w:rsidR="00352A2A" w:rsidRPr="00C54C8A">
        <w:rPr>
          <w:sz w:val="20"/>
          <w:szCs w:val="20"/>
        </w:rPr>
        <w:t xml:space="preserve"> 26, 1418-1427.</w:t>
      </w:r>
    </w:p>
    <w:p w:rsidR="00352A2A" w:rsidRPr="00B26E04" w:rsidRDefault="00352A2A" w:rsidP="00113B97">
      <w:pPr>
        <w:widowControl w:val="0"/>
        <w:autoSpaceDE w:val="0"/>
        <w:autoSpaceDN w:val="0"/>
        <w:adjustRightInd w:val="0"/>
        <w:spacing w:after="120" w:line="480" w:lineRule="auto"/>
        <w:rPr>
          <w:sz w:val="20"/>
          <w:szCs w:val="20"/>
          <w:lang w:val="en-US"/>
        </w:rPr>
      </w:pPr>
      <w:proofErr w:type="spellStart"/>
      <w:r w:rsidRPr="00C54C8A">
        <w:rPr>
          <w:sz w:val="20"/>
          <w:szCs w:val="20"/>
        </w:rPr>
        <w:t>Depue</w:t>
      </w:r>
      <w:proofErr w:type="spellEnd"/>
      <w:r w:rsidRPr="00C54C8A">
        <w:rPr>
          <w:sz w:val="20"/>
          <w:szCs w:val="20"/>
        </w:rPr>
        <w:t xml:space="preserve">, R.A., Luciana, M., </w:t>
      </w:r>
      <w:proofErr w:type="spellStart"/>
      <w:r w:rsidRPr="00C54C8A">
        <w:rPr>
          <w:sz w:val="20"/>
          <w:szCs w:val="20"/>
        </w:rPr>
        <w:t>Arbisi</w:t>
      </w:r>
      <w:proofErr w:type="spellEnd"/>
      <w:r w:rsidRPr="00C54C8A">
        <w:rPr>
          <w:sz w:val="20"/>
          <w:szCs w:val="20"/>
        </w:rPr>
        <w:t xml:space="preserve">, P., Collins, P., Leon, A., 1994. </w:t>
      </w:r>
      <w:r w:rsidRPr="00B26E04">
        <w:rPr>
          <w:sz w:val="20"/>
          <w:szCs w:val="20"/>
          <w:lang w:val="en-US"/>
        </w:rPr>
        <w:t>Dopamine and the structure of personality: relation of agonist-induced dopamine activity to positive emotionality. J</w:t>
      </w:r>
      <w:r w:rsidR="0096787B">
        <w:rPr>
          <w:sz w:val="20"/>
          <w:szCs w:val="20"/>
          <w:lang w:val="en-US"/>
        </w:rPr>
        <w:t>. Pers. Soc. Psychol. 67, 485-498.</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Devinsky, O., Morrell, M.J., Vogt, B.A., 1995. Contributions of anterior cingulate cortex to behaviour. Brain 118, 279-306.</w:t>
      </w:r>
    </w:p>
    <w:p w:rsidR="00352A2A" w:rsidRPr="00C54C8A" w:rsidRDefault="00352A2A" w:rsidP="00113B97">
      <w:pPr>
        <w:widowControl w:val="0"/>
        <w:autoSpaceDE w:val="0"/>
        <w:autoSpaceDN w:val="0"/>
        <w:adjustRightInd w:val="0"/>
        <w:spacing w:after="120" w:line="480" w:lineRule="auto"/>
        <w:rPr>
          <w:sz w:val="20"/>
          <w:szCs w:val="20"/>
        </w:rPr>
      </w:pPr>
      <w:r w:rsidRPr="00B26E04">
        <w:rPr>
          <w:sz w:val="20"/>
          <w:szCs w:val="20"/>
          <w:lang w:val="en-US"/>
        </w:rPr>
        <w:t xml:space="preserve">Di Chiara, G., </w:t>
      </w:r>
      <w:proofErr w:type="spellStart"/>
      <w:r w:rsidRPr="00B26E04">
        <w:rPr>
          <w:sz w:val="20"/>
          <w:szCs w:val="20"/>
          <w:lang w:val="en-US"/>
        </w:rPr>
        <w:t>Imperato</w:t>
      </w:r>
      <w:proofErr w:type="spellEnd"/>
      <w:r w:rsidRPr="00B26E04">
        <w:rPr>
          <w:sz w:val="20"/>
          <w:szCs w:val="20"/>
          <w:lang w:val="en-US"/>
        </w:rPr>
        <w:t xml:space="preserve">, A., 1988. Drugs abused by humans preferentially increase synaptic dopamine concentrations in the mesolimbic system of freely moving rats. </w:t>
      </w:r>
      <w:proofErr w:type="spellStart"/>
      <w:r w:rsidRPr="00C54C8A">
        <w:rPr>
          <w:sz w:val="20"/>
          <w:szCs w:val="20"/>
        </w:rPr>
        <w:t>Proc</w:t>
      </w:r>
      <w:proofErr w:type="spellEnd"/>
      <w:r w:rsidR="00E370F4" w:rsidRPr="00C54C8A">
        <w:rPr>
          <w:sz w:val="20"/>
          <w:szCs w:val="20"/>
        </w:rPr>
        <w:t>.</w:t>
      </w:r>
      <w:r w:rsidRPr="00C54C8A">
        <w:rPr>
          <w:sz w:val="20"/>
          <w:szCs w:val="20"/>
        </w:rPr>
        <w:t xml:space="preserve"> </w:t>
      </w:r>
      <w:proofErr w:type="spellStart"/>
      <w:r w:rsidRPr="00C54C8A">
        <w:rPr>
          <w:sz w:val="20"/>
          <w:szCs w:val="20"/>
        </w:rPr>
        <w:t>Natl</w:t>
      </w:r>
      <w:proofErr w:type="spellEnd"/>
      <w:r w:rsidR="00E370F4" w:rsidRPr="00C54C8A">
        <w:rPr>
          <w:sz w:val="20"/>
          <w:szCs w:val="20"/>
        </w:rPr>
        <w:t>.</w:t>
      </w:r>
      <w:r w:rsidRPr="00C54C8A">
        <w:rPr>
          <w:sz w:val="20"/>
          <w:szCs w:val="20"/>
        </w:rPr>
        <w:t xml:space="preserve"> </w:t>
      </w:r>
      <w:proofErr w:type="spellStart"/>
      <w:r w:rsidRPr="00C54C8A">
        <w:rPr>
          <w:sz w:val="20"/>
          <w:szCs w:val="20"/>
        </w:rPr>
        <w:t>Acad</w:t>
      </w:r>
      <w:proofErr w:type="spellEnd"/>
      <w:r w:rsidR="00E370F4" w:rsidRPr="00C54C8A">
        <w:rPr>
          <w:sz w:val="20"/>
          <w:szCs w:val="20"/>
        </w:rPr>
        <w:t>.</w:t>
      </w:r>
      <w:r w:rsidRPr="00C54C8A">
        <w:rPr>
          <w:sz w:val="20"/>
          <w:szCs w:val="20"/>
        </w:rPr>
        <w:t xml:space="preserve"> Sci</w:t>
      </w:r>
      <w:r w:rsidR="00E370F4" w:rsidRPr="00C54C8A">
        <w:rPr>
          <w:sz w:val="20"/>
          <w:szCs w:val="20"/>
        </w:rPr>
        <w:t>.</w:t>
      </w:r>
      <w:r w:rsidRPr="00C54C8A">
        <w:rPr>
          <w:sz w:val="20"/>
          <w:szCs w:val="20"/>
        </w:rPr>
        <w:t xml:space="preserve"> U</w:t>
      </w:r>
      <w:r w:rsidR="00E370F4" w:rsidRPr="00C54C8A">
        <w:rPr>
          <w:sz w:val="20"/>
          <w:szCs w:val="20"/>
        </w:rPr>
        <w:t>.</w:t>
      </w:r>
      <w:r w:rsidRPr="00C54C8A">
        <w:rPr>
          <w:sz w:val="20"/>
          <w:szCs w:val="20"/>
        </w:rPr>
        <w:t xml:space="preserve"> S</w:t>
      </w:r>
      <w:r w:rsidR="00E370F4" w:rsidRPr="00C54C8A">
        <w:rPr>
          <w:sz w:val="20"/>
          <w:szCs w:val="20"/>
        </w:rPr>
        <w:t>.</w:t>
      </w:r>
      <w:r w:rsidRPr="00C54C8A">
        <w:rPr>
          <w:sz w:val="20"/>
          <w:szCs w:val="20"/>
        </w:rPr>
        <w:t xml:space="preserve"> A</w:t>
      </w:r>
      <w:r w:rsidR="00E370F4" w:rsidRPr="00C54C8A">
        <w:rPr>
          <w:sz w:val="20"/>
          <w:szCs w:val="20"/>
        </w:rPr>
        <w:t>.</w:t>
      </w:r>
      <w:r w:rsidRPr="00C54C8A">
        <w:rPr>
          <w:sz w:val="20"/>
          <w:szCs w:val="20"/>
        </w:rPr>
        <w:t xml:space="preserve"> 85, 5274-5278.</w:t>
      </w:r>
    </w:p>
    <w:p w:rsidR="00352A2A" w:rsidRPr="00B26E04" w:rsidRDefault="00352A2A" w:rsidP="00113B97">
      <w:pPr>
        <w:widowControl w:val="0"/>
        <w:autoSpaceDE w:val="0"/>
        <w:autoSpaceDN w:val="0"/>
        <w:adjustRightInd w:val="0"/>
        <w:spacing w:after="120" w:line="480" w:lineRule="auto"/>
        <w:rPr>
          <w:sz w:val="20"/>
          <w:szCs w:val="20"/>
          <w:lang w:val="en-US"/>
        </w:rPr>
      </w:pPr>
      <w:r w:rsidRPr="00C54C8A">
        <w:rPr>
          <w:sz w:val="20"/>
          <w:szCs w:val="20"/>
        </w:rPr>
        <w:t xml:space="preserve">Di Chiara, G., </w:t>
      </w:r>
      <w:proofErr w:type="spellStart"/>
      <w:r w:rsidRPr="00C54C8A">
        <w:rPr>
          <w:sz w:val="20"/>
          <w:szCs w:val="20"/>
        </w:rPr>
        <w:t>Bassareo</w:t>
      </w:r>
      <w:proofErr w:type="spellEnd"/>
      <w:r w:rsidRPr="00C54C8A">
        <w:rPr>
          <w:sz w:val="20"/>
          <w:szCs w:val="20"/>
        </w:rPr>
        <w:t xml:space="preserve">, V., </w:t>
      </w:r>
      <w:proofErr w:type="spellStart"/>
      <w:r w:rsidRPr="00C54C8A">
        <w:rPr>
          <w:sz w:val="20"/>
          <w:szCs w:val="20"/>
        </w:rPr>
        <w:t>Fenu</w:t>
      </w:r>
      <w:proofErr w:type="spellEnd"/>
      <w:r w:rsidRPr="00C54C8A">
        <w:rPr>
          <w:sz w:val="20"/>
          <w:szCs w:val="20"/>
        </w:rPr>
        <w:t xml:space="preserve">, S., De Luca, M.A., Spina, L., </w:t>
      </w:r>
      <w:proofErr w:type="spellStart"/>
      <w:r w:rsidRPr="00C54C8A">
        <w:rPr>
          <w:sz w:val="20"/>
          <w:szCs w:val="20"/>
        </w:rPr>
        <w:t>Cadoni</w:t>
      </w:r>
      <w:proofErr w:type="spellEnd"/>
      <w:r w:rsidRPr="00C54C8A">
        <w:rPr>
          <w:sz w:val="20"/>
          <w:szCs w:val="20"/>
        </w:rPr>
        <w:t xml:space="preserve">, C., </w:t>
      </w:r>
      <w:proofErr w:type="spellStart"/>
      <w:r w:rsidRPr="00C54C8A">
        <w:rPr>
          <w:sz w:val="20"/>
          <w:szCs w:val="20"/>
        </w:rPr>
        <w:t>Acquas</w:t>
      </w:r>
      <w:proofErr w:type="spellEnd"/>
      <w:r w:rsidRPr="00C54C8A">
        <w:rPr>
          <w:sz w:val="20"/>
          <w:szCs w:val="20"/>
        </w:rPr>
        <w:t xml:space="preserve">, E., Carboni, E., Valentini, V., Lecca, D., 2004. </w:t>
      </w:r>
      <w:r w:rsidRPr="00B26E04">
        <w:rPr>
          <w:sz w:val="20"/>
          <w:szCs w:val="20"/>
          <w:lang w:val="en-US"/>
        </w:rPr>
        <w:t xml:space="preserve">Dopamine and drug addiction: the nucleus </w:t>
      </w:r>
      <w:proofErr w:type="spellStart"/>
      <w:r w:rsidRPr="00B26E04">
        <w:rPr>
          <w:sz w:val="20"/>
          <w:szCs w:val="20"/>
          <w:lang w:val="en-US"/>
        </w:rPr>
        <w:t>accumbens</w:t>
      </w:r>
      <w:proofErr w:type="spellEnd"/>
      <w:r w:rsidRPr="00B26E04">
        <w:rPr>
          <w:sz w:val="20"/>
          <w:szCs w:val="20"/>
          <w:lang w:val="en-US"/>
        </w:rPr>
        <w:t xml:space="preserve"> shell connection. Neuropharmacology 47, Suppl</w:t>
      </w:r>
      <w:r w:rsidR="0096787B">
        <w:rPr>
          <w:sz w:val="20"/>
          <w:szCs w:val="20"/>
          <w:lang w:val="en-US"/>
        </w:rPr>
        <w:t>. 1, 227-241.</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Diehl-Schmid, J., </w:t>
      </w:r>
      <w:proofErr w:type="spellStart"/>
      <w:r>
        <w:rPr>
          <w:sz w:val="20"/>
          <w:szCs w:val="20"/>
          <w:lang w:val="en-US"/>
        </w:rPr>
        <w:t>Perneczky</w:t>
      </w:r>
      <w:proofErr w:type="spellEnd"/>
      <w:r>
        <w:rPr>
          <w:sz w:val="20"/>
          <w:szCs w:val="20"/>
          <w:lang w:val="en-US"/>
        </w:rPr>
        <w:t xml:space="preserve">, R., Koch, J., </w:t>
      </w:r>
      <w:proofErr w:type="spellStart"/>
      <w:r>
        <w:rPr>
          <w:sz w:val="20"/>
          <w:szCs w:val="20"/>
          <w:lang w:val="en-US"/>
        </w:rPr>
        <w:t>Nedopil</w:t>
      </w:r>
      <w:proofErr w:type="spellEnd"/>
      <w:r>
        <w:rPr>
          <w:sz w:val="20"/>
          <w:szCs w:val="20"/>
          <w:lang w:val="en-US"/>
        </w:rPr>
        <w:t xml:space="preserve">, N., </w:t>
      </w:r>
      <w:proofErr w:type="spellStart"/>
      <w:r>
        <w:rPr>
          <w:sz w:val="20"/>
          <w:szCs w:val="20"/>
          <w:lang w:val="en-US"/>
        </w:rPr>
        <w:t>Kurz</w:t>
      </w:r>
      <w:proofErr w:type="spellEnd"/>
      <w:r>
        <w:rPr>
          <w:sz w:val="20"/>
          <w:szCs w:val="20"/>
          <w:lang w:val="en-US"/>
        </w:rPr>
        <w:t xml:space="preserve">, A., 2013. Guilty by suspicion? Criminal behavior in frontotemporal lobar degeneration. </w:t>
      </w:r>
      <w:proofErr w:type="spellStart"/>
      <w:r>
        <w:rPr>
          <w:sz w:val="20"/>
          <w:szCs w:val="20"/>
          <w:lang w:val="en-US"/>
        </w:rPr>
        <w:t>Cogn</w:t>
      </w:r>
      <w:proofErr w:type="spellEnd"/>
      <w:r>
        <w:rPr>
          <w:sz w:val="20"/>
          <w:szCs w:val="20"/>
          <w:lang w:val="en-US"/>
        </w:rPr>
        <w:t xml:space="preserve">. </w:t>
      </w:r>
      <w:proofErr w:type="spellStart"/>
      <w:r>
        <w:rPr>
          <w:sz w:val="20"/>
          <w:szCs w:val="20"/>
          <w:lang w:val="en-US"/>
        </w:rPr>
        <w:t>Behav</w:t>
      </w:r>
      <w:proofErr w:type="spellEnd"/>
      <w:r>
        <w:rPr>
          <w:sz w:val="20"/>
          <w:szCs w:val="20"/>
          <w:lang w:val="en-US"/>
        </w:rPr>
        <w:t>. Neurol. 26, 73-77.</w:t>
      </w:r>
    </w:p>
    <w:p w:rsidR="00D00953"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Disney, E.R., </w:t>
      </w:r>
      <w:proofErr w:type="spellStart"/>
      <w:r>
        <w:rPr>
          <w:sz w:val="20"/>
          <w:szCs w:val="20"/>
          <w:lang w:val="en-US"/>
        </w:rPr>
        <w:t>Iacono</w:t>
      </w:r>
      <w:proofErr w:type="spellEnd"/>
      <w:r>
        <w:rPr>
          <w:sz w:val="20"/>
          <w:szCs w:val="20"/>
          <w:lang w:val="en-US"/>
        </w:rPr>
        <w:t xml:space="preserve">, W., </w:t>
      </w:r>
      <w:proofErr w:type="spellStart"/>
      <w:r>
        <w:rPr>
          <w:sz w:val="20"/>
          <w:szCs w:val="20"/>
          <w:lang w:val="en-US"/>
        </w:rPr>
        <w:t>McGue</w:t>
      </w:r>
      <w:proofErr w:type="spellEnd"/>
      <w:r>
        <w:rPr>
          <w:sz w:val="20"/>
          <w:szCs w:val="20"/>
          <w:lang w:val="en-US"/>
        </w:rPr>
        <w:t>, M., Tully, E., Legrand, L., 2008. Strengthening the case: prenatal alcohol exposure is associated with increased risk for conduct disorder. Pediatrics 122, e1225-1230.</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Dougherty, D.D., Shin, L.M., Alpert, N.M., Pitman, R.K., Orr, S.P., </w:t>
      </w:r>
      <w:proofErr w:type="spellStart"/>
      <w:r>
        <w:rPr>
          <w:sz w:val="20"/>
          <w:szCs w:val="20"/>
          <w:lang w:val="en-US"/>
        </w:rPr>
        <w:t>Lasko</w:t>
      </w:r>
      <w:proofErr w:type="spellEnd"/>
      <w:r>
        <w:rPr>
          <w:sz w:val="20"/>
          <w:szCs w:val="20"/>
          <w:lang w:val="en-US"/>
        </w:rPr>
        <w:t xml:space="preserve">, M., Macklin, M.L., </w:t>
      </w:r>
      <w:proofErr w:type="spellStart"/>
      <w:r>
        <w:rPr>
          <w:sz w:val="20"/>
          <w:szCs w:val="20"/>
          <w:lang w:val="en-US"/>
        </w:rPr>
        <w:t>Fischman</w:t>
      </w:r>
      <w:proofErr w:type="spellEnd"/>
      <w:r>
        <w:rPr>
          <w:sz w:val="20"/>
          <w:szCs w:val="20"/>
          <w:lang w:val="en-US"/>
        </w:rPr>
        <w:t>, A.J., Rauch, S.L., 1999. Anger in healthy men: a PET study using script-driven imagery. Biol. Psychiatry 46, 466-472.</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Dougherty, D.D., Rauch, S.L., </w:t>
      </w:r>
      <w:proofErr w:type="spellStart"/>
      <w:r>
        <w:rPr>
          <w:sz w:val="20"/>
          <w:szCs w:val="20"/>
          <w:lang w:val="en-US"/>
        </w:rPr>
        <w:t>Deckersbach</w:t>
      </w:r>
      <w:proofErr w:type="spellEnd"/>
      <w:r>
        <w:rPr>
          <w:sz w:val="20"/>
          <w:szCs w:val="20"/>
          <w:lang w:val="en-US"/>
        </w:rPr>
        <w:t xml:space="preserve">, T., Marci, C., </w:t>
      </w:r>
      <w:proofErr w:type="spellStart"/>
      <w:r>
        <w:rPr>
          <w:sz w:val="20"/>
          <w:szCs w:val="20"/>
          <w:lang w:val="en-US"/>
        </w:rPr>
        <w:t>Loh</w:t>
      </w:r>
      <w:proofErr w:type="spellEnd"/>
      <w:r>
        <w:rPr>
          <w:sz w:val="20"/>
          <w:szCs w:val="20"/>
          <w:lang w:val="en-US"/>
        </w:rPr>
        <w:t xml:space="preserve">, R., Shin, L.M., Alpert, N.M., </w:t>
      </w:r>
      <w:proofErr w:type="spellStart"/>
      <w:r>
        <w:rPr>
          <w:sz w:val="20"/>
          <w:szCs w:val="20"/>
          <w:lang w:val="en-US"/>
        </w:rPr>
        <w:t>Fischman</w:t>
      </w:r>
      <w:proofErr w:type="spellEnd"/>
      <w:r>
        <w:rPr>
          <w:sz w:val="20"/>
          <w:szCs w:val="20"/>
          <w:lang w:val="en-US"/>
        </w:rPr>
        <w:t>, A.J., Fava, M., 2004. Ventromedial prefrontal cortex and amygdala dysfunction during an anger induction positron emission tomography study in patients with major depressive disorder with anger attacks. Arch. Gen. Psychiatry 61, 795-804.</w:t>
      </w:r>
    </w:p>
    <w:p w:rsidR="00352A2A" w:rsidRPr="00B26E04" w:rsidRDefault="0096787B" w:rsidP="00113B97">
      <w:pPr>
        <w:widowControl w:val="0"/>
        <w:autoSpaceDE w:val="0"/>
        <w:autoSpaceDN w:val="0"/>
        <w:adjustRightInd w:val="0"/>
        <w:spacing w:after="120" w:line="480" w:lineRule="auto"/>
        <w:rPr>
          <w:sz w:val="20"/>
          <w:szCs w:val="20"/>
          <w:lang w:val="en-US"/>
        </w:rPr>
      </w:pPr>
      <w:proofErr w:type="spellStart"/>
      <w:r>
        <w:rPr>
          <w:sz w:val="20"/>
          <w:szCs w:val="20"/>
          <w:lang w:val="en-US"/>
        </w:rPr>
        <w:t>Drabant</w:t>
      </w:r>
      <w:proofErr w:type="spellEnd"/>
      <w:r>
        <w:rPr>
          <w:sz w:val="20"/>
          <w:szCs w:val="20"/>
          <w:lang w:val="en-US"/>
        </w:rPr>
        <w:t xml:space="preserve">, E.M., Hariri, A.R., Meyer-Lindenberg, A., Munoz, K.E., </w:t>
      </w:r>
      <w:proofErr w:type="spellStart"/>
      <w:r>
        <w:rPr>
          <w:sz w:val="20"/>
          <w:szCs w:val="20"/>
          <w:lang w:val="en-US"/>
        </w:rPr>
        <w:t>Mattay</w:t>
      </w:r>
      <w:proofErr w:type="spellEnd"/>
      <w:r>
        <w:rPr>
          <w:sz w:val="20"/>
          <w:szCs w:val="20"/>
          <w:lang w:val="en-US"/>
        </w:rPr>
        <w:t xml:space="preserve">, V.S., </w:t>
      </w:r>
      <w:proofErr w:type="spellStart"/>
      <w:r>
        <w:rPr>
          <w:sz w:val="20"/>
          <w:szCs w:val="20"/>
          <w:lang w:val="en-US"/>
        </w:rPr>
        <w:t>Kolachana</w:t>
      </w:r>
      <w:proofErr w:type="spellEnd"/>
      <w:r>
        <w:rPr>
          <w:sz w:val="20"/>
          <w:szCs w:val="20"/>
          <w:lang w:val="en-US"/>
        </w:rPr>
        <w:t>, B.S., Egan, M.F., Weinberger, D.R., 2006. Catechol O-methyltransferase val158met genotype and neural mechanisms related to affective arousal and regulation. Arch. Gen. Psychiatry 63, 1396-1406.</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Dreher, J.C., Kohn, P., </w:t>
      </w:r>
      <w:proofErr w:type="spellStart"/>
      <w:r>
        <w:rPr>
          <w:sz w:val="20"/>
          <w:szCs w:val="20"/>
          <w:lang w:val="en-US"/>
        </w:rPr>
        <w:t>Kolachana</w:t>
      </w:r>
      <w:proofErr w:type="spellEnd"/>
      <w:r>
        <w:rPr>
          <w:sz w:val="20"/>
          <w:szCs w:val="20"/>
          <w:lang w:val="en-US"/>
        </w:rPr>
        <w:t>, B., Weinberger, D.R., Berman, K.F., 2009. Variation in dopamine genes influences responsivity of the human reward system. Proc. Natl. Acad. Sci. U. S. A. 106, 617-622.</w:t>
      </w:r>
    </w:p>
    <w:p w:rsidR="00110B80" w:rsidRPr="00B26E04" w:rsidRDefault="0096787B" w:rsidP="00110B80">
      <w:pPr>
        <w:widowControl w:val="0"/>
        <w:autoSpaceDE w:val="0"/>
        <w:autoSpaceDN w:val="0"/>
        <w:adjustRightInd w:val="0"/>
        <w:spacing w:after="120" w:line="480" w:lineRule="auto"/>
        <w:rPr>
          <w:sz w:val="20"/>
          <w:szCs w:val="20"/>
          <w:lang w:val="en-US"/>
        </w:rPr>
      </w:pPr>
      <w:r>
        <w:rPr>
          <w:sz w:val="20"/>
          <w:szCs w:val="20"/>
          <w:lang w:val="en-US"/>
        </w:rPr>
        <w:lastRenderedPageBreak/>
        <w:t xml:space="preserve">Duke, A.A., </w:t>
      </w:r>
      <w:proofErr w:type="spellStart"/>
      <w:r>
        <w:rPr>
          <w:sz w:val="20"/>
          <w:szCs w:val="20"/>
          <w:lang w:val="en-US"/>
        </w:rPr>
        <w:t>Bègue</w:t>
      </w:r>
      <w:proofErr w:type="spellEnd"/>
      <w:r>
        <w:rPr>
          <w:sz w:val="20"/>
          <w:szCs w:val="20"/>
          <w:lang w:val="en-US"/>
        </w:rPr>
        <w:t xml:space="preserve">, L., Bell, R., </w:t>
      </w:r>
      <w:proofErr w:type="spellStart"/>
      <w:r>
        <w:rPr>
          <w:sz w:val="20"/>
          <w:szCs w:val="20"/>
          <w:lang w:val="en-US"/>
        </w:rPr>
        <w:t>Eisenlohr-Moul</w:t>
      </w:r>
      <w:proofErr w:type="spellEnd"/>
      <w:r>
        <w:rPr>
          <w:sz w:val="20"/>
          <w:szCs w:val="20"/>
          <w:lang w:val="en-US"/>
        </w:rPr>
        <w:t>, T., 2013. Revisiting the serotonin-aggression relation in humans: a meta-analysis. Psychol. Bull. 139, 1148-1172.</w:t>
      </w:r>
    </w:p>
    <w:p w:rsidR="00352A2A" w:rsidRPr="00B26E04" w:rsidRDefault="0096787B" w:rsidP="00113B97">
      <w:pPr>
        <w:widowControl w:val="0"/>
        <w:autoSpaceDE w:val="0"/>
        <w:autoSpaceDN w:val="0"/>
        <w:adjustRightInd w:val="0"/>
        <w:spacing w:after="120" w:line="480" w:lineRule="auto"/>
        <w:rPr>
          <w:sz w:val="20"/>
          <w:szCs w:val="20"/>
          <w:lang w:val="en-US"/>
        </w:rPr>
      </w:pPr>
      <w:proofErr w:type="spellStart"/>
      <w:r>
        <w:rPr>
          <w:sz w:val="20"/>
          <w:szCs w:val="20"/>
          <w:lang w:val="en-US"/>
        </w:rPr>
        <w:t>Duan</w:t>
      </w:r>
      <w:proofErr w:type="spellEnd"/>
      <w:r>
        <w:rPr>
          <w:sz w:val="20"/>
          <w:szCs w:val="20"/>
          <w:lang w:val="en-US"/>
        </w:rPr>
        <w:t xml:space="preserve">, J., Sanders, A.R., </w:t>
      </w:r>
      <w:proofErr w:type="spellStart"/>
      <w:r>
        <w:rPr>
          <w:sz w:val="20"/>
          <w:szCs w:val="20"/>
          <w:lang w:val="en-US"/>
        </w:rPr>
        <w:t>Molen</w:t>
      </w:r>
      <w:proofErr w:type="spellEnd"/>
      <w:r>
        <w:rPr>
          <w:sz w:val="20"/>
          <w:szCs w:val="20"/>
          <w:lang w:val="en-US"/>
        </w:rPr>
        <w:t xml:space="preserve">, J.E., </w:t>
      </w:r>
      <w:proofErr w:type="spellStart"/>
      <w:r>
        <w:rPr>
          <w:sz w:val="20"/>
          <w:szCs w:val="20"/>
          <w:lang w:val="en-US"/>
        </w:rPr>
        <w:t>Martinolich</w:t>
      </w:r>
      <w:proofErr w:type="spellEnd"/>
      <w:r>
        <w:rPr>
          <w:sz w:val="20"/>
          <w:szCs w:val="20"/>
          <w:lang w:val="en-US"/>
        </w:rPr>
        <w:t xml:space="preserve">, L., Mowry, B.J., Levinson, D.F., Crowe, R.R., Silverman, J.M., </w:t>
      </w:r>
      <w:proofErr w:type="spellStart"/>
      <w:r>
        <w:rPr>
          <w:sz w:val="20"/>
          <w:szCs w:val="20"/>
          <w:lang w:val="en-US"/>
        </w:rPr>
        <w:t>Gejman</w:t>
      </w:r>
      <w:proofErr w:type="spellEnd"/>
      <w:r>
        <w:rPr>
          <w:sz w:val="20"/>
          <w:szCs w:val="20"/>
          <w:lang w:val="en-US"/>
        </w:rPr>
        <w:t>, P.V., 2003. Polymorphisms in the 5'-untranslated region of the human serotonin receptor 1B (HTR1B) gene affect gene expression. Mol. Psychiatry 8, 901-910.</w:t>
      </w:r>
    </w:p>
    <w:p w:rsidR="00777844" w:rsidRPr="00B26E04" w:rsidRDefault="0096787B" w:rsidP="00113B97">
      <w:pPr>
        <w:widowControl w:val="0"/>
        <w:autoSpaceDE w:val="0"/>
        <w:autoSpaceDN w:val="0"/>
        <w:adjustRightInd w:val="0"/>
        <w:spacing w:after="120" w:line="480" w:lineRule="auto"/>
        <w:rPr>
          <w:sz w:val="20"/>
          <w:szCs w:val="20"/>
          <w:lang w:val="en-US"/>
        </w:rPr>
      </w:pPr>
      <w:proofErr w:type="spellStart"/>
      <w:r>
        <w:rPr>
          <w:sz w:val="20"/>
          <w:szCs w:val="20"/>
          <w:lang w:val="en-US"/>
        </w:rPr>
        <w:t>Duman</w:t>
      </w:r>
      <w:proofErr w:type="spellEnd"/>
      <w:r>
        <w:rPr>
          <w:sz w:val="20"/>
          <w:szCs w:val="20"/>
          <w:lang w:val="en-US"/>
        </w:rPr>
        <w:t xml:space="preserve">, E.A., </w:t>
      </w:r>
      <w:proofErr w:type="spellStart"/>
      <w:r>
        <w:rPr>
          <w:sz w:val="20"/>
          <w:szCs w:val="20"/>
          <w:lang w:val="en-US"/>
        </w:rPr>
        <w:t>Canli</w:t>
      </w:r>
      <w:proofErr w:type="spellEnd"/>
      <w:r>
        <w:rPr>
          <w:sz w:val="20"/>
          <w:szCs w:val="20"/>
          <w:lang w:val="en-US"/>
        </w:rPr>
        <w:t xml:space="preserve">, T., 2015. Influence of life stress, 5-HTTLPR genotype, and SLC6A4 methylation on gene expression and stress response in healthy Caucasian males. Biol. Mood Anxiety </w:t>
      </w:r>
      <w:proofErr w:type="spellStart"/>
      <w:r>
        <w:rPr>
          <w:sz w:val="20"/>
          <w:szCs w:val="20"/>
          <w:lang w:val="en-US"/>
        </w:rPr>
        <w:t>Disord</w:t>
      </w:r>
      <w:proofErr w:type="spellEnd"/>
      <w:r>
        <w:rPr>
          <w:sz w:val="20"/>
          <w:szCs w:val="20"/>
          <w:lang w:val="en-US"/>
        </w:rPr>
        <w:t>. 5, 2.</w:t>
      </w:r>
    </w:p>
    <w:p w:rsidR="00352A2A" w:rsidRPr="00B26E04" w:rsidRDefault="0096787B" w:rsidP="00113B97">
      <w:pPr>
        <w:widowControl w:val="0"/>
        <w:autoSpaceDE w:val="0"/>
        <w:autoSpaceDN w:val="0"/>
        <w:adjustRightInd w:val="0"/>
        <w:spacing w:after="120" w:line="480" w:lineRule="auto"/>
        <w:rPr>
          <w:sz w:val="20"/>
          <w:szCs w:val="20"/>
          <w:lang w:val="en-US"/>
        </w:rPr>
      </w:pPr>
      <w:proofErr w:type="spellStart"/>
      <w:r>
        <w:rPr>
          <w:sz w:val="20"/>
          <w:szCs w:val="20"/>
          <w:lang w:val="en-US"/>
        </w:rPr>
        <w:t>Ebstein</w:t>
      </w:r>
      <w:proofErr w:type="spellEnd"/>
      <w:r>
        <w:rPr>
          <w:sz w:val="20"/>
          <w:szCs w:val="20"/>
          <w:lang w:val="en-US"/>
        </w:rPr>
        <w:t xml:space="preserve">, R.P., Novick, O., </w:t>
      </w:r>
      <w:proofErr w:type="spellStart"/>
      <w:r>
        <w:rPr>
          <w:sz w:val="20"/>
          <w:szCs w:val="20"/>
          <w:lang w:val="en-US"/>
        </w:rPr>
        <w:t>Umansky</w:t>
      </w:r>
      <w:proofErr w:type="spellEnd"/>
      <w:r>
        <w:rPr>
          <w:sz w:val="20"/>
          <w:szCs w:val="20"/>
          <w:lang w:val="en-US"/>
        </w:rPr>
        <w:t xml:space="preserve">, R., </w:t>
      </w:r>
      <w:proofErr w:type="spellStart"/>
      <w:r>
        <w:rPr>
          <w:sz w:val="20"/>
          <w:szCs w:val="20"/>
          <w:lang w:val="en-US"/>
        </w:rPr>
        <w:t>Priel</w:t>
      </w:r>
      <w:proofErr w:type="spellEnd"/>
      <w:r>
        <w:rPr>
          <w:sz w:val="20"/>
          <w:szCs w:val="20"/>
          <w:lang w:val="en-US"/>
        </w:rPr>
        <w:t xml:space="preserve">, B., </w:t>
      </w:r>
      <w:proofErr w:type="spellStart"/>
      <w:r>
        <w:rPr>
          <w:sz w:val="20"/>
          <w:szCs w:val="20"/>
          <w:lang w:val="en-US"/>
        </w:rPr>
        <w:t>Osher</w:t>
      </w:r>
      <w:proofErr w:type="spellEnd"/>
      <w:r>
        <w:rPr>
          <w:sz w:val="20"/>
          <w:szCs w:val="20"/>
          <w:lang w:val="en-US"/>
        </w:rPr>
        <w:t xml:space="preserve">, Y., Blaine, D., Bennett, E.R., </w:t>
      </w:r>
      <w:proofErr w:type="spellStart"/>
      <w:r>
        <w:rPr>
          <w:sz w:val="20"/>
          <w:szCs w:val="20"/>
          <w:lang w:val="en-US"/>
        </w:rPr>
        <w:t>Nemanov</w:t>
      </w:r>
      <w:proofErr w:type="spellEnd"/>
      <w:r>
        <w:rPr>
          <w:sz w:val="20"/>
          <w:szCs w:val="20"/>
          <w:lang w:val="en-US"/>
        </w:rPr>
        <w:t xml:space="preserve">, L., Katz, M., </w:t>
      </w:r>
      <w:proofErr w:type="spellStart"/>
      <w:r>
        <w:rPr>
          <w:sz w:val="20"/>
          <w:szCs w:val="20"/>
          <w:lang w:val="en-US"/>
        </w:rPr>
        <w:t>Belmaker</w:t>
      </w:r>
      <w:proofErr w:type="spellEnd"/>
      <w:r>
        <w:rPr>
          <w:sz w:val="20"/>
          <w:szCs w:val="20"/>
          <w:lang w:val="en-US"/>
        </w:rPr>
        <w:t>, R.H., 1996. Dopamine D4 receptor (D4DR) exon III polymorphism associated with the human personality trait of Novelty Seeking. Nat. Genet. 12, 78-80.</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Eisenberger, N.I., Way, B.M., Taylor, S.E., Welch, W.T., Lieberman, M.D., 2007. Understanding genetic risk for aggression: clues from the brain's response to social exclusion. Biol. Psychiatry 61, 1100-1108.</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Eisner, P., </w:t>
      </w:r>
      <w:proofErr w:type="spellStart"/>
      <w:r>
        <w:rPr>
          <w:sz w:val="20"/>
          <w:szCs w:val="20"/>
          <w:lang w:val="en-US"/>
        </w:rPr>
        <w:t>Klasen</w:t>
      </w:r>
      <w:proofErr w:type="spellEnd"/>
      <w:r>
        <w:rPr>
          <w:sz w:val="20"/>
          <w:szCs w:val="20"/>
          <w:lang w:val="en-US"/>
        </w:rPr>
        <w:t xml:space="preserve">, M., Wolf, D., </w:t>
      </w:r>
      <w:proofErr w:type="spellStart"/>
      <w:r>
        <w:rPr>
          <w:sz w:val="20"/>
          <w:szCs w:val="20"/>
          <w:lang w:val="en-US"/>
        </w:rPr>
        <w:t>Zerres</w:t>
      </w:r>
      <w:proofErr w:type="spellEnd"/>
      <w:r>
        <w:rPr>
          <w:sz w:val="20"/>
          <w:szCs w:val="20"/>
          <w:lang w:val="en-US"/>
        </w:rPr>
        <w:t xml:space="preserve">, K., </w:t>
      </w:r>
      <w:proofErr w:type="spellStart"/>
      <w:r>
        <w:rPr>
          <w:sz w:val="20"/>
          <w:szCs w:val="20"/>
          <w:lang w:val="en-US"/>
        </w:rPr>
        <w:t>Eggermann</w:t>
      </w:r>
      <w:proofErr w:type="spellEnd"/>
      <w:r>
        <w:rPr>
          <w:sz w:val="20"/>
          <w:szCs w:val="20"/>
          <w:lang w:val="en-US"/>
        </w:rPr>
        <w:t xml:space="preserve">, T., </w:t>
      </w:r>
      <w:proofErr w:type="spellStart"/>
      <w:r>
        <w:rPr>
          <w:sz w:val="20"/>
          <w:szCs w:val="20"/>
          <w:lang w:val="en-US"/>
        </w:rPr>
        <w:t>Eisert</w:t>
      </w:r>
      <w:proofErr w:type="spellEnd"/>
      <w:r>
        <w:rPr>
          <w:sz w:val="20"/>
          <w:szCs w:val="20"/>
          <w:lang w:val="en-US"/>
        </w:rPr>
        <w:t xml:space="preserve">, A., Zvyagintsev, M., </w:t>
      </w:r>
      <w:proofErr w:type="spellStart"/>
      <w:r>
        <w:rPr>
          <w:sz w:val="20"/>
          <w:szCs w:val="20"/>
          <w:lang w:val="en-US"/>
        </w:rPr>
        <w:t>Sarkheil</w:t>
      </w:r>
      <w:proofErr w:type="spellEnd"/>
      <w:r>
        <w:rPr>
          <w:sz w:val="20"/>
          <w:szCs w:val="20"/>
          <w:lang w:val="en-US"/>
        </w:rPr>
        <w:t xml:space="preserve">, P., </w:t>
      </w:r>
      <w:proofErr w:type="spellStart"/>
      <w:r>
        <w:rPr>
          <w:sz w:val="20"/>
          <w:szCs w:val="20"/>
          <w:lang w:val="en-US"/>
        </w:rPr>
        <w:t>Mathiak</w:t>
      </w:r>
      <w:proofErr w:type="spellEnd"/>
      <w:r>
        <w:rPr>
          <w:sz w:val="20"/>
          <w:szCs w:val="20"/>
          <w:lang w:val="en-US"/>
        </w:rPr>
        <w:t xml:space="preserve">, K.A., </w:t>
      </w:r>
      <w:proofErr w:type="spellStart"/>
      <w:r>
        <w:rPr>
          <w:sz w:val="20"/>
          <w:szCs w:val="20"/>
          <w:lang w:val="en-US"/>
        </w:rPr>
        <w:t>Zepf</w:t>
      </w:r>
      <w:proofErr w:type="spellEnd"/>
      <w:r>
        <w:rPr>
          <w:sz w:val="20"/>
          <w:szCs w:val="20"/>
          <w:lang w:val="en-US"/>
        </w:rPr>
        <w:t xml:space="preserve">, F., </w:t>
      </w:r>
      <w:proofErr w:type="spellStart"/>
      <w:r>
        <w:rPr>
          <w:sz w:val="20"/>
          <w:szCs w:val="20"/>
          <w:lang w:val="en-US"/>
        </w:rPr>
        <w:t>Mathiak</w:t>
      </w:r>
      <w:proofErr w:type="spellEnd"/>
      <w:r>
        <w:rPr>
          <w:sz w:val="20"/>
          <w:szCs w:val="20"/>
          <w:lang w:val="en-US"/>
        </w:rPr>
        <w:t>, K., 2017. Cortico-limbic connectivity in MAOA-L carriers is vulnerable to acute tryptophan depletion. Hum. Brain Mapp. 38, 1622-1635.</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Eslinger, P.J., Damasio, A.R., 1985. Severe disturbance of higher cognition after bilateral frontal lobe ablation: patient EVR. Neurology 35, 1731-1741.</w:t>
      </w:r>
    </w:p>
    <w:p w:rsidR="00D90017" w:rsidRPr="00B26E04" w:rsidRDefault="0096787B" w:rsidP="00113B97">
      <w:pPr>
        <w:widowControl w:val="0"/>
        <w:autoSpaceDE w:val="0"/>
        <w:autoSpaceDN w:val="0"/>
        <w:adjustRightInd w:val="0"/>
        <w:spacing w:after="120" w:line="480" w:lineRule="auto"/>
        <w:rPr>
          <w:sz w:val="20"/>
          <w:szCs w:val="20"/>
          <w:lang w:val="en-US"/>
        </w:rPr>
      </w:pPr>
      <w:proofErr w:type="spellStart"/>
      <w:r>
        <w:rPr>
          <w:sz w:val="20"/>
          <w:szCs w:val="20"/>
          <w:lang w:val="en-US"/>
        </w:rPr>
        <w:t>Ewbank</w:t>
      </w:r>
      <w:proofErr w:type="spellEnd"/>
      <w:r>
        <w:rPr>
          <w:sz w:val="20"/>
          <w:szCs w:val="20"/>
          <w:lang w:val="en-US"/>
        </w:rPr>
        <w:t xml:space="preserve">, M.P., Passamonti, L., Hagan, C.C., Goodyer, I.M., Calder, A.J., Fairchild, G., 2018. Psychopathic traits influence amygdala-anterior cingulate cortex connectivity during facial emotion processing. Soc. </w:t>
      </w:r>
      <w:proofErr w:type="spellStart"/>
      <w:r>
        <w:rPr>
          <w:sz w:val="20"/>
          <w:szCs w:val="20"/>
          <w:lang w:val="en-US"/>
        </w:rPr>
        <w:t>Cogn</w:t>
      </w:r>
      <w:proofErr w:type="spellEnd"/>
      <w:r>
        <w:rPr>
          <w:sz w:val="20"/>
          <w:szCs w:val="20"/>
          <w:lang w:val="en-US"/>
        </w:rPr>
        <w:t xml:space="preserve">. Affect. </w:t>
      </w:r>
      <w:proofErr w:type="spellStart"/>
      <w:r>
        <w:rPr>
          <w:sz w:val="20"/>
          <w:szCs w:val="20"/>
          <w:lang w:val="en-US"/>
        </w:rPr>
        <w:t>Neurosci</w:t>
      </w:r>
      <w:proofErr w:type="spellEnd"/>
      <w:r>
        <w:rPr>
          <w:sz w:val="20"/>
          <w:szCs w:val="20"/>
          <w:lang w:val="en-US"/>
        </w:rPr>
        <w:t>. 13, 525-534.</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Fabian, J.M., 2010. Neuropsychological and neurological correlates in violent and homicidal offenders: A legal and neuroscience perspective. Aggression and Violent Behavior 15, 209-223. </w:t>
      </w:r>
    </w:p>
    <w:p w:rsidR="002415EA" w:rsidRPr="00B26E04" w:rsidRDefault="0096787B" w:rsidP="00113B97">
      <w:pPr>
        <w:spacing w:after="120" w:line="480" w:lineRule="auto"/>
        <w:rPr>
          <w:sz w:val="20"/>
          <w:szCs w:val="20"/>
          <w:lang w:val="en-US"/>
        </w:rPr>
      </w:pPr>
      <w:r>
        <w:rPr>
          <w:sz w:val="20"/>
          <w:szCs w:val="20"/>
          <w:lang w:val="en-US"/>
        </w:rPr>
        <w:t xml:space="preserve">Fairchild, G., Passamonti, L., </w:t>
      </w:r>
      <w:proofErr w:type="spellStart"/>
      <w:r>
        <w:rPr>
          <w:sz w:val="20"/>
          <w:szCs w:val="20"/>
          <w:lang w:val="en-US"/>
        </w:rPr>
        <w:t>Hurford</w:t>
      </w:r>
      <w:proofErr w:type="spellEnd"/>
      <w:r>
        <w:rPr>
          <w:sz w:val="20"/>
          <w:szCs w:val="20"/>
          <w:lang w:val="en-US"/>
        </w:rPr>
        <w:t xml:space="preserve">, G., Hagan, C.C., von dem Hagen, E.A., van </w:t>
      </w:r>
      <w:proofErr w:type="spellStart"/>
      <w:r>
        <w:rPr>
          <w:sz w:val="20"/>
          <w:szCs w:val="20"/>
          <w:lang w:val="en-US"/>
        </w:rPr>
        <w:t>Goozen</w:t>
      </w:r>
      <w:proofErr w:type="spellEnd"/>
      <w:r>
        <w:rPr>
          <w:sz w:val="20"/>
          <w:szCs w:val="20"/>
          <w:lang w:val="en-US"/>
        </w:rPr>
        <w:t>, S.H., Goodyer, I.M., Calder, A.J., 2011. Brain structure abnormalities in early-onset and adolescent-onset conduct disorder. Am. J. Psychiatry. 168, 624-633.</w:t>
      </w:r>
    </w:p>
    <w:p w:rsidR="005321F0" w:rsidRPr="00B26E04" w:rsidRDefault="0096787B" w:rsidP="00113B97">
      <w:pPr>
        <w:spacing w:after="120" w:line="480" w:lineRule="auto"/>
        <w:rPr>
          <w:sz w:val="20"/>
          <w:szCs w:val="20"/>
          <w:lang w:val="en-US"/>
        </w:rPr>
      </w:pPr>
      <w:r>
        <w:rPr>
          <w:sz w:val="20"/>
          <w:szCs w:val="20"/>
          <w:lang w:val="en-US"/>
        </w:rPr>
        <w:t xml:space="preserve">Fanning, J.R., </w:t>
      </w:r>
      <w:proofErr w:type="spellStart"/>
      <w:r>
        <w:rPr>
          <w:sz w:val="20"/>
          <w:szCs w:val="20"/>
          <w:lang w:val="en-US"/>
        </w:rPr>
        <w:t>Keedy</w:t>
      </w:r>
      <w:proofErr w:type="spellEnd"/>
      <w:r>
        <w:rPr>
          <w:sz w:val="20"/>
          <w:szCs w:val="20"/>
          <w:lang w:val="en-US"/>
        </w:rPr>
        <w:t xml:space="preserve">, S., Berman, M.E., Lee, R., </w:t>
      </w:r>
      <w:proofErr w:type="spellStart"/>
      <w:r>
        <w:rPr>
          <w:sz w:val="20"/>
          <w:szCs w:val="20"/>
          <w:lang w:val="en-US"/>
        </w:rPr>
        <w:t>Coccaro</w:t>
      </w:r>
      <w:proofErr w:type="spellEnd"/>
      <w:r>
        <w:rPr>
          <w:sz w:val="20"/>
          <w:szCs w:val="20"/>
          <w:lang w:val="en-US"/>
        </w:rPr>
        <w:t xml:space="preserve">, E.F., 2017. Neural Correlates of Aggressive Behavior in Real Time: a Review of fMRI Studies of Laboratory Reactive Aggression. </w:t>
      </w:r>
      <w:proofErr w:type="spellStart"/>
      <w:r>
        <w:rPr>
          <w:sz w:val="20"/>
          <w:szCs w:val="20"/>
          <w:lang w:val="en-US"/>
        </w:rPr>
        <w:t>Curr</w:t>
      </w:r>
      <w:proofErr w:type="spellEnd"/>
      <w:r>
        <w:rPr>
          <w:sz w:val="20"/>
          <w:szCs w:val="20"/>
          <w:lang w:val="en-US"/>
        </w:rPr>
        <w:t xml:space="preserve">. </w:t>
      </w:r>
      <w:proofErr w:type="spellStart"/>
      <w:r>
        <w:rPr>
          <w:sz w:val="20"/>
          <w:szCs w:val="20"/>
          <w:lang w:val="en-US"/>
        </w:rPr>
        <w:t>Behav</w:t>
      </w:r>
      <w:proofErr w:type="spellEnd"/>
      <w:r>
        <w:rPr>
          <w:sz w:val="20"/>
          <w:szCs w:val="20"/>
          <w:lang w:val="en-US"/>
        </w:rPr>
        <w:t xml:space="preserve">. </w:t>
      </w:r>
      <w:proofErr w:type="spellStart"/>
      <w:r>
        <w:rPr>
          <w:sz w:val="20"/>
          <w:szCs w:val="20"/>
          <w:lang w:val="en-US"/>
        </w:rPr>
        <w:t>Neurosci</w:t>
      </w:r>
      <w:proofErr w:type="spellEnd"/>
      <w:r>
        <w:rPr>
          <w:sz w:val="20"/>
          <w:szCs w:val="20"/>
          <w:lang w:val="en-US"/>
        </w:rPr>
        <w:t>. Rep. 4, 138-150.</w:t>
      </w:r>
    </w:p>
    <w:p w:rsidR="0059667C" w:rsidRPr="00B26E04" w:rsidRDefault="0096787B" w:rsidP="00113B97">
      <w:pPr>
        <w:spacing w:after="120" w:line="480" w:lineRule="auto"/>
        <w:rPr>
          <w:sz w:val="20"/>
          <w:szCs w:val="20"/>
          <w:lang w:val="en-US"/>
        </w:rPr>
      </w:pPr>
      <w:r>
        <w:rPr>
          <w:sz w:val="20"/>
          <w:szCs w:val="20"/>
          <w:lang w:val="en-US"/>
        </w:rPr>
        <w:lastRenderedPageBreak/>
        <w:t xml:space="preserve">Farah, T., Ling, S., Raine, A., Yang, Y., </w:t>
      </w:r>
      <w:proofErr w:type="spellStart"/>
      <w:r>
        <w:rPr>
          <w:sz w:val="20"/>
          <w:szCs w:val="20"/>
          <w:lang w:val="en-US"/>
        </w:rPr>
        <w:t>Schug</w:t>
      </w:r>
      <w:proofErr w:type="spellEnd"/>
      <w:r>
        <w:rPr>
          <w:sz w:val="20"/>
          <w:szCs w:val="20"/>
          <w:lang w:val="en-US"/>
        </w:rPr>
        <w:t>, R., 2018. Alexithymia and reactive aggression: The role of the amygdala. Psychiatry Res. Neuroimaging 281, 85-91.</w:t>
      </w:r>
    </w:p>
    <w:p w:rsidR="00352A2A" w:rsidRPr="00B26E04" w:rsidRDefault="0096787B" w:rsidP="00113B97">
      <w:pPr>
        <w:spacing w:after="120" w:line="480" w:lineRule="auto"/>
        <w:rPr>
          <w:sz w:val="20"/>
          <w:szCs w:val="20"/>
          <w:lang w:val="en-US"/>
        </w:rPr>
      </w:pPr>
      <w:r>
        <w:rPr>
          <w:sz w:val="20"/>
          <w:szCs w:val="20"/>
          <w:lang w:val="en-US"/>
        </w:rPr>
        <w:t xml:space="preserve">Fazel, S., Gulati, G., </w:t>
      </w:r>
      <w:proofErr w:type="spellStart"/>
      <w:r>
        <w:rPr>
          <w:sz w:val="20"/>
          <w:szCs w:val="20"/>
          <w:lang w:val="en-US"/>
        </w:rPr>
        <w:t>Linsell</w:t>
      </w:r>
      <w:proofErr w:type="spellEnd"/>
      <w:r>
        <w:rPr>
          <w:sz w:val="20"/>
          <w:szCs w:val="20"/>
          <w:lang w:val="en-US"/>
        </w:rPr>
        <w:t xml:space="preserve">, L., Geddes, J.R., </w:t>
      </w:r>
      <w:proofErr w:type="spellStart"/>
      <w:r>
        <w:rPr>
          <w:sz w:val="20"/>
          <w:szCs w:val="20"/>
          <w:lang w:val="en-US"/>
        </w:rPr>
        <w:t>Grann</w:t>
      </w:r>
      <w:proofErr w:type="spellEnd"/>
      <w:r>
        <w:rPr>
          <w:sz w:val="20"/>
          <w:szCs w:val="20"/>
          <w:lang w:val="en-US"/>
        </w:rPr>
        <w:t xml:space="preserve">, M., 2009. Schizophrenia and violence: systematic review and meta-analysis. </w:t>
      </w:r>
      <w:proofErr w:type="spellStart"/>
      <w:r>
        <w:rPr>
          <w:sz w:val="20"/>
          <w:szCs w:val="20"/>
          <w:lang w:val="en-US"/>
        </w:rPr>
        <w:t>PLoS</w:t>
      </w:r>
      <w:proofErr w:type="spellEnd"/>
      <w:r>
        <w:rPr>
          <w:sz w:val="20"/>
          <w:szCs w:val="20"/>
          <w:lang w:val="en-US"/>
        </w:rPr>
        <w:t xml:space="preserve"> Med 6, e1000120.</w:t>
      </w:r>
    </w:p>
    <w:p w:rsidR="00352A2A" w:rsidRPr="00B26E04" w:rsidRDefault="0096787B" w:rsidP="00113B97">
      <w:pPr>
        <w:spacing w:after="120" w:line="480" w:lineRule="auto"/>
        <w:rPr>
          <w:sz w:val="20"/>
          <w:szCs w:val="20"/>
          <w:lang w:val="en-US"/>
        </w:rPr>
      </w:pPr>
      <w:r>
        <w:rPr>
          <w:sz w:val="20"/>
          <w:szCs w:val="20"/>
          <w:lang w:val="en-US"/>
        </w:rPr>
        <w:t>Ferguson, C.J., 2010. Genetic contributions to antisocial personality and behavior: a meta-analytic review from an evolutionary perspective. J. Soc. Psychol 150, 160-180.</w:t>
      </w:r>
    </w:p>
    <w:p w:rsidR="00352A2A" w:rsidRPr="00B26E04" w:rsidRDefault="0096787B" w:rsidP="00113B97">
      <w:pPr>
        <w:spacing w:after="120" w:line="480" w:lineRule="auto"/>
        <w:rPr>
          <w:sz w:val="20"/>
          <w:szCs w:val="20"/>
          <w:lang w:val="en-US"/>
        </w:rPr>
      </w:pPr>
      <w:r>
        <w:rPr>
          <w:sz w:val="20"/>
          <w:szCs w:val="20"/>
          <w:lang w:val="en-US"/>
        </w:rPr>
        <w:t>Fergusson, D.M., Boden, J.M., Horwood, L.J., Miller, A.L., Kennedy, M.A., 2011. MAOA, abuse exposure and antisocial behaviour: 30-year longitudinal study. Br. J. Psychiatry 198, 457-463.</w:t>
      </w:r>
    </w:p>
    <w:p w:rsidR="00352A2A" w:rsidRPr="00B26E04" w:rsidRDefault="0096787B" w:rsidP="00113B97">
      <w:pPr>
        <w:spacing w:after="120" w:line="480" w:lineRule="auto"/>
        <w:rPr>
          <w:sz w:val="20"/>
          <w:szCs w:val="20"/>
          <w:lang w:val="en-US"/>
        </w:rPr>
      </w:pPr>
      <w:proofErr w:type="spellStart"/>
      <w:r>
        <w:rPr>
          <w:sz w:val="20"/>
          <w:szCs w:val="20"/>
          <w:lang w:val="en-US"/>
        </w:rPr>
        <w:t>Ficks</w:t>
      </w:r>
      <w:proofErr w:type="spellEnd"/>
      <w:r>
        <w:rPr>
          <w:sz w:val="20"/>
          <w:szCs w:val="20"/>
          <w:lang w:val="en-US"/>
        </w:rPr>
        <w:t>, C.A., Waldman, I.D., 2014. Candidate genes for aggression and antisocial behavior: a meta-analysis of association studies of the 5HTTLPR and MAOA-</w:t>
      </w:r>
      <w:proofErr w:type="spellStart"/>
      <w:r>
        <w:rPr>
          <w:sz w:val="20"/>
          <w:szCs w:val="20"/>
          <w:lang w:val="en-US"/>
        </w:rPr>
        <w:t>uVNTR</w:t>
      </w:r>
      <w:proofErr w:type="spellEnd"/>
      <w:r>
        <w:rPr>
          <w:sz w:val="20"/>
          <w:szCs w:val="20"/>
          <w:lang w:val="en-US"/>
        </w:rPr>
        <w:t xml:space="preserve">. </w:t>
      </w:r>
      <w:proofErr w:type="spellStart"/>
      <w:r>
        <w:rPr>
          <w:sz w:val="20"/>
          <w:szCs w:val="20"/>
          <w:lang w:val="en-US"/>
        </w:rPr>
        <w:t>Behav</w:t>
      </w:r>
      <w:proofErr w:type="spellEnd"/>
      <w:r>
        <w:rPr>
          <w:sz w:val="20"/>
          <w:szCs w:val="20"/>
          <w:lang w:val="en-US"/>
        </w:rPr>
        <w:t>. Genet. 44, 427-444.</w:t>
      </w:r>
    </w:p>
    <w:p w:rsidR="00352A2A" w:rsidRPr="00B26E04" w:rsidRDefault="0096787B" w:rsidP="00113B97">
      <w:pPr>
        <w:spacing w:after="120" w:line="480" w:lineRule="auto"/>
        <w:rPr>
          <w:sz w:val="20"/>
          <w:szCs w:val="20"/>
          <w:lang w:val="en-US"/>
        </w:rPr>
      </w:pPr>
      <w:r>
        <w:rPr>
          <w:sz w:val="20"/>
          <w:szCs w:val="20"/>
          <w:lang w:val="en-US"/>
        </w:rPr>
        <w:t xml:space="preserve">Fisher, C.A., Sewell, K., Brown, A., Churchyard, A., 2014. Aggression in Huntington's disease: a systematic review of rates of aggression and treatment methods. J. </w:t>
      </w:r>
      <w:proofErr w:type="spellStart"/>
      <w:r>
        <w:rPr>
          <w:sz w:val="20"/>
          <w:szCs w:val="20"/>
          <w:lang w:val="en-US"/>
        </w:rPr>
        <w:t>Huntingtons</w:t>
      </w:r>
      <w:proofErr w:type="spellEnd"/>
      <w:r>
        <w:rPr>
          <w:sz w:val="20"/>
          <w:szCs w:val="20"/>
          <w:lang w:val="en-US"/>
        </w:rPr>
        <w:t xml:space="preserve"> Dis. 3, 319-332.</w:t>
      </w:r>
    </w:p>
    <w:p w:rsidR="00352A2A" w:rsidRPr="00B26E04" w:rsidRDefault="0096787B" w:rsidP="00113B97">
      <w:pPr>
        <w:spacing w:after="120" w:line="480" w:lineRule="auto"/>
        <w:rPr>
          <w:sz w:val="20"/>
          <w:szCs w:val="20"/>
          <w:lang w:val="en-US"/>
        </w:rPr>
      </w:pPr>
      <w:r>
        <w:rPr>
          <w:sz w:val="20"/>
          <w:szCs w:val="20"/>
          <w:lang w:val="en-US"/>
        </w:rPr>
        <w:t xml:space="preserve">Fitzpatrick, P.F., 1999. </w:t>
      </w:r>
      <w:proofErr w:type="spellStart"/>
      <w:r>
        <w:rPr>
          <w:sz w:val="20"/>
          <w:szCs w:val="20"/>
          <w:lang w:val="en-US"/>
        </w:rPr>
        <w:t>Tetrahydropterin</w:t>
      </w:r>
      <w:proofErr w:type="spellEnd"/>
      <w:r>
        <w:rPr>
          <w:sz w:val="20"/>
          <w:szCs w:val="20"/>
          <w:lang w:val="en-US"/>
        </w:rPr>
        <w:t xml:space="preserve">-dependent amino acid hydroxylases. </w:t>
      </w:r>
      <w:proofErr w:type="spellStart"/>
      <w:r>
        <w:rPr>
          <w:sz w:val="20"/>
          <w:szCs w:val="20"/>
          <w:lang w:val="en-US"/>
        </w:rPr>
        <w:t>Annu</w:t>
      </w:r>
      <w:proofErr w:type="spellEnd"/>
      <w:r>
        <w:rPr>
          <w:sz w:val="20"/>
          <w:szCs w:val="20"/>
          <w:lang w:val="en-US"/>
        </w:rPr>
        <w:t xml:space="preserve">. Rev. </w:t>
      </w:r>
      <w:proofErr w:type="spellStart"/>
      <w:r>
        <w:rPr>
          <w:sz w:val="20"/>
          <w:szCs w:val="20"/>
          <w:lang w:val="en-US"/>
        </w:rPr>
        <w:t>Biochem</w:t>
      </w:r>
      <w:proofErr w:type="spellEnd"/>
      <w:r>
        <w:rPr>
          <w:sz w:val="20"/>
          <w:szCs w:val="20"/>
          <w:lang w:val="en-US"/>
        </w:rPr>
        <w:t>. 68, 355-381.</w:t>
      </w:r>
    </w:p>
    <w:p w:rsidR="00352A2A" w:rsidRPr="00B26E04" w:rsidRDefault="0096787B" w:rsidP="00113B97">
      <w:pPr>
        <w:spacing w:after="120" w:line="480" w:lineRule="auto"/>
        <w:rPr>
          <w:sz w:val="20"/>
          <w:szCs w:val="20"/>
          <w:lang w:val="en-US"/>
        </w:rPr>
      </w:pPr>
      <w:r>
        <w:rPr>
          <w:sz w:val="20"/>
          <w:szCs w:val="20"/>
          <w:lang w:val="en-US"/>
        </w:rPr>
        <w:t xml:space="preserve">Forbes, E.E., Brown, S.M., </w:t>
      </w:r>
      <w:proofErr w:type="spellStart"/>
      <w:r>
        <w:rPr>
          <w:sz w:val="20"/>
          <w:szCs w:val="20"/>
          <w:lang w:val="en-US"/>
        </w:rPr>
        <w:t>Kimak</w:t>
      </w:r>
      <w:proofErr w:type="spellEnd"/>
      <w:r>
        <w:rPr>
          <w:sz w:val="20"/>
          <w:szCs w:val="20"/>
          <w:lang w:val="en-US"/>
        </w:rPr>
        <w:t xml:space="preserve">, M., Ferrell, R.E., </w:t>
      </w:r>
      <w:proofErr w:type="spellStart"/>
      <w:r>
        <w:rPr>
          <w:sz w:val="20"/>
          <w:szCs w:val="20"/>
          <w:lang w:val="en-US"/>
        </w:rPr>
        <w:t>Manuck</w:t>
      </w:r>
      <w:proofErr w:type="spellEnd"/>
      <w:r>
        <w:rPr>
          <w:sz w:val="20"/>
          <w:szCs w:val="20"/>
          <w:lang w:val="en-US"/>
        </w:rPr>
        <w:t>, S.B., Hariri, A.R., 2009. Genetic variation in components of dopamine neurotransmission impacts ventral striatal reactivity associated with impulsivity. Mol. Psychiatry 14, 60-70.</w:t>
      </w:r>
    </w:p>
    <w:p w:rsidR="00352A2A" w:rsidRPr="00B26E04" w:rsidRDefault="0096787B" w:rsidP="00113B97">
      <w:pPr>
        <w:spacing w:after="120" w:line="480" w:lineRule="auto"/>
        <w:rPr>
          <w:sz w:val="20"/>
          <w:szCs w:val="20"/>
          <w:lang w:val="en-US"/>
        </w:rPr>
      </w:pPr>
      <w:r>
        <w:rPr>
          <w:sz w:val="20"/>
          <w:szCs w:val="20"/>
          <w:lang w:val="en-US"/>
        </w:rPr>
        <w:t xml:space="preserve">Fowler, C.J., Tipton, K.F., 1984. On the substrate specificities of the two forms of monoamine oxidase. J. Pharm. </w:t>
      </w:r>
      <w:proofErr w:type="spellStart"/>
      <w:r>
        <w:rPr>
          <w:sz w:val="20"/>
          <w:szCs w:val="20"/>
          <w:lang w:val="en-US"/>
        </w:rPr>
        <w:t>Pharmacol</w:t>
      </w:r>
      <w:proofErr w:type="spellEnd"/>
      <w:r>
        <w:rPr>
          <w:sz w:val="20"/>
          <w:szCs w:val="20"/>
          <w:lang w:val="en-US"/>
        </w:rPr>
        <w:t>. 36, 111-115.</w:t>
      </w:r>
    </w:p>
    <w:p w:rsidR="00352A2A" w:rsidRPr="00B26E04" w:rsidRDefault="0096787B" w:rsidP="00113B97">
      <w:pPr>
        <w:spacing w:after="120" w:line="480" w:lineRule="auto"/>
        <w:rPr>
          <w:sz w:val="20"/>
          <w:szCs w:val="20"/>
          <w:lang w:val="en-US"/>
        </w:rPr>
      </w:pPr>
      <w:r>
        <w:rPr>
          <w:sz w:val="20"/>
          <w:szCs w:val="20"/>
          <w:lang w:val="en-US"/>
        </w:rPr>
        <w:t xml:space="preserve">Fowler, J.S., MacGregor, R.R., Wolf, A.P., Arnett, C.D., Dewey, S.L., </w:t>
      </w:r>
      <w:proofErr w:type="spellStart"/>
      <w:r>
        <w:rPr>
          <w:sz w:val="20"/>
          <w:szCs w:val="20"/>
          <w:lang w:val="en-US"/>
        </w:rPr>
        <w:t>Schlyer</w:t>
      </w:r>
      <w:proofErr w:type="spellEnd"/>
      <w:r>
        <w:rPr>
          <w:sz w:val="20"/>
          <w:szCs w:val="20"/>
          <w:lang w:val="en-US"/>
        </w:rPr>
        <w:t xml:space="preserve">, D., </w:t>
      </w:r>
      <w:proofErr w:type="spellStart"/>
      <w:r>
        <w:rPr>
          <w:sz w:val="20"/>
          <w:szCs w:val="20"/>
          <w:lang w:val="en-US"/>
        </w:rPr>
        <w:t>Christman</w:t>
      </w:r>
      <w:proofErr w:type="spellEnd"/>
      <w:r>
        <w:rPr>
          <w:sz w:val="20"/>
          <w:szCs w:val="20"/>
          <w:lang w:val="en-US"/>
        </w:rPr>
        <w:t xml:space="preserve">, D., Logan, J., Smith, M., Sachs, H., </w:t>
      </w:r>
      <w:proofErr w:type="spellStart"/>
      <w:r>
        <w:rPr>
          <w:sz w:val="20"/>
          <w:szCs w:val="20"/>
          <w:lang w:val="en-US"/>
        </w:rPr>
        <w:t>Aquilonius</w:t>
      </w:r>
      <w:proofErr w:type="spellEnd"/>
      <w:r>
        <w:rPr>
          <w:sz w:val="20"/>
          <w:szCs w:val="20"/>
          <w:lang w:val="en-US"/>
        </w:rPr>
        <w:t xml:space="preserve">, S.M., </w:t>
      </w:r>
      <w:proofErr w:type="spellStart"/>
      <w:r>
        <w:rPr>
          <w:sz w:val="20"/>
          <w:szCs w:val="20"/>
          <w:lang w:val="en-US"/>
        </w:rPr>
        <w:t>Bjurling</w:t>
      </w:r>
      <w:proofErr w:type="spellEnd"/>
      <w:r>
        <w:rPr>
          <w:sz w:val="20"/>
          <w:szCs w:val="20"/>
          <w:lang w:val="en-US"/>
        </w:rPr>
        <w:t xml:space="preserve">, P., </w:t>
      </w:r>
      <w:proofErr w:type="spellStart"/>
      <w:r>
        <w:rPr>
          <w:sz w:val="20"/>
          <w:szCs w:val="20"/>
          <w:lang w:val="en-US"/>
        </w:rPr>
        <w:t>Halldin</w:t>
      </w:r>
      <w:proofErr w:type="spellEnd"/>
      <w:r>
        <w:rPr>
          <w:sz w:val="20"/>
          <w:szCs w:val="20"/>
          <w:lang w:val="en-US"/>
        </w:rPr>
        <w:t xml:space="preserve">, C., </w:t>
      </w:r>
      <w:proofErr w:type="spellStart"/>
      <w:r>
        <w:rPr>
          <w:sz w:val="20"/>
          <w:szCs w:val="20"/>
          <w:lang w:val="en-US"/>
        </w:rPr>
        <w:t>Hartvig</w:t>
      </w:r>
      <w:proofErr w:type="spellEnd"/>
      <w:r>
        <w:rPr>
          <w:sz w:val="20"/>
          <w:szCs w:val="20"/>
          <w:lang w:val="en-US"/>
        </w:rPr>
        <w:t xml:space="preserve">, P., </w:t>
      </w:r>
      <w:proofErr w:type="spellStart"/>
      <w:r>
        <w:rPr>
          <w:sz w:val="20"/>
          <w:szCs w:val="20"/>
          <w:lang w:val="en-US"/>
        </w:rPr>
        <w:t>Leenders</w:t>
      </w:r>
      <w:proofErr w:type="spellEnd"/>
      <w:r>
        <w:rPr>
          <w:sz w:val="20"/>
          <w:szCs w:val="20"/>
          <w:lang w:val="en-US"/>
        </w:rPr>
        <w:t xml:space="preserve">, K.L., Lundqvist, H., Oreland, L., </w:t>
      </w:r>
      <w:proofErr w:type="spellStart"/>
      <w:r>
        <w:rPr>
          <w:sz w:val="20"/>
          <w:szCs w:val="20"/>
          <w:lang w:val="en-US"/>
        </w:rPr>
        <w:t>Stalnacke</w:t>
      </w:r>
      <w:proofErr w:type="spellEnd"/>
      <w:r>
        <w:rPr>
          <w:sz w:val="20"/>
          <w:szCs w:val="20"/>
          <w:lang w:val="en-US"/>
        </w:rPr>
        <w:t>, C-G., Lang-Strom, B., 1987. Mapping human brain monoamine oxidase A and B with 11C-labeled suicide inactivators and PET. Science 235, 481-485.</w:t>
      </w:r>
    </w:p>
    <w:p w:rsidR="00352A2A" w:rsidRPr="00B26E04" w:rsidRDefault="0096787B" w:rsidP="00113B97">
      <w:pPr>
        <w:spacing w:after="120" w:line="480" w:lineRule="auto"/>
        <w:rPr>
          <w:sz w:val="20"/>
          <w:szCs w:val="20"/>
          <w:lang w:val="en-US"/>
        </w:rPr>
      </w:pPr>
      <w:r>
        <w:rPr>
          <w:sz w:val="20"/>
          <w:szCs w:val="20"/>
          <w:lang w:val="en-US"/>
        </w:rPr>
        <w:t xml:space="preserve">Fraga, M.F., </w:t>
      </w:r>
      <w:proofErr w:type="spellStart"/>
      <w:r>
        <w:rPr>
          <w:sz w:val="20"/>
          <w:szCs w:val="20"/>
          <w:lang w:val="en-US"/>
        </w:rPr>
        <w:t>Ballestar</w:t>
      </w:r>
      <w:proofErr w:type="spellEnd"/>
      <w:r>
        <w:rPr>
          <w:sz w:val="20"/>
          <w:szCs w:val="20"/>
          <w:lang w:val="en-US"/>
        </w:rPr>
        <w:t xml:space="preserve">, E., Paz, M.F., </w:t>
      </w:r>
      <w:proofErr w:type="spellStart"/>
      <w:r>
        <w:rPr>
          <w:sz w:val="20"/>
          <w:szCs w:val="20"/>
          <w:lang w:val="en-US"/>
        </w:rPr>
        <w:t>Ropero</w:t>
      </w:r>
      <w:proofErr w:type="spellEnd"/>
      <w:r>
        <w:rPr>
          <w:sz w:val="20"/>
          <w:szCs w:val="20"/>
          <w:lang w:val="en-US"/>
        </w:rPr>
        <w:t xml:space="preserve">, S., </w:t>
      </w:r>
      <w:proofErr w:type="spellStart"/>
      <w:r>
        <w:rPr>
          <w:sz w:val="20"/>
          <w:szCs w:val="20"/>
          <w:lang w:val="en-US"/>
        </w:rPr>
        <w:t>Setien</w:t>
      </w:r>
      <w:proofErr w:type="spellEnd"/>
      <w:r>
        <w:rPr>
          <w:sz w:val="20"/>
          <w:szCs w:val="20"/>
          <w:lang w:val="en-US"/>
        </w:rPr>
        <w:t xml:space="preserve">, F., </w:t>
      </w:r>
      <w:proofErr w:type="spellStart"/>
      <w:r>
        <w:rPr>
          <w:sz w:val="20"/>
          <w:szCs w:val="20"/>
          <w:lang w:val="en-US"/>
        </w:rPr>
        <w:t>Ballestar</w:t>
      </w:r>
      <w:proofErr w:type="spellEnd"/>
      <w:r>
        <w:rPr>
          <w:sz w:val="20"/>
          <w:szCs w:val="20"/>
          <w:lang w:val="en-US"/>
        </w:rPr>
        <w:t>, M.L., Heine-</w:t>
      </w:r>
      <w:proofErr w:type="spellStart"/>
      <w:r>
        <w:rPr>
          <w:sz w:val="20"/>
          <w:szCs w:val="20"/>
          <w:lang w:val="en-US"/>
        </w:rPr>
        <w:t>Suñer</w:t>
      </w:r>
      <w:proofErr w:type="spellEnd"/>
      <w:r>
        <w:rPr>
          <w:sz w:val="20"/>
          <w:szCs w:val="20"/>
          <w:lang w:val="en-US"/>
        </w:rPr>
        <w:t xml:space="preserve">, D., </w:t>
      </w:r>
      <w:proofErr w:type="spellStart"/>
      <w:r>
        <w:rPr>
          <w:sz w:val="20"/>
          <w:szCs w:val="20"/>
          <w:lang w:val="en-US"/>
        </w:rPr>
        <w:t>Cigudosa</w:t>
      </w:r>
      <w:proofErr w:type="spellEnd"/>
      <w:r>
        <w:rPr>
          <w:sz w:val="20"/>
          <w:szCs w:val="20"/>
          <w:lang w:val="en-US"/>
        </w:rPr>
        <w:t xml:space="preserve">, J.C., </w:t>
      </w:r>
      <w:proofErr w:type="spellStart"/>
      <w:r>
        <w:rPr>
          <w:sz w:val="20"/>
          <w:szCs w:val="20"/>
          <w:lang w:val="en-US"/>
        </w:rPr>
        <w:t>Urioste</w:t>
      </w:r>
      <w:proofErr w:type="spellEnd"/>
      <w:r>
        <w:rPr>
          <w:sz w:val="20"/>
          <w:szCs w:val="20"/>
          <w:lang w:val="en-US"/>
        </w:rPr>
        <w:t xml:space="preserve">, M., Benitez, J., </w:t>
      </w:r>
      <w:proofErr w:type="spellStart"/>
      <w:r>
        <w:rPr>
          <w:sz w:val="20"/>
          <w:szCs w:val="20"/>
          <w:lang w:val="en-US"/>
        </w:rPr>
        <w:t>Boix-Chornet</w:t>
      </w:r>
      <w:proofErr w:type="spellEnd"/>
      <w:r>
        <w:rPr>
          <w:sz w:val="20"/>
          <w:szCs w:val="20"/>
          <w:lang w:val="en-US"/>
        </w:rPr>
        <w:t xml:space="preserve">, M., Sanchez-Aguilera, A., Ling, C., Carlsson, E., Poulsen, P., </w:t>
      </w:r>
      <w:proofErr w:type="spellStart"/>
      <w:r>
        <w:rPr>
          <w:sz w:val="20"/>
          <w:szCs w:val="20"/>
          <w:lang w:val="en-US"/>
        </w:rPr>
        <w:t>Vaag</w:t>
      </w:r>
      <w:proofErr w:type="spellEnd"/>
      <w:r>
        <w:rPr>
          <w:sz w:val="20"/>
          <w:szCs w:val="20"/>
          <w:lang w:val="en-US"/>
        </w:rPr>
        <w:t xml:space="preserve">, A., Stephan, Z., Spector, T.D., Wu, Y.Z., </w:t>
      </w:r>
      <w:proofErr w:type="spellStart"/>
      <w:r>
        <w:rPr>
          <w:sz w:val="20"/>
          <w:szCs w:val="20"/>
          <w:lang w:val="en-US"/>
        </w:rPr>
        <w:t>Plass</w:t>
      </w:r>
      <w:proofErr w:type="spellEnd"/>
      <w:r>
        <w:rPr>
          <w:sz w:val="20"/>
          <w:szCs w:val="20"/>
          <w:lang w:val="en-US"/>
        </w:rPr>
        <w:t xml:space="preserve">, C., </w:t>
      </w:r>
      <w:proofErr w:type="spellStart"/>
      <w:r>
        <w:rPr>
          <w:sz w:val="20"/>
          <w:szCs w:val="20"/>
          <w:lang w:val="en-US"/>
        </w:rPr>
        <w:t>Esteller</w:t>
      </w:r>
      <w:proofErr w:type="spellEnd"/>
      <w:r>
        <w:rPr>
          <w:sz w:val="20"/>
          <w:szCs w:val="20"/>
          <w:lang w:val="en-US"/>
        </w:rPr>
        <w:t>, M., 2005. Epigenetic differences arise during the lifetime of monozygotic twins. Proc. Natl. Acad. Sci. U. S. A. 102, 10604-10609.</w:t>
      </w:r>
    </w:p>
    <w:p w:rsidR="00352A2A" w:rsidRPr="00B26E04" w:rsidRDefault="0096787B" w:rsidP="00113B97">
      <w:pPr>
        <w:spacing w:after="120" w:line="480" w:lineRule="auto"/>
        <w:rPr>
          <w:sz w:val="20"/>
          <w:szCs w:val="20"/>
          <w:lang w:val="en-US"/>
        </w:rPr>
      </w:pPr>
      <w:proofErr w:type="spellStart"/>
      <w:r>
        <w:rPr>
          <w:sz w:val="20"/>
          <w:szCs w:val="20"/>
          <w:lang w:val="en-US"/>
        </w:rPr>
        <w:lastRenderedPageBreak/>
        <w:t>Frankle</w:t>
      </w:r>
      <w:proofErr w:type="spellEnd"/>
      <w:r>
        <w:rPr>
          <w:sz w:val="20"/>
          <w:szCs w:val="20"/>
          <w:lang w:val="en-US"/>
        </w:rPr>
        <w:t xml:space="preserve">, W.G., Lombardo, I., New, A.S., Goodman, M., Talbot, P.S., Huang, Y., Hwang, D.R., </w:t>
      </w:r>
      <w:proofErr w:type="spellStart"/>
      <w:r>
        <w:rPr>
          <w:sz w:val="20"/>
          <w:szCs w:val="20"/>
          <w:lang w:val="en-US"/>
        </w:rPr>
        <w:t>Slifstein</w:t>
      </w:r>
      <w:proofErr w:type="spellEnd"/>
      <w:r>
        <w:rPr>
          <w:sz w:val="20"/>
          <w:szCs w:val="20"/>
          <w:lang w:val="en-US"/>
        </w:rPr>
        <w:t>, M., Curry, S., Abi-</w:t>
      </w:r>
      <w:proofErr w:type="spellStart"/>
      <w:r>
        <w:rPr>
          <w:sz w:val="20"/>
          <w:szCs w:val="20"/>
          <w:lang w:val="en-US"/>
        </w:rPr>
        <w:t>Dargham</w:t>
      </w:r>
      <w:proofErr w:type="spellEnd"/>
      <w:r>
        <w:rPr>
          <w:sz w:val="20"/>
          <w:szCs w:val="20"/>
          <w:lang w:val="en-US"/>
        </w:rPr>
        <w:t xml:space="preserve">, A., </w:t>
      </w:r>
      <w:proofErr w:type="spellStart"/>
      <w:r>
        <w:rPr>
          <w:sz w:val="20"/>
          <w:szCs w:val="20"/>
          <w:lang w:val="en-US"/>
        </w:rPr>
        <w:t>Laruelle</w:t>
      </w:r>
      <w:proofErr w:type="spellEnd"/>
      <w:r>
        <w:rPr>
          <w:sz w:val="20"/>
          <w:szCs w:val="20"/>
          <w:lang w:val="en-US"/>
        </w:rPr>
        <w:t xml:space="preserve">, M., </w:t>
      </w:r>
      <w:proofErr w:type="spellStart"/>
      <w:r>
        <w:rPr>
          <w:sz w:val="20"/>
          <w:szCs w:val="20"/>
          <w:lang w:val="en-US"/>
        </w:rPr>
        <w:t>Siever</w:t>
      </w:r>
      <w:proofErr w:type="spellEnd"/>
      <w:r>
        <w:rPr>
          <w:sz w:val="20"/>
          <w:szCs w:val="20"/>
          <w:lang w:val="en-US"/>
        </w:rPr>
        <w:t>, L.J., 2005. Brain serotonin transporter distribution in subjects with impulsive aggressivity: a positron emission study with [11C]</w:t>
      </w:r>
      <w:proofErr w:type="spellStart"/>
      <w:r>
        <w:rPr>
          <w:sz w:val="20"/>
          <w:szCs w:val="20"/>
          <w:lang w:val="en-US"/>
        </w:rPr>
        <w:t>McN</w:t>
      </w:r>
      <w:proofErr w:type="spellEnd"/>
      <w:r>
        <w:rPr>
          <w:sz w:val="20"/>
          <w:szCs w:val="20"/>
          <w:lang w:val="en-US"/>
        </w:rPr>
        <w:t xml:space="preserve"> 5652. Am. J. Psychiatry 162, 915-923.</w:t>
      </w:r>
    </w:p>
    <w:p w:rsidR="00352A2A" w:rsidRPr="00B26E04" w:rsidRDefault="0096787B" w:rsidP="00113B97">
      <w:pPr>
        <w:spacing w:after="120" w:line="480" w:lineRule="auto"/>
        <w:rPr>
          <w:sz w:val="20"/>
          <w:szCs w:val="20"/>
          <w:lang w:val="en-US"/>
        </w:rPr>
      </w:pPr>
      <w:r>
        <w:rPr>
          <w:sz w:val="20"/>
          <w:szCs w:val="20"/>
          <w:lang w:val="en-US"/>
        </w:rPr>
        <w:t xml:space="preserve">Frazer, A., </w:t>
      </w:r>
      <w:proofErr w:type="spellStart"/>
      <w:r>
        <w:rPr>
          <w:sz w:val="20"/>
          <w:szCs w:val="20"/>
          <w:lang w:val="en-US"/>
        </w:rPr>
        <w:t>Hensler</w:t>
      </w:r>
      <w:proofErr w:type="spellEnd"/>
      <w:r>
        <w:rPr>
          <w:sz w:val="20"/>
          <w:szCs w:val="20"/>
          <w:lang w:val="en-US"/>
        </w:rPr>
        <w:t xml:space="preserve">, J.G., 1999. Serotonin Involvement in Physiological Function and Behavior, in: Siegel, G.J., </w:t>
      </w:r>
      <w:proofErr w:type="spellStart"/>
      <w:r>
        <w:rPr>
          <w:sz w:val="20"/>
          <w:szCs w:val="20"/>
          <w:lang w:val="en-US"/>
        </w:rPr>
        <w:t>Agranoff</w:t>
      </w:r>
      <w:proofErr w:type="spellEnd"/>
      <w:r>
        <w:rPr>
          <w:sz w:val="20"/>
          <w:szCs w:val="20"/>
          <w:lang w:val="en-US"/>
        </w:rPr>
        <w:t xml:space="preserve">, B.W., Albers, R.W., Fisher, S.K., </w:t>
      </w:r>
      <w:proofErr w:type="spellStart"/>
      <w:r>
        <w:rPr>
          <w:sz w:val="20"/>
          <w:szCs w:val="20"/>
          <w:lang w:val="en-US"/>
        </w:rPr>
        <w:t>Uhler</w:t>
      </w:r>
      <w:proofErr w:type="spellEnd"/>
      <w:r>
        <w:rPr>
          <w:sz w:val="20"/>
          <w:szCs w:val="20"/>
          <w:lang w:val="en-US"/>
        </w:rPr>
        <w:t>. M.D. (Eds.), Basic Neurochemistry: Molecular, Cellular and Medical Aspects. 6th edition. Lippincott-Raven: Philadelphia.</w:t>
      </w:r>
    </w:p>
    <w:p w:rsidR="00352A2A" w:rsidRPr="00B26E04" w:rsidRDefault="0096787B" w:rsidP="00113B97">
      <w:pPr>
        <w:spacing w:after="120" w:line="480" w:lineRule="auto"/>
        <w:rPr>
          <w:sz w:val="20"/>
          <w:szCs w:val="20"/>
          <w:lang w:val="en-US"/>
        </w:rPr>
      </w:pPr>
      <w:proofErr w:type="spellStart"/>
      <w:r>
        <w:rPr>
          <w:sz w:val="20"/>
          <w:szCs w:val="20"/>
          <w:lang w:val="en-US"/>
        </w:rPr>
        <w:t>Freckelton</w:t>
      </w:r>
      <w:proofErr w:type="spellEnd"/>
      <w:r>
        <w:rPr>
          <w:sz w:val="20"/>
          <w:szCs w:val="20"/>
          <w:lang w:val="en-US"/>
        </w:rPr>
        <w:t xml:space="preserve">, I., 2013. Autism spectrum disorder: forensic issues and challenges for mental health professionals and courts. J. Appl. Res. Intellect. </w:t>
      </w:r>
      <w:proofErr w:type="spellStart"/>
      <w:r>
        <w:rPr>
          <w:sz w:val="20"/>
          <w:szCs w:val="20"/>
          <w:lang w:val="en-US"/>
        </w:rPr>
        <w:t>Disabil</w:t>
      </w:r>
      <w:proofErr w:type="spellEnd"/>
      <w:r>
        <w:rPr>
          <w:sz w:val="20"/>
          <w:szCs w:val="20"/>
          <w:lang w:val="en-US"/>
        </w:rPr>
        <w:t>. 26, 420-434.</w:t>
      </w:r>
    </w:p>
    <w:p w:rsidR="00352A2A" w:rsidRPr="00B26E04" w:rsidRDefault="0096787B" w:rsidP="00113B97">
      <w:pPr>
        <w:spacing w:after="120" w:line="480" w:lineRule="auto"/>
        <w:rPr>
          <w:sz w:val="20"/>
          <w:szCs w:val="20"/>
          <w:lang w:val="en-US"/>
        </w:rPr>
      </w:pPr>
      <w:proofErr w:type="spellStart"/>
      <w:r>
        <w:rPr>
          <w:sz w:val="20"/>
          <w:szCs w:val="20"/>
          <w:lang w:val="en-US"/>
        </w:rPr>
        <w:t>Fumagalli</w:t>
      </w:r>
      <w:proofErr w:type="spellEnd"/>
      <w:r>
        <w:rPr>
          <w:sz w:val="20"/>
          <w:szCs w:val="20"/>
          <w:lang w:val="en-US"/>
        </w:rPr>
        <w:t>, M., Priori, A., 2012. Functional and clinical neuroanatomy of morality. Brain 135, 2006-2021.</w:t>
      </w:r>
    </w:p>
    <w:p w:rsidR="00352A2A" w:rsidRPr="00B26E04" w:rsidRDefault="0096787B" w:rsidP="00113B97">
      <w:pPr>
        <w:spacing w:after="120" w:line="480" w:lineRule="auto"/>
        <w:rPr>
          <w:sz w:val="20"/>
          <w:szCs w:val="20"/>
          <w:lang w:val="en-US"/>
        </w:rPr>
      </w:pPr>
      <w:proofErr w:type="spellStart"/>
      <w:r>
        <w:rPr>
          <w:sz w:val="20"/>
          <w:szCs w:val="20"/>
          <w:lang w:val="en-US"/>
        </w:rPr>
        <w:t>Fuxe</w:t>
      </w:r>
      <w:proofErr w:type="spellEnd"/>
      <w:r>
        <w:rPr>
          <w:sz w:val="20"/>
          <w:szCs w:val="20"/>
          <w:lang w:val="en-US"/>
        </w:rPr>
        <w:t xml:space="preserve">, K., </w:t>
      </w:r>
      <w:proofErr w:type="spellStart"/>
      <w:r>
        <w:rPr>
          <w:sz w:val="20"/>
          <w:szCs w:val="20"/>
          <w:lang w:val="en-US"/>
        </w:rPr>
        <w:t>Agnati</w:t>
      </w:r>
      <w:proofErr w:type="spellEnd"/>
      <w:r>
        <w:rPr>
          <w:sz w:val="20"/>
          <w:szCs w:val="20"/>
          <w:lang w:val="en-US"/>
        </w:rPr>
        <w:t xml:space="preserve">, L.F., Kalia, M., Goldstein, M., Andersson, K., </w:t>
      </w:r>
      <w:proofErr w:type="spellStart"/>
      <w:r>
        <w:rPr>
          <w:sz w:val="20"/>
          <w:szCs w:val="20"/>
          <w:lang w:val="en-US"/>
        </w:rPr>
        <w:t>Härfstrand</w:t>
      </w:r>
      <w:proofErr w:type="spellEnd"/>
      <w:r>
        <w:rPr>
          <w:sz w:val="20"/>
          <w:szCs w:val="20"/>
          <w:lang w:val="en-US"/>
        </w:rPr>
        <w:t xml:space="preserve">, A., 1985. Dopaminergic systems in the brain and pituitary, chapter in: Weil, C., Müller, E.E., </w:t>
      </w:r>
      <w:proofErr w:type="spellStart"/>
      <w:r>
        <w:rPr>
          <w:sz w:val="20"/>
          <w:szCs w:val="20"/>
          <w:lang w:val="en-US"/>
        </w:rPr>
        <w:t>Thorner</w:t>
      </w:r>
      <w:proofErr w:type="spellEnd"/>
      <w:r>
        <w:rPr>
          <w:sz w:val="20"/>
          <w:szCs w:val="20"/>
          <w:lang w:val="en-US"/>
        </w:rPr>
        <w:t>, M.O. (Eds.), "The Dopaminergic System", Basic and Clinical Aspects of Neuroscience series. Springer: Berlin Heidelberg, pp. 11-25.</w:t>
      </w:r>
    </w:p>
    <w:p w:rsidR="003364F8" w:rsidRPr="00B26E04" w:rsidRDefault="0096787B" w:rsidP="00113B97">
      <w:pPr>
        <w:spacing w:after="120" w:line="480" w:lineRule="auto"/>
        <w:rPr>
          <w:sz w:val="20"/>
          <w:szCs w:val="20"/>
          <w:lang w:val="en-US"/>
        </w:rPr>
      </w:pPr>
      <w:proofErr w:type="spellStart"/>
      <w:r>
        <w:rPr>
          <w:sz w:val="20"/>
          <w:szCs w:val="20"/>
          <w:lang w:val="en-US"/>
        </w:rPr>
        <w:t>Giancola</w:t>
      </w:r>
      <w:proofErr w:type="spellEnd"/>
      <w:r>
        <w:rPr>
          <w:sz w:val="20"/>
          <w:szCs w:val="20"/>
          <w:lang w:val="en-US"/>
        </w:rPr>
        <w:t xml:space="preserve">, P.R., Levinson, C.A., Corman, M.D., </w:t>
      </w:r>
      <w:proofErr w:type="spellStart"/>
      <w:r>
        <w:rPr>
          <w:sz w:val="20"/>
          <w:szCs w:val="20"/>
          <w:lang w:val="en-US"/>
        </w:rPr>
        <w:t>Godlaski</w:t>
      </w:r>
      <w:proofErr w:type="spellEnd"/>
      <w:r>
        <w:rPr>
          <w:sz w:val="20"/>
          <w:szCs w:val="20"/>
          <w:lang w:val="en-US"/>
        </w:rPr>
        <w:t xml:space="preserve">, A.J., Morris, D.H., Phillips, J.P., Holt, J.C., 2009. Men and women, alcohol and aggression. Exp. Clin. </w:t>
      </w:r>
      <w:proofErr w:type="spellStart"/>
      <w:r>
        <w:rPr>
          <w:sz w:val="20"/>
          <w:szCs w:val="20"/>
          <w:lang w:val="en-US"/>
        </w:rPr>
        <w:t>Psychopharmacol</w:t>
      </w:r>
      <w:proofErr w:type="spellEnd"/>
      <w:r>
        <w:rPr>
          <w:sz w:val="20"/>
          <w:szCs w:val="20"/>
          <w:lang w:val="en-US"/>
        </w:rPr>
        <w:t>. 17, 154-164.</w:t>
      </w:r>
    </w:p>
    <w:p w:rsidR="00922A0D" w:rsidRPr="00B26E04" w:rsidRDefault="0096787B" w:rsidP="00113B97">
      <w:pPr>
        <w:spacing w:after="120" w:line="480" w:lineRule="auto"/>
        <w:rPr>
          <w:sz w:val="20"/>
          <w:szCs w:val="20"/>
          <w:lang w:val="en-US"/>
        </w:rPr>
      </w:pPr>
      <w:proofErr w:type="spellStart"/>
      <w:r>
        <w:rPr>
          <w:sz w:val="20"/>
          <w:szCs w:val="20"/>
          <w:lang w:val="en-US"/>
        </w:rPr>
        <w:t>Geissberger</w:t>
      </w:r>
      <w:proofErr w:type="spellEnd"/>
      <w:r>
        <w:rPr>
          <w:sz w:val="20"/>
          <w:szCs w:val="20"/>
          <w:lang w:val="en-US"/>
        </w:rPr>
        <w:t xml:space="preserve">, N., </w:t>
      </w:r>
      <w:proofErr w:type="spellStart"/>
      <w:r>
        <w:rPr>
          <w:sz w:val="20"/>
          <w:szCs w:val="20"/>
          <w:lang w:val="en-US"/>
        </w:rPr>
        <w:t>Tik</w:t>
      </w:r>
      <w:proofErr w:type="spellEnd"/>
      <w:r>
        <w:rPr>
          <w:sz w:val="20"/>
          <w:szCs w:val="20"/>
          <w:lang w:val="en-US"/>
        </w:rPr>
        <w:t xml:space="preserve">, M., </w:t>
      </w:r>
      <w:proofErr w:type="spellStart"/>
      <w:r>
        <w:rPr>
          <w:sz w:val="20"/>
          <w:szCs w:val="20"/>
          <w:lang w:val="en-US"/>
        </w:rPr>
        <w:t>Sladky</w:t>
      </w:r>
      <w:proofErr w:type="spellEnd"/>
      <w:r>
        <w:rPr>
          <w:sz w:val="20"/>
          <w:szCs w:val="20"/>
          <w:lang w:val="en-US"/>
        </w:rPr>
        <w:t xml:space="preserve">, R., </w:t>
      </w:r>
      <w:proofErr w:type="spellStart"/>
      <w:r>
        <w:rPr>
          <w:sz w:val="20"/>
          <w:szCs w:val="20"/>
          <w:lang w:val="en-US"/>
        </w:rPr>
        <w:t>Woletz</w:t>
      </w:r>
      <w:proofErr w:type="spellEnd"/>
      <w:r>
        <w:rPr>
          <w:sz w:val="20"/>
          <w:szCs w:val="20"/>
          <w:lang w:val="en-US"/>
        </w:rPr>
        <w:t xml:space="preserve">, M., Schuler, A.L., Willinger, D., </w:t>
      </w:r>
      <w:proofErr w:type="spellStart"/>
      <w:r>
        <w:rPr>
          <w:sz w:val="20"/>
          <w:szCs w:val="20"/>
          <w:lang w:val="en-US"/>
        </w:rPr>
        <w:t>Windischberger</w:t>
      </w:r>
      <w:proofErr w:type="spellEnd"/>
      <w:r>
        <w:rPr>
          <w:sz w:val="20"/>
          <w:szCs w:val="20"/>
          <w:lang w:val="en-US"/>
        </w:rPr>
        <w:t>, C., 2020. Reproducibility of amygdala activation in facial emotion processing at 7T. Neuroimage. 211, 116585.</w:t>
      </w:r>
    </w:p>
    <w:p w:rsidR="00352A2A" w:rsidRPr="00B26E04" w:rsidRDefault="0096787B" w:rsidP="00113B97">
      <w:pPr>
        <w:spacing w:after="120" w:line="480" w:lineRule="auto"/>
        <w:rPr>
          <w:sz w:val="20"/>
          <w:szCs w:val="20"/>
          <w:lang w:val="en-US"/>
        </w:rPr>
      </w:pPr>
      <w:r>
        <w:rPr>
          <w:sz w:val="20"/>
          <w:szCs w:val="20"/>
          <w:lang w:val="en-US"/>
        </w:rPr>
        <w:t xml:space="preserve">George, D.T., Rawlings, R.R., Williams, W.A., Phillips, M.J., Fong, G., </w:t>
      </w:r>
      <w:proofErr w:type="spellStart"/>
      <w:r>
        <w:rPr>
          <w:sz w:val="20"/>
          <w:szCs w:val="20"/>
          <w:lang w:val="en-US"/>
        </w:rPr>
        <w:t>Kerich</w:t>
      </w:r>
      <w:proofErr w:type="spellEnd"/>
      <w:r>
        <w:rPr>
          <w:sz w:val="20"/>
          <w:szCs w:val="20"/>
          <w:lang w:val="en-US"/>
        </w:rPr>
        <w:t xml:space="preserve">, M., </w:t>
      </w:r>
      <w:proofErr w:type="spellStart"/>
      <w:r>
        <w:rPr>
          <w:sz w:val="20"/>
          <w:szCs w:val="20"/>
          <w:lang w:val="en-US"/>
        </w:rPr>
        <w:t>Momenan</w:t>
      </w:r>
      <w:proofErr w:type="spellEnd"/>
      <w:r>
        <w:rPr>
          <w:sz w:val="20"/>
          <w:szCs w:val="20"/>
          <w:lang w:val="en-US"/>
        </w:rPr>
        <w:t xml:space="preserve">, R., </w:t>
      </w:r>
      <w:proofErr w:type="spellStart"/>
      <w:r>
        <w:rPr>
          <w:sz w:val="20"/>
          <w:szCs w:val="20"/>
          <w:lang w:val="en-US"/>
        </w:rPr>
        <w:t>Umhau</w:t>
      </w:r>
      <w:proofErr w:type="spellEnd"/>
      <w:r>
        <w:rPr>
          <w:sz w:val="20"/>
          <w:szCs w:val="20"/>
          <w:lang w:val="en-US"/>
        </w:rPr>
        <w:t xml:space="preserve">, J.C., </w:t>
      </w:r>
      <w:proofErr w:type="spellStart"/>
      <w:r>
        <w:rPr>
          <w:sz w:val="20"/>
          <w:szCs w:val="20"/>
          <w:lang w:val="en-US"/>
        </w:rPr>
        <w:t>Hommer</w:t>
      </w:r>
      <w:proofErr w:type="spellEnd"/>
      <w:r>
        <w:rPr>
          <w:sz w:val="20"/>
          <w:szCs w:val="20"/>
          <w:lang w:val="en-US"/>
        </w:rPr>
        <w:t>, D., 2004. A select group of perpetrators of domestic violence: evidence of decreased metabolism in the right hypothalamus and reduced relationships between cortical/subcortical brain structures in position emission tomography. Psychiatry Res. 130, 11-25.</w:t>
      </w:r>
    </w:p>
    <w:p w:rsidR="00352A2A" w:rsidRPr="00B26E04" w:rsidRDefault="0096787B" w:rsidP="00113B97">
      <w:pPr>
        <w:spacing w:after="120" w:line="480" w:lineRule="auto"/>
        <w:rPr>
          <w:sz w:val="20"/>
          <w:szCs w:val="20"/>
          <w:lang w:val="en-US"/>
        </w:rPr>
      </w:pPr>
      <w:r>
        <w:rPr>
          <w:sz w:val="20"/>
          <w:szCs w:val="20"/>
          <w:lang w:val="en-US"/>
        </w:rPr>
        <w:t xml:space="preserve">George, D.T., Phillips, M.J., Doty, L., </w:t>
      </w:r>
      <w:proofErr w:type="spellStart"/>
      <w:r>
        <w:rPr>
          <w:sz w:val="20"/>
          <w:szCs w:val="20"/>
          <w:lang w:val="en-US"/>
        </w:rPr>
        <w:t>Umhau</w:t>
      </w:r>
      <w:proofErr w:type="spellEnd"/>
      <w:r>
        <w:rPr>
          <w:sz w:val="20"/>
          <w:szCs w:val="20"/>
          <w:lang w:val="en-US"/>
        </w:rPr>
        <w:t>, J.C., Rawlings, R.R., 2006. A model linking biology, behavior and psychiatric diagnoses in perpetrators of domestic violence. Med. Hypotheses 67, 345-353.</w:t>
      </w:r>
    </w:p>
    <w:p w:rsidR="00352A2A" w:rsidRPr="00B26E04" w:rsidRDefault="0096787B" w:rsidP="00113B97">
      <w:pPr>
        <w:spacing w:after="120" w:line="480" w:lineRule="auto"/>
        <w:rPr>
          <w:sz w:val="20"/>
          <w:szCs w:val="20"/>
          <w:lang w:val="en-US"/>
        </w:rPr>
      </w:pPr>
      <w:proofErr w:type="spellStart"/>
      <w:r>
        <w:rPr>
          <w:sz w:val="20"/>
          <w:szCs w:val="20"/>
          <w:lang w:val="en-US"/>
        </w:rPr>
        <w:t>Ginovart</w:t>
      </w:r>
      <w:proofErr w:type="spellEnd"/>
      <w:r>
        <w:rPr>
          <w:sz w:val="20"/>
          <w:szCs w:val="20"/>
          <w:lang w:val="en-US"/>
        </w:rPr>
        <w:t xml:space="preserve">, N., Meyer, J.H., </w:t>
      </w:r>
      <w:proofErr w:type="spellStart"/>
      <w:r>
        <w:rPr>
          <w:sz w:val="20"/>
          <w:szCs w:val="20"/>
          <w:lang w:val="en-US"/>
        </w:rPr>
        <w:t>Boovariwala</w:t>
      </w:r>
      <w:proofErr w:type="spellEnd"/>
      <w:r>
        <w:rPr>
          <w:sz w:val="20"/>
          <w:szCs w:val="20"/>
          <w:lang w:val="en-US"/>
        </w:rPr>
        <w:t xml:space="preserve">, A., Hussey, D., </w:t>
      </w:r>
      <w:proofErr w:type="spellStart"/>
      <w:r>
        <w:rPr>
          <w:sz w:val="20"/>
          <w:szCs w:val="20"/>
          <w:lang w:val="en-US"/>
        </w:rPr>
        <w:t>Rabiner</w:t>
      </w:r>
      <w:proofErr w:type="spellEnd"/>
      <w:r>
        <w:rPr>
          <w:sz w:val="20"/>
          <w:szCs w:val="20"/>
          <w:lang w:val="en-US"/>
        </w:rPr>
        <w:t>, E.A., Houle, S., Wilson, A.A., 2006. Positron emission tomography quantification of [11C]-</w:t>
      </w:r>
      <w:proofErr w:type="spellStart"/>
      <w:r>
        <w:rPr>
          <w:sz w:val="20"/>
          <w:szCs w:val="20"/>
          <w:lang w:val="en-US"/>
        </w:rPr>
        <w:t>harmine</w:t>
      </w:r>
      <w:proofErr w:type="spellEnd"/>
      <w:r>
        <w:rPr>
          <w:sz w:val="20"/>
          <w:szCs w:val="20"/>
          <w:lang w:val="en-US"/>
        </w:rPr>
        <w:t xml:space="preserve"> binding to monoamine oxidase-A in the human brain. J. </w:t>
      </w:r>
      <w:proofErr w:type="spellStart"/>
      <w:r>
        <w:rPr>
          <w:sz w:val="20"/>
          <w:szCs w:val="20"/>
          <w:lang w:val="en-US"/>
        </w:rPr>
        <w:t>Cereb</w:t>
      </w:r>
      <w:proofErr w:type="spellEnd"/>
      <w:r>
        <w:rPr>
          <w:sz w:val="20"/>
          <w:szCs w:val="20"/>
          <w:lang w:val="en-US"/>
        </w:rPr>
        <w:t xml:space="preserve">. Blood Flow </w:t>
      </w:r>
      <w:proofErr w:type="spellStart"/>
      <w:r>
        <w:rPr>
          <w:sz w:val="20"/>
          <w:szCs w:val="20"/>
          <w:lang w:val="en-US"/>
        </w:rPr>
        <w:t>Metab</w:t>
      </w:r>
      <w:proofErr w:type="spellEnd"/>
      <w:r>
        <w:rPr>
          <w:sz w:val="20"/>
          <w:szCs w:val="20"/>
          <w:lang w:val="en-US"/>
        </w:rPr>
        <w:t>. 26, 330-344.</w:t>
      </w:r>
    </w:p>
    <w:p w:rsidR="00352A2A" w:rsidRPr="00B26E04" w:rsidRDefault="00352A2A" w:rsidP="00113B97">
      <w:pPr>
        <w:spacing w:after="120" w:line="480" w:lineRule="auto"/>
        <w:rPr>
          <w:sz w:val="20"/>
          <w:szCs w:val="20"/>
          <w:lang w:val="en-US"/>
        </w:rPr>
      </w:pPr>
      <w:proofErr w:type="spellStart"/>
      <w:r w:rsidRPr="00B26E04">
        <w:rPr>
          <w:sz w:val="20"/>
          <w:szCs w:val="20"/>
          <w:lang w:val="en-US"/>
        </w:rPr>
        <w:t>Godar</w:t>
      </w:r>
      <w:proofErr w:type="spellEnd"/>
      <w:r w:rsidRPr="00B26E04">
        <w:rPr>
          <w:sz w:val="20"/>
          <w:szCs w:val="20"/>
          <w:lang w:val="en-US"/>
        </w:rPr>
        <w:t xml:space="preserve">, S.C., </w:t>
      </w:r>
      <w:proofErr w:type="spellStart"/>
      <w:r w:rsidRPr="00B26E04">
        <w:rPr>
          <w:sz w:val="20"/>
          <w:szCs w:val="20"/>
          <w:lang w:val="en-US"/>
        </w:rPr>
        <w:t>Bortolato</w:t>
      </w:r>
      <w:proofErr w:type="spellEnd"/>
      <w:r w:rsidRPr="00B26E04">
        <w:rPr>
          <w:sz w:val="20"/>
          <w:szCs w:val="20"/>
          <w:lang w:val="en-US"/>
        </w:rPr>
        <w:t xml:space="preserve">, M., Castelli, M.P., </w:t>
      </w:r>
      <w:proofErr w:type="spellStart"/>
      <w:r w:rsidRPr="00B26E04">
        <w:rPr>
          <w:sz w:val="20"/>
          <w:szCs w:val="20"/>
          <w:lang w:val="en-US"/>
        </w:rPr>
        <w:t>Casti</w:t>
      </w:r>
      <w:proofErr w:type="spellEnd"/>
      <w:r w:rsidRPr="00B26E04">
        <w:rPr>
          <w:sz w:val="20"/>
          <w:szCs w:val="20"/>
          <w:lang w:val="en-US"/>
        </w:rPr>
        <w:t xml:space="preserve">, A., </w:t>
      </w:r>
      <w:proofErr w:type="spellStart"/>
      <w:r w:rsidRPr="00B26E04">
        <w:rPr>
          <w:sz w:val="20"/>
          <w:szCs w:val="20"/>
          <w:lang w:val="en-US"/>
        </w:rPr>
        <w:t>Casu</w:t>
      </w:r>
      <w:proofErr w:type="spellEnd"/>
      <w:r w:rsidRPr="00B26E04">
        <w:rPr>
          <w:sz w:val="20"/>
          <w:szCs w:val="20"/>
          <w:lang w:val="en-US"/>
        </w:rPr>
        <w:t xml:space="preserve">, A., Chen, K., </w:t>
      </w:r>
      <w:proofErr w:type="spellStart"/>
      <w:r w:rsidRPr="00B26E04">
        <w:rPr>
          <w:sz w:val="20"/>
          <w:szCs w:val="20"/>
          <w:lang w:val="en-US"/>
        </w:rPr>
        <w:t>Ennas</w:t>
      </w:r>
      <w:proofErr w:type="spellEnd"/>
      <w:r w:rsidRPr="00B26E04">
        <w:rPr>
          <w:sz w:val="20"/>
          <w:szCs w:val="20"/>
          <w:lang w:val="en-US"/>
        </w:rPr>
        <w:t xml:space="preserve">, M.G., </w:t>
      </w:r>
      <w:proofErr w:type="spellStart"/>
      <w:r w:rsidRPr="00B26E04">
        <w:rPr>
          <w:sz w:val="20"/>
          <w:szCs w:val="20"/>
          <w:lang w:val="en-US"/>
        </w:rPr>
        <w:t>Tambaro</w:t>
      </w:r>
      <w:proofErr w:type="spellEnd"/>
      <w:r w:rsidRPr="00B26E04">
        <w:rPr>
          <w:sz w:val="20"/>
          <w:szCs w:val="20"/>
          <w:lang w:val="en-US"/>
        </w:rPr>
        <w:t>, S., Shih, J.C., 2014. The aggression and behavioral abnormalities associated with monoamine oxidase A deficiency are rescued by acute inhibition of serotonin reuptake. J</w:t>
      </w:r>
      <w:r w:rsidR="0096787B">
        <w:rPr>
          <w:sz w:val="20"/>
          <w:szCs w:val="20"/>
          <w:lang w:val="en-US"/>
        </w:rPr>
        <w:t xml:space="preserve">. </w:t>
      </w:r>
      <w:proofErr w:type="spellStart"/>
      <w:r w:rsidR="0096787B">
        <w:rPr>
          <w:sz w:val="20"/>
          <w:szCs w:val="20"/>
          <w:lang w:val="en-US"/>
        </w:rPr>
        <w:t>Psychiatr</w:t>
      </w:r>
      <w:proofErr w:type="spellEnd"/>
      <w:r w:rsidR="0096787B">
        <w:rPr>
          <w:sz w:val="20"/>
          <w:szCs w:val="20"/>
          <w:lang w:val="en-US"/>
        </w:rPr>
        <w:t>. Res. 56, 1-9.</w:t>
      </w:r>
    </w:p>
    <w:p w:rsidR="00761567" w:rsidRPr="00B26E04" w:rsidRDefault="00761567" w:rsidP="00113B97">
      <w:pPr>
        <w:spacing w:after="120" w:line="480" w:lineRule="auto"/>
        <w:rPr>
          <w:sz w:val="20"/>
          <w:szCs w:val="20"/>
          <w:lang w:val="en-US"/>
        </w:rPr>
      </w:pPr>
      <w:proofErr w:type="spellStart"/>
      <w:r w:rsidRPr="00B26E04">
        <w:rPr>
          <w:sz w:val="20"/>
          <w:szCs w:val="20"/>
          <w:lang w:val="en-US"/>
        </w:rPr>
        <w:lastRenderedPageBreak/>
        <w:t>Godar</w:t>
      </w:r>
      <w:proofErr w:type="spellEnd"/>
      <w:r w:rsidRPr="00B26E04">
        <w:rPr>
          <w:sz w:val="20"/>
          <w:szCs w:val="20"/>
          <w:lang w:val="en-US"/>
        </w:rPr>
        <w:t xml:space="preserve">, S.C., </w:t>
      </w:r>
      <w:proofErr w:type="spellStart"/>
      <w:r w:rsidRPr="00B26E04">
        <w:rPr>
          <w:sz w:val="20"/>
          <w:szCs w:val="20"/>
          <w:lang w:val="en-US"/>
        </w:rPr>
        <w:t>Fite</w:t>
      </w:r>
      <w:proofErr w:type="spellEnd"/>
      <w:r w:rsidRPr="00B26E04">
        <w:rPr>
          <w:sz w:val="20"/>
          <w:szCs w:val="20"/>
          <w:lang w:val="en-US"/>
        </w:rPr>
        <w:t xml:space="preserve">, P.J., McFarlin, K.M., </w:t>
      </w:r>
      <w:proofErr w:type="spellStart"/>
      <w:r w:rsidRPr="00B26E04">
        <w:rPr>
          <w:sz w:val="20"/>
          <w:szCs w:val="20"/>
          <w:lang w:val="en-US"/>
        </w:rPr>
        <w:t>Bortolato</w:t>
      </w:r>
      <w:proofErr w:type="spellEnd"/>
      <w:r w:rsidRPr="00B26E04">
        <w:rPr>
          <w:sz w:val="20"/>
          <w:szCs w:val="20"/>
          <w:lang w:val="en-US"/>
        </w:rPr>
        <w:t xml:space="preserve">, M., 2016. The role of monoamine oxidase A in aggression: Current translational developments and future challenges. Prog. </w:t>
      </w:r>
      <w:proofErr w:type="spellStart"/>
      <w:r w:rsidRPr="00B26E04">
        <w:rPr>
          <w:sz w:val="20"/>
          <w:szCs w:val="20"/>
          <w:lang w:val="en-US"/>
        </w:rPr>
        <w:t>Neuropsychopharmacol</w:t>
      </w:r>
      <w:proofErr w:type="spellEnd"/>
      <w:r w:rsidRPr="00B26E04">
        <w:rPr>
          <w:sz w:val="20"/>
          <w:szCs w:val="20"/>
          <w:lang w:val="en-US"/>
        </w:rPr>
        <w:t>. Biol. Psychiatry 69, 90-100.</w:t>
      </w:r>
    </w:p>
    <w:p w:rsidR="00352A2A" w:rsidRPr="00B26E04" w:rsidRDefault="0096787B" w:rsidP="00113B97">
      <w:pPr>
        <w:spacing w:after="120" w:line="480" w:lineRule="auto"/>
        <w:rPr>
          <w:sz w:val="20"/>
          <w:szCs w:val="20"/>
          <w:lang w:val="en-US"/>
        </w:rPr>
      </w:pPr>
      <w:proofErr w:type="spellStart"/>
      <w:r>
        <w:rPr>
          <w:sz w:val="20"/>
          <w:szCs w:val="20"/>
          <w:lang w:val="en-US"/>
        </w:rPr>
        <w:t>Gonda</w:t>
      </w:r>
      <w:proofErr w:type="spellEnd"/>
      <w:r>
        <w:rPr>
          <w:sz w:val="20"/>
          <w:szCs w:val="20"/>
          <w:lang w:val="en-US"/>
        </w:rPr>
        <w:t xml:space="preserve">, X., </w:t>
      </w:r>
      <w:proofErr w:type="spellStart"/>
      <w:r>
        <w:rPr>
          <w:sz w:val="20"/>
          <w:szCs w:val="20"/>
          <w:lang w:val="en-US"/>
        </w:rPr>
        <w:t>Fountoulakis</w:t>
      </w:r>
      <w:proofErr w:type="spellEnd"/>
      <w:r>
        <w:rPr>
          <w:sz w:val="20"/>
          <w:szCs w:val="20"/>
          <w:lang w:val="en-US"/>
        </w:rPr>
        <w:t xml:space="preserve">, K.N., </w:t>
      </w:r>
      <w:proofErr w:type="spellStart"/>
      <w:r>
        <w:rPr>
          <w:sz w:val="20"/>
          <w:szCs w:val="20"/>
          <w:lang w:val="en-US"/>
        </w:rPr>
        <w:t>Juhasz</w:t>
      </w:r>
      <w:proofErr w:type="spellEnd"/>
      <w:r>
        <w:rPr>
          <w:sz w:val="20"/>
          <w:szCs w:val="20"/>
          <w:lang w:val="en-US"/>
        </w:rPr>
        <w:t xml:space="preserve">, G., </w:t>
      </w:r>
      <w:proofErr w:type="spellStart"/>
      <w:r>
        <w:rPr>
          <w:sz w:val="20"/>
          <w:szCs w:val="20"/>
          <w:lang w:val="en-US"/>
        </w:rPr>
        <w:t>Rihmer</w:t>
      </w:r>
      <w:proofErr w:type="spellEnd"/>
      <w:r>
        <w:rPr>
          <w:sz w:val="20"/>
          <w:szCs w:val="20"/>
          <w:lang w:val="en-US"/>
        </w:rPr>
        <w:t xml:space="preserve">, Z., </w:t>
      </w:r>
      <w:proofErr w:type="spellStart"/>
      <w:r>
        <w:rPr>
          <w:sz w:val="20"/>
          <w:szCs w:val="20"/>
          <w:lang w:val="en-US"/>
        </w:rPr>
        <w:t>Lazary</w:t>
      </w:r>
      <w:proofErr w:type="spellEnd"/>
      <w:r>
        <w:rPr>
          <w:sz w:val="20"/>
          <w:szCs w:val="20"/>
          <w:lang w:val="en-US"/>
        </w:rPr>
        <w:t xml:space="preserve">, J., </w:t>
      </w:r>
      <w:proofErr w:type="spellStart"/>
      <w:r>
        <w:rPr>
          <w:sz w:val="20"/>
          <w:szCs w:val="20"/>
          <w:lang w:val="en-US"/>
        </w:rPr>
        <w:t>Laszik</w:t>
      </w:r>
      <w:proofErr w:type="spellEnd"/>
      <w:r>
        <w:rPr>
          <w:sz w:val="20"/>
          <w:szCs w:val="20"/>
          <w:lang w:val="en-US"/>
        </w:rPr>
        <w:t xml:space="preserve">, A., </w:t>
      </w:r>
      <w:proofErr w:type="spellStart"/>
      <w:r>
        <w:rPr>
          <w:sz w:val="20"/>
          <w:szCs w:val="20"/>
          <w:lang w:val="en-US"/>
        </w:rPr>
        <w:t>Akiskal</w:t>
      </w:r>
      <w:proofErr w:type="spellEnd"/>
      <w:r>
        <w:rPr>
          <w:sz w:val="20"/>
          <w:szCs w:val="20"/>
          <w:lang w:val="en-US"/>
        </w:rPr>
        <w:t xml:space="preserve">, H.S., </w:t>
      </w:r>
      <w:proofErr w:type="spellStart"/>
      <w:r>
        <w:rPr>
          <w:sz w:val="20"/>
          <w:szCs w:val="20"/>
          <w:lang w:val="en-US"/>
        </w:rPr>
        <w:t>Bagdy</w:t>
      </w:r>
      <w:proofErr w:type="spellEnd"/>
      <w:r>
        <w:rPr>
          <w:sz w:val="20"/>
          <w:szCs w:val="20"/>
          <w:lang w:val="en-US"/>
        </w:rPr>
        <w:t xml:space="preserve">, G., 2009. Association of the s allele of the 5-HTTLPR with neuroticism-related traits and temperaments in a psychiatrically healthy population. Eur. Arch. Psychiatry Clin. </w:t>
      </w:r>
      <w:proofErr w:type="spellStart"/>
      <w:r>
        <w:rPr>
          <w:sz w:val="20"/>
          <w:szCs w:val="20"/>
          <w:lang w:val="en-US"/>
        </w:rPr>
        <w:t>Neurosci</w:t>
      </w:r>
      <w:proofErr w:type="spellEnd"/>
      <w:r>
        <w:rPr>
          <w:sz w:val="20"/>
          <w:szCs w:val="20"/>
          <w:lang w:val="en-US"/>
        </w:rPr>
        <w:t>. 259, 106-113.</w:t>
      </w:r>
      <w:r>
        <w:rPr>
          <w:strike/>
          <w:sz w:val="20"/>
          <w:szCs w:val="20"/>
          <w:lang w:val="en-US"/>
        </w:rPr>
        <w:t xml:space="preserve"> </w:t>
      </w:r>
    </w:p>
    <w:p w:rsidR="00352A2A" w:rsidRPr="00B26E04" w:rsidRDefault="0096787B" w:rsidP="00113B97">
      <w:pPr>
        <w:spacing w:after="120" w:line="480" w:lineRule="auto"/>
        <w:rPr>
          <w:sz w:val="20"/>
          <w:szCs w:val="20"/>
          <w:lang w:val="en-US"/>
        </w:rPr>
      </w:pPr>
      <w:proofErr w:type="spellStart"/>
      <w:r>
        <w:rPr>
          <w:sz w:val="20"/>
          <w:szCs w:val="20"/>
          <w:lang w:val="en-US"/>
        </w:rPr>
        <w:t>Gorodetsky</w:t>
      </w:r>
      <w:proofErr w:type="spellEnd"/>
      <w:r>
        <w:rPr>
          <w:sz w:val="20"/>
          <w:szCs w:val="20"/>
          <w:lang w:val="en-US"/>
        </w:rPr>
        <w:t xml:space="preserve">, E., Bevilacqua, L., Carli, V., </w:t>
      </w:r>
      <w:proofErr w:type="spellStart"/>
      <w:r>
        <w:rPr>
          <w:sz w:val="20"/>
          <w:szCs w:val="20"/>
          <w:lang w:val="en-US"/>
        </w:rPr>
        <w:t>Sarchiapone</w:t>
      </w:r>
      <w:proofErr w:type="spellEnd"/>
      <w:r>
        <w:rPr>
          <w:sz w:val="20"/>
          <w:szCs w:val="20"/>
          <w:lang w:val="en-US"/>
        </w:rPr>
        <w:t xml:space="preserve">, M., Roy, A., Goldman, D., Enoch, M.A., 2014. The interactive effect of MAOA-LPR genotype and childhood physical neglect on aggressive behaviors in Italian male prisoners. Genes Brain </w:t>
      </w:r>
      <w:proofErr w:type="spellStart"/>
      <w:r>
        <w:rPr>
          <w:sz w:val="20"/>
          <w:szCs w:val="20"/>
          <w:lang w:val="en-US"/>
        </w:rPr>
        <w:t>Behav</w:t>
      </w:r>
      <w:proofErr w:type="spellEnd"/>
      <w:r>
        <w:rPr>
          <w:sz w:val="20"/>
          <w:szCs w:val="20"/>
          <w:lang w:val="en-US"/>
        </w:rPr>
        <w:t>. 13, 543-549.</w:t>
      </w:r>
    </w:p>
    <w:p w:rsidR="00352A2A" w:rsidRPr="00B26E04" w:rsidRDefault="0096787B" w:rsidP="00113B97">
      <w:pPr>
        <w:spacing w:after="120" w:line="480" w:lineRule="auto"/>
        <w:rPr>
          <w:sz w:val="20"/>
          <w:szCs w:val="20"/>
          <w:lang w:val="en-US"/>
        </w:rPr>
      </w:pPr>
      <w:proofErr w:type="spellStart"/>
      <w:r>
        <w:rPr>
          <w:sz w:val="20"/>
          <w:szCs w:val="20"/>
          <w:lang w:val="en-US"/>
        </w:rPr>
        <w:t>Gräff</w:t>
      </w:r>
      <w:proofErr w:type="spellEnd"/>
      <w:r>
        <w:rPr>
          <w:sz w:val="20"/>
          <w:szCs w:val="20"/>
          <w:lang w:val="en-US"/>
        </w:rPr>
        <w:t xml:space="preserve">, J., </w:t>
      </w:r>
      <w:proofErr w:type="spellStart"/>
      <w:r>
        <w:rPr>
          <w:sz w:val="20"/>
          <w:szCs w:val="20"/>
          <w:lang w:val="en-US"/>
        </w:rPr>
        <w:t>Mansuy</w:t>
      </w:r>
      <w:proofErr w:type="spellEnd"/>
      <w:r>
        <w:rPr>
          <w:sz w:val="20"/>
          <w:szCs w:val="20"/>
          <w:lang w:val="en-US"/>
        </w:rPr>
        <w:t xml:space="preserve">, I.M., 2008. Epigenetic codes in cognition and behaviour. </w:t>
      </w:r>
      <w:proofErr w:type="spellStart"/>
      <w:r>
        <w:rPr>
          <w:sz w:val="20"/>
          <w:szCs w:val="20"/>
          <w:lang w:val="en-US"/>
        </w:rPr>
        <w:t>Behav</w:t>
      </w:r>
      <w:proofErr w:type="spellEnd"/>
      <w:r>
        <w:rPr>
          <w:sz w:val="20"/>
          <w:szCs w:val="20"/>
          <w:lang w:val="en-US"/>
        </w:rPr>
        <w:t>. Brain Res. 192, 70-87.</w:t>
      </w:r>
    </w:p>
    <w:p w:rsidR="00352A2A" w:rsidRPr="00B26E04" w:rsidRDefault="0096787B" w:rsidP="00113B97">
      <w:pPr>
        <w:spacing w:after="120" w:line="480" w:lineRule="auto"/>
        <w:rPr>
          <w:sz w:val="20"/>
          <w:szCs w:val="20"/>
          <w:lang w:val="en-US"/>
        </w:rPr>
      </w:pPr>
      <w:r>
        <w:rPr>
          <w:sz w:val="20"/>
          <w:szCs w:val="20"/>
          <w:lang w:val="en-US"/>
        </w:rPr>
        <w:t>Grafman, J., Schwab, K., Warden, D., Pridgen, A., Brown, H.R., Salazar, A.M., 1996. Frontal lobe injuries, violence, and aggression: a report of the Vietnam Head Injury Study. Neurology 46, 1231-1238.</w:t>
      </w:r>
    </w:p>
    <w:p w:rsidR="00352A2A" w:rsidRPr="00B26E04" w:rsidRDefault="0096787B" w:rsidP="00113B97">
      <w:pPr>
        <w:spacing w:after="120" w:line="480" w:lineRule="auto"/>
        <w:rPr>
          <w:sz w:val="20"/>
          <w:szCs w:val="20"/>
          <w:lang w:val="en-US"/>
        </w:rPr>
      </w:pPr>
      <w:r>
        <w:rPr>
          <w:sz w:val="20"/>
          <w:szCs w:val="20"/>
          <w:lang w:val="en-US"/>
        </w:rPr>
        <w:t>Greene, J.D., Sommerville, R.B., Nystrom, L.E., Darley, J.M., Cohen, J.D., 2001. An fMRI investigation of emotional engagement in moral judgment. Science 293, 2105-2108.</w:t>
      </w:r>
    </w:p>
    <w:p w:rsidR="00352A2A" w:rsidRPr="00B26E04" w:rsidRDefault="0096787B" w:rsidP="00113B97">
      <w:pPr>
        <w:spacing w:after="120" w:line="480" w:lineRule="auto"/>
        <w:rPr>
          <w:sz w:val="20"/>
          <w:szCs w:val="20"/>
          <w:lang w:val="en-US"/>
        </w:rPr>
      </w:pPr>
      <w:r>
        <w:rPr>
          <w:sz w:val="20"/>
          <w:szCs w:val="20"/>
          <w:lang w:val="en-US"/>
        </w:rPr>
        <w:t xml:space="preserve">Greene, J.D., Nystrom, L.E., </w:t>
      </w:r>
      <w:proofErr w:type="spellStart"/>
      <w:r>
        <w:rPr>
          <w:sz w:val="20"/>
          <w:szCs w:val="20"/>
          <w:lang w:val="en-US"/>
        </w:rPr>
        <w:t>Engell</w:t>
      </w:r>
      <w:proofErr w:type="spellEnd"/>
      <w:r>
        <w:rPr>
          <w:sz w:val="20"/>
          <w:szCs w:val="20"/>
          <w:lang w:val="en-US"/>
        </w:rPr>
        <w:t>, A.D., Darley, J.M., Cohen, J.D., 2004. The neural bases of cognitive conflict and control in moral judgment. Neuron 44, 389-400.</w:t>
      </w:r>
    </w:p>
    <w:p w:rsidR="00352A2A" w:rsidRPr="00B26E04" w:rsidRDefault="0096787B" w:rsidP="00113B97">
      <w:pPr>
        <w:spacing w:after="120" w:line="480" w:lineRule="auto"/>
        <w:rPr>
          <w:sz w:val="20"/>
          <w:szCs w:val="20"/>
          <w:lang w:val="en-US"/>
        </w:rPr>
      </w:pPr>
      <w:r>
        <w:rPr>
          <w:sz w:val="20"/>
          <w:szCs w:val="20"/>
          <w:lang w:val="en-US"/>
        </w:rPr>
        <w:t xml:space="preserve">Grigorenko, E.L., De Young, C.G., Eastman, M., Getchell, M., </w:t>
      </w:r>
      <w:proofErr w:type="spellStart"/>
      <w:r>
        <w:rPr>
          <w:sz w:val="20"/>
          <w:szCs w:val="20"/>
          <w:lang w:val="en-US"/>
        </w:rPr>
        <w:t>Haeffel</w:t>
      </w:r>
      <w:proofErr w:type="spellEnd"/>
      <w:r>
        <w:rPr>
          <w:sz w:val="20"/>
          <w:szCs w:val="20"/>
          <w:lang w:val="en-US"/>
        </w:rPr>
        <w:t xml:space="preserve">, G.J., </w:t>
      </w:r>
      <w:proofErr w:type="spellStart"/>
      <w:r>
        <w:rPr>
          <w:sz w:val="20"/>
          <w:szCs w:val="20"/>
          <w:lang w:val="en-US"/>
        </w:rPr>
        <w:t>Klinteberg</w:t>
      </w:r>
      <w:proofErr w:type="spellEnd"/>
      <w:r>
        <w:rPr>
          <w:sz w:val="20"/>
          <w:szCs w:val="20"/>
          <w:lang w:val="en-US"/>
        </w:rPr>
        <w:t xml:space="preserve">, Ba., </w:t>
      </w:r>
      <w:proofErr w:type="spellStart"/>
      <w:r>
        <w:rPr>
          <w:sz w:val="20"/>
          <w:szCs w:val="20"/>
          <w:lang w:val="en-US"/>
        </w:rPr>
        <w:t>Koposov</w:t>
      </w:r>
      <w:proofErr w:type="spellEnd"/>
      <w:r>
        <w:rPr>
          <w:sz w:val="20"/>
          <w:szCs w:val="20"/>
          <w:lang w:val="en-US"/>
        </w:rPr>
        <w:t xml:space="preserve">, R.A., Oreland, L., </w:t>
      </w:r>
      <w:proofErr w:type="spellStart"/>
      <w:r>
        <w:rPr>
          <w:sz w:val="20"/>
          <w:szCs w:val="20"/>
          <w:lang w:val="en-US"/>
        </w:rPr>
        <w:t>Pakstis</w:t>
      </w:r>
      <w:proofErr w:type="spellEnd"/>
      <w:r>
        <w:rPr>
          <w:sz w:val="20"/>
          <w:szCs w:val="20"/>
          <w:lang w:val="en-US"/>
        </w:rPr>
        <w:t xml:space="preserve">, A.J., Ponomarev, O.A., </w:t>
      </w:r>
      <w:proofErr w:type="spellStart"/>
      <w:r>
        <w:rPr>
          <w:sz w:val="20"/>
          <w:szCs w:val="20"/>
          <w:lang w:val="en-US"/>
        </w:rPr>
        <w:t>Ruchkin</w:t>
      </w:r>
      <w:proofErr w:type="spellEnd"/>
      <w:r>
        <w:rPr>
          <w:sz w:val="20"/>
          <w:szCs w:val="20"/>
          <w:lang w:val="en-US"/>
        </w:rPr>
        <w:t xml:space="preserve">, V.V., Singh, J.P., </w:t>
      </w:r>
      <w:proofErr w:type="spellStart"/>
      <w:r>
        <w:rPr>
          <w:sz w:val="20"/>
          <w:szCs w:val="20"/>
          <w:lang w:val="en-US"/>
        </w:rPr>
        <w:t>Yrigollen</w:t>
      </w:r>
      <w:proofErr w:type="spellEnd"/>
      <w:r>
        <w:rPr>
          <w:sz w:val="20"/>
          <w:szCs w:val="20"/>
          <w:lang w:val="en-US"/>
        </w:rPr>
        <w:t xml:space="preserve">, C.M., 2010. Aggressive behavior, related conduct problems, and variation in genes affecting dopamine turnover. Aggress. </w:t>
      </w:r>
      <w:proofErr w:type="spellStart"/>
      <w:r>
        <w:rPr>
          <w:sz w:val="20"/>
          <w:szCs w:val="20"/>
          <w:lang w:val="en-US"/>
        </w:rPr>
        <w:t>Behav</w:t>
      </w:r>
      <w:proofErr w:type="spellEnd"/>
      <w:r>
        <w:rPr>
          <w:sz w:val="20"/>
          <w:szCs w:val="20"/>
          <w:lang w:val="en-US"/>
        </w:rPr>
        <w:t>. 36, 158-176.</w:t>
      </w:r>
    </w:p>
    <w:p w:rsidR="000A468B" w:rsidRPr="00B26E04" w:rsidRDefault="0096787B" w:rsidP="00113B97">
      <w:pPr>
        <w:spacing w:after="120" w:line="480" w:lineRule="auto"/>
        <w:rPr>
          <w:sz w:val="20"/>
          <w:szCs w:val="20"/>
          <w:lang w:val="en-US"/>
        </w:rPr>
      </w:pPr>
      <w:proofErr w:type="spellStart"/>
      <w:r>
        <w:rPr>
          <w:sz w:val="20"/>
          <w:szCs w:val="20"/>
          <w:lang w:val="en-US"/>
        </w:rPr>
        <w:t>Grochmal</w:t>
      </w:r>
      <w:proofErr w:type="spellEnd"/>
      <w:r>
        <w:rPr>
          <w:sz w:val="20"/>
          <w:szCs w:val="20"/>
          <w:lang w:val="en-US"/>
        </w:rPr>
        <w:t xml:space="preserve">-Bach, B., </w:t>
      </w:r>
      <w:proofErr w:type="spellStart"/>
      <w:r>
        <w:rPr>
          <w:sz w:val="20"/>
          <w:szCs w:val="20"/>
          <w:lang w:val="en-US"/>
        </w:rPr>
        <w:t>Bidzan</w:t>
      </w:r>
      <w:proofErr w:type="spellEnd"/>
      <w:r>
        <w:rPr>
          <w:sz w:val="20"/>
          <w:szCs w:val="20"/>
          <w:lang w:val="en-US"/>
        </w:rPr>
        <w:t xml:space="preserve">, L., </w:t>
      </w:r>
      <w:proofErr w:type="spellStart"/>
      <w:r>
        <w:rPr>
          <w:sz w:val="20"/>
          <w:szCs w:val="20"/>
          <w:lang w:val="en-US"/>
        </w:rPr>
        <w:t>Pachalska</w:t>
      </w:r>
      <w:proofErr w:type="spellEnd"/>
      <w:r>
        <w:rPr>
          <w:sz w:val="20"/>
          <w:szCs w:val="20"/>
          <w:lang w:val="en-US"/>
        </w:rPr>
        <w:t xml:space="preserve">, M., </w:t>
      </w:r>
      <w:proofErr w:type="spellStart"/>
      <w:r>
        <w:rPr>
          <w:sz w:val="20"/>
          <w:szCs w:val="20"/>
          <w:lang w:val="en-US"/>
        </w:rPr>
        <w:t>Bidzan</w:t>
      </w:r>
      <w:proofErr w:type="spellEnd"/>
      <w:r>
        <w:rPr>
          <w:sz w:val="20"/>
          <w:szCs w:val="20"/>
          <w:lang w:val="en-US"/>
        </w:rPr>
        <w:t xml:space="preserve">, M., </w:t>
      </w:r>
      <w:proofErr w:type="spellStart"/>
      <w:r>
        <w:rPr>
          <w:sz w:val="20"/>
          <w:szCs w:val="20"/>
          <w:lang w:val="en-US"/>
        </w:rPr>
        <w:t>Łukaszewska</w:t>
      </w:r>
      <w:proofErr w:type="spellEnd"/>
      <w:r>
        <w:rPr>
          <w:sz w:val="20"/>
          <w:szCs w:val="20"/>
          <w:lang w:val="en-US"/>
        </w:rPr>
        <w:t xml:space="preserve">, B., </w:t>
      </w:r>
      <w:proofErr w:type="spellStart"/>
      <w:r>
        <w:rPr>
          <w:sz w:val="20"/>
          <w:szCs w:val="20"/>
          <w:lang w:val="en-US"/>
        </w:rPr>
        <w:t>Pufal</w:t>
      </w:r>
      <w:proofErr w:type="spellEnd"/>
      <w:r>
        <w:rPr>
          <w:sz w:val="20"/>
          <w:szCs w:val="20"/>
          <w:lang w:val="en-US"/>
        </w:rPr>
        <w:t xml:space="preserve">, A., 2009. Aggressive and impulsive behaviors in Frontotemporal dementia and Alzheimer's disease. Med. Sci. </w:t>
      </w:r>
      <w:proofErr w:type="spellStart"/>
      <w:r>
        <w:rPr>
          <w:sz w:val="20"/>
          <w:szCs w:val="20"/>
          <w:lang w:val="en-US"/>
        </w:rPr>
        <w:t>Monit</w:t>
      </w:r>
      <w:proofErr w:type="spellEnd"/>
      <w:r>
        <w:rPr>
          <w:sz w:val="20"/>
          <w:szCs w:val="20"/>
          <w:lang w:val="en-US"/>
        </w:rPr>
        <w:t>. 15, CR248-254.</w:t>
      </w:r>
    </w:p>
    <w:p w:rsidR="00352A2A" w:rsidRPr="00B26E04" w:rsidRDefault="0096787B" w:rsidP="00113B97">
      <w:pPr>
        <w:spacing w:after="120" w:line="480" w:lineRule="auto"/>
        <w:rPr>
          <w:sz w:val="20"/>
          <w:szCs w:val="20"/>
          <w:lang w:val="en-US"/>
        </w:rPr>
      </w:pPr>
      <w:r>
        <w:rPr>
          <w:sz w:val="20"/>
          <w:szCs w:val="20"/>
          <w:lang w:val="en-US"/>
        </w:rPr>
        <w:t xml:space="preserve">Guldberg, H.C., Marsden, C.A., 1975. Catechol-O-methyl transferase: pharmacological aspects and physiological role. </w:t>
      </w:r>
      <w:proofErr w:type="spellStart"/>
      <w:r>
        <w:rPr>
          <w:sz w:val="20"/>
          <w:szCs w:val="20"/>
          <w:lang w:val="en-US"/>
        </w:rPr>
        <w:t>Pharmacol</w:t>
      </w:r>
      <w:proofErr w:type="spellEnd"/>
      <w:r>
        <w:rPr>
          <w:sz w:val="20"/>
          <w:szCs w:val="20"/>
          <w:lang w:val="en-US"/>
        </w:rPr>
        <w:t>. Rev. 27, 135-206.</w:t>
      </w:r>
    </w:p>
    <w:p w:rsidR="005243E3" w:rsidRPr="00B26E04" w:rsidRDefault="0096787B" w:rsidP="00113B97">
      <w:pPr>
        <w:spacing w:after="120" w:line="480" w:lineRule="auto"/>
        <w:rPr>
          <w:sz w:val="20"/>
          <w:szCs w:val="20"/>
          <w:lang w:val="en-US"/>
        </w:rPr>
      </w:pPr>
      <w:r>
        <w:rPr>
          <w:sz w:val="20"/>
          <w:szCs w:val="20"/>
          <w:lang w:val="en-US"/>
        </w:rPr>
        <w:t xml:space="preserve">Guo, G., </w:t>
      </w:r>
      <w:proofErr w:type="spellStart"/>
      <w:r>
        <w:rPr>
          <w:sz w:val="20"/>
          <w:szCs w:val="20"/>
          <w:lang w:val="en-US"/>
        </w:rPr>
        <w:t>Roettger</w:t>
      </w:r>
      <w:proofErr w:type="spellEnd"/>
      <w:r>
        <w:rPr>
          <w:sz w:val="20"/>
          <w:szCs w:val="20"/>
          <w:lang w:val="en-US"/>
        </w:rPr>
        <w:t>, M.E., Shih, J.C., 2007. Contributions of the DAT1 and DRD2 genes to serious and violent delinquency among adolescents and young adults. Hum. Genet. 121, 125-136.</w:t>
      </w:r>
    </w:p>
    <w:p w:rsidR="00352A2A" w:rsidRPr="00B26E04" w:rsidRDefault="0096787B" w:rsidP="00113B97">
      <w:pPr>
        <w:spacing w:after="120" w:line="480" w:lineRule="auto"/>
        <w:rPr>
          <w:sz w:val="20"/>
          <w:szCs w:val="20"/>
          <w:lang w:val="en-US"/>
        </w:rPr>
      </w:pPr>
      <w:r>
        <w:rPr>
          <w:sz w:val="20"/>
          <w:szCs w:val="20"/>
          <w:lang w:val="en-US"/>
        </w:rPr>
        <w:t xml:space="preserve">Gupta, R., </w:t>
      </w:r>
      <w:proofErr w:type="spellStart"/>
      <w:r>
        <w:rPr>
          <w:sz w:val="20"/>
          <w:szCs w:val="20"/>
          <w:lang w:val="en-US"/>
        </w:rPr>
        <w:t>Koscik</w:t>
      </w:r>
      <w:proofErr w:type="spellEnd"/>
      <w:r>
        <w:rPr>
          <w:sz w:val="20"/>
          <w:szCs w:val="20"/>
          <w:lang w:val="en-US"/>
        </w:rPr>
        <w:t xml:space="preserve">, T.R., Bechara, A., </w:t>
      </w:r>
      <w:proofErr w:type="spellStart"/>
      <w:r>
        <w:rPr>
          <w:sz w:val="20"/>
          <w:szCs w:val="20"/>
          <w:lang w:val="en-US"/>
        </w:rPr>
        <w:t>Tranel</w:t>
      </w:r>
      <w:proofErr w:type="spellEnd"/>
      <w:r>
        <w:rPr>
          <w:sz w:val="20"/>
          <w:szCs w:val="20"/>
          <w:lang w:val="en-US"/>
        </w:rPr>
        <w:t xml:space="preserve">, D., 2011. The amygdala and decision-making. </w:t>
      </w:r>
      <w:proofErr w:type="spellStart"/>
      <w:r>
        <w:rPr>
          <w:sz w:val="20"/>
          <w:szCs w:val="20"/>
          <w:lang w:val="en-US"/>
        </w:rPr>
        <w:t>Neuropsychologia</w:t>
      </w:r>
      <w:proofErr w:type="spellEnd"/>
      <w:r>
        <w:rPr>
          <w:sz w:val="20"/>
          <w:szCs w:val="20"/>
          <w:lang w:val="en-US"/>
        </w:rPr>
        <w:t xml:space="preserve"> 49, 760-766. </w:t>
      </w:r>
    </w:p>
    <w:p w:rsidR="00352A2A" w:rsidRPr="00B26E04" w:rsidRDefault="0096787B" w:rsidP="00113B97">
      <w:pPr>
        <w:spacing w:after="120" w:line="480" w:lineRule="auto"/>
        <w:rPr>
          <w:sz w:val="20"/>
          <w:szCs w:val="20"/>
          <w:lang w:val="en-US"/>
        </w:rPr>
      </w:pPr>
      <w:r>
        <w:rPr>
          <w:sz w:val="20"/>
          <w:szCs w:val="20"/>
          <w:lang w:val="en-US"/>
        </w:rPr>
        <w:lastRenderedPageBreak/>
        <w:t xml:space="preserve">Gutknecht, L., Jacob, C., Strobel, A., </w:t>
      </w:r>
      <w:proofErr w:type="spellStart"/>
      <w:r>
        <w:rPr>
          <w:sz w:val="20"/>
          <w:szCs w:val="20"/>
          <w:lang w:val="en-US"/>
        </w:rPr>
        <w:t>Kriegebaum</w:t>
      </w:r>
      <w:proofErr w:type="spellEnd"/>
      <w:r>
        <w:rPr>
          <w:sz w:val="20"/>
          <w:szCs w:val="20"/>
          <w:lang w:val="en-US"/>
        </w:rPr>
        <w:t xml:space="preserve">, C., Müller, J., Zeng, Y., </w:t>
      </w:r>
      <w:proofErr w:type="spellStart"/>
      <w:r>
        <w:rPr>
          <w:sz w:val="20"/>
          <w:szCs w:val="20"/>
          <w:lang w:val="en-US"/>
        </w:rPr>
        <w:t>Markert</w:t>
      </w:r>
      <w:proofErr w:type="spellEnd"/>
      <w:r>
        <w:rPr>
          <w:sz w:val="20"/>
          <w:szCs w:val="20"/>
          <w:lang w:val="en-US"/>
        </w:rPr>
        <w:t xml:space="preserve">, C., Escher, A., Wendland, J., </w:t>
      </w:r>
      <w:proofErr w:type="spellStart"/>
      <w:r>
        <w:rPr>
          <w:sz w:val="20"/>
          <w:szCs w:val="20"/>
          <w:lang w:val="en-US"/>
        </w:rPr>
        <w:t>Reif</w:t>
      </w:r>
      <w:proofErr w:type="spellEnd"/>
      <w:r>
        <w:rPr>
          <w:sz w:val="20"/>
          <w:szCs w:val="20"/>
          <w:lang w:val="en-US"/>
        </w:rPr>
        <w:t xml:space="preserve">, A., </w:t>
      </w:r>
      <w:proofErr w:type="spellStart"/>
      <w:r>
        <w:rPr>
          <w:sz w:val="20"/>
          <w:szCs w:val="20"/>
          <w:lang w:val="en-US"/>
        </w:rPr>
        <w:t>Mössner</w:t>
      </w:r>
      <w:proofErr w:type="spellEnd"/>
      <w:r>
        <w:rPr>
          <w:sz w:val="20"/>
          <w:szCs w:val="20"/>
          <w:lang w:val="en-US"/>
        </w:rPr>
        <w:t xml:space="preserve">, R., Gross, C., </w:t>
      </w:r>
      <w:proofErr w:type="spellStart"/>
      <w:r>
        <w:rPr>
          <w:sz w:val="20"/>
          <w:szCs w:val="20"/>
          <w:lang w:val="en-US"/>
        </w:rPr>
        <w:t>Brocke</w:t>
      </w:r>
      <w:proofErr w:type="spellEnd"/>
      <w:r>
        <w:rPr>
          <w:sz w:val="20"/>
          <w:szCs w:val="20"/>
          <w:lang w:val="en-US"/>
        </w:rPr>
        <w:t xml:space="preserve">, B., </w:t>
      </w:r>
      <w:proofErr w:type="spellStart"/>
      <w:r>
        <w:rPr>
          <w:sz w:val="20"/>
          <w:szCs w:val="20"/>
          <w:lang w:val="en-US"/>
        </w:rPr>
        <w:t>Lesch</w:t>
      </w:r>
      <w:proofErr w:type="spellEnd"/>
      <w:r>
        <w:rPr>
          <w:sz w:val="20"/>
          <w:szCs w:val="20"/>
          <w:lang w:val="en-US"/>
        </w:rPr>
        <w:t xml:space="preserve">, K.P., 2007. Tryptophan hydroxylase-2 gene variation influences personality traits and disorders related to emotional dysregulation. Int. J. </w:t>
      </w:r>
      <w:proofErr w:type="spellStart"/>
      <w:r>
        <w:rPr>
          <w:sz w:val="20"/>
          <w:szCs w:val="20"/>
          <w:lang w:val="en-US"/>
        </w:rPr>
        <w:t>Neuropsychopharmacol</w:t>
      </w:r>
      <w:proofErr w:type="spellEnd"/>
      <w:r>
        <w:rPr>
          <w:sz w:val="20"/>
          <w:szCs w:val="20"/>
          <w:lang w:val="en-US"/>
        </w:rPr>
        <w:t>. 10, 309-320.</w:t>
      </w:r>
    </w:p>
    <w:p w:rsidR="00352A2A" w:rsidRPr="00B26E04" w:rsidRDefault="0096787B" w:rsidP="00113B97">
      <w:pPr>
        <w:spacing w:after="120" w:line="480" w:lineRule="auto"/>
        <w:rPr>
          <w:sz w:val="20"/>
          <w:szCs w:val="20"/>
          <w:lang w:val="en-US"/>
        </w:rPr>
      </w:pPr>
      <w:proofErr w:type="spellStart"/>
      <w:r>
        <w:rPr>
          <w:sz w:val="20"/>
          <w:szCs w:val="20"/>
          <w:lang w:val="en-US"/>
        </w:rPr>
        <w:t>Haberstick</w:t>
      </w:r>
      <w:proofErr w:type="spellEnd"/>
      <w:r>
        <w:rPr>
          <w:sz w:val="20"/>
          <w:szCs w:val="20"/>
          <w:lang w:val="en-US"/>
        </w:rPr>
        <w:t xml:space="preserve">, B.C., </w:t>
      </w:r>
      <w:proofErr w:type="spellStart"/>
      <w:r>
        <w:rPr>
          <w:sz w:val="20"/>
          <w:szCs w:val="20"/>
          <w:lang w:val="en-US"/>
        </w:rPr>
        <w:t>Lessem</w:t>
      </w:r>
      <w:proofErr w:type="spellEnd"/>
      <w:r>
        <w:rPr>
          <w:sz w:val="20"/>
          <w:szCs w:val="20"/>
          <w:lang w:val="en-US"/>
        </w:rPr>
        <w:t xml:space="preserve">, J.M., Hewitt, J.K., Smolen, A., </w:t>
      </w:r>
      <w:proofErr w:type="spellStart"/>
      <w:r>
        <w:rPr>
          <w:sz w:val="20"/>
          <w:szCs w:val="20"/>
          <w:lang w:val="en-US"/>
        </w:rPr>
        <w:t>Hopfer</w:t>
      </w:r>
      <w:proofErr w:type="spellEnd"/>
      <w:r>
        <w:rPr>
          <w:sz w:val="20"/>
          <w:szCs w:val="20"/>
          <w:lang w:val="en-US"/>
        </w:rPr>
        <w:t xml:space="preserve">, C.J., Halpern, C.T., </w:t>
      </w:r>
      <w:proofErr w:type="spellStart"/>
      <w:r>
        <w:rPr>
          <w:sz w:val="20"/>
          <w:szCs w:val="20"/>
          <w:lang w:val="en-US"/>
        </w:rPr>
        <w:t>Killeya</w:t>
      </w:r>
      <w:proofErr w:type="spellEnd"/>
      <w:r>
        <w:rPr>
          <w:sz w:val="20"/>
          <w:szCs w:val="20"/>
          <w:lang w:val="en-US"/>
        </w:rPr>
        <w:t>-Jones, L.A., Boardman, J.D., Tabor, J., Siegler, I.C., Williams, R.B., Mullan Harris, K., 2014. MAOA genotype, childhood maltreatment, and their interaction in the etiology of adult antisocial behaviors. Biol. Psychiatry 75, 25-30.</w:t>
      </w:r>
    </w:p>
    <w:p w:rsidR="005321F0" w:rsidRPr="00B26E04" w:rsidRDefault="0096787B" w:rsidP="00113B97">
      <w:pPr>
        <w:spacing w:after="120" w:line="480" w:lineRule="auto"/>
        <w:rPr>
          <w:sz w:val="20"/>
          <w:szCs w:val="20"/>
          <w:lang w:val="en-US"/>
        </w:rPr>
      </w:pPr>
      <w:r>
        <w:rPr>
          <w:sz w:val="20"/>
          <w:szCs w:val="20"/>
          <w:lang w:val="en-US"/>
        </w:rPr>
        <w:t xml:space="preserve">Haller, J., 2017. Studies into abnormal aggression in humans and rodents: Methodological and translational aspects. </w:t>
      </w:r>
      <w:proofErr w:type="spellStart"/>
      <w:r>
        <w:rPr>
          <w:sz w:val="20"/>
          <w:szCs w:val="20"/>
          <w:lang w:val="en-US"/>
        </w:rPr>
        <w:t>Neurosci</w:t>
      </w:r>
      <w:proofErr w:type="spellEnd"/>
      <w:r>
        <w:rPr>
          <w:sz w:val="20"/>
          <w:szCs w:val="20"/>
          <w:lang w:val="en-US"/>
        </w:rPr>
        <w:t xml:space="preserve">. </w:t>
      </w:r>
      <w:proofErr w:type="spellStart"/>
      <w:r>
        <w:rPr>
          <w:sz w:val="20"/>
          <w:szCs w:val="20"/>
          <w:lang w:val="en-US"/>
        </w:rPr>
        <w:t>Biobehav</w:t>
      </w:r>
      <w:proofErr w:type="spellEnd"/>
      <w:r>
        <w:rPr>
          <w:sz w:val="20"/>
          <w:szCs w:val="20"/>
          <w:lang w:val="en-US"/>
        </w:rPr>
        <w:t>. Rev. 76(Pt A), 77-86.</w:t>
      </w:r>
    </w:p>
    <w:p w:rsidR="00352A2A" w:rsidRPr="00B26E04" w:rsidRDefault="0096787B" w:rsidP="00113B97">
      <w:pPr>
        <w:spacing w:after="120" w:line="480" w:lineRule="auto"/>
        <w:rPr>
          <w:sz w:val="20"/>
          <w:szCs w:val="20"/>
          <w:lang w:val="en-US"/>
        </w:rPr>
      </w:pPr>
      <w:r>
        <w:rPr>
          <w:sz w:val="20"/>
          <w:szCs w:val="20"/>
          <w:lang w:val="en-US"/>
        </w:rPr>
        <w:t xml:space="preserve">Haller, J., Harold, G., Sandi, C., Neumann, I.D., 2014. Effects of adverse early-life events on aggression and anti-social </w:t>
      </w:r>
      <w:proofErr w:type="spellStart"/>
      <w:r>
        <w:rPr>
          <w:sz w:val="20"/>
          <w:szCs w:val="20"/>
          <w:lang w:val="en-US"/>
        </w:rPr>
        <w:t>behaviours</w:t>
      </w:r>
      <w:proofErr w:type="spellEnd"/>
      <w:r>
        <w:rPr>
          <w:sz w:val="20"/>
          <w:szCs w:val="20"/>
          <w:lang w:val="en-US"/>
        </w:rPr>
        <w:t xml:space="preserve"> in animals and humans. J. </w:t>
      </w:r>
      <w:proofErr w:type="spellStart"/>
      <w:r>
        <w:rPr>
          <w:sz w:val="20"/>
          <w:szCs w:val="20"/>
          <w:lang w:val="en-US"/>
        </w:rPr>
        <w:t>Neuroendocrinol</w:t>
      </w:r>
      <w:proofErr w:type="spellEnd"/>
      <w:r>
        <w:rPr>
          <w:sz w:val="20"/>
          <w:szCs w:val="20"/>
          <w:lang w:val="en-US"/>
        </w:rPr>
        <w:t>. 26, 724-738.</w:t>
      </w:r>
    </w:p>
    <w:p w:rsidR="00352A2A" w:rsidRPr="00B26E04" w:rsidRDefault="0096787B" w:rsidP="00113B97">
      <w:pPr>
        <w:spacing w:after="120" w:line="480" w:lineRule="auto"/>
        <w:rPr>
          <w:sz w:val="20"/>
          <w:szCs w:val="20"/>
          <w:lang w:val="en-US"/>
        </w:rPr>
      </w:pPr>
      <w:r>
        <w:rPr>
          <w:sz w:val="20"/>
          <w:szCs w:val="20"/>
          <w:lang w:val="en-US"/>
        </w:rPr>
        <w:t xml:space="preserve">Hannon, J., Hoyer, D., 2008. Molecular biology of 5-HT receptors. </w:t>
      </w:r>
      <w:proofErr w:type="spellStart"/>
      <w:r>
        <w:rPr>
          <w:sz w:val="20"/>
          <w:szCs w:val="20"/>
          <w:lang w:val="en-US"/>
        </w:rPr>
        <w:t>Behav</w:t>
      </w:r>
      <w:proofErr w:type="spellEnd"/>
      <w:r>
        <w:rPr>
          <w:sz w:val="20"/>
          <w:szCs w:val="20"/>
          <w:lang w:val="en-US"/>
        </w:rPr>
        <w:t>. Brain Res. 195, 198-213.</w:t>
      </w:r>
    </w:p>
    <w:p w:rsidR="00352A2A" w:rsidRPr="00B26E04" w:rsidRDefault="0096787B" w:rsidP="00113B97">
      <w:pPr>
        <w:spacing w:after="120" w:line="480" w:lineRule="auto"/>
        <w:rPr>
          <w:sz w:val="20"/>
          <w:szCs w:val="20"/>
          <w:lang w:val="en-US"/>
        </w:rPr>
      </w:pPr>
      <w:proofErr w:type="spellStart"/>
      <w:r>
        <w:rPr>
          <w:sz w:val="20"/>
          <w:szCs w:val="20"/>
          <w:lang w:val="en-US"/>
        </w:rPr>
        <w:t>Hannum</w:t>
      </w:r>
      <w:proofErr w:type="spellEnd"/>
      <w:r>
        <w:rPr>
          <w:sz w:val="20"/>
          <w:szCs w:val="20"/>
          <w:lang w:val="en-US"/>
        </w:rPr>
        <w:t xml:space="preserve">, G., </w:t>
      </w:r>
      <w:proofErr w:type="spellStart"/>
      <w:r>
        <w:rPr>
          <w:sz w:val="20"/>
          <w:szCs w:val="20"/>
          <w:lang w:val="en-US"/>
        </w:rPr>
        <w:t>Guinney</w:t>
      </w:r>
      <w:proofErr w:type="spellEnd"/>
      <w:r>
        <w:rPr>
          <w:sz w:val="20"/>
          <w:szCs w:val="20"/>
          <w:lang w:val="en-US"/>
        </w:rPr>
        <w:t xml:space="preserve">, J., Zhao, L., Zhang, L., Hughes, G., </w:t>
      </w:r>
      <w:proofErr w:type="spellStart"/>
      <w:r>
        <w:rPr>
          <w:sz w:val="20"/>
          <w:szCs w:val="20"/>
          <w:lang w:val="en-US"/>
        </w:rPr>
        <w:t>Sadda</w:t>
      </w:r>
      <w:proofErr w:type="spellEnd"/>
      <w:r>
        <w:rPr>
          <w:sz w:val="20"/>
          <w:szCs w:val="20"/>
          <w:lang w:val="en-US"/>
        </w:rPr>
        <w:t xml:space="preserve">, S., </w:t>
      </w:r>
      <w:proofErr w:type="spellStart"/>
      <w:r>
        <w:rPr>
          <w:sz w:val="20"/>
          <w:szCs w:val="20"/>
          <w:lang w:val="en-US"/>
        </w:rPr>
        <w:t>Klotzle</w:t>
      </w:r>
      <w:proofErr w:type="spellEnd"/>
      <w:r>
        <w:rPr>
          <w:sz w:val="20"/>
          <w:szCs w:val="20"/>
          <w:lang w:val="en-US"/>
        </w:rPr>
        <w:t xml:space="preserve">, B., </w:t>
      </w:r>
      <w:proofErr w:type="spellStart"/>
      <w:r>
        <w:rPr>
          <w:sz w:val="20"/>
          <w:szCs w:val="20"/>
          <w:lang w:val="en-US"/>
        </w:rPr>
        <w:t>Bibikova</w:t>
      </w:r>
      <w:proofErr w:type="spellEnd"/>
      <w:r>
        <w:rPr>
          <w:sz w:val="20"/>
          <w:szCs w:val="20"/>
          <w:lang w:val="en-US"/>
        </w:rPr>
        <w:t xml:space="preserve">, M., Fan, J.B., Gao, Y., </w:t>
      </w:r>
      <w:proofErr w:type="spellStart"/>
      <w:r>
        <w:rPr>
          <w:sz w:val="20"/>
          <w:szCs w:val="20"/>
          <w:lang w:val="en-US"/>
        </w:rPr>
        <w:t>Deconde</w:t>
      </w:r>
      <w:proofErr w:type="spellEnd"/>
      <w:r>
        <w:rPr>
          <w:sz w:val="20"/>
          <w:szCs w:val="20"/>
          <w:lang w:val="en-US"/>
        </w:rPr>
        <w:t xml:space="preserve">, R., Chen, M., </w:t>
      </w:r>
      <w:proofErr w:type="spellStart"/>
      <w:r>
        <w:rPr>
          <w:sz w:val="20"/>
          <w:szCs w:val="20"/>
          <w:lang w:val="en-US"/>
        </w:rPr>
        <w:t>Rajapakse</w:t>
      </w:r>
      <w:proofErr w:type="spellEnd"/>
      <w:r>
        <w:rPr>
          <w:sz w:val="20"/>
          <w:szCs w:val="20"/>
          <w:lang w:val="en-US"/>
        </w:rPr>
        <w:t xml:space="preserve">, I., Friend, S., </w:t>
      </w:r>
      <w:proofErr w:type="spellStart"/>
      <w:r>
        <w:rPr>
          <w:sz w:val="20"/>
          <w:szCs w:val="20"/>
          <w:lang w:val="en-US"/>
        </w:rPr>
        <w:t>Ideker</w:t>
      </w:r>
      <w:proofErr w:type="spellEnd"/>
      <w:r>
        <w:rPr>
          <w:sz w:val="20"/>
          <w:szCs w:val="20"/>
          <w:lang w:val="en-US"/>
        </w:rPr>
        <w:t>, T., Zhang, K., 2013. Genome-wide methylation profiles reveal quantitative views of human aging rates. Mol. Cell 49, 359-367.</w:t>
      </w:r>
    </w:p>
    <w:p w:rsidR="00352A2A" w:rsidRPr="00B26E04" w:rsidRDefault="0096787B" w:rsidP="00113B97">
      <w:pPr>
        <w:spacing w:after="120" w:line="480" w:lineRule="auto"/>
        <w:rPr>
          <w:sz w:val="20"/>
          <w:szCs w:val="20"/>
          <w:lang w:val="en-US"/>
        </w:rPr>
      </w:pPr>
      <w:r>
        <w:rPr>
          <w:sz w:val="20"/>
          <w:szCs w:val="20"/>
          <w:lang w:val="en-US"/>
        </w:rPr>
        <w:t xml:space="preserve">Hare, T.A., Camerer, C.F., Rangel, A., 2009. Self-control in decision-making involves modulation of the </w:t>
      </w:r>
      <w:proofErr w:type="spellStart"/>
      <w:r>
        <w:rPr>
          <w:sz w:val="20"/>
          <w:szCs w:val="20"/>
          <w:lang w:val="en-US"/>
        </w:rPr>
        <w:t>vmPFC</w:t>
      </w:r>
      <w:proofErr w:type="spellEnd"/>
      <w:r>
        <w:rPr>
          <w:sz w:val="20"/>
          <w:szCs w:val="20"/>
          <w:lang w:val="en-US"/>
        </w:rPr>
        <w:t xml:space="preserve"> valuation system. Science 324, 646-648.</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Hariri, A.R., </w:t>
      </w:r>
      <w:proofErr w:type="spellStart"/>
      <w:r>
        <w:rPr>
          <w:sz w:val="20"/>
          <w:szCs w:val="20"/>
          <w:lang w:val="en-US"/>
        </w:rPr>
        <w:t>Mattay</w:t>
      </w:r>
      <w:proofErr w:type="spellEnd"/>
      <w:r>
        <w:rPr>
          <w:sz w:val="20"/>
          <w:szCs w:val="20"/>
          <w:lang w:val="en-US"/>
        </w:rPr>
        <w:t xml:space="preserve">, V.S., </w:t>
      </w:r>
      <w:proofErr w:type="spellStart"/>
      <w:r>
        <w:rPr>
          <w:sz w:val="20"/>
          <w:szCs w:val="20"/>
          <w:lang w:val="en-US"/>
        </w:rPr>
        <w:t>Tessitore</w:t>
      </w:r>
      <w:proofErr w:type="spellEnd"/>
      <w:r>
        <w:rPr>
          <w:sz w:val="20"/>
          <w:szCs w:val="20"/>
          <w:lang w:val="en-US"/>
        </w:rPr>
        <w:t xml:space="preserve">, A., </w:t>
      </w:r>
      <w:proofErr w:type="spellStart"/>
      <w:r>
        <w:rPr>
          <w:sz w:val="20"/>
          <w:szCs w:val="20"/>
          <w:lang w:val="en-US"/>
        </w:rPr>
        <w:t>Fera</w:t>
      </w:r>
      <w:proofErr w:type="spellEnd"/>
      <w:r>
        <w:rPr>
          <w:sz w:val="20"/>
          <w:szCs w:val="20"/>
          <w:lang w:val="en-US"/>
        </w:rPr>
        <w:t>, F., Weinberger, D.R., 2003. Neocortical modulation of the amygdala response to fearful stimuli. Biol. Psychiatry 53, 494-501.</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Hariri, A.R., </w:t>
      </w:r>
      <w:proofErr w:type="spellStart"/>
      <w:r>
        <w:rPr>
          <w:sz w:val="20"/>
          <w:szCs w:val="20"/>
          <w:lang w:val="en-US"/>
        </w:rPr>
        <w:t>Drabant</w:t>
      </w:r>
      <w:proofErr w:type="spellEnd"/>
      <w:r>
        <w:rPr>
          <w:sz w:val="20"/>
          <w:szCs w:val="20"/>
          <w:lang w:val="en-US"/>
        </w:rPr>
        <w:t xml:space="preserve">, E.M., Munoz, K.E., </w:t>
      </w:r>
      <w:proofErr w:type="spellStart"/>
      <w:r>
        <w:rPr>
          <w:sz w:val="20"/>
          <w:szCs w:val="20"/>
          <w:lang w:val="en-US"/>
        </w:rPr>
        <w:t>Kolachana</w:t>
      </w:r>
      <w:proofErr w:type="spellEnd"/>
      <w:r>
        <w:rPr>
          <w:sz w:val="20"/>
          <w:szCs w:val="20"/>
          <w:lang w:val="en-US"/>
        </w:rPr>
        <w:t xml:space="preserve">, B.S., </w:t>
      </w:r>
      <w:proofErr w:type="spellStart"/>
      <w:r>
        <w:rPr>
          <w:sz w:val="20"/>
          <w:szCs w:val="20"/>
          <w:lang w:val="en-US"/>
        </w:rPr>
        <w:t>Mattay</w:t>
      </w:r>
      <w:proofErr w:type="spellEnd"/>
      <w:r>
        <w:rPr>
          <w:sz w:val="20"/>
          <w:szCs w:val="20"/>
          <w:lang w:val="en-US"/>
        </w:rPr>
        <w:t>, V.S., Egan, M.F., Weinberger, D.R., 2005. A susceptibility gene for affective disorders and the response of the human amygdala. Arch. Gen. Psychiatry 62, 146-152.</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Hariri, A.R., Holmes, A., 2006. Genetics of emotional regulation: the role of the serotonin transporter in neural function. Trends </w:t>
      </w:r>
      <w:proofErr w:type="spellStart"/>
      <w:r>
        <w:rPr>
          <w:sz w:val="20"/>
          <w:szCs w:val="20"/>
          <w:lang w:val="en-US"/>
        </w:rPr>
        <w:t>Cogn</w:t>
      </w:r>
      <w:proofErr w:type="spellEnd"/>
      <w:r>
        <w:rPr>
          <w:sz w:val="20"/>
          <w:szCs w:val="20"/>
          <w:lang w:val="en-US"/>
        </w:rPr>
        <w:t>. Sci. 10, 182-191.</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Harlow, J.M., 1848. Passage of an iron rod through the head. Boston Med. Surg. J. 39, 389-393.</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Harlow, J.M., 1868. Recovery from the passage of an iron bar through the head. Publ. Mass. Med. Soc. 2, 327-347.</w:t>
      </w:r>
    </w:p>
    <w:p w:rsidR="00352A2A" w:rsidRPr="00B26E04" w:rsidRDefault="0096787B" w:rsidP="00113B97">
      <w:pPr>
        <w:widowControl w:val="0"/>
        <w:autoSpaceDE w:val="0"/>
        <w:autoSpaceDN w:val="0"/>
        <w:adjustRightInd w:val="0"/>
        <w:spacing w:after="120" w:line="480" w:lineRule="auto"/>
        <w:rPr>
          <w:sz w:val="20"/>
          <w:szCs w:val="20"/>
          <w:lang w:val="en-US"/>
        </w:rPr>
      </w:pPr>
      <w:proofErr w:type="spellStart"/>
      <w:r>
        <w:rPr>
          <w:sz w:val="20"/>
          <w:szCs w:val="20"/>
          <w:lang w:val="en-US"/>
        </w:rPr>
        <w:t>Heils</w:t>
      </w:r>
      <w:proofErr w:type="spellEnd"/>
      <w:r>
        <w:rPr>
          <w:sz w:val="20"/>
          <w:szCs w:val="20"/>
          <w:lang w:val="en-US"/>
        </w:rPr>
        <w:t xml:space="preserve">, A., Teufel, A., Petri, S., </w:t>
      </w:r>
      <w:proofErr w:type="spellStart"/>
      <w:r>
        <w:rPr>
          <w:sz w:val="20"/>
          <w:szCs w:val="20"/>
          <w:lang w:val="en-US"/>
        </w:rPr>
        <w:t>Stöber</w:t>
      </w:r>
      <w:proofErr w:type="spellEnd"/>
      <w:r>
        <w:rPr>
          <w:sz w:val="20"/>
          <w:szCs w:val="20"/>
          <w:lang w:val="en-US"/>
        </w:rPr>
        <w:t xml:space="preserve">, G., </w:t>
      </w:r>
      <w:proofErr w:type="spellStart"/>
      <w:r>
        <w:rPr>
          <w:sz w:val="20"/>
          <w:szCs w:val="20"/>
          <w:lang w:val="en-US"/>
        </w:rPr>
        <w:t>Riederer</w:t>
      </w:r>
      <w:proofErr w:type="spellEnd"/>
      <w:r>
        <w:rPr>
          <w:sz w:val="20"/>
          <w:szCs w:val="20"/>
          <w:lang w:val="en-US"/>
        </w:rPr>
        <w:t xml:space="preserve">, P., </w:t>
      </w:r>
      <w:proofErr w:type="spellStart"/>
      <w:r>
        <w:rPr>
          <w:sz w:val="20"/>
          <w:szCs w:val="20"/>
          <w:lang w:val="en-US"/>
        </w:rPr>
        <w:t>Bengel</w:t>
      </w:r>
      <w:proofErr w:type="spellEnd"/>
      <w:r>
        <w:rPr>
          <w:sz w:val="20"/>
          <w:szCs w:val="20"/>
          <w:lang w:val="en-US"/>
        </w:rPr>
        <w:t xml:space="preserve">, D., </w:t>
      </w:r>
      <w:proofErr w:type="spellStart"/>
      <w:r>
        <w:rPr>
          <w:sz w:val="20"/>
          <w:szCs w:val="20"/>
          <w:lang w:val="en-US"/>
        </w:rPr>
        <w:t>Lesch</w:t>
      </w:r>
      <w:proofErr w:type="spellEnd"/>
      <w:r>
        <w:rPr>
          <w:sz w:val="20"/>
          <w:szCs w:val="20"/>
          <w:lang w:val="en-US"/>
        </w:rPr>
        <w:t xml:space="preserve">, K.P., 1996. Allelic variation of human </w:t>
      </w:r>
      <w:r>
        <w:rPr>
          <w:sz w:val="20"/>
          <w:szCs w:val="20"/>
          <w:lang w:val="en-US"/>
        </w:rPr>
        <w:lastRenderedPageBreak/>
        <w:t xml:space="preserve">serotonin transporter gene expression. J. </w:t>
      </w:r>
      <w:proofErr w:type="spellStart"/>
      <w:r>
        <w:rPr>
          <w:sz w:val="20"/>
          <w:szCs w:val="20"/>
          <w:lang w:val="en-US"/>
        </w:rPr>
        <w:t>Neurochem</w:t>
      </w:r>
      <w:proofErr w:type="spellEnd"/>
      <w:r>
        <w:rPr>
          <w:sz w:val="20"/>
          <w:szCs w:val="20"/>
          <w:lang w:val="en-US"/>
        </w:rPr>
        <w:t>. 66, 2621-2624.</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Heinz, A., Jones, D.W., </w:t>
      </w:r>
      <w:proofErr w:type="spellStart"/>
      <w:r>
        <w:rPr>
          <w:sz w:val="20"/>
          <w:szCs w:val="20"/>
          <w:lang w:val="en-US"/>
        </w:rPr>
        <w:t>Mazzanti</w:t>
      </w:r>
      <w:proofErr w:type="spellEnd"/>
      <w:r>
        <w:rPr>
          <w:sz w:val="20"/>
          <w:szCs w:val="20"/>
          <w:lang w:val="en-US"/>
        </w:rPr>
        <w:t xml:space="preserve">, C., Goldman, D., Ragan, P., </w:t>
      </w:r>
      <w:proofErr w:type="spellStart"/>
      <w:r>
        <w:rPr>
          <w:sz w:val="20"/>
          <w:szCs w:val="20"/>
          <w:lang w:val="en-US"/>
        </w:rPr>
        <w:t>Hommer</w:t>
      </w:r>
      <w:proofErr w:type="spellEnd"/>
      <w:r>
        <w:rPr>
          <w:sz w:val="20"/>
          <w:szCs w:val="20"/>
          <w:lang w:val="en-US"/>
        </w:rPr>
        <w:t xml:space="preserve">, D., </w:t>
      </w:r>
      <w:proofErr w:type="spellStart"/>
      <w:r>
        <w:rPr>
          <w:sz w:val="20"/>
          <w:szCs w:val="20"/>
          <w:lang w:val="en-US"/>
        </w:rPr>
        <w:t>Linnoila</w:t>
      </w:r>
      <w:proofErr w:type="spellEnd"/>
      <w:r>
        <w:rPr>
          <w:sz w:val="20"/>
          <w:szCs w:val="20"/>
          <w:lang w:val="en-US"/>
        </w:rPr>
        <w:t>, M., Weinberger, D.R., 2000. A relationship between serotonin transporter genotype and in vivo protein expression and alcohol neurotoxicity. Biol. Psychiatry 47, 643-649.</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Heinz, A., </w:t>
      </w:r>
      <w:proofErr w:type="spellStart"/>
      <w:r>
        <w:rPr>
          <w:sz w:val="20"/>
          <w:szCs w:val="20"/>
          <w:lang w:val="en-US"/>
        </w:rPr>
        <w:t>Braus</w:t>
      </w:r>
      <w:proofErr w:type="spellEnd"/>
      <w:r>
        <w:rPr>
          <w:sz w:val="20"/>
          <w:szCs w:val="20"/>
          <w:lang w:val="en-US"/>
        </w:rPr>
        <w:t xml:space="preserve">, D.F., </w:t>
      </w:r>
      <w:proofErr w:type="spellStart"/>
      <w:r>
        <w:rPr>
          <w:sz w:val="20"/>
          <w:szCs w:val="20"/>
          <w:lang w:val="en-US"/>
        </w:rPr>
        <w:t>Smolka</w:t>
      </w:r>
      <w:proofErr w:type="spellEnd"/>
      <w:r>
        <w:rPr>
          <w:sz w:val="20"/>
          <w:szCs w:val="20"/>
          <w:lang w:val="en-US"/>
        </w:rPr>
        <w:t xml:space="preserve">, M.N., </w:t>
      </w:r>
      <w:proofErr w:type="spellStart"/>
      <w:r>
        <w:rPr>
          <w:sz w:val="20"/>
          <w:szCs w:val="20"/>
          <w:lang w:val="en-US"/>
        </w:rPr>
        <w:t>Wrase</w:t>
      </w:r>
      <w:proofErr w:type="spellEnd"/>
      <w:r>
        <w:rPr>
          <w:sz w:val="20"/>
          <w:szCs w:val="20"/>
          <w:lang w:val="en-US"/>
        </w:rPr>
        <w:t xml:space="preserve">, J., </w:t>
      </w:r>
      <w:proofErr w:type="spellStart"/>
      <w:r>
        <w:rPr>
          <w:sz w:val="20"/>
          <w:szCs w:val="20"/>
          <w:lang w:val="en-US"/>
        </w:rPr>
        <w:t>Puls</w:t>
      </w:r>
      <w:proofErr w:type="spellEnd"/>
      <w:r>
        <w:rPr>
          <w:sz w:val="20"/>
          <w:szCs w:val="20"/>
          <w:lang w:val="en-US"/>
        </w:rPr>
        <w:t xml:space="preserve">, I., Hermann, D., Klein, S., </w:t>
      </w:r>
      <w:proofErr w:type="spellStart"/>
      <w:r>
        <w:rPr>
          <w:sz w:val="20"/>
          <w:szCs w:val="20"/>
          <w:lang w:val="en-US"/>
        </w:rPr>
        <w:t>Grüsser</w:t>
      </w:r>
      <w:proofErr w:type="spellEnd"/>
      <w:r>
        <w:rPr>
          <w:sz w:val="20"/>
          <w:szCs w:val="20"/>
          <w:lang w:val="en-US"/>
        </w:rPr>
        <w:t xml:space="preserve">, S.M., Flor, H., Schumann, G., Mann, K., </w:t>
      </w:r>
      <w:proofErr w:type="spellStart"/>
      <w:r>
        <w:rPr>
          <w:sz w:val="20"/>
          <w:szCs w:val="20"/>
          <w:lang w:val="en-US"/>
        </w:rPr>
        <w:t>Büchel</w:t>
      </w:r>
      <w:proofErr w:type="spellEnd"/>
      <w:r>
        <w:rPr>
          <w:sz w:val="20"/>
          <w:szCs w:val="20"/>
          <w:lang w:val="en-US"/>
        </w:rPr>
        <w:t xml:space="preserve">, C., 2005. Amygdala-prefrontal coupling depends on a genetic variation of the serotonin transporter. Nat. </w:t>
      </w:r>
      <w:proofErr w:type="spellStart"/>
      <w:r>
        <w:rPr>
          <w:sz w:val="20"/>
          <w:szCs w:val="20"/>
          <w:lang w:val="en-US"/>
        </w:rPr>
        <w:t>Neurosci</w:t>
      </w:r>
      <w:proofErr w:type="spellEnd"/>
      <w:r>
        <w:rPr>
          <w:sz w:val="20"/>
          <w:szCs w:val="20"/>
          <w:lang w:val="en-US"/>
        </w:rPr>
        <w:t>. 8, 20-21.</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Herrmann, M.J., </w:t>
      </w:r>
      <w:proofErr w:type="spellStart"/>
      <w:r>
        <w:rPr>
          <w:sz w:val="20"/>
          <w:szCs w:val="20"/>
          <w:lang w:val="en-US"/>
        </w:rPr>
        <w:t>Huter</w:t>
      </w:r>
      <w:proofErr w:type="spellEnd"/>
      <w:r>
        <w:rPr>
          <w:sz w:val="20"/>
          <w:szCs w:val="20"/>
          <w:lang w:val="en-US"/>
        </w:rPr>
        <w:t xml:space="preserve">, T., Müller, F., </w:t>
      </w:r>
      <w:proofErr w:type="spellStart"/>
      <w:r>
        <w:rPr>
          <w:sz w:val="20"/>
          <w:szCs w:val="20"/>
          <w:lang w:val="en-US"/>
        </w:rPr>
        <w:t>Mühlberger</w:t>
      </w:r>
      <w:proofErr w:type="spellEnd"/>
      <w:r>
        <w:rPr>
          <w:sz w:val="20"/>
          <w:szCs w:val="20"/>
          <w:lang w:val="en-US"/>
        </w:rPr>
        <w:t xml:space="preserve">, A., Pauli, P., </w:t>
      </w:r>
      <w:proofErr w:type="spellStart"/>
      <w:r>
        <w:rPr>
          <w:sz w:val="20"/>
          <w:szCs w:val="20"/>
          <w:lang w:val="en-US"/>
        </w:rPr>
        <w:t>Reif</w:t>
      </w:r>
      <w:proofErr w:type="spellEnd"/>
      <w:r>
        <w:rPr>
          <w:sz w:val="20"/>
          <w:szCs w:val="20"/>
          <w:lang w:val="en-US"/>
        </w:rPr>
        <w:t xml:space="preserve">, A., Renner, T., </w:t>
      </w:r>
      <w:proofErr w:type="spellStart"/>
      <w:r>
        <w:rPr>
          <w:sz w:val="20"/>
          <w:szCs w:val="20"/>
          <w:lang w:val="en-US"/>
        </w:rPr>
        <w:t>Canli</w:t>
      </w:r>
      <w:proofErr w:type="spellEnd"/>
      <w:r>
        <w:rPr>
          <w:sz w:val="20"/>
          <w:szCs w:val="20"/>
          <w:lang w:val="en-US"/>
        </w:rPr>
        <w:t xml:space="preserve">, T., </w:t>
      </w:r>
      <w:proofErr w:type="spellStart"/>
      <w:r>
        <w:rPr>
          <w:sz w:val="20"/>
          <w:szCs w:val="20"/>
          <w:lang w:val="en-US"/>
        </w:rPr>
        <w:t>Fallgatter</w:t>
      </w:r>
      <w:proofErr w:type="spellEnd"/>
      <w:r>
        <w:rPr>
          <w:sz w:val="20"/>
          <w:szCs w:val="20"/>
          <w:lang w:val="en-US"/>
        </w:rPr>
        <w:t xml:space="preserve">, A.J., </w:t>
      </w:r>
      <w:proofErr w:type="spellStart"/>
      <w:r>
        <w:rPr>
          <w:sz w:val="20"/>
          <w:szCs w:val="20"/>
          <w:lang w:val="en-US"/>
        </w:rPr>
        <w:t>Lesch</w:t>
      </w:r>
      <w:proofErr w:type="spellEnd"/>
      <w:r>
        <w:rPr>
          <w:sz w:val="20"/>
          <w:szCs w:val="20"/>
          <w:lang w:val="en-US"/>
        </w:rPr>
        <w:t xml:space="preserve">, K.P., 2007. Additive effects of serotonin transporter and tryptophan hydroxylase-2 gene variation on emotional processing. </w:t>
      </w:r>
      <w:proofErr w:type="spellStart"/>
      <w:r>
        <w:rPr>
          <w:sz w:val="20"/>
          <w:szCs w:val="20"/>
          <w:lang w:val="en-US"/>
        </w:rPr>
        <w:t>Cereb</w:t>
      </w:r>
      <w:proofErr w:type="spellEnd"/>
      <w:r>
        <w:rPr>
          <w:sz w:val="20"/>
          <w:szCs w:val="20"/>
          <w:lang w:val="en-US"/>
        </w:rPr>
        <w:t>. Cortex 17, 1160-1163.</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Higley, J.D., Mehlman, P.T., Poland, R.E., Taub, D.M., Vickers, J., Suomi, S.J., </w:t>
      </w:r>
      <w:proofErr w:type="spellStart"/>
      <w:r>
        <w:rPr>
          <w:sz w:val="20"/>
          <w:szCs w:val="20"/>
          <w:lang w:val="en-US"/>
        </w:rPr>
        <w:t>Linnoila</w:t>
      </w:r>
      <w:proofErr w:type="spellEnd"/>
      <w:r>
        <w:rPr>
          <w:sz w:val="20"/>
          <w:szCs w:val="20"/>
          <w:lang w:val="en-US"/>
        </w:rPr>
        <w:t>, M., 1996. CSF testosterone and 5-HIAA correlate with different types of aggressive behaviors. Biol. Psychiatry 40, 1067-1082.</w:t>
      </w:r>
    </w:p>
    <w:p w:rsidR="00352A2A" w:rsidRPr="00B26E04" w:rsidRDefault="0096787B" w:rsidP="00113B97">
      <w:pPr>
        <w:widowControl w:val="0"/>
        <w:autoSpaceDE w:val="0"/>
        <w:autoSpaceDN w:val="0"/>
        <w:adjustRightInd w:val="0"/>
        <w:spacing w:after="120" w:line="480" w:lineRule="auto"/>
        <w:rPr>
          <w:sz w:val="20"/>
          <w:szCs w:val="20"/>
          <w:lang w:val="en-US"/>
        </w:rPr>
      </w:pPr>
      <w:proofErr w:type="spellStart"/>
      <w:r>
        <w:rPr>
          <w:sz w:val="20"/>
          <w:szCs w:val="20"/>
          <w:lang w:val="en-US"/>
        </w:rPr>
        <w:t>Hillemacher</w:t>
      </w:r>
      <w:proofErr w:type="spellEnd"/>
      <w:r>
        <w:rPr>
          <w:sz w:val="20"/>
          <w:szCs w:val="20"/>
          <w:lang w:val="en-US"/>
        </w:rPr>
        <w:t xml:space="preserve">, T., </w:t>
      </w:r>
      <w:proofErr w:type="spellStart"/>
      <w:r>
        <w:rPr>
          <w:sz w:val="20"/>
          <w:szCs w:val="20"/>
          <w:lang w:val="en-US"/>
        </w:rPr>
        <w:t>Frieling</w:t>
      </w:r>
      <w:proofErr w:type="spellEnd"/>
      <w:r>
        <w:rPr>
          <w:sz w:val="20"/>
          <w:szCs w:val="20"/>
          <w:lang w:val="en-US"/>
        </w:rPr>
        <w:t xml:space="preserve">, H., </w:t>
      </w:r>
      <w:proofErr w:type="spellStart"/>
      <w:r>
        <w:rPr>
          <w:sz w:val="20"/>
          <w:szCs w:val="20"/>
          <w:lang w:val="en-US"/>
        </w:rPr>
        <w:t>Hartl</w:t>
      </w:r>
      <w:proofErr w:type="spellEnd"/>
      <w:r>
        <w:rPr>
          <w:sz w:val="20"/>
          <w:szCs w:val="20"/>
          <w:lang w:val="en-US"/>
        </w:rPr>
        <w:t xml:space="preserve">, T., Wilhelm, J., </w:t>
      </w:r>
      <w:proofErr w:type="spellStart"/>
      <w:r>
        <w:rPr>
          <w:sz w:val="20"/>
          <w:szCs w:val="20"/>
          <w:lang w:val="en-US"/>
        </w:rPr>
        <w:t>Kornhuber</w:t>
      </w:r>
      <w:proofErr w:type="spellEnd"/>
      <w:r>
        <w:rPr>
          <w:sz w:val="20"/>
          <w:szCs w:val="20"/>
          <w:lang w:val="en-US"/>
        </w:rPr>
        <w:t xml:space="preserve">, J., Bleich, S., 2009. Promoter specific methylation of the dopamine transporter gene is altered in alcohol dependence and associated with craving. J. </w:t>
      </w:r>
      <w:proofErr w:type="spellStart"/>
      <w:r>
        <w:rPr>
          <w:sz w:val="20"/>
          <w:szCs w:val="20"/>
          <w:lang w:val="en-US"/>
        </w:rPr>
        <w:t>Psychiatr</w:t>
      </w:r>
      <w:proofErr w:type="spellEnd"/>
      <w:r>
        <w:rPr>
          <w:sz w:val="20"/>
          <w:szCs w:val="20"/>
          <w:lang w:val="en-US"/>
        </w:rPr>
        <w:t>. Res. 43, 388-392.</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Hirata, Y., </w:t>
      </w:r>
      <w:proofErr w:type="spellStart"/>
      <w:r>
        <w:rPr>
          <w:sz w:val="20"/>
          <w:szCs w:val="20"/>
          <w:lang w:val="en-US"/>
        </w:rPr>
        <w:t>Zai</w:t>
      </w:r>
      <w:proofErr w:type="spellEnd"/>
      <w:r>
        <w:rPr>
          <w:sz w:val="20"/>
          <w:szCs w:val="20"/>
          <w:lang w:val="en-US"/>
        </w:rPr>
        <w:t xml:space="preserve">, C.C., </w:t>
      </w:r>
      <w:proofErr w:type="spellStart"/>
      <w:r>
        <w:rPr>
          <w:sz w:val="20"/>
          <w:szCs w:val="20"/>
          <w:lang w:val="en-US"/>
        </w:rPr>
        <w:t>Nowrouzi</w:t>
      </w:r>
      <w:proofErr w:type="spellEnd"/>
      <w:r>
        <w:rPr>
          <w:sz w:val="20"/>
          <w:szCs w:val="20"/>
          <w:lang w:val="en-US"/>
        </w:rPr>
        <w:t xml:space="preserve">, B., </w:t>
      </w:r>
      <w:proofErr w:type="spellStart"/>
      <w:r>
        <w:rPr>
          <w:sz w:val="20"/>
          <w:szCs w:val="20"/>
          <w:lang w:val="en-US"/>
        </w:rPr>
        <w:t>Beitchman</w:t>
      </w:r>
      <w:proofErr w:type="spellEnd"/>
      <w:r>
        <w:rPr>
          <w:sz w:val="20"/>
          <w:szCs w:val="20"/>
          <w:lang w:val="en-US"/>
        </w:rPr>
        <w:t xml:space="preserve">, J.H., Kennedy, J.L., 2013. Study of the catechol-o-methyltransferase (COMT) gene with high aggression in children. Aggress. </w:t>
      </w:r>
      <w:proofErr w:type="spellStart"/>
      <w:r>
        <w:rPr>
          <w:sz w:val="20"/>
          <w:szCs w:val="20"/>
          <w:lang w:val="en-US"/>
        </w:rPr>
        <w:t>Behav</w:t>
      </w:r>
      <w:proofErr w:type="spellEnd"/>
      <w:r>
        <w:rPr>
          <w:sz w:val="20"/>
          <w:szCs w:val="20"/>
          <w:lang w:val="en-US"/>
        </w:rPr>
        <w:t>. 39, 45-51.</w:t>
      </w:r>
    </w:p>
    <w:p w:rsidR="002B3765" w:rsidRPr="00B26E04" w:rsidRDefault="0096787B" w:rsidP="00113B97">
      <w:pPr>
        <w:widowControl w:val="0"/>
        <w:autoSpaceDE w:val="0"/>
        <w:autoSpaceDN w:val="0"/>
        <w:adjustRightInd w:val="0"/>
        <w:spacing w:after="120" w:line="480" w:lineRule="auto"/>
        <w:rPr>
          <w:sz w:val="20"/>
          <w:szCs w:val="20"/>
          <w:lang w:val="en-US"/>
        </w:rPr>
      </w:pPr>
      <w:proofErr w:type="spellStart"/>
      <w:r>
        <w:rPr>
          <w:sz w:val="20"/>
          <w:szCs w:val="20"/>
          <w:lang w:val="en-US"/>
        </w:rPr>
        <w:t>Holz</w:t>
      </w:r>
      <w:proofErr w:type="spellEnd"/>
      <w:r>
        <w:rPr>
          <w:sz w:val="20"/>
          <w:szCs w:val="20"/>
          <w:lang w:val="en-US"/>
        </w:rPr>
        <w:t xml:space="preserve">, N, </w:t>
      </w:r>
      <w:proofErr w:type="spellStart"/>
      <w:r>
        <w:rPr>
          <w:sz w:val="20"/>
          <w:szCs w:val="20"/>
          <w:lang w:val="en-US"/>
        </w:rPr>
        <w:t>Boecker</w:t>
      </w:r>
      <w:proofErr w:type="spellEnd"/>
      <w:r>
        <w:rPr>
          <w:sz w:val="20"/>
          <w:szCs w:val="20"/>
          <w:lang w:val="en-US"/>
        </w:rPr>
        <w:t xml:space="preserve">, R., Buchmann, A.F., </w:t>
      </w:r>
      <w:proofErr w:type="spellStart"/>
      <w:r>
        <w:rPr>
          <w:sz w:val="20"/>
          <w:szCs w:val="20"/>
          <w:lang w:val="en-US"/>
        </w:rPr>
        <w:t>Blomeyer</w:t>
      </w:r>
      <w:proofErr w:type="spellEnd"/>
      <w:r>
        <w:rPr>
          <w:sz w:val="20"/>
          <w:szCs w:val="20"/>
          <w:lang w:val="en-US"/>
        </w:rPr>
        <w:t xml:space="preserve">, D., Baumeister, S., Hohmann, S., </w:t>
      </w:r>
      <w:proofErr w:type="spellStart"/>
      <w:r>
        <w:rPr>
          <w:sz w:val="20"/>
          <w:szCs w:val="20"/>
          <w:lang w:val="en-US"/>
        </w:rPr>
        <w:t>Jennen</w:t>
      </w:r>
      <w:proofErr w:type="spellEnd"/>
      <w:r>
        <w:rPr>
          <w:sz w:val="20"/>
          <w:szCs w:val="20"/>
          <w:lang w:val="en-US"/>
        </w:rPr>
        <w:t xml:space="preserve">-Steinmetz, C., Wolf, I., </w:t>
      </w:r>
      <w:proofErr w:type="spellStart"/>
      <w:r>
        <w:rPr>
          <w:sz w:val="20"/>
          <w:szCs w:val="20"/>
          <w:lang w:val="en-US"/>
        </w:rPr>
        <w:t>Rietschel</w:t>
      </w:r>
      <w:proofErr w:type="spellEnd"/>
      <w:r>
        <w:rPr>
          <w:sz w:val="20"/>
          <w:szCs w:val="20"/>
          <w:lang w:val="en-US"/>
        </w:rPr>
        <w:t xml:space="preserve">, M., Witt, S.H., </w:t>
      </w:r>
      <w:proofErr w:type="spellStart"/>
      <w:r>
        <w:rPr>
          <w:sz w:val="20"/>
          <w:szCs w:val="20"/>
          <w:lang w:val="en-US"/>
        </w:rPr>
        <w:t>Plichta</w:t>
      </w:r>
      <w:proofErr w:type="spellEnd"/>
      <w:r>
        <w:rPr>
          <w:sz w:val="20"/>
          <w:szCs w:val="20"/>
          <w:lang w:val="en-US"/>
        </w:rPr>
        <w:t xml:space="preserve">, M.M., Meyer-Lindenberg, A., Schmidt, M.H., </w:t>
      </w:r>
      <w:proofErr w:type="spellStart"/>
      <w:r>
        <w:rPr>
          <w:sz w:val="20"/>
          <w:szCs w:val="20"/>
          <w:lang w:val="en-US"/>
        </w:rPr>
        <w:t>Esser</w:t>
      </w:r>
      <w:proofErr w:type="spellEnd"/>
      <w:r>
        <w:rPr>
          <w:sz w:val="20"/>
          <w:szCs w:val="20"/>
          <w:lang w:val="en-US"/>
        </w:rPr>
        <w:t xml:space="preserve">, G., </w:t>
      </w:r>
      <w:proofErr w:type="spellStart"/>
      <w:r>
        <w:rPr>
          <w:sz w:val="20"/>
          <w:szCs w:val="20"/>
          <w:lang w:val="en-US"/>
        </w:rPr>
        <w:t>Banaschewski</w:t>
      </w:r>
      <w:proofErr w:type="spellEnd"/>
      <w:r>
        <w:rPr>
          <w:sz w:val="20"/>
          <w:szCs w:val="20"/>
          <w:lang w:val="en-US"/>
        </w:rPr>
        <w:t xml:space="preserve">, T., Brandeis, D., </w:t>
      </w:r>
      <w:proofErr w:type="spellStart"/>
      <w:r>
        <w:rPr>
          <w:sz w:val="20"/>
          <w:szCs w:val="20"/>
          <w:lang w:val="en-US"/>
        </w:rPr>
        <w:t>Laucht</w:t>
      </w:r>
      <w:proofErr w:type="spellEnd"/>
      <w:r>
        <w:rPr>
          <w:sz w:val="20"/>
          <w:szCs w:val="20"/>
          <w:lang w:val="en-US"/>
        </w:rPr>
        <w:t xml:space="preserve">, M., 2016. Evidence for a Sex-Dependent MAOA× Childhood Stress Interaction in the Neural Circuitry of Aggression. </w:t>
      </w:r>
      <w:proofErr w:type="spellStart"/>
      <w:r>
        <w:rPr>
          <w:sz w:val="20"/>
          <w:szCs w:val="20"/>
          <w:lang w:val="en-US"/>
        </w:rPr>
        <w:t>Cereb</w:t>
      </w:r>
      <w:proofErr w:type="spellEnd"/>
      <w:r>
        <w:rPr>
          <w:sz w:val="20"/>
          <w:szCs w:val="20"/>
          <w:lang w:val="en-US"/>
        </w:rPr>
        <w:t>. Cortex 26, 904-914.</w:t>
      </w:r>
    </w:p>
    <w:p w:rsidR="00E20205" w:rsidRPr="00B26E04" w:rsidRDefault="0096787B" w:rsidP="00E20205">
      <w:pPr>
        <w:widowControl w:val="0"/>
        <w:autoSpaceDE w:val="0"/>
        <w:autoSpaceDN w:val="0"/>
        <w:adjustRightInd w:val="0"/>
        <w:spacing w:after="120" w:line="480" w:lineRule="auto"/>
        <w:rPr>
          <w:sz w:val="20"/>
          <w:szCs w:val="20"/>
          <w:lang w:val="en-US"/>
        </w:rPr>
      </w:pPr>
      <w:r>
        <w:rPr>
          <w:sz w:val="20"/>
          <w:szCs w:val="20"/>
          <w:lang w:val="en-US"/>
        </w:rPr>
        <w:t xml:space="preserve">Hohmann, S., Becker, K., </w:t>
      </w:r>
      <w:proofErr w:type="spellStart"/>
      <w:r>
        <w:rPr>
          <w:sz w:val="20"/>
          <w:szCs w:val="20"/>
          <w:lang w:val="en-US"/>
        </w:rPr>
        <w:t>Fellinger</w:t>
      </w:r>
      <w:proofErr w:type="spellEnd"/>
      <w:r>
        <w:rPr>
          <w:sz w:val="20"/>
          <w:szCs w:val="20"/>
          <w:lang w:val="en-US"/>
        </w:rPr>
        <w:t xml:space="preserve">, J., </w:t>
      </w:r>
      <w:proofErr w:type="spellStart"/>
      <w:r>
        <w:rPr>
          <w:sz w:val="20"/>
          <w:szCs w:val="20"/>
          <w:lang w:val="en-US"/>
        </w:rPr>
        <w:t>Banaschewski</w:t>
      </w:r>
      <w:proofErr w:type="spellEnd"/>
      <w:r>
        <w:rPr>
          <w:sz w:val="20"/>
          <w:szCs w:val="20"/>
          <w:lang w:val="en-US"/>
        </w:rPr>
        <w:t xml:space="preserve">, T., Schmidt, M.H., </w:t>
      </w:r>
      <w:proofErr w:type="spellStart"/>
      <w:r>
        <w:rPr>
          <w:sz w:val="20"/>
          <w:szCs w:val="20"/>
          <w:lang w:val="en-US"/>
        </w:rPr>
        <w:t>Esser</w:t>
      </w:r>
      <w:proofErr w:type="spellEnd"/>
      <w:r>
        <w:rPr>
          <w:sz w:val="20"/>
          <w:szCs w:val="20"/>
          <w:lang w:val="en-US"/>
        </w:rPr>
        <w:t xml:space="preserve">, G., </w:t>
      </w:r>
      <w:proofErr w:type="spellStart"/>
      <w:r>
        <w:rPr>
          <w:sz w:val="20"/>
          <w:szCs w:val="20"/>
          <w:lang w:val="en-US"/>
        </w:rPr>
        <w:t>Laucht</w:t>
      </w:r>
      <w:proofErr w:type="spellEnd"/>
      <w:r>
        <w:rPr>
          <w:sz w:val="20"/>
          <w:szCs w:val="20"/>
          <w:lang w:val="en-US"/>
        </w:rPr>
        <w:t xml:space="preserve">, M., 2009. Evidence for epistasis between the 5-HTTLPR and the dopamine D4 receptor polymorphisms in externalizing behavior among 15-year-olds. J. Neural </w:t>
      </w:r>
      <w:proofErr w:type="spellStart"/>
      <w:r>
        <w:rPr>
          <w:sz w:val="20"/>
          <w:szCs w:val="20"/>
          <w:lang w:val="en-US"/>
        </w:rPr>
        <w:t>Transm</w:t>
      </w:r>
      <w:proofErr w:type="spellEnd"/>
      <w:r>
        <w:rPr>
          <w:sz w:val="20"/>
          <w:szCs w:val="20"/>
          <w:lang w:val="en-US"/>
        </w:rPr>
        <w:t>. (Vienna) 116, 1621-1629.</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Hong, J., Shu-Leong, H., Tao, X., Lap-Ping, Y., 1998. Distribution of catechol-O-methyltransferase expression in human central nervous system. </w:t>
      </w:r>
      <w:proofErr w:type="spellStart"/>
      <w:r>
        <w:rPr>
          <w:sz w:val="20"/>
          <w:szCs w:val="20"/>
          <w:lang w:val="en-US"/>
        </w:rPr>
        <w:t>Neuroreport</w:t>
      </w:r>
      <w:proofErr w:type="spellEnd"/>
      <w:r>
        <w:rPr>
          <w:sz w:val="20"/>
          <w:szCs w:val="20"/>
          <w:lang w:val="en-US"/>
        </w:rPr>
        <w:t xml:space="preserve"> 9, 2861-2864.</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Hong, K.W., Weiss, A., </w:t>
      </w:r>
      <w:proofErr w:type="spellStart"/>
      <w:r>
        <w:rPr>
          <w:sz w:val="20"/>
          <w:szCs w:val="20"/>
          <w:lang w:val="en-US"/>
        </w:rPr>
        <w:t>Morimura</w:t>
      </w:r>
      <w:proofErr w:type="spellEnd"/>
      <w:r>
        <w:rPr>
          <w:sz w:val="20"/>
          <w:szCs w:val="20"/>
          <w:lang w:val="en-US"/>
        </w:rPr>
        <w:t xml:space="preserve">, N., </w:t>
      </w:r>
      <w:proofErr w:type="spellStart"/>
      <w:r>
        <w:rPr>
          <w:sz w:val="20"/>
          <w:szCs w:val="20"/>
          <w:lang w:val="en-US"/>
        </w:rPr>
        <w:t>Udono</w:t>
      </w:r>
      <w:proofErr w:type="spellEnd"/>
      <w:r>
        <w:rPr>
          <w:sz w:val="20"/>
          <w:szCs w:val="20"/>
          <w:lang w:val="en-US"/>
        </w:rPr>
        <w:t xml:space="preserve">, T., </w:t>
      </w:r>
      <w:proofErr w:type="spellStart"/>
      <w:r>
        <w:rPr>
          <w:sz w:val="20"/>
          <w:szCs w:val="20"/>
          <w:lang w:val="en-US"/>
        </w:rPr>
        <w:t>Hayasaka</w:t>
      </w:r>
      <w:proofErr w:type="spellEnd"/>
      <w:r>
        <w:rPr>
          <w:sz w:val="20"/>
          <w:szCs w:val="20"/>
          <w:lang w:val="en-US"/>
        </w:rPr>
        <w:t xml:space="preserve">, I., </w:t>
      </w:r>
      <w:proofErr w:type="spellStart"/>
      <w:r>
        <w:rPr>
          <w:sz w:val="20"/>
          <w:szCs w:val="20"/>
          <w:lang w:val="en-US"/>
        </w:rPr>
        <w:t>Humle</w:t>
      </w:r>
      <w:proofErr w:type="spellEnd"/>
      <w:r>
        <w:rPr>
          <w:sz w:val="20"/>
          <w:szCs w:val="20"/>
          <w:lang w:val="en-US"/>
        </w:rPr>
        <w:t xml:space="preserve">, T., Murayama, Y., Ito, S., Inoue-Murayama, M., 2011. Polymorphism of the tryptophan hydroxylase 2 (TPH2) gene is associated with chimpanzee neuroticism. </w:t>
      </w:r>
      <w:proofErr w:type="spellStart"/>
      <w:r>
        <w:rPr>
          <w:sz w:val="20"/>
          <w:szCs w:val="20"/>
          <w:lang w:val="en-US"/>
        </w:rPr>
        <w:t>PLoS</w:t>
      </w:r>
      <w:proofErr w:type="spellEnd"/>
      <w:r>
        <w:rPr>
          <w:sz w:val="20"/>
          <w:szCs w:val="20"/>
          <w:lang w:val="en-US"/>
        </w:rPr>
        <w:t xml:space="preserve"> One 6, e22144.</w:t>
      </w:r>
    </w:p>
    <w:p w:rsidR="00ED6D63"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lastRenderedPageBreak/>
        <w:t xml:space="preserve">Hornung, J.P., 2003. The human raphe nuclei and the serotonergic system. J. Chem. </w:t>
      </w:r>
      <w:proofErr w:type="spellStart"/>
      <w:r>
        <w:rPr>
          <w:sz w:val="20"/>
          <w:szCs w:val="20"/>
          <w:lang w:val="en-US"/>
        </w:rPr>
        <w:t>Neuroanat</w:t>
      </w:r>
      <w:proofErr w:type="spellEnd"/>
      <w:r>
        <w:rPr>
          <w:sz w:val="20"/>
          <w:szCs w:val="20"/>
          <w:lang w:val="en-US"/>
        </w:rPr>
        <w:t>. 26, 331-43.</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Howes, O.D., </w:t>
      </w:r>
      <w:proofErr w:type="spellStart"/>
      <w:r>
        <w:rPr>
          <w:sz w:val="20"/>
          <w:szCs w:val="20"/>
          <w:lang w:val="en-US"/>
        </w:rPr>
        <w:t>Kapur</w:t>
      </w:r>
      <w:proofErr w:type="spellEnd"/>
      <w:r>
        <w:rPr>
          <w:sz w:val="20"/>
          <w:szCs w:val="20"/>
          <w:lang w:val="en-US"/>
        </w:rPr>
        <w:t xml:space="preserve">, S., 2009. The dopamine hypothesis of schizophrenia: version III--the final common pathway. </w:t>
      </w:r>
      <w:proofErr w:type="spellStart"/>
      <w:r>
        <w:rPr>
          <w:sz w:val="20"/>
          <w:szCs w:val="20"/>
          <w:lang w:val="en-US"/>
        </w:rPr>
        <w:t>Schizophr</w:t>
      </w:r>
      <w:proofErr w:type="spellEnd"/>
      <w:r>
        <w:rPr>
          <w:sz w:val="20"/>
          <w:szCs w:val="20"/>
          <w:lang w:val="en-US"/>
        </w:rPr>
        <w:t>. Bull. 35, 549-562.</w:t>
      </w:r>
    </w:p>
    <w:p w:rsidR="00352A2A" w:rsidRPr="00B26E04" w:rsidRDefault="0096787B" w:rsidP="00113B97">
      <w:pPr>
        <w:widowControl w:val="0"/>
        <w:autoSpaceDE w:val="0"/>
        <w:autoSpaceDN w:val="0"/>
        <w:adjustRightInd w:val="0"/>
        <w:spacing w:after="120" w:line="480" w:lineRule="auto"/>
        <w:rPr>
          <w:sz w:val="20"/>
          <w:szCs w:val="20"/>
          <w:lang w:val="en-US"/>
        </w:rPr>
      </w:pPr>
      <w:proofErr w:type="spellStart"/>
      <w:r>
        <w:rPr>
          <w:sz w:val="20"/>
          <w:szCs w:val="20"/>
          <w:lang w:val="en-US"/>
        </w:rPr>
        <w:t>Howner</w:t>
      </w:r>
      <w:proofErr w:type="spellEnd"/>
      <w:r>
        <w:rPr>
          <w:sz w:val="20"/>
          <w:szCs w:val="20"/>
          <w:lang w:val="en-US"/>
        </w:rPr>
        <w:t xml:space="preserve">, K., </w:t>
      </w:r>
      <w:proofErr w:type="spellStart"/>
      <w:r>
        <w:rPr>
          <w:sz w:val="20"/>
          <w:szCs w:val="20"/>
          <w:lang w:val="en-US"/>
        </w:rPr>
        <w:t>Eskildsen</w:t>
      </w:r>
      <w:proofErr w:type="spellEnd"/>
      <w:r>
        <w:rPr>
          <w:sz w:val="20"/>
          <w:szCs w:val="20"/>
          <w:lang w:val="en-US"/>
        </w:rPr>
        <w:t xml:space="preserve">, S.F., Fischer, H., Dierks, T., </w:t>
      </w:r>
      <w:proofErr w:type="spellStart"/>
      <w:r>
        <w:rPr>
          <w:sz w:val="20"/>
          <w:szCs w:val="20"/>
          <w:lang w:val="en-US"/>
        </w:rPr>
        <w:t>Wahlund</w:t>
      </w:r>
      <w:proofErr w:type="spellEnd"/>
      <w:r>
        <w:rPr>
          <w:sz w:val="20"/>
          <w:szCs w:val="20"/>
          <w:lang w:val="en-US"/>
        </w:rPr>
        <w:t xml:space="preserve">, L.O., Jonsson, T., </w:t>
      </w:r>
      <w:proofErr w:type="spellStart"/>
      <w:r>
        <w:rPr>
          <w:sz w:val="20"/>
          <w:szCs w:val="20"/>
          <w:lang w:val="en-US"/>
        </w:rPr>
        <w:t>Wiberg</w:t>
      </w:r>
      <w:proofErr w:type="spellEnd"/>
      <w:r>
        <w:rPr>
          <w:sz w:val="20"/>
          <w:szCs w:val="20"/>
          <w:lang w:val="en-US"/>
        </w:rPr>
        <w:t xml:space="preserve">, M.K., </w:t>
      </w:r>
      <w:proofErr w:type="spellStart"/>
      <w:r>
        <w:rPr>
          <w:sz w:val="20"/>
          <w:szCs w:val="20"/>
          <w:lang w:val="en-US"/>
        </w:rPr>
        <w:t>Kristiansson</w:t>
      </w:r>
      <w:proofErr w:type="spellEnd"/>
      <w:r>
        <w:rPr>
          <w:sz w:val="20"/>
          <w:szCs w:val="20"/>
          <w:lang w:val="en-US"/>
        </w:rPr>
        <w:t>, M., 2012. Thinner cortex in the frontal lobes in mentally disordered offenders. Psychiatry Res. 203, 126-131.</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Hoyer, D., Clarke, D.E., </w:t>
      </w:r>
      <w:proofErr w:type="spellStart"/>
      <w:r>
        <w:rPr>
          <w:sz w:val="20"/>
          <w:szCs w:val="20"/>
          <w:lang w:val="en-US"/>
        </w:rPr>
        <w:t>Fozard</w:t>
      </w:r>
      <w:proofErr w:type="spellEnd"/>
      <w:r>
        <w:rPr>
          <w:sz w:val="20"/>
          <w:szCs w:val="20"/>
          <w:lang w:val="en-US"/>
        </w:rPr>
        <w:t xml:space="preserve">, J.R., </w:t>
      </w:r>
      <w:proofErr w:type="spellStart"/>
      <w:r>
        <w:rPr>
          <w:sz w:val="20"/>
          <w:szCs w:val="20"/>
          <w:lang w:val="en-US"/>
        </w:rPr>
        <w:t>Hartig</w:t>
      </w:r>
      <w:proofErr w:type="spellEnd"/>
      <w:r>
        <w:rPr>
          <w:sz w:val="20"/>
          <w:szCs w:val="20"/>
          <w:lang w:val="en-US"/>
        </w:rPr>
        <w:t xml:space="preserve">, P.R., Martin, G.R., </w:t>
      </w:r>
      <w:proofErr w:type="spellStart"/>
      <w:r>
        <w:rPr>
          <w:sz w:val="20"/>
          <w:szCs w:val="20"/>
          <w:lang w:val="en-US"/>
        </w:rPr>
        <w:t>Mylecharane</w:t>
      </w:r>
      <w:proofErr w:type="spellEnd"/>
      <w:r>
        <w:rPr>
          <w:sz w:val="20"/>
          <w:szCs w:val="20"/>
          <w:lang w:val="en-US"/>
        </w:rPr>
        <w:t xml:space="preserve">, E.J., Saxena, P.R., Humphrey, P.P., 1994. International Union of Pharmacology classification of receptors for 5-hydroxytryptamine (Serotonin). </w:t>
      </w:r>
      <w:proofErr w:type="spellStart"/>
      <w:r>
        <w:rPr>
          <w:sz w:val="20"/>
          <w:szCs w:val="20"/>
          <w:lang w:val="en-US"/>
        </w:rPr>
        <w:t>Pharmacol</w:t>
      </w:r>
      <w:proofErr w:type="spellEnd"/>
      <w:r>
        <w:rPr>
          <w:sz w:val="20"/>
          <w:szCs w:val="20"/>
          <w:lang w:val="en-US"/>
        </w:rPr>
        <w:t>. Rev. 46, 157-203.</w:t>
      </w:r>
    </w:p>
    <w:p w:rsidR="00352A2A" w:rsidRPr="00B26E04" w:rsidRDefault="0096787B" w:rsidP="00113B97">
      <w:pPr>
        <w:widowControl w:val="0"/>
        <w:autoSpaceDE w:val="0"/>
        <w:autoSpaceDN w:val="0"/>
        <w:adjustRightInd w:val="0"/>
        <w:spacing w:after="120" w:line="480" w:lineRule="auto"/>
        <w:rPr>
          <w:sz w:val="20"/>
          <w:szCs w:val="20"/>
          <w:lang w:val="en-US"/>
        </w:rPr>
      </w:pPr>
      <w:proofErr w:type="spellStart"/>
      <w:r>
        <w:rPr>
          <w:sz w:val="20"/>
          <w:szCs w:val="20"/>
          <w:lang w:val="en-US"/>
        </w:rPr>
        <w:t>Hranilovic</w:t>
      </w:r>
      <w:proofErr w:type="spellEnd"/>
      <w:r>
        <w:rPr>
          <w:sz w:val="20"/>
          <w:szCs w:val="20"/>
          <w:lang w:val="en-US"/>
        </w:rPr>
        <w:t xml:space="preserve">, D., </w:t>
      </w:r>
      <w:proofErr w:type="spellStart"/>
      <w:r>
        <w:rPr>
          <w:sz w:val="20"/>
          <w:szCs w:val="20"/>
          <w:lang w:val="en-US"/>
        </w:rPr>
        <w:t>Stefulj</w:t>
      </w:r>
      <w:proofErr w:type="spellEnd"/>
      <w:r>
        <w:rPr>
          <w:sz w:val="20"/>
          <w:szCs w:val="20"/>
          <w:lang w:val="en-US"/>
        </w:rPr>
        <w:t xml:space="preserve">, J., Schwab, S., </w:t>
      </w:r>
      <w:proofErr w:type="spellStart"/>
      <w:r>
        <w:rPr>
          <w:sz w:val="20"/>
          <w:szCs w:val="20"/>
          <w:lang w:val="en-US"/>
        </w:rPr>
        <w:t>Borrmann-Hassenbach</w:t>
      </w:r>
      <w:proofErr w:type="spellEnd"/>
      <w:r>
        <w:rPr>
          <w:sz w:val="20"/>
          <w:szCs w:val="20"/>
          <w:lang w:val="en-US"/>
        </w:rPr>
        <w:t xml:space="preserve">, M., Albus, M., </w:t>
      </w:r>
      <w:proofErr w:type="spellStart"/>
      <w:r>
        <w:rPr>
          <w:sz w:val="20"/>
          <w:szCs w:val="20"/>
          <w:lang w:val="en-US"/>
        </w:rPr>
        <w:t>Jernej</w:t>
      </w:r>
      <w:proofErr w:type="spellEnd"/>
      <w:r>
        <w:rPr>
          <w:sz w:val="20"/>
          <w:szCs w:val="20"/>
          <w:lang w:val="en-US"/>
        </w:rPr>
        <w:t xml:space="preserve">, B., </w:t>
      </w:r>
      <w:proofErr w:type="spellStart"/>
      <w:r>
        <w:rPr>
          <w:sz w:val="20"/>
          <w:szCs w:val="20"/>
          <w:lang w:val="en-US"/>
        </w:rPr>
        <w:t>Wildenauer</w:t>
      </w:r>
      <w:proofErr w:type="spellEnd"/>
      <w:r>
        <w:rPr>
          <w:sz w:val="20"/>
          <w:szCs w:val="20"/>
          <w:lang w:val="en-US"/>
        </w:rPr>
        <w:t>, D., 2004. Serotonin transporter promoter and intron 2 polymorphisms: relationship between allelic variants and gene expression. Biol. Psychiatry 55, 1090-1094.</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Hu, X.Z., Lipsky, R.H., Zhu, G., Akhtar, L.A., Taubman, J., Greenberg, B.D., Xu, K., Arnold, P.D., Richter, M.A., Kennedy, J.L., Murphy, D.L., Goldman, D., 2006. Serotonin transporter promoter gain-of-function genotypes are linked to obsessive-compulsive disorder. Am. J. Hum. Genet. 78, 815-826. </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Isenberg, N., </w:t>
      </w:r>
      <w:proofErr w:type="spellStart"/>
      <w:r>
        <w:rPr>
          <w:sz w:val="20"/>
          <w:szCs w:val="20"/>
          <w:lang w:val="en-US"/>
        </w:rPr>
        <w:t>Silbersweig</w:t>
      </w:r>
      <w:proofErr w:type="spellEnd"/>
      <w:r>
        <w:rPr>
          <w:sz w:val="20"/>
          <w:szCs w:val="20"/>
          <w:lang w:val="en-US"/>
        </w:rPr>
        <w:t xml:space="preserve">, D., </w:t>
      </w:r>
      <w:proofErr w:type="spellStart"/>
      <w:r>
        <w:rPr>
          <w:sz w:val="20"/>
          <w:szCs w:val="20"/>
          <w:lang w:val="en-US"/>
        </w:rPr>
        <w:t>Engelien</w:t>
      </w:r>
      <w:proofErr w:type="spellEnd"/>
      <w:r>
        <w:rPr>
          <w:sz w:val="20"/>
          <w:szCs w:val="20"/>
          <w:lang w:val="en-US"/>
        </w:rPr>
        <w:t xml:space="preserve">, A., Emmerich, S., </w:t>
      </w:r>
      <w:proofErr w:type="spellStart"/>
      <w:r>
        <w:rPr>
          <w:sz w:val="20"/>
          <w:szCs w:val="20"/>
          <w:lang w:val="en-US"/>
        </w:rPr>
        <w:t>Malavade</w:t>
      </w:r>
      <w:proofErr w:type="spellEnd"/>
      <w:r>
        <w:rPr>
          <w:sz w:val="20"/>
          <w:szCs w:val="20"/>
          <w:lang w:val="en-US"/>
        </w:rPr>
        <w:t>, K., Beattie, B., Leon, A.C., Stern, E., 1999. Linguistic threat activates the human amygdala. Proc. Natl. Acad. Sci. U. S. A. 96, 10456-10459.</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Jaber, M., Robinson, S.W., </w:t>
      </w:r>
      <w:proofErr w:type="spellStart"/>
      <w:r>
        <w:rPr>
          <w:sz w:val="20"/>
          <w:szCs w:val="20"/>
          <w:lang w:val="en-US"/>
        </w:rPr>
        <w:t>Missale</w:t>
      </w:r>
      <w:proofErr w:type="spellEnd"/>
      <w:r>
        <w:rPr>
          <w:sz w:val="20"/>
          <w:szCs w:val="20"/>
          <w:lang w:val="en-US"/>
        </w:rPr>
        <w:t>, C., Caron, M.G., 1996. Dopamine receptors and brain function. Neuropharmacology 35, 1503-1519.</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Jeffery, D.R., Roth, J.A., 1985. Purification and kinetic mechanism of human brain soluble catechol-O-methyltransferase. J. </w:t>
      </w:r>
      <w:proofErr w:type="spellStart"/>
      <w:r>
        <w:rPr>
          <w:sz w:val="20"/>
          <w:szCs w:val="20"/>
          <w:lang w:val="en-US"/>
        </w:rPr>
        <w:t>Neurochem</w:t>
      </w:r>
      <w:proofErr w:type="spellEnd"/>
      <w:r>
        <w:rPr>
          <w:sz w:val="20"/>
          <w:szCs w:val="20"/>
          <w:lang w:val="en-US"/>
        </w:rPr>
        <w:t>. 44, 881-885.</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Jeffery, D.R., Roth, J.A., 1987. Kinetic reaction mechanism for magnesium binding to membrane-bound and soluble catechol O-methyltransferase. Biochemistry 26, 2955-2958.</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Jensen, K.P., </w:t>
      </w:r>
      <w:proofErr w:type="spellStart"/>
      <w:r>
        <w:rPr>
          <w:sz w:val="20"/>
          <w:szCs w:val="20"/>
          <w:lang w:val="en-US"/>
        </w:rPr>
        <w:t>Covault</w:t>
      </w:r>
      <w:proofErr w:type="spellEnd"/>
      <w:r>
        <w:rPr>
          <w:sz w:val="20"/>
          <w:szCs w:val="20"/>
          <w:lang w:val="en-US"/>
        </w:rPr>
        <w:t xml:space="preserve">, J., Conner, T.S., </w:t>
      </w:r>
      <w:proofErr w:type="spellStart"/>
      <w:r>
        <w:rPr>
          <w:sz w:val="20"/>
          <w:szCs w:val="20"/>
          <w:lang w:val="en-US"/>
        </w:rPr>
        <w:t>Tennen</w:t>
      </w:r>
      <w:proofErr w:type="spellEnd"/>
      <w:r>
        <w:rPr>
          <w:sz w:val="20"/>
          <w:szCs w:val="20"/>
          <w:lang w:val="en-US"/>
        </w:rPr>
        <w:t xml:space="preserve">, H., </w:t>
      </w:r>
      <w:proofErr w:type="spellStart"/>
      <w:r>
        <w:rPr>
          <w:sz w:val="20"/>
          <w:szCs w:val="20"/>
          <w:lang w:val="en-US"/>
        </w:rPr>
        <w:t>Kranzler</w:t>
      </w:r>
      <w:proofErr w:type="spellEnd"/>
      <w:r>
        <w:rPr>
          <w:sz w:val="20"/>
          <w:szCs w:val="20"/>
          <w:lang w:val="en-US"/>
        </w:rPr>
        <w:t xml:space="preserve">, H.R., </w:t>
      </w:r>
      <w:proofErr w:type="spellStart"/>
      <w:r>
        <w:rPr>
          <w:sz w:val="20"/>
          <w:szCs w:val="20"/>
          <w:lang w:val="en-US"/>
        </w:rPr>
        <w:t>Furneaux</w:t>
      </w:r>
      <w:proofErr w:type="spellEnd"/>
      <w:r>
        <w:rPr>
          <w:sz w:val="20"/>
          <w:szCs w:val="20"/>
          <w:lang w:val="en-US"/>
        </w:rPr>
        <w:t>, H.M., 2009. A common polymorphism in serotonin receptor 1B mRNA moderates regulation by miR-96 and associates with aggressive human behaviors. Mol. Psychiatry 14, 381-389.</w:t>
      </w:r>
    </w:p>
    <w:p w:rsidR="00352A2A" w:rsidRPr="00B26E04" w:rsidRDefault="0096787B" w:rsidP="00113B97">
      <w:pPr>
        <w:widowControl w:val="0"/>
        <w:autoSpaceDE w:val="0"/>
        <w:autoSpaceDN w:val="0"/>
        <w:adjustRightInd w:val="0"/>
        <w:spacing w:after="120" w:line="480" w:lineRule="auto"/>
        <w:rPr>
          <w:sz w:val="20"/>
          <w:szCs w:val="20"/>
          <w:lang w:val="en-US"/>
        </w:rPr>
      </w:pPr>
      <w:proofErr w:type="spellStart"/>
      <w:r>
        <w:rPr>
          <w:sz w:val="20"/>
          <w:szCs w:val="20"/>
          <w:lang w:val="en-US"/>
        </w:rPr>
        <w:t>Jeurissen</w:t>
      </w:r>
      <w:proofErr w:type="spellEnd"/>
      <w:r>
        <w:rPr>
          <w:sz w:val="20"/>
          <w:szCs w:val="20"/>
          <w:lang w:val="en-US"/>
        </w:rPr>
        <w:t xml:space="preserve">, D., Sack, A.T., </w:t>
      </w:r>
      <w:proofErr w:type="spellStart"/>
      <w:r>
        <w:rPr>
          <w:sz w:val="20"/>
          <w:szCs w:val="20"/>
          <w:lang w:val="en-US"/>
        </w:rPr>
        <w:t>Roebroeck</w:t>
      </w:r>
      <w:proofErr w:type="spellEnd"/>
      <w:r>
        <w:rPr>
          <w:sz w:val="20"/>
          <w:szCs w:val="20"/>
          <w:lang w:val="en-US"/>
        </w:rPr>
        <w:t xml:space="preserve">, A., Russ, B.E., Pascual-Leone, A., 2014. TMS affects moral judgment, showing the role of DLPFC and TPJ in cognitive and emotional processing. Front. </w:t>
      </w:r>
      <w:proofErr w:type="spellStart"/>
      <w:r>
        <w:rPr>
          <w:sz w:val="20"/>
          <w:szCs w:val="20"/>
          <w:lang w:val="en-US"/>
        </w:rPr>
        <w:t>Neurosci</w:t>
      </w:r>
      <w:proofErr w:type="spellEnd"/>
      <w:r>
        <w:rPr>
          <w:sz w:val="20"/>
          <w:szCs w:val="20"/>
          <w:lang w:val="en-US"/>
        </w:rPr>
        <w:t>. 8, 18.</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Jovanovic, T., Vance, L.A., Cross, D., Knight, A.K., Kilaru, V., </w:t>
      </w:r>
      <w:proofErr w:type="spellStart"/>
      <w:r>
        <w:rPr>
          <w:sz w:val="20"/>
          <w:szCs w:val="20"/>
          <w:lang w:val="en-US"/>
        </w:rPr>
        <w:t>Michopoulos</w:t>
      </w:r>
      <w:proofErr w:type="spellEnd"/>
      <w:r>
        <w:rPr>
          <w:sz w:val="20"/>
          <w:szCs w:val="20"/>
          <w:lang w:val="en-US"/>
        </w:rPr>
        <w:t xml:space="preserve">, V., </w:t>
      </w:r>
      <w:proofErr w:type="spellStart"/>
      <w:r>
        <w:rPr>
          <w:sz w:val="20"/>
          <w:szCs w:val="20"/>
          <w:lang w:val="en-US"/>
        </w:rPr>
        <w:t>Klengel</w:t>
      </w:r>
      <w:proofErr w:type="spellEnd"/>
      <w:r>
        <w:rPr>
          <w:sz w:val="20"/>
          <w:szCs w:val="20"/>
          <w:lang w:val="en-US"/>
        </w:rPr>
        <w:t xml:space="preserve">, T., Smith, A.K., </w:t>
      </w:r>
      <w:r>
        <w:rPr>
          <w:sz w:val="20"/>
          <w:szCs w:val="20"/>
          <w:lang w:val="en-US"/>
        </w:rPr>
        <w:lastRenderedPageBreak/>
        <w:t>2017. Exposure to Violence Accelerates Epigenetic Aging in Children. Sci. Rep. 7, 8962.</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Jovanovic, V., Guan, H.C., Van Tol, H.H., 1999. Comparative pharmacological and functional analysis of the human dopamine D4.2 and D4.10 receptor variants. Pharmacogenetics 9, 561-568.</w:t>
      </w:r>
    </w:p>
    <w:p w:rsidR="00352A2A" w:rsidRPr="00B26E04" w:rsidRDefault="0096787B" w:rsidP="00113B97">
      <w:pPr>
        <w:widowControl w:val="0"/>
        <w:autoSpaceDE w:val="0"/>
        <w:autoSpaceDN w:val="0"/>
        <w:adjustRightInd w:val="0"/>
        <w:spacing w:after="120" w:line="480" w:lineRule="auto"/>
        <w:rPr>
          <w:sz w:val="20"/>
          <w:szCs w:val="20"/>
          <w:lang w:val="en-US"/>
        </w:rPr>
      </w:pPr>
      <w:proofErr w:type="spellStart"/>
      <w:r>
        <w:rPr>
          <w:sz w:val="20"/>
          <w:szCs w:val="20"/>
          <w:lang w:val="en-US"/>
        </w:rPr>
        <w:t>Joyal</w:t>
      </w:r>
      <w:proofErr w:type="spellEnd"/>
      <w:r>
        <w:rPr>
          <w:sz w:val="20"/>
          <w:szCs w:val="20"/>
          <w:lang w:val="en-US"/>
        </w:rPr>
        <w:t xml:space="preserve">, C.C., </w:t>
      </w:r>
      <w:proofErr w:type="spellStart"/>
      <w:r>
        <w:rPr>
          <w:sz w:val="20"/>
          <w:szCs w:val="20"/>
          <w:lang w:val="en-US"/>
        </w:rPr>
        <w:t>Putkonen</w:t>
      </w:r>
      <w:proofErr w:type="spellEnd"/>
      <w:r>
        <w:rPr>
          <w:sz w:val="20"/>
          <w:szCs w:val="20"/>
          <w:lang w:val="en-US"/>
        </w:rPr>
        <w:t>, A., Mancini-</w:t>
      </w:r>
      <w:proofErr w:type="spellStart"/>
      <w:r>
        <w:rPr>
          <w:sz w:val="20"/>
          <w:szCs w:val="20"/>
          <w:lang w:val="en-US"/>
        </w:rPr>
        <w:t>Marïe</w:t>
      </w:r>
      <w:proofErr w:type="spellEnd"/>
      <w:r>
        <w:rPr>
          <w:sz w:val="20"/>
          <w:szCs w:val="20"/>
          <w:lang w:val="en-US"/>
        </w:rPr>
        <w:t xml:space="preserve">, A., Hodgins, S., </w:t>
      </w:r>
      <w:proofErr w:type="spellStart"/>
      <w:r>
        <w:rPr>
          <w:sz w:val="20"/>
          <w:szCs w:val="20"/>
          <w:lang w:val="en-US"/>
        </w:rPr>
        <w:t>Kononen</w:t>
      </w:r>
      <w:proofErr w:type="spellEnd"/>
      <w:r>
        <w:rPr>
          <w:sz w:val="20"/>
          <w:szCs w:val="20"/>
          <w:lang w:val="en-US"/>
        </w:rPr>
        <w:t xml:space="preserve">, M., Boulay, L., </w:t>
      </w:r>
      <w:proofErr w:type="spellStart"/>
      <w:r>
        <w:rPr>
          <w:sz w:val="20"/>
          <w:szCs w:val="20"/>
          <w:lang w:val="en-US"/>
        </w:rPr>
        <w:t>Pihlajamaki</w:t>
      </w:r>
      <w:proofErr w:type="spellEnd"/>
      <w:r>
        <w:rPr>
          <w:sz w:val="20"/>
          <w:szCs w:val="20"/>
          <w:lang w:val="en-US"/>
        </w:rPr>
        <w:t xml:space="preserve">, M., </w:t>
      </w:r>
      <w:proofErr w:type="spellStart"/>
      <w:r>
        <w:rPr>
          <w:sz w:val="20"/>
          <w:szCs w:val="20"/>
          <w:lang w:val="en-US"/>
        </w:rPr>
        <w:t>Soininen</w:t>
      </w:r>
      <w:proofErr w:type="spellEnd"/>
      <w:r>
        <w:rPr>
          <w:sz w:val="20"/>
          <w:szCs w:val="20"/>
          <w:lang w:val="en-US"/>
        </w:rPr>
        <w:t xml:space="preserve">, H., </w:t>
      </w:r>
      <w:proofErr w:type="spellStart"/>
      <w:r>
        <w:rPr>
          <w:sz w:val="20"/>
          <w:szCs w:val="20"/>
          <w:lang w:val="en-US"/>
        </w:rPr>
        <w:t>Stip</w:t>
      </w:r>
      <w:proofErr w:type="spellEnd"/>
      <w:r>
        <w:rPr>
          <w:sz w:val="20"/>
          <w:szCs w:val="20"/>
          <w:lang w:val="en-US"/>
        </w:rPr>
        <w:t xml:space="preserve">, E., </w:t>
      </w:r>
      <w:proofErr w:type="spellStart"/>
      <w:r>
        <w:rPr>
          <w:sz w:val="20"/>
          <w:szCs w:val="20"/>
          <w:lang w:val="en-US"/>
        </w:rPr>
        <w:t>Tiihonen</w:t>
      </w:r>
      <w:proofErr w:type="spellEnd"/>
      <w:r>
        <w:rPr>
          <w:sz w:val="20"/>
          <w:szCs w:val="20"/>
          <w:lang w:val="en-US"/>
        </w:rPr>
        <w:t xml:space="preserve">, J., </w:t>
      </w:r>
      <w:proofErr w:type="spellStart"/>
      <w:r>
        <w:rPr>
          <w:sz w:val="20"/>
          <w:szCs w:val="20"/>
          <w:lang w:val="en-US"/>
        </w:rPr>
        <w:t>Aronen</w:t>
      </w:r>
      <w:proofErr w:type="spellEnd"/>
      <w:r>
        <w:rPr>
          <w:sz w:val="20"/>
          <w:szCs w:val="20"/>
          <w:lang w:val="en-US"/>
        </w:rPr>
        <w:t xml:space="preserve">, H.J., 2007. Violent persons with schizophrenia and comorbid disorders: a functional magnetic resonance imaging study. </w:t>
      </w:r>
      <w:proofErr w:type="spellStart"/>
      <w:r>
        <w:rPr>
          <w:sz w:val="20"/>
          <w:szCs w:val="20"/>
          <w:lang w:val="en-US"/>
        </w:rPr>
        <w:t>Schizophr</w:t>
      </w:r>
      <w:proofErr w:type="spellEnd"/>
      <w:r>
        <w:rPr>
          <w:sz w:val="20"/>
          <w:szCs w:val="20"/>
          <w:lang w:val="en-US"/>
        </w:rPr>
        <w:t>. Res. 91, 97-102.</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Kaiser, R., Tremblay, P.B., </w:t>
      </w:r>
      <w:proofErr w:type="spellStart"/>
      <w:r>
        <w:rPr>
          <w:sz w:val="20"/>
          <w:szCs w:val="20"/>
          <w:lang w:val="en-US"/>
        </w:rPr>
        <w:t>Schmider</w:t>
      </w:r>
      <w:proofErr w:type="spellEnd"/>
      <w:r>
        <w:rPr>
          <w:sz w:val="20"/>
          <w:szCs w:val="20"/>
          <w:lang w:val="en-US"/>
        </w:rPr>
        <w:t xml:space="preserve">, J., </w:t>
      </w:r>
      <w:proofErr w:type="spellStart"/>
      <w:r>
        <w:rPr>
          <w:sz w:val="20"/>
          <w:szCs w:val="20"/>
          <w:lang w:val="en-US"/>
        </w:rPr>
        <w:t>Henneken</w:t>
      </w:r>
      <w:proofErr w:type="spellEnd"/>
      <w:r>
        <w:rPr>
          <w:sz w:val="20"/>
          <w:szCs w:val="20"/>
          <w:lang w:val="en-US"/>
        </w:rPr>
        <w:t xml:space="preserve">, M., </w:t>
      </w:r>
      <w:proofErr w:type="spellStart"/>
      <w:r>
        <w:rPr>
          <w:sz w:val="20"/>
          <w:szCs w:val="20"/>
          <w:lang w:val="en-US"/>
        </w:rPr>
        <w:t>Dettling</w:t>
      </w:r>
      <w:proofErr w:type="spellEnd"/>
      <w:r>
        <w:rPr>
          <w:sz w:val="20"/>
          <w:szCs w:val="20"/>
          <w:lang w:val="en-US"/>
        </w:rPr>
        <w:t>, M., Müller-</w:t>
      </w:r>
      <w:proofErr w:type="spellStart"/>
      <w:r>
        <w:rPr>
          <w:sz w:val="20"/>
          <w:szCs w:val="20"/>
          <w:lang w:val="en-US"/>
        </w:rPr>
        <w:t>Oerlinghausen</w:t>
      </w:r>
      <w:proofErr w:type="spellEnd"/>
      <w:r>
        <w:rPr>
          <w:sz w:val="20"/>
          <w:szCs w:val="20"/>
          <w:lang w:val="en-US"/>
        </w:rPr>
        <w:t xml:space="preserve">, B., </w:t>
      </w:r>
      <w:proofErr w:type="spellStart"/>
      <w:r>
        <w:rPr>
          <w:sz w:val="20"/>
          <w:szCs w:val="20"/>
          <w:lang w:val="en-US"/>
        </w:rPr>
        <w:t>Uebelhack</w:t>
      </w:r>
      <w:proofErr w:type="spellEnd"/>
      <w:r>
        <w:rPr>
          <w:sz w:val="20"/>
          <w:szCs w:val="20"/>
          <w:lang w:val="en-US"/>
        </w:rPr>
        <w:t xml:space="preserve">, R., Roots, I., </w:t>
      </w:r>
      <w:proofErr w:type="spellStart"/>
      <w:r>
        <w:rPr>
          <w:sz w:val="20"/>
          <w:szCs w:val="20"/>
          <w:lang w:val="en-US"/>
        </w:rPr>
        <w:t>Brockmöller</w:t>
      </w:r>
      <w:proofErr w:type="spellEnd"/>
      <w:r>
        <w:rPr>
          <w:sz w:val="20"/>
          <w:szCs w:val="20"/>
          <w:lang w:val="en-US"/>
        </w:rPr>
        <w:t xml:space="preserve">, J., 2001. Serotonin transporter polymorphisms: no association with response to antipsychotic treatment, but associations with the </w:t>
      </w:r>
      <w:proofErr w:type="spellStart"/>
      <w:r>
        <w:rPr>
          <w:sz w:val="20"/>
          <w:szCs w:val="20"/>
          <w:lang w:val="en-US"/>
        </w:rPr>
        <w:t>schizoparanoid</w:t>
      </w:r>
      <w:proofErr w:type="spellEnd"/>
      <w:r>
        <w:rPr>
          <w:sz w:val="20"/>
          <w:szCs w:val="20"/>
          <w:lang w:val="en-US"/>
        </w:rPr>
        <w:t xml:space="preserve"> and residual subtypes of schizophrenia. Mol. Psychiatry 6, 179-185.</w:t>
      </w:r>
    </w:p>
    <w:p w:rsidR="00352A2A" w:rsidRPr="00B26E04" w:rsidRDefault="0096787B" w:rsidP="00113B97">
      <w:pPr>
        <w:widowControl w:val="0"/>
        <w:autoSpaceDE w:val="0"/>
        <w:autoSpaceDN w:val="0"/>
        <w:adjustRightInd w:val="0"/>
        <w:spacing w:after="120" w:line="480" w:lineRule="auto"/>
        <w:rPr>
          <w:sz w:val="20"/>
          <w:szCs w:val="20"/>
          <w:lang w:val="en-US"/>
        </w:rPr>
      </w:pPr>
      <w:proofErr w:type="spellStart"/>
      <w:r>
        <w:rPr>
          <w:sz w:val="20"/>
          <w:szCs w:val="20"/>
          <w:lang w:val="en-US"/>
        </w:rPr>
        <w:t>Kalbitzer</w:t>
      </w:r>
      <w:proofErr w:type="spellEnd"/>
      <w:r>
        <w:rPr>
          <w:sz w:val="20"/>
          <w:szCs w:val="20"/>
          <w:lang w:val="en-US"/>
        </w:rPr>
        <w:t xml:space="preserve">, U., </w:t>
      </w:r>
      <w:proofErr w:type="spellStart"/>
      <w:r>
        <w:rPr>
          <w:sz w:val="20"/>
          <w:szCs w:val="20"/>
          <w:lang w:val="en-US"/>
        </w:rPr>
        <w:t>Roos</w:t>
      </w:r>
      <w:proofErr w:type="spellEnd"/>
      <w:r>
        <w:rPr>
          <w:sz w:val="20"/>
          <w:szCs w:val="20"/>
          <w:lang w:val="en-US"/>
        </w:rPr>
        <w:t xml:space="preserve">, C., Kopp, G.H., </w:t>
      </w:r>
      <w:proofErr w:type="spellStart"/>
      <w:r>
        <w:rPr>
          <w:sz w:val="20"/>
          <w:szCs w:val="20"/>
          <w:lang w:val="en-US"/>
        </w:rPr>
        <w:t>Butynski</w:t>
      </w:r>
      <w:proofErr w:type="spellEnd"/>
      <w:r>
        <w:rPr>
          <w:sz w:val="20"/>
          <w:szCs w:val="20"/>
          <w:lang w:val="en-US"/>
        </w:rPr>
        <w:t xml:space="preserve">, T.M., Knauf, S., </w:t>
      </w:r>
      <w:proofErr w:type="spellStart"/>
      <w:r>
        <w:rPr>
          <w:sz w:val="20"/>
          <w:szCs w:val="20"/>
          <w:lang w:val="en-US"/>
        </w:rPr>
        <w:t>Zinner</w:t>
      </w:r>
      <w:proofErr w:type="spellEnd"/>
      <w:r>
        <w:rPr>
          <w:sz w:val="20"/>
          <w:szCs w:val="20"/>
          <w:lang w:val="en-US"/>
        </w:rPr>
        <w:t xml:space="preserve">, D., Fischer, J., 2016. Insights into the genetic foundation of aggression in </w:t>
      </w:r>
      <w:proofErr w:type="spellStart"/>
      <w:r>
        <w:rPr>
          <w:sz w:val="20"/>
          <w:szCs w:val="20"/>
          <w:lang w:val="en-US"/>
        </w:rPr>
        <w:t>Papio</w:t>
      </w:r>
      <w:proofErr w:type="spellEnd"/>
      <w:r>
        <w:rPr>
          <w:sz w:val="20"/>
          <w:szCs w:val="20"/>
          <w:lang w:val="en-US"/>
        </w:rPr>
        <w:t xml:space="preserve"> and the evolution of two length-polymorphisms in the promoter regions of serotonin-related genes (5-HTTLPR and MAOALPR) in </w:t>
      </w:r>
      <w:proofErr w:type="spellStart"/>
      <w:r>
        <w:rPr>
          <w:sz w:val="20"/>
          <w:szCs w:val="20"/>
          <w:lang w:val="en-US"/>
        </w:rPr>
        <w:t>Papionini</w:t>
      </w:r>
      <w:proofErr w:type="spellEnd"/>
      <w:r>
        <w:rPr>
          <w:sz w:val="20"/>
          <w:szCs w:val="20"/>
          <w:lang w:val="en-US"/>
        </w:rPr>
        <w:t xml:space="preserve">. BMC </w:t>
      </w:r>
      <w:proofErr w:type="spellStart"/>
      <w:r>
        <w:rPr>
          <w:sz w:val="20"/>
          <w:szCs w:val="20"/>
          <w:lang w:val="en-US"/>
        </w:rPr>
        <w:t>Evol</w:t>
      </w:r>
      <w:proofErr w:type="spellEnd"/>
      <w:r>
        <w:rPr>
          <w:sz w:val="20"/>
          <w:szCs w:val="20"/>
          <w:lang w:val="en-US"/>
        </w:rPr>
        <w:t>. Biol. 16, 121.</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Kang, A.M., </w:t>
      </w:r>
      <w:proofErr w:type="spellStart"/>
      <w:r>
        <w:rPr>
          <w:sz w:val="20"/>
          <w:szCs w:val="20"/>
          <w:lang w:val="en-US"/>
        </w:rPr>
        <w:t>Palmatier</w:t>
      </w:r>
      <w:proofErr w:type="spellEnd"/>
      <w:r>
        <w:rPr>
          <w:sz w:val="20"/>
          <w:szCs w:val="20"/>
          <w:lang w:val="en-US"/>
        </w:rPr>
        <w:t>, M.A., Kidd, K.K., 1999. Global variation of a 40-bp VNTR in the 3'-untranslated region of the dopamine transporter gene (SLC6A3). Biol. Psychiatry 46, 151-160.</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Kastner, A., </w:t>
      </w:r>
      <w:proofErr w:type="spellStart"/>
      <w:r>
        <w:rPr>
          <w:sz w:val="20"/>
          <w:szCs w:val="20"/>
          <w:lang w:val="en-US"/>
        </w:rPr>
        <w:t>Anglade</w:t>
      </w:r>
      <w:proofErr w:type="spellEnd"/>
      <w:r>
        <w:rPr>
          <w:sz w:val="20"/>
          <w:szCs w:val="20"/>
          <w:lang w:val="en-US"/>
        </w:rPr>
        <w:t xml:space="preserve">, P., </w:t>
      </w:r>
      <w:proofErr w:type="spellStart"/>
      <w:r>
        <w:rPr>
          <w:sz w:val="20"/>
          <w:szCs w:val="20"/>
          <w:lang w:val="en-US"/>
        </w:rPr>
        <w:t>Bounaix</w:t>
      </w:r>
      <w:proofErr w:type="spellEnd"/>
      <w:r>
        <w:rPr>
          <w:sz w:val="20"/>
          <w:szCs w:val="20"/>
          <w:lang w:val="en-US"/>
        </w:rPr>
        <w:t xml:space="preserve">, C., </w:t>
      </w:r>
      <w:proofErr w:type="spellStart"/>
      <w:r>
        <w:rPr>
          <w:sz w:val="20"/>
          <w:szCs w:val="20"/>
          <w:lang w:val="en-US"/>
        </w:rPr>
        <w:t>Damier</w:t>
      </w:r>
      <w:proofErr w:type="spellEnd"/>
      <w:r>
        <w:rPr>
          <w:sz w:val="20"/>
          <w:szCs w:val="20"/>
          <w:lang w:val="en-US"/>
        </w:rPr>
        <w:t xml:space="preserve">, P., </w:t>
      </w:r>
      <w:proofErr w:type="spellStart"/>
      <w:r>
        <w:rPr>
          <w:sz w:val="20"/>
          <w:szCs w:val="20"/>
          <w:lang w:val="en-US"/>
        </w:rPr>
        <w:t>Javoy-Agid</w:t>
      </w:r>
      <w:proofErr w:type="spellEnd"/>
      <w:r>
        <w:rPr>
          <w:sz w:val="20"/>
          <w:szCs w:val="20"/>
          <w:lang w:val="en-US"/>
        </w:rPr>
        <w:t xml:space="preserve">, F., </w:t>
      </w:r>
      <w:proofErr w:type="spellStart"/>
      <w:r>
        <w:rPr>
          <w:sz w:val="20"/>
          <w:szCs w:val="20"/>
          <w:lang w:val="en-US"/>
        </w:rPr>
        <w:t>Bromet</w:t>
      </w:r>
      <w:proofErr w:type="spellEnd"/>
      <w:r>
        <w:rPr>
          <w:sz w:val="20"/>
          <w:szCs w:val="20"/>
          <w:lang w:val="en-US"/>
        </w:rPr>
        <w:t xml:space="preserve">, N., </w:t>
      </w:r>
      <w:proofErr w:type="spellStart"/>
      <w:r>
        <w:rPr>
          <w:sz w:val="20"/>
          <w:szCs w:val="20"/>
          <w:lang w:val="en-US"/>
        </w:rPr>
        <w:t>Agid</w:t>
      </w:r>
      <w:proofErr w:type="spellEnd"/>
      <w:r>
        <w:rPr>
          <w:sz w:val="20"/>
          <w:szCs w:val="20"/>
          <w:lang w:val="en-US"/>
        </w:rPr>
        <w:t xml:space="preserve">, Y., Hirsch, E.C., 1994. Immunohistochemical study of catechol-O-methyltransferase in the human </w:t>
      </w:r>
      <w:proofErr w:type="spellStart"/>
      <w:r>
        <w:rPr>
          <w:sz w:val="20"/>
          <w:szCs w:val="20"/>
          <w:lang w:val="en-US"/>
        </w:rPr>
        <w:t>mesostriatal</w:t>
      </w:r>
      <w:proofErr w:type="spellEnd"/>
      <w:r>
        <w:rPr>
          <w:sz w:val="20"/>
          <w:szCs w:val="20"/>
          <w:lang w:val="en-US"/>
        </w:rPr>
        <w:t xml:space="preserve"> system. Neuroscience 62, 449-457.</w:t>
      </w:r>
    </w:p>
    <w:p w:rsidR="00352A2A" w:rsidRPr="00B26E04" w:rsidRDefault="0096787B" w:rsidP="00113B97">
      <w:pPr>
        <w:widowControl w:val="0"/>
        <w:autoSpaceDE w:val="0"/>
        <w:autoSpaceDN w:val="0"/>
        <w:adjustRightInd w:val="0"/>
        <w:spacing w:after="120" w:line="480" w:lineRule="auto"/>
        <w:rPr>
          <w:sz w:val="20"/>
          <w:szCs w:val="20"/>
          <w:lang w:val="en-US"/>
        </w:rPr>
      </w:pPr>
      <w:proofErr w:type="spellStart"/>
      <w:r>
        <w:rPr>
          <w:sz w:val="20"/>
          <w:szCs w:val="20"/>
          <w:lang w:val="en-US"/>
        </w:rPr>
        <w:t>Kebabian</w:t>
      </w:r>
      <w:proofErr w:type="spellEnd"/>
      <w:r>
        <w:rPr>
          <w:sz w:val="20"/>
          <w:szCs w:val="20"/>
          <w:lang w:val="en-US"/>
        </w:rPr>
        <w:t xml:space="preserve">, J.W., </w:t>
      </w:r>
      <w:proofErr w:type="spellStart"/>
      <w:r>
        <w:rPr>
          <w:sz w:val="20"/>
          <w:szCs w:val="20"/>
          <w:lang w:val="en-US"/>
        </w:rPr>
        <w:t>Calne</w:t>
      </w:r>
      <w:proofErr w:type="spellEnd"/>
      <w:r>
        <w:rPr>
          <w:sz w:val="20"/>
          <w:szCs w:val="20"/>
          <w:lang w:val="en-US"/>
        </w:rPr>
        <w:t>, D.B., 1979. Multiple receptors for dopamine. Nature 277, 93-96.</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Kiernan, J.A., 2012. Anatomy of the temporal lobe. Epilepsy Res. Treat. 2012, 176157.</w:t>
      </w:r>
    </w:p>
    <w:p w:rsidR="00352A2A" w:rsidRPr="00C54C8A" w:rsidRDefault="0096787B" w:rsidP="00113B97">
      <w:pPr>
        <w:widowControl w:val="0"/>
        <w:autoSpaceDE w:val="0"/>
        <w:autoSpaceDN w:val="0"/>
        <w:adjustRightInd w:val="0"/>
        <w:spacing w:after="120" w:line="480" w:lineRule="auto"/>
        <w:rPr>
          <w:sz w:val="20"/>
          <w:szCs w:val="20"/>
        </w:rPr>
      </w:pPr>
      <w:r>
        <w:rPr>
          <w:sz w:val="20"/>
          <w:szCs w:val="20"/>
          <w:lang w:val="en-US"/>
        </w:rPr>
        <w:t xml:space="preserve">Kim, Y.R., Lee, J.Y., Min, S.K., 2010. No evidence of an association between A218C polymorphism of the tryptophan hydroxylase 1 gene and aggression in schizophrenia in a Korean population. </w:t>
      </w:r>
      <w:proofErr w:type="spellStart"/>
      <w:r w:rsidRPr="00C54C8A">
        <w:rPr>
          <w:sz w:val="20"/>
          <w:szCs w:val="20"/>
        </w:rPr>
        <w:t>Yonsei</w:t>
      </w:r>
      <w:proofErr w:type="spellEnd"/>
      <w:r w:rsidRPr="00C54C8A">
        <w:rPr>
          <w:sz w:val="20"/>
          <w:szCs w:val="20"/>
        </w:rPr>
        <w:t xml:space="preserve">. </w:t>
      </w:r>
      <w:proofErr w:type="spellStart"/>
      <w:r w:rsidRPr="00C54C8A">
        <w:rPr>
          <w:sz w:val="20"/>
          <w:szCs w:val="20"/>
        </w:rPr>
        <w:t>Med</w:t>
      </w:r>
      <w:proofErr w:type="spellEnd"/>
      <w:r w:rsidRPr="00C54C8A">
        <w:rPr>
          <w:sz w:val="20"/>
          <w:szCs w:val="20"/>
        </w:rPr>
        <w:t>. J. 51, 27-32.</w:t>
      </w:r>
    </w:p>
    <w:p w:rsidR="002848F8" w:rsidRPr="00B26E04" w:rsidRDefault="0096787B" w:rsidP="00113B97">
      <w:pPr>
        <w:widowControl w:val="0"/>
        <w:autoSpaceDE w:val="0"/>
        <w:autoSpaceDN w:val="0"/>
        <w:adjustRightInd w:val="0"/>
        <w:spacing w:after="120" w:line="480" w:lineRule="auto"/>
        <w:rPr>
          <w:sz w:val="20"/>
          <w:szCs w:val="20"/>
          <w:lang w:val="en-US"/>
        </w:rPr>
      </w:pPr>
      <w:r w:rsidRPr="00C54C8A">
        <w:rPr>
          <w:sz w:val="20"/>
          <w:szCs w:val="20"/>
        </w:rPr>
        <w:t xml:space="preserve">King, J.A., </w:t>
      </w:r>
      <w:proofErr w:type="spellStart"/>
      <w:r w:rsidRPr="00C54C8A">
        <w:rPr>
          <w:sz w:val="20"/>
          <w:szCs w:val="20"/>
        </w:rPr>
        <w:t>Tenney</w:t>
      </w:r>
      <w:proofErr w:type="spellEnd"/>
      <w:r w:rsidRPr="00C54C8A">
        <w:rPr>
          <w:sz w:val="20"/>
          <w:szCs w:val="20"/>
        </w:rPr>
        <w:t xml:space="preserve">, J., Rossi, V., </w:t>
      </w:r>
      <w:proofErr w:type="spellStart"/>
      <w:r w:rsidRPr="00C54C8A">
        <w:rPr>
          <w:sz w:val="20"/>
          <w:szCs w:val="20"/>
        </w:rPr>
        <w:t>Colamussi</w:t>
      </w:r>
      <w:proofErr w:type="spellEnd"/>
      <w:r w:rsidRPr="00C54C8A">
        <w:rPr>
          <w:sz w:val="20"/>
          <w:szCs w:val="20"/>
        </w:rPr>
        <w:t xml:space="preserve">, L., </w:t>
      </w:r>
      <w:proofErr w:type="spellStart"/>
      <w:r w:rsidRPr="00C54C8A">
        <w:rPr>
          <w:sz w:val="20"/>
          <w:szCs w:val="20"/>
        </w:rPr>
        <w:t>Burdick</w:t>
      </w:r>
      <w:proofErr w:type="spellEnd"/>
      <w:r w:rsidRPr="00C54C8A">
        <w:rPr>
          <w:sz w:val="20"/>
          <w:szCs w:val="20"/>
        </w:rPr>
        <w:t xml:space="preserve">, S., 2003. </w:t>
      </w:r>
      <w:r>
        <w:rPr>
          <w:sz w:val="20"/>
          <w:szCs w:val="20"/>
          <w:lang w:val="en-US"/>
        </w:rPr>
        <w:t>Neural substrates underlying impulsivity. Ann. N. Y. Acad. Sci. 1008, 160-169.</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Kiser, D., </w:t>
      </w:r>
      <w:proofErr w:type="spellStart"/>
      <w:r>
        <w:rPr>
          <w:sz w:val="20"/>
          <w:szCs w:val="20"/>
          <w:lang w:val="en-US"/>
        </w:rPr>
        <w:t>Steemers</w:t>
      </w:r>
      <w:proofErr w:type="spellEnd"/>
      <w:r>
        <w:rPr>
          <w:sz w:val="20"/>
          <w:szCs w:val="20"/>
          <w:lang w:val="en-US"/>
        </w:rPr>
        <w:t xml:space="preserve">, B., </w:t>
      </w:r>
      <w:proofErr w:type="spellStart"/>
      <w:r>
        <w:rPr>
          <w:sz w:val="20"/>
          <w:szCs w:val="20"/>
          <w:lang w:val="en-US"/>
        </w:rPr>
        <w:t>Branchi</w:t>
      </w:r>
      <w:proofErr w:type="spellEnd"/>
      <w:r>
        <w:rPr>
          <w:sz w:val="20"/>
          <w:szCs w:val="20"/>
          <w:lang w:val="en-US"/>
        </w:rPr>
        <w:t xml:space="preserve">, I., Homberg, J.R., 2012. The reciprocal interaction between serotonin and social behaviour. </w:t>
      </w:r>
      <w:proofErr w:type="spellStart"/>
      <w:r>
        <w:rPr>
          <w:sz w:val="20"/>
          <w:szCs w:val="20"/>
          <w:lang w:val="en-US"/>
        </w:rPr>
        <w:t>Neurosci</w:t>
      </w:r>
      <w:proofErr w:type="spellEnd"/>
      <w:r>
        <w:rPr>
          <w:sz w:val="20"/>
          <w:szCs w:val="20"/>
          <w:lang w:val="en-US"/>
        </w:rPr>
        <w:t xml:space="preserve">. </w:t>
      </w:r>
      <w:proofErr w:type="spellStart"/>
      <w:r>
        <w:rPr>
          <w:sz w:val="20"/>
          <w:szCs w:val="20"/>
          <w:lang w:val="en-US"/>
        </w:rPr>
        <w:t>Biobehav</w:t>
      </w:r>
      <w:proofErr w:type="spellEnd"/>
      <w:r>
        <w:rPr>
          <w:sz w:val="20"/>
          <w:szCs w:val="20"/>
          <w:lang w:val="en-US"/>
        </w:rPr>
        <w:t>. Rev. 36, 786-798.</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Kobayashi, M., Pascual-Leone, A., 2003. Transcranial magnetic stimulation in neurology. Lancet Neurol. 2, </w:t>
      </w:r>
      <w:r>
        <w:rPr>
          <w:sz w:val="20"/>
          <w:szCs w:val="20"/>
          <w:lang w:val="en-US"/>
        </w:rPr>
        <w:lastRenderedPageBreak/>
        <w:t>145-156.</w:t>
      </w:r>
    </w:p>
    <w:p w:rsidR="00352A2A" w:rsidRPr="00B26E04" w:rsidRDefault="0096787B" w:rsidP="00113B97">
      <w:pPr>
        <w:widowControl w:val="0"/>
        <w:autoSpaceDE w:val="0"/>
        <w:autoSpaceDN w:val="0"/>
        <w:adjustRightInd w:val="0"/>
        <w:spacing w:after="120" w:line="480" w:lineRule="auto"/>
        <w:rPr>
          <w:sz w:val="20"/>
          <w:szCs w:val="20"/>
          <w:lang w:val="en-US"/>
        </w:rPr>
      </w:pPr>
      <w:proofErr w:type="spellStart"/>
      <w:r>
        <w:rPr>
          <w:sz w:val="20"/>
          <w:szCs w:val="20"/>
          <w:lang w:val="en-US"/>
        </w:rPr>
        <w:t>Koenigs</w:t>
      </w:r>
      <w:proofErr w:type="spellEnd"/>
      <w:r>
        <w:rPr>
          <w:sz w:val="20"/>
          <w:szCs w:val="20"/>
          <w:lang w:val="en-US"/>
        </w:rPr>
        <w:t xml:space="preserve">, M., </w:t>
      </w:r>
      <w:proofErr w:type="spellStart"/>
      <w:r>
        <w:rPr>
          <w:sz w:val="20"/>
          <w:szCs w:val="20"/>
          <w:lang w:val="en-US"/>
        </w:rPr>
        <w:t>Tranel</w:t>
      </w:r>
      <w:proofErr w:type="spellEnd"/>
      <w:r>
        <w:rPr>
          <w:sz w:val="20"/>
          <w:szCs w:val="20"/>
          <w:lang w:val="en-US"/>
        </w:rPr>
        <w:t xml:space="preserve">, D., 2007. Irrational economic decision-making after ventromedial prefrontal damage: evidence from the Ultimatum Game. J. </w:t>
      </w:r>
      <w:proofErr w:type="spellStart"/>
      <w:r>
        <w:rPr>
          <w:sz w:val="20"/>
          <w:szCs w:val="20"/>
          <w:lang w:val="en-US"/>
        </w:rPr>
        <w:t>Neurosci</w:t>
      </w:r>
      <w:proofErr w:type="spellEnd"/>
      <w:r>
        <w:rPr>
          <w:sz w:val="20"/>
          <w:szCs w:val="20"/>
          <w:lang w:val="en-US"/>
        </w:rPr>
        <w:t>. 27, 951-956.</w:t>
      </w:r>
    </w:p>
    <w:p w:rsidR="00352A2A" w:rsidRPr="00B26E04" w:rsidRDefault="0096787B" w:rsidP="00113B97">
      <w:pPr>
        <w:widowControl w:val="0"/>
        <w:autoSpaceDE w:val="0"/>
        <w:autoSpaceDN w:val="0"/>
        <w:adjustRightInd w:val="0"/>
        <w:spacing w:after="120" w:line="480" w:lineRule="auto"/>
        <w:rPr>
          <w:sz w:val="20"/>
          <w:szCs w:val="20"/>
          <w:lang w:val="en-US"/>
        </w:rPr>
      </w:pPr>
      <w:proofErr w:type="spellStart"/>
      <w:r>
        <w:rPr>
          <w:sz w:val="20"/>
          <w:szCs w:val="20"/>
          <w:lang w:val="en-US"/>
        </w:rPr>
        <w:t>Koenigs</w:t>
      </w:r>
      <w:proofErr w:type="spellEnd"/>
      <w:r>
        <w:rPr>
          <w:sz w:val="20"/>
          <w:szCs w:val="20"/>
          <w:lang w:val="en-US"/>
        </w:rPr>
        <w:t xml:space="preserve">, M., Young, L., </w:t>
      </w:r>
      <w:proofErr w:type="spellStart"/>
      <w:r>
        <w:rPr>
          <w:sz w:val="20"/>
          <w:szCs w:val="20"/>
          <w:lang w:val="en-US"/>
        </w:rPr>
        <w:t>Adolphs</w:t>
      </w:r>
      <w:proofErr w:type="spellEnd"/>
      <w:r>
        <w:rPr>
          <w:sz w:val="20"/>
          <w:szCs w:val="20"/>
          <w:lang w:val="en-US"/>
        </w:rPr>
        <w:t xml:space="preserve">, R., </w:t>
      </w:r>
      <w:proofErr w:type="spellStart"/>
      <w:r>
        <w:rPr>
          <w:sz w:val="20"/>
          <w:szCs w:val="20"/>
          <w:lang w:val="en-US"/>
        </w:rPr>
        <w:t>Tranel</w:t>
      </w:r>
      <w:proofErr w:type="spellEnd"/>
      <w:r>
        <w:rPr>
          <w:sz w:val="20"/>
          <w:szCs w:val="20"/>
          <w:lang w:val="en-US"/>
        </w:rPr>
        <w:t>, D., Cushman, F., Hauser, M., Damasio, A., 2007. Damage to the prefrontal cortex increases utilitarian moral judgements. Nature 446, 908-911.</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Kotler, M., Barak, P., Cohen, H., Averbuch, I.E., </w:t>
      </w:r>
      <w:proofErr w:type="spellStart"/>
      <w:r>
        <w:rPr>
          <w:sz w:val="20"/>
          <w:szCs w:val="20"/>
          <w:lang w:val="en-US"/>
        </w:rPr>
        <w:t>Grinshpoon</w:t>
      </w:r>
      <w:proofErr w:type="spellEnd"/>
      <w:r>
        <w:rPr>
          <w:sz w:val="20"/>
          <w:szCs w:val="20"/>
          <w:lang w:val="en-US"/>
        </w:rPr>
        <w:t xml:space="preserve">, A., </w:t>
      </w:r>
      <w:proofErr w:type="spellStart"/>
      <w:r>
        <w:rPr>
          <w:sz w:val="20"/>
          <w:szCs w:val="20"/>
          <w:lang w:val="en-US"/>
        </w:rPr>
        <w:t>Gritsenko</w:t>
      </w:r>
      <w:proofErr w:type="spellEnd"/>
      <w:r>
        <w:rPr>
          <w:sz w:val="20"/>
          <w:szCs w:val="20"/>
          <w:lang w:val="en-US"/>
        </w:rPr>
        <w:t xml:space="preserve">, I., </w:t>
      </w:r>
      <w:proofErr w:type="spellStart"/>
      <w:r>
        <w:rPr>
          <w:sz w:val="20"/>
          <w:szCs w:val="20"/>
          <w:lang w:val="en-US"/>
        </w:rPr>
        <w:t>Nemanov</w:t>
      </w:r>
      <w:proofErr w:type="spellEnd"/>
      <w:r>
        <w:rPr>
          <w:sz w:val="20"/>
          <w:szCs w:val="20"/>
          <w:lang w:val="en-US"/>
        </w:rPr>
        <w:t xml:space="preserve">, L., </w:t>
      </w:r>
      <w:proofErr w:type="spellStart"/>
      <w:r>
        <w:rPr>
          <w:sz w:val="20"/>
          <w:szCs w:val="20"/>
          <w:lang w:val="en-US"/>
        </w:rPr>
        <w:t>Ebstein</w:t>
      </w:r>
      <w:proofErr w:type="spellEnd"/>
      <w:r>
        <w:rPr>
          <w:sz w:val="20"/>
          <w:szCs w:val="20"/>
          <w:lang w:val="en-US"/>
        </w:rPr>
        <w:t>, R.P., 1999. Homicidal behavior in schizophrenia associated with a genetic polymorphism determining low catechol O-methyltransferase (COMT) activity. Am. J. Med. Genet. 88, 628-633.</w:t>
      </w:r>
    </w:p>
    <w:p w:rsidR="00352A2A" w:rsidRPr="00B26E04" w:rsidRDefault="0096787B" w:rsidP="00113B97">
      <w:pPr>
        <w:widowControl w:val="0"/>
        <w:autoSpaceDE w:val="0"/>
        <w:autoSpaceDN w:val="0"/>
        <w:adjustRightInd w:val="0"/>
        <w:spacing w:after="120" w:line="480" w:lineRule="auto"/>
        <w:rPr>
          <w:sz w:val="20"/>
          <w:szCs w:val="20"/>
          <w:lang w:val="en-US"/>
        </w:rPr>
      </w:pPr>
      <w:r>
        <w:rPr>
          <w:sz w:val="20"/>
          <w:szCs w:val="20"/>
          <w:lang w:val="en-US"/>
        </w:rPr>
        <w:t xml:space="preserve">Kraft, J.B., </w:t>
      </w:r>
      <w:proofErr w:type="spellStart"/>
      <w:r>
        <w:rPr>
          <w:sz w:val="20"/>
          <w:szCs w:val="20"/>
          <w:lang w:val="en-US"/>
        </w:rPr>
        <w:t>Slager</w:t>
      </w:r>
      <w:proofErr w:type="spellEnd"/>
      <w:r>
        <w:rPr>
          <w:sz w:val="20"/>
          <w:szCs w:val="20"/>
          <w:lang w:val="en-US"/>
        </w:rPr>
        <w:t>, S.L., McGrath, P.J., Hamilton, S.P., 2005. Sequence analysis of the serotonin transporter and associations with antidepressant response. Biol. Psychiatry 58, 374-381.</w:t>
      </w:r>
    </w:p>
    <w:p w:rsidR="008A30BA" w:rsidRPr="00B26E04" w:rsidRDefault="0096787B" w:rsidP="00113B97">
      <w:pPr>
        <w:widowControl w:val="0"/>
        <w:autoSpaceDE w:val="0"/>
        <w:autoSpaceDN w:val="0"/>
        <w:adjustRightInd w:val="0"/>
        <w:spacing w:after="120" w:line="480" w:lineRule="auto"/>
        <w:rPr>
          <w:sz w:val="20"/>
          <w:szCs w:val="20"/>
          <w:lang w:val="en-US"/>
        </w:rPr>
      </w:pPr>
      <w:proofErr w:type="spellStart"/>
      <w:r>
        <w:rPr>
          <w:sz w:val="20"/>
          <w:szCs w:val="20"/>
          <w:lang w:val="en-US"/>
        </w:rPr>
        <w:t>Krämer</w:t>
      </w:r>
      <w:proofErr w:type="spellEnd"/>
      <w:r>
        <w:rPr>
          <w:sz w:val="20"/>
          <w:szCs w:val="20"/>
          <w:lang w:val="en-US"/>
        </w:rPr>
        <w:t xml:space="preserve">, U.M., </w:t>
      </w:r>
      <w:proofErr w:type="spellStart"/>
      <w:r>
        <w:rPr>
          <w:sz w:val="20"/>
          <w:szCs w:val="20"/>
          <w:lang w:val="en-US"/>
        </w:rPr>
        <w:t>Jansma</w:t>
      </w:r>
      <w:proofErr w:type="spellEnd"/>
      <w:r>
        <w:rPr>
          <w:sz w:val="20"/>
          <w:szCs w:val="20"/>
          <w:lang w:val="en-US"/>
        </w:rPr>
        <w:t xml:space="preserve">, H., </w:t>
      </w:r>
      <w:proofErr w:type="spellStart"/>
      <w:r>
        <w:rPr>
          <w:sz w:val="20"/>
          <w:szCs w:val="20"/>
          <w:lang w:val="en-US"/>
        </w:rPr>
        <w:t>Tempelmann</w:t>
      </w:r>
      <w:proofErr w:type="spellEnd"/>
      <w:r>
        <w:rPr>
          <w:sz w:val="20"/>
          <w:szCs w:val="20"/>
          <w:lang w:val="en-US"/>
        </w:rPr>
        <w:t xml:space="preserve">, C., </w:t>
      </w:r>
      <w:proofErr w:type="spellStart"/>
      <w:r>
        <w:rPr>
          <w:sz w:val="20"/>
          <w:szCs w:val="20"/>
          <w:lang w:val="en-US"/>
        </w:rPr>
        <w:t>Münte</w:t>
      </w:r>
      <w:proofErr w:type="spellEnd"/>
      <w:r>
        <w:rPr>
          <w:sz w:val="20"/>
          <w:szCs w:val="20"/>
          <w:lang w:val="en-US"/>
        </w:rPr>
        <w:t>, T.F., 2007. Tit-for-tat: the neural basis of reactive aggression. Neuroimage 38, 203-211.</w:t>
      </w:r>
    </w:p>
    <w:p w:rsidR="00352A2A" w:rsidRPr="00B26E04" w:rsidRDefault="0096787B" w:rsidP="00113B97">
      <w:pPr>
        <w:spacing w:after="120" w:line="480" w:lineRule="auto"/>
        <w:rPr>
          <w:sz w:val="20"/>
          <w:szCs w:val="20"/>
          <w:lang w:val="en-US"/>
        </w:rPr>
      </w:pPr>
      <w:proofErr w:type="spellStart"/>
      <w:r>
        <w:rPr>
          <w:sz w:val="20"/>
          <w:szCs w:val="20"/>
          <w:lang w:val="en-US"/>
        </w:rPr>
        <w:t>Kuepper</w:t>
      </w:r>
      <w:proofErr w:type="spellEnd"/>
      <w:r>
        <w:rPr>
          <w:sz w:val="20"/>
          <w:szCs w:val="20"/>
          <w:lang w:val="en-US"/>
        </w:rPr>
        <w:t xml:space="preserve">, Y., Grant, P., </w:t>
      </w:r>
      <w:proofErr w:type="spellStart"/>
      <w:r>
        <w:rPr>
          <w:sz w:val="20"/>
          <w:szCs w:val="20"/>
          <w:lang w:val="en-US"/>
        </w:rPr>
        <w:t>Wielpuetz</w:t>
      </w:r>
      <w:proofErr w:type="spellEnd"/>
      <w:r>
        <w:rPr>
          <w:sz w:val="20"/>
          <w:szCs w:val="20"/>
          <w:lang w:val="en-US"/>
        </w:rPr>
        <w:t>, C., Hennig, J., 2013. MAOA-</w:t>
      </w:r>
      <w:proofErr w:type="spellStart"/>
      <w:r>
        <w:rPr>
          <w:sz w:val="20"/>
          <w:szCs w:val="20"/>
          <w:lang w:val="en-US"/>
        </w:rPr>
        <w:t>uVNTR</w:t>
      </w:r>
      <w:proofErr w:type="spellEnd"/>
      <w:r>
        <w:rPr>
          <w:sz w:val="20"/>
          <w:szCs w:val="20"/>
          <w:lang w:val="en-US"/>
        </w:rPr>
        <w:t xml:space="preserve"> genotype predicts interindividual differences in experimental aggressiveness as a function of the degree of provocation. </w:t>
      </w:r>
      <w:proofErr w:type="spellStart"/>
      <w:r>
        <w:rPr>
          <w:sz w:val="20"/>
          <w:szCs w:val="20"/>
          <w:lang w:val="en-US"/>
        </w:rPr>
        <w:t>Behav</w:t>
      </w:r>
      <w:proofErr w:type="spellEnd"/>
      <w:r>
        <w:rPr>
          <w:sz w:val="20"/>
          <w:szCs w:val="20"/>
          <w:lang w:val="en-US"/>
        </w:rPr>
        <w:t>. Brain Res. 247, 73-78.</w:t>
      </w:r>
    </w:p>
    <w:p w:rsidR="00352A2A" w:rsidRPr="00B26E04" w:rsidRDefault="0096787B" w:rsidP="00113B97">
      <w:pPr>
        <w:spacing w:after="120" w:line="480" w:lineRule="auto"/>
        <w:rPr>
          <w:sz w:val="20"/>
          <w:szCs w:val="20"/>
          <w:lang w:val="en-US"/>
        </w:rPr>
      </w:pPr>
      <w:r>
        <w:rPr>
          <w:sz w:val="20"/>
          <w:szCs w:val="20"/>
          <w:lang w:val="en-US"/>
        </w:rPr>
        <w:t xml:space="preserve">Kulikov, A.V., </w:t>
      </w:r>
      <w:proofErr w:type="spellStart"/>
      <w:r>
        <w:rPr>
          <w:sz w:val="20"/>
          <w:szCs w:val="20"/>
          <w:lang w:val="en-US"/>
        </w:rPr>
        <w:t>Osipova</w:t>
      </w:r>
      <w:proofErr w:type="spellEnd"/>
      <w:r>
        <w:rPr>
          <w:sz w:val="20"/>
          <w:szCs w:val="20"/>
          <w:lang w:val="en-US"/>
        </w:rPr>
        <w:t xml:space="preserve">, D.V., </w:t>
      </w:r>
      <w:proofErr w:type="spellStart"/>
      <w:r>
        <w:rPr>
          <w:sz w:val="20"/>
          <w:szCs w:val="20"/>
          <w:lang w:val="en-US"/>
        </w:rPr>
        <w:t>Naumenko</w:t>
      </w:r>
      <w:proofErr w:type="spellEnd"/>
      <w:r>
        <w:rPr>
          <w:sz w:val="20"/>
          <w:szCs w:val="20"/>
          <w:lang w:val="en-US"/>
        </w:rPr>
        <w:t xml:space="preserve">, V.S., Popova, N.K., 2005. Association between Tph2 gene polymorphism, brain tryptophan hydroxylase activity and aggressiveness in mouse strains. Genes Brain </w:t>
      </w:r>
      <w:proofErr w:type="spellStart"/>
      <w:r>
        <w:rPr>
          <w:sz w:val="20"/>
          <w:szCs w:val="20"/>
          <w:lang w:val="en-US"/>
        </w:rPr>
        <w:t>Behav</w:t>
      </w:r>
      <w:proofErr w:type="spellEnd"/>
      <w:r>
        <w:rPr>
          <w:sz w:val="20"/>
          <w:szCs w:val="20"/>
          <w:lang w:val="en-US"/>
        </w:rPr>
        <w:t>. 4, 482-485.</w:t>
      </w:r>
    </w:p>
    <w:p w:rsidR="00352A2A" w:rsidRPr="00B26E04" w:rsidRDefault="0096787B" w:rsidP="00113B97">
      <w:pPr>
        <w:spacing w:after="120" w:line="480" w:lineRule="auto"/>
        <w:rPr>
          <w:sz w:val="20"/>
          <w:szCs w:val="20"/>
          <w:lang w:val="en-US"/>
        </w:rPr>
      </w:pPr>
      <w:r>
        <w:rPr>
          <w:sz w:val="20"/>
          <w:szCs w:val="20"/>
          <w:lang w:val="en-US"/>
        </w:rPr>
        <w:t xml:space="preserve">Kumari, V., Uddin, S., </w:t>
      </w:r>
      <w:proofErr w:type="spellStart"/>
      <w:r>
        <w:rPr>
          <w:sz w:val="20"/>
          <w:szCs w:val="20"/>
          <w:lang w:val="en-US"/>
        </w:rPr>
        <w:t>Premkumar</w:t>
      </w:r>
      <w:proofErr w:type="spellEnd"/>
      <w:r>
        <w:rPr>
          <w:sz w:val="20"/>
          <w:szCs w:val="20"/>
          <w:lang w:val="en-US"/>
        </w:rPr>
        <w:t xml:space="preserve">, P., Young, S., Gudjonsson, G.H., Raghuvanshi, S., </w:t>
      </w:r>
      <w:proofErr w:type="spellStart"/>
      <w:r>
        <w:rPr>
          <w:sz w:val="20"/>
          <w:szCs w:val="20"/>
          <w:lang w:val="en-US"/>
        </w:rPr>
        <w:t>Barkataki</w:t>
      </w:r>
      <w:proofErr w:type="spellEnd"/>
      <w:r>
        <w:rPr>
          <w:sz w:val="20"/>
          <w:szCs w:val="20"/>
          <w:lang w:val="en-US"/>
        </w:rPr>
        <w:t xml:space="preserve">, I., </w:t>
      </w:r>
      <w:proofErr w:type="spellStart"/>
      <w:r>
        <w:rPr>
          <w:sz w:val="20"/>
          <w:szCs w:val="20"/>
          <w:lang w:val="en-US"/>
        </w:rPr>
        <w:t>Sumich</w:t>
      </w:r>
      <w:proofErr w:type="spellEnd"/>
      <w:r>
        <w:rPr>
          <w:sz w:val="20"/>
          <w:szCs w:val="20"/>
          <w:lang w:val="en-US"/>
        </w:rPr>
        <w:t>, A., Taylor, P., Das, M., 2014. Lower anterior cingulate volume in seriously violent men with antisocial personality disorder or schizophrenia and a history of childhood abuse. Aust. N. Z. J. Psychiatry 48, 153-161.</w:t>
      </w:r>
    </w:p>
    <w:p w:rsidR="00352A2A" w:rsidRPr="00B26E04" w:rsidRDefault="0096787B" w:rsidP="00113B97">
      <w:pPr>
        <w:spacing w:after="120" w:line="480" w:lineRule="auto"/>
        <w:rPr>
          <w:sz w:val="20"/>
          <w:szCs w:val="20"/>
          <w:lang w:val="en-US"/>
        </w:rPr>
      </w:pPr>
      <w:r>
        <w:rPr>
          <w:sz w:val="20"/>
          <w:szCs w:val="20"/>
          <w:lang w:val="en-US"/>
        </w:rPr>
        <w:t xml:space="preserve">Lachman, H.M., </w:t>
      </w:r>
      <w:proofErr w:type="spellStart"/>
      <w:r>
        <w:rPr>
          <w:sz w:val="20"/>
          <w:szCs w:val="20"/>
          <w:lang w:val="en-US"/>
        </w:rPr>
        <w:t>Papolos</w:t>
      </w:r>
      <w:proofErr w:type="spellEnd"/>
      <w:r>
        <w:rPr>
          <w:sz w:val="20"/>
          <w:szCs w:val="20"/>
          <w:lang w:val="en-US"/>
        </w:rPr>
        <w:t xml:space="preserve">, D.F., Saito, T., Yu, Y.M., </w:t>
      </w:r>
      <w:proofErr w:type="spellStart"/>
      <w:r>
        <w:rPr>
          <w:sz w:val="20"/>
          <w:szCs w:val="20"/>
          <w:lang w:val="en-US"/>
        </w:rPr>
        <w:t>Szumlanski</w:t>
      </w:r>
      <w:proofErr w:type="spellEnd"/>
      <w:r>
        <w:rPr>
          <w:sz w:val="20"/>
          <w:szCs w:val="20"/>
          <w:lang w:val="en-US"/>
        </w:rPr>
        <w:t xml:space="preserve">, C.L., </w:t>
      </w:r>
      <w:proofErr w:type="spellStart"/>
      <w:r>
        <w:rPr>
          <w:sz w:val="20"/>
          <w:szCs w:val="20"/>
          <w:lang w:val="en-US"/>
        </w:rPr>
        <w:t>Weinshilboum</w:t>
      </w:r>
      <w:proofErr w:type="spellEnd"/>
      <w:r>
        <w:rPr>
          <w:sz w:val="20"/>
          <w:szCs w:val="20"/>
          <w:lang w:val="en-US"/>
        </w:rPr>
        <w:t>, R.M., 1996. Human catechol-O-methyltransferase pharmacogenetics: description of a functional polymorphism and its potential application to neuropsychiatric disorders. Pharmacogenetics 6, 243-250.</w:t>
      </w:r>
    </w:p>
    <w:p w:rsidR="00352A2A" w:rsidRPr="00B26E04" w:rsidRDefault="0096787B" w:rsidP="00113B97">
      <w:pPr>
        <w:spacing w:after="120" w:line="480" w:lineRule="auto"/>
        <w:rPr>
          <w:sz w:val="20"/>
          <w:szCs w:val="20"/>
          <w:lang w:val="en-US"/>
        </w:rPr>
      </w:pPr>
      <w:r>
        <w:rPr>
          <w:sz w:val="20"/>
          <w:szCs w:val="20"/>
          <w:lang w:val="en-US"/>
        </w:rPr>
        <w:t xml:space="preserve">Lachman, H.M., Nolan, K.A., Mohr, P., Saito, T., </w:t>
      </w:r>
      <w:proofErr w:type="spellStart"/>
      <w:r>
        <w:rPr>
          <w:sz w:val="20"/>
          <w:szCs w:val="20"/>
          <w:lang w:val="en-US"/>
        </w:rPr>
        <w:t>Volavka</w:t>
      </w:r>
      <w:proofErr w:type="spellEnd"/>
      <w:r>
        <w:rPr>
          <w:sz w:val="20"/>
          <w:szCs w:val="20"/>
          <w:lang w:val="en-US"/>
        </w:rPr>
        <w:t>, J., 1998. Association between catechol O-methyltransferase genotype and violence in schizophrenia and schizoaffective disorder. Am. J. Psychiatry 155, 835-837.</w:t>
      </w:r>
    </w:p>
    <w:p w:rsidR="00352A2A" w:rsidRPr="00B26E04" w:rsidRDefault="0096787B" w:rsidP="00113B97">
      <w:pPr>
        <w:spacing w:after="120" w:line="480" w:lineRule="auto"/>
        <w:rPr>
          <w:sz w:val="20"/>
          <w:szCs w:val="20"/>
          <w:lang w:val="en-US"/>
        </w:rPr>
      </w:pPr>
      <w:proofErr w:type="spellStart"/>
      <w:r>
        <w:rPr>
          <w:sz w:val="20"/>
          <w:szCs w:val="20"/>
          <w:lang w:val="en-US"/>
        </w:rPr>
        <w:t>Lammel</w:t>
      </w:r>
      <w:proofErr w:type="spellEnd"/>
      <w:r>
        <w:rPr>
          <w:sz w:val="20"/>
          <w:szCs w:val="20"/>
          <w:lang w:val="en-US"/>
        </w:rPr>
        <w:t xml:space="preserve">, S., Lim, B.K., </w:t>
      </w:r>
      <w:proofErr w:type="spellStart"/>
      <w:r>
        <w:rPr>
          <w:sz w:val="20"/>
          <w:szCs w:val="20"/>
          <w:lang w:val="en-US"/>
        </w:rPr>
        <w:t>Malenka</w:t>
      </w:r>
      <w:proofErr w:type="spellEnd"/>
      <w:r>
        <w:rPr>
          <w:sz w:val="20"/>
          <w:szCs w:val="20"/>
          <w:lang w:val="en-US"/>
        </w:rPr>
        <w:t>, R.C., 2014. Reward and aversion in a heterogeneous midbrain dopamine system. Neuropharmacology 76 Pt B, 351-359.</w:t>
      </w:r>
    </w:p>
    <w:p w:rsidR="00352A2A" w:rsidRPr="00B26E04" w:rsidRDefault="0096787B" w:rsidP="00113B97">
      <w:pPr>
        <w:spacing w:after="120" w:line="480" w:lineRule="auto"/>
        <w:rPr>
          <w:sz w:val="20"/>
          <w:szCs w:val="20"/>
          <w:lang w:val="en-US"/>
        </w:rPr>
      </w:pPr>
      <w:r>
        <w:rPr>
          <w:sz w:val="20"/>
          <w:szCs w:val="20"/>
          <w:lang w:val="en-US"/>
        </w:rPr>
        <w:lastRenderedPageBreak/>
        <w:t xml:space="preserve">Lan, N.C., </w:t>
      </w:r>
      <w:proofErr w:type="spellStart"/>
      <w:r>
        <w:rPr>
          <w:sz w:val="20"/>
          <w:szCs w:val="20"/>
          <w:lang w:val="en-US"/>
        </w:rPr>
        <w:t>Heinzmann</w:t>
      </w:r>
      <w:proofErr w:type="spellEnd"/>
      <w:r>
        <w:rPr>
          <w:sz w:val="20"/>
          <w:szCs w:val="20"/>
          <w:lang w:val="en-US"/>
        </w:rPr>
        <w:t xml:space="preserve">, C., Gal, A., </w:t>
      </w:r>
      <w:proofErr w:type="spellStart"/>
      <w:r>
        <w:rPr>
          <w:sz w:val="20"/>
          <w:szCs w:val="20"/>
          <w:lang w:val="en-US"/>
        </w:rPr>
        <w:t>Klisak</w:t>
      </w:r>
      <w:proofErr w:type="spellEnd"/>
      <w:r>
        <w:rPr>
          <w:sz w:val="20"/>
          <w:szCs w:val="20"/>
          <w:lang w:val="en-US"/>
        </w:rPr>
        <w:t xml:space="preserve">, I., Orth, U., Lai, E., Grimsby, J., Sparkes, R.S., Mohandas, T., Shih, J.C., 1989. Human monoamine oxidase A and B genes map to </w:t>
      </w:r>
      <w:proofErr w:type="spellStart"/>
      <w:r>
        <w:rPr>
          <w:sz w:val="20"/>
          <w:szCs w:val="20"/>
          <w:lang w:val="en-US"/>
        </w:rPr>
        <w:t>Xp</w:t>
      </w:r>
      <w:proofErr w:type="spellEnd"/>
      <w:r>
        <w:rPr>
          <w:sz w:val="20"/>
          <w:szCs w:val="20"/>
          <w:lang w:val="en-US"/>
        </w:rPr>
        <w:t xml:space="preserve"> 11.23 and are deleted in a patient with Norrie disease. Genomics 4, 552-559.</w:t>
      </w:r>
    </w:p>
    <w:p w:rsidR="00E97388" w:rsidRPr="00B26E04" w:rsidRDefault="0096787B" w:rsidP="00113B97">
      <w:pPr>
        <w:spacing w:after="120" w:line="480" w:lineRule="auto"/>
        <w:rPr>
          <w:sz w:val="20"/>
          <w:szCs w:val="20"/>
          <w:lang w:val="en-US"/>
        </w:rPr>
      </w:pPr>
      <w:r>
        <w:rPr>
          <w:sz w:val="20"/>
          <w:szCs w:val="20"/>
          <w:lang w:val="en-US"/>
        </w:rPr>
        <w:t xml:space="preserve">Larkin, C., Griffin, E., Corcoran, P., McAuliffe, C., Perry, I.J., </w:t>
      </w:r>
      <w:proofErr w:type="spellStart"/>
      <w:r>
        <w:rPr>
          <w:sz w:val="20"/>
          <w:szCs w:val="20"/>
          <w:lang w:val="en-US"/>
        </w:rPr>
        <w:t>Arensman</w:t>
      </w:r>
      <w:proofErr w:type="spellEnd"/>
      <w:r>
        <w:rPr>
          <w:sz w:val="20"/>
          <w:szCs w:val="20"/>
          <w:lang w:val="en-US"/>
        </w:rPr>
        <w:t>, E., 2017. Alcohol Involvement in Suicide and Self-Harm. Crisis. 38, 413-422.</w:t>
      </w:r>
    </w:p>
    <w:p w:rsidR="00352A2A" w:rsidRPr="00B26E04" w:rsidRDefault="0096787B" w:rsidP="00113B97">
      <w:pPr>
        <w:spacing w:after="120" w:line="480" w:lineRule="auto"/>
        <w:rPr>
          <w:sz w:val="20"/>
          <w:szCs w:val="20"/>
          <w:lang w:val="en-US"/>
        </w:rPr>
      </w:pPr>
      <w:proofErr w:type="spellStart"/>
      <w:r>
        <w:rPr>
          <w:sz w:val="20"/>
          <w:szCs w:val="20"/>
          <w:lang w:val="en-US"/>
        </w:rPr>
        <w:t>Laucht</w:t>
      </w:r>
      <w:proofErr w:type="spellEnd"/>
      <w:r>
        <w:rPr>
          <w:sz w:val="20"/>
          <w:szCs w:val="20"/>
          <w:lang w:val="en-US"/>
        </w:rPr>
        <w:t xml:space="preserve">, M., Brandeis, D., </w:t>
      </w:r>
      <w:proofErr w:type="spellStart"/>
      <w:r>
        <w:rPr>
          <w:sz w:val="20"/>
          <w:szCs w:val="20"/>
          <w:lang w:val="en-US"/>
        </w:rPr>
        <w:t>Zohsel</w:t>
      </w:r>
      <w:proofErr w:type="spellEnd"/>
      <w:r>
        <w:rPr>
          <w:sz w:val="20"/>
          <w:szCs w:val="20"/>
          <w:lang w:val="en-US"/>
        </w:rPr>
        <w:t xml:space="preserve">, K., 2014. Gene-environment interactions in the etiology of human violence. </w:t>
      </w:r>
      <w:proofErr w:type="spellStart"/>
      <w:r>
        <w:rPr>
          <w:sz w:val="20"/>
          <w:szCs w:val="20"/>
          <w:lang w:val="en-US"/>
        </w:rPr>
        <w:t>Curr</w:t>
      </w:r>
      <w:proofErr w:type="spellEnd"/>
      <w:r>
        <w:rPr>
          <w:sz w:val="20"/>
          <w:szCs w:val="20"/>
          <w:lang w:val="en-US"/>
        </w:rPr>
        <w:t xml:space="preserve">. Top. </w:t>
      </w:r>
      <w:proofErr w:type="spellStart"/>
      <w:r>
        <w:rPr>
          <w:sz w:val="20"/>
          <w:szCs w:val="20"/>
          <w:lang w:val="en-US"/>
        </w:rPr>
        <w:t>Behav</w:t>
      </w:r>
      <w:proofErr w:type="spellEnd"/>
      <w:r>
        <w:rPr>
          <w:sz w:val="20"/>
          <w:szCs w:val="20"/>
          <w:lang w:val="en-US"/>
        </w:rPr>
        <w:t xml:space="preserve">. </w:t>
      </w:r>
      <w:proofErr w:type="spellStart"/>
      <w:r>
        <w:rPr>
          <w:sz w:val="20"/>
          <w:szCs w:val="20"/>
          <w:lang w:val="en-US"/>
        </w:rPr>
        <w:t>Neurosci</w:t>
      </w:r>
      <w:proofErr w:type="spellEnd"/>
      <w:r>
        <w:rPr>
          <w:sz w:val="20"/>
          <w:szCs w:val="20"/>
          <w:lang w:val="en-US"/>
        </w:rPr>
        <w:t>. 17, 267-295.</w:t>
      </w:r>
    </w:p>
    <w:p w:rsidR="00352A2A" w:rsidRPr="00B26E04" w:rsidRDefault="0096787B" w:rsidP="00113B97">
      <w:pPr>
        <w:spacing w:after="120" w:line="480" w:lineRule="auto"/>
        <w:rPr>
          <w:sz w:val="20"/>
          <w:szCs w:val="20"/>
          <w:lang w:val="en-US"/>
        </w:rPr>
      </w:pPr>
      <w:r>
        <w:rPr>
          <w:sz w:val="20"/>
          <w:szCs w:val="20"/>
          <w:lang w:val="en-US"/>
        </w:rPr>
        <w:t xml:space="preserve">Laviolette, S.R., 2007. Dopamine modulation of emotional processing in cortical and subcortical neural circuits: evidence for a final common pathway in schizophrenia? </w:t>
      </w:r>
      <w:proofErr w:type="spellStart"/>
      <w:r>
        <w:rPr>
          <w:sz w:val="20"/>
          <w:szCs w:val="20"/>
          <w:lang w:val="en-US"/>
        </w:rPr>
        <w:t>Schizophr</w:t>
      </w:r>
      <w:proofErr w:type="spellEnd"/>
      <w:r>
        <w:rPr>
          <w:sz w:val="20"/>
          <w:szCs w:val="20"/>
          <w:lang w:val="en-US"/>
        </w:rPr>
        <w:t>. Bull. 33, 971-981.</w:t>
      </w:r>
    </w:p>
    <w:p w:rsidR="00352A2A" w:rsidRPr="00B26E04" w:rsidRDefault="0096787B" w:rsidP="00113B97">
      <w:pPr>
        <w:spacing w:after="120" w:line="480" w:lineRule="auto"/>
        <w:rPr>
          <w:sz w:val="20"/>
          <w:szCs w:val="20"/>
          <w:lang w:val="en-US"/>
        </w:rPr>
      </w:pPr>
      <w:r>
        <w:rPr>
          <w:sz w:val="20"/>
          <w:szCs w:val="20"/>
          <w:lang w:val="en-US"/>
        </w:rPr>
        <w:t>Lea, R., Chambers, G., 2007. Monoamine oxidase, addiction, and the "warrior" gene hypothesis. N. Z. Med. J. 120, U2441.</w:t>
      </w:r>
    </w:p>
    <w:p w:rsidR="00352A2A" w:rsidRPr="00B26E04" w:rsidRDefault="0096787B" w:rsidP="00113B97">
      <w:pPr>
        <w:spacing w:after="120" w:line="480" w:lineRule="auto"/>
        <w:rPr>
          <w:sz w:val="20"/>
          <w:szCs w:val="20"/>
          <w:lang w:val="en-US"/>
        </w:rPr>
      </w:pPr>
      <w:r>
        <w:rPr>
          <w:sz w:val="20"/>
          <w:szCs w:val="20"/>
          <w:lang w:val="en-US"/>
        </w:rPr>
        <w:t>Lei, H., Zhang, X., Di, X., Rao, H., Ming, Q., Zhang, J., Guo, X., Jiang, Y., Gao, Y., Yi, J., Zhu, X., Yao, S., 2014. A functional polymorphism of the MAOA gene modulates spontaneous brain activity in pons. Biomed. Res. Int. 2014, 243280.</w:t>
      </w:r>
    </w:p>
    <w:p w:rsidR="003364F8" w:rsidRPr="00B26E04" w:rsidRDefault="0096787B" w:rsidP="00113B97">
      <w:pPr>
        <w:spacing w:after="120" w:line="480" w:lineRule="auto"/>
        <w:rPr>
          <w:sz w:val="20"/>
          <w:szCs w:val="20"/>
          <w:lang w:val="en-US"/>
        </w:rPr>
      </w:pPr>
      <w:proofErr w:type="spellStart"/>
      <w:r>
        <w:rPr>
          <w:sz w:val="20"/>
          <w:szCs w:val="20"/>
          <w:lang w:val="en-US"/>
        </w:rPr>
        <w:t>Lejuez</w:t>
      </w:r>
      <w:proofErr w:type="spellEnd"/>
      <w:r>
        <w:rPr>
          <w:sz w:val="20"/>
          <w:szCs w:val="20"/>
          <w:lang w:val="en-US"/>
        </w:rPr>
        <w:t>, C.W., Magidson, J.F., Mitchell, S.H., Sinha, R., Stevens, M.C., de Wit H., 2010. Behavioral and biological indicators of impulsivity in the development of alcohol use, problems, and disorders. Alcohol Clin. Exp. Res. 34, 1334-1345.</w:t>
      </w:r>
    </w:p>
    <w:p w:rsidR="00352A2A" w:rsidRPr="00B26E04" w:rsidRDefault="0096787B" w:rsidP="00113B97">
      <w:pPr>
        <w:spacing w:after="120" w:line="480" w:lineRule="auto"/>
        <w:rPr>
          <w:sz w:val="20"/>
          <w:szCs w:val="20"/>
          <w:lang w:val="en-US"/>
        </w:rPr>
      </w:pPr>
      <w:r>
        <w:rPr>
          <w:sz w:val="20"/>
          <w:szCs w:val="20"/>
          <w:lang w:val="en-US"/>
        </w:rPr>
        <w:t xml:space="preserve">Le </w:t>
      </w:r>
      <w:proofErr w:type="spellStart"/>
      <w:r>
        <w:rPr>
          <w:sz w:val="20"/>
          <w:szCs w:val="20"/>
          <w:lang w:val="en-US"/>
        </w:rPr>
        <w:t>Moal</w:t>
      </w:r>
      <w:proofErr w:type="spellEnd"/>
      <w:r>
        <w:rPr>
          <w:sz w:val="20"/>
          <w:szCs w:val="20"/>
          <w:lang w:val="en-US"/>
        </w:rPr>
        <w:t xml:space="preserve">, M., Simon, H., 1991. </w:t>
      </w:r>
      <w:proofErr w:type="spellStart"/>
      <w:r>
        <w:rPr>
          <w:sz w:val="20"/>
          <w:szCs w:val="20"/>
          <w:lang w:val="en-US"/>
        </w:rPr>
        <w:t>Mesocorticolimbic</w:t>
      </w:r>
      <w:proofErr w:type="spellEnd"/>
      <w:r>
        <w:rPr>
          <w:sz w:val="20"/>
          <w:szCs w:val="20"/>
          <w:lang w:val="en-US"/>
        </w:rPr>
        <w:t xml:space="preserve"> dopaminergic network: functional and regulatory roles. Physiol. Rev. 71, 155-234.</w:t>
      </w:r>
    </w:p>
    <w:p w:rsidR="00321271" w:rsidRPr="00B26E04" w:rsidRDefault="0096787B" w:rsidP="00113B97">
      <w:pPr>
        <w:spacing w:after="120" w:line="480" w:lineRule="auto"/>
        <w:rPr>
          <w:sz w:val="20"/>
          <w:szCs w:val="20"/>
          <w:lang w:val="en-US"/>
        </w:rPr>
      </w:pPr>
      <w:proofErr w:type="spellStart"/>
      <w:r>
        <w:rPr>
          <w:sz w:val="20"/>
          <w:szCs w:val="20"/>
          <w:lang w:val="en-US"/>
        </w:rPr>
        <w:t>Lesch</w:t>
      </w:r>
      <w:proofErr w:type="spellEnd"/>
      <w:r>
        <w:rPr>
          <w:sz w:val="20"/>
          <w:szCs w:val="20"/>
          <w:lang w:val="en-US"/>
        </w:rPr>
        <w:t xml:space="preserve">, K.P., </w:t>
      </w:r>
      <w:proofErr w:type="spellStart"/>
      <w:r>
        <w:rPr>
          <w:sz w:val="20"/>
          <w:szCs w:val="20"/>
          <w:lang w:val="en-US"/>
        </w:rPr>
        <w:t>Merschdorf</w:t>
      </w:r>
      <w:proofErr w:type="spellEnd"/>
      <w:r>
        <w:rPr>
          <w:sz w:val="20"/>
          <w:szCs w:val="20"/>
          <w:lang w:val="en-US"/>
        </w:rPr>
        <w:t xml:space="preserve">, U., 2000. Impulsivity, aggression, and serotonin: a molecular psychobiological perspective. </w:t>
      </w:r>
      <w:proofErr w:type="spellStart"/>
      <w:r>
        <w:rPr>
          <w:sz w:val="20"/>
          <w:szCs w:val="20"/>
          <w:lang w:val="en-US"/>
        </w:rPr>
        <w:t>Behav</w:t>
      </w:r>
      <w:proofErr w:type="spellEnd"/>
      <w:r>
        <w:rPr>
          <w:sz w:val="20"/>
          <w:szCs w:val="20"/>
          <w:lang w:val="en-US"/>
        </w:rPr>
        <w:t>. Sci. Law. 18, 581-604.</w:t>
      </w:r>
    </w:p>
    <w:p w:rsidR="00352A2A" w:rsidRPr="00B26E04" w:rsidRDefault="0096787B" w:rsidP="00113B97">
      <w:pPr>
        <w:spacing w:after="120" w:line="480" w:lineRule="auto"/>
        <w:rPr>
          <w:sz w:val="20"/>
          <w:szCs w:val="20"/>
          <w:lang w:val="en-US"/>
        </w:rPr>
      </w:pPr>
      <w:proofErr w:type="spellStart"/>
      <w:r>
        <w:rPr>
          <w:sz w:val="20"/>
          <w:szCs w:val="20"/>
          <w:lang w:val="en-US"/>
        </w:rPr>
        <w:t>Lesch</w:t>
      </w:r>
      <w:proofErr w:type="spellEnd"/>
      <w:r>
        <w:rPr>
          <w:sz w:val="20"/>
          <w:szCs w:val="20"/>
          <w:lang w:val="en-US"/>
        </w:rPr>
        <w:t xml:space="preserve">, K.P., </w:t>
      </w:r>
      <w:proofErr w:type="spellStart"/>
      <w:r>
        <w:rPr>
          <w:sz w:val="20"/>
          <w:szCs w:val="20"/>
          <w:lang w:val="en-US"/>
        </w:rPr>
        <w:t>Wolozin</w:t>
      </w:r>
      <w:proofErr w:type="spellEnd"/>
      <w:r>
        <w:rPr>
          <w:sz w:val="20"/>
          <w:szCs w:val="20"/>
          <w:lang w:val="en-US"/>
        </w:rPr>
        <w:t xml:space="preserve">, B.L., Murphy, D.L., </w:t>
      </w:r>
      <w:proofErr w:type="spellStart"/>
      <w:r>
        <w:rPr>
          <w:sz w:val="20"/>
          <w:szCs w:val="20"/>
          <w:lang w:val="en-US"/>
        </w:rPr>
        <w:t>Reiderer</w:t>
      </w:r>
      <w:proofErr w:type="spellEnd"/>
      <w:r>
        <w:rPr>
          <w:sz w:val="20"/>
          <w:szCs w:val="20"/>
          <w:lang w:val="en-US"/>
        </w:rPr>
        <w:t xml:space="preserve">, P., 1993. Primary structure of the human platelet serotonin uptake site: identity with the brain serotonin transporter. J. </w:t>
      </w:r>
      <w:proofErr w:type="spellStart"/>
      <w:r>
        <w:rPr>
          <w:sz w:val="20"/>
          <w:szCs w:val="20"/>
          <w:lang w:val="en-US"/>
        </w:rPr>
        <w:t>Neurochem</w:t>
      </w:r>
      <w:proofErr w:type="spellEnd"/>
      <w:r>
        <w:rPr>
          <w:sz w:val="20"/>
          <w:szCs w:val="20"/>
          <w:lang w:val="en-US"/>
        </w:rPr>
        <w:t>. 60, 2319-2322.</w:t>
      </w:r>
    </w:p>
    <w:p w:rsidR="00352A2A" w:rsidRPr="00B26E04" w:rsidRDefault="0096787B" w:rsidP="00113B97">
      <w:pPr>
        <w:spacing w:after="120" w:line="480" w:lineRule="auto"/>
        <w:rPr>
          <w:sz w:val="20"/>
          <w:szCs w:val="20"/>
          <w:lang w:val="en-US"/>
        </w:rPr>
      </w:pPr>
      <w:proofErr w:type="spellStart"/>
      <w:r>
        <w:rPr>
          <w:sz w:val="20"/>
          <w:szCs w:val="20"/>
          <w:lang w:val="en-US"/>
        </w:rPr>
        <w:t>Lesch</w:t>
      </w:r>
      <w:proofErr w:type="spellEnd"/>
      <w:r>
        <w:rPr>
          <w:sz w:val="20"/>
          <w:szCs w:val="20"/>
          <w:lang w:val="en-US"/>
        </w:rPr>
        <w:t xml:space="preserve">, K.P., Balling, U., Gross, J., Strauss, K., </w:t>
      </w:r>
      <w:proofErr w:type="spellStart"/>
      <w:r>
        <w:rPr>
          <w:sz w:val="20"/>
          <w:szCs w:val="20"/>
          <w:lang w:val="en-US"/>
        </w:rPr>
        <w:t>Wolozin</w:t>
      </w:r>
      <w:proofErr w:type="spellEnd"/>
      <w:r>
        <w:rPr>
          <w:sz w:val="20"/>
          <w:szCs w:val="20"/>
          <w:lang w:val="en-US"/>
        </w:rPr>
        <w:t xml:space="preserve">, B.L., Murphy, D.L., </w:t>
      </w:r>
      <w:proofErr w:type="spellStart"/>
      <w:r>
        <w:rPr>
          <w:sz w:val="20"/>
          <w:szCs w:val="20"/>
          <w:lang w:val="en-US"/>
        </w:rPr>
        <w:t>Riederer</w:t>
      </w:r>
      <w:proofErr w:type="spellEnd"/>
      <w:r>
        <w:rPr>
          <w:sz w:val="20"/>
          <w:szCs w:val="20"/>
          <w:lang w:val="en-US"/>
        </w:rPr>
        <w:t xml:space="preserve">, P., 1994. Organization of the human serotonin transporter gene. J. Neural. </w:t>
      </w:r>
      <w:proofErr w:type="spellStart"/>
      <w:r>
        <w:rPr>
          <w:sz w:val="20"/>
          <w:szCs w:val="20"/>
          <w:lang w:val="en-US"/>
        </w:rPr>
        <w:t>Transm</w:t>
      </w:r>
      <w:proofErr w:type="spellEnd"/>
      <w:r>
        <w:rPr>
          <w:sz w:val="20"/>
          <w:szCs w:val="20"/>
          <w:lang w:val="en-US"/>
        </w:rPr>
        <w:t>. Gen. Sect. 95, 157-162.</w:t>
      </w:r>
    </w:p>
    <w:p w:rsidR="00352A2A" w:rsidRPr="00B26E04" w:rsidRDefault="0096787B" w:rsidP="00113B97">
      <w:pPr>
        <w:spacing w:after="120" w:line="480" w:lineRule="auto"/>
        <w:rPr>
          <w:sz w:val="20"/>
          <w:szCs w:val="20"/>
          <w:lang w:val="en-US"/>
        </w:rPr>
      </w:pPr>
      <w:proofErr w:type="spellStart"/>
      <w:r>
        <w:rPr>
          <w:sz w:val="20"/>
          <w:szCs w:val="20"/>
          <w:lang w:val="en-US"/>
        </w:rPr>
        <w:t>Lesch</w:t>
      </w:r>
      <w:proofErr w:type="spellEnd"/>
      <w:r>
        <w:rPr>
          <w:sz w:val="20"/>
          <w:szCs w:val="20"/>
          <w:lang w:val="en-US"/>
        </w:rPr>
        <w:t xml:space="preserve">, K.P., </w:t>
      </w:r>
      <w:proofErr w:type="spellStart"/>
      <w:r>
        <w:rPr>
          <w:sz w:val="20"/>
          <w:szCs w:val="20"/>
          <w:lang w:val="en-US"/>
        </w:rPr>
        <w:t>Bengel</w:t>
      </w:r>
      <w:proofErr w:type="spellEnd"/>
      <w:r>
        <w:rPr>
          <w:sz w:val="20"/>
          <w:szCs w:val="20"/>
          <w:lang w:val="en-US"/>
        </w:rPr>
        <w:t xml:space="preserve">, D., </w:t>
      </w:r>
      <w:proofErr w:type="spellStart"/>
      <w:r>
        <w:rPr>
          <w:sz w:val="20"/>
          <w:szCs w:val="20"/>
          <w:lang w:val="en-US"/>
        </w:rPr>
        <w:t>Heils</w:t>
      </w:r>
      <w:proofErr w:type="spellEnd"/>
      <w:r>
        <w:rPr>
          <w:sz w:val="20"/>
          <w:szCs w:val="20"/>
          <w:lang w:val="en-US"/>
        </w:rPr>
        <w:t>, A., Sabol, S.Z., Greenberg, B.D., Petri, S., Benjamin, J., Müller, C.R., Hamer, D.H., Murphy, D.L., 1996. Association of anxiety-related traits with a polymorphism in the serotonin transporter gene regulatory region. Science 274, 1527-1531.</w:t>
      </w:r>
    </w:p>
    <w:p w:rsidR="00612A1C" w:rsidRPr="00B26E04" w:rsidRDefault="0096787B" w:rsidP="00113B97">
      <w:pPr>
        <w:spacing w:after="120" w:line="480" w:lineRule="auto"/>
        <w:rPr>
          <w:sz w:val="20"/>
          <w:szCs w:val="20"/>
          <w:lang w:val="en-US"/>
        </w:rPr>
      </w:pPr>
      <w:r>
        <w:rPr>
          <w:sz w:val="20"/>
          <w:szCs w:val="20"/>
          <w:lang w:val="en-US"/>
        </w:rPr>
        <w:lastRenderedPageBreak/>
        <w:t xml:space="preserve">Levitt, P., </w:t>
      </w:r>
      <w:proofErr w:type="spellStart"/>
      <w:r>
        <w:rPr>
          <w:sz w:val="20"/>
          <w:szCs w:val="20"/>
          <w:lang w:val="en-US"/>
        </w:rPr>
        <w:t>Pintar</w:t>
      </w:r>
      <w:proofErr w:type="spellEnd"/>
      <w:r>
        <w:rPr>
          <w:sz w:val="20"/>
          <w:szCs w:val="20"/>
          <w:lang w:val="en-US"/>
        </w:rPr>
        <w:t xml:space="preserve">, J.E., </w:t>
      </w:r>
      <w:proofErr w:type="spellStart"/>
      <w:r>
        <w:rPr>
          <w:sz w:val="20"/>
          <w:szCs w:val="20"/>
          <w:lang w:val="en-US"/>
        </w:rPr>
        <w:t>Breakefield</w:t>
      </w:r>
      <w:proofErr w:type="spellEnd"/>
      <w:r>
        <w:rPr>
          <w:sz w:val="20"/>
          <w:szCs w:val="20"/>
          <w:lang w:val="en-US"/>
        </w:rPr>
        <w:t>, X.O., 1982. Immunocytochemical demonstration of monoamine oxidase B in brain astrocytes and serotonergic neurons. Proc. Natl. Acad. Sci. U. S. A. 79, 6385-6389.</w:t>
      </w:r>
    </w:p>
    <w:p w:rsidR="00352A2A" w:rsidRPr="00B26E04" w:rsidRDefault="0096787B" w:rsidP="00113B97">
      <w:pPr>
        <w:spacing w:after="120" w:line="480" w:lineRule="auto"/>
        <w:rPr>
          <w:sz w:val="20"/>
          <w:szCs w:val="20"/>
          <w:lang w:val="en-US"/>
        </w:rPr>
      </w:pPr>
      <w:r>
        <w:rPr>
          <w:sz w:val="20"/>
          <w:szCs w:val="20"/>
          <w:lang w:val="en-US"/>
        </w:rPr>
        <w:t xml:space="preserve">Levy, E.R., Powell, J.F., Buckle, V.J., Hsu, Y.P., </w:t>
      </w:r>
      <w:proofErr w:type="spellStart"/>
      <w:r>
        <w:rPr>
          <w:sz w:val="20"/>
          <w:szCs w:val="20"/>
          <w:lang w:val="en-US"/>
        </w:rPr>
        <w:t>Breakefield</w:t>
      </w:r>
      <w:proofErr w:type="spellEnd"/>
      <w:r>
        <w:rPr>
          <w:sz w:val="20"/>
          <w:szCs w:val="20"/>
          <w:lang w:val="en-US"/>
        </w:rPr>
        <w:t>, X.O., Craig, I.W., 1989. Localization of human monoamine oxidase-A gene to Xp11.23-11.4 by in situ hybridization: implications for Norrie disease. Genomics 5, 368-370.</w:t>
      </w:r>
    </w:p>
    <w:p w:rsidR="00352A2A" w:rsidRPr="00B26E04" w:rsidRDefault="0096787B" w:rsidP="00113B97">
      <w:pPr>
        <w:spacing w:after="120" w:line="480" w:lineRule="auto"/>
        <w:rPr>
          <w:sz w:val="20"/>
          <w:szCs w:val="20"/>
          <w:lang w:val="en-US"/>
        </w:rPr>
      </w:pPr>
      <w:proofErr w:type="spellStart"/>
      <w:r>
        <w:rPr>
          <w:sz w:val="20"/>
          <w:szCs w:val="20"/>
          <w:lang w:val="en-US"/>
        </w:rPr>
        <w:t>Lichter</w:t>
      </w:r>
      <w:proofErr w:type="spellEnd"/>
      <w:r>
        <w:rPr>
          <w:sz w:val="20"/>
          <w:szCs w:val="20"/>
          <w:lang w:val="en-US"/>
        </w:rPr>
        <w:t xml:space="preserve">, J.B., Barr, C.L., Kennedy, J.L., Van Tol, H.H., Kidd, K.K., </w:t>
      </w:r>
      <w:proofErr w:type="spellStart"/>
      <w:r>
        <w:rPr>
          <w:sz w:val="20"/>
          <w:szCs w:val="20"/>
          <w:lang w:val="en-US"/>
        </w:rPr>
        <w:t>Livak</w:t>
      </w:r>
      <w:proofErr w:type="spellEnd"/>
      <w:r>
        <w:rPr>
          <w:sz w:val="20"/>
          <w:szCs w:val="20"/>
          <w:lang w:val="en-US"/>
        </w:rPr>
        <w:t>, K.J., 1993. A hypervariable segment in the human dopamine receptor D4 (DRD4) gene. Hum. Mol. Genet. 2, 767-773.</w:t>
      </w:r>
    </w:p>
    <w:p w:rsidR="00352A2A" w:rsidRPr="00B26E04" w:rsidRDefault="0096787B" w:rsidP="00113B97">
      <w:pPr>
        <w:spacing w:after="120" w:line="480" w:lineRule="auto"/>
        <w:rPr>
          <w:sz w:val="20"/>
          <w:szCs w:val="20"/>
          <w:lang w:val="en-US"/>
        </w:rPr>
      </w:pPr>
      <w:proofErr w:type="spellStart"/>
      <w:r>
        <w:rPr>
          <w:sz w:val="20"/>
          <w:szCs w:val="20"/>
          <w:lang w:val="en-US"/>
        </w:rPr>
        <w:t>Liljegren</w:t>
      </w:r>
      <w:proofErr w:type="spellEnd"/>
      <w:r>
        <w:rPr>
          <w:sz w:val="20"/>
          <w:szCs w:val="20"/>
          <w:lang w:val="en-US"/>
        </w:rPr>
        <w:t xml:space="preserve">, M., </w:t>
      </w:r>
      <w:proofErr w:type="spellStart"/>
      <w:r>
        <w:rPr>
          <w:sz w:val="20"/>
          <w:szCs w:val="20"/>
          <w:lang w:val="en-US"/>
        </w:rPr>
        <w:t>Naasan</w:t>
      </w:r>
      <w:proofErr w:type="spellEnd"/>
      <w:r>
        <w:rPr>
          <w:sz w:val="20"/>
          <w:szCs w:val="20"/>
          <w:lang w:val="en-US"/>
        </w:rPr>
        <w:t xml:space="preserve">, G., </w:t>
      </w:r>
      <w:proofErr w:type="spellStart"/>
      <w:r>
        <w:rPr>
          <w:sz w:val="20"/>
          <w:szCs w:val="20"/>
          <w:lang w:val="en-US"/>
        </w:rPr>
        <w:t>Temlett</w:t>
      </w:r>
      <w:proofErr w:type="spellEnd"/>
      <w:r>
        <w:rPr>
          <w:sz w:val="20"/>
          <w:szCs w:val="20"/>
          <w:lang w:val="en-US"/>
        </w:rPr>
        <w:t xml:space="preserve">, J., Perry, D.C., Rankin, K.P., </w:t>
      </w:r>
      <w:proofErr w:type="spellStart"/>
      <w:r>
        <w:rPr>
          <w:sz w:val="20"/>
          <w:szCs w:val="20"/>
          <w:lang w:val="en-US"/>
        </w:rPr>
        <w:t>Merrilees</w:t>
      </w:r>
      <w:proofErr w:type="spellEnd"/>
      <w:r>
        <w:rPr>
          <w:sz w:val="20"/>
          <w:szCs w:val="20"/>
          <w:lang w:val="en-US"/>
        </w:rPr>
        <w:t>, J., Grinberg, L.T., Seeley, W.W., Englund, E., Miller, B.L., 2015. Criminal behavior in frontotemporal dementia and Alzheimer disease. JAMA Neurol. 72, 295-300.</w:t>
      </w:r>
    </w:p>
    <w:p w:rsidR="00352A2A" w:rsidRPr="00B26E04" w:rsidRDefault="0096787B" w:rsidP="00113B97">
      <w:pPr>
        <w:spacing w:after="120" w:line="480" w:lineRule="auto"/>
        <w:rPr>
          <w:sz w:val="20"/>
          <w:szCs w:val="20"/>
          <w:lang w:val="en-US"/>
        </w:rPr>
      </w:pPr>
      <w:r>
        <w:rPr>
          <w:sz w:val="20"/>
          <w:szCs w:val="20"/>
          <w:lang w:val="en-US"/>
        </w:rPr>
        <w:t xml:space="preserve">Lim, J.E., </w:t>
      </w:r>
      <w:proofErr w:type="spellStart"/>
      <w:r>
        <w:rPr>
          <w:sz w:val="20"/>
          <w:szCs w:val="20"/>
          <w:lang w:val="en-US"/>
        </w:rPr>
        <w:t>Pinsonneault</w:t>
      </w:r>
      <w:proofErr w:type="spellEnd"/>
      <w:r>
        <w:rPr>
          <w:sz w:val="20"/>
          <w:szCs w:val="20"/>
          <w:lang w:val="en-US"/>
        </w:rPr>
        <w:t xml:space="preserve">, J., </w:t>
      </w:r>
      <w:proofErr w:type="spellStart"/>
      <w:r>
        <w:rPr>
          <w:sz w:val="20"/>
          <w:szCs w:val="20"/>
          <w:lang w:val="en-US"/>
        </w:rPr>
        <w:t>Sadee</w:t>
      </w:r>
      <w:proofErr w:type="spellEnd"/>
      <w:r>
        <w:rPr>
          <w:sz w:val="20"/>
          <w:szCs w:val="20"/>
          <w:lang w:val="en-US"/>
        </w:rPr>
        <w:t xml:space="preserve">, W., </w:t>
      </w:r>
      <w:proofErr w:type="spellStart"/>
      <w:r>
        <w:rPr>
          <w:sz w:val="20"/>
          <w:szCs w:val="20"/>
          <w:lang w:val="en-US"/>
        </w:rPr>
        <w:t>Saffen</w:t>
      </w:r>
      <w:proofErr w:type="spellEnd"/>
      <w:r>
        <w:rPr>
          <w:sz w:val="20"/>
          <w:szCs w:val="20"/>
          <w:lang w:val="en-US"/>
        </w:rPr>
        <w:t>, D., 2007. Tryptophan hydroxylase 2 (TPH2) haplotypes predict levels of TPH2 mRNA expression in human pons. Mol. Psychiatry 12, 491-501.</w:t>
      </w:r>
    </w:p>
    <w:p w:rsidR="00D00953" w:rsidRPr="00B26E04" w:rsidRDefault="0096787B" w:rsidP="00113B97">
      <w:pPr>
        <w:spacing w:after="120" w:line="480" w:lineRule="auto"/>
        <w:rPr>
          <w:sz w:val="20"/>
          <w:szCs w:val="20"/>
          <w:lang w:val="en-US"/>
        </w:rPr>
      </w:pPr>
      <w:r>
        <w:rPr>
          <w:sz w:val="20"/>
          <w:szCs w:val="20"/>
          <w:lang w:val="en-US"/>
        </w:rPr>
        <w:t xml:space="preserve">Liu, J., 2011. Early Health Risk Factors for Violence: Conceptualization, Review of the Evidence, and Implications. Aggress. Violent </w:t>
      </w:r>
      <w:proofErr w:type="spellStart"/>
      <w:r>
        <w:rPr>
          <w:sz w:val="20"/>
          <w:szCs w:val="20"/>
          <w:lang w:val="en-US"/>
        </w:rPr>
        <w:t>Behav</w:t>
      </w:r>
      <w:proofErr w:type="spellEnd"/>
      <w:r>
        <w:rPr>
          <w:sz w:val="20"/>
          <w:szCs w:val="20"/>
          <w:lang w:val="en-US"/>
        </w:rPr>
        <w:t>. 16, 63-73.</w:t>
      </w:r>
    </w:p>
    <w:p w:rsidR="00FF587A" w:rsidRPr="00B26E04" w:rsidRDefault="0096787B" w:rsidP="00FF587A">
      <w:pPr>
        <w:spacing w:after="120" w:line="480" w:lineRule="auto"/>
        <w:rPr>
          <w:sz w:val="20"/>
          <w:szCs w:val="20"/>
          <w:lang w:val="en-US"/>
        </w:rPr>
      </w:pPr>
      <w:proofErr w:type="spellStart"/>
      <w:r>
        <w:rPr>
          <w:sz w:val="20"/>
          <w:szCs w:val="20"/>
          <w:lang w:val="en-US"/>
        </w:rPr>
        <w:t>Lobbestael</w:t>
      </w:r>
      <w:proofErr w:type="spellEnd"/>
      <w:r>
        <w:rPr>
          <w:sz w:val="20"/>
          <w:szCs w:val="20"/>
          <w:lang w:val="en-US"/>
        </w:rPr>
        <w:t xml:space="preserve">, J., </w:t>
      </w:r>
      <w:proofErr w:type="spellStart"/>
      <w:r>
        <w:rPr>
          <w:sz w:val="20"/>
          <w:szCs w:val="20"/>
          <w:lang w:val="en-US"/>
        </w:rPr>
        <w:t>Cima</w:t>
      </w:r>
      <w:proofErr w:type="spellEnd"/>
      <w:r>
        <w:rPr>
          <w:sz w:val="20"/>
          <w:szCs w:val="20"/>
          <w:lang w:val="en-US"/>
        </w:rPr>
        <w:t xml:space="preserve">, M., </w:t>
      </w:r>
      <w:proofErr w:type="spellStart"/>
      <w:r>
        <w:rPr>
          <w:sz w:val="20"/>
          <w:szCs w:val="20"/>
          <w:lang w:val="en-US"/>
        </w:rPr>
        <w:t>Arntz</w:t>
      </w:r>
      <w:proofErr w:type="spellEnd"/>
      <w:r>
        <w:rPr>
          <w:sz w:val="20"/>
          <w:szCs w:val="20"/>
          <w:lang w:val="en-US"/>
        </w:rPr>
        <w:t xml:space="preserve">, A., 2013. The relationship between adult reactive and proactive aggression, hostile interpretation bias, and antisocial personality disorder. J. Pers. </w:t>
      </w:r>
      <w:proofErr w:type="spellStart"/>
      <w:r>
        <w:rPr>
          <w:sz w:val="20"/>
          <w:szCs w:val="20"/>
          <w:lang w:val="en-US"/>
        </w:rPr>
        <w:t>Disord</w:t>
      </w:r>
      <w:proofErr w:type="spellEnd"/>
      <w:r>
        <w:rPr>
          <w:sz w:val="20"/>
          <w:szCs w:val="20"/>
          <w:lang w:val="en-US"/>
        </w:rPr>
        <w:t>. 27, 53-66.</w:t>
      </w:r>
    </w:p>
    <w:p w:rsidR="000A468B" w:rsidRPr="00B26E04" w:rsidRDefault="0096787B" w:rsidP="00FF587A">
      <w:pPr>
        <w:spacing w:after="120" w:line="480" w:lineRule="auto"/>
        <w:rPr>
          <w:sz w:val="20"/>
          <w:szCs w:val="20"/>
          <w:lang w:val="en-US"/>
        </w:rPr>
      </w:pPr>
      <w:r>
        <w:rPr>
          <w:sz w:val="20"/>
          <w:szCs w:val="20"/>
          <w:lang w:val="en-US"/>
        </w:rPr>
        <w:t xml:space="preserve">Lough, S., Kipps, C.M., </w:t>
      </w:r>
      <w:proofErr w:type="spellStart"/>
      <w:r>
        <w:rPr>
          <w:sz w:val="20"/>
          <w:szCs w:val="20"/>
          <w:lang w:val="en-US"/>
        </w:rPr>
        <w:t>Treise</w:t>
      </w:r>
      <w:proofErr w:type="spellEnd"/>
      <w:r>
        <w:rPr>
          <w:sz w:val="20"/>
          <w:szCs w:val="20"/>
          <w:lang w:val="en-US"/>
        </w:rPr>
        <w:t xml:space="preserve">, C., Watson, P., Blair, J.R., Hodges, J.R., 2006. Social reasoning, emotion and empathy in frontotemporal dementia. </w:t>
      </w:r>
      <w:proofErr w:type="spellStart"/>
      <w:r>
        <w:rPr>
          <w:sz w:val="20"/>
          <w:szCs w:val="20"/>
          <w:lang w:val="en-US"/>
        </w:rPr>
        <w:t>Neuropsychologia</w:t>
      </w:r>
      <w:proofErr w:type="spellEnd"/>
      <w:r>
        <w:rPr>
          <w:sz w:val="20"/>
          <w:szCs w:val="20"/>
          <w:lang w:val="en-US"/>
        </w:rPr>
        <w:t>. 2006;44(6):950-8.</w:t>
      </w:r>
    </w:p>
    <w:p w:rsidR="00612A1C" w:rsidRPr="00B26E04" w:rsidRDefault="0096787B" w:rsidP="00FF587A">
      <w:pPr>
        <w:spacing w:after="120" w:line="480" w:lineRule="auto"/>
        <w:rPr>
          <w:sz w:val="20"/>
          <w:szCs w:val="20"/>
          <w:lang w:val="en-US"/>
        </w:rPr>
      </w:pPr>
      <w:proofErr w:type="spellStart"/>
      <w:r>
        <w:rPr>
          <w:sz w:val="20"/>
          <w:szCs w:val="20"/>
          <w:lang w:val="en-US"/>
        </w:rPr>
        <w:t>Luque</w:t>
      </w:r>
      <w:proofErr w:type="spellEnd"/>
      <w:r>
        <w:rPr>
          <w:sz w:val="20"/>
          <w:szCs w:val="20"/>
          <w:lang w:val="en-US"/>
        </w:rPr>
        <w:t>, J.M., Kwan, S.W., Abell, C.W., Da Prada, M., Richards, J.G., 1995. Cellular expression of mRNAs encoding monoamine oxidases A and B in the rat central nervous system. J. Comp. Neurol. 363, 665-680.</w:t>
      </w:r>
    </w:p>
    <w:p w:rsidR="00352A2A" w:rsidRPr="00B26E04" w:rsidRDefault="0096787B" w:rsidP="00113B97">
      <w:pPr>
        <w:spacing w:after="120" w:line="480" w:lineRule="auto"/>
        <w:rPr>
          <w:sz w:val="20"/>
          <w:szCs w:val="20"/>
          <w:lang w:val="en-US"/>
        </w:rPr>
      </w:pPr>
      <w:r>
        <w:rPr>
          <w:sz w:val="20"/>
          <w:szCs w:val="20"/>
          <w:lang w:val="en-US"/>
        </w:rPr>
        <w:t xml:space="preserve">Malison, R.T., Price, L.H., Berman, R., van Dyck, C.H., Pelton, G.H., Carpenter, L., </w:t>
      </w:r>
      <w:proofErr w:type="spellStart"/>
      <w:r>
        <w:rPr>
          <w:sz w:val="20"/>
          <w:szCs w:val="20"/>
          <w:lang w:val="en-US"/>
        </w:rPr>
        <w:t>Sanacora</w:t>
      </w:r>
      <w:proofErr w:type="spellEnd"/>
      <w:r>
        <w:rPr>
          <w:sz w:val="20"/>
          <w:szCs w:val="20"/>
          <w:lang w:val="en-US"/>
        </w:rPr>
        <w:t xml:space="preserve">, G., Owens, M.J., </w:t>
      </w:r>
      <w:proofErr w:type="spellStart"/>
      <w:r>
        <w:rPr>
          <w:sz w:val="20"/>
          <w:szCs w:val="20"/>
          <w:lang w:val="en-US"/>
        </w:rPr>
        <w:t>Nemeroff</w:t>
      </w:r>
      <w:proofErr w:type="spellEnd"/>
      <w:r>
        <w:rPr>
          <w:sz w:val="20"/>
          <w:szCs w:val="20"/>
          <w:lang w:val="en-US"/>
        </w:rPr>
        <w:t xml:space="preserve">, C.B., </w:t>
      </w:r>
      <w:proofErr w:type="spellStart"/>
      <w:r>
        <w:rPr>
          <w:sz w:val="20"/>
          <w:szCs w:val="20"/>
          <w:lang w:val="en-US"/>
        </w:rPr>
        <w:t>Rajeevan</w:t>
      </w:r>
      <w:proofErr w:type="spellEnd"/>
      <w:r>
        <w:rPr>
          <w:sz w:val="20"/>
          <w:szCs w:val="20"/>
          <w:lang w:val="en-US"/>
        </w:rPr>
        <w:t xml:space="preserve">, N., Baldwin, R.M., </w:t>
      </w:r>
      <w:proofErr w:type="spellStart"/>
      <w:r>
        <w:rPr>
          <w:sz w:val="20"/>
          <w:szCs w:val="20"/>
          <w:lang w:val="en-US"/>
        </w:rPr>
        <w:t>Seibyl</w:t>
      </w:r>
      <w:proofErr w:type="spellEnd"/>
      <w:r>
        <w:rPr>
          <w:sz w:val="20"/>
          <w:szCs w:val="20"/>
          <w:lang w:val="en-US"/>
        </w:rPr>
        <w:t>, J.P., Innis, R.B., Charney, D.S., 1998. Reduced brain serotonin transporter availability in major depression as measured by [123I]-2 beta-carbomethoxy-3 beta-(4-iodophenyl)tropane and single photon emission computed tomography. Biol. Psychiatry 44, 1090-1098.</w:t>
      </w:r>
    </w:p>
    <w:p w:rsidR="00352A2A" w:rsidRPr="00B26E04" w:rsidRDefault="0096787B" w:rsidP="00113B97">
      <w:pPr>
        <w:spacing w:after="120" w:line="480" w:lineRule="auto"/>
        <w:rPr>
          <w:sz w:val="20"/>
          <w:szCs w:val="20"/>
          <w:lang w:val="en-US"/>
        </w:rPr>
      </w:pPr>
      <w:proofErr w:type="spellStart"/>
      <w:r>
        <w:rPr>
          <w:sz w:val="20"/>
          <w:szCs w:val="20"/>
          <w:lang w:val="en-US"/>
        </w:rPr>
        <w:t>Mansuy</w:t>
      </w:r>
      <w:proofErr w:type="spellEnd"/>
      <w:r>
        <w:rPr>
          <w:sz w:val="20"/>
          <w:szCs w:val="20"/>
          <w:lang w:val="en-US"/>
        </w:rPr>
        <w:t xml:space="preserve">, I.M., </w:t>
      </w:r>
      <w:proofErr w:type="spellStart"/>
      <w:r>
        <w:rPr>
          <w:sz w:val="20"/>
          <w:szCs w:val="20"/>
          <w:lang w:val="en-US"/>
        </w:rPr>
        <w:t>Mohanna</w:t>
      </w:r>
      <w:proofErr w:type="spellEnd"/>
      <w:r>
        <w:rPr>
          <w:sz w:val="20"/>
          <w:szCs w:val="20"/>
          <w:lang w:val="en-US"/>
        </w:rPr>
        <w:t>, S., 2011. Epigenetics and the human brain: where nurture meets nature. Cerebrum 2011, 8.</w:t>
      </w:r>
    </w:p>
    <w:p w:rsidR="00352A2A" w:rsidRPr="00B26E04" w:rsidRDefault="0096787B" w:rsidP="00113B97">
      <w:pPr>
        <w:spacing w:after="120" w:line="480" w:lineRule="auto"/>
        <w:rPr>
          <w:sz w:val="20"/>
          <w:szCs w:val="20"/>
          <w:lang w:val="en-US"/>
        </w:rPr>
      </w:pPr>
      <w:proofErr w:type="spellStart"/>
      <w:r>
        <w:rPr>
          <w:sz w:val="20"/>
          <w:szCs w:val="20"/>
          <w:lang w:val="en-US"/>
        </w:rPr>
        <w:t>Manuck</w:t>
      </w:r>
      <w:proofErr w:type="spellEnd"/>
      <w:r>
        <w:rPr>
          <w:sz w:val="20"/>
          <w:szCs w:val="20"/>
          <w:lang w:val="en-US"/>
        </w:rPr>
        <w:t xml:space="preserve">, S.B., Flory, J.D., Ferrell, R.E., Dent, K.M., Mann, J.J., Muldoon, M.F., 1999. Aggression and anger-related traits associated with a polymorphism of the tryptophan hydroxylase gene. </w:t>
      </w:r>
      <w:r w:rsidR="00352A2A" w:rsidRPr="00B26E04">
        <w:rPr>
          <w:sz w:val="20"/>
          <w:szCs w:val="20"/>
          <w:lang w:val="en-US"/>
        </w:rPr>
        <w:t>Biol</w:t>
      </w:r>
      <w:r w:rsidR="00791D79" w:rsidRPr="00B26E04">
        <w:rPr>
          <w:sz w:val="20"/>
          <w:szCs w:val="20"/>
          <w:lang w:val="en-US"/>
        </w:rPr>
        <w:t>. Psychiatry 45, 603-614.</w:t>
      </w:r>
    </w:p>
    <w:p w:rsidR="004327A7" w:rsidRPr="00B26E04" w:rsidRDefault="00F25199" w:rsidP="00113B97">
      <w:pPr>
        <w:spacing w:after="120" w:line="480" w:lineRule="auto"/>
        <w:rPr>
          <w:sz w:val="20"/>
          <w:szCs w:val="20"/>
          <w:lang w:val="en-US"/>
        </w:rPr>
      </w:pPr>
      <w:proofErr w:type="spellStart"/>
      <w:r w:rsidRPr="00B26E04">
        <w:rPr>
          <w:sz w:val="20"/>
          <w:szCs w:val="20"/>
          <w:lang w:val="en-US"/>
        </w:rPr>
        <w:lastRenderedPageBreak/>
        <w:t>Manuck</w:t>
      </w:r>
      <w:proofErr w:type="spellEnd"/>
      <w:r w:rsidRPr="00B26E04">
        <w:rPr>
          <w:sz w:val="20"/>
          <w:szCs w:val="20"/>
          <w:lang w:val="en-US"/>
        </w:rPr>
        <w:t>, S.B., Flory, J.D., Ferrell, R.E., Mann, J.J., Muldoon, M.F., 2000. A regulatory polymorphism of the monoamine oxidase-A gene may be associated with variability in aggression, impulsivity, and central nervous system serotonergic responsivity. Psychiatry Res. 95, 9-23.</w:t>
      </w:r>
    </w:p>
    <w:p w:rsidR="00352A2A" w:rsidRPr="00B26E04" w:rsidRDefault="00352A2A" w:rsidP="00113B97">
      <w:pPr>
        <w:spacing w:after="120" w:line="480" w:lineRule="auto"/>
        <w:rPr>
          <w:sz w:val="20"/>
          <w:szCs w:val="20"/>
          <w:lang w:val="en-US"/>
        </w:rPr>
      </w:pPr>
      <w:r w:rsidRPr="00B26E04">
        <w:rPr>
          <w:sz w:val="20"/>
          <w:szCs w:val="20"/>
          <w:lang w:val="en-US"/>
        </w:rPr>
        <w:t>Matsumoto, M., Hidaka, K., Tada, S., Tasaki, Y., Yamaguchi, T., 1996. Low levels of mRNA for dopamine D4 receptor in human cerebral cortex and striatum. J</w:t>
      </w:r>
      <w:r w:rsidR="0096787B">
        <w:rPr>
          <w:sz w:val="20"/>
          <w:szCs w:val="20"/>
          <w:lang w:val="en-US"/>
        </w:rPr>
        <w:t xml:space="preserve">. </w:t>
      </w:r>
      <w:proofErr w:type="spellStart"/>
      <w:r w:rsidR="0096787B">
        <w:rPr>
          <w:sz w:val="20"/>
          <w:szCs w:val="20"/>
          <w:lang w:val="en-US"/>
        </w:rPr>
        <w:t>Neurochem</w:t>
      </w:r>
      <w:proofErr w:type="spellEnd"/>
      <w:r w:rsidR="0096787B">
        <w:rPr>
          <w:sz w:val="20"/>
          <w:szCs w:val="20"/>
          <w:lang w:val="en-US"/>
        </w:rPr>
        <w:t>. 66, 915-919.</w:t>
      </w:r>
    </w:p>
    <w:p w:rsidR="00352A2A" w:rsidRPr="00B26E04" w:rsidRDefault="0096787B" w:rsidP="00113B97">
      <w:pPr>
        <w:spacing w:after="120" w:line="480" w:lineRule="auto"/>
        <w:rPr>
          <w:sz w:val="20"/>
          <w:szCs w:val="20"/>
          <w:lang w:val="en-US"/>
        </w:rPr>
      </w:pPr>
      <w:r>
        <w:rPr>
          <w:sz w:val="20"/>
          <w:szCs w:val="20"/>
          <w:lang w:val="en-US"/>
        </w:rPr>
        <w:t xml:space="preserve">Matsumoto, M., </w:t>
      </w:r>
      <w:proofErr w:type="spellStart"/>
      <w:r>
        <w:rPr>
          <w:sz w:val="20"/>
          <w:szCs w:val="20"/>
          <w:lang w:val="en-US"/>
        </w:rPr>
        <w:t>Weickert</w:t>
      </w:r>
      <w:proofErr w:type="spellEnd"/>
      <w:r>
        <w:rPr>
          <w:sz w:val="20"/>
          <w:szCs w:val="20"/>
          <w:lang w:val="en-US"/>
        </w:rPr>
        <w:t xml:space="preserve">, C.S., </w:t>
      </w:r>
      <w:proofErr w:type="spellStart"/>
      <w:r>
        <w:rPr>
          <w:sz w:val="20"/>
          <w:szCs w:val="20"/>
          <w:lang w:val="en-US"/>
        </w:rPr>
        <w:t>Akil</w:t>
      </w:r>
      <w:proofErr w:type="spellEnd"/>
      <w:r>
        <w:rPr>
          <w:sz w:val="20"/>
          <w:szCs w:val="20"/>
          <w:lang w:val="en-US"/>
        </w:rPr>
        <w:t xml:space="preserve">, M., </w:t>
      </w:r>
      <w:proofErr w:type="spellStart"/>
      <w:r>
        <w:rPr>
          <w:sz w:val="20"/>
          <w:szCs w:val="20"/>
          <w:lang w:val="en-US"/>
        </w:rPr>
        <w:t>Lipska</w:t>
      </w:r>
      <w:proofErr w:type="spellEnd"/>
      <w:r>
        <w:rPr>
          <w:sz w:val="20"/>
          <w:szCs w:val="20"/>
          <w:lang w:val="en-US"/>
        </w:rPr>
        <w:t>, B.K., Hyde, T.M., Herman, M.M., Kleinman, J.E., Weinberger, D.R., 2003. Catechol O-methyltransferase mRNA expression in human and rat brain: evidence for a role in cortical neuronal function. Neuroscience 116, 127-137.</w:t>
      </w:r>
    </w:p>
    <w:p w:rsidR="00352A2A" w:rsidRPr="00B26E04" w:rsidRDefault="0096787B" w:rsidP="00113B97">
      <w:pPr>
        <w:spacing w:after="120" w:line="480" w:lineRule="auto"/>
        <w:rPr>
          <w:sz w:val="20"/>
          <w:szCs w:val="20"/>
          <w:lang w:val="en-US"/>
        </w:rPr>
      </w:pPr>
      <w:proofErr w:type="spellStart"/>
      <w:r>
        <w:rPr>
          <w:sz w:val="20"/>
          <w:szCs w:val="20"/>
          <w:lang w:val="en-US"/>
        </w:rPr>
        <w:t>Matthies</w:t>
      </w:r>
      <w:proofErr w:type="spellEnd"/>
      <w:r>
        <w:rPr>
          <w:sz w:val="20"/>
          <w:szCs w:val="20"/>
          <w:lang w:val="en-US"/>
        </w:rPr>
        <w:t xml:space="preserve">, S., </w:t>
      </w:r>
      <w:proofErr w:type="spellStart"/>
      <w:r>
        <w:rPr>
          <w:sz w:val="20"/>
          <w:szCs w:val="20"/>
          <w:lang w:val="en-US"/>
        </w:rPr>
        <w:t>Rüsch</w:t>
      </w:r>
      <w:proofErr w:type="spellEnd"/>
      <w:r>
        <w:rPr>
          <w:sz w:val="20"/>
          <w:szCs w:val="20"/>
          <w:lang w:val="en-US"/>
        </w:rPr>
        <w:t xml:space="preserve">, N., Weber, M., </w:t>
      </w:r>
      <w:proofErr w:type="spellStart"/>
      <w:r>
        <w:rPr>
          <w:sz w:val="20"/>
          <w:szCs w:val="20"/>
          <w:lang w:val="en-US"/>
        </w:rPr>
        <w:t>Lieb</w:t>
      </w:r>
      <w:proofErr w:type="spellEnd"/>
      <w:r>
        <w:rPr>
          <w:sz w:val="20"/>
          <w:szCs w:val="20"/>
          <w:lang w:val="en-US"/>
        </w:rPr>
        <w:t xml:space="preserve">, K., </w:t>
      </w:r>
      <w:proofErr w:type="spellStart"/>
      <w:r>
        <w:rPr>
          <w:sz w:val="20"/>
          <w:szCs w:val="20"/>
          <w:lang w:val="en-US"/>
        </w:rPr>
        <w:t>Philipsen</w:t>
      </w:r>
      <w:proofErr w:type="spellEnd"/>
      <w:r>
        <w:rPr>
          <w:sz w:val="20"/>
          <w:szCs w:val="20"/>
          <w:lang w:val="en-US"/>
        </w:rPr>
        <w:t xml:space="preserve">, A., </w:t>
      </w:r>
      <w:proofErr w:type="spellStart"/>
      <w:r>
        <w:rPr>
          <w:sz w:val="20"/>
          <w:szCs w:val="20"/>
          <w:lang w:val="en-US"/>
        </w:rPr>
        <w:t>Tuescher</w:t>
      </w:r>
      <w:proofErr w:type="spellEnd"/>
      <w:r>
        <w:rPr>
          <w:sz w:val="20"/>
          <w:szCs w:val="20"/>
          <w:lang w:val="en-US"/>
        </w:rPr>
        <w:t xml:space="preserve">, O., Ebert, D., Hennig, J., van </w:t>
      </w:r>
      <w:proofErr w:type="spellStart"/>
      <w:r>
        <w:rPr>
          <w:sz w:val="20"/>
          <w:szCs w:val="20"/>
          <w:lang w:val="en-US"/>
        </w:rPr>
        <w:t>Elst</w:t>
      </w:r>
      <w:proofErr w:type="spellEnd"/>
      <w:r>
        <w:rPr>
          <w:sz w:val="20"/>
          <w:szCs w:val="20"/>
          <w:lang w:val="en-US"/>
        </w:rPr>
        <w:t>, L.T., 2012. Small amygdala-high aggression? The role of the amygdala in modulating aggression in healthy subjects. World J. Biol. Psychiatry 13, 75-81.</w:t>
      </w:r>
    </w:p>
    <w:p w:rsidR="00352A2A" w:rsidRPr="00B26E04" w:rsidRDefault="0096787B" w:rsidP="00113B97">
      <w:pPr>
        <w:spacing w:after="120" w:line="480" w:lineRule="auto"/>
        <w:rPr>
          <w:sz w:val="20"/>
          <w:szCs w:val="20"/>
          <w:lang w:val="en-US"/>
        </w:rPr>
      </w:pPr>
      <w:r>
        <w:rPr>
          <w:sz w:val="20"/>
          <w:szCs w:val="20"/>
          <w:lang w:val="en-US"/>
        </w:rPr>
        <w:t xml:space="preserve">McCabe, K.M., </w:t>
      </w:r>
      <w:proofErr w:type="spellStart"/>
      <w:r>
        <w:rPr>
          <w:sz w:val="20"/>
          <w:szCs w:val="20"/>
          <w:lang w:val="en-US"/>
        </w:rPr>
        <w:t>Lucchini</w:t>
      </w:r>
      <w:proofErr w:type="spellEnd"/>
      <w:r>
        <w:rPr>
          <w:sz w:val="20"/>
          <w:szCs w:val="20"/>
          <w:lang w:val="en-US"/>
        </w:rPr>
        <w:t>, S.E., Hough, R.L., Yeh, M., Hazen, A., 2005. The relation between violence exposure and conduct problems among adolescents: a prospective study. Am. J. Orthopsychiatry 75, 575-584.</w:t>
      </w:r>
    </w:p>
    <w:p w:rsidR="00352A2A" w:rsidRPr="00B26E04" w:rsidRDefault="0096787B" w:rsidP="00113B97">
      <w:pPr>
        <w:spacing w:after="120" w:line="480" w:lineRule="auto"/>
        <w:rPr>
          <w:sz w:val="20"/>
          <w:szCs w:val="20"/>
          <w:lang w:val="en-US"/>
        </w:rPr>
      </w:pPr>
      <w:r>
        <w:rPr>
          <w:sz w:val="20"/>
          <w:szCs w:val="20"/>
          <w:lang w:val="en-US"/>
        </w:rPr>
        <w:t xml:space="preserve">McDermott, R., Tingley, D., Cowden, J., </w:t>
      </w:r>
      <w:proofErr w:type="spellStart"/>
      <w:r>
        <w:rPr>
          <w:sz w:val="20"/>
          <w:szCs w:val="20"/>
          <w:lang w:val="en-US"/>
        </w:rPr>
        <w:t>Frazzetto</w:t>
      </w:r>
      <w:proofErr w:type="spellEnd"/>
      <w:r>
        <w:rPr>
          <w:sz w:val="20"/>
          <w:szCs w:val="20"/>
          <w:lang w:val="en-US"/>
        </w:rPr>
        <w:t>, G., Johnson, D.D., 2009. Monoamine oxidase A gene (MAOA) predicts behavioral aggression following provocation. Proc. Natl. Acad. Sci. U. S. A. 106, 2118-2123.</w:t>
      </w:r>
    </w:p>
    <w:p w:rsidR="00352A2A" w:rsidRPr="00B26E04" w:rsidRDefault="0096787B" w:rsidP="00113B97">
      <w:pPr>
        <w:spacing w:after="120" w:line="480" w:lineRule="auto"/>
        <w:rPr>
          <w:sz w:val="20"/>
          <w:szCs w:val="20"/>
          <w:lang w:val="en-US"/>
        </w:rPr>
      </w:pPr>
      <w:r>
        <w:rPr>
          <w:sz w:val="20"/>
          <w:szCs w:val="20"/>
          <w:lang w:val="en-US"/>
        </w:rPr>
        <w:t>Mclaughlin, C.R., Daniel, J., Joost, T.F., 2000. The relationship between substance use, drug selling, and lethal violence in 25 juvenile murderers. J. Forensic. Sci. 45, 349-353.</w:t>
      </w:r>
    </w:p>
    <w:p w:rsidR="00352A2A" w:rsidRPr="00B26E04" w:rsidRDefault="0096787B" w:rsidP="00113B97">
      <w:pPr>
        <w:spacing w:after="120" w:line="480" w:lineRule="auto"/>
        <w:rPr>
          <w:sz w:val="20"/>
          <w:szCs w:val="20"/>
          <w:lang w:val="en-US"/>
        </w:rPr>
      </w:pPr>
      <w:proofErr w:type="spellStart"/>
      <w:r>
        <w:rPr>
          <w:sz w:val="20"/>
          <w:szCs w:val="20"/>
          <w:lang w:val="en-US"/>
        </w:rPr>
        <w:t>McSwiggan</w:t>
      </w:r>
      <w:proofErr w:type="spellEnd"/>
      <w:r>
        <w:rPr>
          <w:sz w:val="20"/>
          <w:szCs w:val="20"/>
          <w:lang w:val="en-US"/>
        </w:rPr>
        <w:t xml:space="preserve">, S., </w:t>
      </w:r>
      <w:proofErr w:type="spellStart"/>
      <w:r>
        <w:rPr>
          <w:sz w:val="20"/>
          <w:szCs w:val="20"/>
          <w:lang w:val="en-US"/>
        </w:rPr>
        <w:t>Elger</w:t>
      </w:r>
      <w:proofErr w:type="spellEnd"/>
      <w:r>
        <w:rPr>
          <w:sz w:val="20"/>
          <w:szCs w:val="20"/>
          <w:lang w:val="en-US"/>
        </w:rPr>
        <w:t>, B., Appelbaum, P.S., 2017. The forensic use of behavioral genetics in criminal proceedings: Case of the MAOA-L genotype. Int. J. Law. Psychiatry 50, 17-23.</w:t>
      </w:r>
    </w:p>
    <w:p w:rsidR="00352A2A" w:rsidRPr="00B26E04" w:rsidRDefault="0096787B" w:rsidP="00113B97">
      <w:pPr>
        <w:spacing w:after="120" w:line="480" w:lineRule="auto"/>
        <w:rPr>
          <w:sz w:val="20"/>
          <w:szCs w:val="20"/>
          <w:lang w:val="en-US"/>
        </w:rPr>
      </w:pPr>
      <w:r>
        <w:rPr>
          <w:sz w:val="20"/>
          <w:szCs w:val="20"/>
          <w:lang w:val="en-US"/>
        </w:rPr>
        <w:t xml:space="preserve">Meador-Woodruff, J.H., Damask, S.P., Wang, J., </w:t>
      </w:r>
      <w:proofErr w:type="spellStart"/>
      <w:r>
        <w:rPr>
          <w:sz w:val="20"/>
          <w:szCs w:val="20"/>
          <w:lang w:val="en-US"/>
        </w:rPr>
        <w:t>Haroutunian</w:t>
      </w:r>
      <w:proofErr w:type="spellEnd"/>
      <w:r>
        <w:rPr>
          <w:sz w:val="20"/>
          <w:szCs w:val="20"/>
          <w:lang w:val="en-US"/>
        </w:rPr>
        <w:t>, V., Davis, K.L., Watson, S.J., 1996. Dopamine receptor mRNA expression in human striatum and neocortex. Neuropsychopharmacology 15, 17-29.</w:t>
      </w:r>
    </w:p>
    <w:p w:rsidR="00352A2A" w:rsidRPr="00B26E04" w:rsidRDefault="00352A2A" w:rsidP="00113B97">
      <w:pPr>
        <w:spacing w:after="120" w:line="480" w:lineRule="auto"/>
        <w:rPr>
          <w:sz w:val="20"/>
          <w:szCs w:val="20"/>
          <w:lang w:val="en-US"/>
        </w:rPr>
      </w:pPr>
      <w:proofErr w:type="spellStart"/>
      <w:r w:rsidRPr="00C54C8A">
        <w:rPr>
          <w:sz w:val="20"/>
          <w:szCs w:val="20"/>
        </w:rPr>
        <w:t>Mercadillo</w:t>
      </w:r>
      <w:proofErr w:type="spellEnd"/>
      <w:r w:rsidRPr="00C54C8A">
        <w:rPr>
          <w:sz w:val="20"/>
          <w:szCs w:val="20"/>
        </w:rPr>
        <w:t xml:space="preserve">, R.E., </w:t>
      </w:r>
      <w:proofErr w:type="spellStart"/>
      <w:r w:rsidRPr="00C54C8A">
        <w:rPr>
          <w:sz w:val="20"/>
          <w:szCs w:val="20"/>
        </w:rPr>
        <w:t>Arias</w:t>
      </w:r>
      <w:proofErr w:type="spellEnd"/>
      <w:r w:rsidRPr="00C54C8A">
        <w:rPr>
          <w:sz w:val="20"/>
          <w:szCs w:val="20"/>
        </w:rPr>
        <w:t xml:space="preserve">, N.A., 2010. </w:t>
      </w:r>
      <w:r w:rsidRPr="00B26E04">
        <w:rPr>
          <w:sz w:val="20"/>
          <w:szCs w:val="20"/>
          <w:lang w:val="en-US"/>
        </w:rPr>
        <w:t>Violence and compassion: a bioethical insight into their cognitive bases and social manifestations. Int</w:t>
      </w:r>
      <w:r w:rsidR="0096787B">
        <w:rPr>
          <w:sz w:val="20"/>
          <w:szCs w:val="20"/>
          <w:lang w:val="en-US"/>
        </w:rPr>
        <w:t xml:space="preserve">. Soc. Sci. J. 61, 221-232. </w:t>
      </w:r>
    </w:p>
    <w:p w:rsidR="00352A2A" w:rsidRPr="00B26E04" w:rsidRDefault="0096787B" w:rsidP="00113B97">
      <w:pPr>
        <w:spacing w:after="120" w:line="480" w:lineRule="auto"/>
        <w:rPr>
          <w:sz w:val="20"/>
          <w:szCs w:val="20"/>
          <w:lang w:val="en-US"/>
        </w:rPr>
      </w:pPr>
      <w:r>
        <w:rPr>
          <w:sz w:val="20"/>
          <w:szCs w:val="20"/>
          <w:lang w:val="en-US"/>
        </w:rPr>
        <w:t xml:space="preserve">Meyer-Lindenberg, A., </w:t>
      </w:r>
      <w:proofErr w:type="spellStart"/>
      <w:r>
        <w:rPr>
          <w:sz w:val="20"/>
          <w:szCs w:val="20"/>
          <w:lang w:val="en-US"/>
        </w:rPr>
        <w:t>Buckholtz</w:t>
      </w:r>
      <w:proofErr w:type="spellEnd"/>
      <w:r>
        <w:rPr>
          <w:sz w:val="20"/>
          <w:szCs w:val="20"/>
          <w:lang w:val="en-US"/>
        </w:rPr>
        <w:t xml:space="preserve">, J.W., </w:t>
      </w:r>
      <w:proofErr w:type="spellStart"/>
      <w:r>
        <w:rPr>
          <w:sz w:val="20"/>
          <w:szCs w:val="20"/>
          <w:lang w:val="en-US"/>
        </w:rPr>
        <w:t>Kolachana</w:t>
      </w:r>
      <w:proofErr w:type="spellEnd"/>
      <w:r>
        <w:rPr>
          <w:sz w:val="20"/>
          <w:szCs w:val="20"/>
          <w:lang w:val="en-US"/>
        </w:rPr>
        <w:t xml:space="preserve">, B., R Hariri, A., </w:t>
      </w:r>
      <w:proofErr w:type="spellStart"/>
      <w:r>
        <w:rPr>
          <w:sz w:val="20"/>
          <w:szCs w:val="20"/>
          <w:lang w:val="en-US"/>
        </w:rPr>
        <w:t>Pezawas</w:t>
      </w:r>
      <w:proofErr w:type="spellEnd"/>
      <w:r>
        <w:rPr>
          <w:sz w:val="20"/>
          <w:szCs w:val="20"/>
          <w:lang w:val="en-US"/>
        </w:rPr>
        <w:t xml:space="preserve">, L., Blasi, G., </w:t>
      </w:r>
      <w:proofErr w:type="spellStart"/>
      <w:r>
        <w:rPr>
          <w:sz w:val="20"/>
          <w:szCs w:val="20"/>
          <w:lang w:val="en-US"/>
        </w:rPr>
        <w:t>Wabnitz</w:t>
      </w:r>
      <w:proofErr w:type="spellEnd"/>
      <w:r>
        <w:rPr>
          <w:sz w:val="20"/>
          <w:szCs w:val="20"/>
          <w:lang w:val="en-US"/>
        </w:rPr>
        <w:t xml:space="preserve">, A., Honea, R., </w:t>
      </w:r>
      <w:proofErr w:type="spellStart"/>
      <w:r>
        <w:rPr>
          <w:sz w:val="20"/>
          <w:szCs w:val="20"/>
          <w:lang w:val="en-US"/>
        </w:rPr>
        <w:t>Verchinski</w:t>
      </w:r>
      <w:proofErr w:type="spellEnd"/>
      <w:r>
        <w:rPr>
          <w:sz w:val="20"/>
          <w:szCs w:val="20"/>
          <w:lang w:val="en-US"/>
        </w:rPr>
        <w:t xml:space="preserve">, B., </w:t>
      </w:r>
      <w:proofErr w:type="spellStart"/>
      <w:r>
        <w:rPr>
          <w:sz w:val="20"/>
          <w:szCs w:val="20"/>
          <w:lang w:val="en-US"/>
        </w:rPr>
        <w:t>Callicott</w:t>
      </w:r>
      <w:proofErr w:type="spellEnd"/>
      <w:r>
        <w:rPr>
          <w:sz w:val="20"/>
          <w:szCs w:val="20"/>
          <w:lang w:val="en-US"/>
        </w:rPr>
        <w:t xml:space="preserve">, J.H., Egan, M., </w:t>
      </w:r>
      <w:proofErr w:type="spellStart"/>
      <w:r>
        <w:rPr>
          <w:sz w:val="20"/>
          <w:szCs w:val="20"/>
          <w:lang w:val="en-US"/>
        </w:rPr>
        <w:t>Mattay</w:t>
      </w:r>
      <w:proofErr w:type="spellEnd"/>
      <w:r>
        <w:rPr>
          <w:sz w:val="20"/>
          <w:szCs w:val="20"/>
          <w:lang w:val="en-US"/>
        </w:rPr>
        <w:t>, V., Weinberger, D.R., 2006. Neural mechanisms of genetic risk for impulsivity and violence in humans. Proc. Natl. Acad. Sci. U. S. A. 103, 6269-6274.</w:t>
      </w:r>
    </w:p>
    <w:p w:rsidR="008C384C" w:rsidRDefault="008C384C" w:rsidP="008C384C">
      <w:pPr>
        <w:spacing w:after="120" w:line="480" w:lineRule="auto"/>
        <w:rPr>
          <w:sz w:val="20"/>
          <w:szCs w:val="20"/>
          <w:lang w:val="en-US"/>
        </w:rPr>
      </w:pPr>
      <w:r w:rsidRPr="008C384C">
        <w:rPr>
          <w:sz w:val="20"/>
          <w:szCs w:val="20"/>
          <w:lang w:val="en-US"/>
        </w:rPr>
        <w:t>Miczek</w:t>
      </w:r>
      <w:r>
        <w:rPr>
          <w:sz w:val="20"/>
          <w:szCs w:val="20"/>
          <w:lang w:val="en-US"/>
        </w:rPr>
        <w:t>,</w:t>
      </w:r>
      <w:r w:rsidRPr="008C384C">
        <w:rPr>
          <w:sz w:val="20"/>
          <w:szCs w:val="20"/>
          <w:lang w:val="en-US"/>
        </w:rPr>
        <w:t xml:space="preserve"> K</w:t>
      </w:r>
      <w:r>
        <w:rPr>
          <w:sz w:val="20"/>
          <w:szCs w:val="20"/>
          <w:lang w:val="en-US"/>
        </w:rPr>
        <w:t>.</w:t>
      </w:r>
      <w:r w:rsidRPr="008C384C">
        <w:rPr>
          <w:sz w:val="20"/>
          <w:szCs w:val="20"/>
          <w:lang w:val="en-US"/>
        </w:rPr>
        <w:t>A</w:t>
      </w:r>
      <w:r>
        <w:rPr>
          <w:sz w:val="20"/>
          <w:szCs w:val="20"/>
          <w:lang w:val="en-US"/>
        </w:rPr>
        <w:t>.</w:t>
      </w:r>
      <w:r w:rsidRPr="008C384C">
        <w:rPr>
          <w:sz w:val="20"/>
          <w:szCs w:val="20"/>
          <w:lang w:val="en-US"/>
        </w:rPr>
        <w:t>, Fish</w:t>
      </w:r>
      <w:r>
        <w:rPr>
          <w:sz w:val="20"/>
          <w:szCs w:val="20"/>
          <w:lang w:val="en-US"/>
        </w:rPr>
        <w:t>,</w:t>
      </w:r>
      <w:r w:rsidRPr="008C384C">
        <w:rPr>
          <w:sz w:val="20"/>
          <w:szCs w:val="20"/>
          <w:lang w:val="en-US"/>
        </w:rPr>
        <w:t xml:space="preserve"> E</w:t>
      </w:r>
      <w:r>
        <w:rPr>
          <w:sz w:val="20"/>
          <w:szCs w:val="20"/>
          <w:lang w:val="en-US"/>
        </w:rPr>
        <w:t>.</w:t>
      </w:r>
      <w:r w:rsidRPr="008C384C">
        <w:rPr>
          <w:sz w:val="20"/>
          <w:szCs w:val="20"/>
          <w:lang w:val="en-US"/>
        </w:rPr>
        <w:t>W</w:t>
      </w:r>
      <w:r>
        <w:rPr>
          <w:sz w:val="20"/>
          <w:szCs w:val="20"/>
          <w:lang w:val="en-US"/>
        </w:rPr>
        <w:t>.</w:t>
      </w:r>
      <w:r w:rsidRPr="008C384C">
        <w:rPr>
          <w:sz w:val="20"/>
          <w:szCs w:val="20"/>
          <w:lang w:val="en-US"/>
        </w:rPr>
        <w:t>, De Bold</w:t>
      </w:r>
      <w:r>
        <w:rPr>
          <w:sz w:val="20"/>
          <w:szCs w:val="20"/>
          <w:lang w:val="en-US"/>
        </w:rPr>
        <w:t>,</w:t>
      </w:r>
      <w:r w:rsidRPr="008C384C">
        <w:rPr>
          <w:sz w:val="20"/>
          <w:szCs w:val="20"/>
          <w:lang w:val="en-US"/>
        </w:rPr>
        <w:t xml:space="preserve"> J</w:t>
      </w:r>
      <w:r>
        <w:rPr>
          <w:sz w:val="20"/>
          <w:szCs w:val="20"/>
          <w:lang w:val="en-US"/>
        </w:rPr>
        <w:t>.</w:t>
      </w:r>
      <w:r w:rsidRPr="008C384C">
        <w:rPr>
          <w:sz w:val="20"/>
          <w:szCs w:val="20"/>
          <w:lang w:val="en-US"/>
        </w:rPr>
        <w:t>F.</w:t>
      </w:r>
      <w:r>
        <w:rPr>
          <w:sz w:val="20"/>
          <w:szCs w:val="20"/>
          <w:lang w:val="en-US"/>
        </w:rPr>
        <w:t>, 2003.</w:t>
      </w:r>
      <w:r w:rsidRPr="008C384C">
        <w:rPr>
          <w:sz w:val="20"/>
          <w:szCs w:val="20"/>
          <w:lang w:val="en-US"/>
        </w:rPr>
        <w:t xml:space="preserve"> </w:t>
      </w:r>
      <w:proofErr w:type="spellStart"/>
      <w:r w:rsidRPr="008C384C">
        <w:rPr>
          <w:sz w:val="20"/>
          <w:szCs w:val="20"/>
          <w:lang w:val="en-US"/>
        </w:rPr>
        <w:t>Neurosteroids</w:t>
      </w:r>
      <w:proofErr w:type="spellEnd"/>
      <w:r w:rsidRPr="008C384C">
        <w:rPr>
          <w:sz w:val="20"/>
          <w:szCs w:val="20"/>
          <w:lang w:val="en-US"/>
        </w:rPr>
        <w:t>, GABAA receptors, and escalated</w:t>
      </w:r>
      <w:r>
        <w:rPr>
          <w:sz w:val="20"/>
          <w:szCs w:val="20"/>
          <w:lang w:val="en-US"/>
        </w:rPr>
        <w:t xml:space="preserve"> </w:t>
      </w:r>
      <w:r w:rsidRPr="008C384C">
        <w:rPr>
          <w:sz w:val="20"/>
          <w:szCs w:val="20"/>
          <w:lang w:val="en-US"/>
        </w:rPr>
        <w:t xml:space="preserve">aggressive behavior. </w:t>
      </w:r>
      <w:proofErr w:type="spellStart"/>
      <w:r w:rsidRPr="008C384C">
        <w:rPr>
          <w:sz w:val="20"/>
          <w:szCs w:val="20"/>
          <w:lang w:val="en-US"/>
        </w:rPr>
        <w:t>Horm</w:t>
      </w:r>
      <w:proofErr w:type="spellEnd"/>
      <w:r>
        <w:rPr>
          <w:sz w:val="20"/>
          <w:szCs w:val="20"/>
          <w:lang w:val="en-US"/>
        </w:rPr>
        <w:t>.</w:t>
      </w:r>
      <w:r w:rsidRPr="008C384C">
        <w:rPr>
          <w:sz w:val="20"/>
          <w:szCs w:val="20"/>
          <w:lang w:val="en-US"/>
        </w:rPr>
        <w:t xml:space="preserve"> </w:t>
      </w:r>
      <w:proofErr w:type="spellStart"/>
      <w:r w:rsidRPr="008C384C">
        <w:rPr>
          <w:sz w:val="20"/>
          <w:szCs w:val="20"/>
          <w:lang w:val="en-US"/>
        </w:rPr>
        <w:t>Behav</w:t>
      </w:r>
      <w:proofErr w:type="spellEnd"/>
      <w:r w:rsidRPr="008C384C">
        <w:rPr>
          <w:sz w:val="20"/>
          <w:szCs w:val="20"/>
          <w:lang w:val="en-US"/>
        </w:rPr>
        <w:t>. 44</w:t>
      </w:r>
      <w:r>
        <w:rPr>
          <w:sz w:val="20"/>
          <w:szCs w:val="20"/>
          <w:lang w:val="en-US"/>
        </w:rPr>
        <w:t xml:space="preserve">, </w:t>
      </w:r>
      <w:r w:rsidRPr="008C384C">
        <w:rPr>
          <w:sz w:val="20"/>
          <w:szCs w:val="20"/>
          <w:lang w:val="en-US"/>
        </w:rPr>
        <w:t>242-</w:t>
      </w:r>
      <w:r>
        <w:rPr>
          <w:sz w:val="20"/>
          <w:szCs w:val="20"/>
          <w:lang w:val="en-US"/>
        </w:rPr>
        <w:t>2</w:t>
      </w:r>
      <w:r w:rsidRPr="008C384C">
        <w:rPr>
          <w:sz w:val="20"/>
          <w:szCs w:val="20"/>
          <w:lang w:val="en-US"/>
        </w:rPr>
        <w:t>57.</w:t>
      </w:r>
    </w:p>
    <w:p w:rsidR="008F3EE6" w:rsidRPr="00B26E04" w:rsidRDefault="0096787B" w:rsidP="008C384C">
      <w:pPr>
        <w:spacing w:after="120" w:line="480" w:lineRule="auto"/>
        <w:rPr>
          <w:sz w:val="20"/>
          <w:szCs w:val="20"/>
          <w:lang w:val="en-US"/>
        </w:rPr>
      </w:pPr>
      <w:r>
        <w:rPr>
          <w:sz w:val="20"/>
          <w:szCs w:val="20"/>
          <w:lang w:val="en-US"/>
        </w:rPr>
        <w:lastRenderedPageBreak/>
        <w:t xml:space="preserve">Miki, T., Yokota, O., </w:t>
      </w:r>
      <w:proofErr w:type="spellStart"/>
      <w:r>
        <w:rPr>
          <w:sz w:val="20"/>
          <w:szCs w:val="20"/>
          <w:lang w:val="en-US"/>
        </w:rPr>
        <w:t>Ishizu</w:t>
      </w:r>
      <w:proofErr w:type="spellEnd"/>
      <w:r>
        <w:rPr>
          <w:sz w:val="20"/>
          <w:szCs w:val="20"/>
          <w:lang w:val="en-US"/>
        </w:rPr>
        <w:t xml:space="preserve">, H, Kuroda, S., </w:t>
      </w:r>
      <w:proofErr w:type="spellStart"/>
      <w:r>
        <w:rPr>
          <w:sz w:val="20"/>
          <w:szCs w:val="20"/>
          <w:lang w:val="en-US"/>
        </w:rPr>
        <w:t>Oshima</w:t>
      </w:r>
      <w:proofErr w:type="spellEnd"/>
      <w:r>
        <w:rPr>
          <w:sz w:val="20"/>
          <w:szCs w:val="20"/>
          <w:lang w:val="en-US"/>
        </w:rPr>
        <w:t>, E., Terada, S., Yamada, N., 2016. Behavioral variant of frontotemporal dementia: Fundamental clinical issues associated with prediction of pathological bases. Neuropathology 36; 388</w:t>
      </w:r>
      <w:r>
        <w:rPr>
          <w:rFonts w:ascii="Cambria Math" w:hAnsi="Cambria Math" w:cs="Cambria Math"/>
          <w:sz w:val="20"/>
          <w:szCs w:val="20"/>
          <w:lang w:val="en-US"/>
        </w:rPr>
        <w:t>‐</w:t>
      </w:r>
      <w:r>
        <w:rPr>
          <w:sz w:val="20"/>
          <w:szCs w:val="20"/>
          <w:lang w:val="en-US"/>
        </w:rPr>
        <w:t>404.</w:t>
      </w:r>
    </w:p>
    <w:p w:rsidR="00352A2A" w:rsidRPr="00B26E04" w:rsidRDefault="0096787B" w:rsidP="00113B97">
      <w:pPr>
        <w:spacing w:after="120" w:line="480" w:lineRule="auto"/>
        <w:rPr>
          <w:sz w:val="20"/>
          <w:szCs w:val="20"/>
          <w:lang w:val="en-US"/>
        </w:rPr>
      </w:pPr>
      <w:r>
        <w:rPr>
          <w:sz w:val="20"/>
          <w:szCs w:val="20"/>
          <w:lang w:val="en-US"/>
        </w:rPr>
        <w:t>Miles, D.R., Carey, G., 1997. Genetic and environmental architecture of human aggression. J. Pers. Soc. Psychol. 72, 207-217.</w:t>
      </w:r>
    </w:p>
    <w:p w:rsidR="00352A2A" w:rsidRPr="00B26E04" w:rsidRDefault="0096787B" w:rsidP="00113B97">
      <w:pPr>
        <w:spacing w:after="120" w:line="480" w:lineRule="auto"/>
        <w:rPr>
          <w:sz w:val="20"/>
          <w:szCs w:val="20"/>
          <w:lang w:val="en-US"/>
        </w:rPr>
      </w:pPr>
      <w:proofErr w:type="spellStart"/>
      <w:r>
        <w:rPr>
          <w:sz w:val="20"/>
          <w:szCs w:val="20"/>
          <w:lang w:val="en-US"/>
        </w:rPr>
        <w:t>Mitterschiffthaler</w:t>
      </w:r>
      <w:proofErr w:type="spellEnd"/>
      <w:r>
        <w:rPr>
          <w:sz w:val="20"/>
          <w:szCs w:val="20"/>
          <w:lang w:val="en-US"/>
        </w:rPr>
        <w:t xml:space="preserve">, M.T., Ettinger, U., Mehta, M.A., </w:t>
      </w:r>
      <w:proofErr w:type="spellStart"/>
      <w:r>
        <w:rPr>
          <w:sz w:val="20"/>
          <w:szCs w:val="20"/>
          <w:lang w:val="en-US"/>
        </w:rPr>
        <w:t>Mataix</w:t>
      </w:r>
      <w:proofErr w:type="spellEnd"/>
      <w:r>
        <w:rPr>
          <w:sz w:val="20"/>
          <w:szCs w:val="20"/>
          <w:lang w:val="en-US"/>
        </w:rPr>
        <w:t xml:space="preserve">-Cols, D., Williams, S.C., 2006. Applications of functional magnetic resonance imaging in psychiatry. J. </w:t>
      </w:r>
      <w:proofErr w:type="spellStart"/>
      <w:r>
        <w:rPr>
          <w:sz w:val="20"/>
          <w:szCs w:val="20"/>
          <w:lang w:val="en-US"/>
        </w:rPr>
        <w:t>Magn</w:t>
      </w:r>
      <w:proofErr w:type="spellEnd"/>
      <w:r>
        <w:rPr>
          <w:sz w:val="20"/>
          <w:szCs w:val="20"/>
          <w:lang w:val="en-US"/>
        </w:rPr>
        <w:t xml:space="preserve">. </w:t>
      </w:r>
      <w:proofErr w:type="spellStart"/>
      <w:r>
        <w:rPr>
          <w:sz w:val="20"/>
          <w:szCs w:val="20"/>
          <w:lang w:val="en-US"/>
        </w:rPr>
        <w:t>Reson</w:t>
      </w:r>
      <w:proofErr w:type="spellEnd"/>
      <w:r>
        <w:rPr>
          <w:sz w:val="20"/>
          <w:szCs w:val="20"/>
          <w:lang w:val="en-US"/>
        </w:rPr>
        <w:t>. Imaging 23, 851-861.</w:t>
      </w:r>
    </w:p>
    <w:p w:rsidR="00352A2A" w:rsidRPr="00B26E04" w:rsidRDefault="0096787B" w:rsidP="00113B97">
      <w:pPr>
        <w:spacing w:after="120" w:line="480" w:lineRule="auto"/>
        <w:rPr>
          <w:sz w:val="20"/>
          <w:szCs w:val="20"/>
          <w:lang w:val="en-US"/>
        </w:rPr>
      </w:pPr>
      <w:r>
        <w:rPr>
          <w:sz w:val="20"/>
          <w:szCs w:val="20"/>
          <w:lang w:val="en-US"/>
        </w:rPr>
        <w:t xml:space="preserve">Moll, J., Zahn, R., de Oliveira-Souza, R., Krueger, F., Grafman, J., 2005. Opinion: the neural basis of human moral cognition. Nat. Rev. </w:t>
      </w:r>
      <w:proofErr w:type="spellStart"/>
      <w:r>
        <w:rPr>
          <w:sz w:val="20"/>
          <w:szCs w:val="20"/>
          <w:lang w:val="en-US"/>
        </w:rPr>
        <w:t>Neurosci</w:t>
      </w:r>
      <w:proofErr w:type="spellEnd"/>
      <w:r>
        <w:rPr>
          <w:sz w:val="20"/>
          <w:szCs w:val="20"/>
          <w:lang w:val="en-US"/>
        </w:rPr>
        <w:t>. 6, 799-809.</w:t>
      </w:r>
    </w:p>
    <w:p w:rsidR="00352A2A" w:rsidRPr="00B26E04" w:rsidRDefault="0096787B" w:rsidP="00113B97">
      <w:pPr>
        <w:spacing w:after="120" w:line="480" w:lineRule="auto"/>
        <w:rPr>
          <w:sz w:val="20"/>
          <w:szCs w:val="20"/>
          <w:lang w:val="en-US"/>
        </w:rPr>
      </w:pPr>
      <w:proofErr w:type="spellStart"/>
      <w:r>
        <w:rPr>
          <w:sz w:val="20"/>
          <w:szCs w:val="20"/>
          <w:lang w:val="en-US"/>
        </w:rPr>
        <w:t>Motzkin</w:t>
      </w:r>
      <w:proofErr w:type="spellEnd"/>
      <w:r>
        <w:rPr>
          <w:sz w:val="20"/>
          <w:szCs w:val="20"/>
          <w:lang w:val="en-US"/>
        </w:rPr>
        <w:t xml:space="preserve">, J.C., Newman, J.P., </w:t>
      </w:r>
      <w:proofErr w:type="spellStart"/>
      <w:r>
        <w:rPr>
          <w:sz w:val="20"/>
          <w:szCs w:val="20"/>
          <w:lang w:val="en-US"/>
        </w:rPr>
        <w:t>Kiehl</w:t>
      </w:r>
      <w:proofErr w:type="spellEnd"/>
      <w:r>
        <w:rPr>
          <w:sz w:val="20"/>
          <w:szCs w:val="20"/>
          <w:lang w:val="en-US"/>
        </w:rPr>
        <w:t xml:space="preserve">, K.A., </w:t>
      </w:r>
      <w:proofErr w:type="spellStart"/>
      <w:r>
        <w:rPr>
          <w:sz w:val="20"/>
          <w:szCs w:val="20"/>
          <w:lang w:val="en-US"/>
        </w:rPr>
        <w:t>Koenigs</w:t>
      </w:r>
      <w:proofErr w:type="spellEnd"/>
      <w:r>
        <w:rPr>
          <w:sz w:val="20"/>
          <w:szCs w:val="20"/>
          <w:lang w:val="en-US"/>
        </w:rPr>
        <w:t xml:space="preserve">, M., 2011. Reduced prefrontal connectivity in psychopathy. J. </w:t>
      </w:r>
      <w:proofErr w:type="spellStart"/>
      <w:r>
        <w:rPr>
          <w:sz w:val="20"/>
          <w:szCs w:val="20"/>
          <w:lang w:val="en-US"/>
        </w:rPr>
        <w:t>Neurosci</w:t>
      </w:r>
      <w:proofErr w:type="spellEnd"/>
      <w:r>
        <w:rPr>
          <w:sz w:val="20"/>
          <w:szCs w:val="20"/>
          <w:lang w:val="en-US"/>
        </w:rPr>
        <w:t xml:space="preserve">. 31, 17348-17357. </w:t>
      </w:r>
    </w:p>
    <w:p w:rsidR="00352A2A" w:rsidRPr="00B26E04" w:rsidRDefault="0096787B" w:rsidP="00113B97">
      <w:pPr>
        <w:spacing w:after="120" w:line="480" w:lineRule="auto"/>
        <w:rPr>
          <w:sz w:val="20"/>
          <w:szCs w:val="20"/>
          <w:lang w:val="en-US"/>
        </w:rPr>
      </w:pPr>
      <w:r>
        <w:rPr>
          <w:sz w:val="20"/>
          <w:szCs w:val="20"/>
          <w:lang w:val="en-US"/>
        </w:rPr>
        <w:t xml:space="preserve">Moylan, C.A., </w:t>
      </w:r>
      <w:proofErr w:type="spellStart"/>
      <w:r>
        <w:rPr>
          <w:sz w:val="20"/>
          <w:szCs w:val="20"/>
          <w:lang w:val="en-US"/>
        </w:rPr>
        <w:t>Herrenkohl</w:t>
      </w:r>
      <w:proofErr w:type="spellEnd"/>
      <w:r>
        <w:rPr>
          <w:sz w:val="20"/>
          <w:szCs w:val="20"/>
          <w:lang w:val="en-US"/>
        </w:rPr>
        <w:t xml:space="preserve">, T.I., Sousa, C., Tajima, E.A., </w:t>
      </w:r>
      <w:proofErr w:type="spellStart"/>
      <w:r>
        <w:rPr>
          <w:sz w:val="20"/>
          <w:szCs w:val="20"/>
          <w:lang w:val="en-US"/>
        </w:rPr>
        <w:t>Herrenkohl</w:t>
      </w:r>
      <w:proofErr w:type="spellEnd"/>
      <w:r>
        <w:rPr>
          <w:sz w:val="20"/>
          <w:szCs w:val="20"/>
          <w:lang w:val="en-US"/>
        </w:rPr>
        <w:t xml:space="preserve">, R.C., Russo, M.J., 2010. The Effects of Child Abuse and Exposure to Domestic Violence on Adolescent Internalizing and Externalizing Behavior Problems. J. Fam. Violence 25, 53-63. </w:t>
      </w:r>
    </w:p>
    <w:p w:rsidR="00352A2A" w:rsidRPr="00B26E04" w:rsidRDefault="0096787B" w:rsidP="00113B97">
      <w:pPr>
        <w:spacing w:after="120" w:line="480" w:lineRule="auto"/>
        <w:rPr>
          <w:sz w:val="20"/>
          <w:szCs w:val="20"/>
          <w:lang w:val="en-US"/>
        </w:rPr>
      </w:pPr>
      <w:proofErr w:type="spellStart"/>
      <w:r>
        <w:rPr>
          <w:sz w:val="20"/>
          <w:szCs w:val="20"/>
          <w:lang w:val="en-US"/>
        </w:rPr>
        <w:t>Munafò</w:t>
      </w:r>
      <w:proofErr w:type="spellEnd"/>
      <w:r>
        <w:rPr>
          <w:sz w:val="20"/>
          <w:szCs w:val="20"/>
          <w:lang w:val="en-US"/>
        </w:rPr>
        <w:t>, M.R., Brown, S.M., Hariri, A.R., 2008. Serotonin transporter (5-HTTLPR) genotype and amygdala activation: a meta-analysis. Biol. Psychiatry 63, 852-857.</w:t>
      </w:r>
    </w:p>
    <w:p w:rsidR="00352A2A" w:rsidRPr="00B26E04" w:rsidRDefault="0096787B" w:rsidP="00113B97">
      <w:pPr>
        <w:spacing w:after="120" w:line="480" w:lineRule="auto"/>
        <w:rPr>
          <w:sz w:val="20"/>
          <w:szCs w:val="20"/>
          <w:lang w:val="en-US"/>
        </w:rPr>
      </w:pPr>
      <w:r>
        <w:rPr>
          <w:sz w:val="20"/>
          <w:szCs w:val="20"/>
          <w:lang w:val="en-US"/>
        </w:rPr>
        <w:t xml:space="preserve">Murphy, S.E., Norbury, R., </w:t>
      </w:r>
      <w:proofErr w:type="spellStart"/>
      <w:r>
        <w:rPr>
          <w:sz w:val="20"/>
          <w:szCs w:val="20"/>
          <w:lang w:val="en-US"/>
        </w:rPr>
        <w:t>Godlewska</w:t>
      </w:r>
      <w:proofErr w:type="spellEnd"/>
      <w:r>
        <w:rPr>
          <w:sz w:val="20"/>
          <w:szCs w:val="20"/>
          <w:lang w:val="en-US"/>
        </w:rPr>
        <w:t xml:space="preserve">, B.R., Cowen, P.J., Mannie, Z.M., Harmer, C.J., </w:t>
      </w:r>
      <w:proofErr w:type="spellStart"/>
      <w:r>
        <w:rPr>
          <w:sz w:val="20"/>
          <w:szCs w:val="20"/>
          <w:lang w:val="en-US"/>
        </w:rPr>
        <w:t>Munafò</w:t>
      </w:r>
      <w:proofErr w:type="spellEnd"/>
      <w:r>
        <w:rPr>
          <w:sz w:val="20"/>
          <w:szCs w:val="20"/>
          <w:lang w:val="en-US"/>
        </w:rPr>
        <w:t>, M.R., 2013. The effect of the serotonin transporter polymorphism (5-HTTLPR) on amygdala function: a meta-analysis. Mol. Psychiatry 18, 512-520.</w:t>
      </w:r>
    </w:p>
    <w:p w:rsidR="003C72DC" w:rsidRPr="00B26E04" w:rsidRDefault="0096787B" w:rsidP="00113B97">
      <w:pPr>
        <w:spacing w:after="120" w:line="480" w:lineRule="auto"/>
        <w:rPr>
          <w:sz w:val="20"/>
          <w:szCs w:val="20"/>
          <w:lang w:val="en-US"/>
        </w:rPr>
      </w:pPr>
      <w:proofErr w:type="spellStart"/>
      <w:r>
        <w:rPr>
          <w:sz w:val="20"/>
          <w:szCs w:val="20"/>
          <w:lang w:val="en-US"/>
        </w:rPr>
        <w:t>Musci</w:t>
      </w:r>
      <w:proofErr w:type="spellEnd"/>
      <w:r>
        <w:rPr>
          <w:sz w:val="20"/>
          <w:szCs w:val="20"/>
          <w:lang w:val="en-US"/>
        </w:rPr>
        <w:t xml:space="preserve">, R.J., Bettencourt, A.F., </w:t>
      </w:r>
      <w:proofErr w:type="spellStart"/>
      <w:r>
        <w:rPr>
          <w:sz w:val="20"/>
          <w:szCs w:val="20"/>
          <w:lang w:val="en-US"/>
        </w:rPr>
        <w:t>Sisto</w:t>
      </w:r>
      <w:proofErr w:type="spellEnd"/>
      <w:r>
        <w:rPr>
          <w:sz w:val="20"/>
          <w:szCs w:val="20"/>
          <w:lang w:val="en-US"/>
        </w:rPr>
        <w:t xml:space="preserve">, D., Maher, B., </w:t>
      </w:r>
      <w:proofErr w:type="spellStart"/>
      <w:r>
        <w:rPr>
          <w:sz w:val="20"/>
          <w:szCs w:val="20"/>
          <w:lang w:val="en-US"/>
        </w:rPr>
        <w:t>Masyn</w:t>
      </w:r>
      <w:proofErr w:type="spellEnd"/>
      <w:r>
        <w:rPr>
          <w:sz w:val="20"/>
          <w:szCs w:val="20"/>
          <w:lang w:val="en-US"/>
        </w:rPr>
        <w:t xml:space="preserve">, K., </w:t>
      </w:r>
      <w:proofErr w:type="spellStart"/>
      <w:r>
        <w:rPr>
          <w:sz w:val="20"/>
          <w:szCs w:val="20"/>
          <w:lang w:val="en-US"/>
        </w:rPr>
        <w:t>Ialongo</w:t>
      </w:r>
      <w:proofErr w:type="spellEnd"/>
      <w:r>
        <w:rPr>
          <w:sz w:val="20"/>
          <w:szCs w:val="20"/>
          <w:lang w:val="en-US"/>
        </w:rPr>
        <w:t xml:space="preserve">, N.S., 2019. Violence exposure in an urban city: A </w:t>
      </w:r>
      <w:proofErr w:type="spellStart"/>
      <w:r>
        <w:rPr>
          <w:sz w:val="20"/>
          <w:szCs w:val="20"/>
          <w:lang w:val="en-US"/>
        </w:rPr>
        <w:t>GxE</w:t>
      </w:r>
      <w:proofErr w:type="spellEnd"/>
      <w:r>
        <w:rPr>
          <w:sz w:val="20"/>
          <w:szCs w:val="20"/>
          <w:lang w:val="en-US"/>
        </w:rPr>
        <w:t xml:space="preserve"> interaction with aggressive and impulsive behaviors. J. Child Psychol. Psychiatry 60, 72-81.</w:t>
      </w:r>
    </w:p>
    <w:p w:rsidR="00352A2A" w:rsidRPr="00C54C8A" w:rsidRDefault="0096787B" w:rsidP="00113B97">
      <w:pPr>
        <w:spacing w:after="120" w:line="480" w:lineRule="auto"/>
        <w:rPr>
          <w:sz w:val="20"/>
          <w:szCs w:val="20"/>
        </w:rPr>
      </w:pPr>
      <w:proofErr w:type="spellStart"/>
      <w:r>
        <w:rPr>
          <w:sz w:val="20"/>
          <w:szCs w:val="20"/>
          <w:lang w:val="en-US"/>
        </w:rPr>
        <w:t>Myöhänen</w:t>
      </w:r>
      <w:proofErr w:type="spellEnd"/>
      <w:r>
        <w:rPr>
          <w:sz w:val="20"/>
          <w:szCs w:val="20"/>
          <w:lang w:val="en-US"/>
        </w:rPr>
        <w:t xml:space="preserve">, T.T., </w:t>
      </w:r>
      <w:proofErr w:type="spellStart"/>
      <w:r>
        <w:rPr>
          <w:sz w:val="20"/>
          <w:szCs w:val="20"/>
          <w:lang w:val="en-US"/>
        </w:rPr>
        <w:t>Schendzielorz</w:t>
      </w:r>
      <w:proofErr w:type="spellEnd"/>
      <w:r>
        <w:rPr>
          <w:sz w:val="20"/>
          <w:szCs w:val="20"/>
          <w:lang w:val="en-US"/>
        </w:rPr>
        <w:t xml:space="preserve">, N., </w:t>
      </w:r>
      <w:proofErr w:type="spellStart"/>
      <w:r>
        <w:rPr>
          <w:sz w:val="20"/>
          <w:szCs w:val="20"/>
          <w:lang w:val="en-US"/>
        </w:rPr>
        <w:t>Männistö</w:t>
      </w:r>
      <w:proofErr w:type="spellEnd"/>
      <w:r>
        <w:rPr>
          <w:sz w:val="20"/>
          <w:szCs w:val="20"/>
          <w:lang w:val="en-US"/>
        </w:rPr>
        <w:t xml:space="preserve">, P.T., 2010. Distribution of catechol-O-methyltransferase (COMT) proteins and enzymatic activities in wild-type and soluble COMT deficient mice. </w:t>
      </w:r>
      <w:r w:rsidR="00352A2A" w:rsidRPr="00C54C8A">
        <w:rPr>
          <w:sz w:val="20"/>
          <w:szCs w:val="20"/>
        </w:rPr>
        <w:t>J</w:t>
      </w:r>
      <w:r w:rsidR="00257B0B" w:rsidRPr="00C54C8A">
        <w:rPr>
          <w:sz w:val="20"/>
          <w:szCs w:val="20"/>
        </w:rPr>
        <w:t>.</w:t>
      </w:r>
      <w:r w:rsidR="00352A2A" w:rsidRPr="00C54C8A">
        <w:rPr>
          <w:sz w:val="20"/>
          <w:szCs w:val="20"/>
        </w:rPr>
        <w:t xml:space="preserve"> </w:t>
      </w:r>
      <w:proofErr w:type="spellStart"/>
      <w:r w:rsidR="00352A2A" w:rsidRPr="00C54C8A">
        <w:rPr>
          <w:sz w:val="20"/>
          <w:szCs w:val="20"/>
        </w:rPr>
        <w:t>Neurochem</w:t>
      </w:r>
      <w:proofErr w:type="spellEnd"/>
      <w:r w:rsidR="00257B0B" w:rsidRPr="00C54C8A">
        <w:rPr>
          <w:sz w:val="20"/>
          <w:szCs w:val="20"/>
        </w:rPr>
        <w:t>.</w:t>
      </w:r>
      <w:r w:rsidR="00352A2A" w:rsidRPr="00C54C8A">
        <w:rPr>
          <w:sz w:val="20"/>
          <w:szCs w:val="20"/>
        </w:rPr>
        <w:t xml:space="preserve"> 113, 1632-1643.</w:t>
      </w:r>
    </w:p>
    <w:p w:rsidR="00A06E89" w:rsidRPr="00C54C8A" w:rsidRDefault="00A06E89" w:rsidP="00113B97">
      <w:pPr>
        <w:spacing w:after="120" w:line="480" w:lineRule="auto"/>
        <w:rPr>
          <w:sz w:val="20"/>
          <w:szCs w:val="20"/>
        </w:rPr>
      </w:pPr>
      <w:proofErr w:type="spellStart"/>
      <w:r w:rsidRPr="00C54C8A">
        <w:rPr>
          <w:sz w:val="20"/>
          <w:szCs w:val="20"/>
        </w:rPr>
        <w:t>Nishino</w:t>
      </w:r>
      <w:proofErr w:type="spellEnd"/>
      <w:r w:rsidRPr="00C54C8A">
        <w:rPr>
          <w:sz w:val="20"/>
          <w:szCs w:val="20"/>
        </w:rPr>
        <w:t xml:space="preserve">, J., </w:t>
      </w:r>
      <w:proofErr w:type="spellStart"/>
      <w:r w:rsidRPr="00C54C8A">
        <w:rPr>
          <w:sz w:val="20"/>
          <w:szCs w:val="20"/>
        </w:rPr>
        <w:t>Ochi</w:t>
      </w:r>
      <w:proofErr w:type="spellEnd"/>
      <w:r w:rsidRPr="00C54C8A">
        <w:rPr>
          <w:sz w:val="20"/>
          <w:szCs w:val="20"/>
        </w:rPr>
        <w:t xml:space="preserve">, H., Kochi, Y., </w:t>
      </w:r>
      <w:proofErr w:type="spellStart"/>
      <w:r w:rsidRPr="00C54C8A">
        <w:rPr>
          <w:sz w:val="20"/>
          <w:szCs w:val="20"/>
        </w:rPr>
        <w:t>Tsunoda</w:t>
      </w:r>
      <w:proofErr w:type="spellEnd"/>
      <w:r w:rsidRPr="00C54C8A">
        <w:rPr>
          <w:sz w:val="20"/>
          <w:szCs w:val="20"/>
        </w:rPr>
        <w:t xml:space="preserve">, T., </w:t>
      </w:r>
      <w:proofErr w:type="spellStart"/>
      <w:r w:rsidRPr="00C54C8A">
        <w:rPr>
          <w:sz w:val="20"/>
          <w:szCs w:val="20"/>
        </w:rPr>
        <w:t>Matsui</w:t>
      </w:r>
      <w:proofErr w:type="spellEnd"/>
      <w:r w:rsidRPr="00C54C8A">
        <w:rPr>
          <w:sz w:val="20"/>
          <w:szCs w:val="20"/>
        </w:rPr>
        <w:t xml:space="preserve">, S., 2018. </w:t>
      </w:r>
      <w:r w:rsidRPr="00B26E04">
        <w:rPr>
          <w:sz w:val="20"/>
          <w:szCs w:val="20"/>
          <w:lang w:val="en-US"/>
        </w:rPr>
        <w:t xml:space="preserve">Sample Size for Successful Genome-Wide Association Study of Major Depressive Disorder. </w:t>
      </w:r>
      <w:r w:rsidRPr="00C54C8A">
        <w:rPr>
          <w:sz w:val="20"/>
          <w:szCs w:val="20"/>
        </w:rPr>
        <w:t xml:space="preserve">Front. </w:t>
      </w:r>
      <w:proofErr w:type="spellStart"/>
      <w:r w:rsidRPr="00C54C8A">
        <w:rPr>
          <w:sz w:val="20"/>
          <w:szCs w:val="20"/>
        </w:rPr>
        <w:t>Genet</w:t>
      </w:r>
      <w:proofErr w:type="spellEnd"/>
      <w:r w:rsidRPr="00C54C8A">
        <w:rPr>
          <w:sz w:val="20"/>
          <w:szCs w:val="20"/>
        </w:rPr>
        <w:t>. 9, 227.</w:t>
      </w:r>
    </w:p>
    <w:p w:rsidR="00352A2A" w:rsidRPr="00B26E04" w:rsidRDefault="00791D79" w:rsidP="00113B97">
      <w:pPr>
        <w:spacing w:after="120" w:line="480" w:lineRule="auto"/>
        <w:rPr>
          <w:sz w:val="20"/>
          <w:szCs w:val="20"/>
          <w:lang w:val="en-US"/>
        </w:rPr>
      </w:pPr>
      <w:proofErr w:type="spellStart"/>
      <w:r w:rsidRPr="00C54C8A">
        <w:rPr>
          <w:sz w:val="20"/>
          <w:szCs w:val="20"/>
        </w:rPr>
        <w:t>Nakamura</w:t>
      </w:r>
      <w:proofErr w:type="spellEnd"/>
      <w:r w:rsidRPr="00C54C8A">
        <w:rPr>
          <w:sz w:val="20"/>
          <w:szCs w:val="20"/>
        </w:rPr>
        <w:t xml:space="preserve">, M., </w:t>
      </w:r>
      <w:proofErr w:type="spellStart"/>
      <w:r w:rsidRPr="00C54C8A">
        <w:rPr>
          <w:sz w:val="20"/>
          <w:szCs w:val="20"/>
        </w:rPr>
        <w:t>Ueno</w:t>
      </w:r>
      <w:proofErr w:type="spellEnd"/>
      <w:r w:rsidRPr="00C54C8A">
        <w:rPr>
          <w:sz w:val="20"/>
          <w:szCs w:val="20"/>
        </w:rPr>
        <w:t xml:space="preserve">, S., Sano, A., </w:t>
      </w:r>
      <w:proofErr w:type="spellStart"/>
      <w:r w:rsidRPr="00C54C8A">
        <w:rPr>
          <w:sz w:val="20"/>
          <w:szCs w:val="20"/>
        </w:rPr>
        <w:t>Tanabe</w:t>
      </w:r>
      <w:proofErr w:type="spellEnd"/>
      <w:r w:rsidRPr="00C54C8A">
        <w:rPr>
          <w:sz w:val="20"/>
          <w:szCs w:val="20"/>
        </w:rPr>
        <w:t xml:space="preserve">, H., 2000. </w:t>
      </w:r>
      <w:r w:rsidRPr="00B26E04">
        <w:rPr>
          <w:sz w:val="20"/>
          <w:szCs w:val="20"/>
          <w:lang w:val="en-US"/>
        </w:rPr>
        <w:t>The human serotonin transporter gene linked polymorphism (5-HTTLPR) shows ten novel allelic variants. Mol. Psychiatry 5, 32-38.</w:t>
      </w:r>
    </w:p>
    <w:p w:rsidR="00352A2A" w:rsidRPr="00B26E04" w:rsidRDefault="0096787B" w:rsidP="00113B97">
      <w:pPr>
        <w:spacing w:after="120" w:line="480" w:lineRule="auto"/>
        <w:rPr>
          <w:sz w:val="20"/>
          <w:szCs w:val="20"/>
          <w:lang w:val="en-US"/>
        </w:rPr>
      </w:pPr>
      <w:r>
        <w:rPr>
          <w:sz w:val="20"/>
          <w:szCs w:val="20"/>
          <w:lang w:val="en-US"/>
        </w:rPr>
        <w:lastRenderedPageBreak/>
        <w:t>Nichols, D.E., Nichols, C.D., 2008. Serotonin receptors. Chem. Rev. 108, 1614-1641.</w:t>
      </w:r>
    </w:p>
    <w:p w:rsidR="001471E4" w:rsidRPr="00B26E04" w:rsidRDefault="0096787B" w:rsidP="00113B97">
      <w:pPr>
        <w:spacing w:after="120" w:line="480" w:lineRule="auto"/>
        <w:rPr>
          <w:sz w:val="20"/>
          <w:szCs w:val="20"/>
          <w:lang w:val="en-US"/>
        </w:rPr>
      </w:pPr>
      <w:proofErr w:type="spellStart"/>
      <w:r>
        <w:rPr>
          <w:sz w:val="20"/>
          <w:szCs w:val="20"/>
          <w:lang w:val="en-US"/>
        </w:rPr>
        <w:t>Niederkofler</w:t>
      </w:r>
      <w:proofErr w:type="spellEnd"/>
      <w:r>
        <w:rPr>
          <w:sz w:val="20"/>
          <w:szCs w:val="20"/>
          <w:lang w:val="en-US"/>
        </w:rPr>
        <w:t xml:space="preserve">, V., Asher, T.E., </w:t>
      </w:r>
      <w:proofErr w:type="spellStart"/>
      <w:r>
        <w:rPr>
          <w:sz w:val="20"/>
          <w:szCs w:val="20"/>
          <w:lang w:val="en-US"/>
        </w:rPr>
        <w:t>Dymecki</w:t>
      </w:r>
      <w:proofErr w:type="spellEnd"/>
      <w:r>
        <w:rPr>
          <w:sz w:val="20"/>
          <w:szCs w:val="20"/>
          <w:lang w:val="en-US"/>
        </w:rPr>
        <w:t xml:space="preserve">, S.M., 2015. Functional Interplay between Dopaminergic and Serotonergic Neuronal Systems during Development and Adulthood. ACS Chem. </w:t>
      </w:r>
      <w:proofErr w:type="spellStart"/>
      <w:r>
        <w:rPr>
          <w:sz w:val="20"/>
          <w:szCs w:val="20"/>
          <w:lang w:val="en-US"/>
        </w:rPr>
        <w:t>Neurosci</w:t>
      </w:r>
      <w:proofErr w:type="spellEnd"/>
      <w:r>
        <w:rPr>
          <w:sz w:val="20"/>
          <w:szCs w:val="20"/>
          <w:lang w:val="en-US"/>
        </w:rPr>
        <w:t>. 6, 1055-1070.</w:t>
      </w:r>
    </w:p>
    <w:p w:rsidR="00352A2A" w:rsidRPr="00B26E04" w:rsidRDefault="0096787B" w:rsidP="00113B97">
      <w:pPr>
        <w:spacing w:after="120" w:line="480" w:lineRule="auto"/>
        <w:rPr>
          <w:sz w:val="20"/>
          <w:szCs w:val="20"/>
          <w:lang w:val="en-US"/>
        </w:rPr>
      </w:pPr>
      <w:r>
        <w:rPr>
          <w:sz w:val="20"/>
          <w:szCs w:val="20"/>
          <w:lang w:val="en-US"/>
        </w:rPr>
        <w:t xml:space="preserve">Nielsen, D.A., Jenkins, G.L., </w:t>
      </w:r>
      <w:proofErr w:type="spellStart"/>
      <w:r>
        <w:rPr>
          <w:sz w:val="20"/>
          <w:szCs w:val="20"/>
          <w:lang w:val="en-US"/>
        </w:rPr>
        <w:t>Stefanisko</w:t>
      </w:r>
      <w:proofErr w:type="spellEnd"/>
      <w:r>
        <w:rPr>
          <w:sz w:val="20"/>
          <w:szCs w:val="20"/>
          <w:lang w:val="en-US"/>
        </w:rPr>
        <w:t xml:space="preserve">, K.M., Jefferson, K.K., Goldman, D., 1997. Sequence, splice site and population frequency distribution analyses of the polymorphic human tryptophan hydroxylase intron 7. Brain Res. Mol. Brain Res. 45, 145-148. </w:t>
      </w:r>
    </w:p>
    <w:p w:rsidR="00352A2A" w:rsidRPr="00B26E04" w:rsidRDefault="0096787B" w:rsidP="00113B97">
      <w:pPr>
        <w:spacing w:after="120" w:line="480" w:lineRule="auto"/>
        <w:rPr>
          <w:sz w:val="20"/>
          <w:szCs w:val="20"/>
          <w:lang w:val="en-US"/>
        </w:rPr>
      </w:pPr>
      <w:r>
        <w:rPr>
          <w:sz w:val="20"/>
          <w:szCs w:val="20"/>
          <w:lang w:val="en-US"/>
        </w:rPr>
        <w:t xml:space="preserve">Nielsen, D.A., </w:t>
      </w:r>
      <w:proofErr w:type="spellStart"/>
      <w:r>
        <w:rPr>
          <w:sz w:val="20"/>
          <w:szCs w:val="20"/>
          <w:lang w:val="en-US"/>
        </w:rPr>
        <w:t>Virkkunen</w:t>
      </w:r>
      <w:proofErr w:type="spellEnd"/>
      <w:r>
        <w:rPr>
          <w:sz w:val="20"/>
          <w:szCs w:val="20"/>
          <w:lang w:val="en-US"/>
        </w:rPr>
        <w:t xml:space="preserve">, M., </w:t>
      </w:r>
      <w:proofErr w:type="spellStart"/>
      <w:r>
        <w:rPr>
          <w:sz w:val="20"/>
          <w:szCs w:val="20"/>
          <w:lang w:val="en-US"/>
        </w:rPr>
        <w:t>Lappalainen</w:t>
      </w:r>
      <w:proofErr w:type="spellEnd"/>
      <w:r>
        <w:rPr>
          <w:sz w:val="20"/>
          <w:szCs w:val="20"/>
          <w:lang w:val="en-US"/>
        </w:rPr>
        <w:t xml:space="preserve">, J., Eggert, M., Brown, G.L., Long, J.C., Goldman, D., </w:t>
      </w:r>
      <w:proofErr w:type="spellStart"/>
      <w:r>
        <w:rPr>
          <w:sz w:val="20"/>
          <w:szCs w:val="20"/>
          <w:lang w:val="en-US"/>
        </w:rPr>
        <w:t>Linnoila</w:t>
      </w:r>
      <w:proofErr w:type="spellEnd"/>
      <w:r>
        <w:rPr>
          <w:sz w:val="20"/>
          <w:szCs w:val="20"/>
          <w:lang w:val="en-US"/>
        </w:rPr>
        <w:t>, M., 1998. A tryptophan hydroxylase gene marker for suicidality and alcoholism. Arch. Gen. Psychiatry 55, 593-602.</w:t>
      </w:r>
    </w:p>
    <w:p w:rsidR="00352A2A" w:rsidRPr="00C54C8A" w:rsidRDefault="0096787B" w:rsidP="00113B97">
      <w:pPr>
        <w:spacing w:after="120" w:line="480" w:lineRule="auto"/>
        <w:rPr>
          <w:sz w:val="20"/>
          <w:szCs w:val="20"/>
        </w:rPr>
      </w:pPr>
      <w:proofErr w:type="spellStart"/>
      <w:r>
        <w:rPr>
          <w:sz w:val="20"/>
          <w:szCs w:val="20"/>
          <w:lang w:val="en-US"/>
        </w:rPr>
        <w:t>Nieuwenhuys</w:t>
      </w:r>
      <w:proofErr w:type="spellEnd"/>
      <w:r>
        <w:rPr>
          <w:sz w:val="20"/>
          <w:szCs w:val="20"/>
          <w:lang w:val="en-US"/>
        </w:rPr>
        <w:t xml:space="preserve">, R., 2012. The insular cortex: a review. Prog. </w:t>
      </w:r>
      <w:r w:rsidRPr="00C54C8A">
        <w:rPr>
          <w:sz w:val="20"/>
          <w:szCs w:val="20"/>
        </w:rPr>
        <w:t>Brain Res. 195, 123-163.</w:t>
      </w:r>
    </w:p>
    <w:p w:rsidR="002C3349" w:rsidRPr="00B26E04" w:rsidRDefault="0096787B" w:rsidP="00113B97">
      <w:pPr>
        <w:spacing w:after="120" w:line="480" w:lineRule="auto"/>
        <w:rPr>
          <w:sz w:val="20"/>
          <w:szCs w:val="20"/>
          <w:lang w:val="en-US"/>
        </w:rPr>
      </w:pPr>
      <w:r w:rsidRPr="00C54C8A">
        <w:rPr>
          <w:sz w:val="20"/>
          <w:szCs w:val="20"/>
        </w:rPr>
        <w:t xml:space="preserve">Nobile, M., </w:t>
      </w:r>
      <w:proofErr w:type="spellStart"/>
      <w:r w:rsidRPr="00C54C8A">
        <w:rPr>
          <w:sz w:val="20"/>
          <w:szCs w:val="20"/>
        </w:rPr>
        <w:t>Giorda</w:t>
      </w:r>
      <w:proofErr w:type="spellEnd"/>
      <w:r w:rsidRPr="00C54C8A">
        <w:rPr>
          <w:sz w:val="20"/>
          <w:szCs w:val="20"/>
        </w:rPr>
        <w:t xml:space="preserve">, R., Marino, C., </w:t>
      </w:r>
      <w:proofErr w:type="spellStart"/>
      <w:r w:rsidRPr="00C54C8A">
        <w:rPr>
          <w:sz w:val="20"/>
          <w:szCs w:val="20"/>
        </w:rPr>
        <w:t>Carlet</w:t>
      </w:r>
      <w:proofErr w:type="spellEnd"/>
      <w:r w:rsidRPr="00C54C8A">
        <w:rPr>
          <w:sz w:val="20"/>
          <w:szCs w:val="20"/>
        </w:rPr>
        <w:t xml:space="preserve">, O., Pastore, V., </w:t>
      </w:r>
      <w:proofErr w:type="spellStart"/>
      <w:r w:rsidRPr="00C54C8A">
        <w:rPr>
          <w:sz w:val="20"/>
          <w:szCs w:val="20"/>
        </w:rPr>
        <w:t>Vanzin</w:t>
      </w:r>
      <w:proofErr w:type="spellEnd"/>
      <w:r w:rsidRPr="00C54C8A">
        <w:rPr>
          <w:sz w:val="20"/>
          <w:szCs w:val="20"/>
        </w:rPr>
        <w:t xml:space="preserve">, L., Bellina, M., Molteni, M., Battaglia, M., 2007. </w:t>
      </w:r>
      <w:r>
        <w:rPr>
          <w:sz w:val="20"/>
          <w:szCs w:val="20"/>
          <w:lang w:val="en-US"/>
        </w:rPr>
        <w:t xml:space="preserve">Socioeconomic status mediates the genetic contribution of the dopamine receptor D4 and serotonin transporter linked promoter region repeat polymorphisms to externalization in preadolescence. Dev. </w:t>
      </w:r>
      <w:proofErr w:type="spellStart"/>
      <w:r>
        <w:rPr>
          <w:sz w:val="20"/>
          <w:szCs w:val="20"/>
          <w:lang w:val="en-US"/>
        </w:rPr>
        <w:t>Psychopathol</w:t>
      </w:r>
      <w:proofErr w:type="spellEnd"/>
      <w:r>
        <w:rPr>
          <w:sz w:val="20"/>
          <w:szCs w:val="20"/>
          <w:lang w:val="en-US"/>
        </w:rPr>
        <w:t>. 19, 1147-1160.</w:t>
      </w:r>
    </w:p>
    <w:p w:rsidR="00352A2A" w:rsidRPr="00B26E04" w:rsidRDefault="0096787B" w:rsidP="00113B97">
      <w:pPr>
        <w:spacing w:after="120" w:line="480" w:lineRule="auto"/>
        <w:rPr>
          <w:sz w:val="20"/>
          <w:szCs w:val="20"/>
          <w:lang w:val="en-US"/>
        </w:rPr>
      </w:pPr>
      <w:proofErr w:type="spellStart"/>
      <w:r>
        <w:rPr>
          <w:sz w:val="20"/>
          <w:szCs w:val="20"/>
          <w:lang w:val="en-US"/>
        </w:rPr>
        <w:t>Oades</w:t>
      </w:r>
      <w:proofErr w:type="spellEnd"/>
      <w:r>
        <w:rPr>
          <w:sz w:val="20"/>
          <w:szCs w:val="20"/>
          <w:lang w:val="en-US"/>
        </w:rPr>
        <w:t>, R.D., Lasky-</w:t>
      </w:r>
      <w:proofErr w:type="spellStart"/>
      <w:r>
        <w:rPr>
          <w:sz w:val="20"/>
          <w:szCs w:val="20"/>
          <w:lang w:val="en-US"/>
        </w:rPr>
        <w:t>Su</w:t>
      </w:r>
      <w:proofErr w:type="spellEnd"/>
      <w:r>
        <w:rPr>
          <w:sz w:val="20"/>
          <w:szCs w:val="20"/>
          <w:lang w:val="en-US"/>
        </w:rPr>
        <w:t xml:space="preserve">, J., Christiansen, H., </w:t>
      </w:r>
      <w:proofErr w:type="spellStart"/>
      <w:r>
        <w:rPr>
          <w:sz w:val="20"/>
          <w:szCs w:val="20"/>
          <w:lang w:val="en-US"/>
        </w:rPr>
        <w:t>Faraone</w:t>
      </w:r>
      <w:proofErr w:type="spellEnd"/>
      <w:r>
        <w:rPr>
          <w:sz w:val="20"/>
          <w:szCs w:val="20"/>
          <w:lang w:val="en-US"/>
        </w:rPr>
        <w:t xml:space="preserve">, S.V., </w:t>
      </w:r>
      <w:proofErr w:type="spellStart"/>
      <w:r>
        <w:rPr>
          <w:sz w:val="20"/>
          <w:szCs w:val="20"/>
          <w:lang w:val="en-US"/>
        </w:rPr>
        <w:t>Sonuga-Barke</w:t>
      </w:r>
      <w:proofErr w:type="spellEnd"/>
      <w:r>
        <w:rPr>
          <w:sz w:val="20"/>
          <w:szCs w:val="20"/>
          <w:lang w:val="en-US"/>
        </w:rPr>
        <w:t xml:space="preserve">, E.J., </w:t>
      </w:r>
      <w:proofErr w:type="spellStart"/>
      <w:r>
        <w:rPr>
          <w:sz w:val="20"/>
          <w:szCs w:val="20"/>
          <w:lang w:val="en-US"/>
        </w:rPr>
        <w:t>Banaschewski</w:t>
      </w:r>
      <w:proofErr w:type="spellEnd"/>
      <w:r>
        <w:rPr>
          <w:sz w:val="20"/>
          <w:szCs w:val="20"/>
          <w:lang w:val="en-US"/>
        </w:rPr>
        <w:t xml:space="preserve">, T., Chen, W., </w:t>
      </w:r>
      <w:proofErr w:type="spellStart"/>
      <w:r>
        <w:rPr>
          <w:sz w:val="20"/>
          <w:szCs w:val="20"/>
          <w:lang w:val="en-US"/>
        </w:rPr>
        <w:t>Anney</w:t>
      </w:r>
      <w:proofErr w:type="spellEnd"/>
      <w:r>
        <w:rPr>
          <w:sz w:val="20"/>
          <w:szCs w:val="20"/>
          <w:lang w:val="en-US"/>
        </w:rPr>
        <w:t xml:space="preserve">, R.J., </w:t>
      </w:r>
      <w:proofErr w:type="spellStart"/>
      <w:r>
        <w:rPr>
          <w:sz w:val="20"/>
          <w:szCs w:val="20"/>
          <w:lang w:val="en-US"/>
        </w:rPr>
        <w:t>Buitelaar</w:t>
      </w:r>
      <w:proofErr w:type="spellEnd"/>
      <w:r>
        <w:rPr>
          <w:sz w:val="20"/>
          <w:szCs w:val="20"/>
          <w:lang w:val="en-US"/>
        </w:rPr>
        <w:t xml:space="preserve">, J.K., </w:t>
      </w:r>
      <w:proofErr w:type="spellStart"/>
      <w:r>
        <w:rPr>
          <w:sz w:val="20"/>
          <w:szCs w:val="20"/>
          <w:lang w:val="en-US"/>
        </w:rPr>
        <w:t>Ebstein</w:t>
      </w:r>
      <w:proofErr w:type="spellEnd"/>
      <w:r>
        <w:rPr>
          <w:sz w:val="20"/>
          <w:szCs w:val="20"/>
          <w:lang w:val="en-US"/>
        </w:rPr>
        <w:t xml:space="preserve">, R.P., Franke, B., Gill, M., Miranda, A., </w:t>
      </w:r>
      <w:proofErr w:type="spellStart"/>
      <w:r>
        <w:rPr>
          <w:sz w:val="20"/>
          <w:szCs w:val="20"/>
          <w:lang w:val="en-US"/>
        </w:rPr>
        <w:t>Roeyers</w:t>
      </w:r>
      <w:proofErr w:type="spellEnd"/>
      <w:r>
        <w:rPr>
          <w:sz w:val="20"/>
          <w:szCs w:val="20"/>
          <w:lang w:val="en-US"/>
        </w:rPr>
        <w:t xml:space="preserve">, H., </w:t>
      </w:r>
      <w:proofErr w:type="spellStart"/>
      <w:r>
        <w:rPr>
          <w:sz w:val="20"/>
          <w:szCs w:val="20"/>
          <w:lang w:val="en-US"/>
        </w:rPr>
        <w:t>Rothenberger</w:t>
      </w:r>
      <w:proofErr w:type="spellEnd"/>
      <w:r>
        <w:rPr>
          <w:sz w:val="20"/>
          <w:szCs w:val="20"/>
          <w:lang w:val="en-US"/>
        </w:rPr>
        <w:t xml:space="preserve">, A., Sergeant, J.A., </w:t>
      </w:r>
      <w:proofErr w:type="spellStart"/>
      <w:r>
        <w:rPr>
          <w:sz w:val="20"/>
          <w:szCs w:val="20"/>
          <w:lang w:val="en-US"/>
        </w:rPr>
        <w:t>Steinhausen</w:t>
      </w:r>
      <w:proofErr w:type="spellEnd"/>
      <w:r>
        <w:rPr>
          <w:sz w:val="20"/>
          <w:szCs w:val="20"/>
          <w:lang w:val="en-US"/>
        </w:rPr>
        <w:t xml:space="preserve">, H.C., Taylor, E.A., Thompson, M., </w:t>
      </w:r>
      <w:proofErr w:type="spellStart"/>
      <w:r>
        <w:rPr>
          <w:sz w:val="20"/>
          <w:szCs w:val="20"/>
          <w:lang w:val="en-US"/>
        </w:rPr>
        <w:t>Asherson</w:t>
      </w:r>
      <w:proofErr w:type="spellEnd"/>
      <w:r>
        <w:rPr>
          <w:sz w:val="20"/>
          <w:szCs w:val="20"/>
          <w:lang w:val="en-US"/>
        </w:rPr>
        <w:t xml:space="preserve">, P., 2008. The influence of serotonin- and other genes on impulsive behavioral aggression and cognitive impulsivity in children with attention-deficit/hyperactivity disorder (ADHD): Findings from a family-based association test (FBAT) analysis. </w:t>
      </w:r>
      <w:proofErr w:type="spellStart"/>
      <w:r>
        <w:rPr>
          <w:sz w:val="20"/>
          <w:szCs w:val="20"/>
          <w:lang w:val="en-US"/>
        </w:rPr>
        <w:t>Behav</w:t>
      </w:r>
      <w:proofErr w:type="spellEnd"/>
      <w:r>
        <w:rPr>
          <w:sz w:val="20"/>
          <w:szCs w:val="20"/>
          <w:lang w:val="en-US"/>
        </w:rPr>
        <w:t xml:space="preserve">. Brain </w:t>
      </w:r>
      <w:proofErr w:type="spellStart"/>
      <w:r>
        <w:rPr>
          <w:sz w:val="20"/>
          <w:szCs w:val="20"/>
          <w:lang w:val="en-US"/>
        </w:rPr>
        <w:t>Funct</w:t>
      </w:r>
      <w:proofErr w:type="spellEnd"/>
      <w:r>
        <w:rPr>
          <w:sz w:val="20"/>
          <w:szCs w:val="20"/>
          <w:lang w:val="en-US"/>
        </w:rPr>
        <w:t>. 4, 48.</w:t>
      </w:r>
    </w:p>
    <w:p w:rsidR="00352A2A" w:rsidRPr="00B26E04" w:rsidRDefault="0096787B" w:rsidP="00113B97">
      <w:pPr>
        <w:spacing w:after="120" w:line="480" w:lineRule="auto"/>
        <w:rPr>
          <w:sz w:val="20"/>
          <w:szCs w:val="20"/>
          <w:lang w:val="en-US"/>
        </w:rPr>
      </w:pPr>
      <w:r>
        <w:rPr>
          <w:sz w:val="20"/>
          <w:szCs w:val="20"/>
          <w:lang w:val="en-US"/>
        </w:rPr>
        <w:t xml:space="preserve">Ogilvie, A.D., Battersby, S., </w:t>
      </w:r>
      <w:proofErr w:type="spellStart"/>
      <w:r>
        <w:rPr>
          <w:sz w:val="20"/>
          <w:szCs w:val="20"/>
          <w:lang w:val="en-US"/>
        </w:rPr>
        <w:t>Bubb</w:t>
      </w:r>
      <w:proofErr w:type="spellEnd"/>
      <w:r>
        <w:rPr>
          <w:sz w:val="20"/>
          <w:szCs w:val="20"/>
          <w:lang w:val="en-US"/>
        </w:rPr>
        <w:t xml:space="preserve">, V.J., Fink, G., </w:t>
      </w:r>
      <w:proofErr w:type="spellStart"/>
      <w:r>
        <w:rPr>
          <w:sz w:val="20"/>
          <w:szCs w:val="20"/>
          <w:lang w:val="en-US"/>
        </w:rPr>
        <w:t>Harmar</w:t>
      </w:r>
      <w:proofErr w:type="spellEnd"/>
      <w:r>
        <w:rPr>
          <w:sz w:val="20"/>
          <w:szCs w:val="20"/>
          <w:lang w:val="en-US"/>
        </w:rPr>
        <w:t xml:space="preserve">, A.J., </w:t>
      </w:r>
      <w:proofErr w:type="spellStart"/>
      <w:r>
        <w:rPr>
          <w:sz w:val="20"/>
          <w:szCs w:val="20"/>
          <w:lang w:val="en-US"/>
        </w:rPr>
        <w:t>Goodwim</w:t>
      </w:r>
      <w:proofErr w:type="spellEnd"/>
      <w:r>
        <w:rPr>
          <w:sz w:val="20"/>
          <w:szCs w:val="20"/>
          <w:lang w:val="en-US"/>
        </w:rPr>
        <w:t>, G.M., Smith, C.A., 1996. Polymorphism in serotonin transporter gene associated with susceptibility to major depression. Lancet 347, 731-733.</w:t>
      </w:r>
    </w:p>
    <w:p w:rsidR="00352A2A" w:rsidRPr="00B26E04" w:rsidRDefault="0096787B" w:rsidP="00113B97">
      <w:pPr>
        <w:spacing w:after="120" w:line="480" w:lineRule="auto"/>
        <w:rPr>
          <w:sz w:val="20"/>
          <w:szCs w:val="20"/>
          <w:lang w:val="en-US"/>
        </w:rPr>
      </w:pPr>
      <w:proofErr w:type="spellStart"/>
      <w:r>
        <w:rPr>
          <w:sz w:val="20"/>
          <w:szCs w:val="20"/>
          <w:lang w:val="en-US"/>
        </w:rPr>
        <w:t>Osipova</w:t>
      </w:r>
      <w:proofErr w:type="spellEnd"/>
      <w:r>
        <w:rPr>
          <w:sz w:val="20"/>
          <w:szCs w:val="20"/>
          <w:lang w:val="en-US"/>
        </w:rPr>
        <w:t xml:space="preserve">, D.V., Kulikov, A.V., Popova, N.K., 2009. C1473G polymorphism in mouse tph2 gene is linked to tryptophan hydroxylase-2 activity in the brain, intermale aggression, and depressive-like behavior in the forced swim test. J. </w:t>
      </w:r>
      <w:proofErr w:type="spellStart"/>
      <w:r>
        <w:rPr>
          <w:sz w:val="20"/>
          <w:szCs w:val="20"/>
          <w:lang w:val="en-US"/>
        </w:rPr>
        <w:t>Neurosci</w:t>
      </w:r>
      <w:proofErr w:type="spellEnd"/>
      <w:r>
        <w:rPr>
          <w:sz w:val="20"/>
          <w:szCs w:val="20"/>
          <w:lang w:val="en-US"/>
        </w:rPr>
        <w:t>. Res. 87, 1168-1174.</w:t>
      </w:r>
    </w:p>
    <w:p w:rsidR="00352A2A" w:rsidRPr="00C54C8A" w:rsidRDefault="0096787B" w:rsidP="00113B97">
      <w:pPr>
        <w:spacing w:after="120" w:line="480" w:lineRule="auto"/>
        <w:rPr>
          <w:sz w:val="20"/>
          <w:szCs w:val="20"/>
        </w:rPr>
      </w:pPr>
      <w:r>
        <w:rPr>
          <w:sz w:val="20"/>
          <w:szCs w:val="20"/>
          <w:lang w:val="en-US"/>
        </w:rPr>
        <w:t xml:space="preserve">Pacheco, J., </w:t>
      </w:r>
      <w:proofErr w:type="spellStart"/>
      <w:r>
        <w:rPr>
          <w:sz w:val="20"/>
          <w:szCs w:val="20"/>
          <w:lang w:val="en-US"/>
        </w:rPr>
        <w:t>Beevers</w:t>
      </w:r>
      <w:proofErr w:type="spellEnd"/>
      <w:r>
        <w:rPr>
          <w:sz w:val="20"/>
          <w:szCs w:val="20"/>
          <w:lang w:val="en-US"/>
        </w:rPr>
        <w:t xml:space="preserve">, C.G., Benavides, C., </w:t>
      </w:r>
      <w:proofErr w:type="spellStart"/>
      <w:r>
        <w:rPr>
          <w:sz w:val="20"/>
          <w:szCs w:val="20"/>
          <w:lang w:val="en-US"/>
        </w:rPr>
        <w:t>McGeary</w:t>
      </w:r>
      <w:proofErr w:type="spellEnd"/>
      <w:r>
        <w:rPr>
          <w:sz w:val="20"/>
          <w:szCs w:val="20"/>
          <w:lang w:val="en-US"/>
        </w:rPr>
        <w:t xml:space="preserve">, J., </w:t>
      </w:r>
      <w:proofErr w:type="spellStart"/>
      <w:r>
        <w:rPr>
          <w:sz w:val="20"/>
          <w:szCs w:val="20"/>
          <w:lang w:val="en-US"/>
        </w:rPr>
        <w:t>Stice</w:t>
      </w:r>
      <w:proofErr w:type="spellEnd"/>
      <w:r>
        <w:rPr>
          <w:sz w:val="20"/>
          <w:szCs w:val="20"/>
          <w:lang w:val="en-US"/>
        </w:rPr>
        <w:t xml:space="preserve">, E., </w:t>
      </w:r>
      <w:proofErr w:type="spellStart"/>
      <w:r>
        <w:rPr>
          <w:sz w:val="20"/>
          <w:szCs w:val="20"/>
          <w:lang w:val="en-US"/>
        </w:rPr>
        <w:t>Schnyer</w:t>
      </w:r>
      <w:proofErr w:type="spellEnd"/>
      <w:r>
        <w:rPr>
          <w:sz w:val="20"/>
          <w:szCs w:val="20"/>
          <w:lang w:val="en-US"/>
        </w:rPr>
        <w:t xml:space="preserve">, D.M., 2009. Frontal-limbic white matter pathway associations with the serotonin transporter gene promoter region (5-HTTLPR) polymorphism. </w:t>
      </w:r>
      <w:r w:rsidR="00352A2A" w:rsidRPr="00C54C8A">
        <w:rPr>
          <w:sz w:val="20"/>
          <w:szCs w:val="20"/>
        </w:rPr>
        <w:t>J</w:t>
      </w:r>
      <w:r w:rsidR="00257B0B" w:rsidRPr="00C54C8A">
        <w:rPr>
          <w:sz w:val="20"/>
          <w:szCs w:val="20"/>
        </w:rPr>
        <w:t>.</w:t>
      </w:r>
      <w:r w:rsidR="00352A2A" w:rsidRPr="00C54C8A">
        <w:rPr>
          <w:sz w:val="20"/>
          <w:szCs w:val="20"/>
        </w:rPr>
        <w:t xml:space="preserve"> </w:t>
      </w:r>
      <w:proofErr w:type="spellStart"/>
      <w:r w:rsidR="00352A2A" w:rsidRPr="00C54C8A">
        <w:rPr>
          <w:sz w:val="20"/>
          <w:szCs w:val="20"/>
        </w:rPr>
        <w:t>Neurosci</w:t>
      </w:r>
      <w:proofErr w:type="spellEnd"/>
      <w:r w:rsidR="00257B0B" w:rsidRPr="00C54C8A">
        <w:rPr>
          <w:sz w:val="20"/>
          <w:szCs w:val="20"/>
        </w:rPr>
        <w:t>.</w:t>
      </w:r>
      <w:r w:rsidR="00352A2A" w:rsidRPr="00C54C8A">
        <w:rPr>
          <w:sz w:val="20"/>
          <w:szCs w:val="20"/>
        </w:rPr>
        <w:t xml:space="preserve"> 29, 6229-6233.</w:t>
      </w:r>
    </w:p>
    <w:p w:rsidR="00352A2A" w:rsidRPr="00C54C8A" w:rsidRDefault="00352A2A" w:rsidP="00113B97">
      <w:pPr>
        <w:spacing w:after="120" w:line="480" w:lineRule="auto"/>
        <w:rPr>
          <w:sz w:val="20"/>
          <w:szCs w:val="20"/>
        </w:rPr>
      </w:pPr>
      <w:proofErr w:type="spellStart"/>
      <w:r w:rsidRPr="00C54C8A">
        <w:rPr>
          <w:sz w:val="20"/>
          <w:szCs w:val="20"/>
        </w:rPr>
        <w:lastRenderedPageBreak/>
        <w:t>Pardini</w:t>
      </w:r>
      <w:proofErr w:type="spellEnd"/>
      <w:r w:rsidRPr="00C54C8A">
        <w:rPr>
          <w:sz w:val="20"/>
          <w:szCs w:val="20"/>
        </w:rPr>
        <w:t xml:space="preserve">, D.A., </w:t>
      </w:r>
      <w:proofErr w:type="spellStart"/>
      <w:r w:rsidRPr="00C54C8A">
        <w:rPr>
          <w:sz w:val="20"/>
          <w:szCs w:val="20"/>
        </w:rPr>
        <w:t>Raine</w:t>
      </w:r>
      <w:proofErr w:type="spellEnd"/>
      <w:r w:rsidRPr="00C54C8A">
        <w:rPr>
          <w:sz w:val="20"/>
          <w:szCs w:val="20"/>
        </w:rPr>
        <w:t xml:space="preserve">, A., </w:t>
      </w:r>
      <w:proofErr w:type="spellStart"/>
      <w:r w:rsidRPr="00C54C8A">
        <w:rPr>
          <w:sz w:val="20"/>
          <w:szCs w:val="20"/>
        </w:rPr>
        <w:t>Erickson</w:t>
      </w:r>
      <w:proofErr w:type="spellEnd"/>
      <w:r w:rsidRPr="00C54C8A">
        <w:rPr>
          <w:sz w:val="20"/>
          <w:szCs w:val="20"/>
        </w:rPr>
        <w:t xml:space="preserve">, K., </w:t>
      </w:r>
      <w:proofErr w:type="spellStart"/>
      <w:r w:rsidRPr="00C54C8A">
        <w:rPr>
          <w:sz w:val="20"/>
          <w:szCs w:val="20"/>
        </w:rPr>
        <w:t>Loeber</w:t>
      </w:r>
      <w:proofErr w:type="spellEnd"/>
      <w:r w:rsidRPr="00C54C8A">
        <w:rPr>
          <w:sz w:val="20"/>
          <w:szCs w:val="20"/>
        </w:rPr>
        <w:t xml:space="preserve">, R., 2014. </w:t>
      </w:r>
      <w:r w:rsidRPr="00B26E04">
        <w:rPr>
          <w:sz w:val="20"/>
          <w:szCs w:val="20"/>
          <w:lang w:val="en-US"/>
        </w:rPr>
        <w:t xml:space="preserve">Lower amygdala volume in men is associated with childhood aggression, early psychopathic traits, and future violence. </w:t>
      </w:r>
      <w:proofErr w:type="spellStart"/>
      <w:r w:rsidRPr="00C54C8A">
        <w:rPr>
          <w:sz w:val="20"/>
          <w:szCs w:val="20"/>
        </w:rPr>
        <w:t>Biol</w:t>
      </w:r>
      <w:proofErr w:type="spellEnd"/>
      <w:r w:rsidR="00257B0B" w:rsidRPr="00C54C8A">
        <w:rPr>
          <w:sz w:val="20"/>
          <w:szCs w:val="20"/>
        </w:rPr>
        <w:t>.</w:t>
      </w:r>
      <w:r w:rsidRPr="00C54C8A">
        <w:rPr>
          <w:sz w:val="20"/>
          <w:szCs w:val="20"/>
        </w:rPr>
        <w:t xml:space="preserve"> </w:t>
      </w:r>
      <w:proofErr w:type="spellStart"/>
      <w:r w:rsidRPr="00C54C8A">
        <w:rPr>
          <w:sz w:val="20"/>
          <w:szCs w:val="20"/>
        </w:rPr>
        <w:t>Psychiatry</w:t>
      </w:r>
      <w:proofErr w:type="spellEnd"/>
      <w:r w:rsidRPr="00C54C8A">
        <w:rPr>
          <w:sz w:val="20"/>
          <w:szCs w:val="20"/>
        </w:rPr>
        <w:t xml:space="preserve"> 75, 73-80.</w:t>
      </w:r>
    </w:p>
    <w:p w:rsidR="00352A2A" w:rsidRPr="00B26E04" w:rsidRDefault="00352A2A" w:rsidP="00113B97">
      <w:pPr>
        <w:spacing w:after="120" w:line="480" w:lineRule="auto"/>
        <w:rPr>
          <w:sz w:val="20"/>
          <w:szCs w:val="20"/>
          <w:lang w:val="en-US"/>
        </w:rPr>
      </w:pPr>
      <w:r w:rsidRPr="00C54C8A">
        <w:rPr>
          <w:sz w:val="20"/>
          <w:szCs w:val="20"/>
        </w:rPr>
        <w:t xml:space="preserve">Passamonti, L., Cerasa, A., Gioia, M.C., </w:t>
      </w:r>
      <w:proofErr w:type="spellStart"/>
      <w:r w:rsidRPr="00C54C8A">
        <w:rPr>
          <w:sz w:val="20"/>
          <w:szCs w:val="20"/>
        </w:rPr>
        <w:t>Magariello</w:t>
      </w:r>
      <w:proofErr w:type="spellEnd"/>
      <w:r w:rsidRPr="00C54C8A">
        <w:rPr>
          <w:sz w:val="20"/>
          <w:szCs w:val="20"/>
        </w:rPr>
        <w:t xml:space="preserve">, A., </w:t>
      </w:r>
      <w:proofErr w:type="spellStart"/>
      <w:r w:rsidRPr="00C54C8A">
        <w:rPr>
          <w:sz w:val="20"/>
          <w:szCs w:val="20"/>
        </w:rPr>
        <w:t>Muglia</w:t>
      </w:r>
      <w:proofErr w:type="spellEnd"/>
      <w:r w:rsidRPr="00C54C8A">
        <w:rPr>
          <w:sz w:val="20"/>
          <w:szCs w:val="20"/>
        </w:rPr>
        <w:t xml:space="preserve">, M., Quattrone, A., Fera, F., 2008. </w:t>
      </w:r>
      <w:r w:rsidRPr="00B26E04">
        <w:rPr>
          <w:sz w:val="20"/>
          <w:szCs w:val="20"/>
          <w:lang w:val="en-US"/>
        </w:rPr>
        <w:t>Genetically dependent modulation of serotonergic inactivation in the human prefrontal cortex. Neuroimage 40, 1264-1273.</w:t>
      </w:r>
    </w:p>
    <w:p w:rsidR="00520867" w:rsidRPr="00B26E04" w:rsidRDefault="0096787B" w:rsidP="00113B97">
      <w:pPr>
        <w:spacing w:after="120" w:line="480" w:lineRule="auto"/>
        <w:rPr>
          <w:sz w:val="20"/>
          <w:szCs w:val="20"/>
          <w:lang w:val="en-US"/>
        </w:rPr>
      </w:pPr>
      <w:r>
        <w:rPr>
          <w:sz w:val="20"/>
          <w:szCs w:val="20"/>
          <w:lang w:val="en-US"/>
        </w:rPr>
        <w:t xml:space="preserve">Passamonti, L., Fairchild, G., Goodyer, I.M., </w:t>
      </w:r>
      <w:proofErr w:type="spellStart"/>
      <w:r>
        <w:rPr>
          <w:sz w:val="20"/>
          <w:szCs w:val="20"/>
          <w:lang w:val="en-US"/>
        </w:rPr>
        <w:t>Hurford</w:t>
      </w:r>
      <w:proofErr w:type="spellEnd"/>
      <w:r>
        <w:rPr>
          <w:sz w:val="20"/>
          <w:szCs w:val="20"/>
          <w:lang w:val="en-US"/>
        </w:rPr>
        <w:t>, G., Hagan, C.C., Rowe, J.B., Calder, A.J., 2010. Neural abnormalities in early-onset and adolescence-onset conduct disorder. Arch. Gen. Psychiatry 67, 729-738.</w:t>
      </w:r>
    </w:p>
    <w:p w:rsidR="002415EA" w:rsidRPr="00B26E04" w:rsidRDefault="0096787B" w:rsidP="00113B97">
      <w:pPr>
        <w:spacing w:after="120" w:line="480" w:lineRule="auto"/>
        <w:rPr>
          <w:sz w:val="20"/>
          <w:szCs w:val="20"/>
          <w:lang w:val="en-US"/>
        </w:rPr>
      </w:pPr>
      <w:r>
        <w:rPr>
          <w:sz w:val="20"/>
          <w:szCs w:val="20"/>
          <w:lang w:val="en-US"/>
        </w:rPr>
        <w:t xml:space="preserve">Passamonti, L., Fairchild, G., </w:t>
      </w:r>
      <w:proofErr w:type="spellStart"/>
      <w:r>
        <w:rPr>
          <w:sz w:val="20"/>
          <w:szCs w:val="20"/>
          <w:lang w:val="en-US"/>
        </w:rPr>
        <w:t>Fornito</w:t>
      </w:r>
      <w:proofErr w:type="spellEnd"/>
      <w:r>
        <w:rPr>
          <w:sz w:val="20"/>
          <w:szCs w:val="20"/>
          <w:lang w:val="en-US"/>
        </w:rPr>
        <w:t xml:space="preserve">, A., Goodyer, I.M., Nimmo-Smith, I., Hagan, C.C., Calder, A.J., 2012. Abnormal anatomical connectivity between the amygdala and orbitofrontal cortex in conduct disorder. </w:t>
      </w:r>
      <w:proofErr w:type="spellStart"/>
      <w:r>
        <w:rPr>
          <w:sz w:val="20"/>
          <w:szCs w:val="20"/>
          <w:lang w:val="en-US"/>
        </w:rPr>
        <w:t>PLoS</w:t>
      </w:r>
      <w:proofErr w:type="spellEnd"/>
      <w:r>
        <w:rPr>
          <w:sz w:val="20"/>
          <w:szCs w:val="20"/>
          <w:lang w:val="en-US"/>
        </w:rPr>
        <w:t xml:space="preserve"> One 7, e48789.</w:t>
      </w:r>
    </w:p>
    <w:p w:rsidR="00722AF0" w:rsidRPr="00B26E04" w:rsidRDefault="0096787B" w:rsidP="00113B97">
      <w:pPr>
        <w:spacing w:after="120" w:line="480" w:lineRule="auto"/>
        <w:rPr>
          <w:sz w:val="20"/>
          <w:szCs w:val="20"/>
          <w:lang w:val="en-US"/>
        </w:rPr>
      </w:pPr>
      <w:r>
        <w:rPr>
          <w:sz w:val="20"/>
          <w:szCs w:val="20"/>
          <w:lang w:val="en-US"/>
        </w:rPr>
        <w:t xml:space="preserve">Perez-Rodriguez, M.M., </w:t>
      </w:r>
      <w:proofErr w:type="spellStart"/>
      <w:r>
        <w:rPr>
          <w:sz w:val="20"/>
          <w:szCs w:val="20"/>
          <w:lang w:val="en-US"/>
        </w:rPr>
        <w:t>Bulbena-Cabré</w:t>
      </w:r>
      <w:proofErr w:type="spellEnd"/>
      <w:r>
        <w:rPr>
          <w:sz w:val="20"/>
          <w:szCs w:val="20"/>
          <w:lang w:val="en-US"/>
        </w:rPr>
        <w:t xml:space="preserve">, A., </w:t>
      </w:r>
      <w:proofErr w:type="spellStart"/>
      <w:r>
        <w:rPr>
          <w:sz w:val="20"/>
          <w:szCs w:val="20"/>
          <w:lang w:val="en-US"/>
        </w:rPr>
        <w:t>Bassir</w:t>
      </w:r>
      <w:proofErr w:type="spellEnd"/>
      <w:r>
        <w:rPr>
          <w:sz w:val="20"/>
          <w:szCs w:val="20"/>
          <w:lang w:val="en-US"/>
        </w:rPr>
        <w:t xml:space="preserve"> Nia, A., Zipursky, G., Goodman, M., New, A.S., 2018. The Neurobiology of Borderline Personality Disorder. </w:t>
      </w:r>
      <w:proofErr w:type="spellStart"/>
      <w:r>
        <w:rPr>
          <w:sz w:val="20"/>
          <w:szCs w:val="20"/>
          <w:lang w:val="en-US"/>
        </w:rPr>
        <w:t>Psychiatr</w:t>
      </w:r>
      <w:proofErr w:type="spellEnd"/>
      <w:r>
        <w:rPr>
          <w:sz w:val="20"/>
          <w:szCs w:val="20"/>
          <w:lang w:val="en-US"/>
        </w:rPr>
        <w:t>. Clin. North. Am. 41, 633-650.</w:t>
      </w:r>
    </w:p>
    <w:p w:rsidR="00352A2A" w:rsidRPr="00B26E04" w:rsidRDefault="0096787B" w:rsidP="00113B97">
      <w:pPr>
        <w:spacing w:after="120" w:line="480" w:lineRule="auto"/>
        <w:rPr>
          <w:sz w:val="20"/>
          <w:szCs w:val="20"/>
          <w:lang w:val="en-US"/>
        </w:rPr>
      </w:pPr>
      <w:r>
        <w:rPr>
          <w:sz w:val="20"/>
          <w:szCs w:val="20"/>
          <w:lang w:val="en-US"/>
        </w:rPr>
        <w:t xml:space="preserve">Perez-Rodriguez, M.M., Weinstein, S., New, A.S., Bevilacqua, L., Yuan, Q., Zhou, Z., Hodgkinson, C., Goodman, M., </w:t>
      </w:r>
      <w:proofErr w:type="spellStart"/>
      <w:r>
        <w:rPr>
          <w:sz w:val="20"/>
          <w:szCs w:val="20"/>
          <w:lang w:val="en-US"/>
        </w:rPr>
        <w:t>Koenigsberg</w:t>
      </w:r>
      <w:proofErr w:type="spellEnd"/>
      <w:r>
        <w:rPr>
          <w:sz w:val="20"/>
          <w:szCs w:val="20"/>
          <w:lang w:val="en-US"/>
        </w:rPr>
        <w:t xml:space="preserve">, H.W., Goldman, D., </w:t>
      </w:r>
      <w:proofErr w:type="spellStart"/>
      <w:r>
        <w:rPr>
          <w:sz w:val="20"/>
          <w:szCs w:val="20"/>
          <w:lang w:val="en-US"/>
        </w:rPr>
        <w:t>Siever</w:t>
      </w:r>
      <w:proofErr w:type="spellEnd"/>
      <w:r>
        <w:rPr>
          <w:sz w:val="20"/>
          <w:szCs w:val="20"/>
          <w:lang w:val="en-US"/>
        </w:rPr>
        <w:t xml:space="preserve">, L.J., 2010. Tryptophan-hydroxylase 2 haplotype association with borderline personality disorder and aggression in a sample of patients with personality disorders and healthy controls. J. </w:t>
      </w:r>
      <w:proofErr w:type="spellStart"/>
      <w:r>
        <w:rPr>
          <w:sz w:val="20"/>
          <w:szCs w:val="20"/>
          <w:lang w:val="en-US"/>
        </w:rPr>
        <w:t>Psychiatr</w:t>
      </w:r>
      <w:proofErr w:type="spellEnd"/>
      <w:r>
        <w:rPr>
          <w:sz w:val="20"/>
          <w:szCs w:val="20"/>
          <w:lang w:val="en-US"/>
        </w:rPr>
        <w:t>. Res. 44, 1075-1081.</w:t>
      </w:r>
    </w:p>
    <w:p w:rsidR="00352A2A" w:rsidRPr="00B26E04" w:rsidRDefault="0096787B" w:rsidP="00113B97">
      <w:pPr>
        <w:spacing w:after="120" w:line="480" w:lineRule="auto"/>
        <w:rPr>
          <w:sz w:val="20"/>
          <w:szCs w:val="20"/>
          <w:lang w:val="en-US"/>
        </w:rPr>
      </w:pPr>
      <w:proofErr w:type="spellStart"/>
      <w:r>
        <w:rPr>
          <w:sz w:val="20"/>
          <w:szCs w:val="20"/>
          <w:lang w:val="en-US"/>
        </w:rPr>
        <w:t>Pezawas</w:t>
      </w:r>
      <w:proofErr w:type="spellEnd"/>
      <w:r>
        <w:rPr>
          <w:sz w:val="20"/>
          <w:szCs w:val="20"/>
          <w:lang w:val="en-US"/>
        </w:rPr>
        <w:t xml:space="preserve">, L., Meyer-Lindenberg, A., </w:t>
      </w:r>
      <w:proofErr w:type="spellStart"/>
      <w:r>
        <w:rPr>
          <w:sz w:val="20"/>
          <w:szCs w:val="20"/>
          <w:lang w:val="en-US"/>
        </w:rPr>
        <w:t>Drabant</w:t>
      </w:r>
      <w:proofErr w:type="spellEnd"/>
      <w:r>
        <w:rPr>
          <w:sz w:val="20"/>
          <w:szCs w:val="20"/>
          <w:lang w:val="en-US"/>
        </w:rPr>
        <w:t xml:space="preserve">, E.M., </w:t>
      </w:r>
      <w:proofErr w:type="spellStart"/>
      <w:r>
        <w:rPr>
          <w:sz w:val="20"/>
          <w:szCs w:val="20"/>
          <w:lang w:val="en-US"/>
        </w:rPr>
        <w:t>Verchinski</w:t>
      </w:r>
      <w:proofErr w:type="spellEnd"/>
      <w:r>
        <w:rPr>
          <w:sz w:val="20"/>
          <w:szCs w:val="20"/>
          <w:lang w:val="en-US"/>
        </w:rPr>
        <w:t xml:space="preserve">, B.A., Munoz, K.E., </w:t>
      </w:r>
      <w:proofErr w:type="spellStart"/>
      <w:r>
        <w:rPr>
          <w:sz w:val="20"/>
          <w:szCs w:val="20"/>
          <w:lang w:val="en-US"/>
        </w:rPr>
        <w:t>Kolachana</w:t>
      </w:r>
      <w:proofErr w:type="spellEnd"/>
      <w:r>
        <w:rPr>
          <w:sz w:val="20"/>
          <w:szCs w:val="20"/>
          <w:lang w:val="en-US"/>
        </w:rPr>
        <w:t xml:space="preserve">, B.S., Egan, M.F., </w:t>
      </w:r>
      <w:proofErr w:type="spellStart"/>
      <w:r>
        <w:rPr>
          <w:sz w:val="20"/>
          <w:szCs w:val="20"/>
          <w:lang w:val="en-US"/>
        </w:rPr>
        <w:t>Mattay</w:t>
      </w:r>
      <w:proofErr w:type="spellEnd"/>
      <w:r>
        <w:rPr>
          <w:sz w:val="20"/>
          <w:szCs w:val="20"/>
          <w:lang w:val="en-US"/>
        </w:rPr>
        <w:t xml:space="preserve">, V.S., Hariri, A.R., Weinberger, D.R., 2005. 5-HTTLPR polymorphism impacts human cingulate-amygdala interactions: a genetic susceptibility mechanism for depression. Nat. </w:t>
      </w:r>
      <w:proofErr w:type="spellStart"/>
      <w:r>
        <w:rPr>
          <w:sz w:val="20"/>
          <w:szCs w:val="20"/>
          <w:lang w:val="en-US"/>
        </w:rPr>
        <w:t>Neurosci</w:t>
      </w:r>
      <w:proofErr w:type="spellEnd"/>
      <w:r>
        <w:rPr>
          <w:sz w:val="20"/>
          <w:szCs w:val="20"/>
          <w:lang w:val="en-US"/>
        </w:rPr>
        <w:t>. 8, 828-834.</w:t>
      </w:r>
    </w:p>
    <w:p w:rsidR="00352A2A" w:rsidRPr="00B26E04" w:rsidRDefault="0096787B" w:rsidP="00113B97">
      <w:pPr>
        <w:spacing w:after="120" w:line="480" w:lineRule="auto"/>
        <w:rPr>
          <w:sz w:val="20"/>
          <w:szCs w:val="20"/>
          <w:lang w:val="en-US"/>
        </w:rPr>
      </w:pPr>
      <w:r>
        <w:rPr>
          <w:sz w:val="20"/>
          <w:szCs w:val="20"/>
          <w:lang w:val="en-US"/>
        </w:rPr>
        <w:t xml:space="preserve">Philibert, R., Madan, A., Andersen, A., </w:t>
      </w:r>
      <w:proofErr w:type="spellStart"/>
      <w:r>
        <w:rPr>
          <w:sz w:val="20"/>
          <w:szCs w:val="20"/>
          <w:lang w:val="en-US"/>
        </w:rPr>
        <w:t>Cadoret</w:t>
      </w:r>
      <w:proofErr w:type="spellEnd"/>
      <w:r>
        <w:rPr>
          <w:sz w:val="20"/>
          <w:szCs w:val="20"/>
          <w:lang w:val="en-US"/>
        </w:rPr>
        <w:t xml:space="preserve">, R., Packer, H., Sandhu, H., 2007. Serotonin transporter mRNA levels are associated with the methylation of an upstream CpG island. Am. J. Med. Genet. B </w:t>
      </w:r>
      <w:proofErr w:type="spellStart"/>
      <w:r>
        <w:rPr>
          <w:sz w:val="20"/>
          <w:szCs w:val="20"/>
          <w:lang w:val="en-US"/>
        </w:rPr>
        <w:t>Neuropsychiatr</w:t>
      </w:r>
      <w:proofErr w:type="spellEnd"/>
      <w:r>
        <w:rPr>
          <w:sz w:val="20"/>
          <w:szCs w:val="20"/>
          <w:lang w:val="en-US"/>
        </w:rPr>
        <w:t>. Genet. 144B, 101-105.</w:t>
      </w:r>
    </w:p>
    <w:p w:rsidR="00352A2A" w:rsidRPr="00B26E04" w:rsidRDefault="0096787B" w:rsidP="00113B97">
      <w:pPr>
        <w:spacing w:after="120" w:line="480" w:lineRule="auto"/>
        <w:rPr>
          <w:sz w:val="20"/>
          <w:szCs w:val="20"/>
          <w:lang w:val="en-US"/>
        </w:rPr>
      </w:pPr>
      <w:r>
        <w:rPr>
          <w:sz w:val="20"/>
          <w:szCs w:val="20"/>
          <w:lang w:val="en-US"/>
        </w:rPr>
        <w:t>Philipp-</w:t>
      </w:r>
      <w:proofErr w:type="spellStart"/>
      <w:r>
        <w:rPr>
          <w:sz w:val="20"/>
          <w:szCs w:val="20"/>
          <w:lang w:val="en-US"/>
        </w:rPr>
        <w:t>Wiegmann</w:t>
      </w:r>
      <w:proofErr w:type="spellEnd"/>
      <w:r>
        <w:rPr>
          <w:sz w:val="20"/>
          <w:szCs w:val="20"/>
          <w:lang w:val="en-US"/>
        </w:rPr>
        <w:t xml:space="preserve">, F., </w:t>
      </w:r>
      <w:proofErr w:type="spellStart"/>
      <w:r>
        <w:rPr>
          <w:sz w:val="20"/>
          <w:szCs w:val="20"/>
          <w:lang w:val="en-US"/>
        </w:rPr>
        <w:t>Rösler</w:t>
      </w:r>
      <w:proofErr w:type="spellEnd"/>
      <w:r>
        <w:rPr>
          <w:sz w:val="20"/>
          <w:szCs w:val="20"/>
          <w:lang w:val="en-US"/>
        </w:rPr>
        <w:t xml:space="preserve">, M., </w:t>
      </w:r>
      <w:proofErr w:type="spellStart"/>
      <w:r>
        <w:rPr>
          <w:sz w:val="20"/>
          <w:szCs w:val="20"/>
          <w:lang w:val="en-US"/>
        </w:rPr>
        <w:t>Römer</w:t>
      </w:r>
      <w:proofErr w:type="spellEnd"/>
      <w:r>
        <w:rPr>
          <w:sz w:val="20"/>
          <w:szCs w:val="20"/>
          <w:lang w:val="en-US"/>
        </w:rPr>
        <w:t xml:space="preserve">, K.D., Schneider, M., Baumgart, S., Retz, W., 2011. Reduced cortical inhibition in violent offenders: a study with transcranial magnetic stimulation. </w:t>
      </w:r>
      <w:proofErr w:type="spellStart"/>
      <w:r>
        <w:rPr>
          <w:sz w:val="20"/>
          <w:szCs w:val="20"/>
          <w:lang w:val="en-US"/>
        </w:rPr>
        <w:t>Neuropsychobiology</w:t>
      </w:r>
      <w:proofErr w:type="spellEnd"/>
      <w:r>
        <w:rPr>
          <w:sz w:val="20"/>
          <w:szCs w:val="20"/>
          <w:lang w:val="en-US"/>
        </w:rPr>
        <w:t xml:space="preserve"> 64, 86-92.</w:t>
      </w:r>
    </w:p>
    <w:p w:rsidR="00352A2A" w:rsidRPr="00B26E04" w:rsidRDefault="0096787B" w:rsidP="00113B97">
      <w:pPr>
        <w:spacing w:after="120" w:line="480" w:lineRule="auto"/>
        <w:rPr>
          <w:sz w:val="20"/>
          <w:szCs w:val="20"/>
          <w:lang w:val="en-US"/>
        </w:rPr>
      </w:pPr>
      <w:proofErr w:type="spellStart"/>
      <w:r>
        <w:rPr>
          <w:sz w:val="20"/>
          <w:szCs w:val="20"/>
          <w:lang w:val="en-US"/>
        </w:rPr>
        <w:t>Pintar</w:t>
      </w:r>
      <w:proofErr w:type="spellEnd"/>
      <w:r>
        <w:rPr>
          <w:sz w:val="20"/>
          <w:szCs w:val="20"/>
          <w:lang w:val="en-US"/>
        </w:rPr>
        <w:t xml:space="preserve">, J.E., Barbosa, J., </w:t>
      </w:r>
      <w:proofErr w:type="spellStart"/>
      <w:r>
        <w:rPr>
          <w:sz w:val="20"/>
          <w:szCs w:val="20"/>
          <w:lang w:val="en-US"/>
        </w:rPr>
        <w:t>Francke</w:t>
      </w:r>
      <w:proofErr w:type="spellEnd"/>
      <w:r>
        <w:rPr>
          <w:sz w:val="20"/>
          <w:szCs w:val="20"/>
          <w:lang w:val="en-US"/>
        </w:rPr>
        <w:t xml:space="preserve">, U., Castiglione, C.M., Hawkins, M. Jr., </w:t>
      </w:r>
      <w:proofErr w:type="spellStart"/>
      <w:r>
        <w:rPr>
          <w:sz w:val="20"/>
          <w:szCs w:val="20"/>
          <w:lang w:val="en-US"/>
        </w:rPr>
        <w:t>Breakefield</w:t>
      </w:r>
      <w:proofErr w:type="spellEnd"/>
      <w:r>
        <w:rPr>
          <w:sz w:val="20"/>
          <w:szCs w:val="20"/>
          <w:lang w:val="en-US"/>
        </w:rPr>
        <w:t xml:space="preserve">, X.O., 1981. Gene for monoamine oxidase type A assigned to the human X chromosome. J. </w:t>
      </w:r>
      <w:proofErr w:type="spellStart"/>
      <w:r>
        <w:rPr>
          <w:sz w:val="20"/>
          <w:szCs w:val="20"/>
          <w:lang w:val="en-US"/>
        </w:rPr>
        <w:t>Neurosci</w:t>
      </w:r>
      <w:proofErr w:type="spellEnd"/>
      <w:r>
        <w:rPr>
          <w:sz w:val="20"/>
          <w:szCs w:val="20"/>
          <w:lang w:val="en-US"/>
        </w:rPr>
        <w:t>. 1, 166-175.</w:t>
      </w:r>
    </w:p>
    <w:p w:rsidR="00352A2A" w:rsidRPr="00B26E04" w:rsidRDefault="0096787B" w:rsidP="00113B97">
      <w:pPr>
        <w:spacing w:after="120" w:line="480" w:lineRule="auto"/>
        <w:rPr>
          <w:sz w:val="20"/>
          <w:szCs w:val="20"/>
          <w:lang w:val="en-US"/>
        </w:rPr>
      </w:pPr>
      <w:r>
        <w:rPr>
          <w:sz w:val="20"/>
          <w:szCs w:val="20"/>
          <w:lang w:val="en-US"/>
        </w:rPr>
        <w:t xml:space="preserve">Piquero, A.R., 2011. Invited address: James Joyce, Alice in Wonderland, The Rolling Stones, and criminal careers. J. Youth </w:t>
      </w:r>
      <w:proofErr w:type="spellStart"/>
      <w:r>
        <w:rPr>
          <w:sz w:val="20"/>
          <w:szCs w:val="20"/>
          <w:lang w:val="en-US"/>
        </w:rPr>
        <w:t>Adolesc</w:t>
      </w:r>
      <w:proofErr w:type="spellEnd"/>
      <w:r>
        <w:rPr>
          <w:sz w:val="20"/>
          <w:szCs w:val="20"/>
          <w:lang w:val="en-US"/>
        </w:rPr>
        <w:t>. 40, 761-775.</w:t>
      </w:r>
    </w:p>
    <w:p w:rsidR="002F50B2" w:rsidRPr="00B26E04" w:rsidRDefault="0096787B" w:rsidP="00113B97">
      <w:pPr>
        <w:spacing w:after="120" w:line="480" w:lineRule="auto"/>
        <w:rPr>
          <w:sz w:val="20"/>
          <w:szCs w:val="20"/>
          <w:lang w:val="en-US"/>
        </w:rPr>
      </w:pPr>
      <w:proofErr w:type="spellStart"/>
      <w:r>
        <w:rPr>
          <w:sz w:val="20"/>
          <w:szCs w:val="20"/>
          <w:lang w:val="en-US"/>
        </w:rPr>
        <w:t>Plutchik</w:t>
      </w:r>
      <w:proofErr w:type="spellEnd"/>
      <w:r>
        <w:rPr>
          <w:sz w:val="20"/>
          <w:szCs w:val="20"/>
          <w:lang w:val="en-US"/>
        </w:rPr>
        <w:t xml:space="preserve">, R., Van </w:t>
      </w:r>
      <w:proofErr w:type="spellStart"/>
      <w:r>
        <w:rPr>
          <w:sz w:val="20"/>
          <w:szCs w:val="20"/>
          <w:lang w:val="en-US"/>
        </w:rPr>
        <w:t>Praag</w:t>
      </w:r>
      <w:proofErr w:type="spellEnd"/>
      <w:r>
        <w:rPr>
          <w:sz w:val="20"/>
          <w:szCs w:val="20"/>
          <w:lang w:val="en-US"/>
        </w:rPr>
        <w:t xml:space="preserve">, H., 1989. The measurement of suicidality, aggressivity and impulsivity. Prog. </w:t>
      </w:r>
      <w:proofErr w:type="spellStart"/>
      <w:r>
        <w:rPr>
          <w:sz w:val="20"/>
          <w:szCs w:val="20"/>
          <w:lang w:val="en-US"/>
        </w:rPr>
        <w:t>Neuropsychopharmacol</w:t>
      </w:r>
      <w:proofErr w:type="spellEnd"/>
      <w:r>
        <w:rPr>
          <w:sz w:val="20"/>
          <w:szCs w:val="20"/>
          <w:lang w:val="en-US"/>
        </w:rPr>
        <w:t>. Biol. Psychiatry 13 Suppl., S23-S34.</w:t>
      </w:r>
    </w:p>
    <w:p w:rsidR="00352A2A" w:rsidRPr="00B26E04" w:rsidRDefault="0096787B" w:rsidP="00113B97">
      <w:pPr>
        <w:spacing w:after="120" w:line="480" w:lineRule="auto"/>
        <w:rPr>
          <w:sz w:val="20"/>
          <w:szCs w:val="20"/>
          <w:lang w:val="en-US"/>
        </w:rPr>
      </w:pPr>
      <w:proofErr w:type="spellStart"/>
      <w:r>
        <w:rPr>
          <w:sz w:val="20"/>
          <w:szCs w:val="20"/>
          <w:lang w:val="en-US"/>
        </w:rPr>
        <w:lastRenderedPageBreak/>
        <w:t>Prehn</w:t>
      </w:r>
      <w:proofErr w:type="spellEnd"/>
      <w:r>
        <w:rPr>
          <w:sz w:val="20"/>
          <w:szCs w:val="20"/>
          <w:lang w:val="en-US"/>
        </w:rPr>
        <w:t xml:space="preserve">, K., </w:t>
      </w:r>
      <w:proofErr w:type="spellStart"/>
      <w:r>
        <w:rPr>
          <w:sz w:val="20"/>
          <w:szCs w:val="20"/>
          <w:lang w:val="en-US"/>
        </w:rPr>
        <w:t>Schlagenhauf</w:t>
      </w:r>
      <w:proofErr w:type="spellEnd"/>
      <w:r>
        <w:rPr>
          <w:sz w:val="20"/>
          <w:szCs w:val="20"/>
          <w:lang w:val="en-US"/>
        </w:rPr>
        <w:t xml:space="preserve">, F., Schulze, L., Berger, C., </w:t>
      </w:r>
      <w:proofErr w:type="spellStart"/>
      <w:r>
        <w:rPr>
          <w:sz w:val="20"/>
          <w:szCs w:val="20"/>
          <w:lang w:val="en-US"/>
        </w:rPr>
        <w:t>Vohs</w:t>
      </w:r>
      <w:proofErr w:type="spellEnd"/>
      <w:r>
        <w:rPr>
          <w:sz w:val="20"/>
          <w:szCs w:val="20"/>
          <w:lang w:val="en-US"/>
        </w:rPr>
        <w:t xml:space="preserve">, K., Fleischer, M., </w:t>
      </w:r>
      <w:proofErr w:type="spellStart"/>
      <w:r>
        <w:rPr>
          <w:sz w:val="20"/>
          <w:szCs w:val="20"/>
          <w:lang w:val="en-US"/>
        </w:rPr>
        <w:t>Hauenstein</w:t>
      </w:r>
      <w:proofErr w:type="spellEnd"/>
      <w:r>
        <w:rPr>
          <w:sz w:val="20"/>
          <w:szCs w:val="20"/>
          <w:lang w:val="en-US"/>
        </w:rPr>
        <w:t xml:space="preserve">, K., Keiper, P., Domes, G., </w:t>
      </w:r>
      <w:proofErr w:type="spellStart"/>
      <w:r>
        <w:rPr>
          <w:sz w:val="20"/>
          <w:szCs w:val="20"/>
          <w:lang w:val="en-US"/>
        </w:rPr>
        <w:t>Herpertz</w:t>
      </w:r>
      <w:proofErr w:type="spellEnd"/>
      <w:r>
        <w:rPr>
          <w:sz w:val="20"/>
          <w:szCs w:val="20"/>
          <w:lang w:val="en-US"/>
        </w:rPr>
        <w:t xml:space="preserve">, S.C., 2013. Neural correlates of risk taking in violent criminal offenders characterized by emotional hypo- and hyper-reactivity. Soc. </w:t>
      </w:r>
      <w:proofErr w:type="spellStart"/>
      <w:r>
        <w:rPr>
          <w:sz w:val="20"/>
          <w:szCs w:val="20"/>
          <w:lang w:val="en-US"/>
        </w:rPr>
        <w:t>Neurosci</w:t>
      </w:r>
      <w:proofErr w:type="spellEnd"/>
      <w:r>
        <w:rPr>
          <w:sz w:val="20"/>
          <w:szCs w:val="20"/>
          <w:lang w:val="en-US"/>
        </w:rPr>
        <w:t>. 8, 136-147.</w:t>
      </w:r>
    </w:p>
    <w:p w:rsidR="00A37A2F" w:rsidRPr="00B26E04" w:rsidRDefault="0096787B" w:rsidP="00113B97">
      <w:pPr>
        <w:spacing w:after="120" w:line="480" w:lineRule="auto"/>
        <w:rPr>
          <w:sz w:val="20"/>
          <w:szCs w:val="20"/>
          <w:lang w:val="en-US"/>
        </w:rPr>
      </w:pPr>
      <w:r>
        <w:rPr>
          <w:sz w:val="20"/>
          <w:szCs w:val="20"/>
          <w:lang w:val="en-US"/>
        </w:rPr>
        <w:t xml:space="preserve">Qadeer, M.I., Amar, A., Mann, J.J., Hasnain, S., 2017. Polymorphisms in dopaminergic system genes; association with criminal behavior and self-reported aggression in violent prison inmates from Pakistan. </w:t>
      </w:r>
      <w:proofErr w:type="spellStart"/>
      <w:r>
        <w:rPr>
          <w:sz w:val="20"/>
          <w:szCs w:val="20"/>
          <w:lang w:val="en-US"/>
        </w:rPr>
        <w:t>PLoS</w:t>
      </w:r>
      <w:proofErr w:type="spellEnd"/>
      <w:r>
        <w:rPr>
          <w:sz w:val="20"/>
          <w:szCs w:val="20"/>
          <w:lang w:val="en-US"/>
        </w:rPr>
        <w:t xml:space="preserve"> One 12, e0173571.</w:t>
      </w:r>
    </w:p>
    <w:p w:rsidR="00624694" w:rsidRPr="00B26E04" w:rsidRDefault="0096787B" w:rsidP="00624694">
      <w:pPr>
        <w:spacing w:after="120" w:line="480" w:lineRule="auto"/>
        <w:rPr>
          <w:sz w:val="20"/>
          <w:szCs w:val="20"/>
          <w:lang w:val="en-US"/>
        </w:rPr>
      </w:pPr>
      <w:r>
        <w:rPr>
          <w:sz w:val="20"/>
          <w:szCs w:val="20"/>
          <w:lang w:val="en-US"/>
        </w:rPr>
        <w:t xml:space="preserve">Raine, A., Yang, Y., 2006. Neural foundations to moral reasoning and antisocial behavior. Soc. </w:t>
      </w:r>
      <w:proofErr w:type="spellStart"/>
      <w:r>
        <w:rPr>
          <w:sz w:val="20"/>
          <w:szCs w:val="20"/>
          <w:lang w:val="en-US"/>
        </w:rPr>
        <w:t>Cogn</w:t>
      </w:r>
      <w:proofErr w:type="spellEnd"/>
      <w:r>
        <w:rPr>
          <w:sz w:val="20"/>
          <w:szCs w:val="20"/>
          <w:lang w:val="en-US"/>
        </w:rPr>
        <w:t xml:space="preserve">. Affect. </w:t>
      </w:r>
      <w:proofErr w:type="spellStart"/>
      <w:r>
        <w:rPr>
          <w:sz w:val="20"/>
          <w:szCs w:val="20"/>
          <w:lang w:val="en-US"/>
        </w:rPr>
        <w:t>Neurosci</w:t>
      </w:r>
      <w:proofErr w:type="spellEnd"/>
      <w:r>
        <w:rPr>
          <w:sz w:val="20"/>
          <w:szCs w:val="20"/>
          <w:lang w:val="en-US"/>
        </w:rPr>
        <w:t>. 1, 203-213.</w:t>
      </w:r>
    </w:p>
    <w:p w:rsidR="00352A2A" w:rsidRPr="00B26E04" w:rsidRDefault="0096787B" w:rsidP="00113B97">
      <w:pPr>
        <w:spacing w:after="120" w:line="480" w:lineRule="auto"/>
        <w:rPr>
          <w:sz w:val="20"/>
          <w:szCs w:val="20"/>
          <w:lang w:val="en-US"/>
        </w:rPr>
      </w:pPr>
      <w:r>
        <w:rPr>
          <w:sz w:val="20"/>
          <w:szCs w:val="20"/>
          <w:lang w:val="en-US"/>
        </w:rPr>
        <w:t xml:space="preserve">Raine, A., </w:t>
      </w:r>
      <w:proofErr w:type="spellStart"/>
      <w:r>
        <w:rPr>
          <w:sz w:val="20"/>
          <w:szCs w:val="20"/>
          <w:lang w:val="en-US"/>
        </w:rPr>
        <w:t>Buchsbaum</w:t>
      </w:r>
      <w:proofErr w:type="spellEnd"/>
      <w:r>
        <w:rPr>
          <w:sz w:val="20"/>
          <w:szCs w:val="20"/>
          <w:lang w:val="en-US"/>
        </w:rPr>
        <w:t xml:space="preserve">, M., </w:t>
      </w:r>
      <w:proofErr w:type="spellStart"/>
      <w:r>
        <w:rPr>
          <w:sz w:val="20"/>
          <w:szCs w:val="20"/>
          <w:lang w:val="en-US"/>
        </w:rPr>
        <w:t>LaCasse</w:t>
      </w:r>
      <w:proofErr w:type="spellEnd"/>
      <w:r>
        <w:rPr>
          <w:sz w:val="20"/>
          <w:szCs w:val="20"/>
          <w:lang w:val="en-US"/>
        </w:rPr>
        <w:t>, L., 1997. Brain abnormalities in murderers indicated by positron emission tomography. Biol. Psychiatry 42, 495-508.</w:t>
      </w:r>
    </w:p>
    <w:p w:rsidR="00352A2A" w:rsidRPr="00B26E04" w:rsidRDefault="0096787B" w:rsidP="00113B97">
      <w:pPr>
        <w:spacing w:after="120" w:line="480" w:lineRule="auto"/>
        <w:rPr>
          <w:sz w:val="20"/>
          <w:szCs w:val="20"/>
          <w:lang w:val="en-US"/>
        </w:rPr>
      </w:pPr>
      <w:r>
        <w:rPr>
          <w:sz w:val="20"/>
          <w:szCs w:val="20"/>
          <w:lang w:val="en-US"/>
        </w:rPr>
        <w:t>Rajmohan, V., Mohandas, E., 2007. The limbic system. Indian J. Psychiatry 49, 132-139.</w:t>
      </w:r>
    </w:p>
    <w:p w:rsidR="00352A2A" w:rsidRPr="00B26E04" w:rsidRDefault="0096787B" w:rsidP="00113B97">
      <w:pPr>
        <w:spacing w:after="120" w:line="480" w:lineRule="auto"/>
        <w:rPr>
          <w:sz w:val="20"/>
          <w:szCs w:val="20"/>
          <w:lang w:val="en-US"/>
        </w:rPr>
      </w:pPr>
      <w:proofErr w:type="spellStart"/>
      <w:r>
        <w:rPr>
          <w:sz w:val="20"/>
          <w:szCs w:val="20"/>
          <w:lang w:val="en-US"/>
        </w:rPr>
        <w:t>Ramamoorthy</w:t>
      </w:r>
      <w:proofErr w:type="spellEnd"/>
      <w:r>
        <w:rPr>
          <w:sz w:val="20"/>
          <w:szCs w:val="20"/>
          <w:lang w:val="en-US"/>
        </w:rPr>
        <w:t>, S., Bauman, A.L., Moore, K.R., Han, H., Yang-Feng, T., Chang, A.S., Ganapathy, V., Blakely, R.D., 1993. Antidepressant- and cocaine-sensitive human serotonin transporter: molecular cloning, expression, and chromosomal localization. Proc. Natl. Acad. Sci. U. S. A. 90, 2542-2546.</w:t>
      </w:r>
    </w:p>
    <w:p w:rsidR="00A06E89" w:rsidRPr="00B26E04" w:rsidRDefault="0096787B" w:rsidP="00113B97">
      <w:pPr>
        <w:spacing w:after="120" w:line="480" w:lineRule="auto"/>
        <w:rPr>
          <w:sz w:val="20"/>
          <w:szCs w:val="20"/>
          <w:lang w:val="en-US"/>
        </w:rPr>
      </w:pPr>
      <w:proofErr w:type="spellStart"/>
      <w:r>
        <w:rPr>
          <w:sz w:val="20"/>
          <w:szCs w:val="20"/>
          <w:lang w:val="en-US"/>
        </w:rPr>
        <w:t>Rautiainen</w:t>
      </w:r>
      <w:proofErr w:type="spellEnd"/>
      <w:r>
        <w:rPr>
          <w:sz w:val="20"/>
          <w:szCs w:val="20"/>
          <w:lang w:val="en-US"/>
        </w:rPr>
        <w:t xml:space="preserve">, M.R., </w:t>
      </w:r>
      <w:proofErr w:type="spellStart"/>
      <w:r>
        <w:rPr>
          <w:sz w:val="20"/>
          <w:szCs w:val="20"/>
          <w:lang w:val="en-US"/>
        </w:rPr>
        <w:t>Paunio</w:t>
      </w:r>
      <w:proofErr w:type="spellEnd"/>
      <w:r>
        <w:rPr>
          <w:sz w:val="20"/>
          <w:szCs w:val="20"/>
          <w:lang w:val="en-US"/>
        </w:rPr>
        <w:t>, T., Repo-</w:t>
      </w:r>
      <w:proofErr w:type="spellStart"/>
      <w:r>
        <w:rPr>
          <w:sz w:val="20"/>
          <w:szCs w:val="20"/>
          <w:lang w:val="en-US"/>
        </w:rPr>
        <w:t>Tiihonen</w:t>
      </w:r>
      <w:proofErr w:type="spellEnd"/>
      <w:r>
        <w:rPr>
          <w:sz w:val="20"/>
          <w:szCs w:val="20"/>
          <w:lang w:val="en-US"/>
        </w:rPr>
        <w:t xml:space="preserve">, E., </w:t>
      </w:r>
      <w:proofErr w:type="spellStart"/>
      <w:r>
        <w:rPr>
          <w:sz w:val="20"/>
          <w:szCs w:val="20"/>
          <w:lang w:val="en-US"/>
        </w:rPr>
        <w:t>Virkkunen</w:t>
      </w:r>
      <w:proofErr w:type="spellEnd"/>
      <w:r>
        <w:rPr>
          <w:sz w:val="20"/>
          <w:szCs w:val="20"/>
          <w:lang w:val="en-US"/>
        </w:rPr>
        <w:t xml:space="preserve">, M., </w:t>
      </w:r>
      <w:proofErr w:type="spellStart"/>
      <w:r>
        <w:rPr>
          <w:sz w:val="20"/>
          <w:szCs w:val="20"/>
          <w:lang w:val="en-US"/>
        </w:rPr>
        <w:t>Ollila</w:t>
      </w:r>
      <w:proofErr w:type="spellEnd"/>
      <w:r>
        <w:rPr>
          <w:sz w:val="20"/>
          <w:szCs w:val="20"/>
          <w:lang w:val="en-US"/>
        </w:rPr>
        <w:t xml:space="preserve">, H.M., </w:t>
      </w:r>
      <w:proofErr w:type="spellStart"/>
      <w:r>
        <w:rPr>
          <w:sz w:val="20"/>
          <w:szCs w:val="20"/>
          <w:lang w:val="en-US"/>
        </w:rPr>
        <w:t>Sulkava</w:t>
      </w:r>
      <w:proofErr w:type="spellEnd"/>
      <w:r>
        <w:rPr>
          <w:sz w:val="20"/>
          <w:szCs w:val="20"/>
          <w:lang w:val="en-US"/>
        </w:rPr>
        <w:t xml:space="preserve">, S., </w:t>
      </w:r>
      <w:proofErr w:type="spellStart"/>
      <w:r>
        <w:rPr>
          <w:sz w:val="20"/>
          <w:szCs w:val="20"/>
          <w:lang w:val="en-US"/>
        </w:rPr>
        <w:t>Jolanki</w:t>
      </w:r>
      <w:proofErr w:type="spellEnd"/>
      <w:r>
        <w:rPr>
          <w:sz w:val="20"/>
          <w:szCs w:val="20"/>
          <w:lang w:val="en-US"/>
        </w:rPr>
        <w:t xml:space="preserve">, O., </w:t>
      </w:r>
      <w:proofErr w:type="spellStart"/>
      <w:r>
        <w:rPr>
          <w:sz w:val="20"/>
          <w:szCs w:val="20"/>
          <w:lang w:val="en-US"/>
        </w:rPr>
        <w:t>Palotie</w:t>
      </w:r>
      <w:proofErr w:type="spellEnd"/>
      <w:r>
        <w:rPr>
          <w:sz w:val="20"/>
          <w:szCs w:val="20"/>
          <w:lang w:val="en-US"/>
        </w:rPr>
        <w:t xml:space="preserve">, A., </w:t>
      </w:r>
      <w:proofErr w:type="spellStart"/>
      <w:r>
        <w:rPr>
          <w:sz w:val="20"/>
          <w:szCs w:val="20"/>
          <w:lang w:val="en-US"/>
        </w:rPr>
        <w:t>Tiihonen</w:t>
      </w:r>
      <w:proofErr w:type="spellEnd"/>
      <w:r>
        <w:rPr>
          <w:sz w:val="20"/>
          <w:szCs w:val="20"/>
          <w:lang w:val="en-US"/>
        </w:rPr>
        <w:t>, J., 2016. Genome-wide association study of antisocial personality disorder. Transl. Psychiatry 6, e883.</w:t>
      </w:r>
    </w:p>
    <w:p w:rsidR="000B546F" w:rsidRPr="00B26E04" w:rsidRDefault="0096787B" w:rsidP="00113B97">
      <w:pPr>
        <w:spacing w:after="120" w:line="480" w:lineRule="auto"/>
        <w:rPr>
          <w:sz w:val="20"/>
          <w:szCs w:val="20"/>
          <w:lang w:val="en-US"/>
        </w:rPr>
      </w:pPr>
      <w:r>
        <w:rPr>
          <w:sz w:val="20"/>
          <w:szCs w:val="20"/>
          <w:lang w:val="en-US"/>
        </w:rPr>
        <w:t xml:space="preserve">Reddy, D.S., 2010. </w:t>
      </w:r>
      <w:proofErr w:type="spellStart"/>
      <w:r>
        <w:rPr>
          <w:sz w:val="20"/>
          <w:szCs w:val="20"/>
          <w:lang w:val="en-US"/>
        </w:rPr>
        <w:t>Neurosteroids</w:t>
      </w:r>
      <w:proofErr w:type="spellEnd"/>
      <w:r>
        <w:rPr>
          <w:sz w:val="20"/>
          <w:szCs w:val="20"/>
          <w:lang w:val="en-US"/>
        </w:rPr>
        <w:t>: endogenous role in the human brain and therapeutic potentials. Prog. Brain Res. 186, 113-137.</w:t>
      </w:r>
    </w:p>
    <w:p w:rsidR="00352A2A" w:rsidRPr="00B26E04" w:rsidRDefault="0096787B" w:rsidP="00113B97">
      <w:pPr>
        <w:spacing w:after="120" w:line="480" w:lineRule="auto"/>
        <w:rPr>
          <w:sz w:val="20"/>
          <w:szCs w:val="20"/>
          <w:lang w:val="en-US"/>
        </w:rPr>
      </w:pPr>
      <w:proofErr w:type="spellStart"/>
      <w:r>
        <w:rPr>
          <w:sz w:val="20"/>
          <w:szCs w:val="20"/>
          <w:lang w:val="en-US"/>
        </w:rPr>
        <w:t>Reimold</w:t>
      </w:r>
      <w:proofErr w:type="spellEnd"/>
      <w:r>
        <w:rPr>
          <w:sz w:val="20"/>
          <w:szCs w:val="20"/>
          <w:lang w:val="en-US"/>
        </w:rPr>
        <w:t xml:space="preserve">, M., Batra, A., </w:t>
      </w:r>
      <w:proofErr w:type="spellStart"/>
      <w:r>
        <w:rPr>
          <w:sz w:val="20"/>
          <w:szCs w:val="20"/>
          <w:lang w:val="en-US"/>
        </w:rPr>
        <w:t>Knobel</w:t>
      </w:r>
      <w:proofErr w:type="spellEnd"/>
      <w:r>
        <w:rPr>
          <w:sz w:val="20"/>
          <w:szCs w:val="20"/>
          <w:lang w:val="en-US"/>
        </w:rPr>
        <w:t xml:space="preserve">, A., </w:t>
      </w:r>
      <w:proofErr w:type="spellStart"/>
      <w:r>
        <w:rPr>
          <w:sz w:val="20"/>
          <w:szCs w:val="20"/>
          <w:lang w:val="en-US"/>
        </w:rPr>
        <w:t>Smolka</w:t>
      </w:r>
      <w:proofErr w:type="spellEnd"/>
      <w:r>
        <w:rPr>
          <w:sz w:val="20"/>
          <w:szCs w:val="20"/>
          <w:lang w:val="en-US"/>
        </w:rPr>
        <w:t xml:space="preserve">, M.N., Zimmer, A., Mann, K., </w:t>
      </w:r>
      <w:proofErr w:type="spellStart"/>
      <w:r>
        <w:rPr>
          <w:sz w:val="20"/>
          <w:szCs w:val="20"/>
          <w:lang w:val="en-US"/>
        </w:rPr>
        <w:t>Solbach</w:t>
      </w:r>
      <w:proofErr w:type="spellEnd"/>
      <w:r>
        <w:rPr>
          <w:sz w:val="20"/>
          <w:szCs w:val="20"/>
          <w:lang w:val="en-US"/>
        </w:rPr>
        <w:t xml:space="preserve">, C., </w:t>
      </w:r>
      <w:proofErr w:type="spellStart"/>
      <w:r>
        <w:rPr>
          <w:sz w:val="20"/>
          <w:szCs w:val="20"/>
          <w:lang w:val="en-US"/>
        </w:rPr>
        <w:t>Reischl</w:t>
      </w:r>
      <w:proofErr w:type="spellEnd"/>
      <w:r>
        <w:rPr>
          <w:sz w:val="20"/>
          <w:szCs w:val="20"/>
          <w:lang w:val="en-US"/>
        </w:rPr>
        <w:t xml:space="preserve">, G., </w:t>
      </w:r>
      <w:proofErr w:type="spellStart"/>
      <w:r>
        <w:rPr>
          <w:sz w:val="20"/>
          <w:szCs w:val="20"/>
          <w:lang w:val="en-US"/>
        </w:rPr>
        <w:t>Schwärzler</w:t>
      </w:r>
      <w:proofErr w:type="spellEnd"/>
      <w:r>
        <w:rPr>
          <w:sz w:val="20"/>
          <w:szCs w:val="20"/>
          <w:lang w:val="en-US"/>
        </w:rPr>
        <w:t xml:space="preserve">, F., </w:t>
      </w:r>
      <w:proofErr w:type="spellStart"/>
      <w:r>
        <w:rPr>
          <w:sz w:val="20"/>
          <w:szCs w:val="20"/>
          <w:lang w:val="en-US"/>
        </w:rPr>
        <w:t>Gründer</w:t>
      </w:r>
      <w:proofErr w:type="spellEnd"/>
      <w:r>
        <w:rPr>
          <w:sz w:val="20"/>
          <w:szCs w:val="20"/>
          <w:lang w:val="en-US"/>
        </w:rPr>
        <w:t xml:space="preserve">, G., </w:t>
      </w:r>
      <w:proofErr w:type="spellStart"/>
      <w:r>
        <w:rPr>
          <w:sz w:val="20"/>
          <w:szCs w:val="20"/>
          <w:lang w:val="en-US"/>
        </w:rPr>
        <w:t>Machulla</w:t>
      </w:r>
      <w:proofErr w:type="spellEnd"/>
      <w:r>
        <w:rPr>
          <w:sz w:val="20"/>
          <w:szCs w:val="20"/>
          <w:lang w:val="en-US"/>
        </w:rPr>
        <w:t>, H.J., Bares, R., Heinz, A., 2008. Anxiety is associated with reduced central serotonin transporter availability in unmedicated patients with unipolar major depression: a [11C]DASB PET study. Mol. Psychiatry 13, 606-613.</w:t>
      </w:r>
    </w:p>
    <w:p w:rsidR="00352A2A" w:rsidRPr="00B26E04" w:rsidRDefault="0096787B" w:rsidP="00113B97">
      <w:pPr>
        <w:spacing w:after="120" w:line="480" w:lineRule="auto"/>
        <w:rPr>
          <w:sz w:val="20"/>
          <w:szCs w:val="20"/>
          <w:lang w:val="en-US"/>
        </w:rPr>
      </w:pPr>
      <w:r>
        <w:rPr>
          <w:sz w:val="20"/>
          <w:szCs w:val="20"/>
          <w:lang w:val="en-US"/>
        </w:rPr>
        <w:t>Rhee, S.H., Waldman, I.D., 2002. Genetic and environmental influences on antisocial behavior: a meta-analysis of twin and adoption studies. Psychol. Bull. 128, 490-529.</w:t>
      </w:r>
    </w:p>
    <w:p w:rsidR="00D1559C" w:rsidRPr="00B26E04" w:rsidRDefault="0096787B" w:rsidP="00113B97">
      <w:pPr>
        <w:spacing w:after="120" w:line="480" w:lineRule="auto"/>
        <w:rPr>
          <w:sz w:val="20"/>
          <w:szCs w:val="20"/>
          <w:lang w:val="en-US"/>
        </w:rPr>
      </w:pPr>
      <w:r>
        <w:rPr>
          <w:sz w:val="20"/>
          <w:szCs w:val="20"/>
          <w:lang w:val="en-US"/>
        </w:rPr>
        <w:t xml:space="preserve">Richards, J.G., </w:t>
      </w:r>
      <w:proofErr w:type="spellStart"/>
      <w:r>
        <w:rPr>
          <w:sz w:val="20"/>
          <w:szCs w:val="20"/>
          <w:lang w:val="en-US"/>
        </w:rPr>
        <w:t>Saura</w:t>
      </w:r>
      <w:proofErr w:type="spellEnd"/>
      <w:r>
        <w:rPr>
          <w:sz w:val="20"/>
          <w:szCs w:val="20"/>
          <w:lang w:val="en-US"/>
        </w:rPr>
        <w:t>, J., Ulrich, J., Da Prada, M., 1992. Molecular neuroanatomy of monoamine oxidases in human brainstem. Psychopharmacology (</w:t>
      </w:r>
      <w:proofErr w:type="spellStart"/>
      <w:r>
        <w:rPr>
          <w:sz w:val="20"/>
          <w:szCs w:val="20"/>
          <w:lang w:val="en-US"/>
        </w:rPr>
        <w:t>Berl</w:t>
      </w:r>
      <w:proofErr w:type="spellEnd"/>
      <w:r>
        <w:rPr>
          <w:sz w:val="20"/>
          <w:szCs w:val="20"/>
          <w:lang w:val="en-US"/>
        </w:rPr>
        <w:t>) 106 Suppl:S21-S23.</w:t>
      </w:r>
    </w:p>
    <w:p w:rsidR="00352A2A" w:rsidRPr="00B26E04" w:rsidRDefault="0096787B" w:rsidP="00113B97">
      <w:pPr>
        <w:spacing w:after="120" w:line="480" w:lineRule="auto"/>
        <w:rPr>
          <w:sz w:val="20"/>
          <w:szCs w:val="20"/>
          <w:lang w:val="en-US"/>
        </w:rPr>
      </w:pPr>
      <w:r>
        <w:rPr>
          <w:sz w:val="20"/>
          <w:szCs w:val="20"/>
          <w:lang w:val="en-US"/>
        </w:rPr>
        <w:t xml:space="preserve">Ridley, M., 2003. Nature via nurture. Genes, experience, and what makes us human, 354 pages Harper Collins Publishers, New York, NY, US. </w:t>
      </w:r>
    </w:p>
    <w:p w:rsidR="00352A2A" w:rsidRPr="00B26E04" w:rsidRDefault="00352A2A" w:rsidP="00113B97">
      <w:pPr>
        <w:spacing w:after="120" w:line="480" w:lineRule="auto"/>
        <w:rPr>
          <w:sz w:val="20"/>
          <w:szCs w:val="20"/>
          <w:lang w:val="en-US"/>
        </w:rPr>
      </w:pPr>
      <w:r w:rsidRPr="00C54C8A">
        <w:rPr>
          <w:sz w:val="20"/>
          <w:szCs w:val="20"/>
        </w:rPr>
        <w:lastRenderedPageBreak/>
        <w:t xml:space="preserve">Rigoni, D., Pellegrini, S., Mariotti, V., Cozza, A., Mechelli, A., Ferrara, S.D., Pietrini, P., Sartori, G., 2010. </w:t>
      </w:r>
      <w:r w:rsidRPr="00B26E04">
        <w:rPr>
          <w:sz w:val="20"/>
          <w:szCs w:val="20"/>
          <w:lang w:val="en-US"/>
        </w:rPr>
        <w:t>How neuroscience and behavioral genetics improve psychiatric assessment: report on a violent murder case. Front</w:t>
      </w:r>
      <w:r w:rsidR="0096787B">
        <w:rPr>
          <w:sz w:val="20"/>
          <w:szCs w:val="20"/>
          <w:lang w:val="en-US"/>
        </w:rPr>
        <w:t xml:space="preserve">. </w:t>
      </w:r>
      <w:proofErr w:type="spellStart"/>
      <w:r w:rsidR="0096787B">
        <w:rPr>
          <w:sz w:val="20"/>
          <w:szCs w:val="20"/>
          <w:lang w:val="en-US"/>
        </w:rPr>
        <w:t>Behav</w:t>
      </w:r>
      <w:proofErr w:type="spellEnd"/>
      <w:r w:rsidR="0096787B">
        <w:rPr>
          <w:sz w:val="20"/>
          <w:szCs w:val="20"/>
          <w:lang w:val="en-US"/>
        </w:rPr>
        <w:t xml:space="preserve">. </w:t>
      </w:r>
      <w:proofErr w:type="spellStart"/>
      <w:r w:rsidR="0096787B">
        <w:rPr>
          <w:sz w:val="20"/>
          <w:szCs w:val="20"/>
          <w:lang w:val="en-US"/>
        </w:rPr>
        <w:t>Neurosci</w:t>
      </w:r>
      <w:proofErr w:type="spellEnd"/>
      <w:r w:rsidR="0096787B">
        <w:rPr>
          <w:sz w:val="20"/>
          <w:szCs w:val="20"/>
          <w:lang w:val="en-US"/>
        </w:rPr>
        <w:t>. 4, 160.</w:t>
      </w:r>
    </w:p>
    <w:p w:rsidR="00352A2A" w:rsidRPr="00B26E04" w:rsidRDefault="0096787B" w:rsidP="00113B97">
      <w:pPr>
        <w:spacing w:after="120" w:line="480" w:lineRule="auto"/>
        <w:rPr>
          <w:sz w:val="20"/>
          <w:szCs w:val="20"/>
          <w:lang w:val="en-US"/>
        </w:rPr>
      </w:pPr>
      <w:r>
        <w:rPr>
          <w:sz w:val="20"/>
          <w:szCs w:val="20"/>
          <w:lang w:val="en-US"/>
        </w:rPr>
        <w:t xml:space="preserve">Robbins, T.W., </w:t>
      </w:r>
      <w:proofErr w:type="spellStart"/>
      <w:r>
        <w:rPr>
          <w:sz w:val="20"/>
          <w:szCs w:val="20"/>
          <w:lang w:val="en-US"/>
        </w:rPr>
        <w:t>Everitt</w:t>
      </w:r>
      <w:proofErr w:type="spellEnd"/>
      <w:r>
        <w:rPr>
          <w:sz w:val="20"/>
          <w:szCs w:val="20"/>
          <w:lang w:val="en-US"/>
        </w:rPr>
        <w:t xml:space="preserve">, B.J., 1996. </w:t>
      </w:r>
      <w:proofErr w:type="spellStart"/>
      <w:r>
        <w:rPr>
          <w:sz w:val="20"/>
          <w:szCs w:val="20"/>
          <w:lang w:val="en-US"/>
        </w:rPr>
        <w:t>Neurobehavioural</w:t>
      </w:r>
      <w:proofErr w:type="spellEnd"/>
      <w:r>
        <w:rPr>
          <w:sz w:val="20"/>
          <w:szCs w:val="20"/>
          <w:lang w:val="en-US"/>
        </w:rPr>
        <w:t xml:space="preserve"> mechanisms of reward and motivation. </w:t>
      </w:r>
      <w:proofErr w:type="spellStart"/>
      <w:r>
        <w:rPr>
          <w:sz w:val="20"/>
          <w:szCs w:val="20"/>
          <w:lang w:val="en-US"/>
        </w:rPr>
        <w:t>Curr</w:t>
      </w:r>
      <w:proofErr w:type="spellEnd"/>
      <w:r>
        <w:rPr>
          <w:sz w:val="20"/>
          <w:szCs w:val="20"/>
          <w:lang w:val="en-US"/>
        </w:rPr>
        <w:t xml:space="preserve">. </w:t>
      </w:r>
      <w:proofErr w:type="spellStart"/>
      <w:r>
        <w:rPr>
          <w:sz w:val="20"/>
          <w:szCs w:val="20"/>
          <w:lang w:val="en-US"/>
        </w:rPr>
        <w:t>Opin</w:t>
      </w:r>
      <w:proofErr w:type="spellEnd"/>
      <w:r>
        <w:rPr>
          <w:sz w:val="20"/>
          <w:szCs w:val="20"/>
          <w:lang w:val="en-US"/>
        </w:rPr>
        <w:t xml:space="preserve">. </w:t>
      </w:r>
      <w:proofErr w:type="spellStart"/>
      <w:r>
        <w:rPr>
          <w:sz w:val="20"/>
          <w:szCs w:val="20"/>
          <w:lang w:val="en-US"/>
        </w:rPr>
        <w:t>Neurobiol</w:t>
      </w:r>
      <w:proofErr w:type="spellEnd"/>
      <w:r>
        <w:rPr>
          <w:sz w:val="20"/>
          <w:szCs w:val="20"/>
          <w:lang w:val="en-US"/>
        </w:rPr>
        <w:t>. 6, 228-236.</w:t>
      </w:r>
    </w:p>
    <w:p w:rsidR="00E97388" w:rsidRPr="00B26E04" w:rsidRDefault="0096787B" w:rsidP="00113B97">
      <w:pPr>
        <w:spacing w:after="120" w:line="480" w:lineRule="auto"/>
        <w:rPr>
          <w:sz w:val="20"/>
          <w:szCs w:val="20"/>
          <w:lang w:val="en-US"/>
        </w:rPr>
      </w:pPr>
      <w:r>
        <w:rPr>
          <w:sz w:val="20"/>
          <w:szCs w:val="20"/>
          <w:lang w:val="en-US"/>
        </w:rPr>
        <w:t xml:space="preserve">Roche, S.P., Rogers, M.L., </w:t>
      </w:r>
      <w:proofErr w:type="spellStart"/>
      <w:r>
        <w:rPr>
          <w:sz w:val="20"/>
          <w:szCs w:val="20"/>
          <w:lang w:val="en-US"/>
        </w:rPr>
        <w:t>Pridemore</w:t>
      </w:r>
      <w:proofErr w:type="spellEnd"/>
      <w:r>
        <w:rPr>
          <w:sz w:val="20"/>
          <w:szCs w:val="20"/>
          <w:lang w:val="en-US"/>
        </w:rPr>
        <w:t>, W.A., 2018. A cross-national study of the population-level association between alcohol consumption and suicide rates. Drug Alcohol Depend. 188,16-23.</w:t>
      </w:r>
    </w:p>
    <w:p w:rsidR="007D6EF5" w:rsidRPr="00B26E04" w:rsidRDefault="0096787B" w:rsidP="00113B97">
      <w:pPr>
        <w:spacing w:after="120" w:line="480" w:lineRule="auto"/>
        <w:rPr>
          <w:sz w:val="20"/>
          <w:szCs w:val="20"/>
          <w:lang w:val="en-US"/>
        </w:rPr>
      </w:pPr>
      <w:proofErr w:type="spellStart"/>
      <w:r>
        <w:rPr>
          <w:sz w:val="20"/>
          <w:szCs w:val="20"/>
          <w:lang w:val="en-US"/>
        </w:rPr>
        <w:t>Roggenbach</w:t>
      </w:r>
      <w:proofErr w:type="spellEnd"/>
      <w:r>
        <w:rPr>
          <w:sz w:val="20"/>
          <w:szCs w:val="20"/>
          <w:lang w:val="en-US"/>
        </w:rPr>
        <w:t>, J., Müller-</w:t>
      </w:r>
      <w:proofErr w:type="spellStart"/>
      <w:r>
        <w:rPr>
          <w:sz w:val="20"/>
          <w:szCs w:val="20"/>
          <w:lang w:val="en-US"/>
        </w:rPr>
        <w:t>Oerlinghausen</w:t>
      </w:r>
      <w:proofErr w:type="spellEnd"/>
      <w:r>
        <w:rPr>
          <w:sz w:val="20"/>
          <w:szCs w:val="20"/>
          <w:lang w:val="en-US"/>
        </w:rPr>
        <w:t>, B., Franke, L., 2002. Suicidality, impulsivity and aggression--is there a link to 5HIAA concentration in the cerebrospinal fluid? Psychiatry. Res. 113, 193-206.</w:t>
      </w:r>
    </w:p>
    <w:p w:rsidR="00352A2A" w:rsidRPr="00B26E04" w:rsidRDefault="0096787B" w:rsidP="00113B97">
      <w:pPr>
        <w:spacing w:after="120" w:line="480" w:lineRule="auto"/>
        <w:rPr>
          <w:sz w:val="20"/>
          <w:szCs w:val="20"/>
          <w:lang w:val="en-US"/>
        </w:rPr>
      </w:pPr>
      <w:r>
        <w:rPr>
          <w:sz w:val="20"/>
          <w:szCs w:val="20"/>
          <w:lang w:val="en-US"/>
        </w:rPr>
        <w:t>Romero-Martínez, A., Moya-</w:t>
      </w:r>
      <w:proofErr w:type="spellStart"/>
      <w:r>
        <w:rPr>
          <w:sz w:val="20"/>
          <w:szCs w:val="20"/>
          <w:lang w:val="en-US"/>
        </w:rPr>
        <w:t>Albiol</w:t>
      </w:r>
      <w:proofErr w:type="spellEnd"/>
      <w:r>
        <w:rPr>
          <w:sz w:val="20"/>
          <w:szCs w:val="20"/>
          <w:lang w:val="en-US"/>
        </w:rPr>
        <w:t xml:space="preserve">, L., 2015. Neuropsychological impairments associated with the relation between cocaine abuse and violence: neurological facilitation mechanisms. </w:t>
      </w:r>
      <w:proofErr w:type="spellStart"/>
      <w:r>
        <w:rPr>
          <w:sz w:val="20"/>
          <w:szCs w:val="20"/>
          <w:lang w:val="en-US"/>
        </w:rPr>
        <w:t>Adicciones</w:t>
      </w:r>
      <w:proofErr w:type="spellEnd"/>
      <w:r>
        <w:rPr>
          <w:sz w:val="20"/>
          <w:szCs w:val="20"/>
          <w:lang w:val="en-US"/>
        </w:rPr>
        <w:t xml:space="preserve"> 27, 64-74.</w:t>
      </w:r>
    </w:p>
    <w:p w:rsidR="00F625F6" w:rsidRPr="00B26E04" w:rsidRDefault="0096787B" w:rsidP="00113B97">
      <w:pPr>
        <w:spacing w:after="120" w:line="480" w:lineRule="auto"/>
        <w:rPr>
          <w:sz w:val="20"/>
          <w:szCs w:val="20"/>
          <w:lang w:val="en-US"/>
        </w:rPr>
      </w:pPr>
      <w:proofErr w:type="spellStart"/>
      <w:r>
        <w:rPr>
          <w:sz w:val="20"/>
          <w:szCs w:val="20"/>
          <w:lang w:val="en-US"/>
        </w:rPr>
        <w:t>Rosell</w:t>
      </w:r>
      <w:proofErr w:type="spellEnd"/>
      <w:r>
        <w:rPr>
          <w:sz w:val="20"/>
          <w:szCs w:val="20"/>
          <w:lang w:val="en-US"/>
        </w:rPr>
        <w:t xml:space="preserve">, D.R., </w:t>
      </w:r>
      <w:proofErr w:type="spellStart"/>
      <w:r>
        <w:rPr>
          <w:sz w:val="20"/>
          <w:szCs w:val="20"/>
          <w:lang w:val="en-US"/>
        </w:rPr>
        <w:t>Siever</w:t>
      </w:r>
      <w:proofErr w:type="spellEnd"/>
      <w:r>
        <w:rPr>
          <w:sz w:val="20"/>
          <w:szCs w:val="20"/>
          <w:lang w:val="en-US"/>
        </w:rPr>
        <w:t xml:space="preserve">, L.J., 2015. The neurobiology of aggression and violence. CNS </w:t>
      </w:r>
      <w:proofErr w:type="spellStart"/>
      <w:r>
        <w:rPr>
          <w:sz w:val="20"/>
          <w:szCs w:val="20"/>
          <w:lang w:val="en-US"/>
        </w:rPr>
        <w:t>Spectr</w:t>
      </w:r>
      <w:proofErr w:type="spellEnd"/>
      <w:r>
        <w:rPr>
          <w:sz w:val="20"/>
          <w:szCs w:val="20"/>
          <w:lang w:val="en-US"/>
        </w:rPr>
        <w:t>. 20, 254-279.</w:t>
      </w:r>
    </w:p>
    <w:p w:rsidR="00352A2A" w:rsidRPr="00B26E04" w:rsidRDefault="0096787B" w:rsidP="00113B97">
      <w:pPr>
        <w:spacing w:after="120" w:line="480" w:lineRule="auto"/>
        <w:rPr>
          <w:sz w:val="20"/>
          <w:szCs w:val="20"/>
          <w:lang w:val="en-US"/>
        </w:rPr>
      </w:pPr>
      <w:r>
        <w:rPr>
          <w:sz w:val="20"/>
          <w:szCs w:val="20"/>
          <w:lang w:val="en-US"/>
        </w:rPr>
        <w:t xml:space="preserve">Roussos, P., </w:t>
      </w:r>
      <w:proofErr w:type="spellStart"/>
      <w:r>
        <w:rPr>
          <w:sz w:val="20"/>
          <w:szCs w:val="20"/>
          <w:lang w:val="en-US"/>
        </w:rPr>
        <w:t>Giakoumaki</w:t>
      </w:r>
      <w:proofErr w:type="spellEnd"/>
      <w:r>
        <w:rPr>
          <w:sz w:val="20"/>
          <w:szCs w:val="20"/>
          <w:lang w:val="en-US"/>
        </w:rPr>
        <w:t xml:space="preserve">, S.G., </w:t>
      </w:r>
      <w:proofErr w:type="spellStart"/>
      <w:r>
        <w:rPr>
          <w:sz w:val="20"/>
          <w:szCs w:val="20"/>
          <w:lang w:val="en-US"/>
        </w:rPr>
        <w:t>Bitsios</w:t>
      </w:r>
      <w:proofErr w:type="spellEnd"/>
      <w:r>
        <w:rPr>
          <w:sz w:val="20"/>
          <w:szCs w:val="20"/>
          <w:lang w:val="en-US"/>
        </w:rPr>
        <w:t xml:space="preserve">, P., 2009. Cognitive and emotional processing in high novelty seeking associated with the L-DRD4 genotype. </w:t>
      </w:r>
      <w:proofErr w:type="spellStart"/>
      <w:r>
        <w:rPr>
          <w:sz w:val="20"/>
          <w:szCs w:val="20"/>
          <w:lang w:val="en-US"/>
        </w:rPr>
        <w:t>Neuropsychologia</w:t>
      </w:r>
      <w:proofErr w:type="spellEnd"/>
      <w:r>
        <w:rPr>
          <w:sz w:val="20"/>
          <w:szCs w:val="20"/>
          <w:lang w:val="en-US"/>
        </w:rPr>
        <w:t xml:space="preserve"> 47, 1654-1659.</w:t>
      </w:r>
    </w:p>
    <w:p w:rsidR="003C72DC" w:rsidRPr="00B26E04" w:rsidRDefault="0096787B" w:rsidP="00113B97">
      <w:pPr>
        <w:spacing w:after="120" w:line="480" w:lineRule="auto"/>
        <w:rPr>
          <w:sz w:val="20"/>
          <w:szCs w:val="20"/>
          <w:lang w:val="en-US"/>
        </w:rPr>
      </w:pPr>
      <w:proofErr w:type="spellStart"/>
      <w:r>
        <w:rPr>
          <w:sz w:val="20"/>
          <w:szCs w:val="20"/>
          <w:lang w:val="en-US"/>
        </w:rPr>
        <w:t>Ruisch</w:t>
      </w:r>
      <w:proofErr w:type="spellEnd"/>
      <w:r>
        <w:rPr>
          <w:sz w:val="20"/>
          <w:szCs w:val="20"/>
          <w:lang w:val="en-US"/>
        </w:rPr>
        <w:t xml:space="preserve">, I.H., Dietrich, A., Glennon, J.C., </w:t>
      </w:r>
      <w:proofErr w:type="spellStart"/>
      <w:r>
        <w:rPr>
          <w:sz w:val="20"/>
          <w:szCs w:val="20"/>
          <w:lang w:val="en-US"/>
        </w:rPr>
        <w:t>Buitelaar</w:t>
      </w:r>
      <w:proofErr w:type="spellEnd"/>
      <w:r>
        <w:rPr>
          <w:sz w:val="20"/>
          <w:szCs w:val="20"/>
          <w:lang w:val="en-US"/>
        </w:rPr>
        <w:t xml:space="preserve">, J.K., Hoekstra, P.J., 2019. Interplay between genome-wide implicated genetic variants and environmental factors related to childhood antisocial behavior in the UK ALSPAC cohort. Eur. Arch. Psychiatry Clin. </w:t>
      </w:r>
      <w:proofErr w:type="spellStart"/>
      <w:r>
        <w:rPr>
          <w:sz w:val="20"/>
          <w:szCs w:val="20"/>
          <w:lang w:val="en-US"/>
        </w:rPr>
        <w:t>Neurosci</w:t>
      </w:r>
      <w:proofErr w:type="spellEnd"/>
      <w:r>
        <w:rPr>
          <w:sz w:val="20"/>
          <w:szCs w:val="20"/>
          <w:lang w:val="en-US"/>
        </w:rPr>
        <w:t>. 269, 741-752</w:t>
      </w:r>
      <w:r w:rsidR="00F12D52">
        <w:rPr>
          <w:sz w:val="20"/>
          <w:szCs w:val="20"/>
          <w:lang w:val="en-US"/>
        </w:rPr>
        <w:t>.</w:t>
      </w:r>
    </w:p>
    <w:p w:rsidR="00352A2A" w:rsidRPr="00B26E04" w:rsidRDefault="0096787B" w:rsidP="00113B97">
      <w:pPr>
        <w:spacing w:after="120" w:line="480" w:lineRule="auto"/>
        <w:rPr>
          <w:sz w:val="20"/>
          <w:szCs w:val="20"/>
          <w:lang w:val="en-US"/>
        </w:rPr>
      </w:pPr>
      <w:proofErr w:type="spellStart"/>
      <w:r>
        <w:rPr>
          <w:sz w:val="20"/>
          <w:szCs w:val="20"/>
          <w:lang w:val="en-US"/>
        </w:rPr>
        <w:t>Rujescu</w:t>
      </w:r>
      <w:proofErr w:type="spellEnd"/>
      <w:r>
        <w:rPr>
          <w:sz w:val="20"/>
          <w:szCs w:val="20"/>
          <w:lang w:val="en-US"/>
        </w:rPr>
        <w:t xml:space="preserve">, D., </w:t>
      </w:r>
      <w:proofErr w:type="spellStart"/>
      <w:r>
        <w:rPr>
          <w:sz w:val="20"/>
          <w:szCs w:val="20"/>
          <w:lang w:val="en-US"/>
        </w:rPr>
        <w:t>Giegling</w:t>
      </w:r>
      <w:proofErr w:type="spellEnd"/>
      <w:r>
        <w:rPr>
          <w:sz w:val="20"/>
          <w:szCs w:val="20"/>
          <w:lang w:val="en-US"/>
        </w:rPr>
        <w:t xml:space="preserve">, I., </w:t>
      </w:r>
      <w:proofErr w:type="spellStart"/>
      <w:r>
        <w:rPr>
          <w:sz w:val="20"/>
          <w:szCs w:val="20"/>
          <w:lang w:val="en-US"/>
        </w:rPr>
        <w:t>Bondy</w:t>
      </w:r>
      <w:proofErr w:type="spellEnd"/>
      <w:r>
        <w:rPr>
          <w:sz w:val="20"/>
          <w:szCs w:val="20"/>
          <w:lang w:val="en-US"/>
        </w:rPr>
        <w:t xml:space="preserve">, B., </w:t>
      </w:r>
      <w:proofErr w:type="spellStart"/>
      <w:r>
        <w:rPr>
          <w:sz w:val="20"/>
          <w:szCs w:val="20"/>
          <w:lang w:val="en-US"/>
        </w:rPr>
        <w:t>Gietl</w:t>
      </w:r>
      <w:proofErr w:type="spellEnd"/>
      <w:r>
        <w:rPr>
          <w:sz w:val="20"/>
          <w:szCs w:val="20"/>
          <w:lang w:val="en-US"/>
        </w:rPr>
        <w:t xml:space="preserve">, A., </w:t>
      </w:r>
      <w:proofErr w:type="spellStart"/>
      <w:r>
        <w:rPr>
          <w:sz w:val="20"/>
          <w:szCs w:val="20"/>
          <w:lang w:val="en-US"/>
        </w:rPr>
        <w:t>Zill</w:t>
      </w:r>
      <w:proofErr w:type="spellEnd"/>
      <w:r>
        <w:rPr>
          <w:sz w:val="20"/>
          <w:szCs w:val="20"/>
          <w:lang w:val="en-US"/>
        </w:rPr>
        <w:t xml:space="preserve">, P., </w:t>
      </w:r>
      <w:proofErr w:type="spellStart"/>
      <w:r>
        <w:rPr>
          <w:sz w:val="20"/>
          <w:szCs w:val="20"/>
          <w:lang w:val="en-US"/>
        </w:rPr>
        <w:t>Möller</w:t>
      </w:r>
      <w:proofErr w:type="spellEnd"/>
      <w:r>
        <w:rPr>
          <w:sz w:val="20"/>
          <w:szCs w:val="20"/>
          <w:lang w:val="en-US"/>
        </w:rPr>
        <w:t>, H.J., 2002. Association of anger-related traits with SNPs in the TPH gene. Mol. Psychiatry 7, 1023-1029.</w:t>
      </w:r>
    </w:p>
    <w:p w:rsidR="00352A2A" w:rsidRPr="00B26E04" w:rsidRDefault="0096787B" w:rsidP="00113B97">
      <w:pPr>
        <w:spacing w:after="120" w:line="480" w:lineRule="auto"/>
        <w:rPr>
          <w:sz w:val="20"/>
          <w:szCs w:val="20"/>
          <w:lang w:val="en-US"/>
        </w:rPr>
      </w:pPr>
      <w:proofErr w:type="spellStart"/>
      <w:r>
        <w:rPr>
          <w:sz w:val="20"/>
          <w:szCs w:val="20"/>
          <w:lang w:val="en-US"/>
        </w:rPr>
        <w:t>Ryding</w:t>
      </w:r>
      <w:proofErr w:type="spellEnd"/>
      <w:r>
        <w:rPr>
          <w:sz w:val="20"/>
          <w:szCs w:val="20"/>
          <w:lang w:val="en-US"/>
        </w:rPr>
        <w:t xml:space="preserve">, E., </w:t>
      </w:r>
      <w:proofErr w:type="spellStart"/>
      <w:r>
        <w:rPr>
          <w:sz w:val="20"/>
          <w:szCs w:val="20"/>
          <w:lang w:val="en-US"/>
        </w:rPr>
        <w:t>Lindström</w:t>
      </w:r>
      <w:proofErr w:type="spellEnd"/>
      <w:r>
        <w:rPr>
          <w:sz w:val="20"/>
          <w:szCs w:val="20"/>
          <w:lang w:val="en-US"/>
        </w:rPr>
        <w:t xml:space="preserve">, M., </w:t>
      </w:r>
      <w:proofErr w:type="spellStart"/>
      <w:r>
        <w:rPr>
          <w:sz w:val="20"/>
          <w:szCs w:val="20"/>
          <w:lang w:val="en-US"/>
        </w:rPr>
        <w:t>Träskman-Bendz</w:t>
      </w:r>
      <w:proofErr w:type="spellEnd"/>
      <w:r>
        <w:rPr>
          <w:sz w:val="20"/>
          <w:szCs w:val="20"/>
          <w:lang w:val="en-US"/>
        </w:rPr>
        <w:t>, L., 2008. The role of dopamine and serotonin in suicidal behaviour and aggression. Prog. Brain Res. 172, 307-315.</w:t>
      </w:r>
    </w:p>
    <w:p w:rsidR="00352A2A" w:rsidRPr="00B26E04" w:rsidRDefault="0096787B" w:rsidP="00113B97">
      <w:pPr>
        <w:spacing w:after="120" w:line="480" w:lineRule="auto"/>
        <w:rPr>
          <w:sz w:val="20"/>
          <w:szCs w:val="20"/>
          <w:lang w:val="en-US"/>
        </w:rPr>
      </w:pPr>
      <w:r>
        <w:rPr>
          <w:sz w:val="20"/>
          <w:szCs w:val="20"/>
          <w:lang w:val="en-US"/>
        </w:rPr>
        <w:t>Sabol, S.Z., Hu, S., Hamer, D., 1998. A functional polymorphism in the monoamine oxidase A gene promoter. Hum. Genet. 103, 273-279.</w:t>
      </w:r>
    </w:p>
    <w:p w:rsidR="00352A2A" w:rsidRPr="00C54C8A" w:rsidRDefault="0096787B" w:rsidP="00113B97">
      <w:pPr>
        <w:spacing w:after="120" w:line="480" w:lineRule="auto"/>
        <w:rPr>
          <w:sz w:val="20"/>
          <w:szCs w:val="20"/>
        </w:rPr>
      </w:pPr>
      <w:proofErr w:type="spellStart"/>
      <w:r>
        <w:rPr>
          <w:sz w:val="20"/>
          <w:szCs w:val="20"/>
          <w:lang w:val="en-US"/>
        </w:rPr>
        <w:t>Saetre</w:t>
      </w:r>
      <w:proofErr w:type="spellEnd"/>
      <w:r>
        <w:rPr>
          <w:sz w:val="20"/>
          <w:szCs w:val="20"/>
          <w:lang w:val="en-US"/>
        </w:rPr>
        <w:t xml:space="preserve">, P., </w:t>
      </w:r>
      <w:proofErr w:type="spellStart"/>
      <w:r>
        <w:rPr>
          <w:sz w:val="20"/>
          <w:szCs w:val="20"/>
          <w:lang w:val="en-US"/>
        </w:rPr>
        <w:t>Lundmark</w:t>
      </w:r>
      <w:proofErr w:type="spellEnd"/>
      <w:r>
        <w:rPr>
          <w:sz w:val="20"/>
          <w:szCs w:val="20"/>
          <w:lang w:val="en-US"/>
        </w:rPr>
        <w:t xml:space="preserve">, P., Wang, A., Hansen, T., Rasmussen, H.B., </w:t>
      </w:r>
      <w:proofErr w:type="spellStart"/>
      <w:r>
        <w:rPr>
          <w:sz w:val="20"/>
          <w:szCs w:val="20"/>
          <w:lang w:val="en-US"/>
        </w:rPr>
        <w:t>Djurovic</w:t>
      </w:r>
      <w:proofErr w:type="spellEnd"/>
      <w:r>
        <w:rPr>
          <w:sz w:val="20"/>
          <w:szCs w:val="20"/>
          <w:lang w:val="en-US"/>
        </w:rPr>
        <w:t xml:space="preserve">, S., </w:t>
      </w:r>
      <w:proofErr w:type="spellStart"/>
      <w:r>
        <w:rPr>
          <w:sz w:val="20"/>
          <w:szCs w:val="20"/>
          <w:lang w:val="en-US"/>
        </w:rPr>
        <w:t>Melle</w:t>
      </w:r>
      <w:proofErr w:type="spellEnd"/>
      <w:r>
        <w:rPr>
          <w:sz w:val="20"/>
          <w:szCs w:val="20"/>
          <w:lang w:val="en-US"/>
        </w:rPr>
        <w:t xml:space="preserve">, I., </w:t>
      </w:r>
      <w:proofErr w:type="spellStart"/>
      <w:r>
        <w:rPr>
          <w:sz w:val="20"/>
          <w:szCs w:val="20"/>
          <w:lang w:val="en-US"/>
        </w:rPr>
        <w:t>Andreassen</w:t>
      </w:r>
      <w:proofErr w:type="spellEnd"/>
      <w:r>
        <w:rPr>
          <w:sz w:val="20"/>
          <w:szCs w:val="20"/>
          <w:lang w:val="en-US"/>
        </w:rPr>
        <w:t xml:space="preserve">, O.A., </w:t>
      </w:r>
      <w:proofErr w:type="spellStart"/>
      <w:r>
        <w:rPr>
          <w:sz w:val="20"/>
          <w:szCs w:val="20"/>
          <w:lang w:val="en-US"/>
        </w:rPr>
        <w:t>Werge</w:t>
      </w:r>
      <w:proofErr w:type="spellEnd"/>
      <w:r>
        <w:rPr>
          <w:sz w:val="20"/>
          <w:szCs w:val="20"/>
          <w:lang w:val="en-US"/>
        </w:rPr>
        <w:t xml:space="preserve">, T., </w:t>
      </w:r>
      <w:proofErr w:type="spellStart"/>
      <w:r>
        <w:rPr>
          <w:sz w:val="20"/>
          <w:szCs w:val="20"/>
          <w:lang w:val="en-US"/>
        </w:rPr>
        <w:t>Agartz</w:t>
      </w:r>
      <w:proofErr w:type="spellEnd"/>
      <w:r>
        <w:rPr>
          <w:sz w:val="20"/>
          <w:szCs w:val="20"/>
          <w:lang w:val="en-US"/>
        </w:rPr>
        <w:t xml:space="preserve">, I., Hall, H., </w:t>
      </w:r>
      <w:proofErr w:type="spellStart"/>
      <w:r>
        <w:rPr>
          <w:sz w:val="20"/>
          <w:szCs w:val="20"/>
          <w:lang w:val="en-US"/>
        </w:rPr>
        <w:t>Terenius</w:t>
      </w:r>
      <w:proofErr w:type="spellEnd"/>
      <w:r>
        <w:rPr>
          <w:sz w:val="20"/>
          <w:szCs w:val="20"/>
          <w:lang w:val="en-US"/>
        </w:rPr>
        <w:t xml:space="preserve">, L., </w:t>
      </w:r>
      <w:proofErr w:type="spellStart"/>
      <w:r>
        <w:rPr>
          <w:sz w:val="20"/>
          <w:szCs w:val="20"/>
          <w:lang w:val="en-US"/>
        </w:rPr>
        <w:t>Jönsson</w:t>
      </w:r>
      <w:proofErr w:type="spellEnd"/>
      <w:r>
        <w:rPr>
          <w:sz w:val="20"/>
          <w:szCs w:val="20"/>
          <w:lang w:val="en-US"/>
        </w:rPr>
        <w:t>, E.G., 2010. The tryptophan hydroxylase 1 (TPH1) gene, schizophrenia susceptibility, and suicidal behavior: a multi-</w:t>
      </w:r>
      <w:proofErr w:type="spellStart"/>
      <w:r>
        <w:rPr>
          <w:sz w:val="20"/>
          <w:szCs w:val="20"/>
          <w:lang w:val="en-US"/>
        </w:rPr>
        <w:t>centre</w:t>
      </w:r>
      <w:proofErr w:type="spellEnd"/>
      <w:r>
        <w:rPr>
          <w:sz w:val="20"/>
          <w:szCs w:val="20"/>
          <w:lang w:val="en-US"/>
        </w:rPr>
        <w:t xml:space="preserve"> case-control study and meta-analysis. </w:t>
      </w:r>
      <w:proofErr w:type="spellStart"/>
      <w:r w:rsidR="00352A2A" w:rsidRPr="00C54C8A">
        <w:rPr>
          <w:sz w:val="20"/>
          <w:szCs w:val="20"/>
        </w:rPr>
        <w:t>Am</w:t>
      </w:r>
      <w:proofErr w:type="spellEnd"/>
      <w:r w:rsidR="00426829" w:rsidRPr="00C54C8A">
        <w:rPr>
          <w:sz w:val="20"/>
          <w:szCs w:val="20"/>
        </w:rPr>
        <w:t>.</w:t>
      </w:r>
      <w:r w:rsidR="00352A2A" w:rsidRPr="00C54C8A">
        <w:rPr>
          <w:sz w:val="20"/>
          <w:szCs w:val="20"/>
        </w:rPr>
        <w:t xml:space="preserve"> J</w:t>
      </w:r>
      <w:r w:rsidR="00426829" w:rsidRPr="00C54C8A">
        <w:rPr>
          <w:sz w:val="20"/>
          <w:szCs w:val="20"/>
        </w:rPr>
        <w:t>.</w:t>
      </w:r>
      <w:r w:rsidR="00352A2A" w:rsidRPr="00C54C8A">
        <w:rPr>
          <w:sz w:val="20"/>
          <w:szCs w:val="20"/>
        </w:rPr>
        <w:t xml:space="preserve"> </w:t>
      </w:r>
      <w:proofErr w:type="spellStart"/>
      <w:r w:rsidR="00352A2A" w:rsidRPr="00C54C8A">
        <w:rPr>
          <w:sz w:val="20"/>
          <w:szCs w:val="20"/>
        </w:rPr>
        <w:t>Med</w:t>
      </w:r>
      <w:proofErr w:type="spellEnd"/>
      <w:r w:rsidR="00426829" w:rsidRPr="00C54C8A">
        <w:rPr>
          <w:sz w:val="20"/>
          <w:szCs w:val="20"/>
        </w:rPr>
        <w:t>.</w:t>
      </w:r>
      <w:r w:rsidR="00352A2A" w:rsidRPr="00C54C8A">
        <w:rPr>
          <w:sz w:val="20"/>
          <w:szCs w:val="20"/>
        </w:rPr>
        <w:t xml:space="preserve"> </w:t>
      </w:r>
      <w:proofErr w:type="spellStart"/>
      <w:r w:rsidR="00352A2A" w:rsidRPr="00C54C8A">
        <w:rPr>
          <w:sz w:val="20"/>
          <w:szCs w:val="20"/>
        </w:rPr>
        <w:t>Genet</w:t>
      </w:r>
      <w:proofErr w:type="spellEnd"/>
      <w:r w:rsidR="00426829" w:rsidRPr="00C54C8A">
        <w:rPr>
          <w:sz w:val="20"/>
          <w:szCs w:val="20"/>
        </w:rPr>
        <w:t>.</w:t>
      </w:r>
      <w:r w:rsidR="00352A2A" w:rsidRPr="00C54C8A">
        <w:rPr>
          <w:sz w:val="20"/>
          <w:szCs w:val="20"/>
        </w:rPr>
        <w:t xml:space="preserve"> B </w:t>
      </w:r>
      <w:proofErr w:type="spellStart"/>
      <w:r w:rsidR="00352A2A" w:rsidRPr="00C54C8A">
        <w:rPr>
          <w:sz w:val="20"/>
          <w:szCs w:val="20"/>
        </w:rPr>
        <w:t>Neuropsychiatr</w:t>
      </w:r>
      <w:proofErr w:type="spellEnd"/>
      <w:r w:rsidR="00426829" w:rsidRPr="00C54C8A">
        <w:rPr>
          <w:sz w:val="20"/>
          <w:szCs w:val="20"/>
        </w:rPr>
        <w:t>.</w:t>
      </w:r>
      <w:r w:rsidR="00352A2A" w:rsidRPr="00C54C8A">
        <w:rPr>
          <w:sz w:val="20"/>
          <w:szCs w:val="20"/>
        </w:rPr>
        <w:t xml:space="preserve"> </w:t>
      </w:r>
      <w:proofErr w:type="spellStart"/>
      <w:r w:rsidR="00352A2A" w:rsidRPr="00C54C8A">
        <w:rPr>
          <w:sz w:val="20"/>
          <w:szCs w:val="20"/>
        </w:rPr>
        <w:t>Genet</w:t>
      </w:r>
      <w:proofErr w:type="spellEnd"/>
      <w:r w:rsidR="00426829" w:rsidRPr="00C54C8A">
        <w:rPr>
          <w:sz w:val="20"/>
          <w:szCs w:val="20"/>
        </w:rPr>
        <w:t>.</w:t>
      </w:r>
      <w:r w:rsidR="00352A2A" w:rsidRPr="00C54C8A">
        <w:rPr>
          <w:sz w:val="20"/>
          <w:szCs w:val="20"/>
        </w:rPr>
        <w:t xml:space="preserve"> 153B, 387-396.</w:t>
      </w:r>
    </w:p>
    <w:p w:rsidR="00352A2A" w:rsidRPr="00B26E04" w:rsidRDefault="00352A2A" w:rsidP="00113B97">
      <w:pPr>
        <w:spacing w:after="120" w:line="480" w:lineRule="auto"/>
        <w:rPr>
          <w:sz w:val="20"/>
          <w:szCs w:val="20"/>
          <w:lang w:val="en-US"/>
        </w:rPr>
      </w:pPr>
      <w:r w:rsidRPr="00C54C8A">
        <w:rPr>
          <w:sz w:val="20"/>
          <w:szCs w:val="20"/>
        </w:rPr>
        <w:lastRenderedPageBreak/>
        <w:t xml:space="preserve">Sala, M., </w:t>
      </w:r>
      <w:proofErr w:type="spellStart"/>
      <w:r w:rsidRPr="00C54C8A">
        <w:rPr>
          <w:sz w:val="20"/>
          <w:szCs w:val="20"/>
        </w:rPr>
        <w:t>Caverzasi</w:t>
      </w:r>
      <w:proofErr w:type="spellEnd"/>
      <w:r w:rsidRPr="00C54C8A">
        <w:rPr>
          <w:sz w:val="20"/>
          <w:szCs w:val="20"/>
        </w:rPr>
        <w:t xml:space="preserve">, E., Lazzaretti, M., Morandotti, N., De </w:t>
      </w:r>
      <w:proofErr w:type="spellStart"/>
      <w:r w:rsidRPr="00C54C8A">
        <w:rPr>
          <w:sz w:val="20"/>
          <w:szCs w:val="20"/>
        </w:rPr>
        <w:t>Vidovich</w:t>
      </w:r>
      <w:proofErr w:type="spellEnd"/>
      <w:r w:rsidRPr="00C54C8A">
        <w:rPr>
          <w:sz w:val="20"/>
          <w:szCs w:val="20"/>
        </w:rPr>
        <w:t xml:space="preserve">, G., </w:t>
      </w:r>
      <w:proofErr w:type="spellStart"/>
      <w:r w:rsidRPr="00C54C8A">
        <w:rPr>
          <w:sz w:val="20"/>
          <w:szCs w:val="20"/>
        </w:rPr>
        <w:t>Marraffini</w:t>
      </w:r>
      <w:proofErr w:type="spellEnd"/>
      <w:r w:rsidRPr="00C54C8A">
        <w:rPr>
          <w:sz w:val="20"/>
          <w:szCs w:val="20"/>
        </w:rPr>
        <w:t xml:space="preserve">, E., Gambini, F., Isola, M., De Bona, M., </w:t>
      </w:r>
      <w:proofErr w:type="spellStart"/>
      <w:r w:rsidRPr="00C54C8A">
        <w:rPr>
          <w:sz w:val="20"/>
          <w:szCs w:val="20"/>
        </w:rPr>
        <w:t>Rambaldelli</w:t>
      </w:r>
      <w:proofErr w:type="spellEnd"/>
      <w:r w:rsidRPr="00C54C8A">
        <w:rPr>
          <w:sz w:val="20"/>
          <w:szCs w:val="20"/>
        </w:rPr>
        <w:t>, G., d'</w:t>
      </w:r>
      <w:proofErr w:type="spellStart"/>
      <w:r w:rsidRPr="00C54C8A">
        <w:rPr>
          <w:sz w:val="20"/>
          <w:szCs w:val="20"/>
        </w:rPr>
        <w:t>Allio</w:t>
      </w:r>
      <w:proofErr w:type="spellEnd"/>
      <w:r w:rsidRPr="00C54C8A">
        <w:rPr>
          <w:sz w:val="20"/>
          <w:szCs w:val="20"/>
        </w:rPr>
        <w:t xml:space="preserve">, G., Barale, F., Zappoli, F., Brambilla, P., 2011. </w:t>
      </w:r>
      <w:r w:rsidRPr="00B26E04">
        <w:rPr>
          <w:sz w:val="20"/>
          <w:szCs w:val="20"/>
          <w:lang w:val="en-US"/>
        </w:rPr>
        <w:t>Dorsolateral prefrontal cortex and hippocampus sustain impulsivity and aggressiveness in borderline personality disorder. J</w:t>
      </w:r>
      <w:r w:rsidR="0096787B">
        <w:rPr>
          <w:sz w:val="20"/>
          <w:szCs w:val="20"/>
          <w:lang w:val="en-US"/>
        </w:rPr>
        <w:t xml:space="preserve">. Affect. </w:t>
      </w:r>
      <w:proofErr w:type="spellStart"/>
      <w:r w:rsidR="0096787B">
        <w:rPr>
          <w:sz w:val="20"/>
          <w:szCs w:val="20"/>
          <w:lang w:val="en-US"/>
        </w:rPr>
        <w:t>Disord</w:t>
      </w:r>
      <w:proofErr w:type="spellEnd"/>
      <w:r w:rsidR="0096787B">
        <w:rPr>
          <w:sz w:val="20"/>
          <w:szCs w:val="20"/>
          <w:lang w:val="en-US"/>
        </w:rPr>
        <w:t>. 131, 417-421.</w:t>
      </w:r>
    </w:p>
    <w:p w:rsidR="00352A2A" w:rsidRPr="00B26E04" w:rsidRDefault="0096787B" w:rsidP="00113B97">
      <w:pPr>
        <w:spacing w:after="120" w:line="480" w:lineRule="auto"/>
        <w:rPr>
          <w:sz w:val="20"/>
          <w:szCs w:val="20"/>
          <w:lang w:val="en-US"/>
        </w:rPr>
      </w:pPr>
      <w:proofErr w:type="spellStart"/>
      <w:r>
        <w:rPr>
          <w:sz w:val="20"/>
          <w:szCs w:val="20"/>
          <w:lang w:val="en-US"/>
        </w:rPr>
        <w:t>Saudou</w:t>
      </w:r>
      <w:proofErr w:type="spellEnd"/>
      <w:r>
        <w:rPr>
          <w:sz w:val="20"/>
          <w:szCs w:val="20"/>
          <w:lang w:val="en-US"/>
        </w:rPr>
        <w:t xml:space="preserve">, F., Hen, R., 1994. 5-Hydroxytryptamine receptor subtypes in vertebrates and invertebrates. </w:t>
      </w:r>
      <w:proofErr w:type="spellStart"/>
      <w:r>
        <w:rPr>
          <w:sz w:val="20"/>
          <w:szCs w:val="20"/>
          <w:lang w:val="en-US"/>
        </w:rPr>
        <w:t>Neurochem</w:t>
      </w:r>
      <w:proofErr w:type="spellEnd"/>
      <w:r>
        <w:rPr>
          <w:sz w:val="20"/>
          <w:szCs w:val="20"/>
          <w:lang w:val="en-US"/>
        </w:rPr>
        <w:t>. Int. 25, 503-532.</w:t>
      </w:r>
    </w:p>
    <w:p w:rsidR="00FD72F4" w:rsidRPr="00B26E04" w:rsidRDefault="0096787B" w:rsidP="00113B97">
      <w:pPr>
        <w:spacing w:after="120" w:line="480" w:lineRule="auto"/>
        <w:rPr>
          <w:sz w:val="20"/>
          <w:szCs w:val="20"/>
          <w:lang w:val="en-US"/>
        </w:rPr>
      </w:pPr>
      <w:proofErr w:type="spellStart"/>
      <w:r>
        <w:rPr>
          <w:sz w:val="20"/>
          <w:szCs w:val="20"/>
          <w:lang w:val="en-US"/>
        </w:rPr>
        <w:t>Saura</w:t>
      </w:r>
      <w:proofErr w:type="spellEnd"/>
      <w:r>
        <w:rPr>
          <w:sz w:val="20"/>
          <w:szCs w:val="20"/>
          <w:lang w:val="en-US"/>
        </w:rPr>
        <w:t xml:space="preserve">, J., Kettler, R., Da Prada, M., Richards, J.G., 1992. Quantitative enzyme radioautography with 3H-Ro 41-1049 and 3H-Ro 19-6327 in vitro: localization and abundance of MAO-A and MAO-B in rat CNS, peripheral organs, and human brain. J. </w:t>
      </w:r>
      <w:proofErr w:type="spellStart"/>
      <w:r>
        <w:rPr>
          <w:sz w:val="20"/>
          <w:szCs w:val="20"/>
          <w:lang w:val="en-US"/>
        </w:rPr>
        <w:t>Neurosci</w:t>
      </w:r>
      <w:proofErr w:type="spellEnd"/>
      <w:r>
        <w:rPr>
          <w:sz w:val="20"/>
          <w:szCs w:val="20"/>
          <w:lang w:val="en-US"/>
        </w:rPr>
        <w:t>. 12, 1977-1999.</w:t>
      </w:r>
    </w:p>
    <w:p w:rsidR="00352A2A" w:rsidRPr="00B26E04" w:rsidRDefault="0096787B" w:rsidP="00113B97">
      <w:pPr>
        <w:spacing w:after="120" w:line="480" w:lineRule="auto"/>
        <w:rPr>
          <w:sz w:val="20"/>
          <w:szCs w:val="20"/>
          <w:lang w:val="en-US"/>
        </w:rPr>
      </w:pPr>
      <w:r>
        <w:rPr>
          <w:sz w:val="20"/>
          <w:szCs w:val="20"/>
          <w:lang w:val="en-US"/>
        </w:rPr>
        <w:t xml:space="preserve">Schiffer, B., Müller, B.W., </w:t>
      </w:r>
      <w:proofErr w:type="spellStart"/>
      <w:r>
        <w:rPr>
          <w:sz w:val="20"/>
          <w:szCs w:val="20"/>
          <w:lang w:val="en-US"/>
        </w:rPr>
        <w:t>Scherbaum</w:t>
      </w:r>
      <w:proofErr w:type="spellEnd"/>
      <w:r>
        <w:rPr>
          <w:sz w:val="20"/>
          <w:szCs w:val="20"/>
          <w:lang w:val="en-US"/>
        </w:rPr>
        <w:t xml:space="preserve">, N., Hodgins, S., </w:t>
      </w:r>
      <w:proofErr w:type="spellStart"/>
      <w:r>
        <w:rPr>
          <w:sz w:val="20"/>
          <w:szCs w:val="20"/>
          <w:lang w:val="en-US"/>
        </w:rPr>
        <w:t>Forsting</w:t>
      </w:r>
      <w:proofErr w:type="spellEnd"/>
      <w:r>
        <w:rPr>
          <w:sz w:val="20"/>
          <w:szCs w:val="20"/>
          <w:lang w:val="en-US"/>
        </w:rPr>
        <w:t xml:space="preserve">, M., </w:t>
      </w:r>
      <w:proofErr w:type="spellStart"/>
      <w:r>
        <w:rPr>
          <w:sz w:val="20"/>
          <w:szCs w:val="20"/>
          <w:lang w:val="en-US"/>
        </w:rPr>
        <w:t>Wiltfang</w:t>
      </w:r>
      <w:proofErr w:type="spellEnd"/>
      <w:r>
        <w:rPr>
          <w:sz w:val="20"/>
          <w:szCs w:val="20"/>
          <w:lang w:val="en-US"/>
        </w:rPr>
        <w:t xml:space="preserve">, J., </w:t>
      </w:r>
      <w:proofErr w:type="spellStart"/>
      <w:r>
        <w:rPr>
          <w:sz w:val="20"/>
          <w:szCs w:val="20"/>
          <w:lang w:val="en-US"/>
        </w:rPr>
        <w:t>Gizewski</w:t>
      </w:r>
      <w:proofErr w:type="spellEnd"/>
      <w:r>
        <w:rPr>
          <w:sz w:val="20"/>
          <w:szCs w:val="20"/>
          <w:lang w:val="en-US"/>
        </w:rPr>
        <w:t xml:space="preserve">, E.R., </w:t>
      </w:r>
      <w:proofErr w:type="spellStart"/>
      <w:r>
        <w:rPr>
          <w:sz w:val="20"/>
          <w:szCs w:val="20"/>
          <w:lang w:val="en-US"/>
        </w:rPr>
        <w:t>Leygraf</w:t>
      </w:r>
      <w:proofErr w:type="spellEnd"/>
      <w:r>
        <w:rPr>
          <w:sz w:val="20"/>
          <w:szCs w:val="20"/>
          <w:lang w:val="en-US"/>
        </w:rPr>
        <w:t>, N., 2011. Disentangling structural brain alterations associated with violent behavior from those associated with substance use disorders. Arch. Gen. Psychiatry 68, 1039-1049.</w:t>
      </w:r>
    </w:p>
    <w:p w:rsidR="00352A2A" w:rsidRPr="00B26E04" w:rsidRDefault="0096787B" w:rsidP="00113B97">
      <w:pPr>
        <w:spacing w:after="120" w:line="480" w:lineRule="auto"/>
        <w:rPr>
          <w:sz w:val="20"/>
          <w:szCs w:val="20"/>
          <w:lang w:val="en-US"/>
        </w:rPr>
      </w:pPr>
      <w:r>
        <w:rPr>
          <w:sz w:val="20"/>
          <w:szCs w:val="20"/>
          <w:lang w:val="en-US"/>
        </w:rPr>
        <w:t xml:space="preserve">Schlüter, T., </w:t>
      </w:r>
      <w:proofErr w:type="spellStart"/>
      <w:r>
        <w:rPr>
          <w:sz w:val="20"/>
          <w:szCs w:val="20"/>
          <w:lang w:val="en-US"/>
        </w:rPr>
        <w:t>Winz</w:t>
      </w:r>
      <w:proofErr w:type="spellEnd"/>
      <w:r>
        <w:rPr>
          <w:sz w:val="20"/>
          <w:szCs w:val="20"/>
          <w:lang w:val="en-US"/>
        </w:rPr>
        <w:t xml:space="preserve">, O., Henkel, K., Prinz, S., Rademacher, L., </w:t>
      </w:r>
      <w:proofErr w:type="spellStart"/>
      <w:r>
        <w:rPr>
          <w:sz w:val="20"/>
          <w:szCs w:val="20"/>
          <w:lang w:val="en-US"/>
        </w:rPr>
        <w:t>Schmaljohann</w:t>
      </w:r>
      <w:proofErr w:type="spellEnd"/>
      <w:r>
        <w:rPr>
          <w:sz w:val="20"/>
          <w:szCs w:val="20"/>
          <w:lang w:val="en-US"/>
        </w:rPr>
        <w:t xml:space="preserve">, J., </w:t>
      </w:r>
      <w:proofErr w:type="spellStart"/>
      <w:r>
        <w:rPr>
          <w:sz w:val="20"/>
          <w:szCs w:val="20"/>
          <w:lang w:val="en-US"/>
        </w:rPr>
        <w:t>Dautzenberg</w:t>
      </w:r>
      <w:proofErr w:type="spellEnd"/>
      <w:r>
        <w:rPr>
          <w:sz w:val="20"/>
          <w:szCs w:val="20"/>
          <w:lang w:val="en-US"/>
        </w:rPr>
        <w:t xml:space="preserve">, K., Cumming, P., </w:t>
      </w:r>
      <w:proofErr w:type="spellStart"/>
      <w:r>
        <w:rPr>
          <w:sz w:val="20"/>
          <w:szCs w:val="20"/>
          <w:lang w:val="en-US"/>
        </w:rPr>
        <w:t>Kumakura</w:t>
      </w:r>
      <w:proofErr w:type="spellEnd"/>
      <w:r>
        <w:rPr>
          <w:sz w:val="20"/>
          <w:szCs w:val="20"/>
          <w:lang w:val="en-US"/>
        </w:rPr>
        <w:t xml:space="preserve">, Y., Rex, S., </w:t>
      </w:r>
      <w:proofErr w:type="spellStart"/>
      <w:r>
        <w:rPr>
          <w:sz w:val="20"/>
          <w:szCs w:val="20"/>
          <w:lang w:val="en-US"/>
        </w:rPr>
        <w:t>Mottaghy</w:t>
      </w:r>
      <w:proofErr w:type="spellEnd"/>
      <w:r>
        <w:rPr>
          <w:sz w:val="20"/>
          <w:szCs w:val="20"/>
          <w:lang w:val="en-US"/>
        </w:rPr>
        <w:t xml:space="preserve">, F.M., </w:t>
      </w:r>
      <w:proofErr w:type="spellStart"/>
      <w:r>
        <w:rPr>
          <w:sz w:val="20"/>
          <w:szCs w:val="20"/>
          <w:lang w:val="en-US"/>
        </w:rPr>
        <w:t>Gründer</w:t>
      </w:r>
      <w:proofErr w:type="spellEnd"/>
      <w:r>
        <w:rPr>
          <w:sz w:val="20"/>
          <w:szCs w:val="20"/>
          <w:lang w:val="en-US"/>
        </w:rPr>
        <w:t xml:space="preserve">, G., </w:t>
      </w:r>
      <w:proofErr w:type="spellStart"/>
      <w:r>
        <w:rPr>
          <w:sz w:val="20"/>
          <w:szCs w:val="20"/>
          <w:lang w:val="en-US"/>
        </w:rPr>
        <w:t>Vernaleken</w:t>
      </w:r>
      <w:proofErr w:type="spellEnd"/>
      <w:r>
        <w:rPr>
          <w:sz w:val="20"/>
          <w:szCs w:val="20"/>
          <w:lang w:val="en-US"/>
        </w:rPr>
        <w:t xml:space="preserve">, I., 2013. The impact of dopamine on aggression: an [18F]-FDOPA PET Study in healthy males. J. </w:t>
      </w:r>
      <w:proofErr w:type="spellStart"/>
      <w:r>
        <w:rPr>
          <w:sz w:val="20"/>
          <w:szCs w:val="20"/>
          <w:lang w:val="en-US"/>
        </w:rPr>
        <w:t>Neurosci</w:t>
      </w:r>
      <w:proofErr w:type="spellEnd"/>
      <w:r>
        <w:rPr>
          <w:sz w:val="20"/>
          <w:szCs w:val="20"/>
          <w:lang w:val="en-US"/>
        </w:rPr>
        <w:t>. 33, 16889-16896.</w:t>
      </w:r>
    </w:p>
    <w:p w:rsidR="001A1690" w:rsidRPr="00B26E04" w:rsidRDefault="0096787B" w:rsidP="00113B97">
      <w:pPr>
        <w:spacing w:after="120" w:line="480" w:lineRule="auto"/>
        <w:rPr>
          <w:sz w:val="20"/>
          <w:szCs w:val="20"/>
          <w:lang w:val="en-US"/>
        </w:rPr>
      </w:pPr>
      <w:r>
        <w:rPr>
          <w:sz w:val="20"/>
          <w:szCs w:val="20"/>
          <w:lang w:val="en-US"/>
        </w:rPr>
        <w:t xml:space="preserve">Schmidt, L.A., Fox, N.A., Hamer, D.H., 2007. Evidence for a gene-gene interaction in predicting children's behavior problems: association of serotonin transporter short and dopamine receptor D4 long genotypes with internalizing and externalizing behaviors in typically developing 7-year-olds. Dev. </w:t>
      </w:r>
      <w:proofErr w:type="spellStart"/>
      <w:r>
        <w:rPr>
          <w:sz w:val="20"/>
          <w:szCs w:val="20"/>
          <w:lang w:val="en-US"/>
        </w:rPr>
        <w:t>Psychopathol</w:t>
      </w:r>
      <w:proofErr w:type="spellEnd"/>
      <w:r>
        <w:rPr>
          <w:sz w:val="20"/>
          <w:szCs w:val="20"/>
          <w:lang w:val="en-US"/>
        </w:rPr>
        <w:t>. 19, 1105-1116.</w:t>
      </w:r>
    </w:p>
    <w:p w:rsidR="00352A2A" w:rsidRPr="00B26E04" w:rsidRDefault="0096787B" w:rsidP="00113B97">
      <w:pPr>
        <w:spacing w:after="120" w:line="480" w:lineRule="auto"/>
        <w:rPr>
          <w:sz w:val="20"/>
          <w:szCs w:val="20"/>
          <w:lang w:val="en-US"/>
        </w:rPr>
      </w:pPr>
      <w:r>
        <w:rPr>
          <w:sz w:val="20"/>
          <w:szCs w:val="20"/>
          <w:lang w:val="en-US"/>
        </w:rPr>
        <w:t>Schultz, W., 2002. Getting formal with dopamine and reward. Neuron 36, 241-263.</w:t>
      </w:r>
    </w:p>
    <w:p w:rsidR="00352A2A" w:rsidRPr="00B26E04" w:rsidRDefault="0096787B" w:rsidP="00113B97">
      <w:pPr>
        <w:spacing w:after="120" w:line="480" w:lineRule="auto"/>
        <w:rPr>
          <w:sz w:val="20"/>
          <w:szCs w:val="20"/>
          <w:lang w:val="en-US"/>
        </w:rPr>
      </w:pPr>
      <w:proofErr w:type="spellStart"/>
      <w:r>
        <w:rPr>
          <w:sz w:val="20"/>
          <w:szCs w:val="20"/>
          <w:lang w:val="en-US"/>
        </w:rPr>
        <w:t>Seidenwurm</w:t>
      </w:r>
      <w:proofErr w:type="spellEnd"/>
      <w:r>
        <w:rPr>
          <w:sz w:val="20"/>
          <w:szCs w:val="20"/>
          <w:lang w:val="en-US"/>
        </w:rPr>
        <w:t xml:space="preserve">, D., Pounds, T.R., Globus, A., </w:t>
      </w:r>
      <w:proofErr w:type="spellStart"/>
      <w:r>
        <w:rPr>
          <w:sz w:val="20"/>
          <w:szCs w:val="20"/>
          <w:lang w:val="en-US"/>
        </w:rPr>
        <w:t>Valk</w:t>
      </w:r>
      <w:proofErr w:type="spellEnd"/>
      <w:r>
        <w:rPr>
          <w:sz w:val="20"/>
          <w:szCs w:val="20"/>
          <w:lang w:val="en-US"/>
        </w:rPr>
        <w:t xml:space="preserve">, P.E., 1997. Abnormal temporal lobe metabolism in violent subjects: correlation of imaging and neuropsychiatric findings. AJNR Am. J. </w:t>
      </w:r>
      <w:proofErr w:type="spellStart"/>
      <w:r>
        <w:rPr>
          <w:sz w:val="20"/>
          <w:szCs w:val="20"/>
          <w:lang w:val="en-US"/>
        </w:rPr>
        <w:t>Neuroradiol</w:t>
      </w:r>
      <w:proofErr w:type="spellEnd"/>
      <w:r>
        <w:rPr>
          <w:sz w:val="20"/>
          <w:szCs w:val="20"/>
          <w:lang w:val="en-US"/>
        </w:rPr>
        <w:t>. 18, 625-631.</w:t>
      </w:r>
    </w:p>
    <w:p w:rsidR="00352A2A" w:rsidRPr="00B26E04" w:rsidRDefault="0096787B" w:rsidP="00113B97">
      <w:pPr>
        <w:spacing w:after="120" w:line="480" w:lineRule="auto"/>
        <w:rPr>
          <w:sz w:val="20"/>
          <w:szCs w:val="20"/>
          <w:lang w:val="en-US"/>
        </w:rPr>
      </w:pPr>
      <w:proofErr w:type="spellStart"/>
      <w:r>
        <w:rPr>
          <w:sz w:val="20"/>
          <w:szCs w:val="20"/>
          <w:lang w:val="en-US"/>
        </w:rPr>
        <w:t>Sela</w:t>
      </w:r>
      <w:proofErr w:type="spellEnd"/>
      <w:r>
        <w:rPr>
          <w:sz w:val="20"/>
          <w:szCs w:val="20"/>
          <w:lang w:val="en-US"/>
        </w:rPr>
        <w:t xml:space="preserve">, T., Kilim, A., </w:t>
      </w:r>
      <w:proofErr w:type="spellStart"/>
      <w:r>
        <w:rPr>
          <w:sz w:val="20"/>
          <w:szCs w:val="20"/>
          <w:lang w:val="en-US"/>
        </w:rPr>
        <w:t>Lavidor</w:t>
      </w:r>
      <w:proofErr w:type="spellEnd"/>
      <w:r>
        <w:rPr>
          <w:sz w:val="20"/>
          <w:szCs w:val="20"/>
          <w:lang w:val="en-US"/>
        </w:rPr>
        <w:t xml:space="preserve">, M., 2012. Transcranial alternating current stimulation increases risk-taking behavior in the balloon analog risk task. Front. </w:t>
      </w:r>
      <w:proofErr w:type="spellStart"/>
      <w:r>
        <w:rPr>
          <w:sz w:val="20"/>
          <w:szCs w:val="20"/>
          <w:lang w:val="en-US"/>
        </w:rPr>
        <w:t>Neurosci</w:t>
      </w:r>
      <w:proofErr w:type="spellEnd"/>
      <w:r>
        <w:rPr>
          <w:sz w:val="20"/>
          <w:szCs w:val="20"/>
          <w:lang w:val="en-US"/>
        </w:rPr>
        <w:t>. 6, 22.</w:t>
      </w:r>
    </w:p>
    <w:p w:rsidR="002F50B2" w:rsidRPr="00B26E04" w:rsidRDefault="0096787B" w:rsidP="00113B97">
      <w:pPr>
        <w:spacing w:after="120" w:line="480" w:lineRule="auto"/>
        <w:rPr>
          <w:sz w:val="20"/>
          <w:szCs w:val="20"/>
          <w:lang w:val="en-US"/>
        </w:rPr>
      </w:pPr>
      <w:proofErr w:type="spellStart"/>
      <w:r>
        <w:rPr>
          <w:sz w:val="20"/>
          <w:szCs w:val="20"/>
          <w:lang w:val="en-US"/>
        </w:rPr>
        <w:t>Seroczynski</w:t>
      </w:r>
      <w:proofErr w:type="spellEnd"/>
      <w:r>
        <w:rPr>
          <w:sz w:val="20"/>
          <w:szCs w:val="20"/>
          <w:lang w:val="en-US"/>
        </w:rPr>
        <w:t xml:space="preserve">, A.D., </w:t>
      </w:r>
      <w:proofErr w:type="spellStart"/>
      <w:r>
        <w:rPr>
          <w:sz w:val="20"/>
          <w:szCs w:val="20"/>
          <w:lang w:val="en-US"/>
        </w:rPr>
        <w:t>Bergeman</w:t>
      </w:r>
      <w:proofErr w:type="spellEnd"/>
      <w:r>
        <w:rPr>
          <w:sz w:val="20"/>
          <w:szCs w:val="20"/>
          <w:lang w:val="en-US"/>
        </w:rPr>
        <w:t xml:space="preserve">, C.S., </w:t>
      </w:r>
      <w:proofErr w:type="spellStart"/>
      <w:r>
        <w:rPr>
          <w:sz w:val="20"/>
          <w:szCs w:val="20"/>
          <w:lang w:val="en-US"/>
        </w:rPr>
        <w:t>Coccaro</w:t>
      </w:r>
      <w:proofErr w:type="spellEnd"/>
      <w:r>
        <w:rPr>
          <w:sz w:val="20"/>
          <w:szCs w:val="20"/>
          <w:lang w:val="en-US"/>
        </w:rPr>
        <w:t>, E.F., 1999. Etiology of the impulsivity/aggression relationship: genes or environment? Psychiatry Res. 86, 41-57.</w:t>
      </w:r>
    </w:p>
    <w:p w:rsidR="00352A2A" w:rsidRPr="00B26E04" w:rsidRDefault="0096787B" w:rsidP="00113B97">
      <w:pPr>
        <w:spacing w:after="120" w:line="480" w:lineRule="auto"/>
        <w:rPr>
          <w:sz w:val="20"/>
          <w:szCs w:val="20"/>
          <w:lang w:val="en-US"/>
        </w:rPr>
      </w:pPr>
      <w:proofErr w:type="spellStart"/>
      <w:r>
        <w:rPr>
          <w:sz w:val="20"/>
          <w:szCs w:val="20"/>
          <w:lang w:val="en-US"/>
        </w:rPr>
        <w:t>Shamay-Tsoory</w:t>
      </w:r>
      <w:proofErr w:type="spellEnd"/>
      <w:r>
        <w:rPr>
          <w:sz w:val="20"/>
          <w:szCs w:val="20"/>
          <w:lang w:val="en-US"/>
        </w:rPr>
        <w:t xml:space="preserve">, S.G., Tomer, R., Berger, B.D., </w:t>
      </w:r>
      <w:proofErr w:type="spellStart"/>
      <w:r>
        <w:rPr>
          <w:sz w:val="20"/>
          <w:szCs w:val="20"/>
          <w:lang w:val="en-US"/>
        </w:rPr>
        <w:t>Aharon-Peretz</w:t>
      </w:r>
      <w:proofErr w:type="spellEnd"/>
      <w:r>
        <w:rPr>
          <w:sz w:val="20"/>
          <w:szCs w:val="20"/>
          <w:lang w:val="en-US"/>
        </w:rPr>
        <w:t xml:space="preserve">, J., 2003. Characterization of empathy deficits following prefrontal brain damage: the role of the right ventromedial prefrontal cortex. J. </w:t>
      </w:r>
      <w:proofErr w:type="spellStart"/>
      <w:r>
        <w:rPr>
          <w:sz w:val="20"/>
          <w:szCs w:val="20"/>
          <w:lang w:val="en-US"/>
        </w:rPr>
        <w:t>Cogn</w:t>
      </w:r>
      <w:proofErr w:type="spellEnd"/>
      <w:r>
        <w:rPr>
          <w:sz w:val="20"/>
          <w:szCs w:val="20"/>
          <w:lang w:val="en-US"/>
        </w:rPr>
        <w:t xml:space="preserve">. </w:t>
      </w:r>
      <w:proofErr w:type="spellStart"/>
      <w:r>
        <w:rPr>
          <w:sz w:val="20"/>
          <w:szCs w:val="20"/>
          <w:lang w:val="en-US"/>
        </w:rPr>
        <w:t>Neurosci</w:t>
      </w:r>
      <w:proofErr w:type="spellEnd"/>
      <w:r>
        <w:rPr>
          <w:sz w:val="20"/>
          <w:szCs w:val="20"/>
          <w:lang w:val="en-US"/>
        </w:rPr>
        <w:t>. 15, 324-337.</w:t>
      </w:r>
    </w:p>
    <w:p w:rsidR="00352A2A" w:rsidRPr="00B26E04" w:rsidRDefault="0096787B" w:rsidP="00113B97">
      <w:pPr>
        <w:spacing w:after="120" w:line="480" w:lineRule="auto"/>
        <w:rPr>
          <w:sz w:val="20"/>
          <w:szCs w:val="20"/>
          <w:lang w:val="en-US"/>
        </w:rPr>
      </w:pPr>
      <w:proofErr w:type="spellStart"/>
      <w:r>
        <w:rPr>
          <w:sz w:val="20"/>
          <w:szCs w:val="20"/>
          <w:lang w:val="en-US"/>
        </w:rPr>
        <w:lastRenderedPageBreak/>
        <w:t>Shifman</w:t>
      </w:r>
      <w:proofErr w:type="spellEnd"/>
      <w:r>
        <w:rPr>
          <w:sz w:val="20"/>
          <w:szCs w:val="20"/>
          <w:lang w:val="en-US"/>
        </w:rPr>
        <w:t xml:space="preserve">, S., Bronstein, M., </w:t>
      </w:r>
      <w:proofErr w:type="spellStart"/>
      <w:r>
        <w:rPr>
          <w:sz w:val="20"/>
          <w:szCs w:val="20"/>
          <w:lang w:val="en-US"/>
        </w:rPr>
        <w:t>Sternfeld</w:t>
      </w:r>
      <w:proofErr w:type="spellEnd"/>
      <w:r>
        <w:rPr>
          <w:sz w:val="20"/>
          <w:szCs w:val="20"/>
          <w:lang w:val="en-US"/>
        </w:rPr>
        <w:t xml:space="preserve">, M., </w:t>
      </w:r>
      <w:proofErr w:type="spellStart"/>
      <w:r>
        <w:rPr>
          <w:sz w:val="20"/>
          <w:szCs w:val="20"/>
          <w:lang w:val="en-US"/>
        </w:rPr>
        <w:t>Pisanté</w:t>
      </w:r>
      <w:proofErr w:type="spellEnd"/>
      <w:r>
        <w:rPr>
          <w:sz w:val="20"/>
          <w:szCs w:val="20"/>
          <w:lang w:val="en-US"/>
        </w:rPr>
        <w:t xml:space="preserve">-Shalom, A., Lev-Lehman, E., </w:t>
      </w:r>
      <w:proofErr w:type="spellStart"/>
      <w:r>
        <w:rPr>
          <w:sz w:val="20"/>
          <w:szCs w:val="20"/>
          <w:lang w:val="en-US"/>
        </w:rPr>
        <w:t>Weizman</w:t>
      </w:r>
      <w:proofErr w:type="spellEnd"/>
      <w:r>
        <w:rPr>
          <w:sz w:val="20"/>
          <w:szCs w:val="20"/>
          <w:lang w:val="en-US"/>
        </w:rPr>
        <w:t xml:space="preserve">, A., Reznik, I., Spivak, B., </w:t>
      </w:r>
      <w:proofErr w:type="spellStart"/>
      <w:r>
        <w:rPr>
          <w:sz w:val="20"/>
          <w:szCs w:val="20"/>
          <w:lang w:val="en-US"/>
        </w:rPr>
        <w:t>Grisaru</w:t>
      </w:r>
      <w:proofErr w:type="spellEnd"/>
      <w:r>
        <w:rPr>
          <w:sz w:val="20"/>
          <w:szCs w:val="20"/>
          <w:lang w:val="en-US"/>
        </w:rPr>
        <w:t xml:space="preserve">, N., Karp, L., Schiffer, R., Kotler, M., </w:t>
      </w:r>
      <w:proofErr w:type="spellStart"/>
      <w:r>
        <w:rPr>
          <w:sz w:val="20"/>
          <w:szCs w:val="20"/>
          <w:lang w:val="en-US"/>
        </w:rPr>
        <w:t>Strous</w:t>
      </w:r>
      <w:proofErr w:type="spellEnd"/>
      <w:r>
        <w:rPr>
          <w:sz w:val="20"/>
          <w:szCs w:val="20"/>
          <w:lang w:val="en-US"/>
        </w:rPr>
        <w:t>, R.D., Swartz-</w:t>
      </w:r>
      <w:proofErr w:type="spellStart"/>
      <w:r>
        <w:rPr>
          <w:sz w:val="20"/>
          <w:szCs w:val="20"/>
          <w:lang w:val="en-US"/>
        </w:rPr>
        <w:t>Vanetik</w:t>
      </w:r>
      <w:proofErr w:type="spellEnd"/>
      <w:r>
        <w:rPr>
          <w:sz w:val="20"/>
          <w:szCs w:val="20"/>
          <w:lang w:val="en-US"/>
        </w:rPr>
        <w:t xml:space="preserve">, M., </w:t>
      </w:r>
      <w:proofErr w:type="spellStart"/>
      <w:r>
        <w:rPr>
          <w:sz w:val="20"/>
          <w:szCs w:val="20"/>
          <w:lang w:val="en-US"/>
        </w:rPr>
        <w:t>Knobler</w:t>
      </w:r>
      <w:proofErr w:type="spellEnd"/>
      <w:r>
        <w:rPr>
          <w:sz w:val="20"/>
          <w:szCs w:val="20"/>
          <w:lang w:val="en-US"/>
        </w:rPr>
        <w:t xml:space="preserve">, H.Y., Shinar, E., Beckmann, J.S., </w:t>
      </w:r>
      <w:proofErr w:type="spellStart"/>
      <w:r>
        <w:rPr>
          <w:sz w:val="20"/>
          <w:szCs w:val="20"/>
          <w:lang w:val="en-US"/>
        </w:rPr>
        <w:t>Yakir</w:t>
      </w:r>
      <w:proofErr w:type="spellEnd"/>
      <w:r>
        <w:rPr>
          <w:sz w:val="20"/>
          <w:szCs w:val="20"/>
          <w:lang w:val="en-US"/>
        </w:rPr>
        <w:t xml:space="preserve">, B., </w:t>
      </w:r>
      <w:proofErr w:type="spellStart"/>
      <w:r>
        <w:rPr>
          <w:sz w:val="20"/>
          <w:szCs w:val="20"/>
          <w:lang w:val="en-US"/>
        </w:rPr>
        <w:t>Risch</w:t>
      </w:r>
      <w:proofErr w:type="spellEnd"/>
      <w:r>
        <w:rPr>
          <w:sz w:val="20"/>
          <w:szCs w:val="20"/>
          <w:lang w:val="en-US"/>
        </w:rPr>
        <w:t xml:space="preserve">, N., Zak, N.B., </w:t>
      </w:r>
      <w:proofErr w:type="spellStart"/>
      <w:r>
        <w:rPr>
          <w:sz w:val="20"/>
          <w:szCs w:val="20"/>
          <w:lang w:val="en-US"/>
        </w:rPr>
        <w:t>Darvasi</w:t>
      </w:r>
      <w:proofErr w:type="spellEnd"/>
      <w:r>
        <w:rPr>
          <w:sz w:val="20"/>
          <w:szCs w:val="20"/>
          <w:lang w:val="en-US"/>
        </w:rPr>
        <w:t>, A., 2002. A highly significant association between a COMT haplotype and schizophrenia. Am. J. Hum. Genet. 71, 1296-1302.</w:t>
      </w:r>
    </w:p>
    <w:p w:rsidR="001124AE" w:rsidRPr="00B26E04" w:rsidRDefault="0096787B" w:rsidP="00113B97">
      <w:pPr>
        <w:spacing w:after="120" w:line="480" w:lineRule="auto"/>
        <w:rPr>
          <w:sz w:val="20"/>
          <w:szCs w:val="20"/>
          <w:lang w:val="en-US"/>
        </w:rPr>
      </w:pPr>
      <w:r>
        <w:rPr>
          <w:sz w:val="20"/>
          <w:szCs w:val="20"/>
          <w:lang w:val="en-US"/>
        </w:rPr>
        <w:t>Shih, J.C., Chen, K., 1999. MAO-A and -B gene knock-out mice exhibit distinctly different behavior. Neurobiology (Bp), 7, 235-246.</w:t>
      </w:r>
    </w:p>
    <w:p w:rsidR="00352A2A" w:rsidRPr="00B26E04" w:rsidRDefault="0096787B" w:rsidP="00113B97">
      <w:pPr>
        <w:spacing w:after="120" w:line="480" w:lineRule="auto"/>
        <w:rPr>
          <w:sz w:val="20"/>
          <w:szCs w:val="20"/>
          <w:lang w:val="en-US"/>
        </w:rPr>
      </w:pPr>
      <w:proofErr w:type="spellStart"/>
      <w:r>
        <w:rPr>
          <w:sz w:val="20"/>
          <w:szCs w:val="20"/>
          <w:lang w:val="en-US"/>
        </w:rPr>
        <w:t>Shizukuishi</w:t>
      </w:r>
      <w:proofErr w:type="spellEnd"/>
      <w:r>
        <w:rPr>
          <w:sz w:val="20"/>
          <w:szCs w:val="20"/>
          <w:lang w:val="en-US"/>
        </w:rPr>
        <w:t xml:space="preserve">, T., Abe, O., Aoki, S., 2013. Diffusion tensor imaging analysis for psychiatric disorders. </w:t>
      </w:r>
      <w:proofErr w:type="spellStart"/>
      <w:r>
        <w:rPr>
          <w:sz w:val="20"/>
          <w:szCs w:val="20"/>
          <w:lang w:val="en-US"/>
        </w:rPr>
        <w:t>Magn</w:t>
      </w:r>
      <w:proofErr w:type="spellEnd"/>
      <w:r>
        <w:rPr>
          <w:sz w:val="20"/>
          <w:szCs w:val="20"/>
          <w:lang w:val="en-US"/>
        </w:rPr>
        <w:t xml:space="preserve">. </w:t>
      </w:r>
      <w:proofErr w:type="spellStart"/>
      <w:r>
        <w:rPr>
          <w:sz w:val="20"/>
          <w:szCs w:val="20"/>
          <w:lang w:val="en-US"/>
        </w:rPr>
        <w:t>Reson</w:t>
      </w:r>
      <w:proofErr w:type="spellEnd"/>
      <w:r>
        <w:rPr>
          <w:sz w:val="20"/>
          <w:szCs w:val="20"/>
          <w:lang w:val="en-US"/>
        </w:rPr>
        <w:t>. Med. Sci. 12, 153-159.</w:t>
      </w:r>
    </w:p>
    <w:p w:rsidR="00352A2A" w:rsidRPr="00B26E04" w:rsidRDefault="0096787B" w:rsidP="00113B97">
      <w:pPr>
        <w:spacing w:after="120" w:line="480" w:lineRule="auto"/>
        <w:rPr>
          <w:sz w:val="20"/>
          <w:szCs w:val="20"/>
          <w:lang w:val="en-US"/>
        </w:rPr>
      </w:pPr>
      <w:r>
        <w:rPr>
          <w:sz w:val="20"/>
          <w:szCs w:val="20"/>
          <w:lang w:val="en-US"/>
        </w:rPr>
        <w:t xml:space="preserve">Sims, K.B., </w:t>
      </w:r>
      <w:proofErr w:type="spellStart"/>
      <w:r>
        <w:rPr>
          <w:sz w:val="20"/>
          <w:szCs w:val="20"/>
          <w:lang w:val="en-US"/>
        </w:rPr>
        <w:t>Lebo</w:t>
      </w:r>
      <w:proofErr w:type="spellEnd"/>
      <w:r>
        <w:rPr>
          <w:sz w:val="20"/>
          <w:szCs w:val="20"/>
          <w:lang w:val="en-US"/>
        </w:rPr>
        <w:t xml:space="preserve">, R.V., Benson, G., </w:t>
      </w:r>
      <w:proofErr w:type="spellStart"/>
      <w:r>
        <w:rPr>
          <w:sz w:val="20"/>
          <w:szCs w:val="20"/>
          <w:lang w:val="en-US"/>
        </w:rPr>
        <w:t>Shalish</w:t>
      </w:r>
      <w:proofErr w:type="spellEnd"/>
      <w:r>
        <w:rPr>
          <w:sz w:val="20"/>
          <w:szCs w:val="20"/>
          <w:lang w:val="en-US"/>
        </w:rPr>
        <w:t xml:space="preserve">, C., </w:t>
      </w:r>
      <w:proofErr w:type="spellStart"/>
      <w:r>
        <w:rPr>
          <w:sz w:val="20"/>
          <w:szCs w:val="20"/>
          <w:lang w:val="en-US"/>
        </w:rPr>
        <w:t>Schuback</w:t>
      </w:r>
      <w:proofErr w:type="spellEnd"/>
      <w:r>
        <w:rPr>
          <w:sz w:val="20"/>
          <w:szCs w:val="20"/>
          <w:lang w:val="en-US"/>
        </w:rPr>
        <w:t xml:space="preserve">, D., Chen, Z.Y., Bruns, G., Craig, I.W., </w:t>
      </w:r>
      <w:proofErr w:type="spellStart"/>
      <w:r>
        <w:rPr>
          <w:sz w:val="20"/>
          <w:szCs w:val="20"/>
          <w:lang w:val="en-US"/>
        </w:rPr>
        <w:t>Golbus</w:t>
      </w:r>
      <w:proofErr w:type="spellEnd"/>
      <w:r>
        <w:rPr>
          <w:sz w:val="20"/>
          <w:szCs w:val="20"/>
          <w:lang w:val="en-US"/>
        </w:rPr>
        <w:t xml:space="preserve">, M.S., </w:t>
      </w:r>
      <w:proofErr w:type="spellStart"/>
      <w:r>
        <w:rPr>
          <w:sz w:val="20"/>
          <w:szCs w:val="20"/>
          <w:lang w:val="en-US"/>
        </w:rPr>
        <w:t>Breakefield</w:t>
      </w:r>
      <w:proofErr w:type="spellEnd"/>
      <w:r>
        <w:rPr>
          <w:sz w:val="20"/>
          <w:szCs w:val="20"/>
          <w:lang w:val="en-US"/>
        </w:rPr>
        <w:t>, X.O., 1992. The Norrie disease gene maps to a 150 kb region on chromosome Xp11.3. Hum. Mol. Genet. 1, 83-89.</w:t>
      </w:r>
    </w:p>
    <w:p w:rsidR="00352A2A" w:rsidRPr="00B26E04" w:rsidRDefault="0096787B" w:rsidP="00113B97">
      <w:pPr>
        <w:spacing w:after="120" w:line="480" w:lineRule="auto"/>
        <w:rPr>
          <w:sz w:val="20"/>
          <w:szCs w:val="20"/>
          <w:lang w:val="en-US"/>
        </w:rPr>
      </w:pPr>
      <w:r>
        <w:rPr>
          <w:sz w:val="20"/>
          <w:szCs w:val="20"/>
          <w:lang w:val="en-US"/>
        </w:rPr>
        <w:t xml:space="preserve">Singh, J.P., </w:t>
      </w:r>
      <w:proofErr w:type="spellStart"/>
      <w:r>
        <w:rPr>
          <w:sz w:val="20"/>
          <w:szCs w:val="20"/>
          <w:lang w:val="en-US"/>
        </w:rPr>
        <w:t>Volavka</w:t>
      </w:r>
      <w:proofErr w:type="spellEnd"/>
      <w:r>
        <w:rPr>
          <w:sz w:val="20"/>
          <w:szCs w:val="20"/>
          <w:lang w:val="en-US"/>
        </w:rPr>
        <w:t xml:space="preserve">, J., </w:t>
      </w:r>
      <w:proofErr w:type="spellStart"/>
      <w:r>
        <w:rPr>
          <w:sz w:val="20"/>
          <w:szCs w:val="20"/>
          <w:lang w:val="en-US"/>
        </w:rPr>
        <w:t>Czobor</w:t>
      </w:r>
      <w:proofErr w:type="spellEnd"/>
      <w:r>
        <w:rPr>
          <w:sz w:val="20"/>
          <w:szCs w:val="20"/>
          <w:lang w:val="en-US"/>
        </w:rPr>
        <w:t xml:space="preserve">, P., Van Dorn, R.A., 2012. A meta-analysis of the Val158Met COMT polymorphism and violent behavior in schizophrenia. </w:t>
      </w:r>
      <w:proofErr w:type="spellStart"/>
      <w:r>
        <w:rPr>
          <w:sz w:val="20"/>
          <w:szCs w:val="20"/>
          <w:lang w:val="en-US"/>
        </w:rPr>
        <w:t>PLoS</w:t>
      </w:r>
      <w:proofErr w:type="spellEnd"/>
      <w:r>
        <w:rPr>
          <w:sz w:val="20"/>
          <w:szCs w:val="20"/>
          <w:lang w:val="en-US"/>
        </w:rPr>
        <w:t xml:space="preserve"> One 7, e43423.</w:t>
      </w:r>
    </w:p>
    <w:p w:rsidR="00BE412E" w:rsidRPr="00B26E04" w:rsidRDefault="0096787B" w:rsidP="00113B97">
      <w:pPr>
        <w:spacing w:after="120" w:line="480" w:lineRule="auto"/>
        <w:rPr>
          <w:sz w:val="20"/>
          <w:szCs w:val="20"/>
          <w:lang w:val="en-US"/>
        </w:rPr>
      </w:pPr>
      <w:proofErr w:type="spellStart"/>
      <w:r>
        <w:rPr>
          <w:sz w:val="20"/>
          <w:szCs w:val="20"/>
          <w:lang w:val="en-US"/>
        </w:rPr>
        <w:t>Sirgiovanni</w:t>
      </w:r>
      <w:proofErr w:type="spellEnd"/>
      <w:r>
        <w:rPr>
          <w:sz w:val="20"/>
          <w:szCs w:val="20"/>
          <w:lang w:val="en-US"/>
        </w:rPr>
        <w:t xml:space="preserve">, E., </w:t>
      </w:r>
      <w:proofErr w:type="spellStart"/>
      <w:r>
        <w:rPr>
          <w:sz w:val="20"/>
          <w:szCs w:val="20"/>
          <w:lang w:val="en-US"/>
        </w:rPr>
        <w:t>Corbellini</w:t>
      </w:r>
      <w:proofErr w:type="spellEnd"/>
      <w:r>
        <w:rPr>
          <w:sz w:val="20"/>
          <w:szCs w:val="20"/>
          <w:lang w:val="en-US"/>
        </w:rPr>
        <w:t xml:space="preserve">, G., </w:t>
      </w:r>
      <w:proofErr w:type="spellStart"/>
      <w:r>
        <w:rPr>
          <w:sz w:val="20"/>
          <w:szCs w:val="20"/>
          <w:lang w:val="en-US"/>
        </w:rPr>
        <w:t>Caporale</w:t>
      </w:r>
      <w:proofErr w:type="spellEnd"/>
      <w:r>
        <w:rPr>
          <w:sz w:val="20"/>
          <w:szCs w:val="20"/>
          <w:lang w:val="en-US"/>
        </w:rPr>
        <w:t>, C., 2016. A recap on Italian neurolaw: epistemological and ethical issues. Mind &amp; Society, 1-19.</w:t>
      </w:r>
    </w:p>
    <w:p w:rsidR="00352A2A" w:rsidRPr="00B26E04" w:rsidRDefault="0096787B" w:rsidP="00113B97">
      <w:pPr>
        <w:spacing w:after="120" w:line="480" w:lineRule="auto"/>
        <w:rPr>
          <w:sz w:val="20"/>
          <w:szCs w:val="20"/>
          <w:lang w:val="en-US"/>
        </w:rPr>
      </w:pPr>
      <w:proofErr w:type="spellStart"/>
      <w:r>
        <w:rPr>
          <w:sz w:val="20"/>
          <w:szCs w:val="20"/>
          <w:lang w:val="en-US"/>
        </w:rPr>
        <w:t>Søndenaa</w:t>
      </w:r>
      <w:proofErr w:type="spellEnd"/>
      <w:r>
        <w:rPr>
          <w:sz w:val="20"/>
          <w:szCs w:val="20"/>
          <w:lang w:val="en-US"/>
        </w:rPr>
        <w:t xml:space="preserve">, E., </w:t>
      </w:r>
      <w:proofErr w:type="spellStart"/>
      <w:r>
        <w:rPr>
          <w:sz w:val="20"/>
          <w:szCs w:val="20"/>
          <w:lang w:val="en-US"/>
        </w:rPr>
        <w:t>Helverschou</w:t>
      </w:r>
      <w:proofErr w:type="spellEnd"/>
      <w:r>
        <w:rPr>
          <w:sz w:val="20"/>
          <w:szCs w:val="20"/>
          <w:lang w:val="en-US"/>
        </w:rPr>
        <w:t xml:space="preserve">, S.B., </w:t>
      </w:r>
      <w:proofErr w:type="spellStart"/>
      <w:r>
        <w:rPr>
          <w:sz w:val="20"/>
          <w:szCs w:val="20"/>
          <w:lang w:val="en-US"/>
        </w:rPr>
        <w:t>Steindal</w:t>
      </w:r>
      <w:proofErr w:type="spellEnd"/>
      <w:r>
        <w:rPr>
          <w:sz w:val="20"/>
          <w:szCs w:val="20"/>
          <w:lang w:val="en-US"/>
        </w:rPr>
        <w:t xml:space="preserve">, K., Rasmussen, K., </w:t>
      </w:r>
      <w:proofErr w:type="spellStart"/>
      <w:r>
        <w:rPr>
          <w:sz w:val="20"/>
          <w:szCs w:val="20"/>
          <w:lang w:val="en-US"/>
        </w:rPr>
        <w:t>Nilson</w:t>
      </w:r>
      <w:proofErr w:type="spellEnd"/>
      <w:r>
        <w:rPr>
          <w:sz w:val="20"/>
          <w:szCs w:val="20"/>
          <w:lang w:val="en-US"/>
        </w:rPr>
        <w:t xml:space="preserve">, B., </w:t>
      </w:r>
      <w:proofErr w:type="spellStart"/>
      <w:r>
        <w:rPr>
          <w:sz w:val="20"/>
          <w:szCs w:val="20"/>
          <w:lang w:val="en-US"/>
        </w:rPr>
        <w:t>Nøttestad</w:t>
      </w:r>
      <w:proofErr w:type="spellEnd"/>
      <w:r>
        <w:rPr>
          <w:sz w:val="20"/>
          <w:szCs w:val="20"/>
          <w:lang w:val="en-US"/>
        </w:rPr>
        <w:t>, J.A., 2014. Violence and sexual offending behavior in people with autism spectrum disorder who have undergone a psychiatric forensic examination. Psychol. Rep. 115, 32-43.</w:t>
      </w:r>
    </w:p>
    <w:p w:rsidR="00352A2A" w:rsidRPr="00B26E04" w:rsidRDefault="0096787B" w:rsidP="00113B97">
      <w:pPr>
        <w:spacing w:after="120" w:line="480" w:lineRule="auto"/>
        <w:rPr>
          <w:sz w:val="20"/>
          <w:szCs w:val="20"/>
          <w:lang w:val="en-US"/>
        </w:rPr>
      </w:pPr>
      <w:proofErr w:type="spellStart"/>
      <w:r>
        <w:rPr>
          <w:sz w:val="20"/>
          <w:szCs w:val="20"/>
          <w:lang w:val="en-US"/>
        </w:rPr>
        <w:t>Spanagel</w:t>
      </w:r>
      <w:proofErr w:type="spellEnd"/>
      <w:r>
        <w:rPr>
          <w:sz w:val="20"/>
          <w:szCs w:val="20"/>
          <w:lang w:val="en-US"/>
        </w:rPr>
        <w:t xml:space="preserve">, R., Weiss, F., 1999. The dopamine hypothesis of reward: past and current status. Trends </w:t>
      </w:r>
      <w:proofErr w:type="spellStart"/>
      <w:r>
        <w:rPr>
          <w:sz w:val="20"/>
          <w:szCs w:val="20"/>
          <w:lang w:val="en-US"/>
        </w:rPr>
        <w:t>Neurosci</w:t>
      </w:r>
      <w:proofErr w:type="spellEnd"/>
      <w:r>
        <w:rPr>
          <w:sz w:val="20"/>
          <w:szCs w:val="20"/>
          <w:lang w:val="en-US"/>
        </w:rPr>
        <w:t>. 22, 521-527.</w:t>
      </w:r>
    </w:p>
    <w:p w:rsidR="00352A2A" w:rsidRPr="00B26E04" w:rsidRDefault="0096787B" w:rsidP="00113B97">
      <w:pPr>
        <w:spacing w:after="120" w:line="480" w:lineRule="auto"/>
        <w:rPr>
          <w:sz w:val="20"/>
          <w:szCs w:val="20"/>
          <w:lang w:val="en-US"/>
        </w:rPr>
      </w:pPr>
      <w:r>
        <w:rPr>
          <w:sz w:val="20"/>
          <w:szCs w:val="20"/>
          <w:lang w:val="en-US"/>
        </w:rPr>
        <w:t xml:space="preserve">Spano, P.F., </w:t>
      </w:r>
      <w:proofErr w:type="spellStart"/>
      <w:r>
        <w:rPr>
          <w:sz w:val="20"/>
          <w:szCs w:val="20"/>
          <w:lang w:val="en-US"/>
        </w:rPr>
        <w:t>Govoni</w:t>
      </w:r>
      <w:proofErr w:type="spellEnd"/>
      <w:r>
        <w:rPr>
          <w:sz w:val="20"/>
          <w:szCs w:val="20"/>
          <w:lang w:val="en-US"/>
        </w:rPr>
        <w:t xml:space="preserve">, S., </w:t>
      </w:r>
      <w:proofErr w:type="spellStart"/>
      <w:r>
        <w:rPr>
          <w:sz w:val="20"/>
          <w:szCs w:val="20"/>
          <w:lang w:val="en-US"/>
        </w:rPr>
        <w:t>Trabucchi</w:t>
      </w:r>
      <w:proofErr w:type="spellEnd"/>
      <w:r>
        <w:rPr>
          <w:sz w:val="20"/>
          <w:szCs w:val="20"/>
          <w:lang w:val="en-US"/>
        </w:rPr>
        <w:t xml:space="preserve">, M., 1978. Studies on the pharmacological properties of dopamine receptors in various areas of the central nervous system. Adv. </w:t>
      </w:r>
      <w:proofErr w:type="spellStart"/>
      <w:r>
        <w:rPr>
          <w:sz w:val="20"/>
          <w:szCs w:val="20"/>
          <w:lang w:val="en-US"/>
        </w:rPr>
        <w:t>Biochem</w:t>
      </w:r>
      <w:proofErr w:type="spellEnd"/>
      <w:r>
        <w:rPr>
          <w:sz w:val="20"/>
          <w:szCs w:val="20"/>
          <w:lang w:val="en-US"/>
        </w:rPr>
        <w:t xml:space="preserve">. </w:t>
      </w:r>
      <w:proofErr w:type="spellStart"/>
      <w:r>
        <w:rPr>
          <w:sz w:val="20"/>
          <w:szCs w:val="20"/>
          <w:lang w:val="en-US"/>
        </w:rPr>
        <w:t>Psychopharmacol</w:t>
      </w:r>
      <w:proofErr w:type="spellEnd"/>
      <w:r>
        <w:rPr>
          <w:sz w:val="20"/>
          <w:szCs w:val="20"/>
          <w:lang w:val="en-US"/>
        </w:rPr>
        <w:t>. 19, 155-165.</w:t>
      </w:r>
    </w:p>
    <w:p w:rsidR="00352A2A" w:rsidRPr="00B26E04" w:rsidRDefault="0096787B" w:rsidP="00113B97">
      <w:pPr>
        <w:spacing w:after="120" w:line="480" w:lineRule="auto"/>
        <w:rPr>
          <w:sz w:val="20"/>
          <w:szCs w:val="20"/>
          <w:lang w:val="en-US"/>
        </w:rPr>
      </w:pPr>
      <w:proofErr w:type="spellStart"/>
      <w:r>
        <w:rPr>
          <w:sz w:val="20"/>
          <w:szCs w:val="20"/>
          <w:lang w:val="en-US"/>
        </w:rPr>
        <w:t>Spoont</w:t>
      </w:r>
      <w:proofErr w:type="spellEnd"/>
      <w:r>
        <w:rPr>
          <w:sz w:val="20"/>
          <w:szCs w:val="20"/>
          <w:lang w:val="en-US"/>
        </w:rPr>
        <w:t xml:space="preserve">, M.R., </w:t>
      </w:r>
      <w:proofErr w:type="spellStart"/>
      <w:r>
        <w:rPr>
          <w:sz w:val="20"/>
          <w:szCs w:val="20"/>
          <w:lang w:val="en-US"/>
        </w:rPr>
        <w:t>Kuskowski</w:t>
      </w:r>
      <w:proofErr w:type="spellEnd"/>
      <w:r>
        <w:rPr>
          <w:sz w:val="20"/>
          <w:szCs w:val="20"/>
          <w:lang w:val="en-US"/>
        </w:rPr>
        <w:t>, M., Pardo, J.V., 2010. Autobiographical memories of anger in violent and non-violent individuals: a script-driven imagery study. Psychiatry. Res. 183, 225-229.</w:t>
      </w:r>
    </w:p>
    <w:p w:rsidR="009501D7" w:rsidRPr="00B26E04" w:rsidRDefault="0096787B" w:rsidP="00113B97">
      <w:pPr>
        <w:spacing w:after="120" w:line="480" w:lineRule="auto"/>
        <w:rPr>
          <w:sz w:val="20"/>
          <w:szCs w:val="20"/>
          <w:lang w:val="en-US"/>
        </w:rPr>
      </w:pPr>
      <w:r>
        <w:rPr>
          <w:sz w:val="20"/>
          <w:szCs w:val="20"/>
          <w:lang w:val="en-US"/>
        </w:rPr>
        <w:t xml:space="preserve">Stein, D.J., Mullen, L., Islam, M.N., Cohen, L., </w:t>
      </w:r>
      <w:proofErr w:type="spellStart"/>
      <w:r>
        <w:rPr>
          <w:sz w:val="20"/>
          <w:szCs w:val="20"/>
          <w:lang w:val="en-US"/>
        </w:rPr>
        <w:t>DeCaria</w:t>
      </w:r>
      <w:proofErr w:type="spellEnd"/>
      <w:r>
        <w:rPr>
          <w:sz w:val="20"/>
          <w:szCs w:val="20"/>
          <w:lang w:val="en-US"/>
        </w:rPr>
        <w:t>, C.M., Hollander, E., 1995. Compulsive and impulsive symptomatology in trichotillomania. Psychopathology 28, 208-213.</w:t>
      </w:r>
    </w:p>
    <w:p w:rsidR="00352A2A" w:rsidRPr="00B26E04" w:rsidRDefault="0096787B" w:rsidP="00113B97">
      <w:pPr>
        <w:spacing w:after="120" w:line="480" w:lineRule="auto"/>
        <w:rPr>
          <w:sz w:val="20"/>
          <w:szCs w:val="20"/>
          <w:lang w:val="en-US"/>
        </w:rPr>
      </w:pPr>
      <w:r>
        <w:rPr>
          <w:sz w:val="20"/>
          <w:szCs w:val="20"/>
          <w:lang w:val="en-US"/>
        </w:rPr>
        <w:t xml:space="preserve">Staudinger, M.R., </w:t>
      </w:r>
      <w:proofErr w:type="spellStart"/>
      <w:r>
        <w:rPr>
          <w:sz w:val="20"/>
          <w:szCs w:val="20"/>
          <w:lang w:val="en-US"/>
        </w:rPr>
        <w:t>Erk</w:t>
      </w:r>
      <w:proofErr w:type="spellEnd"/>
      <w:r>
        <w:rPr>
          <w:sz w:val="20"/>
          <w:szCs w:val="20"/>
          <w:lang w:val="en-US"/>
        </w:rPr>
        <w:t xml:space="preserve">, S., Walter, H., 2011. Dorsolateral prefrontal cortex modulates striatal reward encoding during reappraisal of reward anticipation. </w:t>
      </w:r>
      <w:proofErr w:type="spellStart"/>
      <w:r>
        <w:rPr>
          <w:sz w:val="20"/>
          <w:szCs w:val="20"/>
          <w:lang w:val="en-US"/>
        </w:rPr>
        <w:t>Cereb</w:t>
      </w:r>
      <w:proofErr w:type="spellEnd"/>
      <w:r>
        <w:rPr>
          <w:sz w:val="20"/>
          <w:szCs w:val="20"/>
          <w:lang w:val="en-US"/>
        </w:rPr>
        <w:t>. Cortex 21, 2578-2588.</w:t>
      </w:r>
    </w:p>
    <w:p w:rsidR="00352A2A" w:rsidRPr="00B26E04" w:rsidRDefault="0096787B" w:rsidP="00113B97">
      <w:pPr>
        <w:spacing w:after="120" w:line="480" w:lineRule="auto"/>
        <w:rPr>
          <w:sz w:val="20"/>
          <w:szCs w:val="20"/>
          <w:lang w:val="en-US"/>
        </w:rPr>
      </w:pPr>
      <w:proofErr w:type="spellStart"/>
      <w:r>
        <w:rPr>
          <w:sz w:val="20"/>
          <w:szCs w:val="20"/>
          <w:lang w:val="en-US"/>
        </w:rPr>
        <w:lastRenderedPageBreak/>
        <w:t>Stetler</w:t>
      </w:r>
      <w:proofErr w:type="spellEnd"/>
      <w:r>
        <w:rPr>
          <w:sz w:val="20"/>
          <w:szCs w:val="20"/>
          <w:lang w:val="en-US"/>
        </w:rPr>
        <w:t xml:space="preserve">, D.A., Davis, C., Leavitt, K., </w:t>
      </w:r>
      <w:proofErr w:type="spellStart"/>
      <w:r>
        <w:rPr>
          <w:sz w:val="20"/>
          <w:szCs w:val="20"/>
          <w:lang w:val="en-US"/>
        </w:rPr>
        <w:t>Schriger</w:t>
      </w:r>
      <w:proofErr w:type="spellEnd"/>
      <w:r>
        <w:rPr>
          <w:sz w:val="20"/>
          <w:szCs w:val="20"/>
          <w:lang w:val="en-US"/>
        </w:rPr>
        <w:t xml:space="preserve">, I., Benson, K., Bhakta, S., Wang, L.C., </w:t>
      </w:r>
      <w:proofErr w:type="spellStart"/>
      <w:r>
        <w:rPr>
          <w:sz w:val="20"/>
          <w:szCs w:val="20"/>
          <w:lang w:val="en-US"/>
        </w:rPr>
        <w:t>Oben</w:t>
      </w:r>
      <w:proofErr w:type="spellEnd"/>
      <w:r>
        <w:rPr>
          <w:sz w:val="20"/>
          <w:szCs w:val="20"/>
          <w:lang w:val="en-US"/>
        </w:rPr>
        <w:t xml:space="preserve">, C., Watters, M., </w:t>
      </w:r>
      <w:proofErr w:type="spellStart"/>
      <w:r>
        <w:rPr>
          <w:sz w:val="20"/>
          <w:szCs w:val="20"/>
          <w:lang w:val="en-US"/>
        </w:rPr>
        <w:t>Haghnegahdar</w:t>
      </w:r>
      <w:proofErr w:type="spellEnd"/>
      <w:r>
        <w:rPr>
          <w:sz w:val="20"/>
          <w:szCs w:val="20"/>
          <w:lang w:val="en-US"/>
        </w:rPr>
        <w:t xml:space="preserve">, T., </w:t>
      </w:r>
      <w:proofErr w:type="spellStart"/>
      <w:r>
        <w:rPr>
          <w:sz w:val="20"/>
          <w:szCs w:val="20"/>
          <w:lang w:val="en-US"/>
        </w:rPr>
        <w:t>Bortolato</w:t>
      </w:r>
      <w:proofErr w:type="spellEnd"/>
      <w:r>
        <w:rPr>
          <w:sz w:val="20"/>
          <w:szCs w:val="20"/>
          <w:lang w:val="en-US"/>
        </w:rPr>
        <w:t xml:space="preserve">, M., 2014. Association of low-activity MAOA allelic variants with violent crime in incarcerated offenders. J. </w:t>
      </w:r>
      <w:proofErr w:type="spellStart"/>
      <w:r>
        <w:rPr>
          <w:sz w:val="20"/>
          <w:szCs w:val="20"/>
          <w:lang w:val="en-US"/>
        </w:rPr>
        <w:t>Psychiatr</w:t>
      </w:r>
      <w:proofErr w:type="spellEnd"/>
      <w:r>
        <w:rPr>
          <w:sz w:val="20"/>
          <w:szCs w:val="20"/>
          <w:lang w:val="en-US"/>
        </w:rPr>
        <w:t>. Res. 58, 69-75.</w:t>
      </w:r>
    </w:p>
    <w:p w:rsidR="00352A2A" w:rsidRPr="00B26E04" w:rsidRDefault="0096787B" w:rsidP="00113B97">
      <w:pPr>
        <w:spacing w:after="120" w:line="480" w:lineRule="auto"/>
        <w:rPr>
          <w:sz w:val="20"/>
          <w:szCs w:val="20"/>
          <w:lang w:val="en-US"/>
        </w:rPr>
      </w:pPr>
      <w:r>
        <w:rPr>
          <w:sz w:val="20"/>
          <w:szCs w:val="20"/>
          <w:lang w:val="en-US"/>
        </w:rPr>
        <w:t xml:space="preserve">Stevens, F.L., Hurley, R.A., Taber, K.H., 2011. Anterior cingulate cortex: unique role in cognition and emotion. J. Neuropsychiatry Clin. </w:t>
      </w:r>
      <w:proofErr w:type="spellStart"/>
      <w:r>
        <w:rPr>
          <w:sz w:val="20"/>
          <w:szCs w:val="20"/>
          <w:lang w:val="en-US"/>
        </w:rPr>
        <w:t>Neurosci</w:t>
      </w:r>
      <w:proofErr w:type="spellEnd"/>
      <w:r>
        <w:rPr>
          <w:sz w:val="20"/>
          <w:szCs w:val="20"/>
          <w:lang w:val="en-US"/>
        </w:rPr>
        <w:t>. 23, 121-125.</w:t>
      </w:r>
    </w:p>
    <w:p w:rsidR="00352A2A" w:rsidRPr="00B26E04" w:rsidRDefault="0096787B" w:rsidP="00113B97">
      <w:pPr>
        <w:spacing w:after="120" w:line="480" w:lineRule="auto"/>
        <w:rPr>
          <w:sz w:val="20"/>
          <w:szCs w:val="20"/>
          <w:lang w:val="en-US"/>
        </w:rPr>
      </w:pPr>
      <w:r>
        <w:rPr>
          <w:sz w:val="20"/>
          <w:szCs w:val="20"/>
          <w:lang w:val="en-US"/>
        </w:rPr>
        <w:t xml:space="preserve">Stokes, P.R., Rhodes, R.A., </w:t>
      </w:r>
      <w:proofErr w:type="spellStart"/>
      <w:r>
        <w:rPr>
          <w:sz w:val="20"/>
          <w:szCs w:val="20"/>
          <w:lang w:val="en-US"/>
        </w:rPr>
        <w:t>Grasby</w:t>
      </w:r>
      <w:proofErr w:type="spellEnd"/>
      <w:r>
        <w:rPr>
          <w:sz w:val="20"/>
          <w:szCs w:val="20"/>
          <w:lang w:val="en-US"/>
        </w:rPr>
        <w:t>, P.M., Mehta, M.A., 2011. The effects of the COMT Val108/158Met polymorphism on BOLD activation during working memory, planning, and response inhibition: a role for the posterior cingulate cortex? Neuropsychopharmacology 36, 763-771.</w:t>
      </w:r>
    </w:p>
    <w:p w:rsidR="00352A2A" w:rsidRPr="00B26E04" w:rsidRDefault="0096787B" w:rsidP="00113B97">
      <w:pPr>
        <w:spacing w:after="120" w:line="480" w:lineRule="auto"/>
        <w:rPr>
          <w:sz w:val="20"/>
          <w:szCs w:val="20"/>
          <w:lang w:val="en-US"/>
        </w:rPr>
      </w:pPr>
      <w:r>
        <w:rPr>
          <w:sz w:val="20"/>
          <w:szCs w:val="20"/>
          <w:lang w:val="en-US"/>
        </w:rPr>
        <w:t xml:space="preserve">Stoltenberg, S.F., 2005. Epistasis among presynaptic serotonergic system components. </w:t>
      </w:r>
      <w:proofErr w:type="spellStart"/>
      <w:r>
        <w:rPr>
          <w:sz w:val="20"/>
          <w:szCs w:val="20"/>
          <w:lang w:val="en-US"/>
        </w:rPr>
        <w:t>Behav</w:t>
      </w:r>
      <w:proofErr w:type="spellEnd"/>
      <w:r>
        <w:rPr>
          <w:sz w:val="20"/>
          <w:szCs w:val="20"/>
          <w:lang w:val="en-US"/>
        </w:rPr>
        <w:t>. Genet. 35, 199-209.</w:t>
      </w:r>
    </w:p>
    <w:p w:rsidR="00352A2A" w:rsidRPr="00B26E04" w:rsidRDefault="0096787B" w:rsidP="00113B97">
      <w:pPr>
        <w:spacing w:after="120" w:line="480" w:lineRule="auto"/>
        <w:rPr>
          <w:sz w:val="20"/>
          <w:szCs w:val="20"/>
          <w:lang w:val="en-US"/>
        </w:rPr>
      </w:pPr>
      <w:proofErr w:type="spellStart"/>
      <w:r>
        <w:rPr>
          <w:sz w:val="20"/>
          <w:szCs w:val="20"/>
          <w:lang w:val="en-US"/>
        </w:rPr>
        <w:t>Strenziok</w:t>
      </w:r>
      <w:proofErr w:type="spellEnd"/>
      <w:r>
        <w:rPr>
          <w:sz w:val="20"/>
          <w:szCs w:val="20"/>
          <w:lang w:val="en-US"/>
        </w:rPr>
        <w:t xml:space="preserve">, M., Krueger, F., </w:t>
      </w:r>
      <w:proofErr w:type="spellStart"/>
      <w:r>
        <w:rPr>
          <w:sz w:val="20"/>
          <w:szCs w:val="20"/>
          <w:lang w:val="en-US"/>
        </w:rPr>
        <w:t>Heinecke</w:t>
      </w:r>
      <w:proofErr w:type="spellEnd"/>
      <w:r>
        <w:rPr>
          <w:sz w:val="20"/>
          <w:szCs w:val="20"/>
          <w:lang w:val="en-US"/>
        </w:rPr>
        <w:t xml:space="preserve">, A., </w:t>
      </w:r>
      <w:proofErr w:type="spellStart"/>
      <w:r>
        <w:rPr>
          <w:sz w:val="20"/>
          <w:szCs w:val="20"/>
          <w:lang w:val="en-US"/>
        </w:rPr>
        <w:t>Lenroot</w:t>
      </w:r>
      <w:proofErr w:type="spellEnd"/>
      <w:r>
        <w:rPr>
          <w:sz w:val="20"/>
          <w:szCs w:val="20"/>
          <w:lang w:val="en-US"/>
        </w:rPr>
        <w:t xml:space="preserve">, R.K., Knutson, K.M., van der Meer, E., Grafman, J., 2011. Developmental effects of aggressive behavior in male adolescents assessed with structural and functional brain imaging. Soc. </w:t>
      </w:r>
      <w:proofErr w:type="spellStart"/>
      <w:r>
        <w:rPr>
          <w:sz w:val="20"/>
          <w:szCs w:val="20"/>
          <w:lang w:val="en-US"/>
        </w:rPr>
        <w:t>Cogn</w:t>
      </w:r>
      <w:proofErr w:type="spellEnd"/>
      <w:r>
        <w:rPr>
          <w:sz w:val="20"/>
          <w:szCs w:val="20"/>
          <w:lang w:val="en-US"/>
        </w:rPr>
        <w:t xml:space="preserve">. Affect. </w:t>
      </w:r>
      <w:proofErr w:type="spellStart"/>
      <w:r>
        <w:rPr>
          <w:sz w:val="20"/>
          <w:szCs w:val="20"/>
          <w:lang w:val="en-US"/>
        </w:rPr>
        <w:t>Neurosci</w:t>
      </w:r>
      <w:proofErr w:type="spellEnd"/>
      <w:r>
        <w:rPr>
          <w:sz w:val="20"/>
          <w:szCs w:val="20"/>
          <w:lang w:val="en-US"/>
        </w:rPr>
        <w:t>. 6, 2-11.</w:t>
      </w:r>
    </w:p>
    <w:p w:rsidR="00352A2A" w:rsidRPr="00B26E04" w:rsidRDefault="0096787B" w:rsidP="00113B97">
      <w:pPr>
        <w:spacing w:after="120" w:line="480" w:lineRule="auto"/>
        <w:rPr>
          <w:sz w:val="20"/>
          <w:szCs w:val="20"/>
          <w:lang w:val="en-US"/>
        </w:rPr>
      </w:pPr>
      <w:proofErr w:type="spellStart"/>
      <w:r>
        <w:rPr>
          <w:sz w:val="20"/>
          <w:szCs w:val="20"/>
          <w:lang w:val="en-US"/>
        </w:rPr>
        <w:t>Strous</w:t>
      </w:r>
      <w:proofErr w:type="spellEnd"/>
      <w:r>
        <w:rPr>
          <w:sz w:val="20"/>
          <w:szCs w:val="20"/>
          <w:lang w:val="en-US"/>
        </w:rPr>
        <w:t xml:space="preserve">, R.D., Bark, N., </w:t>
      </w:r>
      <w:proofErr w:type="spellStart"/>
      <w:r>
        <w:rPr>
          <w:sz w:val="20"/>
          <w:szCs w:val="20"/>
          <w:lang w:val="en-US"/>
        </w:rPr>
        <w:t>Parsia</w:t>
      </w:r>
      <w:proofErr w:type="spellEnd"/>
      <w:r>
        <w:rPr>
          <w:sz w:val="20"/>
          <w:szCs w:val="20"/>
          <w:lang w:val="en-US"/>
        </w:rPr>
        <w:t xml:space="preserve">, S.S., </w:t>
      </w:r>
      <w:proofErr w:type="spellStart"/>
      <w:r>
        <w:rPr>
          <w:sz w:val="20"/>
          <w:szCs w:val="20"/>
          <w:lang w:val="en-US"/>
        </w:rPr>
        <w:t>Volavka</w:t>
      </w:r>
      <w:proofErr w:type="spellEnd"/>
      <w:r>
        <w:rPr>
          <w:sz w:val="20"/>
          <w:szCs w:val="20"/>
          <w:lang w:val="en-US"/>
        </w:rPr>
        <w:t>, J., Lachman, H.M., 1997. Analysis of a functional catechol-O-methyltransferase gene polymorphism in schizophrenia: evidence for association with aggressive and antisocial behavior. Psychiatry. Res. 69, 71-77.</w:t>
      </w:r>
    </w:p>
    <w:p w:rsidR="00352A2A" w:rsidRPr="00B26E04" w:rsidRDefault="0096787B" w:rsidP="00113B97">
      <w:pPr>
        <w:spacing w:after="120" w:line="480" w:lineRule="auto"/>
        <w:rPr>
          <w:sz w:val="20"/>
          <w:szCs w:val="20"/>
          <w:lang w:val="en-US"/>
        </w:rPr>
      </w:pPr>
      <w:r>
        <w:rPr>
          <w:sz w:val="20"/>
          <w:szCs w:val="20"/>
          <w:lang w:val="en-US"/>
        </w:rPr>
        <w:t xml:space="preserve">Taber-Thomas, B.C., Asp, E.W., </w:t>
      </w:r>
      <w:proofErr w:type="spellStart"/>
      <w:r>
        <w:rPr>
          <w:sz w:val="20"/>
          <w:szCs w:val="20"/>
          <w:lang w:val="en-US"/>
        </w:rPr>
        <w:t>Koenigs</w:t>
      </w:r>
      <w:proofErr w:type="spellEnd"/>
      <w:r>
        <w:rPr>
          <w:sz w:val="20"/>
          <w:szCs w:val="20"/>
          <w:lang w:val="en-US"/>
        </w:rPr>
        <w:t xml:space="preserve">, M., </w:t>
      </w:r>
      <w:proofErr w:type="spellStart"/>
      <w:r>
        <w:rPr>
          <w:sz w:val="20"/>
          <w:szCs w:val="20"/>
          <w:lang w:val="en-US"/>
        </w:rPr>
        <w:t>Sutterer</w:t>
      </w:r>
      <w:proofErr w:type="spellEnd"/>
      <w:r>
        <w:rPr>
          <w:sz w:val="20"/>
          <w:szCs w:val="20"/>
          <w:lang w:val="en-US"/>
        </w:rPr>
        <w:t xml:space="preserve">, M., Anderson, S.W., </w:t>
      </w:r>
      <w:proofErr w:type="spellStart"/>
      <w:r>
        <w:rPr>
          <w:sz w:val="20"/>
          <w:szCs w:val="20"/>
          <w:lang w:val="en-US"/>
        </w:rPr>
        <w:t>Tranel</w:t>
      </w:r>
      <w:proofErr w:type="spellEnd"/>
      <w:r>
        <w:rPr>
          <w:sz w:val="20"/>
          <w:szCs w:val="20"/>
          <w:lang w:val="en-US"/>
        </w:rPr>
        <w:t>, D., 2014. Arrested development: early prefrontal lesions impair the maturation of moral judgement. Brain 137, 1254-1261.</w:t>
      </w:r>
    </w:p>
    <w:p w:rsidR="001A140E" w:rsidRPr="00B26E04" w:rsidRDefault="0096787B" w:rsidP="00113B97">
      <w:pPr>
        <w:spacing w:after="120" w:line="480" w:lineRule="auto"/>
        <w:rPr>
          <w:sz w:val="20"/>
          <w:szCs w:val="20"/>
          <w:lang w:val="en-US"/>
        </w:rPr>
      </w:pPr>
      <w:r>
        <w:rPr>
          <w:sz w:val="20"/>
          <w:szCs w:val="20"/>
          <w:lang w:val="en-US"/>
        </w:rPr>
        <w:t xml:space="preserve">Tam, V., Patel, N., Turcotte, M., </w:t>
      </w:r>
      <w:proofErr w:type="spellStart"/>
      <w:r>
        <w:rPr>
          <w:sz w:val="20"/>
          <w:szCs w:val="20"/>
          <w:lang w:val="en-US"/>
        </w:rPr>
        <w:t>Bossé</w:t>
      </w:r>
      <w:proofErr w:type="spellEnd"/>
      <w:r>
        <w:rPr>
          <w:sz w:val="20"/>
          <w:szCs w:val="20"/>
          <w:lang w:val="en-US"/>
        </w:rPr>
        <w:t xml:space="preserve">, Y., </w:t>
      </w:r>
      <w:proofErr w:type="spellStart"/>
      <w:r>
        <w:rPr>
          <w:sz w:val="20"/>
          <w:szCs w:val="20"/>
          <w:lang w:val="en-US"/>
        </w:rPr>
        <w:t>Paré</w:t>
      </w:r>
      <w:proofErr w:type="spellEnd"/>
      <w:r>
        <w:rPr>
          <w:sz w:val="20"/>
          <w:szCs w:val="20"/>
          <w:lang w:val="en-US"/>
        </w:rPr>
        <w:t xml:space="preserve">, G., </w:t>
      </w:r>
      <w:proofErr w:type="spellStart"/>
      <w:r>
        <w:rPr>
          <w:sz w:val="20"/>
          <w:szCs w:val="20"/>
          <w:lang w:val="en-US"/>
        </w:rPr>
        <w:t>Meyre</w:t>
      </w:r>
      <w:proofErr w:type="spellEnd"/>
      <w:r>
        <w:rPr>
          <w:sz w:val="20"/>
          <w:szCs w:val="20"/>
          <w:lang w:val="en-US"/>
        </w:rPr>
        <w:t>, D., 2019. Benefits and limitations of genome-wide association studies. Nat. Rev. Genet. 20, 467-484.</w:t>
      </w:r>
    </w:p>
    <w:p w:rsidR="00732D2A" w:rsidRPr="00B26E04" w:rsidRDefault="0096787B" w:rsidP="00113B97">
      <w:pPr>
        <w:spacing w:after="120" w:line="480" w:lineRule="auto"/>
        <w:rPr>
          <w:sz w:val="20"/>
          <w:szCs w:val="20"/>
          <w:lang w:val="en-US"/>
        </w:rPr>
      </w:pPr>
      <w:proofErr w:type="spellStart"/>
      <w:r>
        <w:rPr>
          <w:sz w:val="20"/>
          <w:szCs w:val="20"/>
          <w:lang w:val="en-US"/>
        </w:rPr>
        <w:t>Tenhunen</w:t>
      </w:r>
      <w:proofErr w:type="spellEnd"/>
      <w:r>
        <w:rPr>
          <w:sz w:val="20"/>
          <w:szCs w:val="20"/>
          <w:lang w:val="en-US"/>
        </w:rPr>
        <w:t xml:space="preserve">, J., </w:t>
      </w:r>
      <w:proofErr w:type="spellStart"/>
      <w:r>
        <w:rPr>
          <w:sz w:val="20"/>
          <w:szCs w:val="20"/>
          <w:lang w:val="en-US"/>
        </w:rPr>
        <w:t>Salminen</w:t>
      </w:r>
      <w:proofErr w:type="spellEnd"/>
      <w:r>
        <w:rPr>
          <w:sz w:val="20"/>
          <w:szCs w:val="20"/>
          <w:lang w:val="en-US"/>
        </w:rPr>
        <w:t xml:space="preserve">, M., Lundström, K., </w:t>
      </w:r>
      <w:proofErr w:type="spellStart"/>
      <w:r>
        <w:rPr>
          <w:sz w:val="20"/>
          <w:szCs w:val="20"/>
          <w:lang w:val="en-US"/>
        </w:rPr>
        <w:t>Kiviluoto</w:t>
      </w:r>
      <w:proofErr w:type="spellEnd"/>
      <w:r>
        <w:rPr>
          <w:sz w:val="20"/>
          <w:szCs w:val="20"/>
          <w:lang w:val="en-US"/>
        </w:rPr>
        <w:t xml:space="preserve">, T., </w:t>
      </w:r>
      <w:proofErr w:type="spellStart"/>
      <w:r>
        <w:rPr>
          <w:sz w:val="20"/>
          <w:szCs w:val="20"/>
          <w:lang w:val="en-US"/>
        </w:rPr>
        <w:t>Savolainen</w:t>
      </w:r>
      <w:proofErr w:type="spellEnd"/>
      <w:r>
        <w:rPr>
          <w:sz w:val="20"/>
          <w:szCs w:val="20"/>
          <w:lang w:val="en-US"/>
        </w:rPr>
        <w:t xml:space="preserve">, R., </w:t>
      </w:r>
      <w:proofErr w:type="spellStart"/>
      <w:r>
        <w:rPr>
          <w:sz w:val="20"/>
          <w:szCs w:val="20"/>
          <w:lang w:val="en-US"/>
        </w:rPr>
        <w:t>Ulmanen</w:t>
      </w:r>
      <w:proofErr w:type="spellEnd"/>
      <w:r>
        <w:rPr>
          <w:sz w:val="20"/>
          <w:szCs w:val="20"/>
          <w:lang w:val="en-US"/>
        </w:rPr>
        <w:t xml:space="preserve">, I., 1994. Genomic organization of the human catechol O-methyltransferase gene and its expression from two distinct promoters. Eur. J. </w:t>
      </w:r>
      <w:proofErr w:type="spellStart"/>
      <w:r>
        <w:rPr>
          <w:sz w:val="20"/>
          <w:szCs w:val="20"/>
          <w:lang w:val="en-US"/>
        </w:rPr>
        <w:t>Biochem</w:t>
      </w:r>
      <w:proofErr w:type="spellEnd"/>
      <w:r>
        <w:rPr>
          <w:sz w:val="20"/>
          <w:szCs w:val="20"/>
          <w:lang w:val="en-US"/>
        </w:rPr>
        <w:t>. 223, 1049-1059.</w:t>
      </w:r>
    </w:p>
    <w:p w:rsidR="00A06E89" w:rsidRPr="00B26E04" w:rsidRDefault="0096787B" w:rsidP="00113B97">
      <w:pPr>
        <w:spacing w:after="120" w:line="480" w:lineRule="auto"/>
        <w:rPr>
          <w:sz w:val="20"/>
          <w:szCs w:val="20"/>
          <w:lang w:val="en-US"/>
        </w:rPr>
      </w:pPr>
      <w:r>
        <w:rPr>
          <w:sz w:val="20"/>
          <w:szCs w:val="20"/>
          <w:lang w:val="en-US"/>
        </w:rPr>
        <w:t xml:space="preserve">Thorpe, L.W., </w:t>
      </w:r>
      <w:proofErr w:type="spellStart"/>
      <w:r>
        <w:rPr>
          <w:sz w:val="20"/>
          <w:szCs w:val="20"/>
          <w:lang w:val="en-US"/>
        </w:rPr>
        <w:t>Westlund</w:t>
      </w:r>
      <w:proofErr w:type="spellEnd"/>
      <w:r>
        <w:rPr>
          <w:sz w:val="20"/>
          <w:szCs w:val="20"/>
          <w:lang w:val="en-US"/>
        </w:rPr>
        <w:t xml:space="preserve">, K.N., </w:t>
      </w:r>
      <w:proofErr w:type="spellStart"/>
      <w:r>
        <w:rPr>
          <w:sz w:val="20"/>
          <w:szCs w:val="20"/>
          <w:lang w:val="en-US"/>
        </w:rPr>
        <w:t>Kochersperger</w:t>
      </w:r>
      <w:proofErr w:type="spellEnd"/>
      <w:r>
        <w:rPr>
          <w:sz w:val="20"/>
          <w:szCs w:val="20"/>
          <w:lang w:val="en-US"/>
        </w:rPr>
        <w:t xml:space="preserve">, L.M., Abell, C.W., Denney, R.M., 1987. Immunocytochemical localization of monoamine oxidases A and B in human peripheral tissues and brain. J. </w:t>
      </w:r>
      <w:proofErr w:type="spellStart"/>
      <w:r>
        <w:rPr>
          <w:sz w:val="20"/>
          <w:szCs w:val="20"/>
          <w:lang w:val="en-US"/>
        </w:rPr>
        <w:t>Histochem</w:t>
      </w:r>
      <w:proofErr w:type="spellEnd"/>
      <w:r>
        <w:rPr>
          <w:sz w:val="20"/>
          <w:szCs w:val="20"/>
          <w:lang w:val="en-US"/>
        </w:rPr>
        <w:t xml:space="preserve">. </w:t>
      </w:r>
      <w:proofErr w:type="spellStart"/>
      <w:r>
        <w:rPr>
          <w:sz w:val="20"/>
          <w:szCs w:val="20"/>
          <w:lang w:val="en-US"/>
        </w:rPr>
        <w:t>Cytochem</w:t>
      </w:r>
      <w:proofErr w:type="spellEnd"/>
      <w:r>
        <w:rPr>
          <w:sz w:val="20"/>
          <w:szCs w:val="20"/>
          <w:lang w:val="en-US"/>
        </w:rPr>
        <w:t>. 35, 23-32.</w:t>
      </w:r>
    </w:p>
    <w:p w:rsidR="00352A2A" w:rsidRPr="00B26E04" w:rsidRDefault="0096787B" w:rsidP="00113B97">
      <w:pPr>
        <w:spacing w:after="120" w:line="480" w:lineRule="auto"/>
        <w:rPr>
          <w:sz w:val="20"/>
          <w:szCs w:val="20"/>
          <w:lang w:val="en-US"/>
        </w:rPr>
      </w:pPr>
      <w:proofErr w:type="spellStart"/>
      <w:r>
        <w:rPr>
          <w:sz w:val="20"/>
          <w:szCs w:val="20"/>
          <w:lang w:val="en-US"/>
        </w:rPr>
        <w:t>Tielbeek</w:t>
      </w:r>
      <w:proofErr w:type="spellEnd"/>
      <w:r>
        <w:rPr>
          <w:sz w:val="20"/>
          <w:szCs w:val="20"/>
          <w:lang w:val="en-US"/>
        </w:rPr>
        <w:t xml:space="preserve">, J.J., Karlsson </w:t>
      </w:r>
      <w:proofErr w:type="spellStart"/>
      <w:r>
        <w:rPr>
          <w:sz w:val="20"/>
          <w:szCs w:val="20"/>
          <w:lang w:val="en-US"/>
        </w:rPr>
        <w:t>Linnér</w:t>
      </w:r>
      <w:proofErr w:type="spellEnd"/>
      <w:r>
        <w:rPr>
          <w:sz w:val="20"/>
          <w:szCs w:val="20"/>
          <w:lang w:val="en-US"/>
        </w:rPr>
        <w:t xml:space="preserve">, R., Beers, K., </w:t>
      </w:r>
      <w:proofErr w:type="spellStart"/>
      <w:r>
        <w:rPr>
          <w:sz w:val="20"/>
          <w:szCs w:val="20"/>
          <w:lang w:val="en-US"/>
        </w:rPr>
        <w:t>Posthuma</w:t>
      </w:r>
      <w:proofErr w:type="spellEnd"/>
      <w:r>
        <w:rPr>
          <w:sz w:val="20"/>
          <w:szCs w:val="20"/>
          <w:lang w:val="en-US"/>
        </w:rPr>
        <w:t xml:space="preserve">, D., </w:t>
      </w:r>
      <w:proofErr w:type="spellStart"/>
      <w:r>
        <w:rPr>
          <w:sz w:val="20"/>
          <w:szCs w:val="20"/>
          <w:lang w:val="en-US"/>
        </w:rPr>
        <w:t>Popma</w:t>
      </w:r>
      <w:proofErr w:type="spellEnd"/>
      <w:r>
        <w:rPr>
          <w:sz w:val="20"/>
          <w:szCs w:val="20"/>
          <w:lang w:val="en-US"/>
        </w:rPr>
        <w:t xml:space="preserve">, A., </w:t>
      </w:r>
      <w:proofErr w:type="spellStart"/>
      <w:r>
        <w:rPr>
          <w:sz w:val="20"/>
          <w:szCs w:val="20"/>
          <w:lang w:val="en-US"/>
        </w:rPr>
        <w:t>Polderman</w:t>
      </w:r>
      <w:proofErr w:type="spellEnd"/>
      <w:r>
        <w:rPr>
          <w:sz w:val="20"/>
          <w:szCs w:val="20"/>
          <w:lang w:val="en-US"/>
        </w:rPr>
        <w:t xml:space="preserve">, T.J., 2016. Meta-analysis of the serotonin transporter promoter variant (5-HTTLPR) in relation to adverse environment and antisocial behavior. Am. J. Med. Genet. B </w:t>
      </w:r>
      <w:proofErr w:type="spellStart"/>
      <w:r>
        <w:rPr>
          <w:sz w:val="20"/>
          <w:szCs w:val="20"/>
          <w:lang w:val="en-US"/>
        </w:rPr>
        <w:t>Neuropsychiatr</w:t>
      </w:r>
      <w:proofErr w:type="spellEnd"/>
      <w:r>
        <w:rPr>
          <w:sz w:val="20"/>
          <w:szCs w:val="20"/>
          <w:lang w:val="en-US"/>
        </w:rPr>
        <w:t>. Genet. 171, 748-760.</w:t>
      </w:r>
    </w:p>
    <w:p w:rsidR="00624694" w:rsidRPr="00B26E04" w:rsidRDefault="0096787B" w:rsidP="00113B97">
      <w:pPr>
        <w:spacing w:after="120" w:line="480" w:lineRule="auto"/>
        <w:rPr>
          <w:sz w:val="20"/>
          <w:szCs w:val="20"/>
          <w:lang w:val="en-US"/>
        </w:rPr>
      </w:pPr>
      <w:proofErr w:type="spellStart"/>
      <w:r>
        <w:rPr>
          <w:sz w:val="20"/>
          <w:szCs w:val="20"/>
          <w:lang w:val="en-US"/>
        </w:rPr>
        <w:lastRenderedPageBreak/>
        <w:t>Tielbeek</w:t>
      </w:r>
      <w:proofErr w:type="spellEnd"/>
      <w:r>
        <w:rPr>
          <w:sz w:val="20"/>
          <w:szCs w:val="20"/>
          <w:lang w:val="en-US"/>
        </w:rPr>
        <w:t xml:space="preserve">, J.J., Johansson, A., </w:t>
      </w:r>
      <w:proofErr w:type="spellStart"/>
      <w:r>
        <w:rPr>
          <w:sz w:val="20"/>
          <w:szCs w:val="20"/>
          <w:lang w:val="en-US"/>
        </w:rPr>
        <w:t>Polderman</w:t>
      </w:r>
      <w:proofErr w:type="spellEnd"/>
      <w:r>
        <w:rPr>
          <w:sz w:val="20"/>
          <w:szCs w:val="20"/>
          <w:lang w:val="en-US"/>
        </w:rPr>
        <w:t xml:space="preserve">, T.J.C., </w:t>
      </w:r>
      <w:proofErr w:type="spellStart"/>
      <w:r>
        <w:rPr>
          <w:sz w:val="20"/>
          <w:szCs w:val="20"/>
          <w:lang w:val="en-US"/>
        </w:rPr>
        <w:t>Rautiainen</w:t>
      </w:r>
      <w:proofErr w:type="spellEnd"/>
      <w:r>
        <w:rPr>
          <w:sz w:val="20"/>
          <w:szCs w:val="20"/>
          <w:lang w:val="en-US"/>
        </w:rPr>
        <w:t xml:space="preserve">, M.R., Jansen, P., Taylor, M., Tong, X., Lu, Q., Burt, A.S., </w:t>
      </w:r>
      <w:proofErr w:type="spellStart"/>
      <w:r>
        <w:rPr>
          <w:sz w:val="20"/>
          <w:szCs w:val="20"/>
          <w:lang w:val="en-US"/>
        </w:rPr>
        <w:t>Tiemeier</w:t>
      </w:r>
      <w:proofErr w:type="spellEnd"/>
      <w:r>
        <w:rPr>
          <w:sz w:val="20"/>
          <w:szCs w:val="20"/>
          <w:lang w:val="en-US"/>
        </w:rPr>
        <w:t xml:space="preserve">, H., Viding, E., Plomin, R., Martin, N.G., Heath, A.C., Madden, P.A.F., Montgomery, G., Beaver, K.M., Waldman, I., Gelernter, J., </w:t>
      </w:r>
      <w:proofErr w:type="spellStart"/>
      <w:r>
        <w:rPr>
          <w:sz w:val="20"/>
          <w:szCs w:val="20"/>
          <w:lang w:val="en-US"/>
        </w:rPr>
        <w:t>Kranzler</w:t>
      </w:r>
      <w:proofErr w:type="spellEnd"/>
      <w:r>
        <w:rPr>
          <w:sz w:val="20"/>
          <w:szCs w:val="20"/>
          <w:lang w:val="en-US"/>
        </w:rPr>
        <w:t xml:space="preserve">, H.R., Farrer, L.A., Perry, J.R.B., </w:t>
      </w:r>
      <w:proofErr w:type="spellStart"/>
      <w:r>
        <w:rPr>
          <w:sz w:val="20"/>
          <w:szCs w:val="20"/>
          <w:lang w:val="en-US"/>
        </w:rPr>
        <w:t>Munafò</w:t>
      </w:r>
      <w:proofErr w:type="spellEnd"/>
      <w:r>
        <w:rPr>
          <w:sz w:val="20"/>
          <w:szCs w:val="20"/>
          <w:lang w:val="en-US"/>
        </w:rPr>
        <w:t xml:space="preserve">, M., </w:t>
      </w:r>
      <w:proofErr w:type="spellStart"/>
      <w:r>
        <w:rPr>
          <w:sz w:val="20"/>
          <w:szCs w:val="20"/>
          <w:lang w:val="en-US"/>
        </w:rPr>
        <w:t>LoParo</w:t>
      </w:r>
      <w:proofErr w:type="spellEnd"/>
      <w:r>
        <w:rPr>
          <w:sz w:val="20"/>
          <w:szCs w:val="20"/>
          <w:lang w:val="en-US"/>
        </w:rPr>
        <w:t xml:space="preserve">, D., </w:t>
      </w:r>
      <w:proofErr w:type="spellStart"/>
      <w:r>
        <w:rPr>
          <w:sz w:val="20"/>
          <w:szCs w:val="20"/>
          <w:lang w:val="en-US"/>
        </w:rPr>
        <w:t>Paunio</w:t>
      </w:r>
      <w:proofErr w:type="spellEnd"/>
      <w:r>
        <w:rPr>
          <w:sz w:val="20"/>
          <w:szCs w:val="20"/>
          <w:lang w:val="en-US"/>
        </w:rPr>
        <w:t xml:space="preserve">, T., </w:t>
      </w:r>
      <w:proofErr w:type="spellStart"/>
      <w:r>
        <w:rPr>
          <w:sz w:val="20"/>
          <w:szCs w:val="20"/>
          <w:lang w:val="en-US"/>
        </w:rPr>
        <w:t>Tiihonen</w:t>
      </w:r>
      <w:proofErr w:type="spellEnd"/>
      <w:r>
        <w:rPr>
          <w:sz w:val="20"/>
          <w:szCs w:val="20"/>
          <w:lang w:val="en-US"/>
        </w:rPr>
        <w:t xml:space="preserve">, J., </w:t>
      </w:r>
      <w:proofErr w:type="spellStart"/>
      <w:r>
        <w:rPr>
          <w:sz w:val="20"/>
          <w:szCs w:val="20"/>
          <w:lang w:val="en-US"/>
        </w:rPr>
        <w:t>Mous</w:t>
      </w:r>
      <w:proofErr w:type="spellEnd"/>
      <w:r>
        <w:rPr>
          <w:sz w:val="20"/>
          <w:szCs w:val="20"/>
          <w:lang w:val="en-US"/>
        </w:rPr>
        <w:t xml:space="preserve">, S.E., </w:t>
      </w:r>
      <w:proofErr w:type="spellStart"/>
      <w:r>
        <w:rPr>
          <w:sz w:val="20"/>
          <w:szCs w:val="20"/>
          <w:lang w:val="en-US"/>
        </w:rPr>
        <w:t>Pappa</w:t>
      </w:r>
      <w:proofErr w:type="spellEnd"/>
      <w:r>
        <w:rPr>
          <w:sz w:val="20"/>
          <w:szCs w:val="20"/>
          <w:lang w:val="en-US"/>
        </w:rPr>
        <w:t xml:space="preserve">, I., de Leeuw, C., Watanabe, K., </w:t>
      </w:r>
      <w:proofErr w:type="spellStart"/>
      <w:r>
        <w:rPr>
          <w:sz w:val="20"/>
          <w:szCs w:val="20"/>
          <w:lang w:val="en-US"/>
        </w:rPr>
        <w:t>Hammerschlag</w:t>
      </w:r>
      <w:proofErr w:type="spellEnd"/>
      <w:r>
        <w:rPr>
          <w:sz w:val="20"/>
          <w:szCs w:val="20"/>
          <w:lang w:val="en-US"/>
        </w:rPr>
        <w:t xml:space="preserve">, A.R., Salvatore, J.E., </w:t>
      </w:r>
      <w:proofErr w:type="spellStart"/>
      <w:r>
        <w:rPr>
          <w:sz w:val="20"/>
          <w:szCs w:val="20"/>
          <w:lang w:val="en-US"/>
        </w:rPr>
        <w:t>Aliev</w:t>
      </w:r>
      <w:proofErr w:type="spellEnd"/>
      <w:r>
        <w:rPr>
          <w:sz w:val="20"/>
          <w:szCs w:val="20"/>
          <w:lang w:val="en-US"/>
        </w:rPr>
        <w:t xml:space="preserve">, F., </w:t>
      </w:r>
      <w:proofErr w:type="spellStart"/>
      <w:r>
        <w:rPr>
          <w:sz w:val="20"/>
          <w:szCs w:val="20"/>
          <w:lang w:val="en-US"/>
        </w:rPr>
        <w:t>Bigdeli</w:t>
      </w:r>
      <w:proofErr w:type="spellEnd"/>
      <w:r>
        <w:rPr>
          <w:sz w:val="20"/>
          <w:szCs w:val="20"/>
          <w:lang w:val="en-US"/>
        </w:rPr>
        <w:t xml:space="preserve">, T.B., Dick, D., </w:t>
      </w:r>
      <w:proofErr w:type="spellStart"/>
      <w:r>
        <w:rPr>
          <w:sz w:val="20"/>
          <w:szCs w:val="20"/>
          <w:lang w:val="en-US"/>
        </w:rPr>
        <w:t>Faraone</w:t>
      </w:r>
      <w:proofErr w:type="spellEnd"/>
      <w:r>
        <w:rPr>
          <w:sz w:val="20"/>
          <w:szCs w:val="20"/>
          <w:lang w:val="en-US"/>
        </w:rPr>
        <w:t xml:space="preserve">, S.V., </w:t>
      </w:r>
      <w:proofErr w:type="spellStart"/>
      <w:r>
        <w:rPr>
          <w:sz w:val="20"/>
          <w:szCs w:val="20"/>
          <w:lang w:val="en-US"/>
        </w:rPr>
        <w:t>Popma</w:t>
      </w:r>
      <w:proofErr w:type="spellEnd"/>
      <w:r>
        <w:rPr>
          <w:sz w:val="20"/>
          <w:szCs w:val="20"/>
          <w:lang w:val="en-US"/>
        </w:rPr>
        <w:t xml:space="preserve">, A., </w:t>
      </w:r>
      <w:proofErr w:type="spellStart"/>
      <w:r>
        <w:rPr>
          <w:sz w:val="20"/>
          <w:szCs w:val="20"/>
          <w:lang w:val="en-US"/>
        </w:rPr>
        <w:t>Medland</w:t>
      </w:r>
      <w:proofErr w:type="spellEnd"/>
      <w:r>
        <w:rPr>
          <w:sz w:val="20"/>
          <w:szCs w:val="20"/>
          <w:lang w:val="en-US"/>
        </w:rPr>
        <w:t xml:space="preserve">, S.E., </w:t>
      </w:r>
      <w:proofErr w:type="spellStart"/>
      <w:r>
        <w:rPr>
          <w:sz w:val="20"/>
          <w:szCs w:val="20"/>
          <w:lang w:val="en-US"/>
        </w:rPr>
        <w:t>Posthuma</w:t>
      </w:r>
      <w:proofErr w:type="spellEnd"/>
      <w:r>
        <w:rPr>
          <w:sz w:val="20"/>
          <w:szCs w:val="20"/>
          <w:lang w:val="en-US"/>
        </w:rPr>
        <w:t xml:space="preserve"> D; Broad Antisocial Behavior Consortium collaborators, 2017. Genome-Wide Association Studies of a Broad Spectrum of Antisocial Behavior. JAMA Psychiatry 74, 1242-1250.</w:t>
      </w:r>
    </w:p>
    <w:p w:rsidR="00352A2A" w:rsidRPr="00B26E04" w:rsidRDefault="0096787B" w:rsidP="00113B97">
      <w:pPr>
        <w:spacing w:after="120" w:line="480" w:lineRule="auto"/>
        <w:rPr>
          <w:sz w:val="20"/>
          <w:szCs w:val="20"/>
          <w:lang w:val="en-US"/>
        </w:rPr>
      </w:pPr>
      <w:proofErr w:type="spellStart"/>
      <w:r>
        <w:rPr>
          <w:sz w:val="20"/>
          <w:szCs w:val="20"/>
          <w:lang w:val="en-US"/>
        </w:rPr>
        <w:t>Tiihonen</w:t>
      </w:r>
      <w:proofErr w:type="spellEnd"/>
      <w:r>
        <w:rPr>
          <w:sz w:val="20"/>
          <w:szCs w:val="20"/>
          <w:lang w:val="en-US"/>
        </w:rPr>
        <w:t xml:space="preserve">, J., </w:t>
      </w:r>
      <w:proofErr w:type="spellStart"/>
      <w:r>
        <w:rPr>
          <w:sz w:val="20"/>
          <w:szCs w:val="20"/>
          <w:lang w:val="en-US"/>
        </w:rPr>
        <w:t>Kuikka</w:t>
      </w:r>
      <w:proofErr w:type="spellEnd"/>
      <w:r>
        <w:rPr>
          <w:sz w:val="20"/>
          <w:szCs w:val="20"/>
          <w:lang w:val="en-US"/>
        </w:rPr>
        <w:t xml:space="preserve">, J.T., </w:t>
      </w:r>
      <w:proofErr w:type="spellStart"/>
      <w:r>
        <w:rPr>
          <w:sz w:val="20"/>
          <w:szCs w:val="20"/>
          <w:lang w:val="en-US"/>
        </w:rPr>
        <w:t>Bergström</w:t>
      </w:r>
      <w:proofErr w:type="spellEnd"/>
      <w:r>
        <w:rPr>
          <w:sz w:val="20"/>
          <w:szCs w:val="20"/>
          <w:lang w:val="en-US"/>
        </w:rPr>
        <w:t xml:space="preserve">, K.A., Karhu, J., </w:t>
      </w:r>
      <w:proofErr w:type="spellStart"/>
      <w:r>
        <w:rPr>
          <w:sz w:val="20"/>
          <w:szCs w:val="20"/>
          <w:lang w:val="en-US"/>
        </w:rPr>
        <w:t>Viinamäki</w:t>
      </w:r>
      <w:proofErr w:type="spellEnd"/>
      <w:r>
        <w:rPr>
          <w:sz w:val="20"/>
          <w:szCs w:val="20"/>
          <w:lang w:val="en-US"/>
        </w:rPr>
        <w:t xml:space="preserve">, H., Lehtonen, J., </w:t>
      </w:r>
      <w:proofErr w:type="spellStart"/>
      <w:r>
        <w:rPr>
          <w:sz w:val="20"/>
          <w:szCs w:val="20"/>
          <w:lang w:val="en-US"/>
        </w:rPr>
        <w:t>Hallikainen</w:t>
      </w:r>
      <w:proofErr w:type="spellEnd"/>
      <w:r>
        <w:rPr>
          <w:sz w:val="20"/>
          <w:szCs w:val="20"/>
          <w:lang w:val="en-US"/>
        </w:rPr>
        <w:t xml:space="preserve">, T., Yang, J., </w:t>
      </w:r>
      <w:proofErr w:type="spellStart"/>
      <w:r>
        <w:rPr>
          <w:sz w:val="20"/>
          <w:szCs w:val="20"/>
          <w:lang w:val="en-US"/>
        </w:rPr>
        <w:t>Hakola</w:t>
      </w:r>
      <w:proofErr w:type="spellEnd"/>
      <w:r>
        <w:rPr>
          <w:sz w:val="20"/>
          <w:szCs w:val="20"/>
          <w:lang w:val="en-US"/>
        </w:rPr>
        <w:t xml:space="preserve">, P., 1997. Single-photon emission tomography imaging of monoamine transporters in impulsive violent behaviour. Eur. J. </w:t>
      </w:r>
      <w:proofErr w:type="spellStart"/>
      <w:r>
        <w:rPr>
          <w:sz w:val="20"/>
          <w:szCs w:val="20"/>
          <w:lang w:val="en-US"/>
        </w:rPr>
        <w:t>Nucl</w:t>
      </w:r>
      <w:proofErr w:type="spellEnd"/>
      <w:r>
        <w:rPr>
          <w:sz w:val="20"/>
          <w:szCs w:val="20"/>
          <w:lang w:val="en-US"/>
        </w:rPr>
        <w:t>. Med. 24, 1253-1260.</w:t>
      </w:r>
    </w:p>
    <w:p w:rsidR="00352A2A" w:rsidRPr="00B26E04" w:rsidRDefault="0096787B" w:rsidP="00113B97">
      <w:pPr>
        <w:spacing w:after="120" w:line="480" w:lineRule="auto"/>
        <w:rPr>
          <w:sz w:val="20"/>
          <w:szCs w:val="20"/>
          <w:lang w:val="en-US"/>
        </w:rPr>
      </w:pPr>
      <w:proofErr w:type="spellStart"/>
      <w:r>
        <w:rPr>
          <w:sz w:val="20"/>
          <w:szCs w:val="20"/>
          <w:lang w:val="en-US"/>
        </w:rPr>
        <w:t>Tiihonen</w:t>
      </w:r>
      <w:proofErr w:type="spellEnd"/>
      <w:r>
        <w:rPr>
          <w:sz w:val="20"/>
          <w:szCs w:val="20"/>
          <w:lang w:val="en-US"/>
        </w:rPr>
        <w:t xml:space="preserve">, J., </w:t>
      </w:r>
      <w:proofErr w:type="spellStart"/>
      <w:r>
        <w:rPr>
          <w:sz w:val="20"/>
          <w:szCs w:val="20"/>
          <w:lang w:val="en-US"/>
        </w:rPr>
        <w:t>Rautiainen</w:t>
      </w:r>
      <w:proofErr w:type="spellEnd"/>
      <w:r>
        <w:rPr>
          <w:sz w:val="20"/>
          <w:szCs w:val="20"/>
          <w:lang w:val="en-US"/>
        </w:rPr>
        <w:t xml:space="preserve">, M.R., </w:t>
      </w:r>
      <w:proofErr w:type="spellStart"/>
      <w:r>
        <w:rPr>
          <w:sz w:val="20"/>
          <w:szCs w:val="20"/>
          <w:lang w:val="en-US"/>
        </w:rPr>
        <w:t>Ollila</w:t>
      </w:r>
      <w:proofErr w:type="spellEnd"/>
      <w:r>
        <w:rPr>
          <w:sz w:val="20"/>
          <w:szCs w:val="20"/>
          <w:lang w:val="en-US"/>
        </w:rPr>
        <w:t>, H.M., Repo-</w:t>
      </w:r>
      <w:proofErr w:type="spellStart"/>
      <w:r>
        <w:rPr>
          <w:sz w:val="20"/>
          <w:szCs w:val="20"/>
          <w:lang w:val="en-US"/>
        </w:rPr>
        <w:t>Tiihonen</w:t>
      </w:r>
      <w:proofErr w:type="spellEnd"/>
      <w:r>
        <w:rPr>
          <w:sz w:val="20"/>
          <w:szCs w:val="20"/>
          <w:lang w:val="en-US"/>
        </w:rPr>
        <w:t xml:space="preserve">, E., </w:t>
      </w:r>
      <w:proofErr w:type="spellStart"/>
      <w:r>
        <w:rPr>
          <w:sz w:val="20"/>
          <w:szCs w:val="20"/>
          <w:lang w:val="en-US"/>
        </w:rPr>
        <w:t>Virkkunen</w:t>
      </w:r>
      <w:proofErr w:type="spellEnd"/>
      <w:r>
        <w:rPr>
          <w:sz w:val="20"/>
          <w:szCs w:val="20"/>
          <w:lang w:val="en-US"/>
        </w:rPr>
        <w:t xml:space="preserve">, M., </w:t>
      </w:r>
      <w:proofErr w:type="spellStart"/>
      <w:r>
        <w:rPr>
          <w:sz w:val="20"/>
          <w:szCs w:val="20"/>
          <w:lang w:val="en-US"/>
        </w:rPr>
        <w:t>Palotie</w:t>
      </w:r>
      <w:proofErr w:type="spellEnd"/>
      <w:r>
        <w:rPr>
          <w:sz w:val="20"/>
          <w:szCs w:val="20"/>
          <w:lang w:val="en-US"/>
        </w:rPr>
        <w:t xml:space="preserve">, A., </w:t>
      </w:r>
      <w:proofErr w:type="spellStart"/>
      <w:r>
        <w:rPr>
          <w:sz w:val="20"/>
          <w:szCs w:val="20"/>
          <w:lang w:val="en-US"/>
        </w:rPr>
        <w:t>Pietiläinen</w:t>
      </w:r>
      <w:proofErr w:type="spellEnd"/>
      <w:r>
        <w:rPr>
          <w:sz w:val="20"/>
          <w:szCs w:val="20"/>
          <w:lang w:val="en-US"/>
        </w:rPr>
        <w:t xml:space="preserve">, O., </w:t>
      </w:r>
      <w:proofErr w:type="spellStart"/>
      <w:r>
        <w:rPr>
          <w:sz w:val="20"/>
          <w:szCs w:val="20"/>
          <w:lang w:val="en-US"/>
        </w:rPr>
        <w:t>Kristiansson</w:t>
      </w:r>
      <w:proofErr w:type="spellEnd"/>
      <w:r>
        <w:rPr>
          <w:sz w:val="20"/>
          <w:szCs w:val="20"/>
          <w:lang w:val="en-US"/>
        </w:rPr>
        <w:t xml:space="preserve">, K., </w:t>
      </w:r>
      <w:proofErr w:type="spellStart"/>
      <w:r>
        <w:rPr>
          <w:sz w:val="20"/>
          <w:szCs w:val="20"/>
          <w:lang w:val="en-US"/>
        </w:rPr>
        <w:t>Joukamaa</w:t>
      </w:r>
      <w:proofErr w:type="spellEnd"/>
      <w:r>
        <w:rPr>
          <w:sz w:val="20"/>
          <w:szCs w:val="20"/>
          <w:lang w:val="en-US"/>
        </w:rPr>
        <w:t xml:space="preserve">, M., </w:t>
      </w:r>
      <w:proofErr w:type="spellStart"/>
      <w:r>
        <w:rPr>
          <w:sz w:val="20"/>
          <w:szCs w:val="20"/>
          <w:lang w:val="en-US"/>
        </w:rPr>
        <w:t>Lauerma</w:t>
      </w:r>
      <w:proofErr w:type="spellEnd"/>
      <w:r>
        <w:rPr>
          <w:sz w:val="20"/>
          <w:szCs w:val="20"/>
          <w:lang w:val="en-US"/>
        </w:rPr>
        <w:t xml:space="preserve">, H., </w:t>
      </w:r>
      <w:proofErr w:type="spellStart"/>
      <w:r>
        <w:rPr>
          <w:sz w:val="20"/>
          <w:szCs w:val="20"/>
          <w:lang w:val="en-US"/>
        </w:rPr>
        <w:t>Saarela</w:t>
      </w:r>
      <w:proofErr w:type="spellEnd"/>
      <w:r>
        <w:rPr>
          <w:sz w:val="20"/>
          <w:szCs w:val="20"/>
          <w:lang w:val="en-US"/>
        </w:rPr>
        <w:t xml:space="preserve">, J., </w:t>
      </w:r>
      <w:proofErr w:type="spellStart"/>
      <w:r>
        <w:rPr>
          <w:sz w:val="20"/>
          <w:szCs w:val="20"/>
          <w:lang w:val="en-US"/>
        </w:rPr>
        <w:t>Tyni</w:t>
      </w:r>
      <w:proofErr w:type="spellEnd"/>
      <w:r>
        <w:rPr>
          <w:sz w:val="20"/>
          <w:szCs w:val="20"/>
          <w:lang w:val="en-US"/>
        </w:rPr>
        <w:t xml:space="preserve">, S., </w:t>
      </w:r>
      <w:proofErr w:type="spellStart"/>
      <w:r>
        <w:rPr>
          <w:sz w:val="20"/>
          <w:szCs w:val="20"/>
          <w:lang w:val="en-US"/>
        </w:rPr>
        <w:t>Vartiainen</w:t>
      </w:r>
      <w:proofErr w:type="spellEnd"/>
      <w:r>
        <w:rPr>
          <w:sz w:val="20"/>
          <w:szCs w:val="20"/>
          <w:lang w:val="en-US"/>
        </w:rPr>
        <w:t xml:space="preserve">, H., </w:t>
      </w:r>
      <w:proofErr w:type="spellStart"/>
      <w:r>
        <w:rPr>
          <w:sz w:val="20"/>
          <w:szCs w:val="20"/>
          <w:lang w:val="en-US"/>
        </w:rPr>
        <w:t>Paananen</w:t>
      </w:r>
      <w:proofErr w:type="spellEnd"/>
      <w:r>
        <w:rPr>
          <w:sz w:val="20"/>
          <w:szCs w:val="20"/>
          <w:lang w:val="en-US"/>
        </w:rPr>
        <w:t xml:space="preserve">, J., Goldman, D., </w:t>
      </w:r>
      <w:proofErr w:type="spellStart"/>
      <w:r>
        <w:rPr>
          <w:sz w:val="20"/>
          <w:szCs w:val="20"/>
          <w:lang w:val="en-US"/>
        </w:rPr>
        <w:t>Paunio</w:t>
      </w:r>
      <w:proofErr w:type="spellEnd"/>
      <w:r>
        <w:rPr>
          <w:sz w:val="20"/>
          <w:szCs w:val="20"/>
          <w:lang w:val="en-US"/>
        </w:rPr>
        <w:t>, T., 2015. Genetic background of extreme violent behavior. Mol. Psychiatry 20, 786-792.</w:t>
      </w:r>
    </w:p>
    <w:p w:rsidR="00352A2A" w:rsidRPr="00B26E04" w:rsidRDefault="0096787B" w:rsidP="00113B97">
      <w:pPr>
        <w:spacing w:after="120" w:line="480" w:lineRule="auto"/>
        <w:rPr>
          <w:sz w:val="20"/>
          <w:szCs w:val="20"/>
          <w:lang w:val="en-US"/>
        </w:rPr>
      </w:pPr>
      <w:r>
        <w:rPr>
          <w:sz w:val="20"/>
          <w:szCs w:val="20"/>
          <w:lang w:val="en-US"/>
        </w:rPr>
        <w:t xml:space="preserve">Tipton, K.F., 1994. Monoamine oxidase inhibition. </w:t>
      </w:r>
      <w:proofErr w:type="spellStart"/>
      <w:r>
        <w:rPr>
          <w:sz w:val="20"/>
          <w:szCs w:val="20"/>
          <w:lang w:val="en-US"/>
        </w:rPr>
        <w:t>Biochem</w:t>
      </w:r>
      <w:proofErr w:type="spellEnd"/>
      <w:r>
        <w:rPr>
          <w:sz w:val="20"/>
          <w:szCs w:val="20"/>
          <w:lang w:val="en-US"/>
        </w:rPr>
        <w:t>. Soc. Trans. 22, 764-768.</w:t>
      </w:r>
    </w:p>
    <w:p w:rsidR="00352A2A" w:rsidRPr="00B26E04" w:rsidRDefault="0096787B" w:rsidP="00113B97">
      <w:pPr>
        <w:spacing w:after="120" w:line="480" w:lineRule="auto"/>
        <w:rPr>
          <w:sz w:val="20"/>
          <w:szCs w:val="20"/>
          <w:lang w:val="en-US"/>
        </w:rPr>
      </w:pPr>
      <w:proofErr w:type="spellStart"/>
      <w:r>
        <w:rPr>
          <w:sz w:val="20"/>
          <w:szCs w:val="20"/>
          <w:lang w:val="en-US"/>
        </w:rPr>
        <w:t>Tonkonogy</w:t>
      </w:r>
      <w:proofErr w:type="spellEnd"/>
      <w:r>
        <w:rPr>
          <w:sz w:val="20"/>
          <w:szCs w:val="20"/>
          <w:lang w:val="en-US"/>
        </w:rPr>
        <w:t xml:space="preserve">, J.M., 1991. Violence and temporal lobe lesion: head CT and MRI data. J. Neuropsychiatry Clin. </w:t>
      </w:r>
      <w:proofErr w:type="spellStart"/>
      <w:r>
        <w:rPr>
          <w:sz w:val="20"/>
          <w:szCs w:val="20"/>
          <w:lang w:val="en-US"/>
        </w:rPr>
        <w:t>Neurosci</w:t>
      </w:r>
      <w:proofErr w:type="spellEnd"/>
      <w:r>
        <w:rPr>
          <w:sz w:val="20"/>
          <w:szCs w:val="20"/>
          <w:lang w:val="en-US"/>
        </w:rPr>
        <w:t>. 3, 189-196.</w:t>
      </w:r>
    </w:p>
    <w:p w:rsidR="00352A2A" w:rsidRPr="00B26E04" w:rsidRDefault="0096787B" w:rsidP="00113B97">
      <w:pPr>
        <w:spacing w:after="120" w:line="480" w:lineRule="auto"/>
        <w:rPr>
          <w:sz w:val="20"/>
          <w:szCs w:val="20"/>
          <w:lang w:val="en-US"/>
        </w:rPr>
      </w:pPr>
      <w:proofErr w:type="spellStart"/>
      <w:r>
        <w:rPr>
          <w:sz w:val="20"/>
          <w:szCs w:val="20"/>
          <w:lang w:val="en-US"/>
        </w:rPr>
        <w:t>Tuvblad</w:t>
      </w:r>
      <w:proofErr w:type="spellEnd"/>
      <w:r>
        <w:rPr>
          <w:sz w:val="20"/>
          <w:szCs w:val="20"/>
          <w:lang w:val="en-US"/>
        </w:rPr>
        <w:t>, C., Baker, L.A., 2011. Human aggression across the lifespan: genetic propensities and environmental moderators. Adv. Genet. 75, 171-214.</w:t>
      </w:r>
    </w:p>
    <w:p w:rsidR="00352A2A" w:rsidRPr="00B26E04" w:rsidRDefault="0096787B" w:rsidP="00113B97">
      <w:pPr>
        <w:spacing w:after="120" w:line="480" w:lineRule="auto"/>
        <w:rPr>
          <w:sz w:val="20"/>
          <w:szCs w:val="20"/>
          <w:lang w:val="en-US"/>
        </w:rPr>
      </w:pPr>
      <w:proofErr w:type="spellStart"/>
      <w:r>
        <w:rPr>
          <w:sz w:val="20"/>
          <w:szCs w:val="20"/>
          <w:lang w:val="en-US"/>
        </w:rPr>
        <w:t>Tuvblad</w:t>
      </w:r>
      <w:proofErr w:type="spellEnd"/>
      <w:r>
        <w:rPr>
          <w:sz w:val="20"/>
          <w:szCs w:val="20"/>
          <w:lang w:val="en-US"/>
        </w:rPr>
        <w:t xml:space="preserve">, C., </w:t>
      </w:r>
      <w:proofErr w:type="spellStart"/>
      <w:r>
        <w:rPr>
          <w:sz w:val="20"/>
          <w:szCs w:val="20"/>
          <w:lang w:val="en-US"/>
        </w:rPr>
        <w:t>Narusyte</w:t>
      </w:r>
      <w:proofErr w:type="spellEnd"/>
      <w:r>
        <w:rPr>
          <w:sz w:val="20"/>
          <w:szCs w:val="20"/>
          <w:lang w:val="en-US"/>
        </w:rPr>
        <w:t xml:space="preserve">, J., </w:t>
      </w:r>
      <w:proofErr w:type="spellStart"/>
      <w:r>
        <w:rPr>
          <w:sz w:val="20"/>
          <w:szCs w:val="20"/>
          <w:lang w:val="en-US"/>
        </w:rPr>
        <w:t>Grann</w:t>
      </w:r>
      <w:proofErr w:type="spellEnd"/>
      <w:r>
        <w:rPr>
          <w:sz w:val="20"/>
          <w:szCs w:val="20"/>
          <w:lang w:val="en-US"/>
        </w:rPr>
        <w:t xml:space="preserve">, M., </w:t>
      </w:r>
      <w:proofErr w:type="spellStart"/>
      <w:r>
        <w:rPr>
          <w:sz w:val="20"/>
          <w:szCs w:val="20"/>
          <w:lang w:val="en-US"/>
        </w:rPr>
        <w:t>Sarnecki</w:t>
      </w:r>
      <w:proofErr w:type="spellEnd"/>
      <w:r>
        <w:rPr>
          <w:sz w:val="20"/>
          <w:szCs w:val="20"/>
          <w:lang w:val="en-US"/>
        </w:rPr>
        <w:t xml:space="preserve">, J., Lichtenstein, P., 2011. The genetic and environmental etiology of antisocial behavior from childhood to emerging adulthood. </w:t>
      </w:r>
      <w:proofErr w:type="spellStart"/>
      <w:r>
        <w:rPr>
          <w:sz w:val="20"/>
          <w:szCs w:val="20"/>
          <w:lang w:val="en-US"/>
        </w:rPr>
        <w:t>Behav</w:t>
      </w:r>
      <w:proofErr w:type="spellEnd"/>
      <w:r>
        <w:rPr>
          <w:sz w:val="20"/>
          <w:szCs w:val="20"/>
          <w:lang w:val="en-US"/>
        </w:rPr>
        <w:t>. Genet. 41, 629-640.</w:t>
      </w:r>
    </w:p>
    <w:p w:rsidR="00352A2A" w:rsidRPr="00B26E04" w:rsidRDefault="0096787B" w:rsidP="00113B97">
      <w:pPr>
        <w:spacing w:after="120" w:line="480" w:lineRule="auto"/>
        <w:rPr>
          <w:sz w:val="20"/>
          <w:szCs w:val="20"/>
          <w:lang w:val="en-US"/>
        </w:rPr>
      </w:pPr>
      <w:proofErr w:type="spellStart"/>
      <w:r>
        <w:rPr>
          <w:sz w:val="20"/>
          <w:szCs w:val="20"/>
          <w:lang w:val="en-US"/>
        </w:rPr>
        <w:t>Uher</w:t>
      </w:r>
      <w:proofErr w:type="spellEnd"/>
      <w:r>
        <w:rPr>
          <w:sz w:val="20"/>
          <w:szCs w:val="20"/>
          <w:lang w:val="en-US"/>
        </w:rPr>
        <w:t xml:space="preserve">, R., McGuffin, P., 2008. The moderation by the serotonin transporter gene of environmental adversity in the </w:t>
      </w:r>
      <w:proofErr w:type="spellStart"/>
      <w:r>
        <w:rPr>
          <w:sz w:val="20"/>
          <w:szCs w:val="20"/>
          <w:lang w:val="en-US"/>
        </w:rPr>
        <w:t>aetiology</w:t>
      </w:r>
      <w:proofErr w:type="spellEnd"/>
      <w:r>
        <w:rPr>
          <w:sz w:val="20"/>
          <w:szCs w:val="20"/>
          <w:lang w:val="en-US"/>
        </w:rPr>
        <w:t xml:space="preserve"> of mental illness: review and methodological analysis. Mol. Psychiatry 13, 131-146.</w:t>
      </w:r>
    </w:p>
    <w:p w:rsidR="00180171" w:rsidRPr="00C54C8A" w:rsidRDefault="0096787B" w:rsidP="00180171">
      <w:pPr>
        <w:spacing w:after="120" w:line="480" w:lineRule="auto"/>
        <w:rPr>
          <w:sz w:val="20"/>
          <w:szCs w:val="20"/>
        </w:rPr>
      </w:pPr>
      <w:r>
        <w:rPr>
          <w:sz w:val="20"/>
          <w:szCs w:val="20"/>
          <w:lang w:val="en-US"/>
        </w:rPr>
        <w:t xml:space="preserve">Ulmer, S., </w:t>
      </w:r>
      <w:proofErr w:type="spellStart"/>
      <w:r>
        <w:rPr>
          <w:sz w:val="20"/>
          <w:szCs w:val="20"/>
          <w:lang w:val="en-US"/>
        </w:rPr>
        <w:t>Backens</w:t>
      </w:r>
      <w:proofErr w:type="spellEnd"/>
      <w:r>
        <w:rPr>
          <w:sz w:val="20"/>
          <w:szCs w:val="20"/>
          <w:lang w:val="en-US"/>
        </w:rPr>
        <w:t xml:space="preserve">, M., </w:t>
      </w:r>
      <w:proofErr w:type="spellStart"/>
      <w:r>
        <w:rPr>
          <w:sz w:val="20"/>
          <w:szCs w:val="20"/>
          <w:lang w:val="en-US"/>
        </w:rPr>
        <w:t>Ahlhelm</w:t>
      </w:r>
      <w:proofErr w:type="spellEnd"/>
      <w:r>
        <w:rPr>
          <w:sz w:val="20"/>
          <w:szCs w:val="20"/>
          <w:lang w:val="en-US"/>
        </w:rPr>
        <w:t xml:space="preserve">, F.J., 2016. Basic Principles and Clinical Applications of Magnetic Resonance Spectroscopy in Neuroradiology. </w:t>
      </w:r>
      <w:r w:rsidRPr="00C54C8A">
        <w:rPr>
          <w:sz w:val="20"/>
          <w:szCs w:val="20"/>
        </w:rPr>
        <w:t xml:space="preserve">J. </w:t>
      </w:r>
      <w:proofErr w:type="spellStart"/>
      <w:r w:rsidRPr="00C54C8A">
        <w:rPr>
          <w:sz w:val="20"/>
          <w:szCs w:val="20"/>
        </w:rPr>
        <w:t>Comput</w:t>
      </w:r>
      <w:proofErr w:type="spellEnd"/>
      <w:r w:rsidRPr="00C54C8A">
        <w:rPr>
          <w:sz w:val="20"/>
          <w:szCs w:val="20"/>
        </w:rPr>
        <w:t xml:space="preserve">. Assist. </w:t>
      </w:r>
      <w:proofErr w:type="spellStart"/>
      <w:r w:rsidRPr="00C54C8A">
        <w:rPr>
          <w:sz w:val="20"/>
          <w:szCs w:val="20"/>
        </w:rPr>
        <w:t>Tomogr</w:t>
      </w:r>
      <w:proofErr w:type="spellEnd"/>
      <w:r w:rsidRPr="00C54C8A">
        <w:rPr>
          <w:sz w:val="20"/>
          <w:szCs w:val="20"/>
        </w:rPr>
        <w:t>. 40, 1-13.</w:t>
      </w:r>
    </w:p>
    <w:p w:rsidR="00352A2A" w:rsidRPr="00B26E04" w:rsidRDefault="00352A2A" w:rsidP="00113B97">
      <w:pPr>
        <w:spacing w:after="120" w:line="480" w:lineRule="auto"/>
        <w:rPr>
          <w:sz w:val="20"/>
          <w:szCs w:val="20"/>
          <w:lang w:val="en-US"/>
        </w:rPr>
      </w:pPr>
      <w:r w:rsidRPr="00C54C8A">
        <w:rPr>
          <w:sz w:val="20"/>
          <w:szCs w:val="20"/>
        </w:rPr>
        <w:t xml:space="preserve">Vallone, D., </w:t>
      </w:r>
      <w:proofErr w:type="spellStart"/>
      <w:r w:rsidRPr="00C54C8A">
        <w:rPr>
          <w:sz w:val="20"/>
          <w:szCs w:val="20"/>
        </w:rPr>
        <w:t>Picetti</w:t>
      </w:r>
      <w:proofErr w:type="spellEnd"/>
      <w:r w:rsidRPr="00C54C8A">
        <w:rPr>
          <w:sz w:val="20"/>
          <w:szCs w:val="20"/>
        </w:rPr>
        <w:t xml:space="preserve">, R., Borrelli, E., 2000. </w:t>
      </w:r>
      <w:r w:rsidRPr="00B26E04">
        <w:rPr>
          <w:sz w:val="20"/>
          <w:szCs w:val="20"/>
          <w:lang w:val="en-US"/>
        </w:rPr>
        <w:t xml:space="preserve">Structure and function of dopamine receptors. </w:t>
      </w:r>
      <w:proofErr w:type="spellStart"/>
      <w:r w:rsidRPr="00B26E04">
        <w:rPr>
          <w:sz w:val="20"/>
          <w:szCs w:val="20"/>
          <w:lang w:val="en-US"/>
        </w:rPr>
        <w:t>Neurosci</w:t>
      </w:r>
      <w:proofErr w:type="spellEnd"/>
      <w:r w:rsidR="00426829" w:rsidRPr="00B26E04">
        <w:rPr>
          <w:sz w:val="20"/>
          <w:szCs w:val="20"/>
          <w:lang w:val="en-US"/>
        </w:rPr>
        <w:t>.</w:t>
      </w:r>
      <w:r w:rsidRPr="00B26E04">
        <w:rPr>
          <w:sz w:val="20"/>
          <w:szCs w:val="20"/>
          <w:lang w:val="en-US"/>
        </w:rPr>
        <w:t xml:space="preserve"> </w:t>
      </w:r>
      <w:proofErr w:type="spellStart"/>
      <w:r w:rsidRPr="00B26E04">
        <w:rPr>
          <w:sz w:val="20"/>
          <w:szCs w:val="20"/>
          <w:lang w:val="en-US"/>
        </w:rPr>
        <w:t>Biobehav</w:t>
      </w:r>
      <w:proofErr w:type="spellEnd"/>
      <w:r w:rsidR="00426829" w:rsidRPr="00B26E04">
        <w:rPr>
          <w:sz w:val="20"/>
          <w:szCs w:val="20"/>
          <w:lang w:val="en-US"/>
        </w:rPr>
        <w:t>.</w:t>
      </w:r>
      <w:r w:rsidR="0096787B">
        <w:rPr>
          <w:sz w:val="20"/>
          <w:szCs w:val="20"/>
          <w:lang w:val="en-US"/>
        </w:rPr>
        <w:t xml:space="preserve"> Rev. 24, 125-132. </w:t>
      </w:r>
    </w:p>
    <w:p w:rsidR="00352A2A" w:rsidRPr="00B26E04" w:rsidRDefault="0096787B" w:rsidP="00113B97">
      <w:pPr>
        <w:spacing w:after="120" w:line="480" w:lineRule="auto"/>
        <w:rPr>
          <w:sz w:val="20"/>
          <w:szCs w:val="20"/>
          <w:lang w:val="en-US"/>
        </w:rPr>
      </w:pPr>
      <w:proofErr w:type="spellStart"/>
      <w:r>
        <w:rPr>
          <w:sz w:val="20"/>
          <w:szCs w:val="20"/>
          <w:lang w:val="en-US"/>
        </w:rPr>
        <w:t>Vandekerckhove</w:t>
      </w:r>
      <w:proofErr w:type="spellEnd"/>
      <w:r>
        <w:rPr>
          <w:sz w:val="20"/>
          <w:szCs w:val="20"/>
          <w:lang w:val="en-US"/>
        </w:rPr>
        <w:t xml:space="preserve">, M., </w:t>
      </w:r>
      <w:proofErr w:type="spellStart"/>
      <w:r>
        <w:rPr>
          <w:sz w:val="20"/>
          <w:szCs w:val="20"/>
          <w:lang w:val="en-US"/>
        </w:rPr>
        <w:t>Plessers</w:t>
      </w:r>
      <w:proofErr w:type="spellEnd"/>
      <w:r>
        <w:rPr>
          <w:sz w:val="20"/>
          <w:szCs w:val="20"/>
          <w:lang w:val="en-US"/>
        </w:rPr>
        <w:t xml:space="preserve">, M., Van </w:t>
      </w:r>
      <w:proofErr w:type="spellStart"/>
      <w:r>
        <w:rPr>
          <w:sz w:val="20"/>
          <w:szCs w:val="20"/>
          <w:lang w:val="en-US"/>
        </w:rPr>
        <w:t>Mieghem</w:t>
      </w:r>
      <w:proofErr w:type="spellEnd"/>
      <w:r>
        <w:rPr>
          <w:sz w:val="20"/>
          <w:szCs w:val="20"/>
          <w:lang w:val="en-US"/>
        </w:rPr>
        <w:t xml:space="preserve">, A., </w:t>
      </w:r>
      <w:proofErr w:type="spellStart"/>
      <w:r>
        <w:rPr>
          <w:sz w:val="20"/>
          <w:szCs w:val="20"/>
          <w:lang w:val="en-US"/>
        </w:rPr>
        <w:t>Beeckmans</w:t>
      </w:r>
      <w:proofErr w:type="spellEnd"/>
      <w:r>
        <w:rPr>
          <w:sz w:val="20"/>
          <w:szCs w:val="20"/>
          <w:lang w:val="en-US"/>
        </w:rPr>
        <w:t xml:space="preserve">, K., Van Acker, F., </w:t>
      </w:r>
      <w:proofErr w:type="spellStart"/>
      <w:r>
        <w:rPr>
          <w:sz w:val="20"/>
          <w:szCs w:val="20"/>
          <w:lang w:val="en-US"/>
        </w:rPr>
        <w:t>Maex</w:t>
      </w:r>
      <w:proofErr w:type="spellEnd"/>
      <w:r>
        <w:rPr>
          <w:sz w:val="20"/>
          <w:szCs w:val="20"/>
          <w:lang w:val="en-US"/>
        </w:rPr>
        <w:t xml:space="preserve">, R., </w:t>
      </w:r>
      <w:proofErr w:type="spellStart"/>
      <w:r>
        <w:rPr>
          <w:sz w:val="20"/>
          <w:szCs w:val="20"/>
          <w:lang w:val="en-US"/>
        </w:rPr>
        <w:t>Markowitsch</w:t>
      </w:r>
      <w:proofErr w:type="spellEnd"/>
      <w:r>
        <w:rPr>
          <w:sz w:val="20"/>
          <w:szCs w:val="20"/>
          <w:lang w:val="en-US"/>
        </w:rPr>
        <w:t xml:space="preserve">, H., </w:t>
      </w:r>
      <w:proofErr w:type="spellStart"/>
      <w:r>
        <w:rPr>
          <w:sz w:val="20"/>
          <w:szCs w:val="20"/>
          <w:lang w:val="en-US"/>
        </w:rPr>
        <w:t>Mariën</w:t>
      </w:r>
      <w:proofErr w:type="spellEnd"/>
      <w:r>
        <w:rPr>
          <w:sz w:val="20"/>
          <w:szCs w:val="20"/>
          <w:lang w:val="en-US"/>
        </w:rPr>
        <w:t xml:space="preserve">, P., Van </w:t>
      </w:r>
      <w:proofErr w:type="spellStart"/>
      <w:r>
        <w:rPr>
          <w:sz w:val="20"/>
          <w:szCs w:val="20"/>
          <w:lang w:val="en-US"/>
        </w:rPr>
        <w:t>Overwalle</w:t>
      </w:r>
      <w:proofErr w:type="spellEnd"/>
      <w:r>
        <w:rPr>
          <w:sz w:val="20"/>
          <w:szCs w:val="20"/>
          <w:lang w:val="en-US"/>
        </w:rPr>
        <w:t>, F., 2014. Impaired facial emotion recognition in patients with ventromedial prefrontal hypoperfusion. Neuropsychology 28, 605-612.</w:t>
      </w:r>
    </w:p>
    <w:p w:rsidR="00352A2A" w:rsidRPr="00B26E04" w:rsidRDefault="0096787B" w:rsidP="00113B97">
      <w:pPr>
        <w:spacing w:after="120" w:line="480" w:lineRule="auto"/>
        <w:rPr>
          <w:sz w:val="20"/>
          <w:szCs w:val="20"/>
          <w:lang w:val="en-US"/>
        </w:rPr>
      </w:pPr>
      <w:proofErr w:type="spellStart"/>
      <w:r>
        <w:rPr>
          <w:sz w:val="20"/>
          <w:szCs w:val="20"/>
          <w:lang w:val="en-US"/>
        </w:rPr>
        <w:lastRenderedPageBreak/>
        <w:t>Vandenbergh</w:t>
      </w:r>
      <w:proofErr w:type="spellEnd"/>
      <w:r>
        <w:rPr>
          <w:sz w:val="20"/>
          <w:szCs w:val="20"/>
          <w:lang w:val="en-US"/>
        </w:rPr>
        <w:t xml:space="preserve">, D.J., Persico, A.M., Hawkins, A.L., Griffin, C.A., Li, X., Jabs, E.W., </w:t>
      </w:r>
      <w:proofErr w:type="spellStart"/>
      <w:r>
        <w:rPr>
          <w:sz w:val="20"/>
          <w:szCs w:val="20"/>
          <w:lang w:val="en-US"/>
        </w:rPr>
        <w:t>Uhl</w:t>
      </w:r>
      <w:proofErr w:type="spellEnd"/>
      <w:r>
        <w:rPr>
          <w:sz w:val="20"/>
          <w:szCs w:val="20"/>
          <w:lang w:val="en-US"/>
        </w:rPr>
        <w:t>, G.R., 1992. Human dopamine transporter gene (DAT1) maps to chromosome 5p15.3 and displays a VNTR. Genomics 14, 1104-1106.</w:t>
      </w:r>
    </w:p>
    <w:p w:rsidR="00352A2A" w:rsidRPr="00B26E04" w:rsidRDefault="0096787B" w:rsidP="00113B97">
      <w:pPr>
        <w:spacing w:after="120" w:line="480" w:lineRule="auto"/>
        <w:rPr>
          <w:sz w:val="20"/>
          <w:szCs w:val="20"/>
          <w:lang w:val="en-US"/>
        </w:rPr>
      </w:pPr>
      <w:r>
        <w:rPr>
          <w:sz w:val="20"/>
          <w:szCs w:val="20"/>
          <w:lang w:val="en-US"/>
        </w:rPr>
        <w:t xml:space="preserve">Van den Heuvel, D.M., </w:t>
      </w:r>
      <w:proofErr w:type="spellStart"/>
      <w:r>
        <w:rPr>
          <w:sz w:val="20"/>
          <w:szCs w:val="20"/>
          <w:lang w:val="en-US"/>
        </w:rPr>
        <w:t>Pasterkamp</w:t>
      </w:r>
      <w:proofErr w:type="spellEnd"/>
      <w:r>
        <w:rPr>
          <w:sz w:val="20"/>
          <w:szCs w:val="20"/>
          <w:lang w:val="en-US"/>
        </w:rPr>
        <w:t xml:space="preserve">, R.J., 2008. Getting connected in the dopamine system. Prog. </w:t>
      </w:r>
      <w:proofErr w:type="spellStart"/>
      <w:r>
        <w:rPr>
          <w:sz w:val="20"/>
          <w:szCs w:val="20"/>
          <w:lang w:val="en-US"/>
        </w:rPr>
        <w:t>Neurobiol</w:t>
      </w:r>
      <w:proofErr w:type="spellEnd"/>
      <w:r>
        <w:rPr>
          <w:sz w:val="20"/>
          <w:szCs w:val="20"/>
          <w:lang w:val="en-US"/>
        </w:rPr>
        <w:t>. 85, 75-93.</w:t>
      </w:r>
    </w:p>
    <w:p w:rsidR="00352A2A" w:rsidRPr="00B26E04" w:rsidRDefault="0096787B" w:rsidP="00113B97">
      <w:pPr>
        <w:spacing w:after="120" w:line="480" w:lineRule="auto"/>
        <w:rPr>
          <w:sz w:val="20"/>
          <w:szCs w:val="20"/>
          <w:lang w:val="en-US"/>
        </w:rPr>
      </w:pPr>
      <w:r>
        <w:rPr>
          <w:sz w:val="20"/>
          <w:szCs w:val="20"/>
          <w:lang w:val="en-US"/>
        </w:rPr>
        <w:t xml:space="preserve">Van Tol, H.H., Wu, C.M., Guan, H.C., Ohara, K., </w:t>
      </w:r>
      <w:proofErr w:type="spellStart"/>
      <w:r>
        <w:rPr>
          <w:sz w:val="20"/>
          <w:szCs w:val="20"/>
          <w:lang w:val="en-US"/>
        </w:rPr>
        <w:t>Bunzow</w:t>
      </w:r>
      <w:proofErr w:type="spellEnd"/>
      <w:r>
        <w:rPr>
          <w:sz w:val="20"/>
          <w:szCs w:val="20"/>
          <w:lang w:val="en-US"/>
        </w:rPr>
        <w:t xml:space="preserve">, J.R., </w:t>
      </w:r>
      <w:proofErr w:type="spellStart"/>
      <w:r>
        <w:rPr>
          <w:sz w:val="20"/>
          <w:szCs w:val="20"/>
          <w:lang w:val="en-US"/>
        </w:rPr>
        <w:t>Civelli</w:t>
      </w:r>
      <w:proofErr w:type="spellEnd"/>
      <w:r>
        <w:rPr>
          <w:sz w:val="20"/>
          <w:szCs w:val="20"/>
          <w:lang w:val="en-US"/>
        </w:rPr>
        <w:t xml:space="preserve">, O., Kennedy, J., Seeman, P., </w:t>
      </w:r>
      <w:proofErr w:type="spellStart"/>
      <w:r>
        <w:rPr>
          <w:sz w:val="20"/>
          <w:szCs w:val="20"/>
          <w:lang w:val="en-US"/>
        </w:rPr>
        <w:t>Niznik</w:t>
      </w:r>
      <w:proofErr w:type="spellEnd"/>
      <w:r>
        <w:rPr>
          <w:sz w:val="20"/>
          <w:szCs w:val="20"/>
          <w:lang w:val="en-US"/>
        </w:rPr>
        <w:t>, H.B., Jovanovic, V., 1992. Multiple dopamine D4 receptor variants in the human population. Nature 358, 149-152.</w:t>
      </w:r>
    </w:p>
    <w:p w:rsidR="00352A2A" w:rsidRPr="00B26E04" w:rsidRDefault="0096787B" w:rsidP="00113B97">
      <w:pPr>
        <w:spacing w:after="120" w:line="480" w:lineRule="auto"/>
        <w:rPr>
          <w:sz w:val="20"/>
          <w:szCs w:val="20"/>
          <w:lang w:val="en-US"/>
        </w:rPr>
      </w:pPr>
      <w:proofErr w:type="spellStart"/>
      <w:r>
        <w:rPr>
          <w:sz w:val="20"/>
          <w:szCs w:val="20"/>
          <w:lang w:val="en-US"/>
        </w:rPr>
        <w:t>Varga</w:t>
      </w:r>
      <w:proofErr w:type="spellEnd"/>
      <w:r>
        <w:rPr>
          <w:sz w:val="20"/>
          <w:szCs w:val="20"/>
          <w:lang w:val="en-US"/>
        </w:rPr>
        <w:t xml:space="preserve">, G., </w:t>
      </w:r>
      <w:proofErr w:type="spellStart"/>
      <w:r>
        <w:rPr>
          <w:sz w:val="20"/>
          <w:szCs w:val="20"/>
          <w:lang w:val="en-US"/>
        </w:rPr>
        <w:t>Szekely</w:t>
      </w:r>
      <w:proofErr w:type="spellEnd"/>
      <w:r>
        <w:rPr>
          <w:sz w:val="20"/>
          <w:szCs w:val="20"/>
          <w:lang w:val="en-US"/>
        </w:rPr>
        <w:t xml:space="preserve">, A., </w:t>
      </w:r>
      <w:proofErr w:type="spellStart"/>
      <w:r>
        <w:rPr>
          <w:sz w:val="20"/>
          <w:szCs w:val="20"/>
          <w:lang w:val="en-US"/>
        </w:rPr>
        <w:t>Antal</w:t>
      </w:r>
      <w:proofErr w:type="spellEnd"/>
      <w:r>
        <w:rPr>
          <w:sz w:val="20"/>
          <w:szCs w:val="20"/>
          <w:lang w:val="en-US"/>
        </w:rPr>
        <w:t xml:space="preserve">, P., Sarkozy, P., </w:t>
      </w:r>
      <w:proofErr w:type="spellStart"/>
      <w:r>
        <w:rPr>
          <w:sz w:val="20"/>
          <w:szCs w:val="20"/>
          <w:lang w:val="en-US"/>
        </w:rPr>
        <w:t>Nemoda</w:t>
      </w:r>
      <w:proofErr w:type="spellEnd"/>
      <w:r>
        <w:rPr>
          <w:sz w:val="20"/>
          <w:szCs w:val="20"/>
          <w:lang w:val="en-US"/>
        </w:rPr>
        <w:t xml:space="preserve">, Z., </w:t>
      </w:r>
      <w:proofErr w:type="spellStart"/>
      <w:r>
        <w:rPr>
          <w:sz w:val="20"/>
          <w:szCs w:val="20"/>
          <w:lang w:val="en-US"/>
        </w:rPr>
        <w:t>Demetrovics</w:t>
      </w:r>
      <w:proofErr w:type="spellEnd"/>
      <w:r>
        <w:rPr>
          <w:sz w:val="20"/>
          <w:szCs w:val="20"/>
          <w:lang w:val="en-US"/>
        </w:rPr>
        <w:t xml:space="preserve">, Z., </w:t>
      </w:r>
      <w:proofErr w:type="spellStart"/>
      <w:r>
        <w:rPr>
          <w:sz w:val="20"/>
          <w:szCs w:val="20"/>
          <w:lang w:val="en-US"/>
        </w:rPr>
        <w:t>Sasvari-Szekely</w:t>
      </w:r>
      <w:proofErr w:type="spellEnd"/>
      <w:r>
        <w:rPr>
          <w:sz w:val="20"/>
          <w:szCs w:val="20"/>
          <w:lang w:val="en-US"/>
        </w:rPr>
        <w:t xml:space="preserve">, M., 2012. Additive effects of serotonergic and dopaminergic polymorphisms on trait impulsivity. Am. J. Med. Genet. B </w:t>
      </w:r>
      <w:proofErr w:type="spellStart"/>
      <w:r>
        <w:rPr>
          <w:sz w:val="20"/>
          <w:szCs w:val="20"/>
          <w:lang w:val="en-US"/>
        </w:rPr>
        <w:t>Neuropsychiatr</w:t>
      </w:r>
      <w:proofErr w:type="spellEnd"/>
      <w:r>
        <w:rPr>
          <w:sz w:val="20"/>
          <w:szCs w:val="20"/>
          <w:lang w:val="en-US"/>
        </w:rPr>
        <w:t>. Genet. 159B, 281-288.</w:t>
      </w:r>
    </w:p>
    <w:p w:rsidR="00352A2A" w:rsidRPr="00B26E04" w:rsidRDefault="0096787B" w:rsidP="00113B97">
      <w:pPr>
        <w:spacing w:after="120" w:line="480" w:lineRule="auto"/>
        <w:rPr>
          <w:sz w:val="20"/>
          <w:szCs w:val="20"/>
          <w:lang w:val="en-US"/>
        </w:rPr>
      </w:pPr>
      <w:proofErr w:type="spellStart"/>
      <w:r>
        <w:rPr>
          <w:sz w:val="20"/>
          <w:szCs w:val="20"/>
          <w:lang w:val="en-US"/>
        </w:rPr>
        <w:t>Varnäs</w:t>
      </w:r>
      <w:proofErr w:type="spellEnd"/>
      <w:r>
        <w:rPr>
          <w:sz w:val="20"/>
          <w:szCs w:val="20"/>
          <w:lang w:val="en-US"/>
        </w:rPr>
        <w:t xml:space="preserve">, K., </w:t>
      </w:r>
      <w:proofErr w:type="spellStart"/>
      <w:r>
        <w:rPr>
          <w:sz w:val="20"/>
          <w:szCs w:val="20"/>
          <w:lang w:val="en-US"/>
        </w:rPr>
        <w:t>Halldin</w:t>
      </w:r>
      <w:proofErr w:type="spellEnd"/>
      <w:r>
        <w:rPr>
          <w:sz w:val="20"/>
          <w:szCs w:val="20"/>
          <w:lang w:val="en-US"/>
        </w:rPr>
        <w:t>, C., Hall, H., 2004. Autoradiographic distribution of serotonin transporters and receptor subtypes in human brain. Hum. Brain Mapp. 22, 246-260.</w:t>
      </w:r>
    </w:p>
    <w:p w:rsidR="008A30BA" w:rsidRPr="00B26E04" w:rsidRDefault="0096787B" w:rsidP="00113B97">
      <w:pPr>
        <w:spacing w:after="120" w:line="480" w:lineRule="auto"/>
        <w:rPr>
          <w:sz w:val="20"/>
          <w:szCs w:val="20"/>
          <w:lang w:val="en-US"/>
        </w:rPr>
      </w:pPr>
      <w:proofErr w:type="spellStart"/>
      <w:r>
        <w:rPr>
          <w:sz w:val="20"/>
          <w:szCs w:val="20"/>
          <w:lang w:val="en-US"/>
        </w:rPr>
        <w:t>Veit</w:t>
      </w:r>
      <w:proofErr w:type="spellEnd"/>
      <w:r>
        <w:rPr>
          <w:sz w:val="20"/>
          <w:szCs w:val="20"/>
          <w:lang w:val="en-US"/>
        </w:rPr>
        <w:t xml:space="preserve">, R., </w:t>
      </w:r>
      <w:proofErr w:type="spellStart"/>
      <w:r>
        <w:rPr>
          <w:sz w:val="20"/>
          <w:szCs w:val="20"/>
          <w:lang w:val="en-US"/>
        </w:rPr>
        <w:t>Lotze</w:t>
      </w:r>
      <w:proofErr w:type="spellEnd"/>
      <w:r>
        <w:rPr>
          <w:sz w:val="20"/>
          <w:szCs w:val="20"/>
          <w:lang w:val="en-US"/>
        </w:rPr>
        <w:t xml:space="preserve">, M., Sewing, S., </w:t>
      </w:r>
      <w:proofErr w:type="spellStart"/>
      <w:r>
        <w:rPr>
          <w:sz w:val="20"/>
          <w:szCs w:val="20"/>
          <w:lang w:val="en-US"/>
        </w:rPr>
        <w:t>Missenhardt</w:t>
      </w:r>
      <w:proofErr w:type="spellEnd"/>
      <w:r>
        <w:rPr>
          <w:sz w:val="20"/>
          <w:szCs w:val="20"/>
          <w:lang w:val="en-US"/>
        </w:rPr>
        <w:t xml:space="preserve">, H., Gaber, T., </w:t>
      </w:r>
      <w:proofErr w:type="spellStart"/>
      <w:r>
        <w:rPr>
          <w:sz w:val="20"/>
          <w:szCs w:val="20"/>
          <w:lang w:val="en-US"/>
        </w:rPr>
        <w:t>Birbaumer</w:t>
      </w:r>
      <w:proofErr w:type="spellEnd"/>
      <w:r>
        <w:rPr>
          <w:sz w:val="20"/>
          <w:szCs w:val="20"/>
          <w:lang w:val="en-US"/>
        </w:rPr>
        <w:t>, N., 2010. Aberrant social and cerebral responding in a competitive reaction time paradigm in criminal psychopaths. Neuroimage 49, 3365-3372.</w:t>
      </w:r>
    </w:p>
    <w:p w:rsidR="00352A2A" w:rsidRPr="00B26E04" w:rsidRDefault="0096787B" w:rsidP="00113B97">
      <w:pPr>
        <w:spacing w:after="120" w:line="480" w:lineRule="auto"/>
        <w:rPr>
          <w:sz w:val="20"/>
          <w:szCs w:val="20"/>
          <w:lang w:val="en-US"/>
        </w:rPr>
      </w:pPr>
      <w:r>
        <w:rPr>
          <w:sz w:val="20"/>
          <w:szCs w:val="20"/>
          <w:lang w:val="en-US"/>
        </w:rPr>
        <w:t>Verona, E., Joiner, T.E., Johnson, F., Bender, T.W., 2006. Gender specific gene-environment interactions on laboratory-assessed aggression. Biol. Psychol. 71, 33-41.</w:t>
      </w:r>
    </w:p>
    <w:p w:rsidR="00352A2A" w:rsidRPr="00B26E04" w:rsidRDefault="0096787B" w:rsidP="00113B97">
      <w:pPr>
        <w:spacing w:after="120" w:line="480" w:lineRule="auto"/>
        <w:rPr>
          <w:sz w:val="20"/>
          <w:szCs w:val="20"/>
          <w:lang w:val="en-US"/>
        </w:rPr>
      </w:pPr>
      <w:r>
        <w:rPr>
          <w:sz w:val="20"/>
          <w:szCs w:val="20"/>
          <w:lang w:val="en-US"/>
        </w:rPr>
        <w:t xml:space="preserve">Vogt, B.A., Finch, D.M., Olson, C.R., 1992. Functional heterogeneity in cingulate cortex: the anterior executive and posterior evaluative regions. </w:t>
      </w:r>
      <w:proofErr w:type="spellStart"/>
      <w:r>
        <w:rPr>
          <w:sz w:val="20"/>
          <w:szCs w:val="20"/>
          <w:lang w:val="en-US"/>
        </w:rPr>
        <w:t>Cereb</w:t>
      </w:r>
      <w:proofErr w:type="spellEnd"/>
      <w:r>
        <w:rPr>
          <w:sz w:val="20"/>
          <w:szCs w:val="20"/>
          <w:lang w:val="en-US"/>
        </w:rPr>
        <w:t>. Cortex 2, 435-443.</w:t>
      </w:r>
    </w:p>
    <w:p w:rsidR="00352A2A" w:rsidRPr="00B26E04" w:rsidRDefault="0096787B" w:rsidP="00113B97">
      <w:pPr>
        <w:spacing w:after="120" w:line="480" w:lineRule="auto"/>
        <w:rPr>
          <w:sz w:val="20"/>
          <w:szCs w:val="20"/>
          <w:lang w:val="en-US"/>
        </w:rPr>
      </w:pPr>
      <w:proofErr w:type="spellStart"/>
      <w:r>
        <w:rPr>
          <w:sz w:val="20"/>
          <w:szCs w:val="20"/>
          <w:lang w:val="en-US"/>
        </w:rPr>
        <w:t>Volavka</w:t>
      </w:r>
      <w:proofErr w:type="spellEnd"/>
      <w:r>
        <w:rPr>
          <w:sz w:val="20"/>
          <w:szCs w:val="20"/>
          <w:lang w:val="en-US"/>
        </w:rPr>
        <w:t xml:space="preserve">, J., </w:t>
      </w:r>
      <w:proofErr w:type="spellStart"/>
      <w:r>
        <w:rPr>
          <w:sz w:val="20"/>
          <w:szCs w:val="20"/>
          <w:lang w:val="en-US"/>
        </w:rPr>
        <w:t>Bilder</w:t>
      </w:r>
      <w:proofErr w:type="spellEnd"/>
      <w:r>
        <w:rPr>
          <w:sz w:val="20"/>
          <w:szCs w:val="20"/>
          <w:lang w:val="en-US"/>
        </w:rPr>
        <w:t>, R., Nolan, K., 2004. Catecholamines and aggression: the role of COMT and MAO polymorphisms. Ann. N. Y. Acad. Sci. 1036, 393-398.</w:t>
      </w:r>
    </w:p>
    <w:p w:rsidR="00352A2A" w:rsidRPr="00B26E04" w:rsidRDefault="0096787B" w:rsidP="00113B97">
      <w:pPr>
        <w:spacing w:after="120" w:line="480" w:lineRule="auto"/>
        <w:rPr>
          <w:sz w:val="20"/>
          <w:szCs w:val="20"/>
          <w:lang w:val="en-US"/>
        </w:rPr>
      </w:pPr>
      <w:r>
        <w:rPr>
          <w:sz w:val="20"/>
          <w:szCs w:val="20"/>
          <w:lang w:val="en-US"/>
        </w:rPr>
        <w:t xml:space="preserve">Volkow, N.D., </w:t>
      </w:r>
      <w:proofErr w:type="spellStart"/>
      <w:r>
        <w:rPr>
          <w:sz w:val="20"/>
          <w:szCs w:val="20"/>
          <w:lang w:val="en-US"/>
        </w:rPr>
        <w:t>Tancredi</w:t>
      </w:r>
      <w:proofErr w:type="spellEnd"/>
      <w:r>
        <w:rPr>
          <w:sz w:val="20"/>
          <w:szCs w:val="20"/>
          <w:lang w:val="en-US"/>
        </w:rPr>
        <w:t>, L., 1987. Neural substrates of violent behaviour. A preliminary study with positron emission tomography. Br. J. Psychiatry 151, 668-673.</w:t>
      </w:r>
    </w:p>
    <w:p w:rsidR="00352A2A" w:rsidRPr="00B26E04" w:rsidRDefault="0096787B" w:rsidP="00113B97">
      <w:pPr>
        <w:spacing w:after="120" w:line="480" w:lineRule="auto"/>
        <w:rPr>
          <w:sz w:val="20"/>
          <w:szCs w:val="20"/>
          <w:lang w:val="en-US"/>
        </w:rPr>
      </w:pPr>
      <w:r>
        <w:rPr>
          <w:sz w:val="20"/>
          <w:szCs w:val="20"/>
          <w:lang w:val="en-US"/>
        </w:rPr>
        <w:t xml:space="preserve">Volkow, N.D., </w:t>
      </w:r>
      <w:proofErr w:type="spellStart"/>
      <w:r>
        <w:rPr>
          <w:sz w:val="20"/>
          <w:szCs w:val="20"/>
          <w:lang w:val="en-US"/>
        </w:rPr>
        <w:t>Tancredi</w:t>
      </w:r>
      <w:proofErr w:type="spellEnd"/>
      <w:r>
        <w:rPr>
          <w:sz w:val="20"/>
          <w:szCs w:val="20"/>
          <w:lang w:val="en-US"/>
        </w:rPr>
        <w:t xml:space="preserve">, L.R., Grant, C., Gillespie, H., Valentine, A., </w:t>
      </w:r>
      <w:proofErr w:type="spellStart"/>
      <w:r>
        <w:rPr>
          <w:sz w:val="20"/>
          <w:szCs w:val="20"/>
          <w:lang w:val="en-US"/>
        </w:rPr>
        <w:t>Mullani</w:t>
      </w:r>
      <w:proofErr w:type="spellEnd"/>
      <w:r>
        <w:rPr>
          <w:sz w:val="20"/>
          <w:szCs w:val="20"/>
          <w:lang w:val="en-US"/>
        </w:rPr>
        <w:t>, N., Wang, G.J., Hollister, L., 1995. Brain glucose metabolism in violent psychiatric patients: a preliminary study. Psychiatry Res. 61, 243-253.</w:t>
      </w:r>
    </w:p>
    <w:p w:rsidR="00352A2A" w:rsidRPr="00B26E04" w:rsidRDefault="0096787B" w:rsidP="00113B97">
      <w:pPr>
        <w:spacing w:after="120" w:line="480" w:lineRule="auto"/>
        <w:rPr>
          <w:sz w:val="20"/>
          <w:szCs w:val="20"/>
          <w:lang w:val="en-US"/>
        </w:rPr>
      </w:pPr>
      <w:r>
        <w:rPr>
          <w:sz w:val="20"/>
          <w:szCs w:val="20"/>
          <w:lang w:val="en-US"/>
        </w:rPr>
        <w:t xml:space="preserve">Walther, D.J., Bader, M., 2003. A unique central tryptophan hydroxylase isoform. </w:t>
      </w:r>
      <w:proofErr w:type="spellStart"/>
      <w:r>
        <w:rPr>
          <w:sz w:val="20"/>
          <w:szCs w:val="20"/>
          <w:lang w:val="en-US"/>
        </w:rPr>
        <w:t>Biochem</w:t>
      </w:r>
      <w:proofErr w:type="spellEnd"/>
      <w:r>
        <w:rPr>
          <w:sz w:val="20"/>
          <w:szCs w:val="20"/>
          <w:lang w:val="en-US"/>
        </w:rPr>
        <w:t xml:space="preserve">. </w:t>
      </w:r>
      <w:proofErr w:type="spellStart"/>
      <w:r>
        <w:rPr>
          <w:sz w:val="20"/>
          <w:szCs w:val="20"/>
          <w:lang w:val="en-US"/>
        </w:rPr>
        <w:t>Pharmacol</w:t>
      </w:r>
      <w:proofErr w:type="spellEnd"/>
      <w:r>
        <w:rPr>
          <w:sz w:val="20"/>
          <w:szCs w:val="20"/>
          <w:lang w:val="en-US"/>
        </w:rPr>
        <w:t>. 66, 1673-1680.</w:t>
      </w:r>
    </w:p>
    <w:p w:rsidR="00352A2A" w:rsidRPr="00B26E04" w:rsidRDefault="0096787B" w:rsidP="00113B97">
      <w:pPr>
        <w:spacing w:after="120" w:line="480" w:lineRule="auto"/>
        <w:rPr>
          <w:sz w:val="20"/>
          <w:szCs w:val="20"/>
          <w:lang w:val="en-US"/>
        </w:rPr>
      </w:pPr>
      <w:r>
        <w:rPr>
          <w:sz w:val="20"/>
          <w:szCs w:val="20"/>
          <w:lang w:val="en-US"/>
        </w:rPr>
        <w:lastRenderedPageBreak/>
        <w:t xml:space="preserve">Walther, D.J., Peter, J.U., </w:t>
      </w:r>
      <w:proofErr w:type="spellStart"/>
      <w:r>
        <w:rPr>
          <w:sz w:val="20"/>
          <w:szCs w:val="20"/>
          <w:lang w:val="en-US"/>
        </w:rPr>
        <w:t>Bashammakh</w:t>
      </w:r>
      <w:proofErr w:type="spellEnd"/>
      <w:r>
        <w:rPr>
          <w:sz w:val="20"/>
          <w:szCs w:val="20"/>
          <w:lang w:val="en-US"/>
        </w:rPr>
        <w:t xml:space="preserve">, S., </w:t>
      </w:r>
      <w:proofErr w:type="spellStart"/>
      <w:r>
        <w:rPr>
          <w:sz w:val="20"/>
          <w:szCs w:val="20"/>
          <w:lang w:val="en-US"/>
        </w:rPr>
        <w:t>Hörtnagl</w:t>
      </w:r>
      <w:proofErr w:type="spellEnd"/>
      <w:r>
        <w:rPr>
          <w:sz w:val="20"/>
          <w:szCs w:val="20"/>
          <w:lang w:val="en-US"/>
        </w:rPr>
        <w:t xml:space="preserve">, H., </w:t>
      </w:r>
      <w:proofErr w:type="spellStart"/>
      <w:r>
        <w:rPr>
          <w:sz w:val="20"/>
          <w:szCs w:val="20"/>
          <w:lang w:val="en-US"/>
        </w:rPr>
        <w:t>Voits</w:t>
      </w:r>
      <w:proofErr w:type="spellEnd"/>
      <w:r>
        <w:rPr>
          <w:sz w:val="20"/>
          <w:szCs w:val="20"/>
          <w:lang w:val="en-US"/>
        </w:rPr>
        <w:t>, M., Fink, H., Bader, M., 2003. Synthesis of serotonin by a second tryptophan hydroxylase isoform. Science 299, 76.</w:t>
      </w:r>
    </w:p>
    <w:p w:rsidR="00352A2A" w:rsidRPr="00B26E04" w:rsidRDefault="0096787B" w:rsidP="00113B97">
      <w:pPr>
        <w:spacing w:after="120" w:line="480" w:lineRule="auto"/>
        <w:rPr>
          <w:sz w:val="20"/>
          <w:szCs w:val="20"/>
          <w:lang w:val="en-US"/>
        </w:rPr>
      </w:pPr>
      <w:r>
        <w:rPr>
          <w:sz w:val="20"/>
          <w:szCs w:val="20"/>
          <w:lang w:val="en-US"/>
        </w:rPr>
        <w:t xml:space="preserve">Wendland, J.R., Martin, B.J., Kruse, M.R., </w:t>
      </w:r>
      <w:proofErr w:type="spellStart"/>
      <w:r>
        <w:rPr>
          <w:sz w:val="20"/>
          <w:szCs w:val="20"/>
          <w:lang w:val="en-US"/>
        </w:rPr>
        <w:t>Lesch</w:t>
      </w:r>
      <w:proofErr w:type="spellEnd"/>
      <w:r>
        <w:rPr>
          <w:sz w:val="20"/>
          <w:szCs w:val="20"/>
          <w:lang w:val="en-US"/>
        </w:rPr>
        <w:t>, K.P., Murphy, D.L., 2006. Simultaneous genotyping of four functional loci of human SLC6A4, with a reappraisal of 5-HTTLPR and rs25531. Mol. Psychiatry 11, 224-226.</w:t>
      </w:r>
    </w:p>
    <w:p w:rsidR="00352A2A" w:rsidRPr="00B26E04" w:rsidRDefault="0096787B" w:rsidP="00113B97">
      <w:pPr>
        <w:spacing w:after="120" w:line="480" w:lineRule="auto"/>
        <w:rPr>
          <w:sz w:val="20"/>
          <w:szCs w:val="20"/>
          <w:lang w:val="en-US"/>
        </w:rPr>
      </w:pPr>
      <w:r>
        <w:rPr>
          <w:sz w:val="20"/>
          <w:szCs w:val="20"/>
          <w:lang w:val="en-US"/>
        </w:rPr>
        <w:t xml:space="preserve">Wendland, J.R., Moya, P.R., Kruse, M.R., Ren-Patterson, R.F., Jensen, C.L., </w:t>
      </w:r>
      <w:proofErr w:type="spellStart"/>
      <w:r>
        <w:rPr>
          <w:sz w:val="20"/>
          <w:szCs w:val="20"/>
          <w:lang w:val="en-US"/>
        </w:rPr>
        <w:t>Timpano</w:t>
      </w:r>
      <w:proofErr w:type="spellEnd"/>
      <w:r>
        <w:rPr>
          <w:sz w:val="20"/>
          <w:szCs w:val="20"/>
          <w:lang w:val="en-US"/>
        </w:rPr>
        <w:t>, K.R., Murphy, D.L., 2008. A novel, putative gain-of-function haplotype at SLC6A4 associates with obsessive-compulsive disorder. Hum. Mol. Genet. 17, 717-723.</w:t>
      </w:r>
    </w:p>
    <w:p w:rsidR="00352A2A" w:rsidRPr="00B26E04" w:rsidRDefault="0096787B" w:rsidP="00113B97">
      <w:pPr>
        <w:spacing w:after="120" w:line="480" w:lineRule="auto"/>
        <w:rPr>
          <w:sz w:val="20"/>
          <w:szCs w:val="20"/>
          <w:lang w:val="en-US"/>
        </w:rPr>
      </w:pPr>
      <w:proofErr w:type="spellStart"/>
      <w:r>
        <w:rPr>
          <w:sz w:val="20"/>
          <w:szCs w:val="20"/>
          <w:lang w:val="en-US"/>
        </w:rPr>
        <w:t>Westlund</w:t>
      </w:r>
      <w:proofErr w:type="spellEnd"/>
      <w:r>
        <w:rPr>
          <w:sz w:val="20"/>
          <w:szCs w:val="20"/>
          <w:lang w:val="en-US"/>
        </w:rPr>
        <w:t xml:space="preserve">, K.N., Denney, R.M., </w:t>
      </w:r>
      <w:proofErr w:type="spellStart"/>
      <w:r>
        <w:rPr>
          <w:sz w:val="20"/>
          <w:szCs w:val="20"/>
          <w:lang w:val="en-US"/>
        </w:rPr>
        <w:t>Kochersperger</w:t>
      </w:r>
      <w:proofErr w:type="spellEnd"/>
      <w:r>
        <w:rPr>
          <w:sz w:val="20"/>
          <w:szCs w:val="20"/>
          <w:lang w:val="en-US"/>
        </w:rPr>
        <w:t>, L.M., Rose, R.M., Abell, C.W., 1985. Distinct monoamine oxidase A and B populations in primate brain. Science 230, 181-183.</w:t>
      </w:r>
    </w:p>
    <w:p w:rsidR="00352A2A" w:rsidRPr="00B26E04" w:rsidRDefault="0096787B" w:rsidP="00113B97">
      <w:pPr>
        <w:spacing w:after="120" w:line="480" w:lineRule="auto"/>
        <w:rPr>
          <w:sz w:val="20"/>
          <w:szCs w:val="20"/>
          <w:lang w:val="en-US"/>
        </w:rPr>
      </w:pPr>
      <w:r>
        <w:rPr>
          <w:sz w:val="20"/>
          <w:szCs w:val="20"/>
          <w:lang w:val="en-US"/>
        </w:rPr>
        <w:t>Wheeler, E.Z., Fellows, L.K., 2008. The human ventromedial frontal lobe is critical for learning from negative feedback. Brain 131, 1323-1331.</w:t>
      </w:r>
    </w:p>
    <w:p w:rsidR="00352A2A" w:rsidRPr="00B26E04" w:rsidRDefault="0096787B" w:rsidP="00113B97">
      <w:pPr>
        <w:spacing w:after="120" w:line="480" w:lineRule="auto"/>
        <w:rPr>
          <w:sz w:val="20"/>
          <w:szCs w:val="20"/>
          <w:lang w:val="en-US"/>
        </w:rPr>
      </w:pPr>
      <w:r>
        <w:rPr>
          <w:sz w:val="20"/>
          <w:szCs w:val="20"/>
          <w:lang w:val="en-US"/>
        </w:rPr>
        <w:t xml:space="preserve">White, T.P., Loth, E., </w:t>
      </w:r>
      <w:proofErr w:type="spellStart"/>
      <w:r>
        <w:rPr>
          <w:sz w:val="20"/>
          <w:szCs w:val="20"/>
          <w:lang w:val="en-US"/>
        </w:rPr>
        <w:t>Rubia</w:t>
      </w:r>
      <w:proofErr w:type="spellEnd"/>
      <w:r>
        <w:rPr>
          <w:sz w:val="20"/>
          <w:szCs w:val="20"/>
          <w:lang w:val="en-US"/>
        </w:rPr>
        <w:t xml:space="preserve">, K., </w:t>
      </w:r>
      <w:proofErr w:type="spellStart"/>
      <w:r>
        <w:rPr>
          <w:sz w:val="20"/>
          <w:szCs w:val="20"/>
          <w:lang w:val="en-US"/>
        </w:rPr>
        <w:t>Krabbendam</w:t>
      </w:r>
      <w:proofErr w:type="spellEnd"/>
      <w:r>
        <w:rPr>
          <w:sz w:val="20"/>
          <w:szCs w:val="20"/>
          <w:lang w:val="en-US"/>
        </w:rPr>
        <w:t xml:space="preserve">, L., Whelan, R., </w:t>
      </w:r>
      <w:proofErr w:type="spellStart"/>
      <w:r>
        <w:rPr>
          <w:sz w:val="20"/>
          <w:szCs w:val="20"/>
          <w:lang w:val="en-US"/>
        </w:rPr>
        <w:t>Banaschewski</w:t>
      </w:r>
      <w:proofErr w:type="spellEnd"/>
      <w:r>
        <w:rPr>
          <w:sz w:val="20"/>
          <w:szCs w:val="20"/>
          <w:lang w:val="en-US"/>
        </w:rPr>
        <w:t xml:space="preserve">, T., Barker, G.J., </w:t>
      </w:r>
      <w:proofErr w:type="spellStart"/>
      <w:r>
        <w:rPr>
          <w:sz w:val="20"/>
          <w:szCs w:val="20"/>
          <w:lang w:val="en-US"/>
        </w:rPr>
        <w:t>Bokde</w:t>
      </w:r>
      <w:proofErr w:type="spellEnd"/>
      <w:r>
        <w:rPr>
          <w:sz w:val="20"/>
          <w:szCs w:val="20"/>
          <w:lang w:val="en-US"/>
        </w:rPr>
        <w:t xml:space="preserve">, A.L., </w:t>
      </w:r>
      <w:proofErr w:type="spellStart"/>
      <w:r>
        <w:rPr>
          <w:sz w:val="20"/>
          <w:szCs w:val="20"/>
          <w:lang w:val="en-US"/>
        </w:rPr>
        <w:t>Büchel</w:t>
      </w:r>
      <w:proofErr w:type="spellEnd"/>
      <w:r>
        <w:rPr>
          <w:sz w:val="20"/>
          <w:szCs w:val="20"/>
          <w:lang w:val="en-US"/>
        </w:rPr>
        <w:t xml:space="preserve">, C., Conrod, P., </w:t>
      </w:r>
      <w:proofErr w:type="spellStart"/>
      <w:r>
        <w:rPr>
          <w:sz w:val="20"/>
          <w:szCs w:val="20"/>
          <w:lang w:val="en-US"/>
        </w:rPr>
        <w:t>Fauth-Bühler</w:t>
      </w:r>
      <w:proofErr w:type="spellEnd"/>
      <w:r>
        <w:rPr>
          <w:sz w:val="20"/>
          <w:szCs w:val="20"/>
          <w:lang w:val="en-US"/>
        </w:rPr>
        <w:t xml:space="preserve">, M., Flor, H., </w:t>
      </w:r>
      <w:proofErr w:type="spellStart"/>
      <w:r>
        <w:rPr>
          <w:sz w:val="20"/>
          <w:szCs w:val="20"/>
          <w:lang w:val="en-US"/>
        </w:rPr>
        <w:t>Frouin</w:t>
      </w:r>
      <w:proofErr w:type="spellEnd"/>
      <w:r>
        <w:rPr>
          <w:sz w:val="20"/>
          <w:szCs w:val="20"/>
          <w:lang w:val="en-US"/>
        </w:rPr>
        <w:t xml:space="preserve">, V., </w:t>
      </w:r>
      <w:proofErr w:type="spellStart"/>
      <w:r>
        <w:rPr>
          <w:sz w:val="20"/>
          <w:szCs w:val="20"/>
          <w:lang w:val="en-US"/>
        </w:rPr>
        <w:t>Gallinat</w:t>
      </w:r>
      <w:proofErr w:type="spellEnd"/>
      <w:r>
        <w:rPr>
          <w:sz w:val="20"/>
          <w:szCs w:val="20"/>
          <w:lang w:val="en-US"/>
        </w:rPr>
        <w:t xml:space="preserve">, J., </w:t>
      </w:r>
      <w:proofErr w:type="spellStart"/>
      <w:r>
        <w:rPr>
          <w:sz w:val="20"/>
          <w:szCs w:val="20"/>
          <w:lang w:val="en-US"/>
        </w:rPr>
        <w:t>Garavan</w:t>
      </w:r>
      <w:proofErr w:type="spellEnd"/>
      <w:r>
        <w:rPr>
          <w:sz w:val="20"/>
          <w:szCs w:val="20"/>
          <w:lang w:val="en-US"/>
        </w:rPr>
        <w:t xml:space="preserve">, H., </w:t>
      </w:r>
      <w:proofErr w:type="spellStart"/>
      <w:r>
        <w:rPr>
          <w:sz w:val="20"/>
          <w:szCs w:val="20"/>
          <w:lang w:val="en-US"/>
        </w:rPr>
        <w:t>Gowland</w:t>
      </w:r>
      <w:proofErr w:type="spellEnd"/>
      <w:r>
        <w:rPr>
          <w:sz w:val="20"/>
          <w:szCs w:val="20"/>
          <w:lang w:val="en-US"/>
        </w:rPr>
        <w:t xml:space="preserve">, P., Heinz, A., </w:t>
      </w:r>
      <w:proofErr w:type="spellStart"/>
      <w:r>
        <w:rPr>
          <w:sz w:val="20"/>
          <w:szCs w:val="20"/>
          <w:lang w:val="en-US"/>
        </w:rPr>
        <w:t>Ittermann</w:t>
      </w:r>
      <w:proofErr w:type="spellEnd"/>
      <w:r>
        <w:rPr>
          <w:sz w:val="20"/>
          <w:szCs w:val="20"/>
          <w:lang w:val="en-US"/>
        </w:rPr>
        <w:t xml:space="preserve">, B., Lawrence, C., Mann, K., </w:t>
      </w:r>
      <w:proofErr w:type="spellStart"/>
      <w:r>
        <w:rPr>
          <w:sz w:val="20"/>
          <w:szCs w:val="20"/>
          <w:lang w:val="en-US"/>
        </w:rPr>
        <w:t>Paillère</w:t>
      </w:r>
      <w:proofErr w:type="spellEnd"/>
      <w:r>
        <w:rPr>
          <w:sz w:val="20"/>
          <w:szCs w:val="20"/>
          <w:lang w:val="en-US"/>
        </w:rPr>
        <w:t xml:space="preserve">, M.L., </w:t>
      </w:r>
      <w:proofErr w:type="spellStart"/>
      <w:r>
        <w:rPr>
          <w:sz w:val="20"/>
          <w:szCs w:val="20"/>
          <w:lang w:val="en-US"/>
        </w:rPr>
        <w:t>Nees</w:t>
      </w:r>
      <w:proofErr w:type="spellEnd"/>
      <w:r>
        <w:rPr>
          <w:sz w:val="20"/>
          <w:szCs w:val="20"/>
          <w:lang w:val="en-US"/>
        </w:rPr>
        <w:t xml:space="preserve">, F., Paus, T., </w:t>
      </w:r>
      <w:proofErr w:type="spellStart"/>
      <w:r>
        <w:rPr>
          <w:sz w:val="20"/>
          <w:szCs w:val="20"/>
          <w:lang w:val="en-US"/>
        </w:rPr>
        <w:t>Pausova</w:t>
      </w:r>
      <w:proofErr w:type="spellEnd"/>
      <w:r>
        <w:rPr>
          <w:sz w:val="20"/>
          <w:szCs w:val="20"/>
          <w:lang w:val="en-US"/>
        </w:rPr>
        <w:t xml:space="preserve">, Z., </w:t>
      </w:r>
      <w:proofErr w:type="spellStart"/>
      <w:r>
        <w:rPr>
          <w:sz w:val="20"/>
          <w:szCs w:val="20"/>
          <w:lang w:val="en-US"/>
        </w:rPr>
        <w:t>Rietschel</w:t>
      </w:r>
      <w:proofErr w:type="spellEnd"/>
      <w:r>
        <w:rPr>
          <w:sz w:val="20"/>
          <w:szCs w:val="20"/>
          <w:lang w:val="en-US"/>
        </w:rPr>
        <w:t xml:space="preserve">, M., Robbins, T., </w:t>
      </w:r>
      <w:proofErr w:type="spellStart"/>
      <w:r>
        <w:rPr>
          <w:sz w:val="20"/>
          <w:szCs w:val="20"/>
          <w:lang w:val="en-US"/>
        </w:rPr>
        <w:t>Smolka</w:t>
      </w:r>
      <w:proofErr w:type="spellEnd"/>
      <w:r>
        <w:rPr>
          <w:sz w:val="20"/>
          <w:szCs w:val="20"/>
          <w:lang w:val="en-US"/>
        </w:rPr>
        <w:t xml:space="preserve">, M.N., </w:t>
      </w:r>
      <w:proofErr w:type="spellStart"/>
      <w:r>
        <w:rPr>
          <w:sz w:val="20"/>
          <w:szCs w:val="20"/>
          <w:lang w:val="en-US"/>
        </w:rPr>
        <w:t>Shergill</w:t>
      </w:r>
      <w:proofErr w:type="spellEnd"/>
      <w:r>
        <w:rPr>
          <w:sz w:val="20"/>
          <w:szCs w:val="20"/>
          <w:lang w:val="en-US"/>
        </w:rPr>
        <w:t>, S.S., Schumann, G.; IMAGEN Consortium, 2014. Sex differences in COMT polymorphism effects on prefrontal inhibitory control in adolescence. Neuropsychopharmacology 39, 2560-2569.</w:t>
      </w:r>
    </w:p>
    <w:p w:rsidR="00C61F9C" w:rsidRPr="00B26E04" w:rsidRDefault="0096787B" w:rsidP="00113B97">
      <w:pPr>
        <w:spacing w:after="120" w:line="480" w:lineRule="auto"/>
        <w:rPr>
          <w:sz w:val="20"/>
          <w:szCs w:val="20"/>
          <w:lang w:val="en-US"/>
        </w:rPr>
      </w:pPr>
      <w:proofErr w:type="spellStart"/>
      <w:r>
        <w:rPr>
          <w:sz w:val="20"/>
          <w:szCs w:val="20"/>
          <w:lang w:val="en-US"/>
        </w:rPr>
        <w:t>Widmayer</w:t>
      </w:r>
      <w:proofErr w:type="spellEnd"/>
      <w:r>
        <w:rPr>
          <w:sz w:val="20"/>
          <w:szCs w:val="20"/>
          <w:lang w:val="en-US"/>
        </w:rPr>
        <w:t xml:space="preserve">, S., </w:t>
      </w:r>
      <w:proofErr w:type="spellStart"/>
      <w:r>
        <w:rPr>
          <w:sz w:val="20"/>
          <w:szCs w:val="20"/>
          <w:lang w:val="en-US"/>
        </w:rPr>
        <w:t>Sowislo</w:t>
      </w:r>
      <w:proofErr w:type="spellEnd"/>
      <w:r>
        <w:rPr>
          <w:sz w:val="20"/>
          <w:szCs w:val="20"/>
          <w:lang w:val="en-US"/>
        </w:rPr>
        <w:t xml:space="preserve">, J.F., </w:t>
      </w:r>
      <w:proofErr w:type="spellStart"/>
      <w:r>
        <w:rPr>
          <w:sz w:val="20"/>
          <w:szCs w:val="20"/>
          <w:lang w:val="en-US"/>
        </w:rPr>
        <w:t>Jungfer</w:t>
      </w:r>
      <w:proofErr w:type="spellEnd"/>
      <w:r>
        <w:rPr>
          <w:sz w:val="20"/>
          <w:szCs w:val="20"/>
          <w:lang w:val="en-US"/>
        </w:rPr>
        <w:t xml:space="preserve">, H.A., </w:t>
      </w:r>
      <w:proofErr w:type="spellStart"/>
      <w:r>
        <w:rPr>
          <w:sz w:val="20"/>
          <w:szCs w:val="20"/>
          <w:lang w:val="en-US"/>
        </w:rPr>
        <w:t>Borgwardt</w:t>
      </w:r>
      <w:proofErr w:type="spellEnd"/>
      <w:r>
        <w:rPr>
          <w:sz w:val="20"/>
          <w:szCs w:val="20"/>
          <w:lang w:val="en-US"/>
        </w:rPr>
        <w:t>, S., Lang, U.E., Stieglitz, R.D., Huber, C.G., 2018. Structural Magnetic Resonance Imaging Correlates of Aggression in Psychosis: A Systematic Review and Effect Size Analysis. Front. Psychiatry. 9, 217.</w:t>
      </w:r>
    </w:p>
    <w:p w:rsidR="00352A2A" w:rsidRPr="00B26E04" w:rsidRDefault="0096787B" w:rsidP="00113B97">
      <w:pPr>
        <w:spacing w:after="120" w:line="480" w:lineRule="auto"/>
        <w:rPr>
          <w:sz w:val="20"/>
          <w:szCs w:val="20"/>
          <w:lang w:val="en-US"/>
        </w:rPr>
      </w:pPr>
      <w:proofErr w:type="spellStart"/>
      <w:r>
        <w:rPr>
          <w:sz w:val="20"/>
          <w:szCs w:val="20"/>
          <w:lang w:val="en-US"/>
        </w:rPr>
        <w:t>Wielpuetz</w:t>
      </w:r>
      <w:proofErr w:type="spellEnd"/>
      <w:r>
        <w:rPr>
          <w:sz w:val="20"/>
          <w:szCs w:val="20"/>
          <w:lang w:val="en-US"/>
        </w:rPr>
        <w:t xml:space="preserve">, C., </w:t>
      </w:r>
      <w:proofErr w:type="spellStart"/>
      <w:r>
        <w:rPr>
          <w:sz w:val="20"/>
          <w:szCs w:val="20"/>
          <w:lang w:val="en-US"/>
        </w:rPr>
        <w:t>Kuepper</w:t>
      </w:r>
      <w:proofErr w:type="spellEnd"/>
      <w:r>
        <w:rPr>
          <w:sz w:val="20"/>
          <w:szCs w:val="20"/>
          <w:lang w:val="en-US"/>
        </w:rPr>
        <w:t xml:space="preserve">, Y., Grant, P., Munk, A.J., Hennig, J., 2015. Variations in central serotonergic activity - relevance of the 5-HTTLPR, life events and their interaction. </w:t>
      </w:r>
      <w:proofErr w:type="spellStart"/>
      <w:r>
        <w:rPr>
          <w:sz w:val="20"/>
          <w:szCs w:val="20"/>
          <w:lang w:val="en-US"/>
        </w:rPr>
        <w:t>Behav</w:t>
      </w:r>
      <w:proofErr w:type="spellEnd"/>
      <w:r>
        <w:rPr>
          <w:sz w:val="20"/>
          <w:szCs w:val="20"/>
          <w:lang w:val="en-US"/>
        </w:rPr>
        <w:t>. Brain Res. 277, 245-253.</w:t>
      </w:r>
    </w:p>
    <w:p w:rsidR="00352A2A" w:rsidRPr="00B26E04" w:rsidRDefault="0096787B" w:rsidP="00113B97">
      <w:pPr>
        <w:spacing w:after="120" w:line="480" w:lineRule="auto"/>
        <w:rPr>
          <w:sz w:val="20"/>
          <w:szCs w:val="20"/>
          <w:lang w:val="en-US"/>
        </w:rPr>
      </w:pPr>
      <w:proofErr w:type="spellStart"/>
      <w:r>
        <w:rPr>
          <w:sz w:val="20"/>
          <w:szCs w:val="20"/>
          <w:lang w:val="en-US"/>
        </w:rPr>
        <w:t>Willeit</w:t>
      </w:r>
      <w:proofErr w:type="spellEnd"/>
      <w:r>
        <w:rPr>
          <w:sz w:val="20"/>
          <w:szCs w:val="20"/>
          <w:lang w:val="en-US"/>
        </w:rPr>
        <w:t xml:space="preserve">, M., </w:t>
      </w:r>
      <w:proofErr w:type="spellStart"/>
      <w:r>
        <w:rPr>
          <w:sz w:val="20"/>
          <w:szCs w:val="20"/>
          <w:lang w:val="en-US"/>
        </w:rPr>
        <w:t>Praschak-Rieder</w:t>
      </w:r>
      <w:proofErr w:type="spellEnd"/>
      <w:r>
        <w:rPr>
          <w:sz w:val="20"/>
          <w:szCs w:val="20"/>
          <w:lang w:val="en-US"/>
        </w:rPr>
        <w:t xml:space="preserve">, N., </w:t>
      </w:r>
      <w:proofErr w:type="spellStart"/>
      <w:r>
        <w:rPr>
          <w:sz w:val="20"/>
          <w:szCs w:val="20"/>
          <w:lang w:val="en-US"/>
        </w:rPr>
        <w:t>Neumeister</w:t>
      </w:r>
      <w:proofErr w:type="spellEnd"/>
      <w:r>
        <w:rPr>
          <w:sz w:val="20"/>
          <w:szCs w:val="20"/>
          <w:lang w:val="en-US"/>
        </w:rPr>
        <w:t xml:space="preserve">, A., Pirker, W., </w:t>
      </w:r>
      <w:proofErr w:type="spellStart"/>
      <w:r>
        <w:rPr>
          <w:sz w:val="20"/>
          <w:szCs w:val="20"/>
          <w:lang w:val="en-US"/>
        </w:rPr>
        <w:t>Asenbaum</w:t>
      </w:r>
      <w:proofErr w:type="spellEnd"/>
      <w:r>
        <w:rPr>
          <w:sz w:val="20"/>
          <w:szCs w:val="20"/>
          <w:lang w:val="en-US"/>
        </w:rPr>
        <w:t xml:space="preserve">, S., </w:t>
      </w:r>
      <w:proofErr w:type="spellStart"/>
      <w:r>
        <w:rPr>
          <w:sz w:val="20"/>
          <w:szCs w:val="20"/>
          <w:lang w:val="en-US"/>
        </w:rPr>
        <w:t>Vitouch</w:t>
      </w:r>
      <w:proofErr w:type="spellEnd"/>
      <w:r>
        <w:rPr>
          <w:sz w:val="20"/>
          <w:szCs w:val="20"/>
          <w:lang w:val="en-US"/>
        </w:rPr>
        <w:t xml:space="preserve">, O., Tauscher, J., </w:t>
      </w:r>
      <w:proofErr w:type="spellStart"/>
      <w:r>
        <w:rPr>
          <w:sz w:val="20"/>
          <w:szCs w:val="20"/>
          <w:lang w:val="en-US"/>
        </w:rPr>
        <w:t>Hilger</w:t>
      </w:r>
      <w:proofErr w:type="spellEnd"/>
      <w:r>
        <w:rPr>
          <w:sz w:val="20"/>
          <w:szCs w:val="20"/>
          <w:lang w:val="en-US"/>
        </w:rPr>
        <w:t xml:space="preserve">, E., Stastny, J., </w:t>
      </w:r>
      <w:proofErr w:type="spellStart"/>
      <w:r>
        <w:rPr>
          <w:sz w:val="20"/>
          <w:szCs w:val="20"/>
          <w:lang w:val="en-US"/>
        </w:rPr>
        <w:t>Brücke</w:t>
      </w:r>
      <w:proofErr w:type="spellEnd"/>
      <w:r>
        <w:rPr>
          <w:sz w:val="20"/>
          <w:szCs w:val="20"/>
          <w:lang w:val="en-US"/>
        </w:rPr>
        <w:t xml:space="preserve">, T., Kasper, S., 2000. [123I]-beta-CIT </w:t>
      </w:r>
      <w:proofErr w:type="spellStart"/>
      <w:r>
        <w:rPr>
          <w:sz w:val="20"/>
          <w:szCs w:val="20"/>
          <w:lang w:val="en-US"/>
        </w:rPr>
        <w:t>SPECTimaging</w:t>
      </w:r>
      <w:proofErr w:type="spellEnd"/>
      <w:r>
        <w:rPr>
          <w:sz w:val="20"/>
          <w:szCs w:val="20"/>
          <w:lang w:val="en-US"/>
        </w:rPr>
        <w:t xml:space="preserve"> shows reduced brain serotonin transporter availability in drug-free depressed patients with seasonal affective disorder. Biol. Psychiatry 47, 482-489.</w:t>
      </w:r>
    </w:p>
    <w:p w:rsidR="00352A2A" w:rsidRPr="00B26E04" w:rsidRDefault="0096787B" w:rsidP="00113B97">
      <w:pPr>
        <w:spacing w:after="120" w:line="480" w:lineRule="auto"/>
        <w:rPr>
          <w:sz w:val="20"/>
          <w:szCs w:val="20"/>
          <w:lang w:val="en-US"/>
        </w:rPr>
      </w:pPr>
      <w:proofErr w:type="spellStart"/>
      <w:r>
        <w:rPr>
          <w:sz w:val="20"/>
          <w:szCs w:val="20"/>
          <w:lang w:val="en-US"/>
        </w:rPr>
        <w:t>Winecoff</w:t>
      </w:r>
      <w:proofErr w:type="spellEnd"/>
      <w:r>
        <w:rPr>
          <w:sz w:val="20"/>
          <w:szCs w:val="20"/>
          <w:lang w:val="en-US"/>
        </w:rPr>
        <w:t xml:space="preserve">, A., </w:t>
      </w:r>
      <w:proofErr w:type="spellStart"/>
      <w:r>
        <w:rPr>
          <w:sz w:val="20"/>
          <w:szCs w:val="20"/>
          <w:lang w:val="en-US"/>
        </w:rPr>
        <w:t>Clithero</w:t>
      </w:r>
      <w:proofErr w:type="spellEnd"/>
      <w:r>
        <w:rPr>
          <w:sz w:val="20"/>
          <w:szCs w:val="20"/>
          <w:lang w:val="en-US"/>
        </w:rPr>
        <w:t xml:space="preserve">, J.A., Carter, R.M., Bergman, S.R., Wang, L., </w:t>
      </w:r>
      <w:proofErr w:type="spellStart"/>
      <w:r>
        <w:rPr>
          <w:sz w:val="20"/>
          <w:szCs w:val="20"/>
          <w:lang w:val="en-US"/>
        </w:rPr>
        <w:t>Huettel</w:t>
      </w:r>
      <w:proofErr w:type="spellEnd"/>
      <w:r>
        <w:rPr>
          <w:sz w:val="20"/>
          <w:szCs w:val="20"/>
          <w:lang w:val="en-US"/>
        </w:rPr>
        <w:t xml:space="preserve">, S.A., 2013. Ventromedial prefrontal cortex encodes emotional value. J. </w:t>
      </w:r>
      <w:proofErr w:type="spellStart"/>
      <w:r>
        <w:rPr>
          <w:sz w:val="20"/>
          <w:szCs w:val="20"/>
          <w:lang w:val="en-US"/>
        </w:rPr>
        <w:t>Neurosci</w:t>
      </w:r>
      <w:proofErr w:type="spellEnd"/>
      <w:r>
        <w:rPr>
          <w:sz w:val="20"/>
          <w:szCs w:val="20"/>
          <w:lang w:val="en-US"/>
        </w:rPr>
        <w:t>. 33, 11032-11039.</w:t>
      </w:r>
    </w:p>
    <w:p w:rsidR="00352A2A" w:rsidRPr="00B26E04" w:rsidRDefault="0096787B" w:rsidP="00113B97">
      <w:pPr>
        <w:spacing w:after="120" w:line="480" w:lineRule="auto"/>
        <w:rPr>
          <w:sz w:val="20"/>
          <w:szCs w:val="20"/>
          <w:lang w:val="en-US"/>
        </w:rPr>
      </w:pPr>
      <w:r>
        <w:rPr>
          <w:sz w:val="20"/>
          <w:szCs w:val="20"/>
          <w:lang w:val="en-US"/>
        </w:rPr>
        <w:lastRenderedPageBreak/>
        <w:t xml:space="preserve">Wolf, R.C., Philippi, C.L., </w:t>
      </w:r>
      <w:proofErr w:type="spellStart"/>
      <w:r>
        <w:rPr>
          <w:sz w:val="20"/>
          <w:szCs w:val="20"/>
          <w:lang w:val="en-US"/>
        </w:rPr>
        <w:t>Motzkin</w:t>
      </w:r>
      <w:proofErr w:type="spellEnd"/>
      <w:r>
        <w:rPr>
          <w:sz w:val="20"/>
          <w:szCs w:val="20"/>
          <w:lang w:val="en-US"/>
        </w:rPr>
        <w:t xml:space="preserve">, J.C., </w:t>
      </w:r>
      <w:proofErr w:type="spellStart"/>
      <w:r>
        <w:rPr>
          <w:sz w:val="20"/>
          <w:szCs w:val="20"/>
          <w:lang w:val="en-US"/>
        </w:rPr>
        <w:t>Baskaya</w:t>
      </w:r>
      <w:proofErr w:type="spellEnd"/>
      <w:r>
        <w:rPr>
          <w:sz w:val="20"/>
          <w:szCs w:val="20"/>
          <w:lang w:val="en-US"/>
        </w:rPr>
        <w:t xml:space="preserve">, M.K., </w:t>
      </w:r>
      <w:proofErr w:type="spellStart"/>
      <w:r>
        <w:rPr>
          <w:sz w:val="20"/>
          <w:szCs w:val="20"/>
          <w:lang w:val="en-US"/>
        </w:rPr>
        <w:t>Koenigs</w:t>
      </w:r>
      <w:proofErr w:type="spellEnd"/>
      <w:r>
        <w:rPr>
          <w:sz w:val="20"/>
          <w:szCs w:val="20"/>
          <w:lang w:val="en-US"/>
        </w:rPr>
        <w:t>, M., 2014. Ventromedial prefrontal cortex mediates visual attention during facial emotion recognition. Brain 137, 1772-1780.</w:t>
      </w:r>
    </w:p>
    <w:p w:rsidR="00352A2A" w:rsidRPr="00B26E04" w:rsidRDefault="0096787B" w:rsidP="00113B97">
      <w:pPr>
        <w:spacing w:after="120" w:line="480" w:lineRule="auto"/>
        <w:rPr>
          <w:sz w:val="20"/>
          <w:szCs w:val="20"/>
          <w:lang w:val="en-US"/>
        </w:rPr>
      </w:pPr>
      <w:r>
        <w:rPr>
          <w:sz w:val="20"/>
          <w:szCs w:val="20"/>
          <w:lang w:val="en-US"/>
        </w:rPr>
        <w:t xml:space="preserve">Wolfe, D.A., Crooks, C.V., Lee, V., McIntyre-Smith, A., Jaffe, P.G., 2003. The effects of children's exposure to domestic violence: a meta-analysis and critique. Clin. Child Fam. Psychol. Rev. 6, 171-187. </w:t>
      </w:r>
    </w:p>
    <w:p w:rsidR="00352A2A" w:rsidRPr="00B26E04" w:rsidRDefault="0096787B" w:rsidP="00113B97">
      <w:pPr>
        <w:spacing w:after="120" w:line="480" w:lineRule="auto"/>
        <w:rPr>
          <w:sz w:val="20"/>
          <w:szCs w:val="20"/>
          <w:lang w:val="en-US"/>
        </w:rPr>
      </w:pPr>
      <w:r>
        <w:rPr>
          <w:sz w:val="20"/>
          <w:szCs w:val="20"/>
          <w:lang w:val="en-US"/>
        </w:rPr>
        <w:t xml:space="preserve">Wood, J.N., Grafman, J., 2003. Human prefrontal cortex: processing and representational perspectives. Nat. Rev. </w:t>
      </w:r>
      <w:proofErr w:type="spellStart"/>
      <w:r>
        <w:rPr>
          <w:sz w:val="20"/>
          <w:szCs w:val="20"/>
          <w:lang w:val="en-US"/>
        </w:rPr>
        <w:t>Neurosci</w:t>
      </w:r>
      <w:proofErr w:type="spellEnd"/>
      <w:r>
        <w:rPr>
          <w:sz w:val="20"/>
          <w:szCs w:val="20"/>
          <w:lang w:val="en-US"/>
        </w:rPr>
        <w:t>. 4, 139-147.</w:t>
      </w:r>
    </w:p>
    <w:p w:rsidR="001A140E" w:rsidRPr="00B26E04" w:rsidRDefault="0096787B" w:rsidP="00113B97">
      <w:pPr>
        <w:spacing w:after="120" w:line="480" w:lineRule="auto"/>
        <w:rPr>
          <w:sz w:val="20"/>
          <w:szCs w:val="20"/>
          <w:lang w:val="en-US"/>
        </w:rPr>
      </w:pPr>
      <w:r>
        <w:rPr>
          <w:sz w:val="20"/>
          <w:szCs w:val="20"/>
          <w:lang w:val="en-US"/>
        </w:rPr>
        <w:t xml:space="preserve">Yang, J., Benyamin, B., McEvoy, B.P., Gordon, S., </w:t>
      </w:r>
      <w:proofErr w:type="spellStart"/>
      <w:r>
        <w:rPr>
          <w:sz w:val="20"/>
          <w:szCs w:val="20"/>
          <w:lang w:val="en-US"/>
        </w:rPr>
        <w:t>Henders</w:t>
      </w:r>
      <w:proofErr w:type="spellEnd"/>
      <w:r>
        <w:rPr>
          <w:sz w:val="20"/>
          <w:szCs w:val="20"/>
          <w:lang w:val="en-US"/>
        </w:rPr>
        <w:t xml:space="preserve">, A.K., </w:t>
      </w:r>
      <w:proofErr w:type="spellStart"/>
      <w:r>
        <w:rPr>
          <w:sz w:val="20"/>
          <w:szCs w:val="20"/>
          <w:lang w:val="en-US"/>
        </w:rPr>
        <w:t>Nyholt</w:t>
      </w:r>
      <w:proofErr w:type="spellEnd"/>
      <w:r>
        <w:rPr>
          <w:sz w:val="20"/>
          <w:szCs w:val="20"/>
          <w:lang w:val="en-US"/>
        </w:rPr>
        <w:t>, D.R., Madden, P.A., Heath, A.C., Martin, N.G., Montgomery, G.W., Goddard, M.E., Visscher, P.M., 2010</w:t>
      </w:r>
      <w:r w:rsidR="00776C3F">
        <w:rPr>
          <w:sz w:val="20"/>
          <w:szCs w:val="20"/>
          <w:lang w:val="en-US"/>
        </w:rPr>
        <w:t>b</w:t>
      </w:r>
      <w:r>
        <w:rPr>
          <w:sz w:val="20"/>
          <w:szCs w:val="20"/>
          <w:lang w:val="en-US"/>
        </w:rPr>
        <w:t>. Common SNPs explain a large proportion of the heritability for human height. Nat. Genet. 42, 565-569.</w:t>
      </w:r>
    </w:p>
    <w:p w:rsidR="00C63512" w:rsidRPr="00B26E04" w:rsidRDefault="0096787B" w:rsidP="00113B97">
      <w:pPr>
        <w:spacing w:after="120" w:line="480" w:lineRule="auto"/>
        <w:rPr>
          <w:sz w:val="20"/>
          <w:szCs w:val="20"/>
          <w:lang w:val="en-US"/>
        </w:rPr>
      </w:pPr>
      <w:r>
        <w:rPr>
          <w:sz w:val="20"/>
          <w:szCs w:val="20"/>
          <w:lang w:val="en-US"/>
        </w:rPr>
        <w:t>Yang, Y., Raine, A., 2009. Prefrontal structural and functional brain imaging findings in antisocial, violent, and psychopathic individuals: a meta-analysis. Psychiatry Res. 174, 81-88.</w:t>
      </w:r>
    </w:p>
    <w:p w:rsidR="00352A2A" w:rsidRPr="00B26E04" w:rsidRDefault="0096787B" w:rsidP="00113B97">
      <w:pPr>
        <w:spacing w:after="120" w:line="480" w:lineRule="auto"/>
        <w:rPr>
          <w:sz w:val="20"/>
          <w:szCs w:val="20"/>
          <w:lang w:val="en-US"/>
        </w:rPr>
      </w:pPr>
      <w:r>
        <w:rPr>
          <w:sz w:val="20"/>
          <w:szCs w:val="20"/>
          <w:lang w:val="en-US"/>
        </w:rPr>
        <w:t xml:space="preserve">Yang, Y., Raine, A., </w:t>
      </w:r>
      <w:proofErr w:type="spellStart"/>
      <w:r>
        <w:rPr>
          <w:sz w:val="20"/>
          <w:szCs w:val="20"/>
          <w:lang w:val="en-US"/>
        </w:rPr>
        <w:t>Lencz</w:t>
      </w:r>
      <w:proofErr w:type="spellEnd"/>
      <w:r>
        <w:rPr>
          <w:sz w:val="20"/>
          <w:szCs w:val="20"/>
          <w:lang w:val="en-US"/>
        </w:rPr>
        <w:t xml:space="preserve">, T., </w:t>
      </w:r>
      <w:proofErr w:type="spellStart"/>
      <w:r>
        <w:rPr>
          <w:sz w:val="20"/>
          <w:szCs w:val="20"/>
          <w:lang w:val="en-US"/>
        </w:rPr>
        <w:t>Bihrle</w:t>
      </w:r>
      <w:proofErr w:type="spellEnd"/>
      <w:r>
        <w:rPr>
          <w:sz w:val="20"/>
          <w:szCs w:val="20"/>
          <w:lang w:val="en-US"/>
        </w:rPr>
        <w:t xml:space="preserve">, S., </w:t>
      </w:r>
      <w:proofErr w:type="spellStart"/>
      <w:r>
        <w:rPr>
          <w:sz w:val="20"/>
          <w:szCs w:val="20"/>
          <w:lang w:val="en-US"/>
        </w:rPr>
        <w:t>LaCasse</w:t>
      </w:r>
      <w:proofErr w:type="spellEnd"/>
      <w:r>
        <w:rPr>
          <w:sz w:val="20"/>
          <w:szCs w:val="20"/>
          <w:lang w:val="en-US"/>
        </w:rPr>
        <w:t xml:space="preserve">, L., </w:t>
      </w:r>
      <w:proofErr w:type="spellStart"/>
      <w:r>
        <w:rPr>
          <w:sz w:val="20"/>
          <w:szCs w:val="20"/>
          <w:lang w:val="en-US"/>
        </w:rPr>
        <w:t>Colletti</w:t>
      </w:r>
      <w:proofErr w:type="spellEnd"/>
      <w:r>
        <w:rPr>
          <w:sz w:val="20"/>
          <w:szCs w:val="20"/>
          <w:lang w:val="en-US"/>
        </w:rPr>
        <w:t>, P., 2005. Volume reduction in prefrontal gray matter in unsuccessful criminal psychopaths. Biol. Psychiatry 57, 1103-1108.</w:t>
      </w:r>
    </w:p>
    <w:p w:rsidR="00352A2A" w:rsidRPr="00B26E04" w:rsidRDefault="0096787B" w:rsidP="00113B97">
      <w:pPr>
        <w:spacing w:after="120" w:line="480" w:lineRule="auto"/>
        <w:rPr>
          <w:sz w:val="20"/>
          <w:szCs w:val="20"/>
          <w:lang w:val="en-US"/>
        </w:rPr>
      </w:pPr>
      <w:r>
        <w:rPr>
          <w:sz w:val="20"/>
          <w:szCs w:val="20"/>
          <w:lang w:val="en-US"/>
        </w:rPr>
        <w:t xml:space="preserve">Yang, Y., Glenn, A.L., Raine, A., 2008. Brain abnormalities in antisocial individuals: implications for the law. </w:t>
      </w:r>
      <w:proofErr w:type="spellStart"/>
      <w:r>
        <w:rPr>
          <w:sz w:val="20"/>
          <w:szCs w:val="20"/>
          <w:lang w:val="en-US"/>
        </w:rPr>
        <w:t>Behav</w:t>
      </w:r>
      <w:proofErr w:type="spellEnd"/>
      <w:r>
        <w:rPr>
          <w:sz w:val="20"/>
          <w:szCs w:val="20"/>
          <w:lang w:val="en-US"/>
        </w:rPr>
        <w:t>. Sci. Law 26, 65-83.</w:t>
      </w:r>
    </w:p>
    <w:p w:rsidR="00352A2A" w:rsidRPr="00B26E04" w:rsidRDefault="0096787B" w:rsidP="00113B97">
      <w:pPr>
        <w:spacing w:after="120" w:line="480" w:lineRule="auto"/>
        <w:rPr>
          <w:sz w:val="20"/>
          <w:szCs w:val="20"/>
          <w:lang w:val="en-US"/>
        </w:rPr>
      </w:pPr>
      <w:r>
        <w:rPr>
          <w:sz w:val="20"/>
          <w:szCs w:val="20"/>
          <w:lang w:val="en-US"/>
        </w:rPr>
        <w:t xml:space="preserve">Yang, Y., Raine, A., Han, C.B., </w:t>
      </w:r>
      <w:proofErr w:type="spellStart"/>
      <w:r>
        <w:rPr>
          <w:sz w:val="20"/>
          <w:szCs w:val="20"/>
          <w:lang w:val="en-US"/>
        </w:rPr>
        <w:t>Schug</w:t>
      </w:r>
      <w:proofErr w:type="spellEnd"/>
      <w:r>
        <w:rPr>
          <w:sz w:val="20"/>
          <w:szCs w:val="20"/>
          <w:lang w:val="en-US"/>
        </w:rPr>
        <w:t xml:space="preserve">, R.A., Toga, A.W., </w:t>
      </w:r>
      <w:proofErr w:type="spellStart"/>
      <w:r>
        <w:rPr>
          <w:sz w:val="20"/>
          <w:szCs w:val="20"/>
          <w:lang w:val="en-US"/>
        </w:rPr>
        <w:t>Narr</w:t>
      </w:r>
      <w:proofErr w:type="spellEnd"/>
      <w:r>
        <w:rPr>
          <w:sz w:val="20"/>
          <w:szCs w:val="20"/>
          <w:lang w:val="en-US"/>
        </w:rPr>
        <w:t>, K.L., 2010</w:t>
      </w:r>
      <w:r w:rsidR="00776C3F">
        <w:rPr>
          <w:sz w:val="20"/>
          <w:szCs w:val="20"/>
          <w:lang w:val="en-US"/>
        </w:rPr>
        <w:t>a</w:t>
      </w:r>
      <w:r>
        <w:rPr>
          <w:sz w:val="20"/>
          <w:szCs w:val="20"/>
          <w:lang w:val="en-US"/>
        </w:rPr>
        <w:t xml:space="preserve">. Reduced hippocampal and </w:t>
      </w:r>
      <w:proofErr w:type="spellStart"/>
      <w:r>
        <w:rPr>
          <w:sz w:val="20"/>
          <w:szCs w:val="20"/>
          <w:lang w:val="en-US"/>
        </w:rPr>
        <w:t>parahippocampal</w:t>
      </w:r>
      <w:proofErr w:type="spellEnd"/>
      <w:r>
        <w:rPr>
          <w:sz w:val="20"/>
          <w:szCs w:val="20"/>
          <w:lang w:val="en-US"/>
        </w:rPr>
        <w:t xml:space="preserve"> volumes in murderers with schizophrenia. Psychiatry Res. 182, 9-13.</w:t>
      </w:r>
    </w:p>
    <w:p w:rsidR="00352A2A" w:rsidRPr="00B26E04" w:rsidRDefault="00352A2A" w:rsidP="00113B97">
      <w:pPr>
        <w:spacing w:after="120" w:line="480" w:lineRule="auto"/>
        <w:rPr>
          <w:sz w:val="20"/>
          <w:szCs w:val="20"/>
          <w:lang w:val="en-US"/>
        </w:rPr>
      </w:pPr>
      <w:r w:rsidRPr="00C54C8A">
        <w:rPr>
          <w:sz w:val="20"/>
          <w:szCs w:val="20"/>
        </w:rPr>
        <w:t xml:space="preserve">Yoshimoto, K., </w:t>
      </w:r>
      <w:proofErr w:type="spellStart"/>
      <w:r w:rsidRPr="00C54C8A">
        <w:rPr>
          <w:sz w:val="20"/>
          <w:szCs w:val="20"/>
        </w:rPr>
        <w:t>McBride</w:t>
      </w:r>
      <w:proofErr w:type="spellEnd"/>
      <w:r w:rsidRPr="00C54C8A">
        <w:rPr>
          <w:sz w:val="20"/>
          <w:szCs w:val="20"/>
        </w:rPr>
        <w:t xml:space="preserve">, W.J., </w:t>
      </w:r>
      <w:proofErr w:type="spellStart"/>
      <w:r w:rsidRPr="00C54C8A">
        <w:rPr>
          <w:sz w:val="20"/>
          <w:szCs w:val="20"/>
        </w:rPr>
        <w:t>Lumeng</w:t>
      </w:r>
      <w:proofErr w:type="spellEnd"/>
      <w:r w:rsidRPr="00C54C8A">
        <w:rPr>
          <w:sz w:val="20"/>
          <w:szCs w:val="20"/>
        </w:rPr>
        <w:t xml:space="preserve">, L., Li, T.K., 1992. </w:t>
      </w:r>
      <w:r w:rsidRPr="00B26E04">
        <w:rPr>
          <w:sz w:val="20"/>
          <w:szCs w:val="20"/>
          <w:lang w:val="en-US"/>
        </w:rPr>
        <w:t xml:space="preserve">Alcohol stimulates the release of dopamine and serotonin in the nucleus </w:t>
      </w:r>
      <w:proofErr w:type="spellStart"/>
      <w:r w:rsidRPr="00B26E04">
        <w:rPr>
          <w:sz w:val="20"/>
          <w:szCs w:val="20"/>
          <w:lang w:val="en-US"/>
        </w:rPr>
        <w:t>accumbens</w:t>
      </w:r>
      <w:proofErr w:type="spellEnd"/>
      <w:r w:rsidRPr="00B26E04">
        <w:rPr>
          <w:sz w:val="20"/>
          <w:szCs w:val="20"/>
          <w:lang w:val="en-US"/>
        </w:rPr>
        <w:t>. Alcohol 9, 17-22.</w:t>
      </w:r>
    </w:p>
    <w:p w:rsidR="00352A2A" w:rsidRPr="00B26E04" w:rsidRDefault="0096787B" w:rsidP="00113B97">
      <w:pPr>
        <w:spacing w:after="120" w:line="480" w:lineRule="auto"/>
        <w:rPr>
          <w:sz w:val="20"/>
          <w:szCs w:val="20"/>
          <w:lang w:val="en-US"/>
        </w:rPr>
      </w:pPr>
      <w:r>
        <w:rPr>
          <w:sz w:val="20"/>
          <w:szCs w:val="20"/>
          <w:lang w:val="en-US"/>
        </w:rPr>
        <w:t xml:space="preserve">Young, K.A., </w:t>
      </w:r>
      <w:proofErr w:type="spellStart"/>
      <w:r>
        <w:rPr>
          <w:sz w:val="20"/>
          <w:szCs w:val="20"/>
          <w:lang w:val="en-US"/>
        </w:rPr>
        <w:t>Gobrogge</w:t>
      </w:r>
      <w:proofErr w:type="spellEnd"/>
      <w:r>
        <w:rPr>
          <w:sz w:val="20"/>
          <w:szCs w:val="20"/>
          <w:lang w:val="en-US"/>
        </w:rPr>
        <w:t xml:space="preserve">, K.L., Wang, Z., 2011. The role of </w:t>
      </w:r>
      <w:proofErr w:type="spellStart"/>
      <w:r>
        <w:rPr>
          <w:sz w:val="20"/>
          <w:szCs w:val="20"/>
          <w:lang w:val="en-US"/>
        </w:rPr>
        <w:t>mesocorticolimbic</w:t>
      </w:r>
      <w:proofErr w:type="spellEnd"/>
      <w:r>
        <w:rPr>
          <w:sz w:val="20"/>
          <w:szCs w:val="20"/>
          <w:lang w:val="en-US"/>
        </w:rPr>
        <w:t xml:space="preserve"> dopamine in regulating interactions between drugs of abuse and social behavior. </w:t>
      </w:r>
      <w:proofErr w:type="spellStart"/>
      <w:r>
        <w:rPr>
          <w:sz w:val="20"/>
          <w:szCs w:val="20"/>
          <w:lang w:val="en-US"/>
        </w:rPr>
        <w:t>Neurosci</w:t>
      </w:r>
      <w:proofErr w:type="spellEnd"/>
      <w:r>
        <w:rPr>
          <w:sz w:val="20"/>
          <w:szCs w:val="20"/>
          <w:lang w:val="en-US"/>
        </w:rPr>
        <w:t xml:space="preserve">. </w:t>
      </w:r>
      <w:proofErr w:type="spellStart"/>
      <w:r>
        <w:rPr>
          <w:sz w:val="20"/>
          <w:szCs w:val="20"/>
          <w:lang w:val="en-US"/>
        </w:rPr>
        <w:t>Biobehav</w:t>
      </w:r>
      <w:proofErr w:type="spellEnd"/>
      <w:r>
        <w:rPr>
          <w:sz w:val="20"/>
          <w:szCs w:val="20"/>
          <w:lang w:val="en-US"/>
        </w:rPr>
        <w:t>. Rev. 35, 498-515.</w:t>
      </w:r>
    </w:p>
    <w:p w:rsidR="00D3379E" w:rsidRPr="00B26E04" w:rsidRDefault="0096787B" w:rsidP="00113B97">
      <w:pPr>
        <w:spacing w:after="120" w:line="480" w:lineRule="auto"/>
        <w:rPr>
          <w:sz w:val="20"/>
          <w:szCs w:val="20"/>
          <w:lang w:val="en-US"/>
        </w:rPr>
      </w:pPr>
      <w:r>
        <w:rPr>
          <w:sz w:val="20"/>
          <w:szCs w:val="20"/>
          <w:lang w:val="en-US"/>
        </w:rPr>
        <w:t xml:space="preserve">Young, S.E., Smolen, A., Corley, R.P., </w:t>
      </w:r>
      <w:proofErr w:type="spellStart"/>
      <w:r>
        <w:rPr>
          <w:sz w:val="20"/>
          <w:szCs w:val="20"/>
          <w:lang w:val="en-US"/>
        </w:rPr>
        <w:t>Krauter</w:t>
      </w:r>
      <w:proofErr w:type="spellEnd"/>
      <w:r>
        <w:rPr>
          <w:sz w:val="20"/>
          <w:szCs w:val="20"/>
          <w:lang w:val="en-US"/>
        </w:rPr>
        <w:t xml:space="preserve">, K.S., </w:t>
      </w:r>
      <w:proofErr w:type="spellStart"/>
      <w:r>
        <w:rPr>
          <w:sz w:val="20"/>
          <w:szCs w:val="20"/>
          <w:lang w:val="en-US"/>
        </w:rPr>
        <w:t>DeFries</w:t>
      </w:r>
      <w:proofErr w:type="spellEnd"/>
      <w:r>
        <w:rPr>
          <w:sz w:val="20"/>
          <w:szCs w:val="20"/>
          <w:lang w:val="en-US"/>
        </w:rPr>
        <w:t>, J.C., Crowley, T.J., Hewitt, J.K, 2002. Dopamine transporter polymorphism associated with externalizing behavior problems in children. Am. J. Med. Genet.114, 144-149.</w:t>
      </w:r>
    </w:p>
    <w:p w:rsidR="00352A2A" w:rsidRPr="00B26E04" w:rsidRDefault="0096787B" w:rsidP="00113B97">
      <w:pPr>
        <w:spacing w:after="120" w:line="480" w:lineRule="auto"/>
        <w:rPr>
          <w:sz w:val="20"/>
          <w:szCs w:val="20"/>
          <w:lang w:val="en-US"/>
        </w:rPr>
      </w:pPr>
      <w:r>
        <w:rPr>
          <w:sz w:val="20"/>
          <w:szCs w:val="20"/>
          <w:lang w:val="en-US"/>
        </w:rPr>
        <w:t xml:space="preserve">Yu, Q., Teixeira, C.M., </w:t>
      </w:r>
      <w:proofErr w:type="spellStart"/>
      <w:r>
        <w:rPr>
          <w:sz w:val="20"/>
          <w:szCs w:val="20"/>
          <w:lang w:val="en-US"/>
        </w:rPr>
        <w:t>Mahadevia</w:t>
      </w:r>
      <w:proofErr w:type="spellEnd"/>
      <w:r>
        <w:rPr>
          <w:sz w:val="20"/>
          <w:szCs w:val="20"/>
          <w:lang w:val="en-US"/>
        </w:rPr>
        <w:t>, D., Huang, Y., Balsam, D., Mann, J.J., Gingrich, J.A., Ansorge, M.S., 2014. Dopamine and serotonin signaling during two sensitive developmental periods differentially impact adult aggressive and affective behaviors in mice. Mol. Psychiatry 19, 688-698.</w:t>
      </w:r>
    </w:p>
    <w:p w:rsidR="00352A2A" w:rsidRPr="00B26E04" w:rsidRDefault="0096787B" w:rsidP="00113B97">
      <w:pPr>
        <w:spacing w:after="120" w:line="480" w:lineRule="auto"/>
        <w:rPr>
          <w:sz w:val="20"/>
          <w:szCs w:val="20"/>
          <w:lang w:val="en-US"/>
        </w:rPr>
      </w:pPr>
      <w:proofErr w:type="spellStart"/>
      <w:r>
        <w:rPr>
          <w:sz w:val="20"/>
          <w:szCs w:val="20"/>
          <w:lang w:val="en-US"/>
        </w:rPr>
        <w:lastRenderedPageBreak/>
        <w:t>Zaboli</w:t>
      </w:r>
      <w:proofErr w:type="spellEnd"/>
      <w:r>
        <w:rPr>
          <w:sz w:val="20"/>
          <w:szCs w:val="20"/>
          <w:lang w:val="en-US"/>
        </w:rPr>
        <w:t xml:space="preserve">, G., </w:t>
      </w:r>
      <w:proofErr w:type="spellStart"/>
      <w:r>
        <w:rPr>
          <w:sz w:val="20"/>
          <w:szCs w:val="20"/>
          <w:lang w:val="en-US"/>
        </w:rPr>
        <w:t>Jönsson</w:t>
      </w:r>
      <w:proofErr w:type="spellEnd"/>
      <w:r>
        <w:rPr>
          <w:sz w:val="20"/>
          <w:szCs w:val="20"/>
          <w:lang w:val="en-US"/>
        </w:rPr>
        <w:t xml:space="preserve">, E.G., </w:t>
      </w:r>
      <w:proofErr w:type="spellStart"/>
      <w:r>
        <w:rPr>
          <w:sz w:val="20"/>
          <w:szCs w:val="20"/>
          <w:lang w:val="en-US"/>
        </w:rPr>
        <w:t>Gizatullin</w:t>
      </w:r>
      <w:proofErr w:type="spellEnd"/>
      <w:r>
        <w:rPr>
          <w:sz w:val="20"/>
          <w:szCs w:val="20"/>
          <w:lang w:val="en-US"/>
        </w:rPr>
        <w:t xml:space="preserve">, R., </w:t>
      </w:r>
      <w:proofErr w:type="spellStart"/>
      <w:r>
        <w:rPr>
          <w:sz w:val="20"/>
          <w:szCs w:val="20"/>
          <w:lang w:val="en-US"/>
        </w:rPr>
        <w:t>Asberg</w:t>
      </w:r>
      <w:proofErr w:type="spellEnd"/>
      <w:r>
        <w:rPr>
          <w:sz w:val="20"/>
          <w:szCs w:val="20"/>
          <w:lang w:val="en-US"/>
        </w:rPr>
        <w:t>, M., Leopardi, R., 2006. Tryptophan hydroxylase-1 gene variants associated with schizophrenia. Biol. Psychiatry 60, 563-569.</w:t>
      </w:r>
    </w:p>
    <w:p w:rsidR="00D60D0F" w:rsidRPr="00B26E04" w:rsidRDefault="0096787B" w:rsidP="00113B97">
      <w:pPr>
        <w:spacing w:after="120" w:line="480" w:lineRule="auto"/>
        <w:rPr>
          <w:sz w:val="20"/>
          <w:szCs w:val="20"/>
          <w:lang w:val="en-US"/>
        </w:rPr>
      </w:pPr>
      <w:proofErr w:type="spellStart"/>
      <w:r>
        <w:rPr>
          <w:sz w:val="20"/>
          <w:szCs w:val="20"/>
          <w:lang w:val="en-US"/>
        </w:rPr>
        <w:t>Zai</w:t>
      </w:r>
      <w:proofErr w:type="spellEnd"/>
      <w:r>
        <w:rPr>
          <w:sz w:val="20"/>
          <w:szCs w:val="20"/>
          <w:lang w:val="en-US"/>
        </w:rPr>
        <w:t xml:space="preserve">, C.C., </w:t>
      </w:r>
      <w:proofErr w:type="spellStart"/>
      <w:r>
        <w:rPr>
          <w:sz w:val="20"/>
          <w:szCs w:val="20"/>
          <w:lang w:val="en-US"/>
        </w:rPr>
        <w:t>Ehtesham</w:t>
      </w:r>
      <w:proofErr w:type="spellEnd"/>
      <w:r>
        <w:rPr>
          <w:sz w:val="20"/>
          <w:szCs w:val="20"/>
          <w:lang w:val="en-US"/>
        </w:rPr>
        <w:t xml:space="preserve">, S., Choi, E., </w:t>
      </w:r>
      <w:proofErr w:type="spellStart"/>
      <w:r>
        <w:rPr>
          <w:sz w:val="20"/>
          <w:szCs w:val="20"/>
          <w:lang w:val="en-US"/>
        </w:rPr>
        <w:t>Nowrouzi</w:t>
      </w:r>
      <w:proofErr w:type="spellEnd"/>
      <w:r>
        <w:rPr>
          <w:sz w:val="20"/>
          <w:szCs w:val="20"/>
          <w:lang w:val="en-US"/>
        </w:rPr>
        <w:t xml:space="preserve">, B., de Luca, V., </w:t>
      </w:r>
      <w:proofErr w:type="spellStart"/>
      <w:r>
        <w:rPr>
          <w:sz w:val="20"/>
          <w:szCs w:val="20"/>
          <w:lang w:val="en-US"/>
        </w:rPr>
        <w:t>Stankovich</w:t>
      </w:r>
      <w:proofErr w:type="spellEnd"/>
      <w:r>
        <w:rPr>
          <w:sz w:val="20"/>
          <w:szCs w:val="20"/>
          <w:lang w:val="en-US"/>
        </w:rPr>
        <w:t xml:space="preserve">, L., </w:t>
      </w:r>
      <w:proofErr w:type="spellStart"/>
      <w:r>
        <w:rPr>
          <w:sz w:val="20"/>
          <w:szCs w:val="20"/>
          <w:lang w:val="en-US"/>
        </w:rPr>
        <w:t>Davidge</w:t>
      </w:r>
      <w:proofErr w:type="spellEnd"/>
      <w:r>
        <w:rPr>
          <w:sz w:val="20"/>
          <w:szCs w:val="20"/>
          <w:lang w:val="en-US"/>
        </w:rPr>
        <w:t xml:space="preserve">, K., Freeman, N., King, N., Kennedy, J.L., </w:t>
      </w:r>
      <w:proofErr w:type="spellStart"/>
      <w:r>
        <w:rPr>
          <w:sz w:val="20"/>
          <w:szCs w:val="20"/>
          <w:lang w:val="en-US"/>
        </w:rPr>
        <w:t>Beitchman</w:t>
      </w:r>
      <w:proofErr w:type="spellEnd"/>
      <w:r>
        <w:rPr>
          <w:sz w:val="20"/>
          <w:szCs w:val="20"/>
          <w:lang w:val="en-US"/>
        </w:rPr>
        <w:t>, J.H., 2012. Dopaminergic system genes in childhood aggression: possible role for DRD2. World J. Biol. Psychiatry 13, 65-74.</w:t>
      </w:r>
    </w:p>
    <w:p w:rsidR="00352A2A" w:rsidRPr="00B26E04" w:rsidRDefault="0096787B" w:rsidP="00113B97">
      <w:pPr>
        <w:spacing w:after="120" w:line="480" w:lineRule="auto"/>
        <w:rPr>
          <w:sz w:val="20"/>
          <w:szCs w:val="20"/>
          <w:lang w:val="en-US"/>
        </w:rPr>
      </w:pPr>
      <w:r>
        <w:rPr>
          <w:sz w:val="20"/>
          <w:szCs w:val="20"/>
          <w:lang w:val="en-US"/>
        </w:rPr>
        <w:t xml:space="preserve">Zhang, X., Beaulieu, J.M., Sotnikova, T.D., </w:t>
      </w:r>
      <w:proofErr w:type="spellStart"/>
      <w:r>
        <w:rPr>
          <w:sz w:val="20"/>
          <w:szCs w:val="20"/>
          <w:lang w:val="en-US"/>
        </w:rPr>
        <w:t>Gainetdinov</w:t>
      </w:r>
      <w:proofErr w:type="spellEnd"/>
      <w:r>
        <w:rPr>
          <w:sz w:val="20"/>
          <w:szCs w:val="20"/>
          <w:lang w:val="en-US"/>
        </w:rPr>
        <w:t>, R.R., Caron, M.G., 2004. Tryptophan hydroxylase-2 controls brain serotonin synthesis. Science 305, 217.</w:t>
      </w:r>
    </w:p>
    <w:p w:rsidR="003C72DC" w:rsidRPr="00B26E04" w:rsidRDefault="0096787B" w:rsidP="00113B97">
      <w:pPr>
        <w:spacing w:after="120" w:line="480" w:lineRule="auto"/>
        <w:rPr>
          <w:sz w:val="20"/>
          <w:szCs w:val="20"/>
          <w:lang w:val="en-US"/>
        </w:rPr>
      </w:pPr>
      <w:r>
        <w:rPr>
          <w:sz w:val="20"/>
          <w:szCs w:val="20"/>
          <w:lang w:val="en-US"/>
        </w:rPr>
        <w:t xml:space="preserve">Zhang-James, Y., </w:t>
      </w:r>
      <w:proofErr w:type="spellStart"/>
      <w:r>
        <w:rPr>
          <w:sz w:val="20"/>
          <w:szCs w:val="20"/>
          <w:lang w:val="en-US"/>
        </w:rPr>
        <w:t>Fernàndez</w:t>
      </w:r>
      <w:proofErr w:type="spellEnd"/>
      <w:r>
        <w:rPr>
          <w:sz w:val="20"/>
          <w:szCs w:val="20"/>
          <w:lang w:val="en-US"/>
        </w:rPr>
        <w:t xml:space="preserve">-Castillo, N., Hess, J.L., </w:t>
      </w:r>
      <w:proofErr w:type="spellStart"/>
      <w:r>
        <w:rPr>
          <w:sz w:val="20"/>
          <w:szCs w:val="20"/>
          <w:lang w:val="en-US"/>
        </w:rPr>
        <w:t>Malki</w:t>
      </w:r>
      <w:proofErr w:type="spellEnd"/>
      <w:r>
        <w:rPr>
          <w:sz w:val="20"/>
          <w:szCs w:val="20"/>
          <w:lang w:val="en-US"/>
        </w:rPr>
        <w:t xml:space="preserve">, K., Glatt, S.J., </w:t>
      </w:r>
      <w:proofErr w:type="spellStart"/>
      <w:r>
        <w:rPr>
          <w:sz w:val="20"/>
          <w:szCs w:val="20"/>
          <w:lang w:val="en-US"/>
        </w:rPr>
        <w:t>Cormand</w:t>
      </w:r>
      <w:proofErr w:type="spellEnd"/>
      <w:r>
        <w:rPr>
          <w:sz w:val="20"/>
          <w:szCs w:val="20"/>
          <w:lang w:val="en-US"/>
        </w:rPr>
        <w:t xml:space="preserve">, B., </w:t>
      </w:r>
      <w:proofErr w:type="spellStart"/>
      <w:r>
        <w:rPr>
          <w:sz w:val="20"/>
          <w:szCs w:val="20"/>
          <w:lang w:val="en-US"/>
        </w:rPr>
        <w:t>Faraone</w:t>
      </w:r>
      <w:proofErr w:type="spellEnd"/>
      <w:r>
        <w:rPr>
          <w:sz w:val="20"/>
          <w:szCs w:val="20"/>
          <w:lang w:val="en-US"/>
        </w:rPr>
        <w:t>, S.V., 2019. An integrated analysis of genes and functional pathways for aggression in human and rodent models. Mol. Psychiatry 24, 1655-1667.</w:t>
      </w:r>
    </w:p>
    <w:p w:rsidR="00352A2A" w:rsidRPr="00B26E04" w:rsidRDefault="0096787B" w:rsidP="00113B97">
      <w:pPr>
        <w:spacing w:after="120" w:line="480" w:lineRule="auto"/>
        <w:rPr>
          <w:sz w:val="20"/>
          <w:szCs w:val="20"/>
          <w:lang w:val="en-US"/>
        </w:rPr>
      </w:pPr>
      <w:r>
        <w:rPr>
          <w:sz w:val="20"/>
          <w:szCs w:val="20"/>
          <w:lang w:val="en-US"/>
        </w:rPr>
        <w:t xml:space="preserve">Zhao, Q.F., Tan, L., Wang, H.F., Jiang, T., Tan, M.S., Tan, L., Xu, W., Li, J.Q., Wang, J., Lai, T.J., Yu, J.T., 2016. The prevalence of neuropsychiatric symptoms in Alzheimer's disease: Systematic review and meta-analysis. J. Affect. </w:t>
      </w:r>
      <w:proofErr w:type="spellStart"/>
      <w:r>
        <w:rPr>
          <w:sz w:val="20"/>
          <w:szCs w:val="20"/>
          <w:lang w:val="en-US"/>
        </w:rPr>
        <w:t>Disord</w:t>
      </w:r>
      <w:proofErr w:type="spellEnd"/>
      <w:r>
        <w:rPr>
          <w:sz w:val="20"/>
          <w:szCs w:val="20"/>
          <w:lang w:val="en-US"/>
        </w:rPr>
        <w:t>. 190, 264-271.</w:t>
      </w:r>
    </w:p>
    <w:p w:rsidR="00F625F6" w:rsidRPr="00B26E04" w:rsidRDefault="0096787B" w:rsidP="00113B97">
      <w:pPr>
        <w:spacing w:after="120" w:line="480" w:lineRule="auto"/>
        <w:rPr>
          <w:sz w:val="20"/>
          <w:szCs w:val="20"/>
          <w:lang w:val="en-US"/>
        </w:rPr>
      </w:pPr>
      <w:proofErr w:type="spellStart"/>
      <w:r>
        <w:rPr>
          <w:sz w:val="20"/>
          <w:szCs w:val="20"/>
          <w:lang w:val="en-US"/>
        </w:rPr>
        <w:t>Zilioli</w:t>
      </w:r>
      <w:proofErr w:type="spellEnd"/>
      <w:r>
        <w:rPr>
          <w:sz w:val="20"/>
          <w:szCs w:val="20"/>
          <w:lang w:val="en-US"/>
        </w:rPr>
        <w:t xml:space="preserve">, S., Bird, B.M., 2017. Functional significance of men's testosterone reactivity to social stimuli. Front. </w:t>
      </w:r>
      <w:proofErr w:type="spellStart"/>
      <w:r>
        <w:rPr>
          <w:sz w:val="20"/>
          <w:szCs w:val="20"/>
          <w:lang w:val="en-US"/>
        </w:rPr>
        <w:t>Neuroendocrinol</w:t>
      </w:r>
      <w:proofErr w:type="spellEnd"/>
      <w:r>
        <w:rPr>
          <w:sz w:val="20"/>
          <w:szCs w:val="20"/>
          <w:lang w:val="en-US"/>
        </w:rPr>
        <w:t>. 47, 1-18.</w:t>
      </w:r>
    </w:p>
    <w:p w:rsidR="00352A2A" w:rsidRPr="00B26E04" w:rsidRDefault="0096787B" w:rsidP="00113B97">
      <w:pPr>
        <w:spacing w:after="120" w:line="480" w:lineRule="auto"/>
        <w:rPr>
          <w:sz w:val="20"/>
          <w:szCs w:val="20"/>
          <w:lang w:val="en-US"/>
        </w:rPr>
      </w:pPr>
      <w:proofErr w:type="spellStart"/>
      <w:r>
        <w:rPr>
          <w:sz w:val="20"/>
          <w:szCs w:val="20"/>
          <w:lang w:val="en-US"/>
        </w:rPr>
        <w:t>Zill</w:t>
      </w:r>
      <w:proofErr w:type="spellEnd"/>
      <w:r>
        <w:rPr>
          <w:sz w:val="20"/>
          <w:szCs w:val="20"/>
          <w:lang w:val="en-US"/>
        </w:rPr>
        <w:t xml:space="preserve">, P., </w:t>
      </w:r>
      <w:proofErr w:type="spellStart"/>
      <w:r>
        <w:rPr>
          <w:sz w:val="20"/>
          <w:szCs w:val="20"/>
          <w:lang w:val="en-US"/>
        </w:rPr>
        <w:t>Büttner</w:t>
      </w:r>
      <w:proofErr w:type="spellEnd"/>
      <w:r>
        <w:rPr>
          <w:sz w:val="20"/>
          <w:szCs w:val="20"/>
          <w:lang w:val="en-US"/>
        </w:rPr>
        <w:t xml:space="preserve">, A., Eisenmenger, W., </w:t>
      </w:r>
      <w:proofErr w:type="spellStart"/>
      <w:r>
        <w:rPr>
          <w:sz w:val="20"/>
          <w:szCs w:val="20"/>
          <w:lang w:val="en-US"/>
        </w:rPr>
        <w:t>Bondy</w:t>
      </w:r>
      <w:proofErr w:type="spellEnd"/>
      <w:r>
        <w:rPr>
          <w:sz w:val="20"/>
          <w:szCs w:val="20"/>
          <w:lang w:val="en-US"/>
        </w:rPr>
        <w:t xml:space="preserve">, B., </w:t>
      </w:r>
      <w:proofErr w:type="spellStart"/>
      <w:r>
        <w:rPr>
          <w:sz w:val="20"/>
          <w:szCs w:val="20"/>
          <w:lang w:val="en-US"/>
        </w:rPr>
        <w:t>Ackenheil</w:t>
      </w:r>
      <w:proofErr w:type="spellEnd"/>
      <w:r>
        <w:rPr>
          <w:sz w:val="20"/>
          <w:szCs w:val="20"/>
          <w:lang w:val="en-US"/>
        </w:rPr>
        <w:t xml:space="preserve">, M., 2004. Regional mRNA expression of a second tryptophan hydroxylase isoform in postmortem tissue samples of two human brains. Eur. </w:t>
      </w:r>
      <w:proofErr w:type="spellStart"/>
      <w:r>
        <w:rPr>
          <w:sz w:val="20"/>
          <w:szCs w:val="20"/>
          <w:lang w:val="en-US"/>
        </w:rPr>
        <w:t>Neuropsychopharmacol</w:t>
      </w:r>
      <w:proofErr w:type="spellEnd"/>
      <w:r>
        <w:rPr>
          <w:sz w:val="20"/>
          <w:szCs w:val="20"/>
          <w:lang w:val="en-US"/>
        </w:rPr>
        <w:t>. 14, 282-284.</w:t>
      </w:r>
    </w:p>
    <w:p w:rsidR="00352A2A" w:rsidRPr="00B26E04" w:rsidRDefault="0096787B" w:rsidP="00113B97">
      <w:pPr>
        <w:spacing w:after="120" w:line="480" w:lineRule="auto"/>
        <w:rPr>
          <w:sz w:val="20"/>
          <w:szCs w:val="20"/>
          <w:lang w:val="en-US"/>
        </w:rPr>
      </w:pPr>
      <w:proofErr w:type="spellStart"/>
      <w:r>
        <w:rPr>
          <w:sz w:val="20"/>
          <w:szCs w:val="20"/>
          <w:lang w:val="en-US"/>
        </w:rPr>
        <w:t>Zill</w:t>
      </w:r>
      <w:proofErr w:type="spellEnd"/>
      <w:r>
        <w:rPr>
          <w:sz w:val="20"/>
          <w:szCs w:val="20"/>
          <w:lang w:val="en-US"/>
        </w:rPr>
        <w:t xml:space="preserve">, P., </w:t>
      </w:r>
      <w:proofErr w:type="spellStart"/>
      <w:r>
        <w:rPr>
          <w:sz w:val="20"/>
          <w:szCs w:val="20"/>
          <w:lang w:val="en-US"/>
        </w:rPr>
        <w:t>Büttner</w:t>
      </w:r>
      <w:proofErr w:type="spellEnd"/>
      <w:r>
        <w:rPr>
          <w:sz w:val="20"/>
          <w:szCs w:val="20"/>
          <w:lang w:val="en-US"/>
        </w:rPr>
        <w:t xml:space="preserve">, A., Eisenmenger, W., </w:t>
      </w:r>
      <w:proofErr w:type="spellStart"/>
      <w:r>
        <w:rPr>
          <w:sz w:val="20"/>
          <w:szCs w:val="20"/>
          <w:lang w:val="en-US"/>
        </w:rPr>
        <w:t>Möller</w:t>
      </w:r>
      <w:proofErr w:type="spellEnd"/>
      <w:r>
        <w:rPr>
          <w:sz w:val="20"/>
          <w:szCs w:val="20"/>
          <w:lang w:val="en-US"/>
        </w:rPr>
        <w:t xml:space="preserve">, H.J., </w:t>
      </w:r>
      <w:proofErr w:type="spellStart"/>
      <w:r>
        <w:rPr>
          <w:sz w:val="20"/>
          <w:szCs w:val="20"/>
          <w:lang w:val="en-US"/>
        </w:rPr>
        <w:t>Ackenheil</w:t>
      </w:r>
      <w:proofErr w:type="spellEnd"/>
      <w:r>
        <w:rPr>
          <w:sz w:val="20"/>
          <w:szCs w:val="20"/>
          <w:lang w:val="en-US"/>
        </w:rPr>
        <w:t xml:space="preserve">, M., </w:t>
      </w:r>
      <w:proofErr w:type="spellStart"/>
      <w:r>
        <w:rPr>
          <w:sz w:val="20"/>
          <w:szCs w:val="20"/>
          <w:lang w:val="en-US"/>
        </w:rPr>
        <w:t>Bondy</w:t>
      </w:r>
      <w:proofErr w:type="spellEnd"/>
      <w:r>
        <w:rPr>
          <w:sz w:val="20"/>
          <w:szCs w:val="20"/>
          <w:lang w:val="en-US"/>
        </w:rPr>
        <w:t xml:space="preserve">, B., 2007. Analysis of tryptophan hydroxylase I and II mRNA expression in the human brain: a post-mortem study. J. </w:t>
      </w:r>
      <w:proofErr w:type="spellStart"/>
      <w:r>
        <w:rPr>
          <w:sz w:val="20"/>
          <w:szCs w:val="20"/>
          <w:lang w:val="en-US"/>
        </w:rPr>
        <w:t>Psychiatr</w:t>
      </w:r>
      <w:proofErr w:type="spellEnd"/>
      <w:r>
        <w:rPr>
          <w:sz w:val="20"/>
          <w:szCs w:val="20"/>
          <w:lang w:val="en-US"/>
        </w:rPr>
        <w:t>. Res. 41, 168-173.</w:t>
      </w:r>
    </w:p>
    <w:p w:rsidR="00352A2A" w:rsidRPr="00B26E04" w:rsidRDefault="0096787B" w:rsidP="00113B97">
      <w:pPr>
        <w:spacing w:after="120" w:line="480" w:lineRule="auto"/>
        <w:rPr>
          <w:sz w:val="20"/>
          <w:szCs w:val="20"/>
          <w:lang w:val="en-US"/>
        </w:rPr>
      </w:pPr>
      <w:r>
        <w:rPr>
          <w:sz w:val="20"/>
          <w:szCs w:val="20"/>
          <w:lang w:val="en-US"/>
        </w:rPr>
        <w:t xml:space="preserve">Zipursky, R.B., Meyer, J.H., </w:t>
      </w:r>
      <w:proofErr w:type="spellStart"/>
      <w:r>
        <w:rPr>
          <w:sz w:val="20"/>
          <w:szCs w:val="20"/>
          <w:lang w:val="en-US"/>
        </w:rPr>
        <w:t>Verhoeff</w:t>
      </w:r>
      <w:proofErr w:type="spellEnd"/>
      <w:r>
        <w:rPr>
          <w:sz w:val="20"/>
          <w:szCs w:val="20"/>
          <w:lang w:val="en-US"/>
        </w:rPr>
        <w:t xml:space="preserve">, N.P., 2007. PET and SPECT imaging in psychiatric disorders. </w:t>
      </w:r>
      <w:r w:rsidR="00352A2A" w:rsidRPr="00B26E04">
        <w:rPr>
          <w:sz w:val="20"/>
          <w:szCs w:val="20"/>
          <w:lang w:val="en-US"/>
        </w:rPr>
        <w:t>Can</w:t>
      </w:r>
      <w:r w:rsidR="00F9017A" w:rsidRPr="00B26E04">
        <w:rPr>
          <w:sz w:val="20"/>
          <w:szCs w:val="20"/>
          <w:lang w:val="en-US"/>
        </w:rPr>
        <w:t>.</w:t>
      </w:r>
      <w:r w:rsidR="00352A2A" w:rsidRPr="00B26E04">
        <w:rPr>
          <w:sz w:val="20"/>
          <w:szCs w:val="20"/>
          <w:lang w:val="en-US"/>
        </w:rPr>
        <w:t xml:space="preserve"> J</w:t>
      </w:r>
      <w:r w:rsidR="00F9017A" w:rsidRPr="00B26E04">
        <w:rPr>
          <w:sz w:val="20"/>
          <w:szCs w:val="20"/>
          <w:lang w:val="en-US"/>
        </w:rPr>
        <w:t>.</w:t>
      </w:r>
      <w:r w:rsidR="00352A2A" w:rsidRPr="00B26E04">
        <w:rPr>
          <w:sz w:val="20"/>
          <w:szCs w:val="20"/>
          <w:lang w:val="en-US"/>
        </w:rPr>
        <w:t xml:space="preserve"> Psychiatry 52, 146-157.</w:t>
      </w:r>
    </w:p>
    <w:p w:rsidR="00597C9D" w:rsidRPr="00B26E04" w:rsidRDefault="00352A2A" w:rsidP="00113B97">
      <w:pPr>
        <w:spacing w:after="120" w:line="480" w:lineRule="auto"/>
        <w:rPr>
          <w:sz w:val="20"/>
          <w:szCs w:val="20"/>
          <w:lang w:val="en-US"/>
        </w:rPr>
      </w:pPr>
      <w:r w:rsidRPr="00B26E04">
        <w:rPr>
          <w:sz w:val="20"/>
          <w:szCs w:val="20"/>
          <w:lang w:val="en-US"/>
        </w:rPr>
        <w:t xml:space="preserve">Zouk, H., </w:t>
      </w:r>
      <w:proofErr w:type="spellStart"/>
      <w:r w:rsidRPr="00B26E04">
        <w:rPr>
          <w:sz w:val="20"/>
          <w:szCs w:val="20"/>
          <w:lang w:val="en-US"/>
        </w:rPr>
        <w:t>McGirr</w:t>
      </w:r>
      <w:proofErr w:type="spellEnd"/>
      <w:r w:rsidRPr="00B26E04">
        <w:rPr>
          <w:sz w:val="20"/>
          <w:szCs w:val="20"/>
          <w:lang w:val="en-US"/>
        </w:rPr>
        <w:t xml:space="preserve">, A., Lebel, V., </w:t>
      </w:r>
      <w:proofErr w:type="spellStart"/>
      <w:r w:rsidRPr="00B26E04">
        <w:rPr>
          <w:sz w:val="20"/>
          <w:szCs w:val="20"/>
          <w:lang w:val="en-US"/>
        </w:rPr>
        <w:t>Benkelfat</w:t>
      </w:r>
      <w:proofErr w:type="spellEnd"/>
      <w:r w:rsidRPr="00B26E04">
        <w:rPr>
          <w:sz w:val="20"/>
          <w:szCs w:val="20"/>
          <w:lang w:val="en-US"/>
        </w:rPr>
        <w:t xml:space="preserve">, C., Rouleau, G., </w:t>
      </w:r>
      <w:proofErr w:type="spellStart"/>
      <w:r w:rsidRPr="00B26E04">
        <w:rPr>
          <w:sz w:val="20"/>
          <w:szCs w:val="20"/>
          <w:lang w:val="en-US"/>
        </w:rPr>
        <w:t>Turecki</w:t>
      </w:r>
      <w:proofErr w:type="spellEnd"/>
      <w:r w:rsidRPr="00B26E04">
        <w:rPr>
          <w:sz w:val="20"/>
          <w:szCs w:val="20"/>
          <w:lang w:val="en-US"/>
        </w:rPr>
        <w:t>, G., 2007. The effect of genetic variation of the serotonin 1B receptor gene on impulsive aggressive behavior and suicide. Am</w:t>
      </w:r>
      <w:r w:rsidR="0096787B">
        <w:rPr>
          <w:sz w:val="20"/>
          <w:szCs w:val="20"/>
          <w:lang w:val="en-US"/>
        </w:rPr>
        <w:t xml:space="preserve">. J. Med. Genet. B </w:t>
      </w:r>
      <w:proofErr w:type="spellStart"/>
      <w:r w:rsidR="0096787B">
        <w:rPr>
          <w:sz w:val="20"/>
          <w:szCs w:val="20"/>
          <w:lang w:val="en-US"/>
        </w:rPr>
        <w:t>Neuropsychiatr</w:t>
      </w:r>
      <w:proofErr w:type="spellEnd"/>
      <w:r w:rsidR="0096787B">
        <w:rPr>
          <w:sz w:val="20"/>
          <w:szCs w:val="20"/>
          <w:lang w:val="en-US"/>
        </w:rPr>
        <w:t>. Genet. 144B, 996-1002.</w:t>
      </w:r>
    </w:p>
    <w:p w:rsidR="00597C9D" w:rsidRPr="00B26E04" w:rsidRDefault="0096787B">
      <w:pPr>
        <w:spacing w:after="200"/>
        <w:rPr>
          <w:sz w:val="20"/>
          <w:szCs w:val="20"/>
          <w:lang w:val="en-US"/>
        </w:rPr>
      </w:pPr>
      <w:r>
        <w:rPr>
          <w:sz w:val="20"/>
          <w:szCs w:val="20"/>
          <w:lang w:val="en-US"/>
        </w:rPr>
        <w:br w:type="page"/>
      </w:r>
    </w:p>
    <w:p w:rsidR="005F52A0" w:rsidRPr="00B26E04" w:rsidRDefault="0096787B" w:rsidP="00A16724">
      <w:pPr>
        <w:spacing w:line="480" w:lineRule="auto"/>
        <w:rPr>
          <w:b/>
          <w:lang w:val="en-US"/>
        </w:rPr>
      </w:pPr>
      <w:r>
        <w:rPr>
          <w:b/>
          <w:lang w:val="en-US"/>
        </w:rPr>
        <w:lastRenderedPageBreak/>
        <w:t>Legends of figures</w:t>
      </w:r>
    </w:p>
    <w:p w:rsidR="00597C9D" w:rsidRPr="00B26E04" w:rsidRDefault="0096787B" w:rsidP="00A16724">
      <w:pPr>
        <w:spacing w:line="480" w:lineRule="auto"/>
        <w:rPr>
          <w:lang w:val="en-US"/>
        </w:rPr>
      </w:pPr>
      <w:r>
        <w:rPr>
          <w:b/>
          <w:lang w:val="en-US"/>
        </w:rPr>
        <w:t>Fig. 1.</w:t>
      </w:r>
      <w:r>
        <w:rPr>
          <w:lang w:val="en-US"/>
        </w:rPr>
        <w:t xml:space="preserve"> The causal factors at the first level of the "aggression cascade" include gene-environment-epigenetic interactions. These can induce neuronal deficit and altered neurotransmission. In disorders of aggressive behavior, an altered function of cortical areas, amygdala and other regions are present. These disturbances can be represented by volumetric alterations, lesions and abnormal processing in the above mentioned limbic regions. Neurotransmitter systems are also involved in these altered functions. Changes in neurotransmitter synthesis, uptake, transport, metabolism as well as alterations in brain connectivity are frequently found in aggression.</w:t>
      </w:r>
      <w:r w:rsidR="0033495D">
        <w:rPr>
          <w:lang w:val="en-US"/>
        </w:rPr>
        <w:t xml:space="preserve"> </w:t>
      </w:r>
      <w:r>
        <w:rPr>
          <w:lang w:val="en-US"/>
        </w:rPr>
        <w:t>The downstream effect is a modification of emotional and cognitive circuits involving the amygdala, prefrontal cortex, basal ganglia, and other regions. These brain intermediate phenotypes result in an imbalance in reward, fear and cognitive control which in turn generates aggressive behavior.</w:t>
      </w:r>
    </w:p>
    <w:p w:rsidR="00A16724" w:rsidRPr="00B26E04" w:rsidRDefault="00A16724" w:rsidP="00A16724">
      <w:pPr>
        <w:spacing w:line="480" w:lineRule="auto"/>
        <w:rPr>
          <w:lang w:val="en-US"/>
        </w:rPr>
      </w:pPr>
    </w:p>
    <w:p w:rsidR="009151E6" w:rsidRPr="00B26E04" w:rsidRDefault="0096787B" w:rsidP="009151E6">
      <w:pPr>
        <w:spacing w:line="480" w:lineRule="auto"/>
        <w:rPr>
          <w:lang w:val="en-US"/>
        </w:rPr>
      </w:pPr>
      <w:r>
        <w:rPr>
          <w:b/>
          <w:lang w:val="en-US"/>
        </w:rPr>
        <w:t>Fig. 2.</w:t>
      </w:r>
      <w:r>
        <w:rPr>
          <w:lang w:val="en-US"/>
        </w:rPr>
        <w:t xml:space="preserve"> Voxel-based morphometry data (structural imaging; left) showing foci of reductions in gray matter volume in the bilateral amygdala in a group of young participants with conduct disorder (N = 63) relative to age-matched healthy subjects. The color bars represent T statistics. Images are </w:t>
      </w:r>
      <w:proofErr w:type="spellStart"/>
      <w:r>
        <w:rPr>
          <w:lang w:val="en-US"/>
        </w:rPr>
        <w:t>thresholded</w:t>
      </w:r>
      <w:proofErr w:type="spellEnd"/>
      <w:r>
        <w:rPr>
          <w:lang w:val="en-US"/>
        </w:rPr>
        <w:t xml:space="preserve"> at </w:t>
      </w:r>
      <w:r>
        <w:rPr>
          <w:i/>
          <w:lang w:val="en-US"/>
        </w:rPr>
        <w:t>p</w:t>
      </w:r>
      <w:r>
        <w:rPr>
          <w:lang w:val="en-US"/>
        </w:rPr>
        <w:t xml:space="preserve"> &lt; 0.005, uncorrected for display purposes but the results are corrected for multiple comparisons. This figure was reproduced from Fairchild et al., (2011) by permission of American Psychiatric Association Publishing. The functional imaging data (right) show the responses to emotional faces in areas associated with antisocial behavior including the amygdala in subjects with conduct disorder relative to healthy controls. The statistical parametric maps (</w:t>
      </w:r>
      <w:r>
        <w:rPr>
          <w:i/>
          <w:iCs/>
          <w:lang w:val="en-US"/>
        </w:rPr>
        <w:t>Fisher’s F</w:t>
      </w:r>
      <w:r>
        <w:rPr>
          <w:lang w:val="en-US"/>
        </w:rPr>
        <w:t xml:space="preserve">) display the main effect of group for the contrast of angry </w:t>
      </w:r>
      <w:r>
        <w:rPr>
          <w:i/>
          <w:lang w:val="en-US"/>
        </w:rPr>
        <w:t>vs.</w:t>
      </w:r>
      <w:r>
        <w:rPr>
          <w:lang w:val="en-US"/>
        </w:rPr>
        <w:t xml:space="preserve"> neutral and sad </w:t>
      </w:r>
      <w:r>
        <w:rPr>
          <w:i/>
          <w:lang w:val="en-US"/>
        </w:rPr>
        <w:t>vs.</w:t>
      </w:r>
      <w:r>
        <w:rPr>
          <w:lang w:val="en-US"/>
        </w:rPr>
        <w:t xml:space="preserve"> neutral faces. Early-onset or adolescence-onset conduct disorder participants displayed reduced brain responses relative to controls when viewing angry </w:t>
      </w:r>
      <w:r>
        <w:rPr>
          <w:i/>
          <w:lang w:val="en-US"/>
        </w:rPr>
        <w:t>vs.</w:t>
      </w:r>
      <w:r>
        <w:rPr>
          <w:lang w:val="en-US"/>
        </w:rPr>
        <w:t xml:space="preserve"> neutral faces in the right amygdala and left ventromedial prefrontal cortex. Early-onset conduct disorder subjects processing sad </w:t>
      </w:r>
      <w:r>
        <w:rPr>
          <w:i/>
          <w:lang w:val="en-US"/>
        </w:rPr>
        <w:t>vs.</w:t>
      </w:r>
      <w:r>
        <w:rPr>
          <w:lang w:val="en-US"/>
        </w:rPr>
        <w:t xml:space="preserve"> neutral faces displayed reduced </w:t>
      </w:r>
      <w:r>
        <w:rPr>
          <w:lang w:val="en-US"/>
        </w:rPr>
        <w:lastRenderedPageBreak/>
        <w:t xml:space="preserve">activations in the amygdala, ventromedial prefrontal cortex, insula, and orbitofrontal cortex, relative to controls. Color bars ranging from red to yellow represent </w:t>
      </w:r>
      <w:r>
        <w:rPr>
          <w:i/>
          <w:iCs/>
          <w:lang w:val="en-US"/>
        </w:rPr>
        <w:t xml:space="preserve">F (i.e., Fisher’s F) </w:t>
      </w:r>
      <w:r>
        <w:rPr>
          <w:lang w:val="en-US"/>
        </w:rPr>
        <w:t xml:space="preserve">statistics. Maps are </w:t>
      </w:r>
      <w:proofErr w:type="spellStart"/>
      <w:r>
        <w:rPr>
          <w:lang w:val="en-US"/>
        </w:rPr>
        <w:t>thresholded</w:t>
      </w:r>
      <w:proofErr w:type="spellEnd"/>
      <w:r>
        <w:rPr>
          <w:lang w:val="en-US"/>
        </w:rPr>
        <w:t xml:space="preserve"> at </w:t>
      </w:r>
      <w:r>
        <w:rPr>
          <w:i/>
          <w:iCs/>
          <w:lang w:val="en-US"/>
        </w:rPr>
        <w:t>p</w:t>
      </w:r>
      <w:r>
        <w:rPr>
          <w:iCs/>
          <w:lang w:val="en-US"/>
        </w:rPr>
        <w:t xml:space="preserve"> </w:t>
      </w:r>
      <w:r>
        <w:rPr>
          <w:lang w:val="en-US"/>
        </w:rPr>
        <w:t>&lt; 0.005, uncorrected for display purposes but results are corrected for multiple comparisons. Panels reproduced from Passamonti et al., (2010) by permission of American Medical Association.</w:t>
      </w:r>
    </w:p>
    <w:p w:rsidR="002826E4" w:rsidRPr="00B26E04" w:rsidRDefault="002826E4" w:rsidP="009151E6">
      <w:pPr>
        <w:spacing w:line="480" w:lineRule="auto"/>
        <w:rPr>
          <w:lang w:val="en-US"/>
        </w:rPr>
      </w:pPr>
    </w:p>
    <w:p w:rsidR="00566127" w:rsidRPr="00B26E04" w:rsidRDefault="0096787B" w:rsidP="00A16724">
      <w:pPr>
        <w:spacing w:line="480" w:lineRule="auto"/>
        <w:rPr>
          <w:lang w:val="en-US"/>
        </w:rPr>
        <w:sectPr w:rsidR="00566127" w:rsidRPr="00B26E04" w:rsidSect="00E97661">
          <w:footerReference w:type="default" r:id="rId9"/>
          <w:pgSz w:w="11900" w:h="16840"/>
          <w:pgMar w:top="1134" w:right="1418" w:bottom="1134" w:left="1418" w:header="709" w:footer="709" w:gutter="0"/>
          <w:lnNumType w:countBy="1" w:restart="continuous"/>
          <w:cols w:space="708"/>
          <w:docGrid w:linePitch="360"/>
        </w:sectPr>
      </w:pPr>
      <w:r>
        <w:rPr>
          <w:b/>
          <w:lang w:val="en-US"/>
        </w:rPr>
        <w:t>Fig. 3.</w:t>
      </w:r>
      <w:r>
        <w:rPr>
          <w:lang w:val="en-US"/>
        </w:rPr>
        <w:t xml:space="preserve"> Structural (i.e., anatomical) connectivity changes in conduct disorder (left). Young people with conduct disorder display structural abnormalities of the uncinate fascicle, linking the medial temporal lobe regions including the amygdala with the orbitofrontal cortex. Figure reproduced from Passamonti et al., (2012) by permission of </w:t>
      </w:r>
      <w:proofErr w:type="spellStart"/>
      <w:r>
        <w:rPr>
          <w:lang w:val="en-US"/>
        </w:rPr>
        <w:t>PLoS</w:t>
      </w:r>
      <w:proofErr w:type="spellEnd"/>
      <w:r>
        <w:rPr>
          <w:lang w:val="en-US"/>
        </w:rPr>
        <w:t xml:space="preserve"> One. Functional connectivity in people with conduct disorder and psychopathic traits, relative to controls, while processing angry </w:t>
      </w:r>
      <w:r>
        <w:rPr>
          <w:i/>
          <w:lang w:val="en-US"/>
        </w:rPr>
        <w:t>vs.</w:t>
      </w:r>
      <w:r>
        <w:rPr>
          <w:lang w:val="en-US"/>
        </w:rPr>
        <w:t xml:space="preserve"> neutral faces (right). There is a negative correlation between psychopathic traits and connectivity of amygdala-ventral anterior cingulate cortex: changes in effective connectivity following response to angry </w:t>
      </w:r>
      <w:r>
        <w:rPr>
          <w:i/>
          <w:lang w:val="en-US"/>
        </w:rPr>
        <w:t>vs.</w:t>
      </w:r>
      <w:r>
        <w:rPr>
          <w:lang w:val="en-US"/>
        </w:rPr>
        <w:t xml:space="preserve"> neutral faces are showed by statistical parametric maps. The anterior cingulate cortex shows a reduced connectivity with the amygdala in young people with conduct disorder, relative to age-matched healthy controls. Brain maps are </w:t>
      </w:r>
      <w:proofErr w:type="spellStart"/>
      <w:r>
        <w:rPr>
          <w:lang w:val="en-US"/>
        </w:rPr>
        <w:t>thresholded</w:t>
      </w:r>
      <w:proofErr w:type="spellEnd"/>
      <w:r>
        <w:rPr>
          <w:lang w:val="en-US"/>
        </w:rPr>
        <w:t xml:space="preserve"> at </w:t>
      </w:r>
      <w:r>
        <w:rPr>
          <w:i/>
          <w:lang w:val="en-US"/>
        </w:rPr>
        <w:t>p</w:t>
      </w:r>
      <w:r>
        <w:rPr>
          <w:lang w:val="en-US"/>
        </w:rPr>
        <w:t xml:space="preserve"> &lt; 0.005, uncorrected but results are corrected for multiple comparisons. Panels reproduced from </w:t>
      </w:r>
      <w:proofErr w:type="spellStart"/>
      <w:r>
        <w:rPr>
          <w:lang w:val="en-US"/>
        </w:rPr>
        <w:t>Ewbank</w:t>
      </w:r>
      <w:proofErr w:type="spellEnd"/>
      <w:r>
        <w:rPr>
          <w:lang w:val="en-US"/>
        </w:rPr>
        <w:t xml:space="preserve"> et al., (2018) by permission of Oxford University Press.</w:t>
      </w:r>
    </w:p>
    <w:tbl>
      <w:tblPr>
        <w:tblStyle w:val="TableGrid"/>
        <w:tblpPr w:leftFromText="141" w:rightFromText="141" w:vertAnchor="page" w:horzAnchor="margin" w:tblpXSpec="center" w:tblpY="1681"/>
        <w:tblW w:w="16256" w:type="dxa"/>
        <w:tblLayout w:type="fixed"/>
        <w:tblLook w:val="04A0" w:firstRow="1" w:lastRow="0" w:firstColumn="1" w:lastColumn="0" w:noHBand="0" w:noVBand="1"/>
      </w:tblPr>
      <w:tblGrid>
        <w:gridCol w:w="817"/>
        <w:gridCol w:w="992"/>
        <w:gridCol w:w="1701"/>
        <w:gridCol w:w="1418"/>
        <w:gridCol w:w="2489"/>
        <w:gridCol w:w="3323"/>
        <w:gridCol w:w="2976"/>
        <w:gridCol w:w="2540"/>
      </w:tblGrid>
      <w:tr w:rsidR="005379EB" w:rsidRPr="00B26E04" w:rsidTr="007005B6">
        <w:tc>
          <w:tcPr>
            <w:tcW w:w="817" w:type="dxa"/>
          </w:tcPr>
          <w:p w:rsidR="005379EB" w:rsidRPr="00B26E04" w:rsidRDefault="0096787B" w:rsidP="007005B6">
            <w:pPr>
              <w:spacing w:before="60" w:after="60"/>
              <w:jc w:val="center"/>
              <w:rPr>
                <w:b/>
                <w:sz w:val="20"/>
                <w:szCs w:val="20"/>
                <w:lang w:val="en-US"/>
              </w:rPr>
            </w:pPr>
            <w:r>
              <w:rPr>
                <w:b/>
                <w:sz w:val="20"/>
                <w:szCs w:val="20"/>
                <w:lang w:val="en-US"/>
              </w:rPr>
              <w:lastRenderedPageBreak/>
              <w:t>Gene</w:t>
            </w:r>
          </w:p>
        </w:tc>
        <w:tc>
          <w:tcPr>
            <w:tcW w:w="992" w:type="dxa"/>
          </w:tcPr>
          <w:p w:rsidR="005379EB" w:rsidRPr="00B26E04" w:rsidRDefault="0096787B" w:rsidP="007005B6">
            <w:pPr>
              <w:spacing w:before="60" w:after="60"/>
              <w:jc w:val="center"/>
              <w:rPr>
                <w:b/>
                <w:sz w:val="20"/>
                <w:szCs w:val="20"/>
                <w:lang w:val="en-US"/>
              </w:rPr>
            </w:pPr>
            <w:r>
              <w:rPr>
                <w:b/>
                <w:sz w:val="20"/>
                <w:szCs w:val="20"/>
                <w:lang w:val="en-US"/>
              </w:rPr>
              <w:t>Location</w:t>
            </w:r>
          </w:p>
        </w:tc>
        <w:tc>
          <w:tcPr>
            <w:tcW w:w="1701" w:type="dxa"/>
          </w:tcPr>
          <w:p w:rsidR="005379EB" w:rsidRPr="00B26E04" w:rsidRDefault="0096787B" w:rsidP="007005B6">
            <w:pPr>
              <w:spacing w:before="60" w:after="60"/>
              <w:jc w:val="center"/>
              <w:rPr>
                <w:b/>
                <w:sz w:val="20"/>
                <w:szCs w:val="20"/>
                <w:lang w:val="en-US"/>
              </w:rPr>
            </w:pPr>
            <w:r>
              <w:rPr>
                <w:b/>
                <w:sz w:val="20"/>
                <w:szCs w:val="20"/>
                <w:lang w:val="en-US"/>
              </w:rPr>
              <w:t>Function</w:t>
            </w:r>
          </w:p>
        </w:tc>
        <w:tc>
          <w:tcPr>
            <w:tcW w:w="3907" w:type="dxa"/>
            <w:gridSpan w:val="2"/>
          </w:tcPr>
          <w:p w:rsidR="005379EB" w:rsidRPr="00B26E04" w:rsidRDefault="0096787B" w:rsidP="007005B6">
            <w:pPr>
              <w:spacing w:before="60" w:after="60"/>
              <w:jc w:val="center"/>
              <w:rPr>
                <w:b/>
                <w:sz w:val="20"/>
                <w:szCs w:val="20"/>
                <w:lang w:val="en-US"/>
              </w:rPr>
            </w:pPr>
            <w:r>
              <w:rPr>
                <w:b/>
                <w:sz w:val="20"/>
                <w:szCs w:val="20"/>
                <w:lang w:val="en-US"/>
              </w:rPr>
              <w:t>Gene variants</w:t>
            </w:r>
          </w:p>
        </w:tc>
        <w:tc>
          <w:tcPr>
            <w:tcW w:w="3323" w:type="dxa"/>
          </w:tcPr>
          <w:p w:rsidR="005379EB" w:rsidRPr="00B26E04" w:rsidRDefault="0096787B" w:rsidP="007005B6">
            <w:pPr>
              <w:spacing w:before="60" w:after="60"/>
              <w:jc w:val="center"/>
              <w:rPr>
                <w:b/>
                <w:sz w:val="20"/>
                <w:szCs w:val="20"/>
                <w:lang w:val="en-US"/>
              </w:rPr>
            </w:pPr>
            <w:r>
              <w:rPr>
                <w:b/>
                <w:sz w:val="20"/>
                <w:szCs w:val="20"/>
                <w:lang w:val="en-US"/>
              </w:rPr>
              <w:t>Neurochemical effects</w:t>
            </w:r>
          </w:p>
        </w:tc>
        <w:tc>
          <w:tcPr>
            <w:tcW w:w="2976" w:type="dxa"/>
          </w:tcPr>
          <w:p w:rsidR="005379EB" w:rsidRPr="00B26E04" w:rsidRDefault="0096787B" w:rsidP="007005B6">
            <w:pPr>
              <w:spacing w:before="60" w:after="60"/>
              <w:jc w:val="center"/>
              <w:rPr>
                <w:b/>
                <w:sz w:val="20"/>
                <w:szCs w:val="20"/>
                <w:lang w:val="en-US"/>
              </w:rPr>
            </w:pPr>
            <w:r>
              <w:rPr>
                <w:b/>
                <w:sz w:val="20"/>
                <w:szCs w:val="20"/>
                <w:lang w:val="en-US"/>
              </w:rPr>
              <w:t>Anatomical/functional effects</w:t>
            </w:r>
          </w:p>
        </w:tc>
        <w:tc>
          <w:tcPr>
            <w:tcW w:w="2540" w:type="dxa"/>
          </w:tcPr>
          <w:p w:rsidR="005379EB" w:rsidRPr="00B26E04" w:rsidRDefault="0096787B" w:rsidP="007005B6">
            <w:pPr>
              <w:spacing w:before="60" w:after="60"/>
              <w:jc w:val="center"/>
              <w:rPr>
                <w:b/>
                <w:sz w:val="20"/>
                <w:szCs w:val="20"/>
                <w:lang w:val="en-US"/>
              </w:rPr>
            </w:pPr>
            <w:r>
              <w:rPr>
                <w:b/>
                <w:sz w:val="20"/>
                <w:szCs w:val="20"/>
                <w:lang w:val="en-US"/>
              </w:rPr>
              <w:t>Behavioral consequences</w:t>
            </w:r>
          </w:p>
        </w:tc>
      </w:tr>
      <w:tr w:rsidR="005379EB" w:rsidRPr="00C54C8A" w:rsidTr="007005B6">
        <w:trPr>
          <w:trHeight w:val="1193"/>
        </w:trPr>
        <w:tc>
          <w:tcPr>
            <w:tcW w:w="817" w:type="dxa"/>
            <w:vMerge w:val="restart"/>
            <w:vAlign w:val="center"/>
          </w:tcPr>
          <w:p w:rsidR="005379EB" w:rsidRPr="00B26E04" w:rsidRDefault="005379EB" w:rsidP="007005B6">
            <w:pPr>
              <w:spacing w:before="60" w:after="60"/>
              <w:jc w:val="center"/>
              <w:rPr>
                <w:sz w:val="16"/>
                <w:szCs w:val="16"/>
                <w:highlight w:val="green"/>
                <w:lang w:val="en-US"/>
              </w:rPr>
            </w:pPr>
            <w:r w:rsidRPr="00B26E04">
              <w:rPr>
                <w:b/>
                <w:i/>
                <w:sz w:val="16"/>
                <w:szCs w:val="16"/>
                <w:lang w:val="en-US"/>
              </w:rPr>
              <w:t>MAOA</w:t>
            </w:r>
          </w:p>
        </w:tc>
        <w:tc>
          <w:tcPr>
            <w:tcW w:w="992" w:type="dxa"/>
            <w:vMerge w:val="restart"/>
            <w:vAlign w:val="center"/>
          </w:tcPr>
          <w:p w:rsidR="005379EB" w:rsidRPr="00B26E04" w:rsidRDefault="0096787B" w:rsidP="007005B6">
            <w:pPr>
              <w:spacing w:before="60" w:after="60"/>
              <w:jc w:val="center"/>
              <w:rPr>
                <w:sz w:val="16"/>
                <w:szCs w:val="16"/>
                <w:lang w:val="en-US"/>
              </w:rPr>
            </w:pPr>
            <w:r>
              <w:rPr>
                <w:sz w:val="16"/>
                <w:szCs w:val="16"/>
                <w:lang w:val="en-US"/>
              </w:rPr>
              <w:t>Xp11.3</w:t>
            </w:r>
          </w:p>
        </w:tc>
        <w:tc>
          <w:tcPr>
            <w:tcW w:w="1701" w:type="dxa"/>
            <w:vMerge w:val="restart"/>
            <w:vAlign w:val="center"/>
          </w:tcPr>
          <w:p w:rsidR="005379EB" w:rsidRPr="00B26E04" w:rsidRDefault="0096787B" w:rsidP="007005B6">
            <w:pPr>
              <w:spacing w:before="60" w:after="60"/>
              <w:jc w:val="both"/>
              <w:rPr>
                <w:sz w:val="16"/>
                <w:szCs w:val="16"/>
                <w:lang w:val="en-US"/>
              </w:rPr>
            </w:pPr>
            <w:r>
              <w:rPr>
                <w:sz w:val="16"/>
                <w:szCs w:val="16"/>
                <w:lang w:val="en-US"/>
              </w:rPr>
              <w:t>MAOA enzyme catalyzes oxidative deamination of different amines (i.e., 5-HT, DA, etc.) leading to their degradation</w:t>
            </w:r>
          </w:p>
        </w:tc>
        <w:tc>
          <w:tcPr>
            <w:tcW w:w="1418" w:type="dxa"/>
            <w:vAlign w:val="center"/>
          </w:tcPr>
          <w:p w:rsidR="005379EB" w:rsidRPr="00B26E04" w:rsidRDefault="0096787B" w:rsidP="007005B6">
            <w:pPr>
              <w:spacing w:before="60" w:after="60"/>
              <w:jc w:val="center"/>
              <w:rPr>
                <w:i/>
                <w:sz w:val="16"/>
                <w:szCs w:val="16"/>
                <w:lang w:val="en-US"/>
              </w:rPr>
            </w:pPr>
            <w:r>
              <w:rPr>
                <w:i/>
                <w:sz w:val="16"/>
                <w:szCs w:val="16"/>
                <w:lang w:val="en-US"/>
              </w:rPr>
              <w:t>MAOA-H</w:t>
            </w:r>
          </w:p>
        </w:tc>
        <w:tc>
          <w:tcPr>
            <w:tcW w:w="2489" w:type="dxa"/>
            <w:vAlign w:val="center"/>
          </w:tcPr>
          <w:p w:rsidR="005379EB" w:rsidRPr="00B26E04" w:rsidRDefault="0096787B" w:rsidP="007005B6">
            <w:pPr>
              <w:spacing w:before="60" w:after="60"/>
              <w:jc w:val="both"/>
              <w:rPr>
                <w:sz w:val="16"/>
                <w:szCs w:val="16"/>
                <w:highlight w:val="green"/>
                <w:lang w:val="en-US"/>
              </w:rPr>
            </w:pPr>
            <w:r>
              <w:rPr>
                <w:sz w:val="16"/>
                <w:szCs w:val="16"/>
                <w:lang w:val="en-US"/>
              </w:rPr>
              <w:t xml:space="preserve">high expression allele characterized by 3.5- or 4-repeats in the regulatory region of </w:t>
            </w:r>
            <w:r>
              <w:rPr>
                <w:i/>
                <w:sz w:val="16"/>
                <w:szCs w:val="16"/>
                <w:lang w:val="en-US"/>
              </w:rPr>
              <w:t>MAOA</w:t>
            </w:r>
            <w:r>
              <w:rPr>
                <w:sz w:val="16"/>
                <w:szCs w:val="16"/>
                <w:lang w:val="en-US"/>
              </w:rPr>
              <w:t xml:space="preserve"> (</w:t>
            </w:r>
            <w:r>
              <w:rPr>
                <w:i/>
                <w:sz w:val="16"/>
                <w:szCs w:val="16"/>
                <w:lang w:val="en-US"/>
              </w:rPr>
              <w:t>MAOA</w:t>
            </w:r>
            <w:r>
              <w:rPr>
                <w:sz w:val="16"/>
                <w:szCs w:val="16"/>
                <w:lang w:val="en-US"/>
              </w:rPr>
              <w:t>-</w:t>
            </w:r>
            <w:proofErr w:type="spellStart"/>
            <w:r>
              <w:rPr>
                <w:sz w:val="16"/>
                <w:szCs w:val="16"/>
                <w:lang w:val="en-US"/>
              </w:rPr>
              <w:t>uVNTR</w:t>
            </w:r>
            <w:proofErr w:type="spellEnd"/>
            <w:r>
              <w:rPr>
                <w:sz w:val="16"/>
                <w:szCs w:val="16"/>
                <w:lang w:val="en-US"/>
              </w:rPr>
              <w:t>)</w:t>
            </w:r>
          </w:p>
        </w:tc>
        <w:tc>
          <w:tcPr>
            <w:tcW w:w="3323" w:type="dxa"/>
            <w:vAlign w:val="center"/>
          </w:tcPr>
          <w:p w:rsidR="005379EB" w:rsidRPr="00B26E04" w:rsidRDefault="0096787B" w:rsidP="005379EB">
            <w:pPr>
              <w:pStyle w:val="ListParagraph"/>
              <w:numPr>
                <w:ilvl w:val="0"/>
                <w:numId w:val="4"/>
              </w:numPr>
              <w:spacing w:before="60" w:after="60"/>
              <w:ind w:left="96" w:hanging="96"/>
              <w:contextualSpacing w:val="0"/>
              <w:jc w:val="both"/>
              <w:rPr>
                <w:sz w:val="16"/>
                <w:szCs w:val="16"/>
                <w:lang w:val="en-US"/>
              </w:rPr>
            </w:pPr>
            <w:r>
              <w:rPr>
                <w:sz w:val="16"/>
                <w:szCs w:val="16"/>
                <w:lang w:val="en-US"/>
              </w:rPr>
              <w:t>high transcriptional efficiency</w:t>
            </w:r>
          </w:p>
          <w:p w:rsidR="005379EB" w:rsidRPr="00B26E04" w:rsidRDefault="0096787B" w:rsidP="005379EB">
            <w:pPr>
              <w:pStyle w:val="ListParagraph"/>
              <w:numPr>
                <w:ilvl w:val="0"/>
                <w:numId w:val="4"/>
              </w:numPr>
              <w:spacing w:before="60" w:after="60"/>
              <w:ind w:left="96" w:hanging="96"/>
              <w:contextualSpacing w:val="0"/>
              <w:jc w:val="both"/>
              <w:rPr>
                <w:sz w:val="16"/>
                <w:szCs w:val="16"/>
                <w:lang w:val="en-US"/>
              </w:rPr>
            </w:pPr>
            <w:r>
              <w:rPr>
                <w:sz w:val="16"/>
                <w:szCs w:val="16"/>
                <w:lang w:val="en-US"/>
              </w:rPr>
              <w:t>high levels of MAOA enzyme, with high degradation rate of 5-HT and other substrates</w:t>
            </w:r>
          </w:p>
          <w:p w:rsidR="005379EB" w:rsidRPr="00B26E04" w:rsidRDefault="0096787B" w:rsidP="008310B0">
            <w:pPr>
              <w:pStyle w:val="ListParagraph"/>
              <w:numPr>
                <w:ilvl w:val="0"/>
                <w:numId w:val="4"/>
              </w:numPr>
              <w:spacing w:before="60" w:after="60"/>
              <w:ind w:left="96" w:hanging="96"/>
              <w:contextualSpacing w:val="0"/>
              <w:jc w:val="both"/>
              <w:rPr>
                <w:sz w:val="16"/>
                <w:szCs w:val="16"/>
                <w:lang w:val="en-US"/>
              </w:rPr>
            </w:pPr>
            <w:r>
              <w:rPr>
                <w:sz w:val="16"/>
                <w:szCs w:val="16"/>
                <w:lang w:val="en-US"/>
              </w:rPr>
              <w:t>low concentration of 5-HT and MAOA substrates</w:t>
            </w:r>
          </w:p>
        </w:tc>
        <w:tc>
          <w:tcPr>
            <w:tcW w:w="2976" w:type="dxa"/>
            <w:vMerge w:val="restart"/>
            <w:vAlign w:val="center"/>
          </w:tcPr>
          <w:p w:rsidR="005379EB" w:rsidRPr="00B26E04" w:rsidRDefault="0096787B" w:rsidP="005379EB">
            <w:pPr>
              <w:pStyle w:val="ListParagraph"/>
              <w:numPr>
                <w:ilvl w:val="0"/>
                <w:numId w:val="4"/>
              </w:numPr>
              <w:spacing w:before="60" w:after="60"/>
              <w:ind w:left="96" w:hanging="96"/>
              <w:contextualSpacing w:val="0"/>
              <w:jc w:val="both"/>
              <w:rPr>
                <w:sz w:val="16"/>
                <w:szCs w:val="16"/>
                <w:lang w:val="en-US"/>
              </w:rPr>
            </w:pPr>
            <w:r>
              <w:rPr>
                <w:sz w:val="16"/>
                <w:szCs w:val="16"/>
                <w:lang w:val="en-US"/>
              </w:rPr>
              <w:t xml:space="preserve">greater activity of dorsal anterior cingulate cortex and amygdala in </w:t>
            </w:r>
            <w:r>
              <w:rPr>
                <w:i/>
                <w:sz w:val="16"/>
                <w:szCs w:val="16"/>
                <w:lang w:val="en-US"/>
              </w:rPr>
              <w:t>MAOA-L</w:t>
            </w:r>
            <w:r>
              <w:rPr>
                <w:sz w:val="16"/>
                <w:szCs w:val="16"/>
                <w:lang w:val="en-US"/>
              </w:rPr>
              <w:t xml:space="preserve"> individuals compared to </w:t>
            </w:r>
            <w:r>
              <w:rPr>
                <w:i/>
                <w:sz w:val="16"/>
                <w:szCs w:val="16"/>
                <w:lang w:val="en-US"/>
              </w:rPr>
              <w:t>MAOA-H</w:t>
            </w:r>
            <w:r>
              <w:rPr>
                <w:sz w:val="16"/>
                <w:szCs w:val="16"/>
                <w:lang w:val="en-US"/>
              </w:rPr>
              <w:t xml:space="preserve"> carriers</w:t>
            </w:r>
          </w:p>
          <w:p w:rsidR="005379EB" w:rsidRPr="00B26E04" w:rsidRDefault="0096787B" w:rsidP="005379EB">
            <w:pPr>
              <w:pStyle w:val="ListParagraph"/>
              <w:numPr>
                <w:ilvl w:val="0"/>
                <w:numId w:val="4"/>
              </w:numPr>
              <w:spacing w:before="60" w:after="60"/>
              <w:ind w:left="96" w:hanging="96"/>
              <w:contextualSpacing w:val="0"/>
              <w:jc w:val="both"/>
              <w:rPr>
                <w:sz w:val="16"/>
                <w:szCs w:val="16"/>
                <w:lang w:val="en-US"/>
              </w:rPr>
            </w:pPr>
            <w:r>
              <w:rPr>
                <w:sz w:val="16"/>
                <w:szCs w:val="16"/>
                <w:lang w:val="en-US"/>
              </w:rPr>
              <w:t xml:space="preserve">reduction of gray matter volume in cingulate gyrus (maximum in anterior cingulate cortex), in amygdala, in insula and hypothalamus in </w:t>
            </w:r>
            <w:r>
              <w:rPr>
                <w:i/>
                <w:sz w:val="16"/>
                <w:szCs w:val="16"/>
                <w:lang w:val="en-US"/>
              </w:rPr>
              <w:t>MAOA-L</w:t>
            </w:r>
            <w:r>
              <w:rPr>
                <w:sz w:val="16"/>
                <w:szCs w:val="16"/>
                <w:lang w:val="en-US"/>
              </w:rPr>
              <w:t xml:space="preserve"> carriers compared to </w:t>
            </w:r>
            <w:r>
              <w:rPr>
                <w:i/>
                <w:sz w:val="16"/>
                <w:szCs w:val="16"/>
                <w:lang w:val="en-US"/>
              </w:rPr>
              <w:t>MAOA-H</w:t>
            </w:r>
            <w:r>
              <w:rPr>
                <w:sz w:val="16"/>
                <w:szCs w:val="16"/>
                <w:lang w:val="en-US"/>
              </w:rPr>
              <w:t xml:space="preserve"> subjects</w:t>
            </w:r>
          </w:p>
          <w:p w:rsidR="005379EB" w:rsidRPr="00B26E04" w:rsidRDefault="0096787B" w:rsidP="005379EB">
            <w:pPr>
              <w:pStyle w:val="ListParagraph"/>
              <w:numPr>
                <w:ilvl w:val="0"/>
                <w:numId w:val="4"/>
              </w:numPr>
              <w:spacing w:before="60" w:after="60"/>
              <w:ind w:left="96" w:hanging="96"/>
              <w:contextualSpacing w:val="0"/>
              <w:jc w:val="both"/>
              <w:rPr>
                <w:sz w:val="16"/>
                <w:szCs w:val="16"/>
                <w:lang w:val="en-US"/>
              </w:rPr>
            </w:pPr>
            <w:r>
              <w:rPr>
                <w:sz w:val="16"/>
                <w:szCs w:val="16"/>
                <w:lang w:val="en-US"/>
              </w:rPr>
              <w:t>gender-genotype related differences</w:t>
            </w:r>
          </w:p>
        </w:tc>
        <w:tc>
          <w:tcPr>
            <w:tcW w:w="2540" w:type="dxa"/>
            <w:vMerge w:val="restart"/>
            <w:vAlign w:val="center"/>
          </w:tcPr>
          <w:p w:rsidR="005379EB" w:rsidRPr="00B26E04" w:rsidRDefault="0096787B" w:rsidP="005379EB">
            <w:pPr>
              <w:pStyle w:val="ListParagraph"/>
              <w:numPr>
                <w:ilvl w:val="0"/>
                <w:numId w:val="4"/>
              </w:numPr>
              <w:spacing w:before="60" w:after="60"/>
              <w:ind w:left="96" w:hanging="96"/>
              <w:contextualSpacing w:val="0"/>
              <w:jc w:val="both"/>
              <w:rPr>
                <w:sz w:val="16"/>
                <w:szCs w:val="16"/>
                <w:lang w:val="en-US"/>
              </w:rPr>
            </w:pPr>
            <w:r>
              <w:rPr>
                <w:i/>
                <w:sz w:val="16"/>
                <w:szCs w:val="16"/>
                <w:lang w:val="en-US"/>
              </w:rPr>
              <w:t>MAOA-L</w:t>
            </w:r>
            <w:r>
              <w:rPr>
                <w:sz w:val="16"/>
                <w:szCs w:val="16"/>
                <w:lang w:val="en-US"/>
              </w:rPr>
              <w:t xml:space="preserve"> genotype as genetic determinant for aggressive behavior, since associated with high levels of impulsivity in males offenders</w:t>
            </w:r>
          </w:p>
          <w:p w:rsidR="005379EB" w:rsidRPr="00B26E04" w:rsidRDefault="0096787B" w:rsidP="005379EB">
            <w:pPr>
              <w:pStyle w:val="ListParagraph"/>
              <w:numPr>
                <w:ilvl w:val="0"/>
                <w:numId w:val="4"/>
              </w:numPr>
              <w:spacing w:before="60" w:after="60"/>
              <w:ind w:left="96" w:hanging="96"/>
              <w:contextualSpacing w:val="0"/>
              <w:jc w:val="both"/>
              <w:rPr>
                <w:sz w:val="16"/>
                <w:szCs w:val="16"/>
                <w:lang w:val="en-US"/>
              </w:rPr>
            </w:pPr>
            <w:r>
              <w:rPr>
                <w:sz w:val="16"/>
                <w:szCs w:val="16"/>
                <w:lang w:val="en-US"/>
              </w:rPr>
              <w:t xml:space="preserve">higher trait of aggression of </w:t>
            </w:r>
            <w:r>
              <w:rPr>
                <w:i/>
                <w:sz w:val="16"/>
                <w:szCs w:val="16"/>
                <w:lang w:val="en-US"/>
              </w:rPr>
              <w:t>MAOA-L</w:t>
            </w:r>
            <w:r>
              <w:rPr>
                <w:sz w:val="16"/>
                <w:szCs w:val="16"/>
                <w:lang w:val="en-US"/>
              </w:rPr>
              <w:t xml:space="preserve"> normal individuals than those with </w:t>
            </w:r>
            <w:r>
              <w:rPr>
                <w:i/>
                <w:sz w:val="16"/>
                <w:szCs w:val="16"/>
                <w:lang w:val="en-US"/>
              </w:rPr>
              <w:t>MAOA-H</w:t>
            </w:r>
            <w:r>
              <w:rPr>
                <w:sz w:val="16"/>
                <w:szCs w:val="16"/>
                <w:lang w:val="en-US"/>
              </w:rPr>
              <w:t xml:space="preserve"> genotype</w:t>
            </w:r>
          </w:p>
          <w:p w:rsidR="005379EB" w:rsidRPr="00B26E04" w:rsidRDefault="0096787B" w:rsidP="005379EB">
            <w:pPr>
              <w:pStyle w:val="ListParagraph"/>
              <w:numPr>
                <w:ilvl w:val="0"/>
                <w:numId w:val="4"/>
              </w:numPr>
              <w:spacing w:before="60" w:after="60"/>
              <w:ind w:left="96" w:hanging="96"/>
              <w:contextualSpacing w:val="0"/>
              <w:jc w:val="both"/>
              <w:rPr>
                <w:sz w:val="16"/>
                <w:szCs w:val="16"/>
                <w:lang w:val="en-US"/>
              </w:rPr>
            </w:pPr>
            <w:r>
              <w:rPr>
                <w:sz w:val="16"/>
                <w:szCs w:val="16"/>
                <w:lang w:val="en-US"/>
              </w:rPr>
              <w:t xml:space="preserve">higher trait of interpersonal hypersensitivity of </w:t>
            </w:r>
            <w:r>
              <w:rPr>
                <w:i/>
                <w:sz w:val="16"/>
                <w:szCs w:val="16"/>
                <w:lang w:val="en-US"/>
              </w:rPr>
              <w:t>MAOA-L</w:t>
            </w:r>
            <w:r>
              <w:rPr>
                <w:sz w:val="16"/>
                <w:szCs w:val="16"/>
                <w:lang w:val="en-US"/>
              </w:rPr>
              <w:t xml:space="preserve"> carriers than those with </w:t>
            </w:r>
            <w:r>
              <w:rPr>
                <w:i/>
                <w:sz w:val="16"/>
                <w:szCs w:val="16"/>
                <w:lang w:val="en-US"/>
              </w:rPr>
              <w:t>MAOA-H</w:t>
            </w:r>
          </w:p>
        </w:tc>
      </w:tr>
      <w:tr w:rsidR="005379EB" w:rsidRPr="00B26E04" w:rsidTr="007005B6">
        <w:trPr>
          <w:trHeight w:val="969"/>
        </w:trPr>
        <w:tc>
          <w:tcPr>
            <w:tcW w:w="817" w:type="dxa"/>
            <w:vMerge/>
            <w:tcBorders>
              <w:bottom w:val="single" w:sz="4" w:space="0" w:color="auto"/>
            </w:tcBorders>
            <w:vAlign w:val="center"/>
          </w:tcPr>
          <w:p w:rsidR="005379EB" w:rsidRPr="00B26E04" w:rsidRDefault="005379EB" w:rsidP="007005B6">
            <w:pPr>
              <w:spacing w:before="60" w:after="60"/>
              <w:rPr>
                <w:sz w:val="16"/>
                <w:szCs w:val="16"/>
                <w:highlight w:val="green"/>
                <w:lang w:val="en-US"/>
              </w:rPr>
            </w:pPr>
          </w:p>
        </w:tc>
        <w:tc>
          <w:tcPr>
            <w:tcW w:w="992" w:type="dxa"/>
            <w:vMerge/>
            <w:tcBorders>
              <w:bottom w:val="single" w:sz="4" w:space="0" w:color="auto"/>
            </w:tcBorders>
            <w:vAlign w:val="center"/>
          </w:tcPr>
          <w:p w:rsidR="005379EB" w:rsidRPr="00B26E04" w:rsidRDefault="005379EB" w:rsidP="007005B6">
            <w:pPr>
              <w:spacing w:before="60" w:after="60"/>
              <w:rPr>
                <w:sz w:val="16"/>
                <w:szCs w:val="16"/>
                <w:highlight w:val="green"/>
                <w:lang w:val="en-US"/>
              </w:rPr>
            </w:pPr>
          </w:p>
        </w:tc>
        <w:tc>
          <w:tcPr>
            <w:tcW w:w="1701" w:type="dxa"/>
            <w:vMerge/>
            <w:tcBorders>
              <w:bottom w:val="single" w:sz="4" w:space="0" w:color="auto"/>
            </w:tcBorders>
            <w:vAlign w:val="center"/>
          </w:tcPr>
          <w:p w:rsidR="005379EB" w:rsidRPr="00B26E04" w:rsidRDefault="005379EB" w:rsidP="007005B6">
            <w:pPr>
              <w:spacing w:before="60" w:after="60"/>
              <w:rPr>
                <w:sz w:val="16"/>
                <w:szCs w:val="16"/>
                <w:highlight w:val="green"/>
                <w:lang w:val="en-US"/>
              </w:rPr>
            </w:pPr>
          </w:p>
        </w:tc>
        <w:tc>
          <w:tcPr>
            <w:tcW w:w="1418" w:type="dxa"/>
            <w:tcBorders>
              <w:bottom w:val="single" w:sz="4" w:space="0" w:color="auto"/>
            </w:tcBorders>
            <w:vAlign w:val="center"/>
          </w:tcPr>
          <w:p w:rsidR="005379EB" w:rsidRPr="00B26E04" w:rsidRDefault="0096787B" w:rsidP="007005B6">
            <w:pPr>
              <w:spacing w:before="60" w:after="60"/>
              <w:jc w:val="center"/>
              <w:rPr>
                <w:i/>
                <w:sz w:val="16"/>
                <w:szCs w:val="16"/>
                <w:lang w:val="en-US"/>
              </w:rPr>
            </w:pPr>
            <w:r>
              <w:rPr>
                <w:i/>
                <w:sz w:val="16"/>
                <w:szCs w:val="16"/>
                <w:lang w:val="en-US"/>
              </w:rPr>
              <w:t>MAOA-L</w:t>
            </w:r>
          </w:p>
        </w:tc>
        <w:tc>
          <w:tcPr>
            <w:tcW w:w="2489" w:type="dxa"/>
            <w:tcBorders>
              <w:bottom w:val="single" w:sz="4" w:space="0" w:color="auto"/>
            </w:tcBorders>
            <w:vAlign w:val="center"/>
          </w:tcPr>
          <w:p w:rsidR="005379EB" w:rsidRPr="00B26E04" w:rsidRDefault="0096787B" w:rsidP="007005B6">
            <w:pPr>
              <w:spacing w:before="60" w:after="60"/>
              <w:jc w:val="both"/>
              <w:rPr>
                <w:sz w:val="16"/>
                <w:szCs w:val="16"/>
                <w:highlight w:val="green"/>
                <w:lang w:val="en-US"/>
              </w:rPr>
            </w:pPr>
            <w:r>
              <w:rPr>
                <w:sz w:val="16"/>
                <w:szCs w:val="16"/>
                <w:lang w:val="en-US"/>
              </w:rPr>
              <w:t xml:space="preserve">low expression allele characterized by 3- or 5-repeats in the regulatory region of </w:t>
            </w:r>
            <w:r>
              <w:rPr>
                <w:i/>
                <w:sz w:val="16"/>
                <w:szCs w:val="16"/>
                <w:lang w:val="en-US"/>
              </w:rPr>
              <w:t>MAOA</w:t>
            </w:r>
            <w:r>
              <w:rPr>
                <w:sz w:val="16"/>
                <w:szCs w:val="16"/>
                <w:lang w:val="en-US"/>
              </w:rPr>
              <w:t xml:space="preserve"> (</w:t>
            </w:r>
            <w:r>
              <w:rPr>
                <w:i/>
                <w:sz w:val="16"/>
                <w:szCs w:val="16"/>
                <w:lang w:val="en-US"/>
              </w:rPr>
              <w:t>MAOA</w:t>
            </w:r>
            <w:r>
              <w:rPr>
                <w:sz w:val="16"/>
                <w:szCs w:val="16"/>
                <w:lang w:val="en-US"/>
              </w:rPr>
              <w:t>-</w:t>
            </w:r>
            <w:proofErr w:type="spellStart"/>
            <w:r>
              <w:rPr>
                <w:sz w:val="16"/>
                <w:szCs w:val="16"/>
                <w:lang w:val="en-US"/>
              </w:rPr>
              <w:t>uVNTR</w:t>
            </w:r>
            <w:proofErr w:type="spellEnd"/>
            <w:r>
              <w:rPr>
                <w:sz w:val="16"/>
                <w:szCs w:val="16"/>
                <w:lang w:val="en-US"/>
              </w:rPr>
              <w:t>)</w:t>
            </w:r>
          </w:p>
        </w:tc>
        <w:tc>
          <w:tcPr>
            <w:tcW w:w="3323" w:type="dxa"/>
            <w:tcBorders>
              <w:bottom w:val="single" w:sz="4" w:space="0" w:color="auto"/>
            </w:tcBorders>
            <w:vAlign w:val="center"/>
          </w:tcPr>
          <w:p w:rsidR="005379EB" w:rsidRPr="00B26E04" w:rsidRDefault="0096787B" w:rsidP="005379EB">
            <w:pPr>
              <w:pStyle w:val="ListParagraph"/>
              <w:numPr>
                <w:ilvl w:val="0"/>
                <w:numId w:val="4"/>
              </w:numPr>
              <w:spacing w:before="60" w:after="60"/>
              <w:ind w:left="96" w:hanging="96"/>
              <w:contextualSpacing w:val="0"/>
              <w:jc w:val="both"/>
              <w:rPr>
                <w:sz w:val="16"/>
                <w:szCs w:val="16"/>
                <w:lang w:val="en-US"/>
              </w:rPr>
            </w:pPr>
            <w:r>
              <w:rPr>
                <w:sz w:val="16"/>
                <w:szCs w:val="16"/>
                <w:lang w:val="en-US"/>
              </w:rPr>
              <w:t>low transcriptional efficiency</w:t>
            </w:r>
          </w:p>
          <w:p w:rsidR="005379EB" w:rsidRPr="00B26E04" w:rsidRDefault="0096787B" w:rsidP="005379EB">
            <w:pPr>
              <w:pStyle w:val="ListParagraph"/>
              <w:numPr>
                <w:ilvl w:val="0"/>
                <w:numId w:val="4"/>
              </w:numPr>
              <w:spacing w:before="60" w:after="60"/>
              <w:ind w:left="96" w:hanging="96"/>
              <w:contextualSpacing w:val="0"/>
              <w:jc w:val="both"/>
              <w:rPr>
                <w:sz w:val="16"/>
                <w:szCs w:val="16"/>
                <w:lang w:val="en-US"/>
              </w:rPr>
            </w:pPr>
            <w:r>
              <w:rPr>
                <w:sz w:val="16"/>
                <w:szCs w:val="16"/>
                <w:lang w:val="en-US"/>
              </w:rPr>
              <w:t>low levels of MAOA enzyme, then low degradation rate of 5-HT and other substrates</w:t>
            </w:r>
          </w:p>
          <w:p w:rsidR="005379EB" w:rsidRPr="00B26E04" w:rsidRDefault="0096787B" w:rsidP="008310B0">
            <w:pPr>
              <w:pStyle w:val="ListParagraph"/>
              <w:numPr>
                <w:ilvl w:val="0"/>
                <w:numId w:val="4"/>
              </w:numPr>
              <w:spacing w:before="60" w:after="60"/>
              <w:ind w:left="96" w:hanging="96"/>
              <w:contextualSpacing w:val="0"/>
              <w:jc w:val="both"/>
              <w:rPr>
                <w:sz w:val="16"/>
                <w:szCs w:val="16"/>
                <w:lang w:val="en-US"/>
              </w:rPr>
            </w:pPr>
            <w:r>
              <w:rPr>
                <w:sz w:val="16"/>
                <w:szCs w:val="16"/>
                <w:lang w:val="en-US"/>
              </w:rPr>
              <w:t>excessive accumulation of 5-HT</w:t>
            </w:r>
          </w:p>
        </w:tc>
        <w:tc>
          <w:tcPr>
            <w:tcW w:w="2976" w:type="dxa"/>
            <w:vMerge/>
            <w:tcBorders>
              <w:bottom w:val="single" w:sz="4" w:space="0" w:color="auto"/>
            </w:tcBorders>
            <w:vAlign w:val="center"/>
          </w:tcPr>
          <w:p w:rsidR="005379EB" w:rsidRPr="00B26E04" w:rsidRDefault="005379EB" w:rsidP="007005B6">
            <w:pPr>
              <w:spacing w:before="120" w:after="120"/>
              <w:rPr>
                <w:sz w:val="16"/>
                <w:szCs w:val="16"/>
                <w:highlight w:val="green"/>
                <w:lang w:val="en-US"/>
              </w:rPr>
            </w:pPr>
          </w:p>
        </w:tc>
        <w:tc>
          <w:tcPr>
            <w:tcW w:w="2540" w:type="dxa"/>
            <w:vMerge/>
            <w:tcBorders>
              <w:bottom w:val="single" w:sz="4" w:space="0" w:color="auto"/>
            </w:tcBorders>
            <w:vAlign w:val="center"/>
          </w:tcPr>
          <w:p w:rsidR="005379EB" w:rsidRPr="00B26E04" w:rsidRDefault="005379EB" w:rsidP="007005B6">
            <w:pPr>
              <w:spacing w:before="120" w:after="120"/>
              <w:rPr>
                <w:sz w:val="16"/>
                <w:szCs w:val="16"/>
                <w:highlight w:val="green"/>
                <w:lang w:val="en-US"/>
              </w:rPr>
            </w:pPr>
          </w:p>
        </w:tc>
      </w:tr>
      <w:tr w:rsidR="005379EB" w:rsidRPr="00C54C8A" w:rsidTr="007005B6">
        <w:trPr>
          <w:trHeight w:val="786"/>
        </w:trPr>
        <w:tc>
          <w:tcPr>
            <w:tcW w:w="817" w:type="dxa"/>
            <w:vMerge w:val="restart"/>
            <w:shd w:val="clear" w:color="auto" w:fill="F2F2F2" w:themeFill="background1" w:themeFillShade="F2"/>
            <w:vAlign w:val="center"/>
          </w:tcPr>
          <w:p w:rsidR="005379EB" w:rsidRPr="00B26E04" w:rsidRDefault="005379EB" w:rsidP="007005B6">
            <w:pPr>
              <w:spacing w:before="60" w:after="60"/>
              <w:jc w:val="center"/>
              <w:rPr>
                <w:b/>
                <w:i/>
                <w:sz w:val="16"/>
                <w:szCs w:val="16"/>
                <w:lang w:val="en-US"/>
              </w:rPr>
            </w:pPr>
            <w:r w:rsidRPr="00B26E04">
              <w:rPr>
                <w:b/>
                <w:i/>
                <w:sz w:val="16"/>
                <w:szCs w:val="16"/>
                <w:lang w:val="en-US"/>
              </w:rPr>
              <w:t>SLC6A4</w:t>
            </w:r>
          </w:p>
          <w:p w:rsidR="005379EB" w:rsidRPr="00B26E04" w:rsidRDefault="0096787B" w:rsidP="007005B6">
            <w:pPr>
              <w:spacing w:before="60" w:after="60"/>
              <w:jc w:val="center"/>
              <w:rPr>
                <w:b/>
                <w:i/>
                <w:sz w:val="16"/>
                <w:szCs w:val="16"/>
                <w:highlight w:val="green"/>
                <w:lang w:val="en-US"/>
              </w:rPr>
            </w:pPr>
            <w:r>
              <w:rPr>
                <w:b/>
                <w:i/>
                <w:sz w:val="16"/>
                <w:szCs w:val="16"/>
                <w:lang w:val="en-US"/>
              </w:rPr>
              <w:t>(5-HTT)</w:t>
            </w:r>
          </w:p>
        </w:tc>
        <w:tc>
          <w:tcPr>
            <w:tcW w:w="992" w:type="dxa"/>
            <w:vMerge w:val="restart"/>
            <w:shd w:val="clear" w:color="auto" w:fill="F2F2F2" w:themeFill="background1" w:themeFillShade="F2"/>
            <w:vAlign w:val="center"/>
          </w:tcPr>
          <w:p w:rsidR="005379EB" w:rsidRPr="00B26E04" w:rsidRDefault="0096787B" w:rsidP="007005B6">
            <w:pPr>
              <w:spacing w:before="60" w:after="60"/>
              <w:jc w:val="center"/>
              <w:rPr>
                <w:sz w:val="16"/>
                <w:szCs w:val="16"/>
                <w:highlight w:val="green"/>
                <w:lang w:val="en-US"/>
              </w:rPr>
            </w:pPr>
            <w:r>
              <w:rPr>
                <w:sz w:val="16"/>
                <w:szCs w:val="16"/>
                <w:lang w:val="en-US"/>
              </w:rPr>
              <w:t>17q11.2</w:t>
            </w:r>
          </w:p>
        </w:tc>
        <w:tc>
          <w:tcPr>
            <w:tcW w:w="1701" w:type="dxa"/>
            <w:vMerge w:val="restart"/>
            <w:shd w:val="clear" w:color="auto" w:fill="F2F2F2" w:themeFill="background1" w:themeFillShade="F2"/>
            <w:vAlign w:val="center"/>
          </w:tcPr>
          <w:p w:rsidR="005379EB" w:rsidRPr="00B26E04" w:rsidRDefault="0096787B" w:rsidP="007005B6">
            <w:pPr>
              <w:spacing w:before="60" w:after="60"/>
              <w:jc w:val="both"/>
              <w:rPr>
                <w:sz w:val="16"/>
                <w:szCs w:val="16"/>
                <w:lang w:val="en-US"/>
              </w:rPr>
            </w:pPr>
            <w:r>
              <w:rPr>
                <w:sz w:val="16"/>
                <w:szCs w:val="16"/>
                <w:lang w:val="en-US"/>
              </w:rPr>
              <w:t>5-HTT is responsible for 5-HT re-uptake from the inter-synaptic space to pre-synaptic neuron thus regulating 5-HT signaling</w:t>
            </w:r>
          </w:p>
        </w:tc>
        <w:tc>
          <w:tcPr>
            <w:tcW w:w="1418" w:type="dxa"/>
            <w:shd w:val="clear" w:color="auto" w:fill="F2F2F2" w:themeFill="background1" w:themeFillShade="F2"/>
            <w:vAlign w:val="center"/>
          </w:tcPr>
          <w:p w:rsidR="005379EB" w:rsidRPr="00B26E04" w:rsidRDefault="0096787B" w:rsidP="007005B6">
            <w:pPr>
              <w:spacing w:before="60" w:after="60"/>
              <w:jc w:val="center"/>
              <w:rPr>
                <w:i/>
                <w:sz w:val="16"/>
                <w:szCs w:val="16"/>
                <w:lang w:val="en-US"/>
              </w:rPr>
            </w:pPr>
            <w:r>
              <w:rPr>
                <w:i/>
                <w:sz w:val="16"/>
                <w:szCs w:val="16"/>
                <w:lang w:val="en-US"/>
              </w:rPr>
              <w:t>5-HTTLPR-S</w:t>
            </w:r>
          </w:p>
        </w:tc>
        <w:tc>
          <w:tcPr>
            <w:tcW w:w="2489" w:type="dxa"/>
            <w:shd w:val="clear" w:color="auto" w:fill="F2F2F2" w:themeFill="background1" w:themeFillShade="F2"/>
            <w:vAlign w:val="center"/>
          </w:tcPr>
          <w:p w:rsidR="005379EB" w:rsidRPr="00B26E04" w:rsidRDefault="0096787B" w:rsidP="007005B6">
            <w:pPr>
              <w:spacing w:before="60" w:after="60"/>
              <w:jc w:val="both"/>
              <w:rPr>
                <w:sz w:val="16"/>
                <w:szCs w:val="16"/>
                <w:highlight w:val="green"/>
                <w:lang w:val="en-US"/>
              </w:rPr>
            </w:pPr>
            <w:r>
              <w:rPr>
                <w:sz w:val="16"/>
                <w:szCs w:val="16"/>
                <w:lang w:val="en-US"/>
              </w:rPr>
              <w:t>short allele variant with 14 repeated elements in the GC-rich regulatory region (</w:t>
            </w:r>
            <w:r>
              <w:rPr>
                <w:i/>
                <w:sz w:val="16"/>
                <w:szCs w:val="16"/>
                <w:lang w:val="en-US"/>
              </w:rPr>
              <w:t>5-HTTLPR</w:t>
            </w:r>
            <w:r>
              <w:rPr>
                <w:sz w:val="16"/>
                <w:szCs w:val="16"/>
                <w:lang w:val="en-US"/>
              </w:rPr>
              <w:t>)</w:t>
            </w:r>
          </w:p>
        </w:tc>
        <w:tc>
          <w:tcPr>
            <w:tcW w:w="3323" w:type="dxa"/>
            <w:shd w:val="clear" w:color="auto" w:fill="F2F2F2" w:themeFill="background1" w:themeFillShade="F2"/>
            <w:vAlign w:val="center"/>
          </w:tcPr>
          <w:p w:rsidR="005379EB" w:rsidRPr="00B26E04" w:rsidRDefault="0096787B" w:rsidP="005379EB">
            <w:pPr>
              <w:pStyle w:val="ListParagraph"/>
              <w:numPr>
                <w:ilvl w:val="0"/>
                <w:numId w:val="4"/>
              </w:numPr>
              <w:spacing w:before="60" w:after="60"/>
              <w:ind w:left="96" w:hanging="96"/>
              <w:contextualSpacing w:val="0"/>
              <w:jc w:val="both"/>
              <w:rPr>
                <w:sz w:val="16"/>
                <w:szCs w:val="16"/>
                <w:lang w:val="en-US"/>
              </w:rPr>
            </w:pPr>
            <w:r>
              <w:rPr>
                <w:sz w:val="16"/>
                <w:szCs w:val="16"/>
                <w:lang w:val="en-US"/>
              </w:rPr>
              <w:t>low transcriptional efficiency</w:t>
            </w:r>
          </w:p>
          <w:p w:rsidR="005379EB" w:rsidRPr="00B26E04" w:rsidRDefault="0096787B" w:rsidP="005379EB">
            <w:pPr>
              <w:pStyle w:val="ListParagraph"/>
              <w:numPr>
                <w:ilvl w:val="0"/>
                <w:numId w:val="5"/>
              </w:numPr>
              <w:spacing w:before="60" w:after="60"/>
              <w:ind w:left="96" w:hanging="96"/>
              <w:contextualSpacing w:val="0"/>
              <w:jc w:val="both"/>
              <w:rPr>
                <w:sz w:val="16"/>
                <w:szCs w:val="16"/>
                <w:lang w:val="en-US"/>
              </w:rPr>
            </w:pPr>
            <w:r>
              <w:rPr>
                <w:sz w:val="16"/>
                <w:szCs w:val="16"/>
                <w:lang w:val="en-US"/>
              </w:rPr>
              <w:t>low expression/function of 5-HTT, with low re-uptake of 5-HT</w:t>
            </w:r>
          </w:p>
        </w:tc>
        <w:tc>
          <w:tcPr>
            <w:tcW w:w="2976" w:type="dxa"/>
            <w:vMerge w:val="restart"/>
            <w:shd w:val="clear" w:color="auto" w:fill="F2F2F2" w:themeFill="background1" w:themeFillShade="F2"/>
            <w:vAlign w:val="center"/>
          </w:tcPr>
          <w:p w:rsidR="005379EB" w:rsidRPr="00B26E04" w:rsidRDefault="0096787B" w:rsidP="005379EB">
            <w:pPr>
              <w:pStyle w:val="ListParagraph"/>
              <w:numPr>
                <w:ilvl w:val="0"/>
                <w:numId w:val="5"/>
              </w:numPr>
              <w:spacing w:before="60" w:after="60"/>
              <w:ind w:left="96" w:hanging="96"/>
              <w:contextualSpacing w:val="0"/>
              <w:jc w:val="both"/>
              <w:rPr>
                <w:sz w:val="16"/>
                <w:szCs w:val="16"/>
                <w:lang w:val="en-US"/>
              </w:rPr>
            </w:pPr>
            <w:r>
              <w:rPr>
                <w:sz w:val="16"/>
                <w:szCs w:val="16"/>
                <w:lang w:val="en-US"/>
              </w:rPr>
              <w:t xml:space="preserve">increased amygdala activation, greater coupling between amygdala and ventromedial prefrontal cortex in </w:t>
            </w:r>
            <w:r>
              <w:rPr>
                <w:i/>
                <w:sz w:val="16"/>
                <w:szCs w:val="16"/>
                <w:lang w:val="en-US"/>
              </w:rPr>
              <w:t>5-HTTLPR-S</w:t>
            </w:r>
            <w:r>
              <w:rPr>
                <w:sz w:val="16"/>
                <w:szCs w:val="16"/>
                <w:lang w:val="en-US"/>
              </w:rPr>
              <w:t xml:space="preserve"> carriers compared to </w:t>
            </w:r>
            <w:r>
              <w:rPr>
                <w:i/>
                <w:sz w:val="16"/>
                <w:szCs w:val="16"/>
                <w:lang w:val="en-US"/>
              </w:rPr>
              <w:t xml:space="preserve">5-HTTLPR-L </w:t>
            </w:r>
            <w:r>
              <w:rPr>
                <w:sz w:val="16"/>
                <w:szCs w:val="16"/>
                <w:lang w:val="en-US"/>
              </w:rPr>
              <w:t>genotype</w:t>
            </w:r>
          </w:p>
          <w:p w:rsidR="005379EB" w:rsidRPr="00B26E04" w:rsidRDefault="0096787B" w:rsidP="005379EB">
            <w:pPr>
              <w:pStyle w:val="ListParagraph"/>
              <w:numPr>
                <w:ilvl w:val="0"/>
                <w:numId w:val="5"/>
              </w:numPr>
              <w:spacing w:before="60" w:after="60"/>
              <w:ind w:left="96" w:hanging="96"/>
              <w:contextualSpacing w:val="0"/>
              <w:jc w:val="both"/>
              <w:rPr>
                <w:sz w:val="16"/>
                <w:szCs w:val="16"/>
                <w:lang w:val="en-US"/>
              </w:rPr>
            </w:pPr>
            <w:r>
              <w:rPr>
                <w:sz w:val="16"/>
                <w:szCs w:val="16"/>
                <w:lang w:val="en-US"/>
              </w:rPr>
              <w:t xml:space="preserve">reduction of gray matter volume in limbic structures, along with reduction in the connectivity between amygdala and </w:t>
            </w:r>
            <w:proofErr w:type="spellStart"/>
            <w:r>
              <w:rPr>
                <w:sz w:val="16"/>
                <w:szCs w:val="16"/>
                <w:lang w:val="en-US"/>
              </w:rPr>
              <w:t>perigenual</w:t>
            </w:r>
            <w:proofErr w:type="spellEnd"/>
            <w:r>
              <w:rPr>
                <w:sz w:val="16"/>
                <w:szCs w:val="16"/>
                <w:lang w:val="en-US"/>
              </w:rPr>
              <w:t xml:space="preserve"> anterior cingulate cortex in </w:t>
            </w:r>
            <w:r>
              <w:rPr>
                <w:i/>
                <w:sz w:val="16"/>
                <w:szCs w:val="16"/>
                <w:lang w:val="en-US"/>
              </w:rPr>
              <w:t>5-HTTLPR-S</w:t>
            </w:r>
            <w:r>
              <w:rPr>
                <w:sz w:val="16"/>
                <w:szCs w:val="16"/>
                <w:lang w:val="en-US"/>
              </w:rPr>
              <w:t xml:space="preserve"> genotype</w:t>
            </w:r>
            <w:r>
              <w:rPr>
                <w:i/>
                <w:sz w:val="16"/>
                <w:szCs w:val="16"/>
                <w:lang w:val="en-US"/>
              </w:rPr>
              <w:t xml:space="preserve"> </w:t>
            </w:r>
            <w:r>
              <w:rPr>
                <w:sz w:val="16"/>
                <w:szCs w:val="16"/>
                <w:lang w:val="en-US"/>
              </w:rPr>
              <w:t xml:space="preserve">compared to </w:t>
            </w:r>
            <w:r>
              <w:rPr>
                <w:i/>
                <w:sz w:val="16"/>
                <w:szCs w:val="16"/>
                <w:lang w:val="en-US"/>
              </w:rPr>
              <w:t xml:space="preserve">5-HTTLPR-L </w:t>
            </w:r>
            <w:r>
              <w:rPr>
                <w:sz w:val="16"/>
                <w:szCs w:val="16"/>
                <w:lang w:val="en-US"/>
              </w:rPr>
              <w:t>genotype</w:t>
            </w:r>
          </w:p>
          <w:p w:rsidR="005379EB" w:rsidRPr="00B26E04" w:rsidRDefault="0096787B" w:rsidP="005379EB">
            <w:pPr>
              <w:pStyle w:val="ListParagraph"/>
              <w:numPr>
                <w:ilvl w:val="0"/>
                <w:numId w:val="5"/>
              </w:numPr>
              <w:spacing w:before="60" w:after="60"/>
              <w:ind w:left="96" w:hanging="96"/>
              <w:contextualSpacing w:val="0"/>
              <w:jc w:val="both"/>
              <w:rPr>
                <w:sz w:val="16"/>
                <w:szCs w:val="16"/>
                <w:lang w:val="en-US"/>
              </w:rPr>
            </w:pPr>
            <w:r>
              <w:rPr>
                <w:sz w:val="16"/>
                <w:szCs w:val="16"/>
                <w:lang w:val="en-US"/>
              </w:rPr>
              <w:t xml:space="preserve">alterations in microstructures of uncinate fasciculus (connecting prefrontal cortex with amygdala) in subject with </w:t>
            </w:r>
            <w:r>
              <w:rPr>
                <w:i/>
                <w:sz w:val="16"/>
                <w:szCs w:val="16"/>
                <w:lang w:val="en-US"/>
              </w:rPr>
              <w:t>5-HTTLPR-S</w:t>
            </w:r>
            <w:r>
              <w:rPr>
                <w:sz w:val="16"/>
                <w:szCs w:val="16"/>
                <w:lang w:val="en-US"/>
              </w:rPr>
              <w:t xml:space="preserve"> genotype</w:t>
            </w:r>
          </w:p>
        </w:tc>
        <w:tc>
          <w:tcPr>
            <w:tcW w:w="2540" w:type="dxa"/>
            <w:vMerge w:val="restart"/>
            <w:shd w:val="clear" w:color="auto" w:fill="F2F2F2" w:themeFill="background1" w:themeFillShade="F2"/>
            <w:vAlign w:val="center"/>
          </w:tcPr>
          <w:p w:rsidR="005379EB" w:rsidRPr="00B26E04" w:rsidRDefault="0096787B" w:rsidP="005379EB">
            <w:pPr>
              <w:pStyle w:val="ListParagraph"/>
              <w:numPr>
                <w:ilvl w:val="0"/>
                <w:numId w:val="5"/>
              </w:numPr>
              <w:spacing w:before="60" w:after="60"/>
              <w:ind w:left="96" w:hanging="96"/>
              <w:contextualSpacing w:val="0"/>
              <w:jc w:val="both"/>
              <w:rPr>
                <w:sz w:val="16"/>
                <w:szCs w:val="16"/>
                <w:lang w:val="en-US"/>
              </w:rPr>
            </w:pPr>
            <w:r>
              <w:rPr>
                <w:i/>
                <w:sz w:val="16"/>
                <w:szCs w:val="16"/>
                <w:lang w:val="en-US"/>
              </w:rPr>
              <w:t xml:space="preserve">5-HTTLPR-S </w:t>
            </w:r>
            <w:r>
              <w:rPr>
                <w:sz w:val="16"/>
                <w:szCs w:val="16"/>
                <w:lang w:val="en-US"/>
              </w:rPr>
              <w:t>genotype associated with neuroticism, neuroticism-related traits, anxiety, depression, hostility and aggression in healthy females</w:t>
            </w:r>
          </w:p>
          <w:p w:rsidR="005379EB" w:rsidRPr="00B26E04" w:rsidRDefault="0096787B" w:rsidP="005379EB">
            <w:pPr>
              <w:pStyle w:val="ListParagraph"/>
              <w:numPr>
                <w:ilvl w:val="0"/>
                <w:numId w:val="5"/>
              </w:numPr>
              <w:spacing w:before="60" w:after="60"/>
              <w:ind w:left="96" w:hanging="96"/>
              <w:contextualSpacing w:val="0"/>
              <w:jc w:val="both"/>
              <w:rPr>
                <w:sz w:val="16"/>
                <w:szCs w:val="16"/>
                <w:lang w:val="en-US"/>
              </w:rPr>
            </w:pPr>
            <w:r>
              <w:rPr>
                <w:sz w:val="16"/>
                <w:szCs w:val="16"/>
                <w:lang w:val="en-US"/>
              </w:rPr>
              <w:t>low expression variants of 5</w:t>
            </w:r>
            <w:r>
              <w:rPr>
                <w:i/>
                <w:sz w:val="16"/>
                <w:szCs w:val="16"/>
                <w:lang w:val="en-US"/>
              </w:rPr>
              <w:t>-HTTLPR</w:t>
            </w:r>
            <w:r>
              <w:rPr>
                <w:sz w:val="16"/>
                <w:szCs w:val="16"/>
                <w:lang w:val="en-US"/>
              </w:rPr>
              <w:t xml:space="preserve"> associated with impulsive aggression in childhood</w:t>
            </w:r>
          </w:p>
        </w:tc>
      </w:tr>
      <w:tr w:rsidR="005379EB" w:rsidRPr="00C54C8A" w:rsidTr="007005B6">
        <w:tc>
          <w:tcPr>
            <w:tcW w:w="817" w:type="dxa"/>
            <w:vMerge/>
            <w:shd w:val="pct5" w:color="auto" w:fill="auto"/>
            <w:vAlign w:val="center"/>
          </w:tcPr>
          <w:p w:rsidR="005379EB" w:rsidRPr="00B26E04" w:rsidRDefault="005379EB" w:rsidP="007005B6">
            <w:pPr>
              <w:spacing w:before="60" w:after="60"/>
              <w:rPr>
                <w:sz w:val="16"/>
                <w:szCs w:val="16"/>
                <w:highlight w:val="green"/>
                <w:lang w:val="en-US"/>
              </w:rPr>
            </w:pPr>
          </w:p>
        </w:tc>
        <w:tc>
          <w:tcPr>
            <w:tcW w:w="992" w:type="dxa"/>
            <w:vMerge/>
            <w:shd w:val="pct5" w:color="auto" w:fill="auto"/>
            <w:vAlign w:val="center"/>
          </w:tcPr>
          <w:p w:rsidR="005379EB" w:rsidRPr="00B26E04" w:rsidRDefault="005379EB" w:rsidP="007005B6">
            <w:pPr>
              <w:spacing w:before="60" w:after="60"/>
              <w:rPr>
                <w:sz w:val="16"/>
                <w:szCs w:val="16"/>
                <w:highlight w:val="green"/>
                <w:lang w:val="en-US"/>
              </w:rPr>
            </w:pPr>
          </w:p>
        </w:tc>
        <w:tc>
          <w:tcPr>
            <w:tcW w:w="1701" w:type="dxa"/>
            <w:vMerge/>
            <w:shd w:val="pct5" w:color="auto" w:fill="auto"/>
            <w:vAlign w:val="center"/>
          </w:tcPr>
          <w:p w:rsidR="005379EB" w:rsidRPr="00B26E04" w:rsidRDefault="005379EB" w:rsidP="007005B6">
            <w:pPr>
              <w:spacing w:before="60" w:after="60"/>
              <w:rPr>
                <w:sz w:val="16"/>
                <w:szCs w:val="16"/>
                <w:lang w:val="en-US"/>
              </w:rPr>
            </w:pPr>
          </w:p>
        </w:tc>
        <w:tc>
          <w:tcPr>
            <w:tcW w:w="1418" w:type="dxa"/>
            <w:shd w:val="pct5" w:color="auto" w:fill="auto"/>
            <w:vAlign w:val="center"/>
          </w:tcPr>
          <w:p w:rsidR="005379EB" w:rsidRPr="00B26E04" w:rsidRDefault="0096787B" w:rsidP="007005B6">
            <w:pPr>
              <w:spacing w:before="60" w:after="60"/>
              <w:jc w:val="center"/>
              <w:rPr>
                <w:i/>
                <w:sz w:val="16"/>
                <w:szCs w:val="16"/>
                <w:lang w:val="en-US"/>
              </w:rPr>
            </w:pPr>
            <w:r>
              <w:rPr>
                <w:i/>
                <w:sz w:val="16"/>
                <w:szCs w:val="16"/>
                <w:lang w:val="en-US"/>
              </w:rPr>
              <w:t>5-HTTLPR-L</w:t>
            </w:r>
          </w:p>
        </w:tc>
        <w:tc>
          <w:tcPr>
            <w:tcW w:w="2489" w:type="dxa"/>
            <w:shd w:val="pct5" w:color="auto" w:fill="auto"/>
            <w:vAlign w:val="center"/>
          </w:tcPr>
          <w:p w:rsidR="005379EB" w:rsidRPr="00B26E04" w:rsidRDefault="0096787B" w:rsidP="007005B6">
            <w:pPr>
              <w:spacing w:before="60" w:after="60"/>
              <w:jc w:val="both"/>
              <w:rPr>
                <w:sz w:val="16"/>
                <w:szCs w:val="16"/>
                <w:highlight w:val="green"/>
                <w:lang w:val="en-US"/>
              </w:rPr>
            </w:pPr>
            <w:r>
              <w:rPr>
                <w:sz w:val="16"/>
                <w:szCs w:val="16"/>
                <w:lang w:val="en-US"/>
              </w:rPr>
              <w:t>long allele variant with 16 repeated elements in the GC-rich regulatory region (</w:t>
            </w:r>
            <w:r>
              <w:rPr>
                <w:i/>
                <w:sz w:val="16"/>
                <w:szCs w:val="16"/>
                <w:lang w:val="en-US"/>
              </w:rPr>
              <w:t>5-HTTLPR</w:t>
            </w:r>
            <w:r>
              <w:rPr>
                <w:sz w:val="16"/>
                <w:szCs w:val="16"/>
                <w:lang w:val="en-US"/>
              </w:rPr>
              <w:t>)</w:t>
            </w:r>
          </w:p>
        </w:tc>
        <w:tc>
          <w:tcPr>
            <w:tcW w:w="3323" w:type="dxa"/>
            <w:shd w:val="pct5" w:color="auto" w:fill="auto"/>
            <w:vAlign w:val="center"/>
          </w:tcPr>
          <w:p w:rsidR="005379EB" w:rsidRPr="00B26E04" w:rsidRDefault="0096787B" w:rsidP="005379EB">
            <w:pPr>
              <w:pStyle w:val="ListParagraph"/>
              <w:numPr>
                <w:ilvl w:val="0"/>
                <w:numId w:val="5"/>
              </w:numPr>
              <w:spacing w:before="60" w:after="60"/>
              <w:ind w:left="96" w:hanging="96"/>
              <w:contextualSpacing w:val="0"/>
              <w:jc w:val="both"/>
              <w:rPr>
                <w:sz w:val="16"/>
                <w:szCs w:val="16"/>
                <w:lang w:val="en-US"/>
              </w:rPr>
            </w:pPr>
            <w:r>
              <w:rPr>
                <w:sz w:val="16"/>
                <w:szCs w:val="16"/>
                <w:lang w:val="en-US"/>
              </w:rPr>
              <w:t>high transcriptional efficiency</w:t>
            </w:r>
          </w:p>
          <w:p w:rsidR="005379EB" w:rsidRPr="00B26E04" w:rsidRDefault="0096787B" w:rsidP="005379EB">
            <w:pPr>
              <w:pStyle w:val="ListParagraph"/>
              <w:numPr>
                <w:ilvl w:val="0"/>
                <w:numId w:val="5"/>
              </w:numPr>
              <w:spacing w:before="60" w:after="60"/>
              <w:ind w:left="96" w:hanging="96"/>
              <w:contextualSpacing w:val="0"/>
              <w:jc w:val="both"/>
              <w:rPr>
                <w:sz w:val="16"/>
                <w:szCs w:val="16"/>
                <w:lang w:val="en-US"/>
              </w:rPr>
            </w:pPr>
            <w:r>
              <w:rPr>
                <w:sz w:val="16"/>
                <w:szCs w:val="16"/>
                <w:lang w:val="en-US"/>
              </w:rPr>
              <w:t>increased expression/function of 5-HTT, with high 5-HT re-uptake activity</w:t>
            </w:r>
          </w:p>
        </w:tc>
        <w:tc>
          <w:tcPr>
            <w:tcW w:w="2976" w:type="dxa"/>
            <w:vMerge/>
            <w:shd w:val="clear" w:color="auto" w:fill="auto"/>
            <w:vAlign w:val="center"/>
          </w:tcPr>
          <w:p w:rsidR="005379EB" w:rsidRPr="00B26E04" w:rsidRDefault="005379EB" w:rsidP="007005B6">
            <w:pPr>
              <w:spacing w:before="60" w:after="60"/>
              <w:rPr>
                <w:sz w:val="16"/>
                <w:szCs w:val="16"/>
                <w:highlight w:val="green"/>
                <w:lang w:val="en-US"/>
              </w:rPr>
            </w:pPr>
          </w:p>
        </w:tc>
        <w:tc>
          <w:tcPr>
            <w:tcW w:w="2540" w:type="dxa"/>
            <w:vMerge/>
            <w:shd w:val="pct5" w:color="auto" w:fill="auto"/>
            <w:vAlign w:val="center"/>
          </w:tcPr>
          <w:p w:rsidR="005379EB" w:rsidRPr="00B26E04" w:rsidRDefault="005379EB" w:rsidP="007005B6">
            <w:pPr>
              <w:spacing w:before="120" w:after="120"/>
              <w:rPr>
                <w:sz w:val="16"/>
                <w:szCs w:val="16"/>
                <w:highlight w:val="green"/>
                <w:lang w:val="en-US"/>
              </w:rPr>
            </w:pPr>
          </w:p>
        </w:tc>
      </w:tr>
      <w:tr w:rsidR="005379EB" w:rsidRPr="00C54C8A" w:rsidTr="007005B6">
        <w:tc>
          <w:tcPr>
            <w:tcW w:w="817" w:type="dxa"/>
            <w:vMerge/>
            <w:shd w:val="pct5" w:color="auto" w:fill="auto"/>
            <w:vAlign w:val="center"/>
          </w:tcPr>
          <w:p w:rsidR="005379EB" w:rsidRPr="00B26E04" w:rsidRDefault="005379EB" w:rsidP="007005B6">
            <w:pPr>
              <w:spacing w:before="60" w:after="60"/>
              <w:rPr>
                <w:sz w:val="16"/>
                <w:szCs w:val="16"/>
                <w:highlight w:val="green"/>
                <w:lang w:val="en-US"/>
              </w:rPr>
            </w:pPr>
          </w:p>
        </w:tc>
        <w:tc>
          <w:tcPr>
            <w:tcW w:w="992" w:type="dxa"/>
            <w:vMerge/>
            <w:shd w:val="pct5" w:color="auto" w:fill="auto"/>
            <w:vAlign w:val="center"/>
          </w:tcPr>
          <w:p w:rsidR="005379EB" w:rsidRPr="00B26E04" w:rsidRDefault="005379EB" w:rsidP="007005B6">
            <w:pPr>
              <w:spacing w:before="60" w:after="60"/>
              <w:rPr>
                <w:sz w:val="16"/>
                <w:szCs w:val="16"/>
                <w:highlight w:val="green"/>
                <w:lang w:val="en-US"/>
              </w:rPr>
            </w:pPr>
          </w:p>
        </w:tc>
        <w:tc>
          <w:tcPr>
            <w:tcW w:w="1701" w:type="dxa"/>
            <w:vMerge/>
            <w:shd w:val="pct5" w:color="auto" w:fill="auto"/>
            <w:vAlign w:val="center"/>
          </w:tcPr>
          <w:p w:rsidR="005379EB" w:rsidRPr="00B26E04" w:rsidRDefault="005379EB" w:rsidP="007005B6">
            <w:pPr>
              <w:spacing w:before="60" w:after="60"/>
              <w:rPr>
                <w:sz w:val="16"/>
                <w:szCs w:val="16"/>
                <w:lang w:val="en-US"/>
              </w:rPr>
            </w:pPr>
          </w:p>
        </w:tc>
        <w:tc>
          <w:tcPr>
            <w:tcW w:w="1418" w:type="dxa"/>
            <w:tcBorders>
              <w:bottom w:val="single" w:sz="4" w:space="0" w:color="auto"/>
            </w:tcBorders>
            <w:shd w:val="pct5" w:color="auto" w:fill="auto"/>
            <w:vAlign w:val="center"/>
          </w:tcPr>
          <w:p w:rsidR="005379EB" w:rsidRPr="00B26E04" w:rsidRDefault="0096787B" w:rsidP="007005B6">
            <w:pPr>
              <w:spacing w:before="60" w:after="60"/>
              <w:jc w:val="center"/>
              <w:rPr>
                <w:sz w:val="16"/>
                <w:szCs w:val="16"/>
                <w:lang w:val="en-US"/>
              </w:rPr>
            </w:pPr>
            <w:r>
              <w:rPr>
                <w:sz w:val="16"/>
                <w:szCs w:val="16"/>
                <w:lang w:val="en-US"/>
              </w:rPr>
              <w:t>rs25531</w:t>
            </w:r>
          </w:p>
        </w:tc>
        <w:tc>
          <w:tcPr>
            <w:tcW w:w="2489" w:type="dxa"/>
            <w:tcBorders>
              <w:bottom w:val="single" w:sz="4" w:space="0" w:color="auto"/>
            </w:tcBorders>
            <w:shd w:val="pct5" w:color="auto" w:fill="auto"/>
            <w:vAlign w:val="center"/>
          </w:tcPr>
          <w:p w:rsidR="005379EB" w:rsidRPr="00B26E04" w:rsidRDefault="0096787B" w:rsidP="006B07BE">
            <w:pPr>
              <w:spacing w:before="60" w:after="60"/>
              <w:jc w:val="both"/>
              <w:rPr>
                <w:sz w:val="16"/>
                <w:szCs w:val="16"/>
                <w:highlight w:val="green"/>
                <w:lang w:val="en-US"/>
              </w:rPr>
            </w:pPr>
            <w:r>
              <w:rPr>
                <w:sz w:val="16"/>
                <w:szCs w:val="16"/>
                <w:lang w:val="en-US"/>
              </w:rPr>
              <w:t xml:space="preserve">SNP within </w:t>
            </w:r>
            <w:r>
              <w:rPr>
                <w:i/>
                <w:sz w:val="16"/>
                <w:szCs w:val="16"/>
                <w:lang w:val="en-US"/>
              </w:rPr>
              <w:t>5-HTTLPR</w:t>
            </w:r>
            <w:r>
              <w:rPr>
                <w:sz w:val="16"/>
                <w:szCs w:val="16"/>
                <w:lang w:val="en-US"/>
              </w:rPr>
              <w:t>, A/G substitution</w:t>
            </w:r>
          </w:p>
        </w:tc>
        <w:tc>
          <w:tcPr>
            <w:tcW w:w="3323" w:type="dxa"/>
            <w:tcBorders>
              <w:bottom w:val="single" w:sz="4" w:space="0" w:color="auto"/>
            </w:tcBorders>
            <w:shd w:val="pct5" w:color="auto" w:fill="auto"/>
            <w:vAlign w:val="center"/>
          </w:tcPr>
          <w:p w:rsidR="005379EB" w:rsidRPr="00B26E04" w:rsidRDefault="0096787B" w:rsidP="005379EB">
            <w:pPr>
              <w:pStyle w:val="ListParagraph"/>
              <w:numPr>
                <w:ilvl w:val="0"/>
                <w:numId w:val="5"/>
              </w:numPr>
              <w:spacing w:before="60" w:after="60"/>
              <w:ind w:left="96" w:hanging="96"/>
              <w:contextualSpacing w:val="0"/>
              <w:jc w:val="both"/>
              <w:rPr>
                <w:sz w:val="16"/>
                <w:szCs w:val="16"/>
                <w:lang w:val="en-US"/>
              </w:rPr>
            </w:pPr>
            <w:r>
              <w:rPr>
                <w:sz w:val="16"/>
                <w:szCs w:val="16"/>
                <w:lang w:val="en-US"/>
              </w:rPr>
              <w:t xml:space="preserve">A variant of </w:t>
            </w:r>
            <w:r>
              <w:rPr>
                <w:i/>
                <w:sz w:val="16"/>
                <w:szCs w:val="16"/>
                <w:lang w:val="en-US"/>
              </w:rPr>
              <w:t>L</w:t>
            </w:r>
            <w:r>
              <w:rPr>
                <w:sz w:val="16"/>
                <w:szCs w:val="16"/>
                <w:lang w:val="en-US"/>
              </w:rPr>
              <w:t xml:space="preserve"> allele (</w:t>
            </w:r>
            <w:r>
              <w:rPr>
                <w:i/>
                <w:sz w:val="16"/>
                <w:szCs w:val="16"/>
                <w:lang w:val="en-US"/>
              </w:rPr>
              <w:t>L</w:t>
            </w:r>
            <w:r>
              <w:rPr>
                <w:i/>
                <w:sz w:val="16"/>
                <w:szCs w:val="16"/>
                <w:vertAlign w:val="subscript"/>
                <w:lang w:val="en-US"/>
              </w:rPr>
              <w:t>A</w:t>
            </w:r>
            <w:r>
              <w:rPr>
                <w:sz w:val="16"/>
                <w:szCs w:val="16"/>
                <w:lang w:val="en-US"/>
              </w:rPr>
              <w:t xml:space="preserve">) produces high levels of </w:t>
            </w:r>
            <w:r>
              <w:rPr>
                <w:i/>
                <w:sz w:val="16"/>
                <w:szCs w:val="16"/>
                <w:lang w:val="en-US"/>
              </w:rPr>
              <w:t>5-HTT</w:t>
            </w:r>
            <w:r>
              <w:rPr>
                <w:sz w:val="16"/>
                <w:szCs w:val="16"/>
                <w:lang w:val="en-US"/>
              </w:rPr>
              <w:t xml:space="preserve"> mRNA</w:t>
            </w:r>
          </w:p>
          <w:p w:rsidR="005379EB" w:rsidRPr="00B26E04" w:rsidRDefault="0096787B" w:rsidP="005379EB">
            <w:pPr>
              <w:pStyle w:val="ListParagraph"/>
              <w:numPr>
                <w:ilvl w:val="0"/>
                <w:numId w:val="5"/>
              </w:numPr>
              <w:spacing w:before="60" w:after="60"/>
              <w:ind w:left="96" w:hanging="96"/>
              <w:contextualSpacing w:val="0"/>
              <w:jc w:val="both"/>
              <w:rPr>
                <w:sz w:val="16"/>
                <w:szCs w:val="16"/>
                <w:lang w:val="en-US"/>
              </w:rPr>
            </w:pPr>
            <w:r>
              <w:rPr>
                <w:sz w:val="16"/>
                <w:szCs w:val="16"/>
                <w:lang w:val="en-US"/>
              </w:rPr>
              <w:t xml:space="preserve">G variant of </w:t>
            </w:r>
            <w:r>
              <w:rPr>
                <w:i/>
                <w:sz w:val="16"/>
                <w:szCs w:val="16"/>
                <w:lang w:val="en-US"/>
              </w:rPr>
              <w:t>L</w:t>
            </w:r>
            <w:r>
              <w:rPr>
                <w:sz w:val="16"/>
                <w:szCs w:val="16"/>
                <w:lang w:val="en-US"/>
              </w:rPr>
              <w:t xml:space="preserve"> allele (</w:t>
            </w:r>
            <w:r>
              <w:rPr>
                <w:i/>
                <w:sz w:val="16"/>
                <w:szCs w:val="16"/>
                <w:lang w:val="en-US"/>
              </w:rPr>
              <w:t>L</w:t>
            </w:r>
            <w:r>
              <w:rPr>
                <w:i/>
                <w:sz w:val="16"/>
                <w:szCs w:val="16"/>
                <w:vertAlign w:val="subscript"/>
                <w:lang w:val="en-US"/>
              </w:rPr>
              <w:t>G</w:t>
            </w:r>
            <w:r>
              <w:rPr>
                <w:sz w:val="16"/>
                <w:szCs w:val="16"/>
                <w:lang w:val="en-US"/>
              </w:rPr>
              <w:t xml:space="preserve">) produces low levels of </w:t>
            </w:r>
            <w:r>
              <w:rPr>
                <w:i/>
                <w:sz w:val="16"/>
                <w:szCs w:val="16"/>
                <w:lang w:val="en-US"/>
              </w:rPr>
              <w:t>5-HTT</w:t>
            </w:r>
            <w:r>
              <w:rPr>
                <w:sz w:val="16"/>
                <w:szCs w:val="16"/>
                <w:lang w:val="en-US"/>
              </w:rPr>
              <w:t xml:space="preserve"> mRNA (equivalent to </w:t>
            </w:r>
            <w:r>
              <w:rPr>
                <w:i/>
                <w:sz w:val="16"/>
                <w:szCs w:val="16"/>
                <w:lang w:val="en-US"/>
              </w:rPr>
              <w:t>S</w:t>
            </w:r>
            <w:r>
              <w:rPr>
                <w:sz w:val="16"/>
                <w:szCs w:val="16"/>
                <w:lang w:val="en-US"/>
              </w:rPr>
              <w:t xml:space="preserve"> variant)</w:t>
            </w:r>
          </w:p>
        </w:tc>
        <w:tc>
          <w:tcPr>
            <w:tcW w:w="2976" w:type="dxa"/>
            <w:vMerge/>
            <w:tcBorders>
              <w:bottom w:val="single" w:sz="4" w:space="0" w:color="auto"/>
            </w:tcBorders>
            <w:shd w:val="clear" w:color="auto" w:fill="auto"/>
            <w:vAlign w:val="center"/>
          </w:tcPr>
          <w:p w:rsidR="005379EB" w:rsidRPr="00B26E04" w:rsidRDefault="005379EB" w:rsidP="007005B6">
            <w:pPr>
              <w:spacing w:before="60" w:after="60"/>
              <w:rPr>
                <w:sz w:val="16"/>
                <w:szCs w:val="16"/>
                <w:highlight w:val="green"/>
                <w:lang w:val="en-US"/>
              </w:rPr>
            </w:pPr>
          </w:p>
        </w:tc>
        <w:tc>
          <w:tcPr>
            <w:tcW w:w="2540" w:type="dxa"/>
            <w:vMerge/>
            <w:tcBorders>
              <w:bottom w:val="single" w:sz="4" w:space="0" w:color="auto"/>
            </w:tcBorders>
            <w:shd w:val="pct5" w:color="auto" w:fill="auto"/>
            <w:vAlign w:val="center"/>
          </w:tcPr>
          <w:p w:rsidR="005379EB" w:rsidRPr="00B26E04" w:rsidRDefault="005379EB" w:rsidP="007005B6">
            <w:pPr>
              <w:spacing w:before="120" w:after="120"/>
              <w:rPr>
                <w:sz w:val="16"/>
                <w:szCs w:val="16"/>
                <w:highlight w:val="green"/>
                <w:lang w:val="en-US"/>
              </w:rPr>
            </w:pPr>
          </w:p>
        </w:tc>
      </w:tr>
      <w:tr w:rsidR="005379EB" w:rsidRPr="00C54C8A" w:rsidTr="007005B6">
        <w:tc>
          <w:tcPr>
            <w:tcW w:w="817" w:type="dxa"/>
            <w:vMerge/>
            <w:shd w:val="pct5" w:color="auto" w:fill="auto"/>
            <w:vAlign w:val="center"/>
          </w:tcPr>
          <w:p w:rsidR="005379EB" w:rsidRPr="00B26E04" w:rsidRDefault="005379EB" w:rsidP="007005B6">
            <w:pPr>
              <w:spacing w:before="60" w:after="60"/>
              <w:rPr>
                <w:sz w:val="16"/>
                <w:szCs w:val="16"/>
                <w:highlight w:val="green"/>
                <w:lang w:val="en-US"/>
              </w:rPr>
            </w:pPr>
          </w:p>
        </w:tc>
        <w:tc>
          <w:tcPr>
            <w:tcW w:w="992" w:type="dxa"/>
            <w:vMerge/>
            <w:shd w:val="pct5" w:color="auto" w:fill="auto"/>
            <w:vAlign w:val="center"/>
          </w:tcPr>
          <w:p w:rsidR="005379EB" w:rsidRPr="00B26E04" w:rsidRDefault="005379EB" w:rsidP="007005B6">
            <w:pPr>
              <w:spacing w:before="60" w:after="60"/>
              <w:rPr>
                <w:sz w:val="16"/>
                <w:szCs w:val="16"/>
                <w:highlight w:val="green"/>
                <w:lang w:val="en-US"/>
              </w:rPr>
            </w:pPr>
          </w:p>
        </w:tc>
        <w:tc>
          <w:tcPr>
            <w:tcW w:w="1701" w:type="dxa"/>
            <w:vMerge/>
            <w:shd w:val="pct5" w:color="auto" w:fill="auto"/>
            <w:vAlign w:val="center"/>
          </w:tcPr>
          <w:p w:rsidR="005379EB" w:rsidRPr="00B26E04" w:rsidRDefault="005379EB" w:rsidP="007005B6">
            <w:pPr>
              <w:spacing w:before="60" w:after="60"/>
              <w:rPr>
                <w:sz w:val="16"/>
                <w:szCs w:val="16"/>
                <w:lang w:val="en-US"/>
              </w:rPr>
            </w:pPr>
          </w:p>
        </w:tc>
        <w:tc>
          <w:tcPr>
            <w:tcW w:w="1418" w:type="dxa"/>
            <w:shd w:val="pct5" w:color="auto" w:fill="auto"/>
            <w:vAlign w:val="center"/>
          </w:tcPr>
          <w:p w:rsidR="005379EB" w:rsidRPr="00B26E04" w:rsidRDefault="0096787B" w:rsidP="007005B6">
            <w:pPr>
              <w:spacing w:before="60" w:after="60"/>
              <w:jc w:val="both"/>
              <w:rPr>
                <w:sz w:val="16"/>
                <w:szCs w:val="16"/>
                <w:lang w:val="en-US"/>
              </w:rPr>
            </w:pPr>
            <w:r>
              <w:rPr>
                <w:sz w:val="16"/>
                <w:szCs w:val="16"/>
                <w:lang w:val="en-US"/>
              </w:rPr>
              <w:t>STIN2 VNTR</w:t>
            </w:r>
          </w:p>
        </w:tc>
        <w:tc>
          <w:tcPr>
            <w:tcW w:w="2489" w:type="dxa"/>
            <w:shd w:val="pct5" w:color="auto" w:fill="auto"/>
            <w:vAlign w:val="center"/>
          </w:tcPr>
          <w:p w:rsidR="005379EB" w:rsidRPr="00B26E04" w:rsidRDefault="0096787B" w:rsidP="007005B6">
            <w:pPr>
              <w:spacing w:before="60" w:after="60"/>
              <w:jc w:val="both"/>
              <w:rPr>
                <w:sz w:val="16"/>
                <w:szCs w:val="16"/>
                <w:highlight w:val="green"/>
                <w:lang w:val="en-US"/>
              </w:rPr>
            </w:pPr>
            <w:r>
              <w:rPr>
                <w:sz w:val="16"/>
                <w:szCs w:val="16"/>
                <w:lang w:val="en-US"/>
              </w:rPr>
              <w:t xml:space="preserve">7-, 9-, 10- or 12-repeats units in VNTR </w:t>
            </w:r>
          </w:p>
        </w:tc>
        <w:tc>
          <w:tcPr>
            <w:tcW w:w="3323" w:type="dxa"/>
            <w:shd w:val="pct5" w:color="auto" w:fill="auto"/>
            <w:vAlign w:val="center"/>
          </w:tcPr>
          <w:p w:rsidR="005379EB" w:rsidRPr="00B26E04" w:rsidRDefault="0096787B" w:rsidP="007005B6">
            <w:pPr>
              <w:spacing w:before="60" w:after="60"/>
              <w:jc w:val="both"/>
              <w:rPr>
                <w:sz w:val="16"/>
                <w:szCs w:val="16"/>
                <w:highlight w:val="green"/>
                <w:lang w:val="en-US"/>
              </w:rPr>
            </w:pPr>
            <w:r>
              <w:rPr>
                <w:sz w:val="16"/>
                <w:szCs w:val="16"/>
                <w:lang w:val="en-US"/>
              </w:rPr>
              <w:t>variably enhancement of gene transcription</w:t>
            </w:r>
          </w:p>
        </w:tc>
        <w:tc>
          <w:tcPr>
            <w:tcW w:w="2976" w:type="dxa"/>
            <w:shd w:val="pct5" w:color="auto" w:fill="auto"/>
            <w:vAlign w:val="center"/>
          </w:tcPr>
          <w:p w:rsidR="005379EB" w:rsidRPr="00B26E04" w:rsidRDefault="005379EB" w:rsidP="007005B6">
            <w:pPr>
              <w:spacing w:before="60" w:after="60"/>
              <w:rPr>
                <w:sz w:val="16"/>
                <w:szCs w:val="16"/>
                <w:highlight w:val="green"/>
                <w:lang w:val="en-US"/>
              </w:rPr>
            </w:pPr>
          </w:p>
        </w:tc>
        <w:tc>
          <w:tcPr>
            <w:tcW w:w="2540" w:type="dxa"/>
            <w:shd w:val="pct5" w:color="auto" w:fill="auto"/>
            <w:vAlign w:val="center"/>
          </w:tcPr>
          <w:p w:rsidR="005379EB" w:rsidRPr="00B26E04" w:rsidRDefault="0096787B" w:rsidP="00D95F35">
            <w:pPr>
              <w:spacing w:before="60" w:after="60"/>
              <w:jc w:val="both"/>
              <w:rPr>
                <w:sz w:val="16"/>
                <w:szCs w:val="16"/>
                <w:highlight w:val="green"/>
                <w:lang w:val="en-US"/>
              </w:rPr>
            </w:pPr>
            <w:r>
              <w:rPr>
                <w:sz w:val="16"/>
                <w:szCs w:val="16"/>
                <w:lang w:val="en-US"/>
              </w:rPr>
              <w:t>possible susceptibility to psychiatric disorders</w:t>
            </w:r>
          </w:p>
        </w:tc>
      </w:tr>
      <w:tr w:rsidR="005379EB" w:rsidRPr="00C54C8A" w:rsidTr="007005B6">
        <w:trPr>
          <w:trHeight w:val="502"/>
        </w:trPr>
        <w:tc>
          <w:tcPr>
            <w:tcW w:w="817" w:type="dxa"/>
            <w:vMerge w:val="restart"/>
            <w:vAlign w:val="center"/>
          </w:tcPr>
          <w:p w:rsidR="005379EB" w:rsidRPr="00B26E04" w:rsidRDefault="005379EB" w:rsidP="007005B6">
            <w:pPr>
              <w:spacing w:before="60" w:after="60"/>
              <w:jc w:val="center"/>
              <w:rPr>
                <w:sz w:val="16"/>
                <w:szCs w:val="16"/>
                <w:lang w:val="en-US"/>
              </w:rPr>
            </w:pPr>
            <w:r w:rsidRPr="00B26E04">
              <w:rPr>
                <w:b/>
                <w:i/>
                <w:sz w:val="16"/>
                <w:szCs w:val="16"/>
                <w:lang w:val="en-US"/>
              </w:rPr>
              <w:t>TPH1</w:t>
            </w:r>
          </w:p>
        </w:tc>
        <w:tc>
          <w:tcPr>
            <w:tcW w:w="992" w:type="dxa"/>
            <w:vMerge w:val="restart"/>
            <w:vAlign w:val="center"/>
          </w:tcPr>
          <w:p w:rsidR="005379EB" w:rsidRPr="00B26E04" w:rsidRDefault="0096787B" w:rsidP="007005B6">
            <w:pPr>
              <w:spacing w:before="60" w:after="60"/>
              <w:jc w:val="center"/>
              <w:rPr>
                <w:sz w:val="16"/>
                <w:szCs w:val="16"/>
                <w:lang w:val="en-US"/>
              </w:rPr>
            </w:pPr>
            <w:r>
              <w:rPr>
                <w:sz w:val="16"/>
                <w:szCs w:val="16"/>
                <w:lang w:val="en-US"/>
              </w:rPr>
              <w:t>11p15.1</w:t>
            </w:r>
          </w:p>
        </w:tc>
        <w:tc>
          <w:tcPr>
            <w:tcW w:w="1701" w:type="dxa"/>
            <w:vMerge w:val="restart"/>
            <w:vAlign w:val="center"/>
          </w:tcPr>
          <w:p w:rsidR="005379EB" w:rsidRPr="00B26E04" w:rsidRDefault="0096787B" w:rsidP="007005B6">
            <w:pPr>
              <w:spacing w:before="60" w:after="60"/>
              <w:jc w:val="both"/>
              <w:rPr>
                <w:sz w:val="16"/>
                <w:szCs w:val="16"/>
                <w:highlight w:val="green"/>
                <w:lang w:val="en-US"/>
              </w:rPr>
            </w:pPr>
            <w:r>
              <w:rPr>
                <w:sz w:val="16"/>
                <w:szCs w:val="16"/>
                <w:lang w:val="en-US"/>
              </w:rPr>
              <w:t>TPH is the enzyme responsible for the first and rate limiting step of 5-HT synthesis</w:t>
            </w:r>
          </w:p>
        </w:tc>
        <w:tc>
          <w:tcPr>
            <w:tcW w:w="1418" w:type="dxa"/>
            <w:vAlign w:val="center"/>
          </w:tcPr>
          <w:p w:rsidR="005379EB" w:rsidRPr="00B26E04" w:rsidRDefault="0096787B" w:rsidP="007005B6">
            <w:pPr>
              <w:spacing w:before="60" w:after="60"/>
              <w:jc w:val="center"/>
              <w:rPr>
                <w:sz w:val="16"/>
                <w:szCs w:val="16"/>
                <w:lang w:val="en-US"/>
              </w:rPr>
            </w:pPr>
            <w:r>
              <w:rPr>
                <w:sz w:val="16"/>
                <w:szCs w:val="16"/>
                <w:lang w:val="en-US"/>
              </w:rPr>
              <w:t>rs1799913</w:t>
            </w:r>
          </w:p>
        </w:tc>
        <w:tc>
          <w:tcPr>
            <w:tcW w:w="2489" w:type="dxa"/>
            <w:vAlign w:val="center"/>
          </w:tcPr>
          <w:p w:rsidR="005379EB" w:rsidRPr="00B26E04" w:rsidRDefault="0096787B" w:rsidP="007005B6">
            <w:pPr>
              <w:spacing w:before="60" w:after="60"/>
              <w:jc w:val="both"/>
              <w:rPr>
                <w:sz w:val="16"/>
                <w:szCs w:val="16"/>
                <w:lang w:val="en-US"/>
              </w:rPr>
            </w:pPr>
            <w:r>
              <w:rPr>
                <w:sz w:val="16"/>
                <w:szCs w:val="16"/>
                <w:lang w:val="en-US"/>
              </w:rPr>
              <w:t xml:space="preserve">SNP in </w:t>
            </w:r>
            <w:r>
              <w:rPr>
                <w:i/>
                <w:sz w:val="16"/>
                <w:szCs w:val="16"/>
                <w:lang w:val="en-US"/>
              </w:rPr>
              <w:t>TPH1</w:t>
            </w:r>
            <w:r>
              <w:rPr>
                <w:sz w:val="16"/>
                <w:szCs w:val="16"/>
                <w:lang w:val="en-US"/>
              </w:rPr>
              <w:t>, A/C substitution</w:t>
            </w:r>
          </w:p>
        </w:tc>
        <w:tc>
          <w:tcPr>
            <w:tcW w:w="3323" w:type="dxa"/>
            <w:vAlign w:val="center"/>
          </w:tcPr>
          <w:p w:rsidR="005379EB" w:rsidRPr="00B26E04" w:rsidRDefault="005379EB" w:rsidP="007005B6">
            <w:pPr>
              <w:spacing w:before="60" w:after="60"/>
              <w:jc w:val="both"/>
              <w:rPr>
                <w:sz w:val="16"/>
                <w:szCs w:val="16"/>
                <w:highlight w:val="green"/>
                <w:lang w:val="en-US"/>
              </w:rPr>
            </w:pPr>
          </w:p>
        </w:tc>
        <w:tc>
          <w:tcPr>
            <w:tcW w:w="2976" w:type="dxa"/>
            <w:vAlign w:val="center"/>
          </w:tcPr>
          <w:p w:rsidR="005379EB" w:rsidRPr="00B26E04" w:rsidRDefault="005379EB" w:rsidP="007005B6">
            <w:pPr>
              <w:spacing w:before="60" w:after="60"/>
              <w:jc w:val="both"/>
              <w:rPr>
                <w:sz w:val="16"/>
                <w:szCs w:val="16"/>
                <w:highlight w:val="green"/>
                <w:lang w:val="en-US"/>
              </w:rPr>
            </w:pPr>
          </w:p>
        </w:tc>
        <w:tc>
          <w:tcPr>
            <w:tcW w:w="2540" w:type="dxa"/>
            <w:vMerge w:val="restart"/>
            <w:vAlign w:val="center"/>
          </w:tcPr>
          <w:p w:rsidR="005379EB" w:rsidRPr="00B26E04" w:rsidRDefault="0096787B" w:rsidP="007005B6">
            <w:pPr>
              <w:spacing w:before="60" w:after="60"/>
              <w:jc w:val="both"/>
              <w:rPr>
                <w:sz w:val="16"/>
                <w:szCs w:val="16"/>
                <w:highlight w:val="green"/>
                <w:lang w:val="en-US"/>
              </w:rPr>
            </w:pPr>
            <w:r>
              <w:rPr>
                <w:sz w:val="16"/>
                <w:szCs w:val="16"/>
                <w:lang w:val="en-US"/>
              </w:rPr>
              <w:t xml:space="preserve">possible, although controversial, association of </w:t>
            </w:r>
            <w:r>
              <w:rPr>
                <w:i/>
                <w:sz w:val="16"/>
                <w:szCs w:val="16"/>
                <w:lang w:val="en-US"/>
              </w:rPr>
              <w:t>TPH1</w:t>
            </w:r>
            <w:r>
              <w:rPr>
                <w:sz w:val="16"/>
                <w:szCs w:val="16"/>
                <w:lang w:val="en-US"/>
              </w:rPr>
              <w:t xml:space="preserve"> variations with anger related traits and psychiatric disorders with aggressive features</w:t>
            </w:r>
          </w:p>
        </w:tc>
      </w:tr>
      <w:tr w:rsidR="005379EB" w:rsidRPr="00C54C8A" w:rsidTr="007005B6">
        <w:trPr>
          <w:trHeight w:val="427"/>
        </w:trPr>
        <w:tc>
          <w:tcPr>
            <w:tcW w:w="817" w:type="dxa"/>
            <w:vMerge/>
            <w:vAlign w:val="center"/>
          </w:tcPr>
          <w:p w:rsidR="005379EB" w:rsidRPr="00B26E04" w:rsidRDefault="005379EB" w:rsidP="007005B6">
            <w:pPr>
              <w:spacing w:before="60" w:after="60"/>
              <w:jc w:val="center"/>
              <w:rPr>
                <w:b/>
                <w:i/>
                <w:sz w:val="16"/>
                <w:szCs w:val="16"/>
                <w:highlight w:val="green"/>
                <w:lang w:val="en-US"/>
              </w:rPr>
            </w:pPr>
          </w:p>
        </w:tc>
        <w:tc>
          <w:tcPr>
            <w:tcW w:w="992" w:type="dxa"/>
            <w:vMerge/>
            <w:vAlign w:val="center"/>
          </w:tcPr>
          <w:p w:rsidR="005379EB" w:rsidRPr="00B26E04" w:rsidRDefault="005379EB" w:rsidP="007005B6">
            <w:pPr>
              <w:spacing w:before="60" w:after="60"/>
              <w:jc w:val="center"/>
              <w:rPr>
                <w:sz w:val="16"/>
                <w:szCs w:val="16"/>
                <w:highlight w:val="green"/>
                <w:lang w:val="en-US"/>
              </w:rPr>
            </w:pPr>
          </w:p>
        </w:tc>
        <w:tc>
          <w:tcPr>
            <w:tcW w:w="1701" w:type="dxa"/>
            <w:vMerge/>
            <w:vAlign w:val="center"/>
          </w:tcPr>
          <w:p w:rsidR="005379EB" w:rsidRPr="00B26E04" w:rsidRDefault="005379EB" w:rsidP="007005B6">
            <w:pPr>
              <w:spacing w:before="60" w:after="60"/>
              <w:jc w:val="both"/>
              <w:rPr>
                <w:sz w:val="16"/>
                <w:szCs w:val="16"/>
                <w:highlight w:val="green"/>
                <w:lang w:val="en-US"/>
              </w:rPr>
            </w:pPr>
          </w:p>
        </w:tc>
        <w:tc>
          <w:tcPr>
            <w:tcW w:w="1418" w:type="dxa"/>
            <w:vAlign w:val="center"/>
          </w:tcPr>
          <w:p w:rsidR="005379EB" w:rsidRPr="00B26E04" w:rsidRDefault="0096787B" w:rsidP="007005B6">
            <w:pPr>
              <w:spacing w:before="60" w:after="60"/>
              <w:jc w:val="center"/>
              <w:rPr>
                <w:sz w:val="16"/>
                <w:szCs w:val="16"/>
                <w:lang w:val="en-US"/>
              </w:rPr>
            </w:pPr>
            <w:r>
              <w:rPr>
                <w:sz w:val="16"/>
                <w:szCs w:val="16"/>
                <w:lang w:val="en-US"/>
              </w:rPr>
              <w:t>rs1800532</w:t>
            </w:r>
          </w:p>
        </w:tc>
        <w:tc>
          <w:tcPr>
            <w:tcW w:w="2489" w:type="dxa"/>
            <w:vAlign w:val="center"/>
          </w:tcPr>
          <w:p w:rsidR="005379EB" w:rsidRPr="00B26E04" w:rsidRDefault="0096787B" w:rsidP="007005B6">
            <w:pPr>
              <w:spacing w:before="60" w:after="60"/>
              <w:jc w:val="both"/>
              <w:rPr>
                <w:sz w:val="16"/>
                <w:szCs w:val="16"/>
                <w:lang w:val="en-US"/>
              </w:rPr>
            </w:pPr>
            <w:r>
              <w:rPr>
                <w:sz w:val="16"/>
                <w:szCs w:val="16"/>
                <w:lang w:val="en-US"/>
              </w:rPr>
              <w:t xml:space="preserve">SNP in </w:t>
            </w:r>
            <w:r>
              <w:rPr>
                <w:i/>
                <w:sz w:val="16"/>
                <w:szCs w:val="16"/>
                <w:lang w:val="en-US"/>
              </w:rPr>
              <w:t>TPH1</w:t>
            </w:r>
            <w:r>
              <w:rPr>
                <w:sz w:val="16"/>
                <w:szCs w:val="16"/>
                <w:lang w:val="en-US"/>
              </w:rPr>
              <w:t>, A/C substitution</w:t>
            </w:r>
          </w:p>
        </w:tc>
        <w:tc>
          <w:tcPr>
            <w:tcW w:w="3323" w:type="dxa"/>
            <w:vAlign w:val="center"/>
          </w:tcPr>
          <w:p w:rsidR="005379EB" w:rsidRPr="00B26E04" w:rsidRDefault="005379EB" w:rsidP="007005B6">
            <w:pPr>
              <w:spacing w:before="60" w:after="60"/>
              <w:jc w:val="both"/>
              <w:rPr>
                <w:sz w:val="16"/>
                <w:szCs w:val="16"/>
                <w:highlight w:val="green"/>
                <w:lang w:val="en-US"/>
              </w:rPr>
            </w:pPr>
          </w:p>
        </w:tc>
        <w:tc>
          <w:tcPr>
            <w:tcW w:w="2976" w:type="dxa"/>
            <w:vAlign w:val="center"/>
          </w:tcPr>
          <w:p w:rsidR="005379EB" w:rsidRPr="00B26E04" w:rsidRDefault="005379EB" w:rsidP="007005B6">
            <w:pPr>
              <w:spacing w:before="60" w:after="60"/>
              <w:jc w:val="both"/>
              <w:rPr>
                <w:sz w:val="16"/>
                <w:szCs w:val="16"/>
                <w:highlight w:val="green"/>
                <w:lang w:val="en-US"/>
              </w:rPr>
            </w:pPr>
          </w:p>
        </w:tc>
        <w:tc>
          <w:tcPr>
            <w:tcW w:w="2540" w:type="dxa"/>
            <w:vMerge/>
          </w:tcPr>
          <w:p w:rsidR="005379EB" w:rsidRPr="00B26E04" w:rsidRDefault="005379EB" w:rsidP="007005B6">
            <w:pPr>
              <w:spacing w:before="60" w:after="60"/>
              <w:jc w:val="both"/>
              <w:rPr>
                <w:sz w:val="16"/>
                <w:szCs w:val="16"/>
                <w:highlight w:val="green"/>
                <w:lang w:val="en-US"/>
              </w:rPr>
            </w:pPr>
          </w:p>
        </w:tc>
      </w:tr>
      <w:tr w:rsidR="005379EB" w:rsidRPr="00C54C8A" w:rsidTr="007005B6">
        <w:trPr>
          <w:trHeight w:val="559"/>
        </w:trPr>
        <w:tc>
          <w:tcPr>
            <w:tcW w:w="817" w:type="dxa"/>
            <w:vMerge w:val="restart"/>
            <w:vAlign w:val="center"/>
          </w:tcPr>
          <w:p w:rsidR="005379EB" w:rsidRPr="00B26E04" w:rsidRDefault="005379EB" w:rsidP="007005B6">
            <w:pPr>
              <w:spacing w:before="60" w:after="60"/>
              <w:jc w:val="center"/>
              <w:rPr>
                <w:sz w:val="16"/>
                <w:szCs w:val="16"/>
                <w:highlight w:val="green"/>
                <w:lang w:val="en-US"/>
              </w:rPr>
            </w:pPr>
            <w:r w:rsidRPr="00B26E04">
              <w:rPr>
                <w:b/>
                <w:i/>
                <w:sz w:val="16"/>
                <w:szCs w:val="16"/>
                <w:lang w:val="en-US"/>
              </w:rPr>
              <w:t>TPH2</w:t>
            </w:r>
          </w:p>
        </w:tc>
        <w:tc>
          <w:tcPr>
            <w:tcW w:w="992" w:type="dxa"/>
            <w:vMerge w:val="restart"/>
            <w:vAlign w:val="center"/>
          </w:tcPr>
          <w:p w:rsidR="005379EB" w:rsidRPr="00B26E04" w:rsidRDefault="0096787B" w:rsidP="007005B6">
            <w:pPr>
              <w:spacing w:before="60" w:after="60"/>
              <w:jc w:val="center"/>
              <w:rPr>
                <w:sz w:val="16"/>
                <w:szCs w:val="16"/>
                <w:highlight w:val="green"/>
                <w:lang w:val="en-US"/>
              </w:rPr>
            </w:pPr>
            <w:r>
              <w:rPr>
                <w:sz w:val="16"/>
                <w:szCs w:val="16"/>
                <w:lang w:val="en-US"/>
              </w:rPr>
              <w:t>12q21.1</w:t>
            </w:r>
          </w:p>
        </w:tc>
        <w:tc>
          <w:tcPr>
            <w:tcW w:w="1701" w:type="dxa"/>
            <w:vMerge/>
          </w:tcPr>
          <w:p w:rsidR="005379EB" w:rsidRPr="00B26E04" w:rsidRDefault="005379EB" w:rsidP="007005B6">
            <w:pPr>
              <w:spacing w:before="60" w:after="60"/>
              <w:jc w:val="both"/>
              <w:rPr>
                <w:sz w:val="16"/>
                <w:szCs w:val="16"/>
                <w:highlight w:val="green"/>
                <w:lang w:val="en-US"/>
              </w:rPr>
            </w:pPr>
          </w:p>
        </w:tc>
        <w:tc>
          <w:tcPr>
            <w:tcW w:w="1418" w:type="dxa"/>
            <w:vAlign w:val="center"/>
          </w:tcPr>
          <w:p w:rsidR="005379EB" w:rsidRPr="00B26E04" w:rsidRDefault="0096787B" w:rsidP="007005B6">
            <w:pPr>
              <w:spacing w:before="60" w:after="60"/>
              <w:jc w:val="center"/>
              <w:rPr>
                <w:sz w:val="16"/>
                <w:szCs w:val="16"/>
                <w:lang w:val="en-US"/>
              </w:rPr>
            </w:pPr>
            <w:r>
              <w:rPr>
                <w:sz w:val="16"/>
                <w:szCs w:val="16"/>
                <w:lang w:val="en-US"/>
              </w:rPr>
              <w:t>rs4570625</w:t>
            </w:r>
          </w:p>
        </w:tc>
        <w:tc>
          <w:tcPr>
            <w:tcW w:w="2489" w:type="dxa"/>
            <w:vAlign w:val="center"/>
          </w:tcPr>
          <w:p w:rsidR="005379EB" w:rsidRPr="00B26E04" w:rsidRDefault="0096787B" w:rsidP="007005B6">
            <w:pPr>
              <w:spacing w:before="60" w:after="60"/>
              <w:jc w:val="both"/>
              <w:rPr>
                <w:sz w:val="16"/>
                <w:szCs w:val="16"/>
                <w:lang w:val="en-US"/>
              </w:rPr>
            </w:pPr>
            <w:r>
              <w:rPr>
                <w:sz w:val="16"/>
                <w:szCs w:val="16"/>
                <w:lang w:val="en-US"/>
              </w:rPr>
              <w:t xml:space="preserve">SNP in </w:t>
            </w:r>
            <w:r>
              <w:rPr>
                <w:i/>
                <w:sz w:val="16"/>
                <w:szCs w:val="16"/>
                <w:lang w:val="en-US"/>
              </w:rPr>
              <w:t>TPH2</w:t>
            </w:r>
            <w:r>
              <w:rPr>
                <w:sz w:val="16"/>
                <w:szCs w:val="16"/>
                <w:lang w:val="en-US"/>
              </w:rPr>
              <w:t>, G/T substitution</w:t>
            </w:r>
          </w:p>
        </w:tc>
        <w:tc>
          <w:tcPr>
            <w:tcW w:w="3323" w:type="dxa"/>
            <w:vAlign w:val="center"/>
          </w:tcPr>
          <w:p w:rsidR="005379EB" w:rsidRPr="00B26E04" w:rsidRDefault="0096787B" w:rsidP="007005B6">
            <w:pPr>
              <w:spacing w:before="60" w:after="60"/>
              <w:jc w:val="both"/>
              <w:rPr>
                <w:sz w:val="16"/>
                <w:szCs w:val="16"/>
                <w:highlight w:val="green"/>
                <w:lang w:val="en-US"/>
              </w:rPr>
            </w:pPr>
            <w:r>
              <w:rPr>
                <w:sz w:val="16"/>
                <w:szCs w:val="16"/>
                <w:lang w:val="en-US"/>
              </w:rPr>
              <w:t>possible modulation of 5-HT synthesis</w:t>
            </w:r>
          </w:p>
        </w:tc>
        <w:tc>
          <w:tcPr>
            <w:tcW w:w="2976" w:type="dxa"/>
            <w:vAlign w:val="center"/>
          </w:tcPr>
          <w:p w:rsidR="005379EB" w:rsidRPr="00B26E04" w:rsidRDefault="0096787B" w:rsidP="007005B6">
            <w:pPr>
              <w:spacing w:before="60" w:after="60"/>
              <w:jc w:val="both"/>
              <w:rPr>
                <w:sz w:val="16"/>
                <w:szCs w:val="16"/>
                <w:highlight w:val="green"/>
                <w:lang w:val="en-US"/>
              </w:rPr>
            </w:pPr>
            <w:r>
              <w:rPr>
                <w:sz w:val="16"/>
                <w:szCs w:val="16"/>
                <w:lang w:val="en-US"/>
              </w:rPr>
              <w:t>enhanced amygdala responsiveness in T carriers</w:t>
            </w:r>
          </w:p>
        </w:tc>
        <w:tc>
          <w:tcPr>
            <w:tcW w:w="2540" w:type="dxa"/>
            <w:vMerge w:val="restart"/>
            <w:vAlign w:val="center"/>
          </w:tcPr>
          <w:p w:rsidR="005379EB" w:rsidRPr="00B26E04" w:rsidRDefault="0096787B" w:rsidP="00AD4715">
            <w:pPr>
              <w:spacing w:before="60" w:after="60"/>
              <w:jc w:val="both"/>
              <w:rPr>
                <w:sz w:val="16"/>
                <w:szCs w:val="16"/>
                <w:lang w:val="en-US"/>
              </w:rPr>
            </w:pPr>
            <w:r>
              <w:rPr>
                <w:i/>
                <w:sz w:val="16"/>
                <w:szCs w:val="16"/>
                <w:lang w:val="en-US"/>
              </w:rPr>
              <w:t>TPH2</w:t>
            </w:r>
            <w:r>
              <w:rPr>
                <w:sz w:val="16"/>
                <w:szCs w:val="16"/>
                <w:lang w:val="en-US"/>
              </w:rPr>
              <w:t xml:space="preserve"> variations increase risk for aggressive behavior in obsessive compulsive and bipolar disorders</w:t>
            </w:r>
          </w:p>
        </w:tc>
      </w:tr>
      <w:tr w:rsidR="005379EB" w:rsidRPr="00C54C8A" w:rsidTr="007005B6">
        <w:trPr>
          <w:trHeight w:val="623"/>
        </w:trPr>
        <w:tc>
          <w:tcPr>
            <w:tcW w:w="817" w:type="dxa"/>
            <w:vMerge/>
            <w:vAlign w:val="center"/>
          </w:tcPr>
          <w:p w:rsidR="005379EB" w:rsidRPr="00B26E04" w:rsidRDefault="005379EB" w:rsidP="007005B6">
            <w:pPr>
              <w:spacing w:before="60" w:after="60"/>
              <w:jc w:val="center"/>
              <w:rPr>
                <w:b/>
                <w:i/>
                <w:sz w:val="16"/>
                <w:szCs w:val="16"/>
                <w:highlight w:val="green"/>
                <w:lang w:val="en-US"/>
              </w:rPr>
            </w:pPr>
          </w:p>
        </w:tc>
        <w:tc>
          <w:tcPr>
            <w:tcW w:w="992" w:type="dxa"/>
            <w:vMerge/>
            <w:vAlign w:val="center"/>
          </w:tcPr>
          <w:p w:rsidR="005379EB" w:rsidRPr="00B26E04" w:rsidRDefault="005379EB" w:rsidP="007005B6">
            <w:pPr>
              <w:spacing w:before="60" w:after="60"/>
              <w:jc w:val="center"/>
              <w:rPr>
                <w:sz w:val="16"/>
                <w:szCs w:val="16"/>
                <w:highlight w:val="green"/>
                <w:lang w:val="en-US"/>
              </w:rPr>
            </w:pPr>
          </w:p>
        </w:tc>
        <w:tc>
          <w:tcPr>
            <w:tcW w:w="1701" w:type="dxa"/>
            <w:vMerge/>
          </w:tcPr>
          <w:p w:rsidR="005379EB" w:rsidRPr="00B26E04" w:rsidRDefault="005379EB" w:rsidP="007005B6">
            <w:pPr>
              <w:spacing w:before="60" w:after="60"/>
              <w:jc w:val="both"/>
              <w:rPr>
                <w:sz w:val="16"/>
                <w:szCs w:val="16"/>
                <w:highlight w:val="green"/>
                <w:lang w:val="en-US"/>
              </w:rPr>
            </w:pPr>
          </w:p>
        </w:tc>
        <w:tc>
          <w:tcPr>
            <w:tcW w:w="1418" w:type="dxa"/>
            <w:vAlign w:val="center"/>
          </w:tcPr>
          <w:p w:rsidR="005379EB" w:rsidRPr="00B26E04" w:rsidRDefault="0096787B" w:rsidP="007005B6">
            <w:pPr>
              <w:spacing w:before="60" w:after="60"/>
              <w:jc w:val="center"/>
              <w:rPr>
                <w:sz w:val="16"/>
                <w:szCs w:val="16"/>
                <w:lang w:val="en-US"/>
              </w:rPr>
            </w:pPr>
            <w:r>
              <w:rPr>
                <w:sz w:val="16"/>
                <w:szCs w:val="16"/>
                <w:lang w:val="en-US"/>
              </w:rPr>
              <w:t>rs6582071</w:t>
            </w:r>
          </w:p>
        </w:tc>
        <w:tc>
          <w:tcPr>
            <w:tcW w:w="2489" w:type="dxa"/>
            <w:vAlign w:val="center"/>
          </w:tcPr>
          <w:p w:rsidR="005379EB" w:rsidRPr="00B26E04" w:rsidRDefault="0096787B" w:rsidP="007005B6">
            <w:pPr>
              <w:spacing w:before="60" w:after="60"/>
              <w:jc w:val="both"/>
              <w:rPr>
                <w:sz w:val="16"/>
                <w:szCs w:val="16"/>
                <w:lang w:val="en-US"/>
              </w:rPr>
            </w:pPr>
            <w:r>
              <w:rPr>
                <w:sz w:val="16"/>
                <w:szCs w:val="16"/>
                <w:lang w:val="en-US"/>
              </w:rPr>
              <w:t xml:space="preserve">SNP in </w:t>
            </w:r>
            <w:r>
              <w:rPr>
                <w:i/>
                <w:sz w:val="16"/>
                <w:szCs w:val="16"/>
                <w:lang w:val="en-US"/>
              </w:rPr>
              <w:t>TPH2</w:t>
            </w:r>
            <w:r>
              <w:rPr>
                <w:sz w:val="16"/>
                <w:szCs w:val="16"/>
                <w:lang w:val="en-US"/>
              </w:rPr>
              <w:t>, A/G substitution</w:t>
            </w:r>
          </w:p>
        </w:tc>
        <w:tc>
          <w:tcPr>
            <w:tcW w:w="3323" w:type="dxa"/>
            <w:vAlign w:val="center"/>
          </w:tcPr>
          <w:p w:rsidR="005379EB" w:rsidRPr="00B26E04" w:rsidRDefault="0096787B" w:rsidP="007005B6">
            <w:pPr>
              <w:spacing w:before="60" w:after="60"/>
              <w:jc w:val="both"/>
              <w:rPr>
                <w:sz w:val="16"/>
                <w:szCs w:val="16"/>
                <w:lang w:val="en-US"/>
              </w:rPr>
            </w:pPr>
            <w:r>
              <w:rPr>
                <w:sz w:val="16"/>
                <w:szCs w:val="16"/>
                <w:lang w:val="en-US"/>
              </w:rPr>
              <w:t>possible modulation of 5-HT synthesis</w:t>
            </w:r>
          </w:p>
        </w:tc>
        <w:tc>
          <w:tcPr>
            <w:tcW w:w="2976" w:type="dxa"/>
            <w:vAlign w:val="center"/>
          </w:tcPr>
          <w:p w:rsidR="005379EB" w:rsidRPr="00B26E04" w:rsidRDefault="005379EB" w:rsidP="007005B6">
            <w:pPr>
              <w:spacing w:before="60" w:after="60"/>
              <w:jc w:val="both"/>
              <w:rPr>
                <w:sz w:val="16"/>
                <w:szCs w:val="16"/>
                <w:lang w:val="en-US"/>
              </w:rPr>
            </w:pPr>
          </w:p>
        </w:tc>
        <w:tc>
          <w:tcPr>
            <w:tcW w:w="2540" w:type="dxa"/>
            <w:vMerge/>
          </w:tcPr>
          <w:p w:rsidR="005379EB" w:rsidRPr="00B26E04" w:rsidRDefault="005379EB" w:rsidP="007005B6">
            <w:pPr>
              <w:spacing w:before="60" w:after="60"/>
              <w:jc w:val="both"/>
              <w:rPr>
                <w:sz w:val="16"/>
                <w:szCs w:val="16"/>
                <w:lang w:val="en-US"/>
              </w:rPr>
            </w:pPr>
          </w:p>
        </w:tc>
      </w:tr>
    </w:tbl>
    <w:p w:rsidR="005379EB" w:rsidRPr="00B26E04" w:rsidRDefault="005379EB" w:rsidP="005379EB">
      <w:pPr>
        <w:rPr>
          <w:lang w:val="en-US"/>
        </w:rPr>
      </w:pPr>
      <w:r w:rsidRPr="00B26E04">
        <w:rPr>
          <w:b/>
          <w:lang w:val="en-US"/>
        </w:rPr>
        <w:t xml:space="preserve">Table 1. </w:t>
      </w:r>
      <w:r w:rsidRPr="00B26E04">
        <w:rPr>
          <w:lang w:val="en-US"/>
        </w:rPr>
        <w:t xml:space="preserve">Summary of genes related to neurotransmitter systems discussed in this review as actors in modulating aggressive behavior. </w:t>
      </w:r>
      <w:r w:rsidR="00DE1C55" w:rsidRPr="00DE1C55">
        <w:rPr>
          <w:lang w:val="en-US"/>
        </w:rPr>
        <w:t>SNPs details reported in this table have been retrieved either from original articles or from https://www.ncbi.nlm.nih.gov/snp/ , where updated information are available.</w:t>
      </w:r>
    </w:p>
    <w:p w:rsidR="005379EB" w:rsidRPr="00B26E04" w:rsidRDefault="005379EB" w:rsidP="005379EB">
      <w:pPr>
        <w:rPr>
          <w:b/>
          <w:lang w:val="en-US"/>
        </w:rPr>
      </w:pPr>
    </w:p>
    <w:p w:rsidR="005379EB" w:rsidRPr="00B26E04" w:rsidRDefault="005379EB" w:rsidP="005379EB">
      <w:pPr>
        <w:rPr>
          <w:b/>
          <w:lang w:val="en-US"/>
        </w:rPr>
      </w:pPr>
    </w:p>
    <w:p w:rsidR="00FC32E5" w:rsidRPr="00B26E04" w:rsidRDefault="0096787B">
      <w:pPr>
        <w:spacing w:after="200"/>
        <w:rPr>
          <w:b/>
          <w:lang w:val="en-US"/>
        </w:rPr>
      </w:pPr>
      <w:r>
        <w:rPr>
          <w:b/>
          <w:lang w:val="en-US"/>
        </w:rPr>
        <w:br w:type="page"/>
      </w:r>
    </w:p>
    <w:p w:rsidR="005379EB" w:rsidRPr="00B26E04" w:rsidRDefault="005379EB" w:rsidP="005379EB">
      <w:pPr>
        <w:rPr>
          <w:b/>
          <w:lang w:val="en-US"/>
        </w:rPr>
      </w:pPr>
    </w:p>
    <w:tbl>
      <w:tblPr>
        <w:tblStyle w:val="TableGrid"/>
        <w:tblpPr w:leftFromText="141" w:rightFromText="141" w:vertAnchor="page" w:horzAnchor="margin" w:tblpXSpec="center" w:tblpY="1681"/>
        <w:tblW w:w="16256" w:type="dxa"/>
        <w:tblLayout w:type="fixed"/>
        <w:tblLook w:val="04A0" w:firstRow="1" w:lastRow="0" w:firstColumn="1" w:lastColumn="0" w:noHBand="0" w:noVBand="1"/>
      </w:tblPr>
      <w:tblGrid>
        <w:gridCol w:w="817"/>
        <w:gridCol w:w="992"/>
        <w:gridCol w:w="1701"/>
        <w:gridCol w:w="1418"/>
        <w:gridCol w:w="2489"/>
        <w:gridCol w:w="3323"/>
        <w:gridCol w:w="2976"/>
        <w:gridCol w:w="2540"/>
      </w:tblGrid>
      <w:tr w:rsidR="005379EB" w:rsidRPr="00B26E04" w:rsidTr="007005B6">
        <w:tc>
          <w:tcPr>
            <w:tcW w:w="817" w:type="dxa"/>
          </w:tcPr>
          <w:p w:rsidR="005379EB" w:rsidRPr="00B26E04" w:rsidRDefault="0096787B" w:rsidP="007005B6">
            <w:pPr>
              <w:spacing w:before="60" w:after="60"/>
              <w:jc w:val="center"/>
              <w:rPr>
                <w:b/>
                <w:sz w:val="20"/>
                <w:szCs w:val="20"/>
                <w:lang w:val="en-US"/>
              </w:rPr>
            </w:pPr>
            <w:r>
              <w:rPr>
                <w:b/>
                <w:sz w:val="20"/>
                <w:szCs w:val="20"/>
                <w:lang w:val="en-US"/>
              </w:rPr>
              <w:t>Gene</w:t>
            </w:r>
          </w:p>
        </w:tc>
        <w:tc>
          <w:tcPr>
            <w:tcW w:w="992" w:type="dxa"/>
          </w:tcPr>
          <w:p w:rsidR="005379EB" w:rsidRPr="00B26E04" w:rsidRDefault="0096787B" w:rsidP="007005B6">
            <w:pPr>
              <w:spacing w:before="60" w:after="60"/>
              <w:jc w:val="center"/>
              <w:rPr>
                <w:b/>
                <w:sz w:val="20"/>
                <w:szCs w:val="20"/>
                <w:lang w:val="en-US"/>
              </w:rPr>
            </w:pPr>
            <w:r>
              <w:rPr>
                <w:b/>
                <w:sz w:val="20"/>
                <w:szCs w:val="20"/>
                <w:lang w:val="en-US"/>
              </w:rPr>
              <w:t>Location</w:t>
            </w:r>
          </w:p>
        </w:tc>
        <w:tc>
          <w:tcPr>
            <w:tcW w:w="1701" w:type="dxa"/>
          </w:tcPr>
          <w:p w:rsidR="005379EB" w:rsidRPr="00B26E04" w:rsidRDefault="0096787B" w:rsidP="007005B6">
            <w:pPr>
              <w:spacing w:before="60" w:after="60"/>
              <w:jc w:val="center"/>
              <w:rPr>
                <w:b/>
                <w:sz w:val="20"/>
                <w:szCs w:val="20"/>
                <w:lang w:val="en-US"/>
              </w:rPr>
            </w:pPr>
            <w:r>
              <w:rPr>
                <w:b/>
                <w:sz w:val="20"/>
                <w:szCs w:val="20"/>
                <w:lang w:val="en-US"/>
              </w:rPr>
              <w:t>Function</w:t>
            </w:r>
          </w:p>
        </w:tc>
        <w:tc>
          <w:tcPr>
            <w:tcW w:w="3907" w:type="dxa"/>
            <w:gridSpan w:val="2"/>
          </w:tcPr>
          <w:p w:rsidR="005379EB" w:rsidRPr="00B26E04" w:rsidRDefault="0096787B" w:rsidP="007005B6">
            <w:pPr>
              <w:spacing w:before="60" w:after="60"/>
              <w:jc w:val="center"/>
              <w:rPr>
                <w:b/>
                <w:sz w:val="20"/>
                <w:szCs w:val="20"/>
                <w:lang w:val="en-US"/>
              </w:rPr>
            </w:pPr>
            <w:r>
              <w:rPr>
                <w:b/>
                <w:sz w:val="20"/>
                <w:szCs w:val="20"/>
                <w:lang w:val="en-US"/>
              </w:rPr>
              <w:t>Gene variants</w:t>
            </w:r>
          </w:p>
        </w:tc>
        <w:tc>
          <w:tcPr>
            <w:tcW w:w="3323" w:type="dxa"/>
          </w:tcPr>
          <w:p w:rsidR="005379EB" w:rsidRPr="00B26E04" w:rsidRDefault="0096787B" w:rsidP="007005B6">
            <w:pPr>
              <w:spacing w:before="60" w:after="60"/>
              <w:jc w:val="center"/>
              <w:rPr>
                <w:b/>
                <w:sz w:val="20"/>
                <w:szCs w:val="20"/>
                <w:lang w:val="en-US"/>
              </w:rPr>
            </w:pPr>
            <w:r>
              <w:rPr>
                <w:b/>
                <w:sz w:val="20"/>
                <w:szCs w:val="20"/>
                <w:lang w:val="en-US"/>
              </w:rPr>
              <w:t>Neurochemical effects</w:t>
            </w:r>
          </w:p>
        </w:tc>
        <w:tc>
          <w:tcPr>
            <w:tcW w:w="2976" w:type="dxa"/>
          </w:tcPr>
          <w:p w:rsidR="005379EB" w:rsidRPr="00B26E04" w:rsidRDefault="0096787B" w:rsidP="007005B6">
            <w:pPr>
              <w:spacing w:before="60" w:after="60"/>
              <w:jc w:val="center"/>
              <w:rPr>
                <w:b/>
                <w:sz w:val="20"/>
                <w:szCs w:val="20"/>
                <w:lang w:val="en-US"/>
              </w:rPr>
            </w:pPr>
            <w:r>
              <w:rPr>
                <w:b/>
                <w:sz w:val="20"/>
                <w:szCs w:val="20"/>
                <w:lang w:val="en-US"/>
              </w:rPr>
              <w:t>Anatomical/functional effects</w:t>
            </w:r>
          </w:p>
        </w:tc>
        <w:tc>
          <w:tcPr>
            <w:tcW w:w="2540" w:type="dxa"/>
          </w:tcPr>
          <w:p w:rsidR="005379EB" w:rsidRPr="00B26E04" w:rsidRDefault="0096787B" w:rsidP="007005B6">
            <w:pPr>
              <w:spacing w:before="60" w:after="60"/>
              <w:jc w:val="center"/>
              <w:rPr>
                <w:b/>
                <w:sz w:val="20"/>
                <w:szCs w:val="20"/>
                <w:lang w:val="en-US"/>
              </w:rPr>
            </w:pPr>
            <w:r>
              <w:rPr>
                <w:b/>
                <w:sz w:val="20"/>
                <w:szCs w:val="20"/>
                <w:lang w:val="en-US"/>
              </w:rPr>
              <w:t>Behavioral consequences</w:t>
            </w:r>
          </w:p>
        </w:tc>
      </w:tr>
      <w:tr w:rsidR="005379EB" w:rsidRPr="00C54C8A" w:rsidTr="007005B6">
        <w:trPr>
          <w:trHeight w:val="636"/>
        </w:trPr>
        <w:tc>
          <w:tcPr>
            <w:tcW w:w="817" w:type="dxa"/>
            <w:vMerge w:val="restart"/>
            <w:shd w:val="clear" w:color="auto" w:fill="F2F2F2" w:themeFill="background1" w:themeFillShade="F2"/>
            <w:vAlign w:val="center"/>
          </w:tcPr>
          <w:p w:rsidR="005379EB" w:rsidRPr="00B26E04" w:rsidRDefault="005379EB" w:rsidP="007005B6">
            <w:pPr>
              <w:spacing w:before="60" w:after="60"/>
              <w:jc w:val="center"/>
              <w:rPr>
                <w:b/>
                <w:i/>
                <w:sz w:val="16"/>
                <w:szCs w:val="16"/>
                <w:highlight w:val="green"/>
                <w:lang w:val="en-US"/>
              </w:rPr>
            </w:pPr>
            <w:r w:rsidRPr="00B26E04">
              <w:rPr>
                <w:b/>
                <w:i/>
                <w:sz w:val="16"/>
                <w:szCs w:val="16"/>
                <w:lang w:val="en-US"/>
              </w:rPr>
              <w:t>HTR1B</w:t>
            </w:r>
          </w:p>
        </w:tc>
        <w:tc>
          <w:tcPr>
            <w:tcW w:w="992" w:type="dxa"/>
            <w:vMerge w:val="restart"/>
            <w:shd w:val="clear" w:color="auto" w:fill="F2F2F2" w:themeFill="background1" w:themeFillShade="F2"/>
            <w:vAlign w:val="center"/>
          </w:tcPr>
          <w:p w:rsidR="005379EB" w:rsidRPr="00B26E04" w:rsidRDefault="0096787B" w:rsidP="007005B6">
            <w:pPr>
              <w:spacing w:before="60" w:after="60"/>
              <w:jc w:val="center"/>
              <w:rPr>
                <w:sz w:val="16"/>
                <w:szCs w:val="16"/>
                <w:lang w:val="en-US"/>
              </w:rPr>
            </w:pPr>
            <w:r>
              <w:rPr>
                <w:sz w:val="16"/>
                <w:szCs w:val="16"/>
                <w:lang w:val="en-US"/>
              </w:rPr>
              <w:t>6q14.1</w:t>
            </w:r>
          </w:p>
        </w:tc>
        <w:tc>
          <w:tcPr>
            <w:tcW w:w="1701" w:type="dxa"/>
            <w:vMerge w:val="restart"/>
            <w:shd w:val="clear" w:color="auto" w:fill="F2F2F2" w:themeFill="background1" w:themeFillShade="F2"/>
            <w:vAlign w:val="center"/>
          </w:tcPr>
          <w:p w:rsidR="005379EB" w:rsidRPr="00B26E04" w:rsidRDefault="0096787B" w:rsidP="007005B6">
            <w:pPr>
              <w:spacing w:before="60" w:after="60"/>
              <w:jc w:val="both"/>
              <w:rPr>
                <w:sz w:val="16"/>
                <w:szCs w:val="16"/>
                <w:lang w:val="en-US"/>
              </w:rPr>
            </w:pPr>
            <w:r>
              <w:rPr>
                <w:sz w:val="16"/>
                <w:szCs w:val="16"/>
                <w:lang w:val="en-US"/>
              </w:rPr>
              <w:t>5-HT</w:t>
            </w:r>
            <w:r>
              <w:rPr>
                <w:sz w:val="16"/>
                <w:szCs w:val="16"/>
                <w:vertAlign w:val="subscript"/>
                <w:lang w:val="en-US"/>
              </w:rPr>
              <w:t>1B</w:t>
            </w:r>
            <w:r>
              <w:rPr>
                <w:sz w:val="16"/>
                <w:szCs w:val="16"/>
                <w:lang w:val="en-US"/>
              </w:rPr>
              <w:t xml:space="preserve"> receptor, a G-protein coupled receptor for 5-HT</w:t>
            </w:r>
          </w:p>
        </w:tc>
        <w:tc>
          <w:tcPr>
            <w:tcW w:w="1418" w:type="dxa"/>
            <w:tcBorders>
              <w:bottom w:val="single" w:sz="4" w:space="0" w:color="auto"/>
            </w:tcBorders>
            <w:shd w:val="clear" w:color="auto" w:fill="F2F2F2" w:themeFill="background1" w:themeFillShade="F2"/>
            <w:vAlign w:val="center"/>
          </w:tcPr>
          <w:p w:rsidR="005379EB" w:rsidRPr="00B26E04" w:rsidRDefault="0096787B" w:rsidP="007005B6">
            <w:pPr>
              <w:spacing w:before="60" w:after="60"/>
              <w:jc w:val="center"/>
              <w:rPr>
                <w:i/>
                <w:sz w:val="16"/>
                <w:szCs w:val="16"/>
                <w:highlight w:val="green"/>
                <w:lang w:val="en-US"/>
              </w:rPr>
            </w:pPr>
            <w:r>
              <w:rPr>
                <w:sz w:val="16"/>
                <w:szCs w:val="16"/>
                <w:lang w:val="en-US"/>
              </w:rPr>
              <w:t>rs130058</w:t>
            </w:r>
          </w:p>
        </w:tc>
        <w:tc>
          <w:tcPr>
            <w:tcW w:w="2489" w:type="dxa"/>
            <w:tcBorders>
              <w:bottom w:val="single" w:sz="4" w:space="0" w:color="auto"/>
            </w:tcBorders>
            <w:shd w:val="clear" w:color="auto" w:fill="F2F2F2" w:themeFill="background1" w:themeFillShade="F2"/>
            <w:vAlign w:val="center"/>
          </w:tcPr>
          <w:p w:rsidR="005379EB" w:rsidRPr="00B26E04" w:rsidRDefault="0096787B" w:rsidP="007005B6">
            <w:pPr>
              <w:spacing w:before="60" w:after="60"/>
              <w:jc w:val="both"/>
              <w:rPr>
                <w:sz w:val="16"/>
                <w:szCs w:val="16"/>
                <w:highlight w:val="green"/>
                <w:lang w:val="en-US"/>
              </w:rPr>
            </w:pPr>
            <w:r>
              <w:rPr>
                <w:sz w:val="16"/>
                <w:szCs w:val="16"/>
                <w:lang w:val="en-US"/>
              </w:rPr>
              <w:t xml:space="preserve">SNP on 5’-UTR of </w:t>
            </w:r>
            <w:r>
              <w:rPr>
                <w:i/>
                <w:sz w:val="16"/>
                <w:szCs w:val="16"/>
                <w:lang w:val="en-US"/>
              </w:rPr>
              <w:t>HTR1B</w:t>
            </w:r>
            <w:r>
              <w:rPr>
                <w:sz w:val="16"/>
                <w:szCs w:val="16"/>
                <w:lang w:val="en-US"/>
              </w:rPr>
              <w:t>, A/T substitution</w:t>
            </w:r>
          </w:p>
        </w:tc>
        <w:tc>
          <w:tcPr>
            <w:tcW w:w="3323" w:type="dxa"/>
            <w:tcBorders>
              <w:bottom w:val="single" w:sz="4" w:space="0" w:color="auto"/>
            </w:tcBorders>
            <w:shd w:val="clear" w:color="auto" w:fill="F2F2F2" w:themeFill="background1" w:themeFillShade="F2"/>
            <w:vAlign w:val="center"/>
          </w:tcPr>
          <w:p w:rsidR="005379EB" w:rsidRPr="00B26E04" w:rsidRDefault="0096787B" w:rsidP="007005B6">
            <w:pPr>
              <w:pStyle w:val="ListParagraph"/>
              <w:spacing w:before="60" w:after="60"/>
              <w:ind w:left="0"/>
              <w:contextualSpacing w:val="0"/>
              <w:jc w:val="both"/>
              <w:rPr>
                <w:sz w:val="16"/>
                <w:szCs w:val="16"/>
                <w:highlight w:val="green"/>
                <w:lang w:val="en-US"/>
              </w:rPr>
            </w:pPr>
            <w:r>
              <w:rPr>
                <w:sz w:val="16"/>
                <w:szCs w:val="16"/>
                <w:lang w:val="en-US"/>
              </w:rPr>
              <w:t>possible modulation of 5-HT</w:t>
            </w:r>
            <w:r>
              <w:rPr>
                <w:sz w:val="16"/>
                <w:szCs w:val="16"/>
                <w:vertAlign w:val="subscript"/>
                <w:lang w:val="en-US"/>
              </w:rPr>
              <w:t>1B</w:t>
            </w:r>
            <w:r>
              <w:rPr>
                <w:sz w:val="16"/>
                <w:szCs w:val="16"/>
                <w:lang w:val="en-US"/>
              </w:rPr>
              <w:t xml:space="preserve"> receptor expression</w:t>
            </w:r>
          </w:p>
        </w:tc>
        <w:tc>
          <w:tcPr>
            <w:tcW w:w="2976" w:type="dxa"/>
            <w:shd w:val="clear" w:color="auto" w:fill="F2F2F2" w:themeFill="background1" w:themeFillShade="F2"/>
            <w:vAlign w:val="center"/>
          </w:tcPr>
          <w:p w:rsidR="005379EB" w:rsidRPr="00B26E04" w:rsidRDefault="005379EB" w:rsidP="007005B6">
            <w:pPr>
              <w:pStyle w:val="ListParagraph"/>
              <w:spacing w:before="60" w:after="60"/>
              <w:ind w:left="0"/>
              <w:contextualSpacing w:val="0"/>
              <w:jc w:val="both"/>
              <w:rPr>
                <w:sz w:val="16"/>
                <w:szCs w:val="16"/>
                <w:highlight w:val="green"/>
                <w:lang w:val="en-US"/>
              </w:rPr>
            </w:pPr>
          </w:p>
        </w:tc>
        <w:tc>
          <w:tcPr>
            <w:tcW w:w="2540" w:type="dxa"/>
            <w:shd w:val="clear" w:color="auto" w:fill="F2F2F2" w:themeFill="background1" w:themeFillShade="F2"/>
            <w:vAlign w:val="center"/>
          </w:tcPr>
          <w:p w:rsidR="005379EB" w:rsidRPr="00B26E04" w:rsidRDefault="0096787B" w:rsidP="007005B6">
            <w:pPr>
              <w:pStyle w:val="ListParagraph"/>
              <w:spacing w:before="60" w:after="60"/>
              <w:ind w:left="34"/>
              <w:contextualSpacing w:val="0"/>
              <w:jc w:val="both"/>
              <w:rPr>
                <w:sz w:val="16"/>
                <w:szCs w:val="16"/>
                <w:highlight w:val="green"/>
                <w:lang w:val="en-US"/>
              </w:rPr>
            </w:pPr>
            <w:r>
              <w:rPr>
                <w:sz w:val="16"/>
                <w:szCs w:val="16"/>
                <w:lang w:val="en-US"/>
              </w:rPr>
              <w:t>T</w:t>
            </w:r>
            <w:r w:rsidR="005379EB" w:rsidRPr="00B26E04">
              <w:rPr>
                <w:lang w:val="en-US"/>
              </w:rPr>
              <w:t xml:space="preserve"> </w:t>
            </w:r>
            <w:r w:rsidR="005379EB" w:rsidRPr="00B26E04">
              <w:rPr>
                <w:sz w:val="16"/>
                <w:szCs w:val="16"/>
                <w:lang w:val="en-US"/>
              </w:rPr>
              <w:t xml:space="preserve">homozygous carriers with higher </w:t>
            </w:r>
            <w:r>
              <w:rPr>
                <w:sz w:val="16"/>
                <w:szCs w:val="16"/>
                <w:lang w:val="en-US"/>
              </w:rPr>
              <w:t>impulsive-aggressive behavior compared to A individuals</w:t>
            </w:r>
          </w:p>
        </w:tc>
      </w:tr>
      <w:tr w:rsidR="005379EB" w:rsidRPr="00C54C8A" w:rsidTr="007005B6">
        <w:trPr>
          <w:trHeight w:val="660"/>
        </w:trPr>
        <w:tc>
          <w:tcPr>
            <w:tcW w:w="817" w:type="dxa"/>
            <w:vMerge/>
            <w:tcBorders>
              <w:bottom w:val="single" w:sz="4" w:space="0" w:color="auto"/>
            </w:tcBorders>
            <w:shd w:val="clear" w:color="auto" w:fill="F2F2F2" w:themeFill="background1" w:themeFillShade="F2"/>
            <w:vAlign w:val="center"/>
          </w:tcPr>
          <w:p w:rsidR="005379EB" w:rsidRPr="00B26E04" w:rsidRDefault="005379EB" w:rsidP="007005B6">
            <w:pPr>
              <w:spacing w:before="60" w:after="60"/>
              <w:jc w:val="center"/>
              <w:rPr>
                <w:b/>
                <w:i/>
                <w:sz w:val="16"/>
                <w:szCs w:val="16"/>
                <w:highlight w:val="green"/>
                <w:lang w:val="en-US"/>
              </w:rPr>
            </w:pPr>
          </w:p>
        </w:tc>
        <w:tc>
          <w:tcPr>
            <w:tcW w:w="992" w:type="dxa"/>
            <w:vMerge/>
            <w:tcBorders>
              <w:bottom w:val="single" w:sz="4" w:space="0" w:color="auto"/>
            </w:tcBorders>
            <w:shd w:val="clear" w:color="auto" w:fill="F2F2F2" w:themeFill="background1" w:themeFillShade="F2"/>
            <w:vAlign w:val="center"/>
          </w:tcPr>
          <w:p w:rsidR="005379EB" w:rsidRPr="00B26E04" w:rsidRDefault="005379EB" w:rsidP="007005B6">
            <w:pPr>
              <w:spacing w:before="60" w:after="60"/>
              <w:jc w:val="center"/>
              <w:rPr>
                <w:sz w:val="16"/>
                <w:szCs w:val="16"/>
                <w:highlight w:val="green"/>
                <w:lang w:val="en-US"/>
              </w:rPr>
            </w:pPr>
          </w:p>
        </w:tc>
        <w:tc>
          <w:tcPr>
            <w:tcW w:w="1701" w:type="dxa"/>
            <w:vMerge/>
            <w:tcBorders>
              <w:bottom w:val="single" w:sz="4" w:space="0" w:color="auto"/>
            </w:tcBorders>
            <w:shd w:val="clear" w:color="auto" w:fill="F2F2F2" w:themeFill="background1" w:themeFillShade="F2"/>
            <w:vAlign w:val="center"/>
          </w:tcPr>
          <w:p w:rsidR="005379EB" w:rsidRPr="00B26E04" w:rsidRDefault="005379EB" w:rsidP="007005B6">
            <w:pPr>
              <w:spacing w:before="60" w:after="60"/>
              <w:jc w:val="both"/>
              <w:rPr>
                <w:sz w:val="16"/>
                <w:szCs w:val="16"/>
                <w:highlight w:val="green"/>
                <w:lang w:val="en-US"/>
              </w:rPr>
            </w:pPr>
          </w:p>
        </w:tc>
        <w:tc>
          <w:tcPr>
            <w:tcW w:w="1418" w:type="dxa"/>
            <w:tcBorders>
              <w:bottom w:val="single" w:sz="4" w:space="0" w:color="auto"/>
            </w:tcBorders>
            <w:shd w:val="clear" w:color="auto" w:fill="F2F2F2" w:themeFill="background1" w:themeFillShade="F2"/>
            <w:vAlign w:val="center"/>
          </w:tcPr>
          <w:p w:rsidR="005379EB" w:rsidRPr="00B26E04" w:rsidRDefault="0096787B" w:rsidP="007005B6">
            <w:pPr>
              <w:spacing w:before="60" w:after="60"/>
              <w:jc w:val="center"/>
              <w:rPr>
                <w:sz w:val="16"/>
                <w:szCs w:val="16"/>
                <w:highlight w:val="green"/>
                <w:lang w:val="en-US"/>
              </w:rPr>
            </w:pPr>
            <w:r>
              <w:rPr>
                <w:sz w:val="16"/>
                <w:szCs w:val="16"/>
                <w:lang w:val="en-US"/>
              </w:rPr>
              <w:t>rs13212041</w:t>
            </w:r>
          </w:p>
        </w:tc>
        <w:tc>
          <w:tcPr>
            <w:tcW w:w="2489" w:type="dxa"/>
            <w:tcBorders>
              <w:bottom w:val="single" w:sz="4" w:space="0" w:color="auto"/>
            </w:tcBorders>
            <w:shd w:val="clear" w:color="auto" w:fill="F2F2F2" w:themeFill="background1" w:themeFillShade="F2"/>
            <w:vAlign w:val="center"/>
          </w:tcPr>
          <w:p w:rsidR="005379EB" w:rsidRPr="00B26E04" w:rsidRDefault="0096787B" w:rsidP="006B07BE">
            <w:pPr>
              <w:spacing w:before="60" w:after="60"/>
              <w:jc w:val="both"/>
              <w:rPr>
                <w:sz w:val="16"/>
                <w:szCs w:val="16"/>
                <w:highlight w:val="green"/>
                <w:lang w:val="en-US"/>
              </w:rPr>
            </w:pPr>
            <w:r>
              <w:rPr>
                <w:sz w:val="16"/>
                <w:szCs w:val="16"/>
                <w:lang w:val="en-US"/>
              </w:rPr>
              <w:t xml:space="preserve">SNP on 3’-UTR of </w:t>
            </w:r>
            <w:r>
              <w:rPr>
                <w:i/>
                <w:sz w:val="16"/>
                <w:szCs w:val="16"/>
                <w:lang w:val="en-US"/>
              </w:rPr>
              <w:t>HTR1B</w:t>
            </w:r>
            <w:r>
              <w:rPr>
                <w:sz w:val="16"/>
                <w:szCs w:val="16"/>
                <w:lang w:val="en-US"/>
              </w:rPr>
              <w:t xml:space="preserve">, leading to G/A substitution within </w:t>
            </w:r>
            <w:r>
              <w:rPr>
                <w:i/>
                <w:sz w:val="16"/>
                <w:szCs w:val="16"/>
                <w:lang w:val="en-US"/>
              </w:rPr>
              <w:t>HTR1B</w:t>
            </w:r>
            <w:r>
              <w:rPr>
                <w:sz w:val="16"/>
                <w:szCs w:val="16"/>
                <w:lang w:val="en-US"/>
              </w:rPr>
              <w:t xml:space="preserve"> mRNA</w:t>
            </w:r>
          </w:p>
        </w:tc>
        <w:tc>
          <w:tcPr>
            <w:tcW w:w="3323" w:type="dxa"/>
            <w:tcBorders>
              <w:bottom w:val="single" w:sz="4" w:space="0" w:color="auto"/>
            </w:tcBorders>
            <w:shd w:val="clear" w:color="auto" w:fill="F2F2F2" w:themeFill="background1" w:themeFillShade="F2"/>
            <w:vAlign w:val="center"/>
          </w:tcPr>
          <w:p w:rsidR="005379EB" w:rsidRPr="00B26E04" w:rsidRDefault="0096787B" w:rsidP="005379EB">
            <w:pPr>
              <w:pStyle w:val="ListParagraph"/>
              <w:numPr>
                <w:ilvl w:val="0"/>
                <w:numId w:val="6"/>
              </w:numPr>
              <w:spacing w:before="60" w:after="60"/>
              <w:ind w:left="96" w:hanging="96"/>
              <w:contextualSpacing w:val="0"/>
              <w:jc w:val="both"/>
              <w:rPr>
                <w:sz w:val="16"/>
                <w:szCs w:val="16"/>
                <w:lang w:val="en-US"/>
              </w:rPr>
            </w:pPr>
            <w:r>
              <w:rPr>
                <w:sz w:val="16"/>
                <w:szCs w:val="16"/>
                <w:lang w:val="en-US"/>
              </w:rPr>
              <w:t xml:space="preserve">disrupt the </w:t>
            </w:r>
            <w:proofErr w:type="spellStart"/>
            <w:r>
              <w:rPr>
                <w:sz w:val="16"/>
                <w:szCs w:val="16"/>
                <w:lang w:val="en-US"/>
              </w:rPr>
              <w:t>nucleotidic</w:t>
            </w:r>
            <w:proofErr w:type="spellEnd"/>
            <w:r>
              <w:rPr>
                <w:sz w:val="16"/>
                <w:szCs w:val="16"/>
                <w:lang w:val="en-US"/>
              </w:rPr>
              <w:t xml:space="preserve"> binding site for the miR-96 that</w:t>
            </w:r>
            <w:r w:rsidR="005379EB" w:rsidRPr="00B26E04">
              <w:rPr>
                <w:sz w:val="16"/>
                <w:szCs w:val="16"/>
                <w:lang w:val="en-US"/>
              </w:rPr>
              <w:t xml:space="preserve"> silences the mRNA of </w:t>
            </w:r>
            <w:r w:rsidR="005379EB" w:rsidRPr="00B26E04">
              <w:rPr>
                <w:i/>
                <w:sz w:val="16"/>
                <w:szCs w:val="16"/>
                <w:lang w:val="en-US"/>
              </w:rPr>
              <w:t>HTR1B</w:t>
            </w:r>
          </w:p>
          <w:p w:rsidR="005379EB" w:rsidRPr="00B26E04" w:rsidRDefault="0096787B" w:rsidP="006B07BE">
            <w:pPr>
              <w:pStyle w:val="ListParagraph"/>
              <w:numPr>
                <w:ilvl w:val="0"/>
                <w:numId w:val="6"/>
              </w:numPr>
              <w:spacing w:before="60" w:after="60"/>
              <w:ind w:left="96" w:hanging="96"/>
              <w:contextualSpacing w:val="0"/>
              <w:jc w:val="both"/>
              <w:rPr>
                <w:sz w:val="16"/>
                <w:szCs w:val="16"/>
                <w:lang w:val="en-US"/>
              </w:rPr>
            </w:pPr>
            <w:r>
              <w:rPr>
                <w:sz w:val="16"/>
                <w:szCs w:val="16"/>
                <w:lang w:val="en-US"/>
              </w:rPr>
              <w:t>A-element lead to reduced</w:t>
            </w:r>
            <w:r>
              <w:rPr>
                <w:i/>
                <w:sz w:val="16"/>
                <w:szCs w:val="16"/>
                <w:lang w:val="en-US"/>
              </w:rPr>
              <w:t xml:space="preserve"> HTR1B</w:t>
            </w:r>
            <w:r>
              <w:rPr>
                <w:sz w:val="16"/>
                <w:szCs w:val="16"/>
                <w:lang w:val="en-US"/>
              </w:rPr>
              <w:t xml:space="preserve"> expression due to repression by miR-96, while miR-96 repression activity is attenuated by G element</w:t>
            </w:r>
          </w:p>
        </w:tc>
        <w:tc>
          <w:tcPr>
            <w:tcW w:w="2976" w:type="dxa"/>
            <w:shd w:val="clear" w:color="auto" w:fill="F2F2F2" w:themeFill="background1" w:themeFillShade="F2"/>
            <w:vAlign w:val="center"/>
          </w:tcPr>
          <w:p w:rsidR="005379EB" w:rsidRPr="00B26E04" w:rsidRDefault="005379EB" w:rsidP="007005B6">
            <w:pPr>
              <w:pStyle w:val="ListParagraph"/>
              <w:spacing w:before="60" w:after="60"/>
              <w:ind w:left="0"/>
              <w:contextualSpacing w:val="0"/>
              <w:jc w:val="both"/>
              <w:rPr>
                <w:sz w:val="16"/>
                <w:szCs w:val="16"/>
                <w:highlight w:val="green"/>
                <w:lang w:val="en-US"/>
              </w:rPr>
            </w:pPr>
          </w:p>
        </w:tc>
        <w:tc>
          <w:tcPr>
            <w:tcW w:w="2540" w:type="dxa"/>
            <w:shd w:val="clear" w:color="auto" w:fill="F2F2F2" w:themeFill="background1" w:themeFillShade="F2"/>
            <w:vAlign w:val="center"/>
          </w:tcPr>
          <w:p w:rsidR="005379EB" w:rsidRPr="00B26E04" w:rsidRDefault="0096787B" w:rsidP="006B07BE">
            <w:pPr>
              <w:pStyle w:val="ListParagraph"/>
              <w:spacing w:before="60" w:after="60"/>
              <w:ind w:left="34"/>
              <w:contextualSpacing w:val="0"/>
              <w:jc w:val="both"/>
              <w:rPr>
                <w:sz w:val="16"/>
                <w:szCs w:val="16"/>
                <w:highlight w:val="green"/>
                <w:lang w:val="en-US"/>
              </w:rPr>
            </w:pPr>
            <w:r>
              <w:rPr>
                <w:sz w:val="16"/>
                <w:szCs w:val="16"/>
                <w:lang w:val="en-US"/>
              </w:rPr>
              <w:t xml:space="preserve">greater risk of aggressive behaviors and impulsivity in individuals </w:t>
            </w:r>
            <w:r w:rsidR="005379EB" w:rsidRPr="00B26E04">
              <w:rPr>
                <w:sz w:val="16"/>
                <w:szCs w:val="16"/>
                <w:lang w:val="en-US"/>
              </w:rPr>
              <w:t>homozygous for the ancestral A-element compared to common variant for G</w:t>
            </w:r>
            <w:r>
              <w:rPr>
                <w:sz w:val="16"/>
                <w:szCs w:val="16"/>
                <w:lang w:val="en-US"/>
              </w:rPr>
              <w:t xml:space="preserve"> element</w:t>
            </w:r>
          </w:p>
        </w:tc>
      </w:tr>
      <w:tr w:rsidR="005379EB" w:rsidRPr="00C54C8A" w:rsidTr="007005B6">
        <w:trPr>
          <w:trHeight w:val="841"/>
        </w:trPr>
        <w:tc>
          <w:tcPr>
            <w:tcW w:w="817" w:type="dxa"/>
            <w:tcBorders>
              <w:bottom w:val="single" w:sz="4" w:space="0" w:color="auto"/>
            </w:tcBorders>
            <w:shd w:val="clear" w:color="auto" w:fill="F2F2F2" w:themeFill="background1" w:themeFillShade="F2"/>
            <w:vAlign w:val="center"/>
          </w:tcPr>
          <w:p w:rsidR="005379EB" w:rsidRPr="00B26E04" w:rsidRDefault="005379EB" w:rsidP="007005B6">
            <w:pPr>
              <w:spacing w:before="60" w:after="60"/>
              <w:jc w:val="center"/>
              <w:rPr>
                <w:b/>
                <w:i/>
                <w:sz w:val="16"/>
                <w:szCs w:val="16"/>
                <w:lang w:val="en-US"/>
              </w:rPr>
            </w:pPr>
            <w:r w:rsidRPr="00B26E04">
              <w:rPr>
                <w:b/>
                <w:i/>
                <w:sz w:val="16"/>
                <w:szCs w:val="16"/>
                <w:lang w:val="en-US"/>
              </w:rPr>
              <w:t>HTR2B</w:t>
            </w:r>
          </w:p>
        </w:tc>
        <w:tc>
          <w:tcPr>
            <w:tcW w:w="992" w:type="dxa"/>
            <w:tcBorders>
              <w:bottom w:val="single" w:sz="4" w:space="0" w:color="auto"/>
            </w:tcBorders>
            <w:shd w:val="clear" w:color="auto" w:fill="F2F2F2" w:themeFill="background1" w:themeFillShade="F2"/>
            <w:vAlign w:val="center"/>
          </w:tcPr>
          <w:p w:rsidR="005379EB" w:rsidRPr="00B26E04" w:rsidRDefault="0096787B" w:rsidP="007005B6">
            <w:pPr>
              <w:spacing w:before="60" w:after="60"/>
              <w:jc w:val="center"/>
              <w:rPr>
                <w:sz w:val="16"/>
                <w:szCs w:val="16"/>
                <w:lang w:val="en-US"/>
              </w:rPr>
            </w:pPr>
            <w:r>
              <w:rPr>
                <w:sz w:val="16"/>
                <w:szCs w:val="16"/>
                <w:lang w:val="en-US"/>
              </w:rPr>
              <w:t>2q37.1</w:t>
            </w:r>
          </w:p>
        </w:tc>
        <w:tc>
          <w:tcPr>
            <w:tcW w:w="1701" w:type="dxa"/>
            <w:tcBorders>
              <w:bottom w:val="single" w:sz="4" w:space="0" w:color="auto"/>
            </w:tcBorders>
            <w:shd w:val="clear" w:color="auto" w:fill="F2F2F2" w:themeFill="background1" w:themeFillShade="F2"/>
            <w:vAlign w:val="center"/>
          </w:tcPr>
          <w:p w:rsidR="005379EB" w:rsidRPr="00B26E04" w:rsidRDefault="0096787B" w:rsidP="007005B6">
            <w:pPr>
              <w:spacing w:before="60" w:after="60"/>
              <w:jc w:val="both"/>
              <w:rPr>
                <w:sz w:val="16"/>
                <w:szCs w:val="16"/>
                <w:highlight w:val="green"/>
                <w:lang w:val="en-US"/>
              </w:rPr>
            </w:pPr>
            <w:r>
              <w:rPr>
                <w:sz w:val="16"/>
                <w:szCs w:val="16"/>
                <w:lang w:val="en-US"/>
              </w:rPr>
              <w:t>5-HT</w:t>
            </w:r>
            <w:r>
              <w:rPr>
                <w:sz w:val="16"/>
                <w:szCs w:val="16"/>
                <w:vertAlign w:val="subscript"/>
                <w:lang w:val="en-US"/>
              </w:rPr>
              <w:t>2B</w:t>
            </w:r>
            <w:r>
              <w:rPr>
                <w:sz w:val="16"/>
                <w:szCs w:val="16"/>
                <w:lang w:val="en-US"/>
              </w:rPr>
              <w:t xml:space="preserve"> receptor, a G-protein coupled receptor for 5-HT</w:t>
            </w:r>
          </w:p>
        </w:tc>
        <w:tc>
          <w:tcPr>
            <w:tcW w:w="1418" w:type="dxa"/>
            <w:tcBorders>
              <w:bottom w:val="single" w:sz="4" w:space="0" w:color="auto"/>
            </w:tcBorders>
            <w:shd w:val="clear" w:color="auto" w:fill="F2F2F2" w:themeFill="background1" w:themeFillShade="F2"/>
            <w:vAlign w:val="center"/>
          </w:tcPr>
          <w:p w:rsidR="005379EB" w:rsidRPr="00B26E04" w:rsidRDefault="0096787B" w:rsidP="007005B6">
            <w:pPr>
              <w:spacing w:before="60" w:after="60"/>
              <w:jc w:val="center"/>
              <w:rPr>
                <w:sz w:val="16"/>
                <w:szCs w:val="16"/>
                <w:lang w:val="en-US"/>
              </w:rPr>
            </w:pPr>
            <w:r>
              <w:rPr>
                <w:sz w:val="16"/>
                <w:szCs w:val="16"/>
                <w:lang w:val="en-US"/>
              </w:rPr>
              <w:t>rs79874540</w:t>
            </w:r>
          </w:p>
        </w:tc>
        <w:tc>
          <w:tcPr>
            <w:tcW w:w="2489" w:type="dxa"/>
            <w:tcBorders>
              <w:bottom w:val="single" w:sz="4" w:space="0" w:color="auto"/>
            </w:tcBorders>
            <w:shd w:val="clear" w:color="auto" w:fill="F2F2F2" w:themeFill="background1" w:themeFillShade="F2"/>
            <w:vAlign w:val="center"/>
          </w:tcPr>
          <w:p w:rsidR="005379EB" w:rsidRPr="00B26E04" w:rsidRDefault="0096787B" w:rsidP="006B07BE">
            <w:pPr>
              <w:spacing w:before="60" w:after="60"/>
              <w:jc w:val="both"/>
              <w:rPr>
                <w:sz w:val="16"/>
                <w:szCs w:val="16"/>
                <w:lang w:val="en-US"/>
              </w:rPr>
            </w:pPr>
            <w:r>
              <w:rPr>
                <w:sz w:val="16"/>
                <w:szCs w:val="16"/>
                <w:lang w:val="en-US"/>
              </w:rPr>
              <w:t xml:space="preserve">SNPs HTR2B Q20* in </w:t>
            </w:r>
            <w:r>
              <w:rPr>
                <w:i/>
                <w:sz w:val="16"/>
                <w:szCs w:val="16"/>
                <w:lang w:val="en-US"/>
              </w:rPr>
              <w:t>HTR2B</w:t>
            </w:r>
            <w:r>
              <w:rPr>
                <w:sz w:val="16"/>
                <w:szCs w:val="16"/>
                <w:lang w:val="en-US"/>
              </w:rPr>
              <w:t xml:space="preserve">, leading to C/T substitution within </w:t>
            </w:r>
            <w:r>
              <w:rPr>
                <w:i/>
                <w:sz w:val="16"/>
                <w:szCs w:val="16"/>
                <w:lang w:val="en-US"/>
              </w:rPr>
              <w:t>HTR2B</w:t>
            </w:r>
            <w:r>
              <w:rPr>
                <w:sz w:val="16"/>
                <w:szCs w:val="16"/>
                <w:lang w:val="en-US"/>
              </w:rPr>
              <w:t xml:space="preserve"> mRNA</w:t>
            </w:r>
          </w:p>
        </w:tc>
        <w:tc>
          <w:tcPr>
            <w:tcW w:w="3323" w:type="dxa"/>
            <w:tcBorders>
              <w:bottom w:val="single" w:sz="4" w:space="0" w:color="auto"/>
            </w:tcBorders>
            <w:shd w:val="clear" w:color="auto" w:fill="F2F2F2" w:themeFill="background1" w:themeFillShade="F2"/>
            <w:vAlign w:val="center"/>
          </w:tcPr>
          <w:p w:rsidR="005379EB" w:rsidRPr="00B26E04" w:rsidRDefault="0096787B" w:rsidP="007005B6">
            <w:pPr>
              <w:pStyle w:val="ListParagraph"/>
              <w:spacing w:before="60" w:after="60"/>
              <w:ind w:left="0"/>
              <w:contextualSpacing w:val="0"/>
              <w:jc w:val="both"/>
              <w:rPr>
                <w:sz w:val="16"/>
                <w:szCs w:val="16"/>
                <w:highlight w:val="green"/>
                <w:lang w:val="en-US"/>
              </w:rPr>
            </w:pPr>
            <w:r>
              <w:rPr>
                <w:sz w:val="16"/>
                <w:szCs w:val="16"/>
                <w:lang w:val="en-US"/>
              </w:rPr>
              <w:t>STOP codon formation that block the 5-HT</w:t>
            </w:r>
            <w:r>
              <w:rPr>
                <w:sz w:val="16"/>
                <w:szCs w:val="16"/>
                <w:vertAlign w:val="subscript"/>
                <w:lang w:val="en-US"/>
              </w:rPr>
              <w:t>2B</w:t>
            </w:r>
            <w:r>
              <w:rPr>
                <w:sz w:val="16"/>
                <w:szCs w:val="16"/>
                <w:lang w:val="en-US"/>
              </w:rPr>
              <w:t xml:space="preserve"> receptor expression</w:t>
            </w:r>
          </w:p>
        </w:tc>
        <w:tc>
          <w:tcPr>
            <w:tcW w:w="2976" w:type="dxa"/>
            <w:shd w:val="clear" w:color="auto" w:fill="F2F2F2" w:themeFill="background1" w:themeFillShade="F2"/>
            <w:vAlign w:val="center"/>
          </w:tcPr>
          <w:p w:rsidR="005379EB" w:rsidRPr="00B26E04" w:rsidRDefault="005379EB" w:rsidP="007005B6">
            <w:pPr>
              <w:pStyle w:val="ListParagraph"/>
              <w:spacing w:before="60" w:after="60"/>
              <w:ind w:left="0"/>
              <w:contextualSpacing w:val="0"/>
              <w:jc w:val="both"/>
              <w:rPr>
                <w:sz w:val="16"/>
                <w:szCs w:val="16"/>
                <w:highlight w:val="green"/>
                <w:lang w:val="en-US"/>
              </w:rPr>
            </w:pPr>
          </w:p>
        </w:tc>
        <w:tc>
          <w:tcPr>
            <w:tcW w:w="2540" w:type="dxa"/>
            <w:shd w:val="clear" w:color="auto" w:fill="F2F2F2" w:themeFill="background1" w:themeFillShade="F2"/>
            <w:vAlign w:val="center"/>
          </w:tcPr>
          <w:p w:rsidR="005379EB" w:rsidRPr="00B26E04" w:rsidRDefault="0096787B" w:rsidP="007005B6">
            <w:pPr>
              <w:pStyle w:val="ListParagraph"/>
              <w:spacing w:before="60" w:after="60"/>
              <w:ind w:left="34"/>
              <w:contextualSpacing w:val="0"/>
              <w:jc w:val="both"/>
              <w:rPr>
                <w:sz w:val="16"/>
                <w:szCs w:val="16"/>
                <w:highlight w:val="green"/>
                <w:lang w:val="en-US"/>
              </w:rPr>
            </w:pPr>
            <w:r>
              <w:rPr>
                <w:sz w:val="16"/>
                <w:szCs w:val="16"/>
                <w:lang w:val="en-US"/>
              </w:rPr>
              <w:t>mutation exclusive in Finnish population predisposing to psychiatric diseases marked by impulsive aggression</w:t>
            </w:r>
          </w:p>
        </w:tc>
      </w:tr>
      <w:tr w:rsidR="005379EB" w:rsidRPr="00C54C8A" w:rsidTr="007005B6">
        <w:trPr>
          <w:trHeight w:val="2141"/>
        </w:trPr>
        <w:tc>
          <w:tcPr>
            <w:tcW w:w="817" w:type="dxa"/>
            <w:vMerge w:val="restart"/>
            <w:vAlign w:val="center"/>
          </w:tcPr>
          <w:p w:rsidR="005379EB" w:rsidRPr="00B26E04" w:rsidRDefault="005379EB" w:rsidP="007005B6">
            <w:pPr>
              <w:spacing w:before="60" w:after="60"/>
              <w:jc w:val="center"/>
              <w:rPr>
                <w:b/>
                <w:i/>
                <w:sz w:val="16"/>
                <w:szCs w:val="16"/>
                <w:highlight w:val="green"/>
                <w:lang w:val="en-US"/>
              </w:rPr>
            </w:pPr>
            <w:r w:rsidRPr="00B26E04">
              <w:rPr>
                <w:b/>
                <w:i/>
                <w:sz w:val="16"/>
                <w:szCs w:val="16"/>
                <w:lang w:val="en-US"/>
              </w:rPr>
              <w:t>COMT</w:t>
            </w:r>
          </w:p>
        </w:tc>
        <w:tc>
          <w:tcPr>
            <w:tcW w:w="992" w:type="dxa"/>
            <w:vMerge w:val="restart"/>
            <w:vAlign w:val="center"/>
          </w:tcPr>
          <w:p w:rsidR="005379EB" w:rsidRPr="00B26E04" w:rsidRDefault="0096787B" w:rsidP="007005B6">
            <w:pPr>
              <w:spacing w:before="60" w:after="60"/>
              <w:jc w:val="center"/>
              <w:rPr>
                <w:sz w:val="16"/>
                <w:szCs w:val="16"/>
                <w:highlight w:val="green"/>
                <w:lang w:val="en-US"/>
              </w:rPr>
            </w:pPr>
            <w:r>
              <w:rPr>
                <w:sz w:val="16"/>
                <w:szCs w:val="16"/>
                <w:lang w:val="en-US"/>
              </w:rPr>
              <w:t>22q11.21</w:t>
            </w:r>
          </w:p>
        </w:tc>
        <w:tc>
          <w:tcPr>
            <w:tcW w:w="1701" w:type="dxa"/>
            <w:vMerge w:val="restart"/>
            <w:vAlign w:val="center"/>
          </w:tcPr>
          <w:p w:rsidR="005379EB" w:rsidRPr="00B26E04" w:rsidRDefault="0096787B" w:rsidP="006B07BE">
            <w:pPr>
              <w:spacing w:before="60" w:after="60"/>
              <w:jc w:val="both"/>
              <w:rPr>
                <w:sz w:val="16"/>
                <w:szCs w:val="16"/>
                <w:highlight w:val="green"/>
                <w:lang w:val="en-US"/>
              </w:rPr>
            </w:pPr>
            <w:r>
              <w:rPr>
                <w:sz w:val="16"/>
                <w:szCs w:val="16"/>
                <w:lang w:val="en-US"/>
              </w:rPr>
              <w:t>COMT catalyzes the transfer of a methyl group to different catecholamines in their degradative pathway</w:t>
            </w:r>
          </w:p>
        </w:tc>
        <w:tc>
          <w:tcPr>
            <w:tcW w:w="1418" w:type="dxa"/>
            <w:vAlign w:val="center"/>
          </w:tcPr>
          <w:p w:rsidR="005379EB" w:rsidRPr="00B26E04" w:rsidRDefault="0096787B" w:rsidP="007005B6">
            <w:pPr>
              <w:spacing w:before="60" w:after="60"/>
              <w:jc w:val="center"/>
              <w:rPr>
                <w:sz w:val="16"/>
                <w:szCs w:val="16"/>
                <w:lang w:val="en-US"/>
              </w:rPr>
            </w:pPr>
            <w:r>
              <w:rPr>
                <w:sz w:val="16"/>
                <w:szCs w:val="16"/>
                <w:lang w:val="en-US"/>
              </w:rPr>
              <w:t>rs4680</w:t>
            </w:r>
          </w:p>
        </w:tc>
        <w:tc>
          <w:tcPr>
            <w:tcW w:w="2489" w:type="dxa"/>
            <w:vAlign w:val="center"/>
          </w:tcPr>
          <w:p w:rsidR="005379EB" w:rsidRPr="00B26E04" w:rsidRDefault="0096787B" w:rsidP="00D95F35">
            <w:pPr>
              <w:spacing w:before="60" w:after="60"/>
              <w:jc w:val="both"/>
              <w:rPr>
                <w:sz w:val="16"/>
                <w:szCs w:val="16"/>
                <w:lang w:val="en-US"/>
              </w:rPr>
            </w:pPr>
            <w:r>
              <w:rPr>
                <w:sz w:val="16"/>
                <w:szCs w:val="16"/>
                <w:lang w:val="en-US"/>
              </w:rPr>
              <w:t xml:space="preserve">SNP in </w:t>
            </w:r>
            <w:r>
              <w:rPr>
                <w:i/>
                <w:sz w:val="16"/>
                <w:szCs w:val="16"/>
                <w:lang w:val="en-US"/>
              </w:rPr>
              <w:t>COMT</w:t>
            </w:r>
            <w:r>
              <w:rPr>
                <w:sz w:val="16"/>
                <w:szCs w:val="16"/>
                <w:lang w:val="en-US"/>
              </w:rPr>
              <w:t>, A/G substitution</w:t>
            </w:r>
          </w:p>
        </w:tc>
        <w:tc>
          <w:tcPr>
            <w:tcW w:w="3323" w:type="dxa"/>
            <w:vAlign w:val="center"/>
          </w:tcPr>
          <w:p w:rsidR="005379EB" w:rsidRPr="00B26E04" w:rsidRDefault="0096787B" w:rsidP="005379EB">
            <w:pPr>
              <w:pStyle w:val="ListParagraph"/>
              <w:numPr>
                <w:ilvl w:val="0"/>
                <w:numId w:val="7"/>
              </w:numPr>
              <w:spacing w:before="60" w:after="60"/>
              <w:ind w:left="96" w:hanging="96"/>
              <w:contextualSpacing w:val="0"/>
              <w:jc w:val="both"/>
              <w:rPr>
                <w:sz w:val="16"/>
                <w:szCs w:val="16"/>
                <w:lang w:val="en-US"/>
              </w:rPr>
            </w:pPr>
            <w:r>
              <w:rPr>
                <w:sz w:val="16"/>
                <w:szCs w:val="16"/>
                <w:lang w:val="en-US"/>
              </w:rPr>
              <w:t>Val</w:t>
            </w:r>
            <w:r>
              <w:rPr>
                <w:sz w:val="16"/>
                <w:szCs w:val="16"/>
                <w:vertAlign w:val="superscript"/>
                <w:lang w:val="en-US"/>
              </w:rPr>
              <w:t>108</w:t>
            </w:r>
            <w:r>
              <w:rPr>
                <w:sz w:val="16"/>
                <w:szCs w:val="16"/>
                <w:lang w:val="en-US"/>
              </w:rPr>
              <w:t>Met substitution in COMT soluble form, Val</w:t>
            </w:r>
            <w:r>
              <w:rPr>
                <w:sz w:val="16"/>
                <w:szCs w:val="16"/>
                <w:vertAlign w:val="superscript"/>
                <w:lang w:val="en-US"/>
              </w:rPr>
              <w:t>158</w:t>
            </w:r>
            <w:r>
              <w:rPr>
                <w:sz w:val="16"/>
                <w:szCs w:val="16"/>
                <w:lang w:val="en-US"/>
              </w:rPr>
              <w:t>Met substitution membrane-bound COMT, leading to alterations in the catabolic activity of COMT enzyme with possible effects on DA levels</w:t>
            </w:r>
          </w:p>
          <w:p w:rsidR="005379EB" w:rsidRPr="00B26E04" w:rsidRDefault="0096787B" w:rsidP="005379EB">
            <w:pPr>
              <w:pStyle w:val="ListParagraph"/>
              <w:numPr>
                <w:ilvl w:val="0"/>
                <w:numId w:val="7"/>
              </w:numPr>
              <w:spacing w:before="60" w:after="60"/>
              <w:ind w:left="96" w:hanging="96"/>
              <w:contextualSpacing w:val="0"/>
              <w:jc w:val="both"/>
              <w:rPr>
                <w:sz w:val="16"/>
                <w:szCs w:val="16"/>
                <w:lang w:val="en-US"/>
              </w:rPr>
            </w:pPr>
            <w:r>
              <w:rPr>
                <w:sz w:val="16"/>
                <w:szCs w:val="16"/>
                <w:lang w:val="en-US"/>
              </w:rPr>
              <w:t>Val/Val variant with high COMT activity leading to low DA levels &gt; Val/Met variant with intermediate COMT activity &gt; Met/Met variant with low COMT activity, the latter with hyperstimulation of DA networks due to low DA degradation</w:t>
            </w:r>
          </w:p>
        </w:tc>
        <w:tc>
          <w:tcPr>
            <w:tcW w:w="2976" w:type="dxa"/>
            <w:vAlign w:val="center"/>
          </w:tcPr>
          <w:p w:rsidR="005379EB" w:rsidRPr="00B26E04" w:rsidRDefault="0096787B" w:rsidP="005379EB">
            <w:pPr>
              <w:pStyle w:val="ListParagraph"/>
              <w:numPr>
                <w:ilvl w:val="0"/>
                <w:numId w:val="4"/>
              </w:numPr>
              <w:spacing w:before="60" w:after="60"/>
              <w:ind w:left="96" w:hanging="96"/>
              <w:contextualSpacing w:val="0"/>
              <w:jc w:val="both"/>
              <w:rPr>
                <w:sz w:val="16"/>
                <w:szCs w:val="16"/>
                <w:lang w:val="en-US"/>
              </w:rPr>
            </w:pPr>
            <w:r>
              <w:rPr>
                <w:sz w:val="16"/>
                <w:szCs w:val="16"/>
                <w:lang w:val="en-US"/>
              </w:rPr>
              <w:t>increased reactivity and connectivity in corticolimbic circuits in carriers of low activity Met allele compared to Val allele</w:t>
            </w:r>
          </w:p>
          <w:p w:rsidR="005379EB" w:rsidRPr="00B26E04" w:rsidRDefault="0096787B" w:rsidP="005379EB">
            <w:pPr>
              <w:pStyle w:val="ListParagraph"/>
              <w:numPr>
                <w:ilvl w:val="0"/>
                <w:numId w:val="4"/>
              </w:numPr>
              <w:spacing w:before="60" w:after="60"/>
              <w:ind w:left="96" w:hanging="96"/>
              <w:contextualSpacing w:val="0"/>
              <w:jc w:val="both"/>
              <w:rPr>
                <w:sz w:val="16"/>
                <w:szCs w:val="16"/>
                <w:lang w:val="en-US"/>
              </w:rPr>
            </w:pPr>
            <w:r>
              <w:rPr>
                <w:sz w:val="16"/>
                <w:szCs w:val="16"/>
                <w:lang w:val="en-US"/>
              </w:rPr>
              <w:t>Val/Val genotype can modulate the activity of the posterior cingulate cortex in emotional and response-inhibition tasks, having Val carriers the greater deactivation of posterior cingulate cortex</w:t>
            </w:r>
          </w:p>
          <w:p w:rsidR="005379EB" w:rsidRPr="00B26E04" w:rsidRDefault="0096787B" w:rsidP="005379EB">
            <w:pPr>
              <w:pStyle w:val="ListParagraph"/>
              <w:numPr>
                <w:ilvl w:val="0"/>
                <w:numId w:val="4"/>
              </w:numPr>
              <w:spacing w:before="60" w:after="60"/>
              <w:ind w:left="96" w:hanging="96"/>
              <w:contextualSpacing w:val="0"/>
              <w:jc w:val="both"/>
              <w:rPr>
                <w:sz w:val="16"/>
                <w:szCs w:val="16"/>
                <w:lang w:val="en-US"/>
              </w:rPr>
            </w:pPr>
            <w:r>
              <w:rPr>
                <w:sz w:val="16"/>
                <w:szCs w:val="16"/>
                <w:lang w:val="en-US"/>
              </w:rPr>
              <w:t>gender-genotype related differences</w:t>
            </w:r>
          </w:p>
        </w:tc>
        <w:tc>
          <w:tcPr>
            <w:tcW w:w="2540" w:type="dxa"/>
            <w:vAlign w:val="center"/>
          </w:tcPr>
          <w:p w:rsidR="005379EB" w:rsidRPr="00B26E04" w:rsidRDefault="0096787B" w:rsidP="006B07BE">
            <w:pPr>
              <w:pStyle w:val="ListParagraph"/>
              <w:spacing w:before="60" w:after="60"/>
              <w:ind w:left="0"/>
              <w:jc w:val="both"/>
              <w:rPr>
                <w:sz w:val="16"/>
                <w:szCs w:val="16"/>
                <w:highlight w:val="green"/>
                <w:lang w:val="en-US"/>
              </w:rPr>
            </w:pPr>
            <w:r>
              <w:rPr>
                <w:sz w:val="16"/>
                <w:szCs w:val="16"/>
                <w:lang w:val="en-US"/>
              </w:rPr>
              <w:t xml:space="preserve">higher risk for aggressive behavior in homozygous for the low activity allele (Met/Met), in healthy subjects and particularly in </w:t>
            </w:r>
            <w:r w:rsidR="005379EB" w:rsidRPr="00B26E04">
              <w:rPr>
                <w:sz w:val="16"/>
                <w:szCs w:val="16"/>
                <w:lang w:val="en-US"/>
              </w:rPr>
              <w:t>schizophrenic patients</w:t>
            </w:r>
          </w:p>
        </w:tc>
      </w:tr>
      <w:tr w:rsidR="005379EB" w:rsidRPr="00C54C8A" w:rsidTr="007005B6">
        <w:trPr>
          <w:trHeight w:val="512"/>
        </w:trPr>
        <w:tc>
          <w:tcPr>
            <w:tcW w:w="817" w:type="dxa"/>
            <w:vMerge/>
            <w:vAlign w:val="center"/>
          </w:tcPr>
          <w:p w:rsidR="005379EB" w:rsidRPr="00B26E04" w:rsidRDefault="005379EB" w:rsidP="007005B6">
            <w:pPr>
              <w:spacing w:before="60" w:after="60"/>
              <w:jc w:val="center"/>
              <w:rPr>
                <w:b/>
                <w:i/>
                <w:sz w:val="16"/>
                <w:szCs w:val="16"/>
                <w:highlight w:val="green"/>
                <w:lang w:val="en-US"/>
              </w:rPr>
            </w:pPr>
          </w:p>
        </w:tc>
        <w:tc>
          <w:tcPr>
            <w:tcW w:w="992" w:type="dxa"/>
            <w:vMerge/>
            <w:vAlign w:val="center"/>
          </w:tcPr>
          <w:p w:rsidR="005379EB" w:rsidRPr="00B26E04" w:rsidRDefault="005379EB" w:rsidP="007005B6">
            <w:pPr>
              <w:spacing w:before="60" w:after="60"/>
              <w:jc w:val="center"/>
              <w:rPr>
                <w:sz w:val="16"/>
                <w:szCs w:val="16"/>
                <w:highlight w:val="green"/>
                <w:lang w:val="en-US"/>
              </w:rPr>
            </w:pPr>
          </w:p>
        </w:tc>
        <w:tc>
          <w:tcPr>
            <w:tcW w:w="1701" w:type="dxa"/>
            <w:vMerge/>
            <w:vAlign w:val="center"/>
          </w:tcPr>
          <w:p w:rsidR="005379EB" w:rsidRPr="00B26E04" w:rsidRDefault="005379EB" w:rsidP="007005B6">
            <w:pPr>
              <w:spacing w:before="60" w:after="60"/>
              <w:jc w:val="both"/>
              <w:rPr>
                <w:sz w:val="16"/>
                <w:szCs w:val="16"/>
                <w:highlight w:val="green"/>
                <w:lang w:val="en-US"/>
              </w:rPr>
            </w:pPr>
          </w:p>
        </w:tc>
        <w:tc>
          <w:tcPr>
            <w:tcW w:w="1418" w:type="dxa"/>
            <w:vAlign w:val="center"/>
          </w:tcPr>
          <w:p w:rsidR="005379EB" w:rsidRPr="00B26E04" w:rsidRDefault="0096787B" w:rsidP="007005B6">
            <w:pPr>
              <w:spacing w:before="60" w:after="60"/>
              <w:jc w:val="center"/>
              <w:rPr>
                <w:sz w:val="16"/>
                <w:szCs w:val="16"/>
                <w:lang w:val="en-US"/>
              </w:rPr>
            </w:pPr>
            <w:r>
              <w:rPr>
                <w:sz w:val="16"/>
                <w:szCs w:val="16"/>
                <w:lang w:val="en-US"/>
              </w:rPr>
              <w:t>rs6269</w:t>
            </w:r>
          </w:p>
        </w:tc>
        <w:tc>
          <w:tcPr>
            <w:tcW w:w="2489" w:type="dxa"/>
            <w:vAlign w:val="center"/>
          </w:tcPr>
          <w:p w:rsidR="005379EB" w:rsidRPr="00B26E04" w:rsidRDefault="0096787B" w:rsidP="007005B6">
            <w:pPr>
              <w:spacing w:before="60" w:after="60"/>
              <w:jc w:val="both"/>
              <w:rPr>
                <w:sz w:val="16"/>
                <w:szCs w:val="16"/>
                <w:lang w:val="en-US"/>
              </w:rPr>
            </w:pPr>
            <w:r>
              <w:rPr>
                <w:sz w:val="16"/>
                <w:szCs w:val="16"/>
                <w:lang w:val="en-US"/>
              </w:rPr>
              <w:t xml:space="preserve">SNP in </w:t>
            </w:r>
            <w:r>
              <w:rPr>
                <w:i/>
                <w:sz w:val="16"/>
                <w:szCs w:val="16"/>
                <w:lang w:val="en-US"/>
              </w:rPr>
              <w:t>COMT</w:t>
            </w:r>
            <w:r>
              <w:rPr>
                <w:sz w:val="16"/>
                <w:szCs w:val="16"/>
                <w:lang w:val="en-US"/>
              </w:rPr>
              <w:t>, A/G substitution</w:t>
            </w:r>
          </w:p>
        </w:tc>
        <w:tc>
          <w:tcPr>
            <w:tcW w:w="3323" w:type="dxa"/>
            <w:vAlign w:val="center"/>
          </w:tcPr>
          <w:p w:rsidR="005379EB" w:rsidRPr="00B26E04" w:rsidRDefault="005379EB" w:rsidP="007005B6">
            <w:pPr>
              <w:pStyle w:val="ListParagraph"/>
              <w:spacing w:before="60" w:after="60"/>
              <w:ind w:left="0"/>
              <w:contextualSpacing w:val="0"/>
              <w:jc w:val="both"/>
              <w:rPr>
                <w:sz w:val="16"/>
                <w:szCs w:val="16"/>
                <w:highlight w:val="green"/>
                <w:lang w:val="en-US"/>
              </w:rPr>
            </w:pPr>
          </w:p>
        </w:tc>
        <w:tc>
          <w:tcPr>
            <w:tcW w:w="2976" w:type="dxa"/>
            <w:vAlign w:val="center"/>
          </w:tcPr>
          <w:p w:rsidR="005379EB" w:rsidRPr="00B26E04" w:rsidRDefault="005379EB" w:rsidP="007005B6">
            <w:pPr>
              <w:pStyle w:val="ListParagraph"/>
              <w:spacing w:before="60" w:after="60"/>
              <w:ind w:left="0"/>
              <w:contextualSpacing w:val="0"/>
              <w:jc w:val="both"/>
              <w:rPr>
                <w:sz w:val="16"/>
                <w:szCs w:val="16"/>
                <w:lang w:val="en-US"/>
              </w:rPr>
            </w:pPr>
          </w:p>
        </w:tc>
        <w:tc>
          <w:tcPr>
            <w:tcW w:w="2540" w:type="dxa"/>
            <w:vMerge w:val="restart"/>
            <w:vAlign w:val="center"/>
          </w:tcPr>
          <w:p w:rsidR="005379EB" w:rsidRPr="00B26E04" w:rsidRDefault="0096787B" w:rsidP="007005B6">
            <w:pPr>
              <w:pStyle w:val="ListParagraph"/>
              <w:spacing w:before="60" w:after="60"/>
              <w:ind w:left="0"/>
              <w:contextualSpacing w:val="0"/>
              <w:jc w:val="both"/>
              <w:rPr>
                <w:sz w:val="16"/>
                <w:szCs w:val="16"/>
                <w:lang w:val="en-US"/>
              </w:rPr>
            </w:pPr>
            <w:r>
              <w:rPr>
                <w:sz w:val="16"/>
                <w:szCs w:val="16"/>
                <w:lang w:val="en-US"/>
              </w:rPr>
              <w:t>Significant association (rs6269) and trend (rs4818) with childhood-onset aggression</w:t>
            </w:r>
          </w:p>
        </w:tc>
      </w:tr>
      <w:tr w:rsidR="005379EB" w:rsidRPr="00C54C8A" w:rsidTr="007005B6">
        <w:trPr>
          <w:trHeight w:val="550"/>
        </w:trPr>
        <w:tc>
          <w:tcPr>
            <w:tcW w:w="817" w:type="dxa"/>
            <w:vMerge/>
            <w:vAlign w:val="center"/>
          </w:tcPr>
          <w:p w:rsidR="005379EB" w:rsidRPr="00B26E04" w:rsidRDefault="005379EB" w:rsidP="007005B6">
            <w:pPr>
              <w:spacing w:before="60" w:after="60"/>
              <w:jc w:val="center"/>
              <w:rPr>
                <w:b/>
                <w:i/>
                <w:sz w:val="16"/>
                <w:szCs w:val="16"/>
                <w:highlight w:val="green"/>
                <w:lang w:val="en-US"/>
              </w:rPr>
            </w:pPr>
          </w:p>
        </w:tc>
        <w:tc>
          <w:tcPr>
            <w:tcW w:w="992" w:type="dxa"/>
            <w:vMerge/>
            <w:vAlign w:val="center"/>
          </w:tcPr>
          <w:p w:rsidR="005379EB" w:rsidRPr="00B26E04" w:rsidRDefault="005379EB" w:rsidP="007005B6">
            <w:pPr>
              <w:spacing w:before="60" w:after="60"/>
              <w:jc w:val="center"/>
              <w:rPr>
                <w:sz w:val="16"/>
                <w:szCs w:val="16"/>
                <w:highlight w:val="green"/>
                <w:lang w:val="en-US"/>
              </w:rPr>
            </w:pPr>
          </w:p>
        </w:tc>
        <w:tc>
          <w:tcPr>
            <w:tcW w:w="1701" w:type="dxa"/>
            <w:vMerge/>
            <w:vAlign w:val="center"/>
          </w:tcPr>
          <w:p w:rsidR="005379EB" w:rsidRPr="00B26E04" w:rsidRDefault="005379EB" w:rsidP="007005B6">
            <w:pPr>
              <w:spacing w:before="60" w:after="60"/>
              <w:jc w:val="both"/>
              <w:rPr>
                <w:sz w:val="16"/>
                <w:szCs w:val="16"/>
                <w:highlight w:val="green"/>
                <w:lang w:val="en-US"/>
              </w:rPr>
            </w:pPr>
          </w:p>
        </w:tc>
        <w:tc>
          <w:tcPr>
            <w:tcW w:w="1418" w:type="dxa"/>
            <w:vAlign w:val="center"/>
          </w:tcPr>
          <w:p w:rsidR="005379EB" w:rsidRPr="00B26E04" w:rsidRDefault="0096787B" w:rsidP="007005B6">
            <w:pPr>
              <w:spacing w:before="60" w:after="60"/>
              <w:jc w:val="center"/>
              <w:rPr>
                <w:sz w:val="16"/>
                <w:szCs w:val="16"/>
                <w:lang w:val="en-US"/>
              </w:rPr>
            </w:pPr>
            <w:r>
              <w:rPr>
                <w:sz w:val="16"/>
                <w:szCs w:val="16"/>
                <w:lang w:val="en-US"/>
              </w:rPr>
              <w:t>rs4818</w:t>
            </w:r>
          </w:p>
        </w:tc>
        <w:tc>
          <w:tcPr>
            <w:tcW w:w="2489" w:type="dxa"/>
            <w:vAlign w:val="center"/>
          </w:tcPr>
          <w:p w:rsidR="005379EB" w:rsidRPr="00B26E04" w:rsidRDefault="0096787B" w:rsidP="007005B6">
            <w:pPr>
              <w:spacing w:before="60" w:after="60"/>
              <w:jc w:val="both"/>
              <w:rPr>
                <w:sz w:val="16"/>
                <w:szCs w:val="16"/>
                <w:lang w:val="en-US"/>
              </w:rPr>
            </w:pPr>
            <w:r>
              <w:rPr>
                <w:sz w:val="16"/>
                <w:szCs w:val="16"/>
                <w:lang w:val="en-US"/>
              </w:rPr>
              <w:t xml:space="preserve">SNP in </w:t>
            </w:r>
            <w:r>
              <w:rPr>
                <w:i/>
                <w:sz w:val="16"/>
                <w:szCs w:val="16"/>
                <w:lang w:val="en-US"/>
              </w:rPr>
              <w:t>COMT</w:t>
            </w:r>
            <w:r>
              <w:rPr>
                <w:sz w:val="16"/>
                <w:szCs w:val="16"/>
                <w:lang w:val="en-US"/>
              </w:rPr>
              <w:t>, C/G substitution</w:t>
            </w:r>
          </w:p>
        </w:tc>
        <w:tc>
          <w:tcPr>
            <w:tcW w:w="3323" w:type="dxa"/>
            <w:vAlign w:val="center"/>
          </w:tcPr>
          <w:p w:rsidR="005379EB" w:rsidRPr="00B26E04" w:rsidRDefault="005379EB" w:rsidP="007005B6">
            <w:pPr>
              <w:pStyle w:val="ListParagraph"/>
              <w:spacing w:before="60" w:after="60"/>
              <w:ind w:left="0"/>
              <w:contextualSpacing w:val="0"/>
              <w:jc w:val="both"/>
              <w:rPr>
                <w:sz w:val="16"/>
                <w:szCs w:val="16"/>
                <w:highlight w:val="green"/>
                <w:lang w:val="en-US"/>
              </w:rPr>
            </w:pPr>
          </w:p>
        </w:tc>
        <w:tc>
          <w:tcPr>
            <w:tcW w:w="2976" w:type="dxa"/>
            <w:vAlign w:val="center"/>
          </w:tcPr>
          <w:p w:rsidR="005379EB" w:rsidRPr="00B26E04" w:rsidRDefault="005379EB" w:rsidP="007005B6">
            <w:pPr>
              <w:pStyle w:val="ListParagraph"/>
              <w:spacing w:before="60" w:after="60"/>
              <w:ind w:left="33"/>
              <w:contextualSpacing w:val="0"/>
              <w:jc w:val="both"/>
              <w:rPr>
                <w:sz w:val="16"/>
                <w:szCs w:val="16"/>
                <w:highlight w:val="green"/>
                <w:lang w:val="en-US"/>
              </w:rPr>
            </w:pPr>
          </w:p>
        </w:tc>
        <w:tc>
          <w:tcPr>
            <w:tcW w:w="2540" w:type="dxa"/>
            <w:vMerge/>
            <w:vAlign w:val="center"/>
          </w:tcPr>
          <w:p w:rsidR="005379EB" w:rsidRPr="00B26E04" w:rsidRDefault="005379EB" w:rsidP="005379EB">
            <w:pPr>
              <w:pStyle w:val="ListParagraph"/>
              <w:numPr>
                <w:ilvl w:val="0"/>
                <w:numId w:val="5"/>
              </w:numPr>
              <w:spacing w:before="60" w:after="60"/>
              <w:ind w:left="96" w:hanging="96"/>
              <w:jc w:val="both"/>
              <w:rPr>
                <w:sz w:val="16"/>
                <w:szCs w:val="16"/>
                <w:highlight w:val="green"/>
                <w:lang w:val="en-US"/>
              </w:rPr>
            </w:pPr>
          </w:p>
        </w:tc>
      </w:tr>
      <w:tr w:rsidR="005379EB" w:rsidRPr="00C54C8A" w:rsidTr="007005B6">
        <w:trPr>
          <w:trHeight w:val="841"/>
        </w:trPr>
        <w:tc>
          <w:tcPr>
            <w:tcW w:w="817" w:type="dxa"/>
            <w:vMerge w:val="restart"/>
            <w:shd w:val="clear" w:color="auto" w:fill="F2F2F2" w:themeFill="background1" w:themeFillShade="F2"/>
            <w:vAlign w:val="center"/>
          </w:tcPr>
          <w:p w:rsidR="005379EB" w:rsidRPr="00B26E04" w:rsidRDefault="005379EB" w:rsidP="007005B6">
            <w:pPr>
              <w:spacing w:before="60" w:after="60"/>
              <w:jc w:val="center"/>
              <w:rPr>
                <w:b/>
                <w:i/>
                <w:sz w:val="16"/>
                <w:szCs w:val="16"/>
                <w:lang w:val="en-US"/>
              </w:rPr>
            </w:pPr>
            <w:r w:rsidRPr="00B26E04">
              <w:rPr>
                <w:b/>
                <w:i/>
                <w:sz w:val="16"/>
                <w:szCs w:val="16"/>
                <w:lang w:val="en-US"/>
              </w:rPr>
              <w:t>DRD4</w:t>
            </w:r>
          </w:p>
        </w:tc>
        <w:tc>
          <w:tcPr>
            <w:tcW w:w="992" w:type="dxa"/>
            <w:vMerge w:val="restart"/>
            <w:shd w:val="clear" w:color="auto" w:fill="F2F2F2" w:themeFill="background1" w:themeFillShade="F2"/>
            <w:vAlign w:val="center"/>
          </w:tcPr>
          <w:p w:rsidR="005379EB" w:rsidRPr="00B26E04" w:rsidRDefault="0096787B" w:rsidP="007005B6">
            <w:pPr>
              <w:spacing w:before="60" w:after="60"/>
              <w:jc w:val="center"/>
              <w:rPr>
                <w:sz w:val="16"/>
                <w:szCs w:val="16"/>
                <w:lang w:val="en-US"/>
              </w:rPr>
            </w:pPr>
            <w:r>
              <w:rPr>
                <w:sz w:val="16"/>
                <w:szCs w:val="16"/>
                <w:lang w:val="en-US"/>
              </w:rPr>
              <w:t>11p15.5</w:t>
            </w:r>
          </w:p>
        </w:tc>
        <w:tc>
          <w:tcPr>
            <w:tcW w:w="1701" w:type="dxa"/>
            <w:vMerge w:val="restart"/>
            <w:shd w:val="clear" w:color="auto" w:fill="F2F2F2" w:themeFill="background1" w:themeFillShade="F2"/>
            <w:vAlign w:val="center"/>
          </w:tcPr>
          <w:p w:rsidR="005379EB" w:rsidRPr="00B26E04" w:rsidRDefault="0096787B" w:rsidP="007005B6">
            <w:pPr>
              <w:spacing w:before="60" w:after="60"/>
              <w:jc w:val="both"/>
              <w:rPr>
                <w:sz w:val="16"/>
                <w:szCs w:val="16"/>
                <w:lang w:val="en-US"/>
              </w:rPr>
            </w:pPr>
            <w:r>
              <w:rPr>
                <w:sz w:val="16"/>
                <w:szCs w:val="16"/>
                <w:lang w:val="en-US"/>
              </w:rPr>
              <w:t>D4 subtype of the DR, a G-protein coupled receptor which inhibits adenylyl cyclase with reduction of cAMP levels</w:t>
            </w:r>
          </w:p>
        </w:tc>
        <w:tc>
          <w:tcPr>
            <w:tcW w:w="1418" w:type="dxa"/>
            <w:shd w:val="clear" w:color="auto" w:fill="F2F2F2" w:themeFill="background1" w:themeFillShade="F2"/>
            <w:vAlign w:val="center"/>
          </w:tcPr>
          <w:p w:rsidR="005379EB" w:rsidRPr="00B26E04" w:rsidRDefault="0096787B" w:rsidP="007005B6">
            <w:pPr>
              <w:spacing w:before="60" w:after="60"/>
              <w:jc w:val="center"/>
              <w:rPr>
                <w:i/>
                <w:sz w:val="16"/>
                <w:szCs w:val="16"/>
                <w:highlight w:val="green"/>
                <w:lang w:val="en-US"/>
              </w:rPr>
            </w:pPr>
            <w:r>
              <w:rPr>
                <w:i/>
                <w:sz w:val="16"/>
                <w:szCs w:val="16"/>
                <w:lang w:val="en-US"/>
              </w:rPr>
              <w:t>S-DRD4</w:t>
            </w:r>
          </w:p>
        </w:tc>
        <w:tc>
          <w:tcPr>
            <w:tcW w:w="2489" w:type="dxa"/>
            <w:shd w:val="clear" w:color="auto" w:fill="F2F2F2" w:themeFill="background1" w:themeFillShade="F2"/>
            <w:vAlign w:val="center"/>
          </w:tcPr>
          <w:p w:rsidR="005379EB" w:rsidRPr="00B26E04" w:rsidRDefault="0096787B" w:rsidP="007005B6">
            <w:pPr>
              <w:spacing w:before="60" w:after="60"/>
              <w:jc w:val="both"/>
              <w:rPr>
                <w:sz w:val="16"/>
                <w:szCs w:val="16"/>
                <w:highlight w:val="green"/>
                <w:lang w:val="en-US"/>
              </w:rPr>
            </w:pPr>
            <w:r>
              <w:rPr>
                <w:sz w:val="16"/>
                <w:szCs w:val="16"/>
                <w:lang w:val="en-US"/>
              </w:rPr>
              <w:t xml:space="preserve">short variant characterized by 2- to 5-repeats in 48 base pair long sequence of </w:t>
            </w:r>
            <w:r>
              <w:rPr>
                <w:i/>
                <w:sz w:val="16"/>
                <w:szCs w:val="16"/>
                <w:lang w:val="en-US"/>
              </w:rPr>
              <w:t>DRD4</w:t>
            </w:r>
            <w:r w:rsidR="005379EB" w:rsidRPr="00B26E04">
              <w:rPr>
                <w:sz w:val="16"/>
                <w:szCs w:val="16"/>
                <w:lang w:val="en-US"/>
              </w:rPr>
              <w:t xml:space="preserve"> (</w:t>
            </w:r>
            <w:r w:rsidR="005379EB" w:rsidRPr="00B26E04">
              <w:rPr>
                <w:i/>
                <w:sz w:val="16"/>
                <w:szCs w:val="16"/>
                <w:lang w:val="en-US"/>
              </w:rPr>
              <w:t>DRD4</w:t>
            </w:r>
            <w:r w:rsidR="005379EB" w:rsidRPr="00B26E04">
              <w:rPr>
                <w:sz w:val="16"/>
                <w:szCs w:val="16"/>
                <w:lang w:val="en-US"/>
              </w:rPr>
              <w:t xml:space="preserve"> 48 bp VNTR)</w:t>
            </w:r>
          </w:p>
        </w:tc>
        <w:tc>
          <w:tcPr>
            <w:tcW w:w="3323" w:type="dxa"/>
            <w:vMerge w:val="restart"/>
            <w:shd w:val="clear" w:color="auto" w:fill="F2F2F2" w:themeFill="background1" w:themeFillShade="F2"/>
            <w:vAlign w:val="center"/>
          </w:tcPr>
          <w:p w:rsidR="005379EB" w:rsidRPr="00B26E04" w:rsidRDefault="0096787B" w:rsidP="005379EB">
            <w:pPr>
              <w:pStyle w:val="ListParagraph"/>
              <w:numPr>
                <w:ilvl w:val="0"/>
                <w:numId w:val="8"/>
              </w:numPr>
              <w:spacing w:before="60" w:after="60"/>
              <w:ind w:left="96" w:hanging="96"/>
              <w:contextualSpacing w:val="0"/>
              <w:jc w:val="both"/>
              <w:rPr>
                <w:sz w:val="16"/>
                <w:szCs w:val="16"/>
                <w:lang w:val="en-US"/>
              </w:rPr>
            </w:pPr>
            <w:r>
              <w:rPr>
                <w:sz w:val="16"/>
                <w:szCs w:val="16"/>
                <w:lang w:val="en-US"/>
              </w:rPr>
              <w:t>variation in the third intracellular loop of DRD4, the region involved in the G-protein coupling</w:t>
            </w:r>
          </w:p>
          <w:p w:rsidR="005379EB" w:rsidRPr="00B26E04" w:rsidRDefault="0096787B" w:rsidP="006B07BE">
            <w:pPr>
              <w:pStyle w:val="ListParagraph"/>
              <w:numPr>
                <w:ilvl w:val="0"/>
                <w:numId w:val="8"/>
              </w:numPr>
              <w:spacing w:before="60" w:after="60"/>
              <w:ind w:left="96" w:hanging="96"/>
              <w:contextualSpacing w:val="0"/>
              <w:jc w:val="both"/>
              <w:rPr>
                <w:sz w:val="16"/>
                <w:szCs w:val="16"/>
                <w:lang w:val="en-US"/>
              </w:rPr>
            </w:pPr>
            <w:r>
              <w:rPr>
                <w:sz w:val="16"/>
                <w:szCs w:val="16"/>
                <w:lang w:val="en-US"/>
              </w:rPr>
              <w:t xml:space="preserve">modulation of DA mediated inhibition of cAMP formation, without </w:t>
            </w:r>
            <w:r w:rsidR="005379EB" w:rsidRPr="00B26E04">
              <w:rPr>
                <w:sz w:val="16"/>
                <w:szCs w:val="16"/>
                <w:lang w:val="en-US"/>
              </w:rPr>
              <w:t>direct correlation betw</w:t>
            </w:r>
            <w:r>
              <w:rPr>
                <w:sz w:val="16"/>
                <w:szCs w:val="16"/>
                <w:lang w:val="en-US"/>
              </w:rPr>
              <w:t>een length of polymorphism and DRD4 functional alteration</w:t>
            </w:r>
          </w:p>
        </w:tc>
        <w:tc>
          <w:tcPr>
            <w:tcW w:w="2976" w:type="dxa"/>
            <w:shd w:val="clear" w:color="auto" w:fill="F2F2F2" w:themeFill="background1" w:themeFillShade="F2"/>
            <w:vAlign w:val="center"/>
          </w:tcPr>
          <w:p w:rsidR="005379EB" w:rsidRPr="00B26E04" w:rsidRDefault="005379EB" w:rsidP="007005B6">
            <w:pPr>
              <w:pStyle w:val="ListParagraph"/>
              <w:spacing w:before="60" w:after="60"/>
              <w:ind w:left="0"/>
              <w:contextualSpacing w:val="0"/>
              <w:jc w:val="both"/>
              <w:rPr>
                <w:sz w:val="16"/>
                <w:szCs w:val="16"/>
                <w:highlight w:val="green"/>
                <w:lang w:val="en-US"/>
              </w:rPr>
            </w:pPr>
          </w:p>
        </w:tc>
        <w:tc>
          <w:tcPr>
            <w:tcW w:w="2540" w:type="dxa"/>
            <w:shd w:val="clear" w:color="auto" w:fill="F2F2F2" w:themeFill="background1" w:themeFillShade="F2"/>
            <w:vAlign w:val="center"/>
          </w:tcPr>
          <w:p w:rsidR="005379EB" w:rsidRPr="00B26E04" w:rsidRDefault="005379EB" w:rsidP="007005B6">
            <w:pPr>
              <w:pStyle w:val="ListParagraph"/>
              <w:spacing w:before="60" w:after="60"/>
              <w:ind w:left="34"/>
              <w:contextualSpacing w:val="0"/>
              <w:jc w:val="both"/>
              <w:rPr>
                <w:sz w:val="16"/>
                <w:szCs w:val="16"/>
                <w:highlight w:val="green"/>
                <w:lang w:val="en-US"/>
              </w:rPr>
            </w:pPr>
          </w:p>
        </w:tc>
      </w:tr>
      <w:tr w:rsidR="005379EB" w:rsidRPr="00C54C8A" w:rsidTr="007005B6">
        <w:trPr>
          <w:trHeight w:val="841"/>
        </w:trPr>
        <w:tc>
          <w:tcPr>
            <w:tcW w:w="817" w:type="dxa"/>
            <w:vMerge/>
            <w:tcBorders>
              <w:bottom w:val="single" w:sz="4" w:space="0" w:color="auto"/>
            </w:tcBorders>
            <w:shd w:val="clear" w:color="auto" w:fill="F2F2F2" w:themeFill="background1" w:themeFillShade="F2"/>
            <w:vAlign w:val="center"/>
          </w:tcPr>
          <w:p w:rsidR="005379EB" w:rsidRPr="00B26E04" w:rsidRDefault="005379EB" w:rsidP="007005B6">
            <w:pPr>
              <w:spacing w:before="60" w:after="60"/>
              <w:jc w:val="center"/>
              <w:rPr>
                <w:b/>
                <w:i/>
                <w:sz w:val="16"/>
                <w:szCs w:val="16"/>
                <w:highlight w:val="green"/>
                <w:lang w:val="en-US"/>
              </w:rPr>
            </w:pPr>
          </w:p>
        </w:tc>
        <w:tc>
          <w:tcPr>
            <w:tcW w:w="992" w:type="dxa"/>
            <w:vMerge/>
            <w:tcBorders>
              <w:bottom w:val="single" w:sz="4" w:space="0" w:color="auto"/>
            </w:tcBorders>
            <w:shd w:val="clear" w:color="auto" w:fill="F2F2F2" w:themeFill="background1" w:themeFillShade="F2"/>
            <w:vAlign w:val="center"/>
          </w:tcPr>
          <w:p w:rsidR="005379EB" w:rsidRPr="00B26E04" w:rsidRDefault="005379EB" w:rsidP="007005B6">
            <w:pPr>
              <w:spacing w:before="60" w:after="60"/>
              <w:jc w:val="center"/>
              <w:rPr>
                <w:sz w:val="16"/>
                <w:szCs w:val="16"/>
                <w:highlight w:val="green"/>
                <w:lang w:val="en-US"/>
              </w:rPr>
            </w:pPr>
          </w:p>
        </w:tc>
        <w:tc>
          <w:tcPr>
            <w:tcW w:w="1701" w:type="dxa"/>
            <w:vMerge/>
            <w:tcBorders>
              <w:bottom w:val="single" w:sz="4" w:space="0" w:color="auto"/>
            </w:tcBorders>
            <w:shd w:val="clear" w:color="auto" w:fill="F2F2F2" w:themeFill="background1" w:themeFillShade="F2"/>
            <w:vAlign w:val="center"/>
          </w:tcPr>
          <w:p w:rsidR="005379EB" w:rsidRPr="00B26E04" w:rsidRDefault="005379EB" w:rsidP="007005B6">
            <w:pPr>
              <w:spacing w:before="60" w:after="60"/>
              <w:jc w:val="both"/>
              <w:rPr>
                <w:sz w:val="16"/>
                <w:szCs w:val="16"/>
                <w:highlight w:val="green"/>
                <w:lang w:val="en-US"/>
              </w:rPr>
            </w:pPr>
          </w:p>
        </w:tc>
        <w:tc>
          <w:tcPr>
            <w:tcW w:w="1418" w:type="dxa"/>
            <w:tcBorders>
              <w:bottom w:val="single" w:sz="4" w:space="0" w:color="auto"/>
            </w:tcBorders>
            <w:shd w:val="clear" w:color="auto" w:fill="F2F2F2" w:themeFill="background1" w:themeFillShade="F2"/>
            <w:vAlign w:val="center"/>
          </w:tcPr>
          <w:p w:rsidR="005379EB" w:rsidRPr="00B26E04" w:rsidRDefault="0096787B" w:rsidP="007005B6">
            <w:pPr>
              <w:spacing w:before="60" w:after="60"/>
              <w:jc w:val="center"/>
              <w:rPr>
                <w:i/>
                <w:sz w:val="16"/>
                <w:szCs w:val="16"/>
                <w:highlight w:val="green"/>
                <w:lang w:val="en-US"/>
              </w:rPr>
            </w:pPr>
            <w:r>
              <w:rPr>
                <w:i/>
                <w:sz w:val="16"/>
                <w:szCs w:val="16"/>
                <w:lang w:val="en-US"/>
              </w:rPr>
              <w:t>L-DRD4</w:t>
            </w:r>
          </w:p>
        </w:tc>
        <w:tc>
          <w:tcPr>
            <w:tcW w:w="2489" w:type="dxa"/>
            <w:tcBorders>
              <w:bottom w:val="single" w:sz="4" w:space="0" w:color="auto"/>
            </w:tcBorders>
            <w:shd w:val="clear" w:color="auto" w:fill="F2F2F2" w:themeFill="background1" w:themeFillShade="F2"/>
            <w:vAlign w:val="center"/>
          </w:tcPr>
          <w:p w:rsidR="005379EB" w:rsidRPr="00B26E04" w:rsidRDefault="0096787B" w:rsidP="007005B6">
            <w:pPr>
              <w:spacing w:before="60" w:after="60"/>
              <w:jc w:val="both"/>
              <w:rPr>
                <w:sz w:val="16"/>
                <w:szCs w:val="16"/>
                <w:highlight w:val="green"/>
                <w:lang w:val="en-US"/>
              </w:rPr>
            </w:pPr>
            <w:r>
              <w:rPr>
                <w:sz w:val="16"/>
                <w:szCs w:val="16"/>
                <w:lang w:val="en-US"/>
              </w:rPr>
              <w:t xml:space="preserve">long variant characterized by 6- to 10-repeats in 48 base pair long sequence of </w:t>
            </w:r>
            <w:r>
              <w:rPr>
                <w:i/>
                <w:sz w:val="16"/>
                <w:szCs w:val="16"/>
                <w:lang w:val="en-US"/>
              </w:rPr>
              <w:t>DRD4</w:t>
            </w:r>
            <w:r w:rsidR="005379EB" w:rsidRPr="00B26E04">
              <w:rPr>
                <w:sz w:val="16"/>
                <w:szCs w:val="16"/>
                <w:lang w:val="en-US"/>
              </w:rPr>
              <w:t xml:space="preserve"> (</w:t>
            </w:r>
            <w:r w:rsidR="005379EB" w:rsidRPr="00B26E04">
              <w:rPr>
                <w:i/>
                <w:sz w:val="16"/>
                <w:szCs w:val="16"/>
                <w:lang w:val="en-US"/>
              </w:rPr>
              <w:t>DRD4</w:t>
            </w:r>
            <w:r w:rsidR="005379EB" w:rsidRPr="00B26E04">
              <w:rPr>
                <w:sz w:val="16"/>
                <w:szCs w:val="16"/>
                <w:lang w:val="en-US"/>
              </w:rPr>
              <w:t xml:space="preserve"> 48 bp VNTR)</w:t>
            </w:r>
          </w:p>
        </w:tc>
        <w:tc>
          <w:tcPr>
            <w:tcW w:w="3323" w:type="dxa"/>
            <w:vMerge/>
            <w:tcBorders>
              <w:bottom w:val="single" w:sz="4" w:space="0" w:color="auto"/>
            </w:tcBorders>
            <w:shd w:val="clear" w:color="auto" w:fill="F2F2F2" w:themeFill="background1" w:themeFillShade="F2"/>
            <w:vAlign w:val="center"/>
          </w:tcPr>
          <w:p w:rsidR="005379EB" w:rsidRPr="00B26E04" w:rsidRDefault="005379EB" w:rsidP="007005B6">
            <w:pPr>
              <w:pStyle w:val="ListParagraph"/>
              <w:spacing w:before="60" w:after="60"/>
              <w:ind w:left="0"/>
              <w:contextualSpacing w:val="0"/>
              <w:jc w:val="both"/>
              <w:rPr>
                <w:sz w:val="16"/>
                <w:szCs w:val="16"/>
                <w:highlight w:val="green"/>
                <w:lang w:val="en-US"/>
              </w:rPr>
            </w:pPr>
          </w:p>
        </w:tc>
        <w:tc>
          <w:tcPr>
            <w:tcW w:w="2976" w:type="dxa"/>
            <w:tcBorders>
              <w:bottom w:val="single" w:sz="4" w:space="0" w:color="auto"/>
            </w:tcBorders>
            <w:shd w:val="clear" w:color="auto" w:fill="F2F2F2" w:themeFill="background1" w:themeFillShade="F2"/>
            <w:vAlign w:val="center"/>
          </w:tcPr>
          <w:p w:rsidR="005379EB" w:rsidRPr="00B26E04" w:rsidRDefault="0096787B" w:rsidP="006B07BE">
            <w:pPr>
              <w:pStyle w:val="ListParagraph"/>
              <w:spacing w:before="60" w:after="60"/>
              <w:ind w:left="0"/>
              <w:contextualSpacing w:val="0"/>
              <w:jc w:val="both"/>
              <w:rPr>
                <w:sz w:val="16"/>
                <w:szCs w:val="16"/>
                <w:highlight w:val="green"/>
                <w:lang w:val="en-US"/>
              </w:rPr>
            </w:pPr>
            <w:r>
              <w:rPr>
                <w:sz w:val="16"/>
                <w:szCs w:val="16"/>
                <w:lang w:val="en-US"/>
              </w:rPr>
              <w:t xml:space="preserve">association of 7-repeats allele with </w:t>
            </w:r>
            <w:r w:rsidR="005379EB" w:rsidRPr="00B26E04">
              <w:rPr>
                <w:sz w:val="16"/>
                <w:szCs w:val="16"/>
                <w:lang w:val="en-US"/>
              </w:rPr>
              <w:t>higher reward-related ventral striatum reactivity</w:t>
            </w:r>
          </w:p>
        </w:tc>
        <w:tc>
          <w:tcPr>
            <w:tcW w:w="2540" w:type="dxa"/>
            <w:tcBorders>
              <w:bottom w:val="single" w:sz="4" w:space="0" w:color="auto"/>
            </w:tcBorders>
            <w:shd w:val="clear" w:color="auto" w:fill="F2F2F2" w:themeFill="background1" w:themeFillShade="F2"/>
            <w:vAlign w:val="center"/>
          </w:tcPr>
          <w:p w:rsidR="005379EB" w:rsidRPr="00B26E04" w:rsidRDefault="0096787B" w:rsidP="007005B6">
            <w:pPr>
              <w:pStyle w:val="ListParagraph"/>
              <w:spacing w:before="60" w:after="60"/>
              <w:ind w:left="34"/>
              <w:contextualSpacing w:val="0"/>
              <w:jc w:val="both"/>
              <w:rPr>
                <w:sz w:val="16"/>
                <w:szCs w:val="16"/>
                <w:lang w:val="en-US"/>
              </w:rPr>
            </w:pPr>
            <w:r>
              <w:rPr>
                <w:sz w:val="16"/>
                <w:szCs w:val="16"/>
                <w:lang w:val="en-US"/>
              </w:rPr>
              <w:t>association of 7-repeats allele with personality traits of novelty seeking, impulsive decision-making, high risk of harmful decisions, quick-tempered behavior</w:t>
            </w:r>
          </w:p>
        </w:tc>
      </w:tr>
    </w:tbl>
    <w:p w:rsidR="005379EB" w:rsidRPr="00B26E04" w:rsidRDefault="005379EB" w:rsidP="005379EB">
      <w:pPr>
        <w:rPr>
          <w:b/>
          <w:lang w:val="en-US"/>
        </w:rPr>
      </w:pPr>
    </w:p>
    <w:p w:rsidR="001B3F73" w:rsidRDefault="001B3F73" w:rsidP="00A16724">
      <w:pPr>
        <w:spacing w:line="480" w:lineRule="auto"/>
        <w:rPr>
          <w:lang w:val="en-US"/>
        </w:rPr>
        <w:sectPr w:rsidR="001B3F73" w:rsidSect="007005B6">
          <w:pgSz w:w="16838" w:h="11906" w:orient="landscape"/>
          <w:pgMar w:top="794" w:right="794" w:bottom="794" w:left="794" w:header="709" w:footer="709" w:gutter="0"/>
          <w:cols w:space="708"/>
          <w:docGrid w:linePitch="360"/>
        </w:sectPr>
      </w:pPr>
    </w:p>
    <w:p w:rsidR="009151E6" w:rsidRDefault="001B3F73" w:rsidP="00A16724">
      <w:pPr>
        <w:spacing w:line="480" w:lineRule="auto"/>
        <w:rPr>
          <w:b/>
          <w:lang w:val="en-US"/>
        </w:rPr>
      </w:pPr>
      <w:r>
        <w:rPr>
          <w:b/>
          <w:lang w:val="en-US"/>
        </w:rPr>
        <w:lastRenderedPageBreak/>
        <w:t>Fig. 1.</w:t>
      </w:r>
    </w:p>
    <w:p w:rsidR="001B3F73" w:rsidRDefault="001B3F73" w:rsidP="00A16724">
      <w:pPr>
        <w:spacing w:line="480" w:lineRule="auto"/>
        <w:rPr>
          <w:lang w:val="en-US"/>
        </w:rPr>
      </w:pPr>
      <w:r>
        <w:rPr>
          <w:noProof/>
        </w:rPr>
        <w:drawing>
          <wp:inline distT="0" distB="0" distL="0" distR="0">
            <wp:extent cx="6009005" cy="8474710"/>
            <wp:effectExtent l="1905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2020_08_13\Lab\Fabio NM\Review Neuroetica e Giustizia 2014\Prog Neuropsychopharmacol Biol Psychiatry (2019_12)\Resubmission R1\Fig_1 revised\Fig_1 Cupaioli-Zucca et al_PNP_2019_942_revised.tif"/>
                    <pic:cNvPicPr>
                      <a:picLocks noChangeAspect="1" noChangeArrowheads="1"/>
                    </pic:cNvPicPr>
                  </pic:nvPicPr>
                  <pic:blipFill>
                    <a:blip r:embed="rId10"/>
                    <a:srcRect/>
                    <a:stretch>
                      <a:fillRect/>
                    </a:stretch>
                  </pic:blipFill>
                  <pic:spPr bwMode="auto">
                    <a:xfrm>
                      <a:off x="0" y="0"/>
                      <a:ext cx="6009005" cy="8474710"/>
                    </a:xfrm>
                    <a:prstGeom prst="rect">
                      <a:avLst/>
                    </a:prstGeom>
                    <a:noFill/>
                    <a:ln w="9525">
                      <a:noFill/>
                      <a:miter lim="800000"/>
                      <a:headEnd/>
                      <a:tailEnd/>
                    </a:ln>
                  </pic:spPr>
                </pic:pic>
              </a:graphicData>
            </a:graphic>
          </wp:inline>
        </w:drawing>
      </w:r>
    </w:p>
    <w:p w:rsidR="001B3F73" w:rsidRDefault="001B3F73">
      <w:pPr>
        <w:spacing w:after="200"/>
        <w:rPr>
          <w:lang w:val="en-US"/>
        </w:rPr>
      </w:pPr>
      <w:r>
        <w:rPr>
          <w:lang w:val="en-US"/>
        </w:rPr>
        <w:br w:type="page"/>
      </w:r>
    </w:p>
    <w:p w:rsidR="00232092" w:rsidRDefault="00232092" w:rsidP="00232092">
      <w:pPr>
        <w:spacing w:line="480" w:lineRule="auto"/>
        <w:rPr>
          <w:b/>
          <w:lang w:val="en-US"/>
        </w:rPr>
      </w:pPr>
      <w:r>
        <w:rPr>
          <w:b/>
          <w:lang w:val="en-US"/>
        </w:rPr>
        <w:lastRenderedPageBreak/>
        <w:t>Fig. 2.</w:t>
      </w:r>
    </w:p>
    <w:p w:rsidR="001B3F73" w:rsidRDefault="00232092" w:rsidP="00A16724">
      <w:pPr>
        <w:spacing w:line="480" w:lineRule="auto"/>
        <w:rPr>
          <w:lang w:val="en-US"/>
        </w:rPr>
      </w:pPr>
      <w:r>
        <w:rPr>
          <w:noProof/>
        </w:rPr>
        <w:drawing>
          <wp:inline distT="0" distB="0" distL="0" distR="0">
            <wp:extent cx="6120384" cy="2304288"/>
            <wp:effectExtent l="19050" t="0" r="0" b="0"/>
            <wp:docPr id="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_2 Cupaioli-Zucca et al_PNP_2019_942.tif"/>
                    <pic:cNvPicPr/>
                  </pic:nvPicPr>
                  <pic:blipFill>
                    <a:blip r:embed="rId11"/>
                    <a:stretch>
                      <a:fillRect/>
                    </a:stretch>
                  </pic:blipFill>
                  <pic:spPr>
                    <a:xfrm>
                      <a:off x="0" y="0"/>
                      <a:ext cx="6120384" cy="2304288"/>
                    </a:xfrm>
                    <a:prstGeom prst="rect">
                      <a:avLst/>
                    </a:prstGeom>
                  </pic:spPr>
                </pic:pic>
              </a:graphicData>
            </a:graphic>
          </wp:inline>
        </w:drawing>
      </w:r>
    </w:p>
    <w:p w:rsidR="00232092" w:rsidRDefault="00232092">
      <w:pPr>
        <w:spacing w:after="200"/>
        <w:rPr>
          <w:lang w:val="en-US"/>
        </w:rPr>
      </w:pPr>
      <w:r>
        <w:rPr>
          <w:lang w:val="en-US"/>
        </w:rPr>
        <w:br w:type="page"/>
      </w:r>
    </w:p>
    <w:p w:rsidR="00232092" w:rsidRDefault="00232092" w:rsidP="00232092">
      <w:pPr>
        <w:spacing w:line="480" w:lineRule="auto"/>
        <w:rPr>
          <w:b/>
          <w:lang w:val="en-US"/>
        </w:rPr>
      </w:pPr>
      <w:r>
        <w:rPr>
          <w:b/>
          <w:lang w:val="en-US"/>
        </w:rPr>
        <w:lastRenderedPageBreak/>
        <w:t>Fig. 3.</w:t>
      </w:r>
    </w:p>
    <w:p w:rsidR="00FD0F9C" w:rsidRDefault="00FD0F9C" w:rsidP="00232092">
      <w:pPr>
        <w:spacing w:line="480" w:lineRule="auto"/>
        <w:rPr>
          <w:b/>
          <w:lang w:val="en-US"/>
        </w:rPr>
      </w:pPr>
    </w:p>
    <w:p w:rsidR="00232092" w:rsidRPr="00B26E04" w:rsidRDefault="00FD0F9C" w:rsidP="00A16724">
      <w:pPr>
        <w:spacing w:line="480" w:lineRule="auto"/>
        <w:rPr>
          <w:lang w:val="en-US"/>
        </w:rPr>
      </w:pPr>
      <w:r>
        <w:rPr>
          <w:noProof/>
        </w:rPr>
        <w:drawing>
          <wp:inline distT="0" distB="0" distL="0" distR="0">
            <wp:extent cx="6480048" cy="2340864"/>
            <wp:effectExtent l="19050" t="0" r="0" b="0"/>
            <wp:docPr id="4"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_3 Cupaioli-Zucca et al_PNP_2019_942.tif"/>
                    <pic:cNvPicPr/>
                  </pic:nvPicPr>
                  <pic:blipFill>
                    <a:blip r:embed="rId12"/>
                    <a:stretch>
                      <a:fillRect/>
                    </a:stretch>
                  </pic:blipFill>
                  <pic:spPr>
                    <a:xfrm>
                      <a:off x="0" y="0"/>
                      <a:ext cx="6480048" cy="2340864"/>
                    </a:xfrm>
                    <a:prstGeom prst="rect">
                      <a:avLst/>
                    </a:prstGeom>
                  </pic:spPr>
                </pic:pic>
              </a:graphicData>
            </a:graphic>
          </wp:inline>
        </w:drawing>
      </w:r>
    </w:p>
    <w:sectPr w:rsidR="00232092" w:rsidRPr="00B26E04" w:rsidSect="001B3F73">
      <w:pgSz w:w="11906" w:h="16838"/>
      <w:pgMar w:top="794" w:right="794" w:bottom="794" w:left="79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6A3A7B" w:rsidRDefault="006A3A7B" w:rsidP="00EE501B">
      <w:r>
        <w:separator/>
      </w:r>
    </w:p>
  </w:endnote>
  <w:endnote w:type="continuationSeparator" w:id="0">
    <w:p w:rsidR="006A3A7B" w:rsidRDefault="006A3A7B" w:rsidP="00EE50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Lucida Grande">
    <w:altName w:val="Arial"/>
    <w:panose1 w:val="020B0600040502020204"/>
    <w:charset w:val="00"/>
    <w:family w:val="swiss"/>
    <w:pitch w:val="variable"/>
    <w:sig w:usb0="E1000AEF" w:usb1="5000A1FF" w:usb2="00000000" w:usb3="00000000" w:csb0="000001BF" w:csb1="00000000"/>
  </w:font>
  <w:font w:name="Times">
    <w:panose1 w:val="0200050000000000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AdvMinionNormal_Rm">
    <w:altName w:val="Times New Roman"/>
    <w:panose1 w:val="020B0604020202020204"/>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ACFF"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5508542"/>
      <w:docPartObj>
        <w:docPartGallery w:val="Page Numbers (Bottom of Page)"/>
        <w:docPartUnique/>
      </w:docPartObj>
    </w:sdtPr>
    <w:sdtContent>
      <w:p w:rsidR="00C54C8A" w:rsidRDefault="00C54C8A">
        <w:pPr>
          <w:pStyle w:val="Footer"/>
          <w:jc w:val="right"/>
        </w:pPr>
        <w:r>
          <w:fldChar w:fldCharType="begin"/>
        </w:r>
        <w:r>
          <w:instrText xml:space="preserve"> PAGE   \* MERGEFORMAT </w:instrText>
        </w:r>
        <w:r>
          <w:fldChar w:fldCharType="separate"/>
        </w:r>
        <w:r>
          <w:rPr>
            <w:noProof/>
          </w:rPr>
          <w:t>104</w:t>
        </w:r>
        <w:r>
          <w:rPr>
            <w:noProof/>
          </w:rPr>
          <w:fldChar w:fldCharType="end"/>
        </w:r>
      </w:p>
    </w:sdtContent>
  </w:sdt>
  <w:p w:rsidR="00C54C8A" w:rsidRDefault="00C54C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6A3A7B" w:rsidRDefault="006A3A7B" w:rsidP="00EE501B">
      <w:r>
        <w:separator/>
      </w:r>
    </w:p>
  </w:footnote>
  <w:footnote w:type="continuationSeparator" w:id="0">
    <w:p w:rsidR="006A3A7B" w:rsidRDefault="006A3A7B" w:rsidP="00EE50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1EF2030"/>
    <w:multiLevelType w:val="hybridMultilevel"/>
    <w:tmpl w:val="3B5E0F5C"/>
    <w:lvl w:ilvl="0" w:tplc="2F88F0E4">
      <w:start w:val="1"/>
      <w:numFmt w:val="decimal"/>
      <w:lvlText w:val="%1."/>
      <w:lvlJc w:val="left"/>
      <w:pPr>
        <w:ind w:left="720" w:hanging="360"/>
      </w:pPr>
      <w:rPr>
        <w:rFonts w:hint="default"/>
      </w:rPr>
    </w:lvl>
    <w:lvl w:ilvl="1" w:tplc="CCFEB13E">
      <w:start w:val="4"/>
      <w:numFmt w:val="decimal"/>
      <w:lvlText w:val="%2.1"/>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3F54CE3"/>
    <w:multiLevelType w:val="multilevel"/>
    <w:tmpl w:val="303CCBA8"/>
    <w:lvl w:ilvl="0">
      <w:start w:val="1"/>
      <w:numFmt w:val="decimal"/>
      <w:lvlText w:val="%1."/>
      <w:lvlJc w:val="left"/>
      <w:pPr>
        <w:ind w:left="360" w:hanging="360"/>
      </w:pPr>
      <w:rPr>
        <w:color w:val="auto"/>
      </w:r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41B02CF"/>
    <w:multiLevelType w:val="hybridMultilevel"/>
    <w:tmpl w:val="F9B4EF92"/>
    <w:lvl w:ilvl="0" w:tplc="CBFE723A">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B4D0248"/>
    <w:multiLevelType w:val="hybridMultilevel"/>
    <w:tmpl w:val="5D829D5C"/>
    <w:lvl w:ilvl="0" w:tplc="CBFE723A">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38235D61"/>
    <w:multiLevelType w:val="hybridMultilevel"/>
    <w:tmpl w:val="E8E2A438"/>
    <w:lvl w:ilvl="0" w:tplc="CBFE723A">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14B0A11"/>
    <w:multiLevelType w:val="hybridMultilevel"/>
    <w:tmpl w:val="9B101EDA"/>
    <w:lvl w:ilvl="0" w:tplc="CBFE723A">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B537A1A"/>
    <w:multiLevelType w:val="hybridMultilevel"/>
    <w:tmpl w:val="310E5A22"/>
    <w:lvl w:ilvl="0" w:tplc="0410000F">
      <w:start w:val="1"/>
      <w:numFmt w:val="decimal"/>
      <w:lvlText w:val="%1."/>
      <w:lvlJc w:val="left"/>
      <w:pPr>
        <w:ind w:left="786" w:hanging="360"/>
      </w:pPr>
    </w:lvl>
    <w:lvl w:ilvl="1" w:tplc="04100019">
      <w:start w:val="1"/>
      <w:numFmt w:val="lowerLetter"/>
      <w:lvlText w:val="%2."/>
      <w:lvlJc w:val="left"/>
      <w:pPr>
        <w:ind w:left="1506" w:hanging="360"/>
      </w:pPr>
    </w:lvl>
    <w:lvl w:ilvl="2" w:tplc="0410001B" w:tentative="1">
      <w:start w:val="1"/>
      <w:numFmt w:val="lowerRoman"/>
      <w:lvlText w:val="%3."/>
      <w:lvlJc w:val="right"/>
      <w:pPr>
        <w:ind w:left="2226" w:hanging="180"/>
      </w:pPr>
    </w:lvl>
    <w:lvl w:ilvl="3" w:tplc="0410000F">
      <w:start w:val="1"/>
      <w:numFmt w:val="decimal"/>
      <w:lvlText w:val="%4."/>
      <w:lvlJc w:val="left"/>
      <w:pPr>
        <w:ind w:left="2946" w:hanging="360"/>
      </w:pPr>
    </w:lvl>
    <w:lvl w:ilvl="4" w:tplc="04100019" w:tentative="1">
      <w:start w:val="1"/>
      <w:numFmt w:val="lowerLetter"/>
      <w:lvlText w:val="%5."/>
      <w:lvlJc w:val="left"/>
      <w:pPr>
        <w:ind w:left="3666" w:hanging="360"/>
      </w:pPr>
    </w:lvl>
    <w:lvl w:ilvl="5" w:tplc="0410001B" w:tentative="1">
      <w:start w:val="1"/>
      <w:numFmt w:val="lowerRoman"/>
      <w:lvlText w:val="%6."/>
      <w:lvlJc w:val="right"/>
      <w:pPr>
        <w:ind w:left="4386" w:hanging="180"/>
      </w:pPr>
    </w:lvl>
    <w:lvl w:ilvl="6" w:tplc="0410000F">
      <w:start w:val="1"/>
      <w:numFmt w:val="decimal"/>
      <w:lvlText w:val="%7."/>
      <w:lvlJc w:val="left"/>
      <w:pPr>
        <w:ind w:left="5106" w:hanging="360"/>
      </w:pPr>
    </w:lvl>
    <w:lvl w:ilvl="7" w:tplc="04100019" w:tentative="1">
      <w:start w:val="1"/>
      <w:numFmt w:val="lowerLetter"/>
      <w:lvlText w:val="%8."/>
      <w:lvlJc w:val="left"/>
      <w:pPr>
        <w:ind w:left="5826" w:hanging="360"/>
      </w:pPr>
    </w:lvl>
    <w:lvl w:ilvl="8" w:tplc="0410001B" w:tentative="1">
      <w:start w:val="1"/>
      <w:numFmt w:val="lowerRoman"/>
      <w:lvlText w:val="%9."/>
      <w:lvlJc w:val="right"/>
      <w:pPr>
        <w:ind w:left="6546" w:hanging="180"/>
      </w:pPr>
    </w:lvl>
  </w:abstractNum>
  <w:abstractNum w:abstractNumId="7" w15:restartNumberingAfterBreak="0">
    <w:nsid w:val="5EB057BD"/>
    <w:multiLevelType w:val="hybridMultilevel"/>
    <w:tmpl w:val="A41EC1E8"/>
    <w:lvl w:ilvl="0" w:tplc="CBFE723A">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1"/>
  </w:num>
  <w:num w:numId="4">
    <w:abstractNumId w:val="3"/>
  </w:num>
  <w:num w:numId="5">
    <w:abstractNumId w:val="4"/>
  </w:num>
  <w:num w:numId="6">
    <w:abstractNumId w:val="5"/>
  </w:num>
  <w:num w:numId="7">
    <w:abstractNumId w:val="7"/>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4"/>
  <w:embedSystemFonts/>
  <w:hideSpellingErrors/>
  <w:proofState w:spelling="clean"/>
  <w:defaultTabStop w:val="708"/>
  <w:hyphenationZone w:val="283"/>
  <w:drawingGridHorizontalSpacing w:val="120"/>
  <w:displayHorizontalDrawingGridEvery w:val="0"/>
  <w:displayVerticalDrawingGridEvery w:val="0"/>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4905"/>
    <w:rsid w:val="00000ACC"/>
    <w:rsid w:val="00000FE6"/>
    <w:rsid w:val="0000310D"/>
    <w:rsid w:val="0000333B"/>
    <w:rsid w:val="00003B09"/>
    <w:rsid w:val="00003DB4"/>
    <w:rsid w:val="00004FC5"/>
    <w:rsid w:val="0000543E"/>
    <w:rsid w:val="00005D93"/>
    <w:rsid w:val="0000624F"/>
    <w:rsid w:val="00006772"/>
    <w:rsid w:val="000109A3"/>
    <w:rsid w:val="00010BEF"/>
    <w:rsid w:val="0001111E"/>
    <w:rsid w:val="0001118E"/>
    <w:rsid w:val="0001177E"/>
    <w:rsid w:val="00011CAB"/>
    <w:rsid w:val="000123AC"/>
    <w:rsid w:val="0001342C"/>
    <w:rsid w:val="00015341"/>
    <w:rsid w:val="00015AE6"/>
    <w:rsid w:val="00015EEB"/>
    <w:rsid w:val="00016027"/>
    <w:rsid w:val="000168F5"/>
    <w:rsid w:val="000211D2"/>
    <w:rsid w:val="00021DAB"/>
    <w:rsid w:val="000221AF"/>
    <w:rsid w:val="000234BB"/>
    <w:rsid w:val="00023BE5"/>
    <w:rsid w:val="00024688"/>
    <w:rsid w:val="00025108"/>
    <w:rsid w:val="00026193"/>
    <w:rsid w:val="0002710A"/>
    <w:rsid w:val="00027DFD"/>
    <w:rsid w:val="000302B1"/>
    <w:rsid w:val="00032970"/>
    <w:rsid w:val="00036404"/>
    <w:rsid w:val="00040D79"/>
    <w:rsid w:val="00043621"/>
    <w:rsid w:val="00044186"/>
    <w:rsid w:val="000446AD"/>
    <w:rsid w:val="00045303"/>
    <w:rsid w:val="000454A9"/>
    <w:rsid w:val="00046151"/>
    <w:rsid w:val="00046311"/>
    <w:rsid w:val="00046F9F"/>
    <w:rsid w:val="0005076E"/>
    <w:rsid w:val="00050A9C"/>
    <w:rsid w:val="000510EF"/>
    <w:rsid w:val="00051362"/>
    <w:rsid w:val="000519CB"/>
    <w:rsid w:val="00051CEB"/>
    <w:rsid w:val="00051F10"/>
    <w:rsid w:val="00052D98"/>
    <w:rsid w:val="00055B54"/>
    <w:rsid w:val="00056AA5"/>
    <w:rsid w:val="00061BC1"/>
    <w:rsid w:val="00063BFF"/>
    <w:rsid w:val="00063D6E"/>
    <w:rsid w:val="00063E0A"/>
    <w:rsid w:val="000646AE"/>
    <w:rsid w:val="00067FB0"/>
    <w:rsid w:val="00070070"/>
    <w:rsid w:val="00070FC9"/>
    <w:rsid w:val="000710D0"/>
    <w:rsid w:val="00072BB6"/>
    <w:rsid w:val="00073417"/>
    <w:rsid w:val="000735ED"/>
    <w:rsid w:val="0007528A"/>
    <w:rsid w:val="000768AA"/>
    <w:rsid w:val="00076913"/>
    <w:rsid w:val="000773CA"/>
    <w:rsid w:val="000803A8"/>
    <w:rsid w:val="0008209E"/>
    <w:rsid w:val="000838A7"/>
    <w:rsid w:val="00083A6F"/>
    <w:rsid w:val="00083DE0"/>
    <w:rsid w:val="000843CA"/>
    <w:rsid w:val="00084730"/>
    <w:rsid w:val="00084C05"/>
    <w:rsid w:val="00084E06"/>
    <w:rsid w:val="00085148"/>
    <w:rsid w:val="00085E50"/>
    <w:rsid w:val="0008615B"/>
    <w:rsid w:val="00086C10"/>
    <w:rsid w:val="00090016"/>
    <w:rsid w:val="000902C7"/>
    <w:rsid w:val="00090339"/>
    <w:rsid w:val="000904D7"/>
    <w:rsid w:val="00090875"/>
    <w:rsid w:val="00091A20"/>
    <w:rsid w:val="00091BD9"/>
    <w:rsid w:val="00092E67"/>
    <w:rsid w:val="00092FDA"/>
    <w:rsid w:val="00093ABC"/>
    <w:rsid w:val="00093B92"/>
    <w:rsid w:val="0009484A"/>
    <w:rsid w:val="000957F0"/>
    <w:rsid w:val="0009585B"/>
    <w:rsid w:val="00095BAE"/>
    <w:rsid w:val="000968D1"/>
    <w:rsid w:val="00097184"/>
    <w:rsid w:val="00097CE4"/>
    <w:rsid w:val="000A13D7"/>
    <w:rsid w:val="000A156D"/>
    <w:rsid w:val="000A1A12"/>
    <w:rsid w:val="000A20AD"/>
    <w:rsid w:val="000A26D8"/>
    <w:rsid w:val="000A3163"/>
    <w:rsid w:val="000A45EB"/>
    <w:rsid w:val="000A468B"/>
    <w:rsid w:val="000A50FD"/>
    <w:rsid w:val="000A55D8"/>
    <w:rsid w:val="000A6137"/>
    <w:rsid w:val="000A6C02"/>
    <w:rsid w:val="000A6C3B"/>
    <w:rsid w:val="000A7532"/>
    <w:rsid w:val="000A7C1B"/>
    <w:rsid w:val="000A7E18"/>
    <w:rsid w:val="000B06AA"/>
    <w:rsid w:val="000B0B95"/>
    <w:rsid w:val="000B0D48"/>
    <w:rsid w:val="000B1535"/>
    <w:rsid w:val="000B226A"/>
    <w:rsid w:val="000B24DA"/>
    <w:rsid w:val="000B2623"/>
    <w:rsid w:val="000B40C9"/>
    <w:rsid w:val="000B4142"/>
    <w:rsid w:val="000B41EA"/>
    <w:rsid w:val="000B546F"/>
    <w:rsid w:val="000B5A91"/>
    <w:rsid w:val="000B5D77"/>
    <w:rsid w:val="000B5DD4"/>
    <w:rsid w:val="000B7654"/>
    <w:rsid w:val="000B7983"/>
    <w:rsid w:val="000B7A29"/>
    <w:rsid w:val="000C0000"/>
    <w:rsid w:val="000C00EC"/>
    <w:rsid w:val="000C173C"/>
    <w:rsid w:val="000C18E7"/>
    <w:rsid w:val="000C21C1"/>
    <w:rsid w:val="000C424B"/>
    <w:rsid w:val="000C4786"/>
    <w:rsid w:val="000C5454"/>
    <w:rsid w:val="000C61B3"/>
    <w:rsid w:val="000C630E"/>
    <w:rsid w:val="000C6A78"/>
    <w:rsid w:val="000C7DFF"/>
    <w:rsid w:val="000D0985"/>
    <w:rsid w:val="000D1336"/>
    <w:rsid w:val="000D26B8"/>
    <w:rsid w:val="000D2748"/>
    <w:rsid w:val="000D297B"/>
    <w:rsid w:val="000D40CD"/>
    <w:rsid w:val="000D4412"/>
    <w:rsid w:val="000D6A10"/>
    <w:rsid w:val="000D6ED8"/>
    <w:rsid w:val="000D6EEA"/>
    <w:rsid w:val="000D7C26"/>
    <w:rsid w:val="000E0A1F"/>
    <w:rsid w:val="000E0DAB"/>
    <w:rsid w:val="000E2668"/>
    <w:rsid w:val="000E2E52"/>
    <w:rsid w:val="000E364D"/>
    <w:rsid w:val="000E43D0"/>
    <w:rsid w:val="000E4DB4"/>
    <w:rsid w:val="000E4F59"/>
    <w:rsid w:val="000E52A7"/>
    <w:rsid w:val="000E59D1"/>
    <w:rsid w:val="000E79FB"/>
    <w:rsid w:val="000F0CE7"/>
    <w:rsid w:val="000F1D7F"/>
    <w:rsid w:val="000F21AE"/>
    <w:rsid w:val="000F2479"/>
    <w:rsid w:val="000F350B"/>
    <w:rsid w:val="000F367D"/>
    <w:rsid w:val="000F4327"/>
    <w:rsid w:val="000F4670"/>
    <w:rsid w:val="000F6395"/>
    <w:rsid w:val="000F6D6C"/>
    <w:rsid w:val="000F72FE"/>
    <w:rsid w:val="000F7889"/>
    <w:rsid w:val="001001A9"/>
    <w:rsid w:val="0010114E"/>
    <w:rsid w:val="001015B9"/>
    <w:rsid w:val="001021A6"/>
    <w:rsid w:val="0010305E"/>
    <w:rsid w:val="0010339F"/>
    <w:rsid w:val="00103456"/>
    <w:rsid w:val="00103F00"/>
    <w:rsid w:val="00104A3B"/>
    <w:rsid w:val="00104BA1"/>
    <w:rsid w:val="00106B23"/>
    <w:rsid w:val="0010700D"/>
    <w:rsid w:val="00107179"/>
    <w:rsid w:val="00107623"/>
    <w:rsid w:val="00110B80"/>
    <w:rsid w:val="00110F3C"/>
    <w:rsid w:val="001116C1"/>
    <w:rsid w:val="001123CD"/>
    <w:rsid w:val="001124AE"/>
    <w:rsid w:val="00112AEA"/>
    <w:rsid w:val="00113B97"/>
    <w:rsid w:val="00113D8A"/>
    <w:rsid w:val="001144CD"/>
    <w:rsid w:val="00114739"/>
    <w:rsid w:val="001159DC"/>
    <w:rsid w:val="00115A7B"/>
    <w:rsid w:val="00116BC8"/>
    <w:rsid w:val="00116D7E"/>
    <w:rsid w:val="00120C20"/>
    <w:rsid w:val="00121F39"/>
    <w:rsid w:val="001220C0"/>
    <w:rsid w:val="0012236D"/>
    <w:rsid w:val="00122D28"/>
    <w:rsid w:val="00122D96"/>
    <w:rsid w:val="0012370A"/>
    <w:rsid w:val="00123F77"/>
    <w:rsid w:val="001240A2"/>
    <w:rsid w:val="0012466C"/>
    <w:rsid w:val="00124879"/>
    <w:rsid w:val="00125EAA"/>
    <w:rsid w:val="00126216"/>
    <w:rsid w:val="00126562"/>
    <w:rsid w:val="00126AEF"/>
    <w:rsid w:val="0012747F"/>
    <w:rsid w:val="001277EA"/>
    <w:rsid w:val="0013024A"/>
    <w:rsid w:val="00130B35"/>
    <w:rsid w:val="001327B3"/>
    <w:rsid w:val="00132D6C"/>
    <w:rsid w:val="00132E73"/>
    <w:rsid w:val="001344E8"/>
    <w:rsid w:val="0013566E"/>
    <w:rsid w:val="00135A29"/>
    <w:rsid w:val="00137683"/>
    <w:rsid w:val="001379D8"/>
    <w:rsid w:val="00140817"/>
    <w:rsid w:val="00141901"/>
    <w:rsid w:val="00141C95"/>
    <w:rsid w:val="00141E01"/>
    <w:rsid w:val="0014271F"/>
    <w:rsid w:val="00142896"/>
    <w:rsid w:val="00142B2B"/>
    <w:rsid w:val="00142ECE"/>
    <w:rsid w:val="00143539"/>
    <w:rsid w:val="00143C32"/>
    <w:rsid w:val="00143E8E"/>
    <w:rsid w:val="00144C27"/>
    <w:rsid w:val="00144EE4"/>
    <w:rsid w:val="001452BD"/>
    <w:rsid w:val="001458F7"/>
    <w:rsid w:val="00146D3D"/>
    <w:rsid w:val="001471E4"/>
    <w:rsid w:val="0014777A"/>
    <w:rsid w:val="00147D51"/>
    <w:rsid w:val="0015051D"/>
    <w:rsid w:val="001510D6"/>
    <w:rsid w:val="00151B54"/>
    <w:rsid w:val="001527A6"/>
    <w:rsid w:val="0015394B"/>
    <w:rsid w:val="001541E5"/>
    <w:rsid w:val="00154279"/>
    <w:rsid w:val="00154871"/>
    <w:rsid w:val="001553C6"/>
    <w:rsid w:val="001554F8"/>
    <w:rsid w:val="001556B9"/>
    <w:rsid w:val="00155983"/>
    <w:rsid w:val="00155A78"/>
    <w:rsid w:val="00155D43"/>
    <w:rsid w:val="00156C7C"/>
    <w:rsid w:val="00156D4C"/>
    <w:rsid w:val="0015703A"/>
    <w:rsid w:val="00160AF5"/>
    <w:rsid w:val="001619D0"/>
    <w:rsid w:val="00162EE5"/>
    <w:rsid w:val="00163DDA"/>
    <w:rsid w:val="00163FD8"/>
    <w:rsid w:val="00164DA0"/>
    <w:rsid w:val="00165BE6"/>
    <w:rsid w:val="00165EFB"/>
    <w:rsid w:val="00167025"/>
    <w:rsid w:val="001675E3"/>
    <w:rsid w:val="0017058C"/>
    <w:rsid w:val="0017100E"/>
    <w:rsid w:val="00171622"/>
    <w:rsid w:val="001723EE"/>
    <w:rsid w:val="001727A8"/>
    <w:rsid w:val="00172FE3"/>
    <w:rsid w:val="00173CF8"/>
    <w:rsid w:val="00174F88"/>
    <w:rsid w:val="0017681E"/>
    <w:rsid w:val="00176BF7"/>
    <w:rsid w:val="00177D88"/>
    <w:rsid w:val="00180171"/>
    <w:rsid w:val="0018310D"/>
    <w:rsid w:val="00183B30"/>
    <w:rsid w:val="0018420F"/>
    <w:rsid w:val="001850A0"/>
    <w:rsid w:val="00185877"/>
    <w:rsid w:val="00185C17"/>
    <w:rsid w:val="00185E59"/>
    <w:rsid w:val="00186D59"/>
    <w:rsid w:val="001870BA"/>
    <w:rsid w:val="001879A2"/>
    <w:rsid w:val="001905FB"/>
    <w:rsid w:val="0019172F"/>
    <w:rsid w:val="001917CA"/>
    <w:rsid w:val="00192A00"/>
    <w:rsid w:val="00192A40"/>
    <w:rsid w:val="00192CCA"/>
    <w:rsid w:val="00192DDF"/>
    <w:rsid w:val="00194F43"/>
    <w:rsid w:val="001958D0"/>
    <w:rsid w:val="0019650D"/>
    <w:rsid w:val="00197170"/>
    <w:rsid w:val="00197561"/>
    <w:rsid w:val="0019757F"/>
    <w:rsid w:val="00197675"/>
    <w:rsid w:val="0019794E"/>
    <w:rsid w:val="001A0C95"/>
    <w:rsid w:val="001A140E"/>
    <w:rsid w:val="001A1690"/>
    <w:rsid w:val="001A1FF5"/>
    <w:rsid w:val="001A222F"/>
    <w:rsid w:val="001A25A9"/>
    <w:rsid w:val="001A2663"/>
    <w:rsid w:val="001A272B"/>
    <w:rsid w:val="001A2942"/>
    <w:rsid w:val="001A2EBD"/>
    <w:rsid w:val="001A5FA4"/>
    <w:rsid w:val="001A6238"/>
    <w:rsid w:val="001A7517"/>
    <w:rsid w:val="001A761F"/>
    <w:rsid w:val="001A7DDF"/>
    <w:rsid w:val="001B2F8C"/>
    <w:rsid w:val="001B38E2"/>
    <w:rsid w:val="001B3F73"/>
    <w:rsid w:val="001B44D9"/>
    <w:rsid w:val="001B59B6"/>
    <w:rsid w:val="001B6391"/>
    <w:rsid w:val="001B68CE"/>
    <w:rsid w:val="001B69D4"/>
    <w:rsid w:val="001B7398"/>
    <w:rsid w:val="001C1CF2"/>
    <w:rsid w:val="001C2193"/>
    <w:rsid w:val="001C25D8"/>
    <w:rsid w:val="001C3892"/>
    <w:rsid w:val="001C45D8"/>
    <w:rsid w:val="001C4870"/>
    <w:rsid w:val="001C57BB"/>
    <w:rsid w:val="001C5DF4"/>
    <w:rsid w:val="001C5F84"/>
    <w:rsid w:val="001C6F24"/>
    <w:rsid w:val="001C7726"/>
    <w:rsid w:val="001C7C8D"/>
    <w:rsid w:val="001D080D"/>
    <w:rsid w:val="001D3BCE"/>
    <w:rsid w:val="001D3EC8"/>
    <w:rsid w:val="001D4D84"/>
    <w:rsid w:val="001D50B0"/>
    <w:rsid w:val="001D5201"/>
    <w:rsid w:val="001D60DD"/>
    <w:rsid w:val="001D7709"/>
    <w:rsid w:val="001E156E"/>
    <w:rsid w:val="001E1FBC"/>
    <w:rsid w:val="001E23C2"/>
    <w:rsid w:val="001E3053"/>
    <w:rsid w:val="001E3277"/>
    <w:rsid w:val="001E3DB1"/>
    <w:rsid w:val="001E4197"/>
    <w:rsid w:val="001E43BE"/>
    <w:rsid w:val="001E4C66"/>
    <w:rsid w:val="001E532C"/>
    <w:rsid w:val="001E5C5E"/>
    <w:rsid w:val="001E5E1C"/>
    <w:rsid w:val="001E6028"/>
    <w:rsid w:val="001E69F2"/>
    <w:rsid w:val="001E6F94"/>
    <w:rsid w:val="001E7533"/>
    <w:rsid w:val="001E7774"/>
    <w:rsid w:val="001E7999"/>
    <w:rsid w:val="001E7CC3"/>
    <w:rsid w:val="001F073B"/>
    <w:rsid w:val="001F14B8"/>
    <w:rsid w:val="001F1678"/>
    <w:rsid w:val="001F21BE"/>
    <w:rsid w:val="001F2B2A"/>
    <w:rsid w:val="001F2EDC"/>
    <w:rsid w:val="001F37EA"/>
    <w:rsid w:val="001F4211"/>
    <w:rsid w:val="001F5B19"/>
    <w:rsid w:val="001F6A42"/>
    <w:rsid w:val="0020017F"/>
    <w:rsid w:val="002001D1"/>
    <w:rsid w:val="002002B1"/>
    <w:rsid w:val="00200758"/>
    <w:rsid w:val="002019FA"/>
    <w:rsid w:val="002027C6"/>
    <w:rsid w:val="002032AE"/>
    <w:rsid w:val="00203663"/>
    <w:rsid w:val="002037A4"/>
    <w:rsid w:val="00203E7B"/>
    <w:rsid w:val="00203EC1"/>
    <w:rsid w:val="00204C3D"/>
    <w:rsid w:val="00205326"/>
    <w:rsid w:val="00205932"/>
    <w:rsid w:val="002064E4"/>
    <w:rsid w:val="0020689E"/>
    <w:rsid w:val="00210094"/>
    <w:rsid w:val="0021082D"/>
    <w:rsid w:val="00211383"/>
    <w:rsid w:val="002113B0"/>
    <w:rsid w:val="00212C92"/>
    <w:rsid w:val="00212F7C"/>
    <w:rsid w:val="00212FA4"/>
    <w:rsid w:val="00214566"/>
    <w:rsid w:val="00215B9F"/>
    <w:rsid w:val="00216304"/>
    <w:rsid w:val="00216405"/>
    <w:rsid w:val="00217238"/>
    <w:rsid w:val="0021755A"/>
    <w:rsid w:val="00217944"/>
    <w:rsid w:val="00220625"/>
    <w:rsid w:val="00220A9C"/>
    <w:rsid w:val="0022306E"/>
    <w:rsid w:val="00223F1F"/>
    <w:rsid w:val="002244A8"/>
    <w:rsid w:val="00224E0E"/>
    <w:rsid w:val="00224E48"/>
    <w:rsid w:val="0022509D"/>
    <w:rsid w:val="0022594B"/>
    <w:rsid w:val="00226095"/>
    <w:rsid w:val="002268BF"/>
    <w:rsid w:val="00226A34"/>
    <w:rsid w:val="00226D0D"/>
    <w:rsid w:val="0022714F"/>
    <w:rsid w:val="002313BC"/>
    <w:rsid w:val="00231B79"/>
    <w:rsid w:val="00232092"/>
    <w:rsid w:val="00232B94"/>
    <w:rsid w:val="00236504"/>
    <w:rsid w:val="002366AB"/>
    <w:rsid w:val="00236D22"/>
    <w:rsid w:val="00236E16"/>
    <w:rsid w:val="00237973"/>
    <w:rsid w:val="002415EA"/>
    <w:rsid w:val="00242C89"/>
    <w:rsid w:val="00243D1B"/>
    <w:rsid w:val="00244298"/>
    <w:rsid w:val="00244846"/>
    <w:rsid w:val="002450DA"/>
    <w:rsid w:val="00245BF4"/>
    <w:rsid w:val="00245D39"/>
    <w:rsid w:val="002463FF"/>
    <w:rsid w:val="00246A47"/>
    <w:rsid w:val="00247307"/>
    <w:rsid w:val="00247AE3"/>
    <w:rsid w:val="00250A4D"/>
    <w:rsid w:val="00250AEB"/>
    <w:rsid w:val="00251AAD"/>
    <w:rsid w:val="00252B10"/>
    <w:rsid w:val="00252D8C"/>
    <w:rsid w:val="00253962"/>
    <w:rsid w:val="00253D6A"/>
    <w:rsid w:val="002542D3"/>
    <w:rsid w:val="00255447"/>
    <w:rsid w:val="00256330"/>
    <w:rsid w:val="00257B0B"/>
    <w:rsid w:val="00260127"/>
    <w:rsid w:val="002602DB"/>
    <w:rsid w:val="00261325"/>
    <w:rsid w:val="002626A2"/>
    <w:rsid w:val="00262A4B"/>
    <w:rsid w:val="0026384B"/>
    <w:rsid w:val="00263C23"/>
    <w:rsid w:val="00264B37"/>
    <w:rsid w:val="00264E74"/>
    <w:rsid w:val="00265171"/>
    <w:rsid w:val="002653EF"/>
    <w:rsid w:val="002658EE"/>
    <w:rsid w:val="00265B5F"/>
    <w:rsid w:val="00266D62"/>
    <w:rsid w:val="00266FCA"/>
    <w:rsid w:val="002673D9"/>
    <w:rsid w:val="0026779B"/>
    <w:rsid w:val="00267ACE"/>
    <w:rsid w:val="00267C75"/>
    <w:rsid w:val="00267EEB"/>
    <w:rsid w:val="0027057A"/>
    <w:rsid w:val="002729CF"/>
    <w:rsid w:val="0027323F"/>
    <w:rsid w:val="00273613"/>
    <w:rsid w:val="00273A96"/>
    <w:rsid w:val="00273F5E"/>
    <w:rsid w:val="00275791"/>
    <w:rsid w:val="00275821"/>
    <w:rsid w:val="00275833"/>
    <w:rsid w:val="0027654C"/>
    <w:rsid w:val="00276CBF"/>
    <w:rsid w:val="00277346"/>
    <w:rsid w:val="00277743"/>
    <w:rsid w:val="00280527"/>
    <w:rsid w:val="002807F4"/>
    <w:rsid w:val="002816DE"/>
    <w:rsid w:val="0028179C"/>
    <w:rsid w:val="00281FE2"/>
    <w:rsid w:val="002826E4"/>
    <w:rsid w:val="00282A60"/>
    <w:rsid w:val="002832F4"/>
    <w:rsid w:val="00283466"/>
    <w:rsid w:val="002834BB"/>
    <w:rsid w:val="00283CD6"/>
    <w:rsid w:val="00283CEA"/>
    <w:rsid w:val="002840BE"/>
    <w:rsid w:val="0028416B"/>
    <w:rsid w:val="002848F8"/>
    <w:rsid w:val="0028592D"/>
    <w:rsid w:val="00286A72"/>
    <w:rsid w:val="0028723D"/>
    <w:rsid w:val="00287490"/>
    <w:rsid w:val="00287635"/>
    <w:rsid w:val="00287A20"/>
    <w:rsid w:val="00290222"/>
    <w:rsid w:val="00290B93"/>
    <w:rsid w:val="00290EC2"/>
    <w:rsid w:val="00291282"/>
    <w:rsid w:val="0029208C"/>
    <w:rsid w:val="00292998"/>
    <w:rsid w:val="00292F2E"/>
    <w:rsid w:val="00293724"/>
    <w:rsid w:val="002937E2"/>
    <w:rsid w:val="0029608E"/>
    <w:rsid w:val="002961A0"/>
    <w:rsid w:val="00296400"/>
    <w:rsid w:val="0029655D"/>
    <w:rsid w:val="002973B4"/>
    <w:rsid w:val="00297E99"/>
    <w:rsid w:val="002A20CC"/>
    <w:rsid w:val="002A2389"/>
    <w:rsid w:val="002A2668"/>
    <w:rsid w:val="002A26C2"/>
    <w:rsid w:val="002A29CE"/>
    <w:rsid w:val="002A36D1"/>
    <w:rsid w:val="002A4897"/>
    <w:rsid w:val="002A4A46"/>
    <w:rsid w:val="002A52B6"/>
    <w:rsid w:val="002A63CD"/>
    <w:rsid w:val="002A6C5E"/>
    <w:rsid w:val="002A795A"/>
    <w:rsid w:val="002B233E"/>
    <w:rsid w:val="002B289E"/>
    <w:rsid w:val="002B3572"/>
    <w:rsid w:val="002B36E0"/>
    <w:rsid w:val="002B3765"/>
    <w:rsid w:val="002B5197"/>
    <w:rsid w:val="002B6488"/>
    <w:rsid w:val="002B6F4B"/>
    <w:rsid w:val="002B6F4D"/>
    <w:rsid w:val="002B7EAE"/>
    <w:rsid w:val="002C0171"/>
    <w:rsid w:val="002C02FE"/>
    <w:rsid w:val="002C0BC1"/>
    <w:rsid w:val="002C184D"/>
    <w:rsid w:val="002C1A89"/>
    <w:rsid w:val="002C235C"/>
    <w:rsid w:val="002C242B"/>
    <w:rsid w:val="002C28BF"/>
    <w:rsid w:val="002C2AB8"/>
    <w:rsid w:val="002C2C9D"/>
    <w:rsid w:val="002C3349"/>
    <w:rsid w:val="002C3D37"/>
    <w:rsid w:val="002C430C"/>
    <w:rsid w:val="002C4875"/>
    <w:rsid w:val="002C63BB"/>
    <w:rsid w:val="002C6B5D"/>
    <w:rsid w:val="002C6FDA"/>
    <w:rsid w:val="002C7D73"/>
    <w:rsid w:val="002D0132"/>
    <w:rsid w:val="002D095B"/>
    <w:rsid w:val="002D0A9F"/>
    <w:rsid w:val="002D459E"/>
    <w:rsid w:val="002D46A0"/>
    <w:rsid w:val="002D46EE"/>
    <w:rsid w:val="002D54FB"/>
    <w:rsid w:val="002D5E1F"/>
    <w:rsid w:val="002D6004"/>
    <w:rsid w:val="002D77D5"/>
    <w:rsid w:val="002D7812"/>
    <w:rsid w:val="002E02AC"/>
    <w:rsid w:val="002E0A7F"/>
    <w:rsid w:val="002E16A8"/>
    <w:rsid w:val="002E1952"/>
    <w:rsid w:val="002E23D8"/>
    <w:rsid w:val="002E2590"/>
    <w:rsid w:val="002E2EDF"/>
    <w:rsid w:val="002E2FC1"/>
    <w:rsid w:val="002E55C5"/>
    <w:rsid w:val="002E5A6D"/>
    <w:rsid w:val="002E5EBE"/>
    <w:rsid w:val="002E70FE"/>
    <w:rsid w:val="002F052A"/>
    <w:rsid w:val="002F11A1"/>
    <w:rsid w:val="002F140C"/>
    <w:rsid w:val="002F3174"/>
    <w:rsid w:val="002F318E"/>
    <w:rsid w:val="002F355C"/>
    <w:rsid w:val="002F4825"/>
    <w:rsid w:val="002F50B2"/>
    <w:rsid w:val="002F5A90"/>
    <w:rsid w:val="002F63CC"/>
    <w:rsid w:val="002F69FE"/>
    <w:rsid w:val="002F6B0E"/>
    <w:rsid w:val="002F7C52"/>
    <w:rsid w:val="002F7CBD"/>
    <w:rsid w:val="002F7ECA"/>
    <w:rsid w:val="00301D81"/>
    <w:rsid w:val="00302753"/>
    <w:rsid w:val="0030280A"/>
    <w:rsid w:val="00303BF5"/>
    <w:rsid w:val="00303E6C"/>
    <w:rsid w:val="00304457"/>
    <w:rsid w:val="0030504D"/>
    <w:rsid w:val="003052F7"/>
    <w:rsid w:val="0030580F"/>
    <w:rsid w:val="00305AA9"/>
    <w:rsid w:val="00305B15"/>
    <w:rsid w:val="00306613"/>
    <w:rsid w:val="00306850"/>
    <w:rsid w:val="00307FD7"/>
    <w:rsid w:val="00312034"/>
    <w:rsid w:val="00312780"/>
    <w:rsid w:val="00314000"/>
    <w:rsid w:val="00314633"/>
    <w:rsid w:val="003147E8"/>
    <w:rsid w:val="00314993"/>
    <w:rsid w:val="00314D28"/>
    <w:rsid w:val="00315191"/>
    <w:rsid w:val="00315207"/>
    <w:rsid w:val="0031559A"/>
    <w:rsid w:val="00315765"/>
    <w:rsid w:val="00315960"/>
    <w:rsid w:val="00315ECD"/>
    <w:rsid w:val="00316EEA"/>
    <w:rsid w:val="0031712F"/>
    <w:rsid w:val="003172F4"/>
    <w:rsid w:val="0032066E"/>
    <w:rsid w:val="00320B05"/>
    <w:rsid w:val="00320F6E"/>
    <w:rsid w:val="00321271"/>
    <w:rsid w:val="0032146A"/>
    <w:rsid w:val="00321A7E"/>
    <w:rsid w:val="003223F5"/>
    <w:rsid w:val="00322F39"/>
    <w:rsid w:val="00324549"/>
    <w:rsid w:val="0032458A"/>
    <w:rsid w:val="003248F5"/>
    <w:rsid w:val="00325290"/>
    <w:rsid w:val="00325480"/>
    <w:rsid w:val="00325E2F"/>
    <w:rsid w:val="00326802"/>
    <w:rsid w:val="00327432"/>
    <w:rsid w:val="0033036E"/>
    <w:rsid w:val="003312E0"/>
    <w:rsid w:val="00332231"/>
    <w:rsid w:val="0033223C"/>
    <w:rsid w:val="003330C6"/>
    <w:rsid w:val="0033326E"/>
    <w:rsid w:val="003340D6"/>
    <w:rsid w:val="00334264"/>
    <w:rsid w:val="0033495D"/>
    <w:rsid w:val="00334DAE"/>
    <w:rsid w:val="00334EB7"/>
    <w:rsid w:val="003360EE"/>
    <w:rsid w:val="003364F8"/>
    <w:rsid w:val="003365D3"/>
    <w:rsid w:val="0033680F"/>
    <w:rsid w:val="00337E0B"/>
    <w:rsid w:val="003401D3"/>
    <w:rsid w:val="00340370"/>
    <w:rsid w:val="003403B6"/>
    <w:rsid w:val="003403C8"/>
    <w:rsid w:val="0034062C"/>
    <w:rsid w:val="00341567"/>
    <w:rsid w:val="00342D4C"/>
    <w:rsid w:val="003450A2"/>
    <w:rsid w:val="00345505"/>
    <w:rsid w:val="00346D33"/>
    <w:rsid w:val="00347E05"/>
    <w:rsid w:val="00350025"/>
    <w:rsid w:val="003506B2"/>
    <w:rsid w:val="00351AB4"/>
    <w:rsid w:val="00352321"/>
    <w:rsid w:val="003528B1"/>
    <w:rsid w:val="00352A2A"/>
    <w:rsid w:val="00352CBE"/>
    <w:rsid w:val="0035534D"/>
    <w:rsid w:val="00355C6E"/>
    <w:rsid w:val="00356777"/>
    <w:rsid w:val="00357067"/>
    <w:rsid w:val="00357096"/>
    <w:rsid w:val="00357B2C"/>
    <w:rsid w:val="00357CD0"/>
    <w:rsid w:val="003642F4"/>
    <w:rsid w:val="00364E76"/>
    <w:rsid w:val="003658E1"/>
    <w:rsid w:val="00365F99"/>
    <w:rsid w:val="003662E2"/>
    <w:rsid w:val="00366539"/>
    <w:rsid w:val="003665C5"/>
    <w:rsid w:val="00366CE4"/>
    <w:rsid w:val="0036731B"/>
    <w:rsid w:val="00367355"/>
    <w:rsid w:val="003675D0"/>
    <w:rsid w:val="00370508"/>
    <w:rsid w:val="003707CE"/>
    <w:rsid w:val="00371116"/>
    <w:rsid w:val="0037192A"/>
    <w:rsid w:val="00371A27"/>
    <w:rsid w:val="00372E87"/>
    <w:rsid w:val="00372F6A"/>
    <w:rsid w:val="00373766"/>
    <w:rsid w:val="00374B40"/>
    <w:rsid w:val="003761E6"/>
    <w:rsid w:val="0038026E"/>
    <w:rsid w:val="003808A6"/>
    <w:rsid w:val="0038387B"/>
    <w:rsid w:val="00384725"/>
    <w:rsid w:val="00384B81"/>
    <w:rsid w:val="00384DFD"/>
    <w:rsid w:val="00385900"/>
    <w:rsid w:val="00385923"/>
    <w:rsid w:val="00386206"/>
    <w:rsid w:val="003864CF"/>
    <w:rsid w:val="00386971"/>
    <w:rsid w:val="003876A3"/>
    <w:rsid w:val="0039012F"/>
    <w:rsid w:val="00391095"/>
    <w:rsid w:val="003916D5"/>
    <w:rsid w:val="0039268F"/>
    <w:rsid w:val="003944ED"/>
    <w:rsid w:val="00394A35"/>
    <w:rsid w:val="00396D88"/>
    <w:rsid w:val="003973B0"/>
    <w:rsid w:val="00397DF7"/>
    <w:rsid w:val="003A08CD"/>
    <w:rsid w:val="003A0B34"/>
    <w:rsid w:val="003A155F"/>
    <w:rsid w:val="003A17EF"/>
    <w:rsid w:val="003A2890"/>
    <w:rsid w:val="003A2C1E"/>
    <w:rsid w:val="003A4039"/>
    <w:rsid w:val="003A53CD"/>
    <w:rsid w:val="003A580F"/>
    <w:rsid w:val="003A5A95"/>
    <w:rsid w:val="003A5F1B"/>
    <w:rsid w:val="003A65ED"/>
    <w:rsid w:val="003A6F19"/>
    <w:rsid w:val="003B064E"/>
    <w:rsid w:val="003B0AB3"/>
    <w:rsid w:val="003B1241"/>
    <w:rsid w:val="003B23F6"/>
    <w:rsid w:val="003B2FFD"/>
    <w:rsid w:val="003B3805"/>
    <w:rsid w:val="003B3E29"/>
    <w:rsid w:val="003B599E"/>
    <w:rsid w:val="003B5B7F"/>
    <w:rsid w:val="003B5BCF"/>
    <w:rsid w:val="003B5F0B"/>
    <w:rsid w:val="003B7D69"/>
    <w:rsid w:val="003C00C6"/>
    <w:rsid w:val="003C0394"/>
    <w:rsid w:val="003C055D"/>
    <w:rsid w:val="003C06E4"/>
    <w:rsid w:val="003C06EF"/>
    <w:rsid w:val="003C079C"/>
    <w:rsid w:val="003C1339"/>
    <w:rsid w:val="003C17D6"/>
    <w:rsid w:val="003C1B6E"/>
    <w:rsid w:val="003C1CDD"/>
    <w:rsid w:val="003C1EF7"/>
    <w:rsid w:val="003C23E1"/>
    <w:rsid w:val="003C32A2"/>
    <w:rsid w:val="003C374E"/>
    <w:rsid w:val="003C3A0E"/>
    <w:rsid w:val="003C3C7E"/>
    <w:rsid w:val="003C41F0"/>
    <w:rsid w:val="003C574A"/>
    <w:rsid w:val="003C5A56"/>
    <w:rsid w:val="003C72DC"/>
    <w:rsid w:val="003D009B"/>
    <w:rsid w:val="003D02D5"/>
    <w:rsid w:val="003D06EC"/>
    <w:rsid w:val="003D0CE3"/>
    <w:rsid w:val="003D11F4"/>
    <w:rsid w:val="003D1F0C"/>
    <w:rsid w:val="003D1F6A"/>
    <w:rsid w:val="003D2CB3"/>
    <w:rsid w:val="003D3EF6"/>
    <w:rsid w:val="003D507C"/>
    <w:rsid w:val="003D6C7C"/>
    <w:rsid w:val="003D736C"/>
    <w:rsid w:val="003E08C2"/>
    <w:rsid w:val="003E12ED"/>
    <w:rsid w:val="003E1DEA"/>
    <w:rsid w:val="003E2402"/>
    <w:rsid w:val="003E2D43"/>
    <w:rsid w:val="003E2D6F"/>
    <w:rsid w:val="003E2D89"/>
    <w:rsid w:val="003E2F8D"/>
    <w:rsid w:val="003E3BE0"/>
    <w:rsid w:val="003E4C7E"/>
    <w:rsid w:val="003E5743"/>
    <w:rsid w:val="003E589C"/>
    <w:rsid w:val="003E59C8"/>
    <w:rsid w:val="003E6937"/>
    <w:rsid w:val="003E707B"/>
    <w:rsid w:val="003E7445"/>
    <w:rsid w:val="003E78C8"/>
    <w:rsid w:val="003E7A59"/>
    <w:rsid w:val="003E7AA3"/>
    <w:rsid w:val="003F1671"/>
    <w:rsid w:val="003F18D9"/>
    <w:rsid w:val="003F2821"/>
    <w:rsid w:val="003F2C99"/>
    <w:rsid w:val="003F2CBD"/>
    <w:rsid w:val="003F2CE1"/>
    <w:rsid w:val="003F3C85"/>
    <w:rsid w:val="003F44A6"/>
    <w:rsid w:val="003F4F36"/>
    <w:rsid w:val="003F50D2"/>
    <w:rsid w:val="003F550B"/>
    <w:rsid w:val="003F5A35"/>
    <w:rsid w:val="003F5AFB"/>
    <w:rsid w:val="003F5DC3"/>
    <w:rsid w:val="003F6E4E"/>
    <w:rsid w:val="003F7132"/>
    <w:rsid w:val="003F7E94"/>
    <w:rsid w:val="0040026C"/>
    <w:rsid w:val="0040038B"/>
    <w:rsid w:val="0040084F"/>
    <w:rsid w:val="004021AD"/>
    <w:rsid w:val="00402784"/>
    <w:rsid w:val="00403765"/>
    <w:rsid w:val="00404180"/>
    <w:rsid w:val="00405561"/>
    <w:rsid w:val="00405E5D"/>
    <w:rsid w:val="0040667C"/>
    <w:rsid w:val="00407849"/>
    <w:rsid w:val="0040797B"/>
    <w:rsid w:val="00407BBB"/>
    <w:rsid w:val="004115B7"/>
    <w:rsid w:val="004116BD"/>
    <w:rsid w:val="004121CD"/>
    <w:rsid w:val="00412685"/>
    <w:rsid w:val="00413114"/>
    <w:rsid w:val="004141BC"/>
    <w:rsid w:val="004142C9"/>
    <w:rsid w:val="0041476B"/>
    <w:rsid w:val="00414F50"/>
    <w:rsid w:val="004161CA"/>
    <w:rsid w:val="004162D4"/>
    <w:rsid w:val="00416446"/>
    <w:rsid w:val="00416F63"/>
    <w:rsid w:val="00416F82"/>
    <w:rsid w:val="00417260"/>
    <w:rsid w:val="00417EF5"/>
    <w:rsid w:val="00420A4E"/>
    <w:rsid w:val="00420B76"/>
    <w:rsid w:val="004215E5"/>
    <w:rsid w:val="00421BC9"/>
    <w:rsid w:val="0042234D"/>
    <w:rsid w:val="004255BC"/>
    <w:rsid w:val="00425648"/>
    <w:rsid w:val="00425F97"/>
    <w:rsid w:val="00426829"/>
    <w:rsid w:val="00427734"/>
    <w:rsid w:val="00430874"/>
    <w:rsid w:val="00431826"/>
    <w:rsid w:val="00432545"/>
    <w:rsid w:val="004327A7"/>
    <w:rsid w:val="00433329"/>
    <w:rsid w:val="004343C5"/>
    <w:rsid w:val="00434F27"/>
    <w:rsid w:val="004363CD"/>
    <w:rsid w:val="004369FC"/>
    <w:rsid w:val="00436CA6"/>
    <w:rsid w:val="00437B0B"/>
    <w:rsid w:val="00437E20"/>
    <w:rsid w:val="0044019B"/>
    <w:rsid w:val="004404B4"/>
    <w:rsid w:val="004404DA"/>
    <w:rsid w:val="0044062A"/>
    <w:rsid w:val="00440BC0"/>
    <w:rsid w:val="00440D13"/>
    <w:rsid w:val="004416D7"/>
    <w:rsid w:val="00441CFF"/>
    <w:rsid w:val="004428D9"/>
    <w:rsid w:val="00442B2D"/>
    <w:rsid w:val="00442F3F"/>
    <w:rsid w:val="0044440D"/>
    <w:rsid w:val="00444900"/>
    <w:rsid w:val="00444A0B"/>
    <w:rsid w:val="00444FCF"/>
    <w:rsid w:val="004461D5"/>
    <w:rsid w:val="00446588"/>
    <w:rsid w:val="0044697D"/>
    <w:rsid w:val="00447B3B"/>
    <w:rsid w:val="00450071"/>
    <w:rsid w:val="004503E7"/>
    <w:rsid w:val="00450CB7"/>
    <w:rsid w:val="00453E5D"/>
    <w:rsid w:val="00454E25"/>
    <w:rsid w:val="00455BB9"/>
    <w:rsid w:val="00456441"/>
    <w:rsid w:val="004571EE"/>
    <w:rsid w:val="00457319"/>
    <w:rsid w:val="00460A11"/>
    <w:rsid w:val="00461127"/>
    <w:rsid w:val="00461319"/>
    <w:rsid w:val="00461E1A"/>
    <w:rsid w:val="004624CF"/>
    <w:rsid w:val="00462850"/>
    <w:rsid w:val="00462F14"/>
    <w:rsid w:val="0046388D"/>
    <w:rsid w:val="00463E89"/>
    <w:rsid w:val="00465035"/>
    <w:rsid w:val="004659A4"/>
    <w:rsid w:val="0046688F"/>
    <w:rsid w:val="00466D06"/>
    <w:rsid w:val="00466D64"/>
    <w:rsid w:val="0046777C"/>
    <w:rsid w:val="00467B9D"/>
    <w:rsid w:val="00467E6E"/>
    <w:rsid w:val="00471A59"/>
    <w:rsid w:val="00471E28"/>
    <w:rsid w:val="00471F8A"/>
    <w:rsid w:val="00472697"/>
    <w:rsid w:val="00473DAF"/>
    <w:rsid w:val="00473E22"/>
    <w:rsid w:val="004742F2"/>
    <w:rsid w:val="00474B4A"/>
    <w:rsid w:val="0047560E"/>
    <w:rsid w:val="00475CEC"/>
    <w:rsid w:val="00475DB3"/>
    <w:rsid w:val="004765A1"/>
    <w:rsid w:val="00476751"/>
    <w:rsid w:val="0048018A"/>
    <w:rsid w:val="00480310"/>
    <w:rsid w:val="004805B2"/>
    <w:rsid w:val="00480977"/>
    <w:rsid w:val="004816A2"/>
    <w:rsid w:val="00481BE0"/>
    <w:rsid w:val="00482260"/>
    <w:rsid w:val="00484ED1"/>
    <w:rsid w:val="00486F75"/>
    <w:rsid w:val="00487EBE"/>
    <w:rsid w:val="00491584"/>
    <w:rsid w:val="00491874"/>
    <w:rsid w:val="00492875"/>
    <w:rsid w:val="00493BCA"/>
    <w:rsid w:val="004944D1"/>
    <w:rsid w:val="004949FB"/>
    <w:rsid w:val="0049507F"/>
    <w:rsid w:val="00495906"/>
    <w:rsid w:val="004965D4"/>
    <w:rsid w:val="00496B71"/>
    <w:rsid w:val="00496EAF"/>
    <w:rsid w:val="00497C2F"/>
    <w:rsid w:val="004A0DD6"/>
    <w:rsid w:val="004A11A7"/>
    <w:rsid w:val="004A16EE"/>
    <w:rsid w:val="004A1FA3"/>
    <w:rsid w:val="004A2371"/>
    <w:rsid w:val="004A23B8"/>
    <w:rsid w:val="004A2574"/>
    <w:rsid w:val="004A2DC3"/>
    <w:rsid w:val="004A300C"/>
    <w:rsid w:val="004A3751"/>
    <w:rsid w:val="004A38B4"/>
    <w:rsid w:val="004A4A41"/>
    <w:rsid w:val="004A5D1A"/>
    <w:rsid w:val="004A5FA6"/>
    <w:rsid w:val="004A68D0"/>
    <w:rsid w:val="004B06ED"/>
    <w:rsid w:val="004B0A37"/>
    <w:rsid w:val="004B1042"/>
    <w:rsid w:val="004B142A"/>
    <w:rsid w:val="004B4071"/>
    <w:rsid w:val="004B413D"/>
    <w:rsid w:val="004B5631"/>
    <w:rsid w:val="004B5EBD"/>
    <w:rsid w:val="004B696A"/>
    <w:rsid w:val="004B6983"/>
    <w:rsid w:val="004B6A34"/>
    <w:rsid w:val="004B7177"/>
    <w:rsid w:val="004B7194"/>
    <w:rsid w:val="004C0120"/>
    <w:rsid w:val="004C07C6"/>
    <w:rsid w:val="004C0C58"/>
    <w:rsid w:val="004C0D58"/>
    <w:rsid w:val="004C28BB"/>
    <w:rsid w:val="004C2D9B"/>
    <w:rsid w:val="004C4DD6"/>
    <w:rsid w:val="004C554B"/>
    <w:rsid w:val="004C5551"/>
    <w:rsid w:val="004C5690"/>
    <w:rsid w:val="004C6686"/>
    <w:rsid w:val="004C688C"/>
    <w:rsid w:val="004C6ABD"/>
    <w:rsid w:val="004C7281"/>
    <w:rsid w:val="004C72BE"/>
    <w:rsid w:val="004C766C"/>
    <w:rsid w:val="004C79A3"/>
    <w:rsid w:val="004C7B12"/>
    <w:rsid w:val="004C7F7E"/>
    <w:rsid w:val="004D09D6"/>
    <w:rsid w:val="004D15DD"/>
    <w:rsid w:val="004D15F6"/>
    <w:rsid w:val="004D1E0F"/>
    <w:rsid w:val="004D2EE3"/>
    <w:rsid w:val="004D30D9"/>
    <w:rsid w:val="004D4326"/>
    <w:rsid w:val="004D43B0"/>
    <w:rsid w:val="004D4EDE"/>
    <w:rsid w:val="004D575B"/>
    <w:rsid w:val="004D5E98"/>
    <w:rsid w:val="004D6177"/>
    <w:rsid w:val="004D6711"/>
    <w:rsid w:val="004D67F3"/>
    <w:rsid w:val="004D6819"/>
    <w:rsid w:val="004D694F"/>
    <w:rsid w:val="004D7430"/>
    <w:rsid w:val="004D7FEC"/>
    <w:rsid w:val="004E1B39"/>
    <w:rsid w:val="004E2008"/>
    <w:rsid w:val="004E21C6"/>
    <w:rsid w:val="004E276F"/>
    <w:rsid w:val="004E38C4"/>
    <w:rsid w:val="004E3CCE"/>
    <w:rsid w:val="004E4B1D"/>
    <w:rsid w:val="004E4EEB"/>
    <w:rsid w:val="004E558C"/>
    <w:rsid w:val="004E5B29"/>
    <w:rsid w:val="004E60CF"/>
    <w:rsid w:val="004E6705"/>
    <w:rsid w:val="004F04B5"/>
    <w:rsid w:val="004F093C"/>
    <w:rsid w:val="004F0A26"/>
    <w:rsid w:val="004F0D71"/>
    <w:rsid w:val="004F1409"/>
    <w:rsid w:val="004F1711"/>
    <w:rsid w:val="004F1FBE"/>
    <w:rsid w:val="004F2CB4"/>
    <w:rsid w:val="004F420C"/>
    <w:rsid w:val="004F4260"/>
    <w:rsid w:val="004F4730"/>
    <w:rsid w:val="004F4858"/>
    <w:rsid w:val="004F5BA3"/>
    <w:rsid w:val="004F5CC9"/>
    <w:rsid w:val="004F5D29"/>
    <w:rsid w:val="004F6ABB"/>
    <w:rsid w:val="004F7630"/>
    <w:rsid w:val="004F7B5A"/>
    <w:rsid w:val="004F7BB2"/>
    <w:rsid w:val="00500F45"/>
    <w:rsid w:val="005017B8"/>
    <w:rsid w:val="00502C47"/>
    <w:rsid w:val="00502C4A"/>
    <w:rsid w:val="00502F15"/>
    <w:rsid w:val="00503074"/>
    <w:rsid w:val="00506720"/>
    <w:rsid w:val="005079E6"/>
    <w:rsid w:val="005102CE"/>
    <w:rsid w:val="005113C8"/>
    <w:rsid w:val="0051166A"/>
    <w:rsid w:val="005117DE"/>
    <w:rsid w:val="00512234"/>
    <w:rsid w:val="00514454"/>
    <w:rsid w:val="00514A76"/>
    <w:rsid w:val="00514EB0"/>
    <w:rsid w:val="00515B0C"/>
    <w:rsid w:val="005163F2"/>
    <w:rsid w:val="00516C3C"/>
    <w:rsid w:val="005177F3"/>
    <w:rsid w:val="00517DB9"/>
    <w:rsid w:val="00520103"/>
    <w:rsid w:val="00520867"/>
    <w:rsid w:val="00520F27"/>
    <w:rsid w:val="00521029"/>
    <w:rsid w:val="00521C74"/>
    <w:rsid w:val="005229DE"/>
    <w:rsid w:val="005243E3"/>
    <w:rsid w:val="00524CA0"/>
    <w:rsid w:val="00525D8B"/>
    <w:rsid w:val="00526F3F"/>
    <w:rsid w:val="00526F7E"/>
    <w:rsid w:val="00527343"/>
    <w:rsid w:val="00527F36"/>
    <w:rsid w:val="0053024D"/>
    <w:rsid w:val="00530A92"/>
    <w:rsid w:val="005321B7"/>
    <w:rsid w:val="005321F0"/>
    <w:rsid w:val="005347CC"/>
    <w:rsid w:val="00534ADD"/>
    <w:rsid w:val="00535C6E"/>
    <w:rsid w:val="005361D4"/>
    <w:rsid w:val="005379EB"/>
    <w:rsid w:val="00537C12"/>
    <w:rsid w:val="00537E1B"/>
    <w:rsid w:val="00540025"/>
    <w:rsid w:val="00540130"/>
    <w:rsid w:val="005419C0"/>
    <w:rsid w:val="0054225A"/>
    <w:rsid w:val="00542A60"/>
    <w:rsid w:val="00542E09"/>
    <w:rsid w:val="00543A2F"/>
    <w:rsid w:val="00544480"/>
    <w:rsid w:val="0054532A"/>
    <w:rsid w:val="00546080"/>
    <w:rsid w:val="00546263"/>
    <w:rsid w:val="00547919"/>
    <w:rsid w:val="00552089"/>
    <w:rsid w:val="005521B2"/>
    <w:rsid w:val="00552E2A"/>
    <w:rsid w:val="00553A81"/>
    <w:rsid w:val="00553A86"/>
    <w:rsid w:val="00555F54"/>
    <w:rsid w:val="00555FF9"/>
    <w:rsid w:val="0055629D"/>
    <w:rsid w:val="0055647C"/>
    <w:rsid w:val="00556B06"/>
    <w:rsid w:val="00556E11"/>
    <w:rsid w:val="00557E2A"/>
    <w:rsid w:val="005607AC"/>
    <w:rsid w:val="005610A1"/>
    <w:rsid w:val="0056253B"/>
    <w:rsid w:val="00562E62"/>
    <w:rsid w:val="00562ED4"/>
    <w:rsid w:val="00563F7C"/>
    <w:rsid w:val="00564021"/>
    <w:rsid w:val="00566127"/>
    <w:rsid w:val="005665F3"/>
    <w:rsid w:val="00567177"/>
    <w:rsid w:val="005673DB"/>
    <w:rsid w:val="00570490"/>
    <w:rsid w:val="00572E90"/>
    <w:rsid w:val="00572F44"/>
    <w:rsid w:val="0057361C"/>
    <w:rsid w:val="00573810"/>
    <w:rsid w:val="00575B69"/>
    <w:rsid w:val="00576488"/>
    <w:rsid w:val="00576689"/>
    <w:rsid w:val="0058124A"/>
    <w:rsid w:val="005813C9"/>
    <w:rsid w:val="00582F83"/>
    <w:rsid w:val="00583B44"/>
    <w:rsid w:val="005842EF"/>
    <w:rsid w:val="00584E5A"/>
    <w:rsid w:val="0058510F"/>
    <w:rsid w:val="005854FB"/>
    <w:rsid w:val="00585A72"/>
    <w:rsid w:val="00585B94"/>
    <w:rsid w:val="00585C15"/>
    <w:rsid w:val="005860AE"/>
    <w:rsid w:val="00590440"/>
    <w:rsid w:val="005909E6"/>
    <w:rsid w:val="00592A6C"/>
    <w:rsid w:val="00592E51"/>
    <w:rsid w:val="005936BE"/>
    <w:rsid w:val="00594A53"/>
    <w:rsid w:val="00595949"/>
    <w:rsid w:val="00595AA2"/>
    <w:rsid w:val="00595F8E"/>
    <w:rsid w:val="005963C8"/>
    <w:rsid w:val="0059667C"/>
    <w:rsid w:val="00596A1A"/>
    <w:rsid w:val="0059727E"/>
    <w:rsid w:val="00597C4B"/>
    <w:rsid w:val="00597C9D"/>
    <w:rsid w:val="005A1DB8"/>
    <w:rsid w:val="005A237F"/>
    <w:rsid w:val="005A2E44"/>
    <w:rsid w:val="005A373E"/>
    <w:rsid w:val="005A3B32"/>
    <w:rsid w:val="005A3EB0"/>
    <w:rsid w:val="005A460C"/>
    <w:rsid w:val="005A477C"/>
    <w:rsid w:val="005A4C2F"/>
    <w:rsid w:val="005A5625"/>
    <w:rsid w:val="005A5648"/>
    <w:rsid w:val="005A62ED"/>
    <w:rsid w:val="005B1CB5"/>
    <w:rsid w:val="005B1D0F"/>
    <w:rsid w:val="005B2DE3"/>
    <w:rsid w:val="005B2DF6"/>
    <w:rsid w:val="005B3754"/>
    <w:rsid w:val="005B4265"/>
    <w:rsid w:val="005B4A96"/>
    <w:rsid w:val="005B4D76"/>
    <w:rsid w:val="005B4F88"/>
    <w:rsid w:val="005B61F7"/>
    <w:rsid w:val="005B625D"/>
    <w:rsid w:val="005B6441"/>
    <w:rsid w:val="005B65CB"/>
    <w:rsid w:val="005B78B0"/>
    <w:rsid w:val="005C083E"/>
    <w:rsid w:val="005C0FBE"/>
    <w:rsid w:val="005C138C"/>
    <w:rsid w:val="005C155D"/>
    <w:rsid w:val="005C29F0"/>
    <w:rsid w:val="005C2BB8"/>
    <w:rsid w:val="005C2F94"/>
    <w:rsid w:val="005C4E34"/>
    <w:rsid w:val="005C5236"/>
    <w:rsid w:val="005C5A88"/>
    <w:rsid w:val="005C6274"/>
    <w:rsid w:val="005C640B"/>
    <w:rsid w:val="005C673E"/>
    <w:rsid w:val="005C75E1"/>
    <w:rsid w:val="005D0A64"/>
    <w:rsid w:val="005D1954"/>
    <w:rsid w:val="005D1E9B"/>
    <w:rsid w:val="005D2CB5"/>
    <w:rsid w:val="005D2D3E"/>
    <w:rsid w:val="005D3AF4"/>
    <w:rsid w:val="005D402C"/>
    <w:rsid w:val="005D40A1"/>
    <w:rsid w:val="005D4102"/>
    <w:rsid w:val="005D47D4"/>
    <w:rsid w:val="005D7ED5"/>
    <w:rsid w:val="005E041F"/>
    <w:rsid w:val="005E0FDB"/>
    <w:rsid w:val="005E1D55"/>
    <w:rsid w:val="005E1F5E"/>
    <w:rsid w:val="005E2515"/>
    <w:rsid w:val="005E4291"/>
    <w:rsid w:val="005E49BA"/>
    <w:rsid w:val="005E4BBC"/>
    <w:rsid w:val="005E6597"/>
    <w:rsid w:val="005E687D"/>
    <w:rsid w:val="005E6E0D"/>
    <w:rsid w:val="005E7761"/>
    <w:rsid w:val="005E7CAB"/>
    <w:rsid w:val="005E7DF7"/>
    <w:rsid w:val="005F1036"/>
    <w:rsid w:val="005F10A7"/>
    <w:rsid w:val="005F2835"/>
    <w:rsid w:val="005F28B0"/>
    <w:rsid w:val="005F3768"/>
    <w:rsid w:val="005F37AD"/>
    <w:rsid w:val="005F52A0"/>
    <w:rsid w:val="005F5833"/>
    <w:rsid w:val="005F629F"/>
    <w:rsid w:val="005F62EF"/>
    <w:rsid w:val="005F68C0"/>
    <w:rsid w:val="005F6C62"/>
    <w:rsid w:val="005F6D83"/>
    <w:rsid w:val="005F7476"/>
    <w:rsid w:val="005F7FC9"/>
    <w:rsid w:val="00600B6B"/>
    <w:rsid w:val="00600B7C"/>
    <w:rsid w:val="00600D07"/>
    <w:rsid w:val="00600E20"/>
    <w:rsid w:val="0060137C"/>
    <w:rsid w:val="006015BC"/>
    <w:rsid w:val="00601A4B"/>
    <w:rsid w:val="006020E1"/>
    <w:rsid w:val="00602D60"/>
    <w:rsid w:val="00605073"/>
    <w:rsid w:val="006051A0"/>
    <w:rsid w:val="00605401"/>
    <w:rsid w:val="00605B71"/>
    <w:rsid w:val="006066EF"/>
    <w:rsid w:val="00606D08"/>
    <w:rsid w:val="0060765C"/>
    <w:rsid w:val="00607B10"/>
    <w:rsid w:val="00612A1C"/>
    <w:rsid w:val="00612DB1"/>
    <w:rsid w:val="00613603"/>
    <w:rsid w:val="00613C12"/>
    <w:rsid w:val="00613DF3"/>
    <w:rsid w:val="0061525A"/>
    <w:rsid w:val="00617157"/>
    <w:rsid w:val="00620160"/>
    <w:rsid w:val="0062054D"/>
    <w:rsid w:val="00620E5F"/>
    <w:rsid w:val="00621C33"/>
    <w:rsid w:val="00622EF5"/>
    <w:rsid w:val="0062315D"/>
    <w:rsid w:val="00624308"/>
    <w:rsid w:val="00624694"/>
    <w:rsid w:val="00625489"/>
    <w:rsid w:val="006257F2"/>
    <w:rsid w:val="00626315"/>
    <w:rsid w:val="00626F59"/>
    <w:rsid w:val="006276FD"/>
    <w:rsid w:val="00631BF6"/>
    <w:rsid w:val="00631D4F"/>
    <w:rsid w:val="006323FF"/>
    <w:rsid w:val="006324DD"/>
    <w:rsid w:val="00633829"/>
    <w:rsid w:val="006339A4"/>
    <w:rsid w:val="00634764"/>
    <w:rsid w:val="00634A91"/>
    <w:rsid w:val="00634EDA"/>
    <w:rsid w:val="0063523B"/>
    <w:rsid w:val="00636D51"/>
    <w:rsid w:val="00636EEF"/>
    <w:rsid w:val="0063739C"/>
    <w:rsid w:val="006404F3"/>
    <w:rsid w:val="0064062B"/>
    <w:rsid w:val="00640F08"/>
    <w:rsid w:val="00641EA0"/>
    <w:rsid w:val="00642D65"/>
    <w:rsid w:val="006430BD"/>
    <w:rsid w:val="00643D5C"/>
    <w:rsid w:val="00645C20"/>
    <w:rsid w:val="006463DE"/>
    <w:rsid w:val="00646901"/>
    <w:rsid w:val="0065085F"/>
    <w:rsid w:val="0065112A"/>
    <w:rsid w:val="00651524"/>
    <w:rsid w:val="006539B1"/>
    <w:rsid w:val="006546E4"/>
    <w:rsid w:val="00655675"/>
    <w:rsid w:val="006560F5"/>
    <w:rsid w:val="00656D44"/>
    <w:rsid w:val="00656F5A"/>
    <w:rsid w:val="0066097C"/>
    <w:rsid w:val="00662330"/>
    <w:rsid w:val="00662590"/>
    <w:rsid w:val="00662642"/>
    <w:rsid w:val="0066267C"/>
    <w:rsid w:val="006626C4"/>
    <w:rsid w:val="00662C66"/>
    <w:rsid w:val="00663E30"/>
    <w:rsid w:val="00664413"/>
    <w:rsid w:val="00664A7C"/>
    <w:rsid w:val="00664ACA"/>
    <w:rsid w:val="00665C56"/>
    <w:rsid w:val="00665D7B"/>
    <w:rsid w:val="00666EFA"/>
    <w:rsid w:val="006671DA"/>
    <w:rsid w:val="006702F0"/>
    <w:rsid w:val="00670617"/>
    <w:rsid w:val="00670BC6"/>
    <w:rsid w:val="006710E7"/>
    <w:rsid w:val="00671783"/>
    <w:rsid w:val="00671F5B"/>
    <w:rsid w:val="00672962"/>
    <w:rsid w:val="006733BE"/>
    <w:rsid w:val="006741B0"/>
    <w:rsid w:val="00674402"/>
    <w:rsid w:val="00675607"/>
    <w:rsid w:val="0067580F"/>
    <w:rsid w:val="00675884"/>
    <w:rsid w:val="006768D5"/>
    <w:rsid w:val="006769B6"/>
    <w:rsid w:val="00676FD1"/>
    <w:rsid w:val="00677851"/>
    <w:rsid w:val="00677DD5"/>
    <w:rsid w:val="006803DC"/>
    <w:rsid w:val="00680981"/>
    <w:rsid w:val="00680EC0"/>
    <w:rsid w:val="006830D1"/>
    <w:rsid w:val="00684B22"/>
    <w:rsid w:val="006861AF"/>
    <w:rsid w:val="00686454"/>
    <w:rsid w:val="00686693"/>
    <w:rsid w:val="00686B7A"/>
    <w:rsid w:val="00686C67"/>
    <w:rsid w:val="006870BD"/>
    <w:rsid w:val="00687438"/>
    <w:rsid w:val="00691401"/>
    <w:rsid w:val="006918C8"/>
    <w:rsid w:val="00692664"/>
    <w:rsid w:val="00692BFA"/>
    <w:rsid w:val="00692EE9"/>
    <w:rsid w:val="00693BFB"/>
    <w:rsid w:val="00694505"/>
    <w:rsid w:val="00694A40"/>
    <w:rsid w:val="00694F9D"/>
    <w:rsid w:val="00696424"/>
    <w:rsid w:val="0069701E"/>
    <w:rsid w:val="006A055C"/>
    <w:rsid w:val="006A06F2"/>
    <w:rsid w:val="006A0C57"/>
    <w:rsid w:val="006A283C"/>
    <w:rsid w:val="006A2885"/>
    <w:rsid w:val="006A3220"/>
    <w:rsid w:val="006A3801"/>
    <w:rsid w:val="006A3A7B"/>
    <w:rsid w:val="006A3AC0"/>
    <w:rsid w:val="006A3C2D"/>
    <w:rsid w:val="006A4427"/>
    <w:rsid w:val="006A5119"/>
    <w:rsid w:val="006A5317"/>
    <w:rsid w:val="006A5A77"/>
    <w:rsid w:val="006A63F8"/>
    <w:rsid w:val="006A6529"/>
    <w:rsid w:val="006A6B94"/>
    <w:rsid w:val="006A7712"/>
    <w:rsid w:val="006B07A5"/>
    <w:rsid w:val="006B07BE"/>
    <w:rsid w:val="006B0D26"/>
    <w:rsid w:val="006B0E3B"/>
    <w:rsid w:val="006B10AA"/>
    <w:rsid w:val="006B15B2"/>
    <w:rsid w:val="006B37D0"/>
    <w:rsid w:val="006B3F06"/>
    <w:rsid w:val="006B3FFD"/>
    <w:rsid w:val="006B4ABE"/>
    <w:rsid w:val="006B4B32"/>
    <w:rsid w:val="006B629B"/>
    <w:rsid w:val="006C0837"/>
    <w:rsid w:val="006C1500"/>
    <w:rsid w:val="006C184E"/>
    <w:rsid w:val="006C2CFE"/>
    <w:rsid w:val="006C39F9"/>
    <w:rsid w:val="006C508A"/>
    <w:rsid w:val="006C5802"/>
    <w:rsid w:val="006C5BFA"/>
    <w:rsid w:val="006C69A1"/>
    <w:rsid w:val="006C797B"/>
    <w:rsid w:val="006C7CC0"/>
    <w:rsid w:val="006D00E8"/>
    <w:rsid w:val="006D1BC1"/>
    <w:rsid w:val="006D2DAD"/>
    <w:rsid w:val="006D3DCA"/>
    <w:rsid w:val="006D4889"/>
    <w:rsid w:val="006D4E8B"/>
    <w:rsid w:val="006D5677"/>
    <w:rsid w:val="006D5F5C"/>
    <w:rsid w:val="006D61D4"/>
    <w:rsid w:val="006E00D6"/>
    <w:rsid w:val="006E1CDC"/>
    <w:rsid w:val="006E1D9D"/>
    <w:rsid w:val="006E31D0"/>
    <w:rsid w:val="006E38EE"/>
    <w:rsid w:val="006E3F7A"/>
    <w:rsid w:val="006E410B"/>
    <w:rsid w:val="006E630A"/>
    <w:rsid w:val="006E6851"/>
    <w:rsid w:val="006E7CE6"/>
    <w:rsid w:val="006F04F6"/>
    <w:rsid w:val="006F050C"/>
    <w:rsid w:val="006F076D"/>
    <w:rsid w:val="006F0774"/>
    <w:rsid w:val="006F137D"/>
    <w:rsid w:val="006F30BA"/>
    <w:rsid w:val="006F357D"/>
    <w:rsid w:val="006F37BB"/>
    <w:rsid w:val="006F3DF4"/>
    <w:rsid w:val="006F4F8C"/>
    <w:rsid w:val="006F6D0F"/>
    <w:rsid w:val="006F6DD4"/>
    <w:rsid w:val="007005B6"/>
    <w:rsid w:val="00700BEE"/>
    <w:rsid w:val="00701B4E"/>
    <w:rsid w:val="00701C49"/>
    <w:rsid w:val="00701D34"/>
    <w:rsid w:val="00702490"/>
    <w:rsid w:val="00702E85"/>
    <w:rsid w:val="007031C5"/>
    <w:rsid w:val="007032C2"/>
    <w:rsid w:val="00703794"/>
    <w:rsid w:val="00704650"/>
    <w:rsid w:val="00704952"/>
    <w:rsid w:val="00705507"/>
    <w:rsid w:val="0070627B"/>
    <w:rsid w:val="00706E34"/>
    <w:rsid w:val="007074CB"/>
    <w:rsid w:val="00707632"/>
    <w:rsid w:val="007100B0"/>
    <w:rsid w:val="00710F58"/>
    <w:rsid w:val="007113CA"/>
    <w:rsid w:val="0071145A"/>
    <w:rsid w:val="00711972"/>
    <w:rsid w:val="007125B7"/>
    <w:rsid w:val="00712B95"/>
    <w:rsid w:val="007136C5"/>
    <w:rsid w:val="00713CF6"/>
    <w:rsid w:val="0071442D"/>
    <w:rsid w:val="00714D09"/>
    <w:rsid w:val="007151BF"/>
    <w:rsid w:val="007159E1"/>
    <w:rsid w:val="007161EE"/>
    <w:rsid w:val="007162B4"/>
    <w:rsid w:val="007163FA"/>
    <w:rsid w:val="007164F1"/>
    <w:rsid w:val="0071682E"/>
    <w:rsid w:val="0072084A"/>
    <w:rsid w:val="00721DE5"/>
    <w:rsid w:val="007221A0"/>
    <w:rsid w:val="0072240C"/>
    <w:rsid w:val="0072273E"/>
    <w:rsid w:val="00722AF0"/>
    <w:rsid w:val="00723A2E"/>
    <w:rsid w:val="00723E44"/>
    <w:rsid w:val="007250B5"/>
    <w:rsid w:val="00725395"/>
    <w:rsid w:val="007264C7"/>
    <w:rsid w:val="007267C5"/>
    <w:rsid w:val="00727FF2"/>
    <w:rsid w:val="0073039F"/>
    <w:rsid w:val="007309A6"/>
    <w:rsid w:val="00731828"/>
    <w:rsid w:val="00731ED7"/>
    <w:rsid w:val="0073267C"/>
    <w:rsid w:val="0073293B"/>
    <w:rsid w:val="00732D2A"/>
    <w:rsid w:val="00732E52"/>
    <w:rsid w:val="00732E8F"/>
    <w:rsid w:val="00732EBF"/>
    <w:rsid w:val="00733A6A"/>
    <w:rsid w:val="00733E7B"/>
    <w:rsid w:val="00735339"/>
    <w:rsid w:val="007354AA"/>
    <w:rsid w:val="00735553"/>
    <w:rsid w:val="007356E1"/>
    <w:rsid w:val="00735CAD"/>
    <w:rsid w:val="00736855"/>
    <w:rsid w:val="00736CA6"/>
    <w:rsid w:val="00736D5F"/>
    <w:rsid w:val="00740283"/>
    <w:rsid w:val="007408B6"/>
    <w:rsid w:val="00740B19"/>
    <w:rsid w:val="0074280F"/>
    <w:rsid w:val="00743820"/>
    <w:rsid w:val="00745064"/>
    <w:rsid w:val="00745A02"/>
    <w:rsid w:val="00747F78"/>
    <w:rsid w:val="00751175"/>
    <w:rsid w:val="007521EE"/>
    <w:rsid w:val="0075272F"/>
    <w:rsid w:val="00752F89"/>
    <w:rsid w:val="00752FB7"/>
    <w:rsid w:val="00753FC8"/>
    <w:rsid w:val="007542B5"/>
    <w:rsid w:val="00754355"/>
    <w:rsid w:val="00754451"/>
    <w:rsid w:val="007548E6"/>
    <w:rsid w:val="00754F53"/>
    <w:rsid w:val="0075541A"/>
    <w:rsid w:val="007555FC"/>
    <w:rsid w:val="007558BF"/>
    <w:rsid w:val="00756B32"/>
    <w:rsid w:val="00756F7E"/>
    <w:rsid w:val="0075739F"/>
    <w:rsid w:val="0076037A"/>
    <w:rsid w:val="0076077C"/>
    <w:rsid w:val="00761197"/>
    <w:rsid w:val="00761567"/>
    <w:rsid w:val="007619FF"/>
    <w:rsid w:val="00762475"/>
    <w:rsid w:val="00762A42"/>
    <w:rsid w:val="00762E79"/>
    <w:rsid w:val="007634E7"/>
    <w:rsid w:val="007638EB"/>
    <w:rsid w:val="007645DC"/>
    <w:rsid w:val="007650AA"/>
    <w:rsid w:val="00766107"/>
    <w:rsid w:val="00766649"/>
    <w:rsid w:val="0076728A"/>
    <w:rsid w:val="0076736A"/>
    <w:rsid w:val="0076753F"/>
    <w:rsid w:val="00767D71"/>
    <w:rsid w:val="00770058"/>
    <w:rsid w:val="0077060A"/>
    <w:rsid w:val="00770A8A"/>
    <w:rsid w:val="00770D04"/>
    <w:rsid w:val="00771606"/>
    <w:rsid w:val="00772830"/>
    <w:rsid w:val="00773E93"/>
    <w:rsid w:val="0077495C"/>
    <w:rsid w:val="00775064"/>
    <w:rsid w:val="0077549E"/>
    <w:rsid w:val="0077567D"/>
    <w:rsid w:val="00775C5A"/>
    <w:rsid w:val="00776C3F"/>
    <w:rsid w:val="007776B5"/>
    <w:rsid w:val="00777757"/>
    <w:rsid w:val="00777844"/>
    <w:rsid w:val="00777D52"/>
    <w:rsid w:val="00780E59"/>
    <w:rsid w:val="00780FD2"/>
    <w:rsid w:val="00781260"/>
    <w:rsid w:val="007813B0"/>
    <w:rsid w:val="007815F8"/>
    <w:rsid w:val="007817E8"/>
    <w:rsid w:val="00782C43"/>
    <w:rsid w:val="00783D8F"/>
    <w:rsid w:val="00783DE4"/>
    <w:rsid w:val="00784401"/>
    <w:rsid w:val="00784DEF"/>
    <w:rsid w:val="007851A9"/>
    <w:rsid w:val="00785A14"/>
    <w:rsid w:val="007865F7"/>
    <w:rsid w:val="00786893"/>
    <w:rsid w:val="00786D3F"/>
    <w:rsid w:val="007871FE"/>
    <w:rsid w:val="0078750F"/>
    <w:rsid w:val="007875CE"/>
    <w:rsid w:val="007900B8"/>
    <w:rsid w:val="0079077B"/>
    <w:rsid w:val="007913F1"/>
    <w:rsid w:val="00791D79"/>
    <w:rsid w:val="00792ADD"/>
    <w:rsid w:val="007934A8"/>
    <w:rsid w:val="00793743"/>
    <w:rsid w:val="0079443A"/>
    <w:rsid w:val="0079498D"/>
    <w:rsid w:val="007951F3"/>
    <w:rsid w:val="00795374"/>
    <w:rsid w:val="00795E2D"/>
    <w:rsid w:val="00795F27"/>
    <w:rsid w:val="00796505"/>
    <w:rsid w:val="0079790E"/>
    <w:rsid w:val="007A2651"/>
    <w:rsid w:val="007A32B9"/>
    <w:rsid w:val="007A355F"/>
    <w:rsid w:val="007A3C8B"/>
    <w:rsid w:val="007A4A34"/>
    <w:rsid w:val="007A543E"/>
    <w:rsid w:val="007A55F4"/>
    <w:rsid w:val="007A5662"/>
    <w:rsid w:val="007A5BC1"/>
    <w:rsid w:val="007A730A"/>
    <w:rsid w:val="007A7C24"/>
    <w:rsid w:val="007A7EDF"/>
    <w:rsid w:val="007B086B"/>
    <w:rsid w:val="007B1BF1"/>
    <w:rsid w:val="007B26D1"/>
    <w:rsid w:val="007B2954"/>
    <w:rsid w:val="007B2C16"/>
    <w:rsid w:val="007B329F"/>
    <w:rsid w:val="007B3F51"/>
    <w:rsid w:val="007B4190"/>
    <w:rsid w:val="007B5089"/>
    <w:rsid w:val="007B5503"/>
    <w:rsid w:val="007B5CDD"/>
    <w:rsid w:val="007B666F"/>
    <w:rsid w:val="007B708A"/>
    <w:rsid w:val="007B79EC"/>
    <w:rsid w:val="007C0B97"/>
    <w:rsid w:val="007C0BF0"/>
    <w:rsid w:val="007C14B1"/>
    <w:rsid w:val="007C2506"/>
    <w:rsid w:val="007C37D8"/>
    <w:rsid w:val="007C3A6C"/>
    <w:rsid w:val="007C61DD"/>
    <w:rsid w:val="007C6B51"/>
    <w:rsid w:val="007C70CB"/>
    <w:rsid w:val="007C7444"/>
    <w:rsid w:val="007C77C6"/>
    <w:rsid w:val="007C78F1"/>
    <w:rsid w:val="007C7D15"/>
    <w:rsid w:val="007D157F"/>
    <w:rsid w:val="007D1685"/>
    <w:rsid w:val="007D384A"/>
    <w:rsid w:val="007D3E02"/>
    <w:rsid w:val="007D40FB"/>
    <w:rsid w:val="007D43FE"/>
    <w:rsid w:val="007D4400"/>
    <w:rsid w:val="007D5433"/>
    <w:rsid w:val="007D5BC1"/>
    <w:rsid w:val="007D61A6"/>
    <w:rsid w:val="007D6637"/>
    <w:rsid w:val="007D6EF5"/>
    <w:rsid w:val="007D738D"/>
    <w:rsid w:val="007D7399"/>
    <w:rsid w:val="007E0698"/>
    <w:rsid w:val="007E0FE6"/>
    <w:rsid w:val="007E22DF"/>
    <w:rsid w:val="007E2B3E"/>
    <w:rsid w:val="007E2BF6"/>
    <w:rsid w:val="007E2E54"/>
    <w:rsid w:val="007E386F"/>
    <w:rsid w:val="007E4135"/>
    <w:rsid w:val="007E43BC"/>
    <w:rsid w:val="007E4B6D"/>
    <w:rsid w:val="007E4EA6"/>
    <w:rsid w:val="007E5007"/>
    <w:rsid w:val="007E50D7"/>
    <w:rsid w:val="007E58B3"/>
    <w:rsid w:val="007E5CA2"/>
    <w:rsid w:val="007E5D88"/>
    <w:rsid w:val="007E6FBE"/>
    <w:rsid w:val="007E725E"/>
    <w:rsid w:val="007E7548"/>
    <w:rsid w:val="007E7769"/>
    <w:rsid w:val="007E7A29"/>
    <w:rsid w:val="007F01B6"/>
    <w:rsid w:val="007F171E"/>
    <w:rsid w:val="007F2005"/>
    <w:rsid w:val="007F20F5"/>
    <w:rsid w:val="007F2114"/>
    <w:rsid w:val="007F2590"/>
    <w:rsid w:val="007F31ED"/>
    <w:rsid w:val="007F321F"/>
    <w:rsid w:val="007F3958"/>
    <w:rsid w:val="007F3B1B"/>
    <w:rsid w:val="007F3D4F"/>
    <w:rsid w:val="007F3EE6"/>
    <w:rsid w:val="007F4569"/>
    <w:rsid w:val="007F4BF9"/>
    <w:rsid w:val="007F520D"/>
    <w:rsid w:val="007F52BB"/>
    <w:rsid w:val="007F5A13"/>
    <w:rsid w:val="007F62B0"/>
    <w:rsid w:val="007F68EF"/>
    <w:rsid w:val="007F6C28"/>
    <w:rsid w:val="007F6E72"/>
    <w:rsid w:val="007F71C0"/>
    <w:rsid w:val="0080068F"/>
    <w:rsid w:val="00800BC5"/>
    <w:rsid w:val="00800DC7"/>
    <w:rsid w:val="008019E2"/>
    <w:rsid w:val="008024B0"/>
    <w:rsid w:val="00802824"/>
    <w:rsid w:val="00802840"/>
    <w:rsid w:val="00802CC9"/>
    <w:rsid w:val="00805BAD"/>
    <w:rsid w:val="00805C43"/>
    <w:rsid w:val="00805F2E"/>
    <w:rsid w:val="00807C12"/>
    <w:rsid w:val="00810B95"/>
    <w:rsid w:val="008112E1"/>
    <w:rsid w:val="008114D9"/>
    <w:rsid w:val="00811A30"/>
    <w:rsid w:val="00812885"/>
    <w:rsid w:val="0081321C"/>
    <w:rsid w:val="00813F65"/>
    <w:rsid w:val="00814B13"/>
    <w:rsid w:val="00815060"/>
    <w:rsid w:val="00815572"/>
    <w:rsid w:val="0081578F"/>
    <w:rsid w:val="00816FB1"/>
    <w:rsid w:val="008173CD"/>
    <w:rsid w:val="008176F0"/>
    <w:rsid w:val="00817E43"/>
    <w:rsid w:val="00820972"/>
    <w:rsid w:val="00820E20"/>
    <w:rsid w:val="00821363"/>
    <w:rsid w:val="00821B04"/>
    <w:rsid w:val="00821FAE"/>
    <w:rsid w:val="00822841"/>
    <w:rsid w:val="00826250"/>
    <w:rsid w:val="008268A7"/>
    <w:rsid w:val="008310B0"/>
    <w:rsid w:val="0083112F"/>
    <w:rsid w:val="008313D9"/>
    <w:rsid w:val="0083174C"/>
    <w:rsid w:val="00831A83"/>
    <w:rsid w:val="00832D3E"/>
    <w:rsid w:val="00832FBD"/>
    <w:rsid w:val="008350AD"/>
    <w:rsid w:val="008350F7"/>
    <w:rsid w:val="00835173"/>
    <w:rsid w:val="008354C7"/>
    <w:rsid w:val="00836142"/>
    <w:rsid w:val="008362F1"/>
    <w:rsid w:val="00836A00"/>
    <w:rsid w:val="00837135"/>
    <w:rsid w:val="00837C82"/>
    <w:rsid w:val="00837ED6"/>
    <w:rsid w:val="00840918"/>
    <w:rsid w:val="00841541"/>
    <w:rsid w:val="0084168D"/>
    <w:rsid w:val="008453D2"/>
    <w:rsid w:val="008456A1"/>
    <w:rsid w:val="00845794"/>
    <w:rsid w:val="00846925"/>
    <w:rsid w:val="00847FFB"/>
    <w:rsid w:val="00850F35"/>
    <w:rsid w:val="008512A7"/>
    <w:rsid w:val="00851E15"/>
    <w:rsid w:val="00852642"/>
    <w:rsid w:val="00852A65"/>
    <w:rsid w:val="00853127"/>
    <w:rsid w:val="0085329E"/>
    <w:rsid w:val="008532DB"/>
    <w:rsid w:val="00854634"/>
    <w:rsid w:val="00855D13"/>
    <w:rsid w:val="0085695D"/>
    <w:rsid w:val="00857474"/>
    <w:rsid w:val="00857F0E"/>
    <w:rsid w:val="00861202"/>
    <w:rsid w:val="00861517"/>
    <w:rsid w:val="00861D39"/>
    <w:rsid w:val="00862756"/>
    <w:rsid w:val="00862ACA"/>
    <w:rsid w:val="00862CFD"/>
    <w:rsid w:val="00863084"/>
    <w:rsid w:val="008635C1"/>
    <w:rsid w:val="00863CBE"/>
    <w:rsid w:val="00863D55"/>
    <w:rsid w:val="00863E99"/>
    <w:rsid w:val="008646EC"/>
    <w:rsid w:val="00865886"/>
    <w:rsid w:val="00865A13"/>
    <w:rsid w:val="0086628E"/>
    <w:rsid w:val="008671AA"/>
    <w:rsid w:val="0087086E"/>
    <w:rsid w:val="0087094A"/>
    <w:rsid w:val="00870E5D"/>
    <w:rsid w:val="008730A3"/>
    <w:rsid w:val="008730B8"/>
    <w:rsid w:val="008732FF"/>
    <w:rsid w:val="00874C2D"/>
    <w:rsid w:val="00874D41"/>
    <w:rsid w:val="00875C5A"/>
    <w:rsid w:val="00876357"/>
    <w:rsid w:val="008765C7"/>
    <w:rsid w:val="0088188E"/>
    <w:rsid w:val="00881B15"/>
    <w:rsid w:val="00881C38"/>
    <w:rsid w:val="00882CDA"/>
    <w:rsid w:val="00883EF0"/>
    <w:rsid w:val="00884241"/>
    <w:rsid w:val="008847A7"/>
    <w:rsid w:val="00885C55"/>
    <w:rsid w:val="00885EF0"/>
    <w:rsid w:val="00890FED"/>
    <w:rsid w:val="008917FE"/>
    <w:rsid w:val="00891877"/>
    <w:rsid w:val="00892B78"/>
    <w:rsid w:val="00893032"/>
    <w:rsid w:val="0089319E"/>
    <w:rsid w:val="0089334B"/>
    <w:rsid w:val="00895708"/>
    <w:rsid w:val="008963E0"/>
    <w:rsid w:val="0089651D"/>
    <w:rsid w:val="008966B0"/>
    <w:rsid w:val="00897979"/>
    <w:rsid w:val="00897FF6"/>
    <w:rsid w:val="008A1866"/>
    <w:rsid w:val="008A2CCB"/>
    <w:rsid w:val="008A30BA"/>
    <w:rsid w:val="008A315E"/>
    <w:rsid w:val="008A322E"/>
    <w:rsid w:val="008A3305"/>
    <w:rsid w:val="008A4B13"/>
    <w:rsid w:val="008A4D63"/>
    <w:rsid w:val="008A5567"/>
    <w:rsid w:val="008A55E9"/>
    <w:rsid w:val="008A5903"/>
    <w:rsid w:val="008A5B8F"/>
    <w:rsid w:val="008A67EB"/>
    <w:rsid w:val="008A685B"/>
    <w:rsid w:val="008A740E"/>
    <w:rsid w:val="008A7432"/>
    <w:rsid w:val="008A76D5"/>
    <w:rsid w:val="008A76E2"/>
    <w:rsid w:val="008A7B70"/>
    <w:rsid w:val="008B01E9"/>
    <w:rsid w:val="008B14D1"/>
    <w:rsid w:val="008B1B13"/>
    <w:rsid w:val="008B2768"/>
    <w:rsid w:val="008B3A75"/>
    <w:rsid w:val="008B3F1A"/>
    <w:rsid w:val="008B44CD"/>
    <w:rsid w:val="008B46CA"/>
    <w:rsid w:val="008B4A59"/>
    <w:rsid w:val="008B4A92"/>
    <w:rsid w:val="008B5D12"/>
    <w:rsid w:val="008B6A92"/>
    <w:rsid w:val="008B6FE5"/>
    <w:rsid w:val="008B746E"/>
    <w:rsid w:val="008B7BBF"/>
    <w:rsid w:val="008B7C79"/>
    <w:rsid w:val="008C0104"/>
    <w:rsid w:val="008C0714"/>
    <w:rsid w:val="008C206A"/>
    <w:rsid w:val="008C218E"/>
    <w:rsid w:val="008C2448"/>
    <w:rsid w:val="008C2927"/>
    <w:rsid w:val="008C2931"/>
    <w:rsid w:val="008C2E0E"/>
    <w:rsid w:val="008C2E71"/>
    <w:rsid w:val="008C31F1"/>
    <w:rsid w:val="008C3834"/>
    <w:rsid w:val="008C384C"/>
    <w:rsid w:val="008C4ED8"/>
    <w:rsid w:val="008C53A3"/>
    <w:rsid w:val="008C5824"/>
    <w:rsid w:val="008C6392"/>
    <w:rsid w:val="008C6F15"/>
    <w:rsid w:val="008C728D"/>
    <w:rsid w:val="008D016B"/>
    <w:rsid w:val="008D076C"/>
    <w:rsid w:val="008D0A82"/>
    <w:rsid w:val="008D131A"/>
    <w:rsid w:val="008D18A5"/>
    <w:rsid w:val="008D1D64"/>
    <w:rsid w:val="008D2C97"/>
    <w:rsid w:val="008D2DC4"/>
    <w:rsid w:val="008D2E01"/>
    <w:rsid w:val="008D5745"/>
    <w:rsid w:val="008D5898"/>
    <w:rsid w:val="008D5B9A"/>
    <w:rsid w:val="008D615C"/>
    <w:rsid w:val="008D63A5"/>
    <w:rsid w:val="008D6534"/>
    <w:rsid w:val="008D6C09"/>
    <w:rsid w:val="008D6E36"/>
    <w:rsid w:val="008D6EF9"/>
    <w:rsid w:val="008E03A8"/>
    <w:rsid w:val="008E056B"/>
    <w:rsid w:val="008E20DB"/>
    <w:rsid w:val="008E2B0D"/>
    <w:rsid w:val="008E2ED5"/>
    <w:rsid w:val="008E3A48"/>
    <w:rsid w:val="008E41C6"/>
    <w:rsid w:val="008E451D"/>
    <w:rsid w:val="008E4A18"/>
    <w:rsid w:val="008E5116"/>
    <w:rsid w:val="008E58BD"/>
    <w:rsid w:val="008E67A5"/>
    <w:rsid w:val="008E6D8A"/>
    <w:rsid w:val="008F043A"/>
    <w:rsid w:val="008F0869"/>
    <w:rsid w:val="008F11B3"/>
    <w:rsid w:val="008F168B"/>
    <w:rsid w:val="008F1ED0"/>
    <w:rsid w:val="008F2385"/>
    <w:rsid w:val="008F241D"/>
    <w:rsid w:val="008F3374"/>
    <w:rsid w:val="008F3EE6"/>
    <w:rsid w:val="008F4C77"/>
    <w:rsid w:val="008F5AD5"/>
    <w:rsid w:val="008F62F1"/>
    <w:rsid w:val="008F6787"/>
    <w:rsid w:val="008F7128"/>
    <w:rsid w:val="00901339"/>
    <w:rsid w:val="0090215E"/>
    <w:rsid w:val="00902FDD"/>
    <w:rsid w:val="00903B2F"/>
    <w:rsid w:val="00904740"/>
    <w:rsid w:val="009048D4"/>
    <w:rsid w:val="00906B1E"/>
    <w:rsid w:val="00906C6A"/>
    <w:rsid w:val="00907745"/>
    <w:rsid w:val="0090796C"/>
    <w:rsid w:val="00907FE1"/>
    <w:rsid w:val="00910AE0"/>
    <w:rsid w:val="00911339"/>
    <w:rsid w:val="009124A1"/>
    <w:rsid w:val="00912676"/>
    <w:rsid w:val="0091309F"/>
    <w:rsid w:val="00914649"/>
    <w:rsid w:val="00914B53"/>
    <w:rsid w:val="00915138"/>
    <w:rsid w:val="009151E6"/>
    <w:rsid w:val="00915351"/>
    <w:rsid w:val="009169B6"/>
    <w:rsid w:val="00916BD6"/>
    <w:rsid w:val="00917088"/>
    <w:rsid w:val="009170C3"/>
    <w:rsid w:val="00917BE6"/>
    <w:rsid w:val="00917F18"/>
    <w:rsid w:val="00917FDD"/>
    <w:rsid w:val="00920430"/>
    <w:rsid w:val="00920A62"/>
    <w:rsid w:val="009216C6"/>
    <w:rsid w:val="009218BB"/>
    <w:rsid w:val="00922A0D"/>
    <w:rsid w:val="009235F7"/>
    <w:rsid w:val="00923714"/>
    <w:rsid w:val="00924A87"/>
    <w:rsid w:val="00924D10"/>
    <w:rsid w:val="00925C8D"/>
    <w:rsid w:val="00926055"/>
    <w:rsid w:val="00926090"/>
    <w:rsid w:val="00926D41"/>
    <w:rsid w:val="0093031C"/>
    <w:rsid w:val="009316F5"/>
    <w:rsid w:val="00932656"/>
    <w:rsid w:val="00932971"/>
    <w:rsid w:val="00933BDE"/>
    <w:rsid w:val="00934C56"/>
    <w:rsid w:val="00934CB6"/>
    <w:rsid w:val="00935056"/>
    <w:rsid w:val="00935278"/>
    <w:rsid w:val="00936970"/>
    <w:rsid w:val="00937029"/>
    <w:rsid w:val="00937094"/>
    <w:rsid w:val="00937F07"/>
    <w:rsid w:val="00942289"/>
    <w:rsid w:val="00942493"/>
    <w:rsid w:val="009426A0"/>
    <w:rsid w:val="00942E55"/>
    <w:rsid w:val="0094537B"/>
    <w:rsid w:val="00946A56"/>
    <w:rsid w:val="00946E3A"/>
    <w:rsid w:val="009470B3"/>
    <w:rsid w:val="0094710E"/>
    <w:rsid w:val="0094791F"/>
    <w:rsid w:val="00947B9B"/>
    <w:rsid w:val="00947F3E"/>
    <w:rsid w:val="009501D7"/>
    <w:rsid w:val="00950480"/>
    <w:rsid w:val="0095049D"/>
    <w:rsid w:val="0095092A"/>
    <w:rsid w:val="00951340"/>
    <w:rsid w:val="009514C5"/>
    <w:rsid w:val="009521C5"/>
    <w:rsid w:val="009529B8"/>
    <w:rsid w:val="00952BA6"/>
    <w:rsid w:val="00952E62"/>
    <w:rsid w:val="00953466"/>
    <w:rsid w:val="00953947"/>
    <w:rsid w:val="00953C02"/>
    <w:rsid w:val="00954071"/>
    <w:rsid w:val="009553EB"/>
    <w:rsid w:val="009554BA"/>
    <w:rsid w:val="00956435"/>
    <w:rsid w:val="00956D5D"/>
    <w:rsid w:val="0096001C"/>
    <w:rsid w:val="0096119E"/>
    <w:rsid w:val="00961E3C"/>
    <w:rsid w:val="00962A12"/>
    <w:rsid w:val="009636D0"/>
    <w:rsid w:val="00964094"/>
    <w:rsid w:val="0096430B"/>
    <w:rsid w:val="00964811"/>
    <w:rsid w:val="00964EEC"/>
    <w:rsid w:val="00966757"/>
    <w:rsid w:val="00966B19"/>
    <w:rsid w:val="0096787B"/>
    <w:rsid w:val="00970764"/>
    <w:rsid w:val="0097109D"/>
    <w:rsid w:val="00971946"/>
    <w:rsid w:val="00971F7B"/>
    <w:rsid w:val="00972E53"/>
    <w:rsid w:val="00972FDC"/>
    <w:rsid w:val="0097461E"/>
    <w:rsid w:val="00974B58"/>
    <w:rsid w:val="009760AD"/>
    <w:rsid w:val="0097730B"/>
    <w:rsid w:val="00977541"/>
    <w:rsid w:val="00977CBD"/>
    <w:rsid w:val="0098046A"/>
    <w:rsid w:val="00981F3D"/>
    <w:rsid w:val="0098482E"/>
    <w:rsid w:val="009848B6"/>
    <w:rsid w:val="00985660"/>
    <w:rsid w:val="00985A84"/>
    <w:rsid w:val="00985FA0"/>
    <w:rsid w:val="009870E2"/>
    <w:rsid w:val="009870F1"/>
    <w:rsid w:val="009872F3"/>
    <w:rsid w:val="00987562"/>
    <w:rsid w:val="00987741"/>
    <w:rsid w:val="00987A27"/>
    <w:rsid w:val="00987B4C"/>
    <w:rsid w:val="00990683"/>
    <w:rsid w:val="0099077F"/>
    <w:rsid w:val="00990AD9"/>
    <w:rsid w:val="00990B6D"/>
    <w:rsid w:val="00991E89"/>
    <w:rsid w:val="009930D0"/>
    <w:rsid w:val="009945CC"/>
    <w:rsid w:val="009952E8"/>
    <w:rsid w:val="00995429"/>
    <w:rsid w:val="009955D1"/>
    <w:rsid w:val="00995E67"/>
    <w:rsid w:val="009962D0"/>
    <w:rsid w:val="00996C89"/>
    <w:rsid w:val="00997615"/>
    <w:rsid w:val="009979DC"/>
    <w:rsid w:val="00997B50"/>
    <w:rsid w:val="009A12C5"/>
    <w:rsid w:val="009A2108"/>
    <w:rsid w:val="009A2185"/>
    <w:rsid w:val="009A27F8"/>
    <w:rsid w:val="009A31DD"/>
    <w:rsid w:val="009A3642"/>
    <w:rsid w:val="009A4901"/>
    <w:rsid w:val="009A4D91"/>
    <w:rsid w:val="009A69AE"/>
    <w:rsid w:val="009A6F71"/>
    <w:rsid w:val="009B1F28"/>
    <w:rsid w:val="009B219C"/>
    <w:rsid w:val="009B230A"/>
    <w:rsid w:val="009B33E1"/>
    <w:rsid w:val="009B36AE"/>
    <w:rsid w:val="009B3C2D"/>
    <w:rsid w:val="009B3E44"/>
    <w:rsid w:val="009B44D0"/>
    <w:rsid w:val="009B50EA"/>
    <w:rsid w:val="009B5674"/>
    <w:rsid w:val="009B5C67"/>
    <w:rsid w:val="009B6AAC"/>
    <w:rsid w:val="009B6EF7"/>
    <w:rsid w:val="009C076D"/>
    <w:rsid w:val="009C0775"/>
    <w:rsid w:val="009C1612"/>
    <w:rsid w:val="009C1B43"/>
    <w:rsid w:val="009C2BEE"/>
    <w:rsid w:val="009C358C"/>
    <w:rsid w:val="009C628A"/>
    <w:rsid w:val="009C7538"/>
    <w:rsid w:val="009D077E"/>
    <w:rsid w:val="009D0D7A"/>
    <w:rsid w:val="009D0E9D"/>
    <w:rsid w:val="009D0FDE"/>
    <w:rsid w:val="009D1B82"/>
    <w:rsid w:val="009D22AD"/>
    <w:rsid w:val="009D35B6"/>
    <w:rsid w:val="009D3714"/>
    <w:rsid w:val="009D3C4F"/>
    <w:rsid w:val="009D4F2C"/>
    <w:rsid w:val="009D509F"/>
    <w:rsid w:val="009D5536"/>
    <w:rsid w:val="009D6096"/>
    <w:rsid w:val="009E080E"/>
    <w:rsid w:val="009E0B49"/>
    <w:rsid w:val="009E1898"/>
    <w:rsid w:val="009E18E0"/>
    <w:rsid w:val="009E1986"/>
    <w:rsid w:val="009E1C27"/>
    <w:rsid w:val="009E42BD"/>
    <w:rsid w:val="009E44AA"/>
    <w:rsid w:val="009E44AE"/>
    <w:rsid w:val="009E4F32"/>
    <w:rsid w:val="009E59BD"/>
    <w:rsid w:val="009E5EE7"/>
    <w:rsid w:val="009E63AC"/>
    <w:rsid w:val="009E6AAC"/>
    <w:rsid w:val="009E7534"/>
    <w:rsid w:val="009E7EA3"/>
    <w:rsid w:val="009F0159"/>
    <w:rsid w:val="009F06E5"/>
    <w:rsid w:val="009F16D5"/>
    <w:rsid w:val="009F2175"/>
    <w:rsid w:val="009F404C"/>
    <w:rsid w:val="009F473B"/>
    <w:rsid w:val="009F50AC"/>
    <w:rsid w:val="009F526B"/>
    <w:rsid w:val="009F5685"/>
    <w:rsid w:val="009F5DBF"/>
    <w:rsid w:val="009F6003"/>
    <w:rsid w:val="009F6398"/>
    <w:rsid w:val="009F6544"/>
    <w:rsid w:val="009F655B"/>
    <w:rsid w:val="009F6D39"/>
    <w:rsid w:val="009F706A"/>
    <w:rsid w:val="00A00547"/>
    <w:rsid w:val="00A00E09"/>
    <w:rsid w:val="00A02173"/>
    <w:rsid w:val="00A0271C"/>
    <w:rsid w:val="00A037C5"/>
    <w:rsid w:val="00A04391"/>
    <w:rsid w:val="00A044E2"/>
    <w:rsid w:val="00A04836"/>
    <w:rsid w:val="00A04859"/>
    <w:rsid w:val="00A06DED"/>
    <w:rsid w:val="00A06E89"/>
    <w:rsid w:val="00A077C0"/>
    <w:rsid w:val="00A07965"/>
    <w:rsid w:val="00A11078"/>
    <w:rsid w:val="00A11FA1"/>
    <w:rsid w:val="00A1204C"/>
    <w:rsid w:val="00A12467"/>
    <w:rsid w:val="00A13E51"/>
    <w:rsid w:val="00A14071"/>
    <w:rsid w:val="00A14244"/>
    <w:rsid w:val="00A14528"/>
    <w:rsid w:val="00A15CDB"/>
    <w:rsid w:val="00A15F99"/>
    <w:rsid w:val="00A166D2"/>
    <w:rsid w:val="00A16724"/>
    <w:rsid w:val="00A1684D"/>
    <w:rsid w:val="00A16A23"/>
    <w:rsid w:val="00A16B39"/>
    <w:rsid w:val="00A170F9"/>
    <w:rsid w:val="00A175CF"/>
    <w:rsid w:val="00A17C2D"/>
    <w:rsid w:val="00A20268"/>
    <w:rsid w:val="00A208AF"/>
    <w:rsid w:val="00A22885"/>
    <w:rsid w:val="00A2301B"/>
    <w:rsid w:val="00A269FA"/>
    <w:rsid w:val="00A26DEB"/>
    <w:rsid w:val="00A27A54"/>
    <w:rsid w:val="00A30A09"/>
    <w:rsid w:val="00A32999"/>
    <w:rsid w:val="00A33A6F"/>
    <w:rsid w:val="00A33C06"/>
    <w:rsid w:val="00A33F12"/>
    <w:rsid w:val="00A34551"/>
    <w:rsid w:val="00A35506"/>
    <w:rsid w:val="00A35D54"/>
    <w:rsid w:val="00A35E82"/>
    <w:rsid w:val="00A37A2F"/>
    <w:rsid w:val="00A40346"/>
    <w:rsid w:val="00A40C98"/>
    <w:rsid w:val="00A417C9"/>
    <w:rsid w:val="00A41F47"/>
    <w:rsid w:val="00A4243A"/>
    <w:rsid w:val="00A425F8"/>
    <w:rsid w:val="00A42A6D"/>
    <w:rsid w:val="00A43D93"/>
    <w:rsid w:val="00A446DD"/>
    <w:rsid w:val="00A45608"/>
    <w:rsid w:val="00A456DF"/>
    <w:rsid w:val="00A45BC0"/>
    <w:rsid w:val="00A45EDE"/>
    <w:rsid w:val="00A46A08"/>
    <w:rsid w:val="00A46ABE"/>
    <w:rsid w:val="00A46BE1"/>
    <w:rsid w:val="00A46E9A"/>
    <w:rsid w:val="00A47817"/>
    <w:rsid w:val="00A47967"/>
    <w:rsid w:val="00A502A0"/>
    <w:rsid w:val="00A50433"/>
    <w:rsid w:val="00A509EA"/>
    <w:rsid w:val="00A50F67"/>
    <w:rsid w:val="00A51012"/>
    <w:rsid w:val="00A51043"/>
    <w:rsid w:val="00A533F3"/>
    <w:rsid w:val="00A5495A"/>
    <w:rsid w:val="00A550ED"/>
    <w:rsid w:val="00A5638C"/>
    <w:rsid w:val="00A56D8A"/>
    <w:rsid w:val="00A57562"/>
    <w:rsid w:val="00A60452"/>
    <w:rsid w:val="00A6057F"/>
    <w:rsid w:val="00A607B5"/>
    <w:rsid w:val="00A613AB"/>
    <w:rsid w:val="00A61944"/>
    <w:rsid w:val="00A62CEC"/>
    <w:rsid w:val="00A642F0"/>
    <w:rsid w:val="00A65196"/>
    <w:rsid w:val="00A657C8"/>
    <w:rsid w:val="00A6679A"/>
    <w:rsid w:val="00A66D03"/>
    <w:rsid w:val="00A66D0B"/>
    <w:rsid w:val="00A67702"/>
    <w:rsid w:val="00A715C9"/>
    <w:rsid w:val="00A73120"/>
    <w:rsid w:val="00A74E20"/>
    <w:rsid w:val="00A752BC"/>
    <w:rsid w:val="00A775F8"/>
    <w:rsid w:val="00A77BD0"/>
    <w:rsid w:val="00A806AD"/>
    <w:rsid w:val="00A80C4C"/>
    <w:rsid w:val="00A81039"/>
    <w:rsid w:val="00A8246B"/>
    <w:rsid w:val="00A835B2"/>
    <w:rsid w:val="00A85530"/>
    <w:rsid w:val="00A85AE3"/>
    <w:rsid w:val="00A86B1C"/>
    <w:rsid w:val="00A878C4"/>
    <w:rsid w:val="00A879B1"/>
    <w:rsid w:val="00A9048F"/>
    <w:rsid w:val="00A9059B"/>
    <w:rsid w:val="00A90B21"/>
    <w:rsid w:val="00A9164A"/>
    <w:rsid w:val="00A916A0"/>
    <w:rsid w:val="00A91D60"/>
    <w:rsid w:val="00A9364D"/>
    <w:rsid w:val="00A94423"/>
    <w:rsid w:val="00A9516A"/>
    <w:rsid w:val="00A95A54"/>
    <w:rsid w:val="00AA10B0"/>
    <w:rsid w:val="00AA1E39"/>
    <w:rsid w:val="00AA2AC7"/>
    <w:rsid w:val="00AA2E18"/>
    <w:rsid w:val="00AA40D3"/>
    <w:rsid w:val="00AA597E"/>
    <w:rsid w:val="00AA6BE6"/>
    <w:rsid w:val="00AA6E09"/>
    <w:rsid w:val="00AB1374"/>
    <w:rsid w:val="00AB16B6"/>
    <w:rsid w:val="00AB1835"/>
    <w:rsid w:val="00AB1FA1"/>
    <w:rsid w:val="00AB2015"/>
    <w:rsid w:val="00AB3E66"/>
    <w:rsid w:val="00AB3EED"/>
    <w:rsid w:val="00AB41C4"/>
    <w:rsid w:val="00AB4312"/>
    <w:rsid w:val="00AB59DE"/>
    <w:rsid w:val="00AB5EE9"/>
    <w:rsid w:val="00AB72BF"/>
    <w:rsid w:val="00AB7553"/>
    <w:rsid w:val="00AC14D1"/>
    <w:rsid w:val="00AC1FC2"/>
    <w:rsid w:val="00AC41BF"/>
    <w:rsid w:val="00AC5944"/>
    <w:rsid w:val="00AC5C29"/>
    <w:rsid w:val="00AC654A"/>
    <w:rsid w:val="00AC666F"/>
    <w:rsid w:val="00AC713C"/>
    <w:rsid w:val="00AC7D97"/>
    <w:rsid w:val="00AD163C"/>
    <w:rsid w:val="00AD1ACC"/>
    <w:rsid w:val="00AD456D"/>
    <w:rsid w:val="00AD4715"/>
    <w:rsid w:val="00AD4890"/>
    <w:rsid w:val="00AD5715"/>
    <w:rsid w:val="00AD59DE"/>
    <w:rsid w:val="00AD5C62"/>
    <w:rsid w:val="00AD5D07"/>
    <w:rsid w:val="00AD5FE5"/>
    <w:rsid w:val="00AD68B0"/>
    <w:rsid w:val="00AD6D31"/>
    <w:rsid w:val="00AD7430"/>
    <w:rsid w:val="00AD7916"/>
    <w:rsid w:val="00AD79E4"/>
    <w:rsid w:val="00AE0F5E"/>
    <w:rsid w:val="00AE117B"/>
    <w:rsid w:val="00AE327F"/>
    <w:rsid w:val="00AE34E2"/>
    <w:rsid w:val="00AE37D1"/>
    <w:rsid w:val="00AE3AC0"/>
    <w:rsid w:val="00AE4180"/>
    <w:rsid w:val="00AE462F"/>
    <w:rsid w:val="00AE4CE9"/>
    <w:rsid w:val="00AE5F37"/>
    <w:rsid w:val="00AF0234"/>
    <w:rsid w:val="00AF044D"/>
    <w:rsid w:val="00AF0BF5"/>
    <w:rsid w:val="00AF0F54"/>
    <w:rsid w:val="00AF156D"/>
    <w:rsid w:val="00AF2BAC"/>
    <w:rsid w:val="00AF2C4A"/>
    <w:rsid w:val="00AF38BF"/>
    <w:rsid w:val="00AF3E6D"/>
    <w:rsid w:val="00AF5849"/>
    <w:rsid w:val="00AF59AD"/>
    <w:rsid w:val="00AF5DFE"/>
    <w:rsid w:val="00AF6436"/>
    <w:rsid w:val="00AF65B9"/>
    <w:rsid w:val="00AF68E0"/>
    <w:rsid w:val="00AF6950"/>
    <w:rsid w:val="00AF74A3"/>
    <w:rsid w:val="00B02630"/>
    <w:rsid w:val="00B02ACE"/>
    <w:rsid w:val="00B03376"/>
    <w:rsid w:val="00B0490C"/>
    <w:rsid w:val="00B04AC0"/>
    <w:rsid w:val="00B04BD4"/>
    <w:rsid w:val="00B051C8"/>
    <w:rsid w:val="00B05D08"/>
    <w:rsid w:val="00B07194"/>
    <w:rsid w:val="00B0751D"/>
    <w:rsid w:val="00B07DEE"/>
    <w:rsid w:val="00B11C6C"/>
    <w:rsid w:val="00B1216D"/>
    <w:rsid w:val="00B1261C"/>
    <w:rsid w:val="00B12681"/>
    <w:rsid w:val="00B12875"/>
    <w:rsid w:val="00B12A78"/>
    <w:rsid w:val="00B12B72"/>
    <w:rsid w:val="00B12D39"/>
    <w:rsid w:val="00B13091"/>
    <w:rsid w:val="00B14240"/>
    <w:rsid w:val="00B143AA"/>
    <w:rsid w:val="00B14B68"/>
    <w:rsid w:val="00B15237"/>
    <w:rsid w:val="00B161B6"/>
    <w:rsid w:val="00B16D67"/>
    <w:rsid w:val="00B1736A"/>
    <w:rsid w:val="00B2078B"/>
    <w:rsid w:val="00B20C89"/>
    <w:rsid w:val="00B21111"/>
    <w:rsid w:val="00B2440C"/>
    <w:rsid w:val="00B25324"/>
    <w:rsid w:val="00B257E9"/>
    <w:rsid w:val="00B26B07"/>
    <w:rsid w:val="00B26B6D"/>
    <w:rsid w:val="00B26E04"/>
    <w:rsid w:val="00B27108"/>
    <w:rsid w:val="00B27296"/>
    <w:rsid w:val="00B27953"/>
    <w:rsid w:val="00B27F9D"/>
    <w:rsid w:val="00B31B30"/>
    <w:rsid w:val="00B32887"/>
    <w:rsid w:val="00B342B6"/>
    <w:rsid w:val="00B3459E"/>
    <w:rsid w:val="00B348CF"/>
    <w:rsid w:val="00B34BB4"/>
    <w:rsid w:val="00B34C22"/>
    <w:rsid w:val="00B35685"/>
    <w:rsid w:val="00B3585F"/>
    <w:rsid w:val="00B35A28"/>
    <w:rsid w:val="00B36FAA"/>
    <w:rsid w:val="00B371C8"/>
    <w:rsid w:val="00B3791A"/>
    <w:rsid w:val="00B37BF0"/>
    <w:rsid w:val="00B41672"/>
    <w:rsid w:val="00B41730"/>
    <w:rsid w:val="00B41F34"/>
    <w:rsid w:val="00B42861"/>
    <w:rsid w:val="00B442E9"/>
    <w:rsid w:val="00B44583"/>
    <w:rsid w:val="00B453C5"/>
    <w:rsid w:val="00B458C2"/>
    <w:rsid w:val="00B46870"/>
    <w:rsid w:val="00B47728"/>
    <w:rsid w:val="00B514B2"/>
    <w:rsid w:val="00B52DB1"/>
    <w:rsid w:val="00B5303A"/>
    <w:rsid w:val="00B53281"/>
    <w:rsid w:val="00B536DF"/>
    <w:rsid w:val="00B53BCB"/>
    <w:rsid w:val="00B54ECD"/>
    <w:rsid w:val="00B55C2F"/>
    <w:rsid w:val="00B55E94"/>
    <w:rsid w:val="00B56018"/>
    <w:rsid w:val="00B56714"/>
    <w:rsid w:val="00B5695A"/>
    <w:rsid w:val="00B56B1B"/>
    <w:rsid w:val="00B60EB5"/>
    <w:rsid w:val="00B60FAC"/>
    <w:rsid w:val="00B61516"/>
    <w:rsid w:val="00B61679"/>
    <w:rsid w:val="00B61AB7"/>
    <w:rsid w:val="00B61F6A"/>
    <w:rsid w:val="00B629C3"/>
    <w:rsid w:val="00B62C85"/>
    <w:rsid w:val="00B635A6"/>
    <w:rsid w:val="00B638C9"/>
    <w:rsid w:val="00B6443D"/>
    <w:rsid w:val="00B65896"/>
    <w:rsid w:val="00B70B12"/>
    <w:rsid w:val="00B70FD8"/>
    <w:rsid w:val="00B72E7D"/>
    <w:rsid w:val="00B72FE9"/>
    <w:rsid w:val="00B73103"/>
    <w:rsid w:val="00B739E8"/>
    <w:rsid w:val="00B73A07"/>
    <w:rsid w:val="00B73B8A"/>
    <w:rsid w:val="00B74083"/>
    <w:rsid w:val="00B743EE"/>
    <w:rsid w:val="00B7464E"/>
    <w:rsid w:val="00B74725"/>
    <w:rsid w:val="00B752C3"/>
    <w:rsid w:val="00B75538"/>
    <w:rsid w:val="00B75F3E"/>
    <w:rsid w:val="00B763D7"/>
    <w:rsid w:val="00B76EC6"/>
    <w:rsid w:val="00B77C4C"/>
    <w:rsid w:val="00B8047C"/>
    <w:rsid w:val="00B817F8"/>
    <w:rsid w:val="00B81857"/>
    <w:rsid w:val="00B81CD4"/>
    <w:rsid w:val="00B8211E"/>
    <w:rsid w:val="00B82264"/>
    <w:rsid w:val="00B828BE"/>
    <w:rsid w:val="00B83018"/>
    <w:rsid w:val="00B8305B"/>
    <w:rsid w:val="00B8397E"/>
    <w:rsid w:val="00B84080"/>
    <w:rsid w:val="00B84F35"/>
    <w:rsid w:val="00B8563A"/>
    <w:rsid w:val="00B85A1D"/>
    <w:rsid w:val="00B86B9C"/>
    <w:rsid w:val="00B90528"/>
    <w:rsid w:val="00B9097B"/>
    <w:rsid w:val="00B91325"/>
    <w:rsid w:val="00B92076"/>
    <w:rsid w:val="00B9212F"/>
    <w:rsid w:val="00B92176"/>
    <w:rsid w:val="00B92EBD"/>
    <w:rsid w:val="00B93434"/>
    <w:rsid w:val="00B9356B"/>
    <w:rsid w:val="00B944A1"/>
    <w:rsid w:val="00B94A03"/>
    <w:rsid w:val="00B9505E"/>
    <w:rsid w:val="00B96868"/>
    <w:rsid w:val="00B9690F"/>
    <w:rsid w:val="00B971A3"/>
    <w:rsid w:val="00B97951"/>
    <w:rsid w:val="00BA1704"/>
    <w:rsid w:val="00BA26AE"/>
    <w:rsid w:val="00BA394F"/>
    <w:rsid w:val="00BA40C1"/>
    <w:rsid w:val="00BA434C"/>
    <w:rsid w:val="00BA59D2"/>
    <w:rsid w:val="00BA5F56"/>
    <w:rsid w:val="00BA62D3"/>
    <w:rsid w:val="00BA63CA"/>
    <w:rsid w:val="00BA6666"/>
    <w:rsid w:val="00BA789D"/>
    <w:rsid w:val="00BA7C09"/>
    <w:rsid w:val="00BB0118"/>
    <w:rsid w:val="00BB02F4"/>
    <w:rsid w:val="00BB098D"/>
    <w:rsid w:val="00BB11C8"/>
    <w:rsid w:val="00BB1A20"/>
    <w:rsid w:val="00BB28C7"/>
    <w:rsid w:val="00BB2A85"/>
    <w:rsid w:val="00BB35C0"/>
    <w:rsid w:val="00BB3606"/>
    <w:rsid w:val="00BB37EE"/>
    <w:rsid w:val="00BB3806"/>
    <w:rsid w:val="00BB4440"/>
    <w:rsid w:val="00BB7006"/>
    <w:rsid w:val="00BB7380"/>
    <w:rsid w:val="00BC024D"/>
    <w:rsid w:val="00BC03E8"/>
    <w:rsid w:val="00BC113C"/>
    <w:rsid w:val="00BC27DB"/>
    <w:rsid w:val="00BC28AB"/>
    <w:rsid w:val="00BC50FC"/>
    <w:rsid w:val="00BC67B1"/>
    <w:rsid w:val="00BC73EF"/>
    <w:rsid w:val="00BC76C4"/>
    <w:rsid w:val="00BD0890"/>
    <w:rsid w:val="00BD08E4"/>
    <w:rsid w:val="00BD2486"/>
    <w:rsid w:val="00BD251F"/>
    <w:rsid w:val="00BD253F"/>
    <w:rsid w:val="00BD4B32"/>
    <w:rsid w:val="00BD63DD"/>
    <w:rsid w:val="00BD6F6F"/>
    <w:rsid w:val="00BD7199"/>
    <w:rsid w:val="00BE00B6"/>
    <w:rsid w:val="00BE0B1B"/>
    <w:rsid w:val="00BE0E0F"/>
    <w:rsid w:val="00BE0EB6"/>
    <w:rsid w:val="00BE1E01"/>
    <w:rsid w:val="00BE1F55"/>
    <w:rsid w:val="00BE2034"/>
    <w:rsid w:val="00BE26EC"/>
    <w:rsid w:val="00BE34F0"/>
    <w:rsid w:val="00BE3B38"/>
    <w:rsid w:val="00BE412E"/>
    <w:rsid w:val="00BE42F0"/>
    <w:rsid w:val="00BE56A8"/>
    <w:rsid w:val="00BE5A56"/>
    <w:rsid w:val="00BE5C3F"/>
    <w:rsid w:val="00BE64E7"/>
    <w:rsid w:val="00BE650E"/>
    <w:rsid w:val="00BF0B4F"/>
    <w:rsid w:val="00BF140D"/>
    <w:rsid w:val="00BF3085"/>
    <w:rsid w:val="00BF3A67"/>
    <w:rsid w:val="00BF3B75"/>
    <w:rsid w:val="00BF4320"/>
    <w:rsid w:val="00BF4B99"/>
    <w:rsid w:val="00BF6694"/>
    <w:rsid w:val="00BF6DA8"/>
    <w:rsid w:val="00BF7832"/>
    <w:rsid w:val="00BF7EC4"/>
    <w:rsid w:val="00C00F4F"/>
    <w:rsid w:val="00C0139D"/>
    <w:rsid w:val="00C01AE4"/>
    <w:rsid w:val="00C02261"/>
    <w:rsid w:val="00C02C25"/>
    <w:rsid w:val="00C0370A"/>
    <w:rsid w:val="00C03D79"/>
    <w:rsid w:val="00C0674D"/>
    <w:rsid w:val="00C07A4D"/>
    <w:rsid w:val="00C07AAD"/>
    <w:rsid w:val="00C07C3D"/>
    <w:rsid w:val="00C1075D"/>
    <w:rsid w:val="00C117B8"/>
    <w:rsid w:val="00C11806"/>
    <w:rsid w:val="00C1193F"/>
    <w:rsid w:val="00C126A4"/>
    <w:rsid w:val="00C12977"/>
    <w:rsid w:val="00C129C2"/>
    <w:rsid w:val="00C13132"/>
    <w:rsid w:val="00C136C6"/>
    <w:rsid w:val="00C138B1"/>
    <w:rsid w:val="00C13A65"/>
    <w:rsid w:val="00C14309"/>
    <w:rsid w:val="00C16003"/>
    <w:rsid w:val="00C168CD"/>
    <w:rsid w:val="00C16B1A"/>
    <w:rsid w:val="00C17277"/>
    <w:rsid w:val="00C17337"/>
    <w:rsid w:val="00C177BD"/>
    <w:rsid w:val="00C17F5D"/>
    <w:rsid w:val="00C2048A"/>
    <w:rsid w:val="00C211C7"/>
    <w:rsid w:val="00C219AE"/>
    <w:rsid w:val="00C22558"/>
    <w:rsid w:val="00C229C8"/>
    <w:rsid w:val="00C23090"/>
    <w:rsid w:val="00C23FE2"/>
    <w:rsid w:val="00C24BF4"/>
    <w:rsid w:val="00C25A87"/>
    <w:rsid w:val="00C260A7"/>
    <w:rsid w:val="00C2642E"/>
    <w:rsid w:val="00C26E11"/>
    <w:rsid w:val="00C27745"/>
    <w:rsid w:val="00C27E1E"/>
    <w:rsid w:val="00C27FD8"/>
    <w:rsid w:val="00C3245D"/>
    <w:rsid w:val="00C3289F"/>
    <w:rsid w:val="00C32DF0"/>
    <w:rsid w:val="00C3476A"/>
    <w:rsid w:val="00C34B22"/>
    <w:rsid w:val="00C35862"/>
    <w:rsid w:val="00C36134"/>
    <w:rsid w:val="00C36599"/>
    <w:rsid w:val="00C36A42"/>
    <w:rsid w:val="00C37D26"/>
    <w:rsid w:val="00C40A16"/>
    <w:rsid w:val="00C41FC9"/>
    <w:rsid w:val="00C424DB"/>
    <w:rsid w:val="00C4255C"/>
    <w:rsid w:val="00C42796"/>
    <w:rsid w:val="00C43397"/>
    <w:rsid w:val="00C43ADD"/>
    <w:rsid w:val="00C445AF"/>
    <w:rsid w:val="00C448E2"/>
    <w:rsid w:val="00C44E0C"/>
    <w:rsid w:val="00C456A7"/>
    <w:rsid w:val="00C45728"/>
    <w:rsid w:val="00C463F0"/>
    <w:rsid w:val="00C473B1"/>
    <w:rsid w:val="00C473E7"/>
    <w:rsid w:val="00C4785A"/>
    <w:rsid w:val="00C47EDA"/>
    <w:rsid w:val="00C51469"/>
    <w:rsid w:val="00C514A1"/>
    <w:rsid w:val="00C51676"/>
    <w:rsid w:val="00C51996"/>
    <w:rsid w:val="00C52EEB"/>
    <w:rsid w:val="00C53C21"/>
    <w:rsid w:val="00C53DD7"/>
    <w:rsid w:val="00C549E7"/>
    <w:rsid w:val="00C54A3A"/>
    <w:rsid w:val="00C54C8A"/>
    <w:rsid w:val="00C5563D"/>
    <w:rsid w:val="00C55AE3"/>
    <w:rsid w:val="00C561CC"/>
    <w:rsid w:val="00C56EF3"/>
    <w:rsid w:val="00C5714C"/>
    <w:rsid w:val="00C601C3"/>
    <w:rsid w:val="00C60807"/>
    <w:rsid w:val="00C60C0F"/>
    <w:rsid w:val="00C616A4"/>
    <w:rsid w:val="00C61F9C"/>
    <w:rsid w:val="00C63512"/>
    <w:rsid w:val="00C63E9A"/>
    <w:rsid w:val="00C6479D"/>
    <w:rsid w:val="00C650E3"/>
    <w:rsid w:val="00C660FA"/>
    <w:rsid w:val="00C73A92"/>
    <w:rsid w:val="00C745EE"/>
    <w:rsid w:val="00C77705"/>
    <w:rsid w:val="00C77D6F"/>
    <w:rsid w:val="00C77E1B"/>
    <w:rsid w:val="00C806A5"/>
    <w:rsid w:val="00C81131"/>
    <w:rsid w:val="00C82D13"/>
    <w:rsid w:val="00C83195"/>
    <w:rsid w:val="00C831ED"/>
    <w:rsid w:val="00C842D5"/>
    <w:rsid w:val="00C84868"/>
    <w:rsid w:val="00C8663A"/>
    <w:rsid w:val="00C86EDE"/>
    <w:rsid w:val="00C86FAE"/>
    <w:rsid w:val="00C8704A"/>
    <w:rsid w:val="00C87A12"/>
    <w:rsid w:val="00C87E40"/>
    <w:rsid w:val="00C90216"/>
    <w:rsid w:val="00C919FE"/>
    <w:rsid w:val="00C92543"/>
    <w:rsid w:val="00C92B59"/>
    <w:rsid w:val="00C92C29"/>
    <w:rsid w:val="00C93D2B"/>
    <w:rsid w:val="00C93D2E"/>
    <w:rsid w:val="00C93F7F"/>
    <w:rsid w:val="00C93FF8"/>
    <w:rsid w:val="00C955A3"/>
    <w:rsid w:val="00C96493"/>
    <w:rsid w:val="00C968E6"/>
    <w:rsid w:val="00C97A6C"/>
    <w:rsid w:val="00C97B8A"/>
    <w:rsid w:val="00CA0C1F"/>
    <w:rsid w:val="00CA12A0"/>
    <w:rsid w:val="00CA2201"/>
    <w:rsid w:val="00CA32D2"/>
    <w:rsid w:val="00CA3F4F"/>
    <w:rsid w:val="00CA3F53"/>
    <w:rsid w:val="00CA4593"/>
    <w:rsid w:val="00CA4865"/>
    <w:rsid w:val="00CA4D09"/>
    <w:rsid w:val="00CA75F7"/>
    <w:rsid w:val="00CB0B60"/>
    <w:rsid w:val="00CB1D63"/>
    <w:rsid w:val="00CB3A18"/>
    <w:rsid w:val="00CB4915"/>
    <w:rsid w:val="00CB49FA"/>
    <w:rsid w:val="00CB4D2E"/>
    <w:rsid w:val="00CB5CFA"/>
    <w:rsid w:val="00CB5FC0"/>
    <w:rsid w:val="00CB60D2"/>
    <w:rsid w:val="00CB7017"/>
    <w:rsid w:val="00CC00EB"/>
    <w:rsid w:val="00CC090A"/>
    <w:rsid w:val="00CC1357"/>
    <w:rsid w:val="00CC1630"/>
    <w:rsid w:val="00CC2676"/>
    <w:rsid w:val="00CC332D"/>
    <w:rsid w:val="00CC372D"/>
    <w:rsid w:val="00CC3BC2"/>
    <w:rsid w:val="00CC4280"/>
    <w:rsid w:val="00CC5364"/>
    <w:rsid w:val="00CC5A2B"/>
    <w:rsid w:val="00CC5C9E"/>
    <w:rsid w:val="00CC5F00"/>
    <w:rsid w:val="00CC6036"/>
    <w:rsid w:val="00CC6978"/>
    <w:rsid w:val="00CC6E4A"/>
    <w:rsid w:val="00CC7397"/>
    <w:rsid w:val="00CD1FAE"/>
    <w:rsid w:val="00CD2011"/>
    <w:rsid w:val="00CD2BFA"/>
    <w:rsid w:val="00CD32CB"/>
    <w:rsid w:val="00CD3F62"/>
    <w:rsid w:val="00CD5C83"/>
    <w:rsid w:val="00CE1BC2"/>
    <w:rsid w:val="00CE1CAB"/>
    <w:rsid w:val="00CE2254"/>
    <w:rsid w:val="00CE3ED1"/>
    <w:rsid w:val="00CE4172"/>
    <w:rsid w:val="00CE603C"/>
    <w:rsid w:val="00CE6A6A"/>
    <w:rsid w:val="00CF003F"/>
    <w:rsid w:val="00CF068F"/>
    <w:rsid w:val="00CF0980"/>
    <w:rsid w:val="00CF1650"/>
    <w:rsid w:val="00CF29C8"/>
    <w:rsid w:val="00CF553E"/>
    <w:rsid w:val="00CF56FF"/>
    <w:rsid w:val="00CF5B83"/>
    <w:rsid w:val="00CF5F02"/>
    <w:rsid w:val="00CF5FC2"/>
    <w:rsid w:val="00CF61FA"/>
    <w:rsid w:val="00CF6613"/>
    <w:rsid w:val="00CF6919"/>
    <w:rsid w:val="00CF6CC4"/>
    <w:rsid w:val="00CF72AC"/>
    <w:rsid w:val="00D00953"/>
    <w:rsid w:val="00D01923"/>
    <w:rsid w:val="00D01A29"/>
    <w:rsid w:val="00D023C3"/>
    <w:rsid w:val="00D029DC"/>
    <w:rsid w:val="00D031EA"/>
    <w:rsid w:val="00D04480"/>
    <w:rsid w:val="00D054C1"/>
    <w:rsid w:val="00D05558"/>
    <w:rsid w:val="00D06A78"/>
    <w:rsid w:val="00D06BA0"/>
    <w:rsid w:val="00D102D7"/>
    <w:rsid w:val="00D107AF"/>
    <w:rsid w:val="00D110D6"/>
    <w:rsid w:val="00D115AC"/>
    <w:rsid w:val="00D1183D"/>
    <w:rsid w:val="00D12ABC"/>
    <w:rsid w:val="00D12B42"/>
    <w:rsid w:val="00D12F1E"/>
    <w:rsid w:val="00D1330F"/>
    <w:rsid w:val="00D13AE7"/>
    <w:rsid w:val="00D14040"/>
    <w:rsid w:val="00D1430A"/>
    <w:rsid w:val="00D144DD"/>
    <w:rsid w:val="00D1559C"/>
    <w:rsid w:val="00D15924"/>
    <w:rsid w:val="00D15EFC"/>
    <w:rsid w:val="00D163DE"/>
    <w:rsid w:val="00D17AB0"/>
    <w:rsid w:val="00D17FD5"/>
    <w:rsid w:val="00D201A7"/>
    <w:rsid w:val="00D20246"/>
    <w:rsid w:val="00D211DE"/>
    <w:rsid w:val="00D21380"/>
    <w:rsid w:val="00D221DD"/>
    <w:rsid w:val="00D22A89"/>
    <w:rsid w:val="00D23013"/>
    <w:rsid w:val="00D234B0"/>
    <w:rsid w:val="00D23900"/>
    <w:rsid w:val="00D239C3"/>
    <w:rsid w:val="00D23C92"/>
    <w:rsid w:val="00D240FD"/>
    <w:rsid w:val="00D24B80"/>
    <w:rsid w:val="00D251F0"/>
    <w:rsid w:val="00D26AE4"/>
    <w:rsid w:val="00D3046A"/>
    <w:rsid w:val="00D30ACF"/>
    <w:rsid w:val="00D30E64"/>
    <w:rsid w:val="00D31B02"/>
    <w:rsid w:val="00D31CD9"/>
    <w:rsid w:val="00D333D4"/>
    <w:rsid w:val="00D3379E"/>
    <w:rsid w:val="00D345A6"/>
    <w:rsid w:val="00D34A2C"/>
    <w:rsid w:val="00D34DA4"/>
    <w:rsid w:val="00D34F18"/>
    <w:rsid w:val="00D35887"/>
    <w:rsid w:val="00D35976"/>
    <w:rsid w:val="00D363BA"/>
    <w:rsid w:val="00D378D6"/>
    <w:rsid w:val="00D40A81"/>
    <w:rsid w:val="00D41514"/>
    <w:rsid w:val="00D44989"/>
    <w:rsid w:val="00D44CE7"/>
    <w:rsid w:val="00D45047"/>
    <w:rsid w:val="00D4625D"/>
    <w:rsid w:val="00D4670A"/>
    <w:rsid w:val="00D46759"/>
    <w:rsid w:val="00D470AC"/>
    <w:rsid w:val="00D470D2"/>
    <w:rsid w:val="00D47123"/>
    <w:rsid w:val="00D5121E"/>
    <w:rsid w:val="00D51624"/>
    <w:rsid w:val="00D52135"/>
    <w:rsid w:val="00D52351"/>
    <w:rsid w:val="00D53215"/>
    <w:rsid w:val="00D53218"/>
    <w:rsid w:val="00D53802"/>
    <w:rsid w:val="00D53A2E"/>
    <w:rsid w:val="00D5454E"/>
    <w:rsid w:val="00D555FE"/>
    <w:rsid w:val="00D55921"/>
    <w:rsid w:val="00D5696A"/>
    <w:rsid w:val="00D56A44"/>
    <w:rsid w:val="00D575F8"/>
    <w:rsid w:val="00D57F7A"/>
    <w:rsid w:val="00D601D9"/>
    <w:rsid w:val="00D602C7"/>
    <w:rsid w:val="00D60D0F"/>
    <w:rsid w:val="00D61B3D"/>
    <w:rsid w:val="00D61BBE"/>
    <w:rsid w:val="00D627A6"/>
    <w:rsid w:val="00D62D4B"/>
    <w:rsid w:val="00D63418"/>
    <w:rsid w:val="00D641A6"/>
    <w:rsid w:val="00D64694"/>
    <w:rsid w:val="00D64882"/>
    <w:rsid w:val="00D64889"/>
    <w:rsid w:val="00D64942"/>
    <w:rsid w:val="00D655BD"/>
    <w:rsid w:val="00D65878"/>
    <w:rsid w:val="00D66B0A"/>
    <w:rsid w:val="00D67661"/>
    <w:rsid w:val="00D747E7"/>
    <w:rsid w:val="00D74AE0"/>
    <w:rsid w:val="00D750D1"/>
    <w:rsid w:val="00D7530E"/>
    <w:rsid w:val="00D7540C"/>
    <w:rsid w:val="00D77851"/>
    <w:rsid w:val="00D8072C"/>
    <w:rsid w:val="00D81D5E"/>
    <w:rsid w:val="00D82346"/>
    <w:rsid w:val="00D833AD"/>
    <w:rsid w:val="00D83BE4"/>
    <w:rsid w:val="00D8498C"/>
    <w:rsid w:val="00D85832"/>
    <w:rsid w:val="00D86037"/>
    <w:rsid w:val="00D86169"/>
    <w:rsid w:val="00D86204"/>
    <w:rsid w:val="00D87A01"/>
    <w:rsid w:val="00D90017"/>
    <w:rsid w:val="00D912E3"/>
    <w:rsid w:val="00D9158C"/>
    <w:rsid w:val="00D9172F"/>
    <w:rsid w:val="00D925D0"/>
    <w:rsid w:val="00D92DA1"/>
    <w:rsid w:val="00D9394B"/>
    <w:rsid w:val="00D93A34"/>
    <w:rsid w:val="00D94208"/>
    <w:rsid w:val="00D94759"/>
    <w:rsid w:val="00D95A20"/>
    <w:rsid w:val="00D95A28"/>
    <w:rsid w:val="00D95C48"/>
    <w:rsid w:val="00D95C9E"/>
    <w:rsid w:val="00D95F35"/>
    <w:rsid w:val="00D96BD2"/>
    <w:rsid w:val="00D97146"/>
    <w:rsid w:val="00D97D43"/>
    <w:rsid w:val="00DA0167"/>
    <w:rsid w:val="00DA05CE"/>
    <w:rsid w:val="00DA0972"/>
    <w:rsid w:val="00DA09B2"/>
    <w:rsid w:val="00DA11D2"/>
    <w:rsid w:val="00DA12AC"/>
    <w:rsid w:val="00DA16B4"/>
    <w:rsid w:val="00DA23D3"/>
    <w:rsid w:val="00DA26D2"/>
    <w:rsid w:val="00DA2CD9"/>
    <w:rsid w:val="00DA3649"/>
    <w:rsid w:val="00DA381A"/>
    <w:rsid w:val="00DA423D"/>
    <w:rsid w:val="00DA5F5B"/>
    <w:rsid w:val="00DA66AA"/>
    <w:rsid w:val="00DA6784"/>
    <w:rsid w:val="00DA68B6"/>
    <w:rsid w:val="00DA6A3A"/>
    <w:rsid w:val="00DA6D1B"/>
    <w:rsid w:val="00DA75A8"/>
    <w:rsid w:val="00DB00CD"/>
    <w:rsid w:val="00DB12B3"/>
    <w:rsid w:val="00DB205A"/>
    <w:rsid w:val="00DB2089"/>
    <w:rsid w:val="00DB2772"/>
    <w:rsid w:val="00DB305E"/>
    <w:rsid w:val="00DB5177"/>
    <w:rsid w:val="00DB6A73"/>
    <w:rsid w:val="00DB6A97"/>
    <w:rsid w:val="00DB7485"/>
    <w:rsid w:val="00DB74F2"/>
    <w:rsid w:val="00DB7BC4"/>
    <w:rsid w:val="00DC190C"/>
    <w:rsid w:val="00DC2986"/>
    <w:rsid w:val="00DC2B6E"/>
    <w:rsid w:val="00DC6631"/>
    <w:rsid w:val="00DC6D47"/>
    <w:rsid w:val="00DC7631"/>
    <w:rsid w:val="00DD0247"/>
    <w:rsid w:val="00DD0349"/>
    <w:rsid w:val="00DD03E1"/>
    <w:rsid w:val="00DD06C0"/>
    <w:rsid w:val="00DD0E4D"/>
    <w:rsid w:val="00DD0E88"/>
    <w:rsid w:val="00DD1DA0"/>
    <w:rsid w:val="00DD25DE"/>
    <w:rsid w:val="00DD264C"/>
    <w:rsid w:val="00DD4782"/>
    <w:rsid w:val="00DD48CD"/>
    <w:rsid w:val="00DD4AE3"/>
    <w:rsid w:val="00DD4D0F"/>
    <w:rsid w:val="00DD563E"/>
    <w:rsid w:val="00DD7DE1"/>
    <w:rsid w:val="00DD7E46"/>
    <w:rsid w:val="00DE1C55"/>
    <w:rsid w:val="00DE21DE"/>
    <w:rsid w:val="00DE2945"/>
    <w:rsid w:val="00DE2BEF"/>
    <w:rsid w:val="00DE3BAA"/>
    <w:rsid w:val="00DE5963"/>
    <w:rsid w:val="00DE616F"/>
    <w:rsid w:val="00DE665A"/>
    <w:rsid w:val="00DE687B"/>
    <w:rsid w:val="00DF0A3C"/>
    <w:rsid w:val="00DF162B"/>
    <w:rsid w:val="00DF19D5"/>
    <w:rsid w:val="00DF1FCE"/>
    <w:rsid w:val="00DF29D6"/>
    <w:rsid w:val="00DF2A4B"/>
    <w:rsid w:val="00DF2E87"/>
    <w:rsid w:val="00DF3E50"/>
    <w:rsid w:val="00DF54EC"/>
    <w:rsid w:val="00DF668A"/>
    <w:rsid w:val="00DF692A"/>
    <w:rsid w:val="00DF7503"/>
    <w:rsid w:val="00DF78C0"/>
    <w:rsid w:val="00E01F6F"/>
    <w:rsid w:val="00E02126"/>
    <w:rsid w:val="00E02447"/>
    <w:rsid w:val="00E02DA2"/>
    <w:rsid w:val="00E0390C"/>
    <w:rsid w:val="00E04905"/>
    <w:rsid w:val="00E0512F"/>
    <w:rsid w:val="00E05F79"/>
    <w:rsid w:val="00E07BE4"/>
    <w:rsid w:val="00E101BE"/>
    <w:rsid w:val="00E10204"/>
    <w:rsid w:val="00E10293"/>
    <w:rsid w:val="00E10646"/>
    <w:rsid w:val="00E10DD5"/>
    <w:rsid w:val="00E111E3"/>
    <w:rsid w:val="00E11B5D"/>
    <w:rsid w:val="00E1231E"/>
    <w:rsid w:val="00E1317E"/>
    <w:rsid w:val="00E132DD"/>
    <w:rsid w:val="00E14644"/>
    <w:rsid w:val="00E14F33"/>
    <w:rsid w:val="00E14FB1"/>
    <w:rsid w:val="00E15F62"/>
    <w:rsid w:val="00E1799B"/>
    <w:rsid w:val="00E20205"/>
    <w:rsid w:val="00E2057F"/>
    <w:rsid w:val="00E20E76"/>
    <w:rsid w:val="00E21CDC"/>
    <w:rsid w:val="00E22B26"/>
    <w:rsid w:val="00E2398B"/>
    <w:rsid w:val="00E248CF"/>
    <w:rsid w:val="00E24A1D"/>
    <w:rsid w:val="00E24F0D"/>
    <w:rsid w:val="00E25BD8"/>
    <w:rsid w:val="00E25DFA"/>
    <w:rsid w:val="00E27009"/>
    <w:rsid w:val="00E27C11"/>
    <w:rsid w:val="00E301DF"/>
    <w:rsid w:val="00E3039A"/>
    <w:rsid w:val="00E3067B"/>
    <w:rsid w:val="00E31F37"/>
    <w:rsid w:val="00E325AB"/>
    <w:rsid w:val="00E32666"/>
    <w:rsid w:val="00E32825"/>
    <w:rsid w:val="00E3343F"/>
    <w:rsid w:val="00E35219"/>
    <w:rsid w:val="00E35B4D"/>
    <w:rsid w:val="00E370F4"/>
    <w:rsid w:val="00E4091A"/>
    <w:rsid w:val="00E40DA7"/>
    <w:rsid w:val="00E40E10"/>
    <w:rsid w:val="00E41106"/>
    <w:rsid w:val="00E41341"/>
    <w:rsid w:val="00E41529"/>
    <w:rsid w:val="00E41D74"/>
    <w:rsid w:val="00E429A6"/>
    <w:rsid w:val="00E434DF"/>
    <w:rsid w:val="00E43CB9"/>
    <w:rsid w:val="00E43DA6"/>
    <w:rsid w:val="00E44217"/>
    <w:rsid w:val="00E44B9B"/>
    <w:rsid w:val="00E44F9A"/>
    <w:rsid w:val="00E460EE"/>
    <w:rsid w:val="00E4679D"/>
    <w:rsid w:val="00E46FDD"/>
    <w:rsid w:val="00E47531"/>
    <w:rsid w:val="00E4776E"/>
    <w:rsid w:val="00E509D9"/>
    <w:rsid w:val="00E51D14"/>
    <w:rsid w:val="00E520C4"/>
    <w:rsid w:val="00E53242"/>
    <w:rsid w:val="00E54AEB"/>
    <w:rsid w:val="00E55249"/>
    <w:rsid w:val="00E56DC4"/>
    <w:rsid w:val="00E57075"/>
    <w:rsid w:val="00E577CE"/>
    <w:rsid w:val="00E60B57"/>
    <w:rsid w:val="00E60E14"/>
    <w:rsid w:val="00E627D2"/>
    <w:rsid w:val="00E629CA"/>
    <w:rsid w:val="00E62D60"/>
    <w:rsid w:val="00E63155"/>
    <w:rsid w:val="00E63760"/>
    <w:rsid w:val="00E639C4"/>
    <w:rsid w:val="00E63A31"/>
    <w:rsid w:val="00E63BF6"/>
    <w:rsid w:val="00E6482D"/>
    <w:rsid w:val="00E6631A"/>
    <w:rsid w:val="00E66C21"/>
    <w:rsid w:val="00E7092C"/>
    <w:rsid w:val="00E70D2C"/>
    <w:rsid w:val="00E71888"/>
    <w:rsid w:val="00E73686"/>
    <w:rsid w:val="00E73E82"/>
    <w:rsid w:val="00E74ED5"/>
    <w:rsid w:val="00E76040"/>
    <w:rsid w:val="00E76A42"/>
    <w:rsid w:val="00E76D89"/>
    <w:rsid w:val="00E76F65"/>
    <w:rsid w:val="00E77521"/>
    <w:rsid w:val="00E7753A"/>
    <w:rsid w:val="00E80446"/>
    <w:rsid w:val="00E807FE"/>
    <w:rsid w:val="00E821E6"/>
    <w:rsid w:val="00E82260"/>
    <w:rsid w:val="00E83A37"/>
    <w:rsid w:val="00E83B8D"/>
    <w:rsid w:val="00E847C6"/>
    <w:rsid w:val="00E849BB"/>
    <w:rsid w:val="00E84AF2"/>
    <w:rsid w:val="00E85388"/>
    <w:rsid w:val="00E857DB"/>
    <w:rsid w:val="00E85BCA"/>
    <w:rsid w:val="00E86D1B"/>
    <w:rsid w:val="00E86E96"/>
    <w:rsid w:val="00E87BB9"/>
    <w:rsid w:val="00E9004E"/>
    <w:rsid w:val="00E90CB5"/>
    <w:rsid w:val="00E917B2"/>
    <w:rsid w:val="00E91CF3"/>
    <w:rsid w:val="00E939DD"/>
    <w:rsid w:val="00E9553F"/>
    <w:rsid w:val="00E97388"/>
    <w:rsid w:val="00E97661"/>
    <w:rsid w:val="00E976D3"/>
    <w:rsid w:val="00EA04A2"/>
    <w:rsid w:val="00EA08EC"/>
    <w:rsid w:val="00EA298F"/>
    <w:rsid w:val="00EA2A05"/>
    <w:rsid w:val="00EA34B7"/>
    <w:rsid w:val="00EA4D7F"/>
    <w:rsid w:val="00EA4ED4"/>
    <w:rsid w:val="00EA62C2"/>
    <w:rsid w:val="00EA72AF"/>
    <w:rsid w:val="00EB0E10"/>
    <w:rsid w:val="00EB1DE0"/>
    <w:rsid w:val="00EB2557"/>
    <w:rsid w:val="00EB2724"/>
    <w:rsid w:val="00EB3C38"/>
    <w:rsid w:val="00EB51AE"/>
    <w:rsid w:val="00EB60E0"/>
    <w:rsid w:val="00EB67E7"/>
    <w:rsid w:val="00EB6B97"/>
    <w:rsid w:val="00EB7C2C"/>
    <w:rsid w:val="00EC0351"/>
    <w:rsid w:val="00EC03B3"/>
    <w:rsid w:val="00EC046E"/>
    <w:rsid w:val="00EC0D1C"/>
    <w:rsid w:val="00EC12BB"/>
    <w:rsid w:val="00EC181B"/>
    <w:rsid w:val="00EC1E56"/>
    <w:rsid w:val="00EC2939"/>
    <w:rsid w:val="00EC30D3"/>
    <w:rsid w:val="00EC314D"/>
    <w:rsid w:val="00EC40D4"/>
    <w:rsid w:val="00EC41ED"/>
    <w:rsid w:val="00EC6885"/>
    <w:rsid w:val="00EC68B9"/>
    <w:rsid w:val="00EC7B0A"/>
    <w:rsid w:val="00ED0FBF"/>
    <w:rsid w:val="00ED177C"/>
    <w:rsid w:val="00ED18B5"/>
    <w:rsid w:val="00ED26C9"/>
    <w:rsid w:val="00ED361B"/>
    <w:rsid w:val="00ED36F5"/>
    <w:rsid w:val="00ED55F1"/>
    <w:rsid w:val="00ED6207"/>
    <w:rsid w:val="00ED657C"/>
    <w:rsid w:val="00ED6A32"/>
    <w:rsid w:val="00ED6CD5"/>
    <w:rsid w:val="00ED6D63"/>
    <w:rsid w:val="00ED7952"/>
    <w:rsid w:val="00EE0F0F"/>
    <w:rsid w:val="00EE1B8F"/>
    <w:rsid w:val="00EE1D77"/>
    <w:rsid w:val="00EE2D27"/>
    <w:rsid w:val="00EE302A"/>
    <w:rsid w:val="00EE501B"/>
    <w:rsid w:val="00EE5382"/>
    <w:rsid w:val="00EE56C8"/>
    <w:rsid w:val="00EE5A67"/>
    <w:rsid w:val="00EE7070"/>
    <w:rsid w:val="00EE7CAF"/>
    <w:rsid w:val="00EF12C5"/>
    <w:rsid w:val="00EF17F0"/>
    <w:rsid w:val="00EF195D"/>
    <w:rsid w:val="00EF1A5E"/>
    <w:rsid w:val="00EF1E08"/>
    <w:rsid w:val="00EF2139"/>
    <w:rsid w:val="00EF2B7D"/>
    <w:rsid w:val="00EF3714"/>
    <w:rsid w:val="00EF3B4A"/>
    <w:rsid w:val="00EF4602"/>
    <w:rsid w:val="00EF4E90"/>
    <w:rsid w:val="00EF4EC8"/>
    <w:rsid w:val="00EF52CE"/>
    <w:rsid w:val="00EF5515"/>
    <w:rsid w:val="00EF5D68"/>
    <w:rsid w:val="00EF6D2C"/>
    <w:rsid w:val="00EF6E24"/>
    <w:rsid w:val="00EF76CC"/>
    <w:rsid w:val="00EF7B5E"/>
    <w:rsid w:val="00F029C9"/>
    <w:rsid w:val="00F0436A"/>
    <w:rsid w:val="00F04750"/>
    <w:rsid w:val="00F049A1"/>
    <w:rsid w:val="00F04E02"/>
    <w:rsid w:val="00F04EA8"/>
    <w:rsid w:val="00F04F03"/>
    <w:rsid w:val="00F05389"/>
    <w:rsid w:val="00F05B35"/>
    <w:rsid w:val="00F06E93"/>
    <w:rsid w:val="00F0738F"/>
    <w:rsid w:val="00F07DC4"/>
    <w:rsid w:val="00F10C1B"/>
    <w:rsid w:val="00F114E6"/>
    <w:rsid w:val="00F11618"/>
    <w:rsid w:val="00F11754"/>
    <w:rsid w:val="00F12698"/>
    <w:rsid w:val="00F12D52"/>
    <w:rsid w:val="00F13327"/>
    <w:rsid w:val="00F138C6"/>
    <w:rsid w:val="00F1395B"/>
    <w:rsid w:val="00F141DB"/>
    <w:rsid w:val="00F1441E"/>
    <w:rsid w:val="00F15100"/>
    <w:rsid w:val="00F1510C"/>
    <w:rsid w:val="00F1594A"/>
    <w:rsid w:val="00F16B2B"/>
    <w:rsid w:val="00F16D25"/>
    <w:rsid w:val="00F17407"/>
    <w:rsid w:val="00F175AE"/>
    <w:rsid w:val="00F207F1"/>
    <w:rsid w:val="00F2159E"/>
    <w:rsid w:val="00F22854"/>
    <w:rsid w:val="00F233A0"/>
    <w:rsid w:val="00F2377D"/>
    <w:rsid w:val="00F25199"/>
    <w:rsid w:val="00F254E2"/>
    <w:rsid w:val="00F25C9A"/>
    <w:rsid w:val="00F25E24"/>
    <w:rsid w:val="00F268C0"/>
    <w:rsid w:val="00F2728C"/>
    <w:rsid w:val="00F27E6F"/>
    <w:rsid w:val="00F303E3"/>
    <w:rsid w:val="00F3044B"/>
    <w:rsid w:val="00F31CC2"/>
    <w:rsid w:val="00F320E3"/>
    <w:rsid w:val="00F32862"/>
    <w:rsid w:val="00F3301B"/>
    <w:rsid w:val="00F33310"/>
    <w:rsid w:val="00F33A2F"/>
    <w:rsid w:val="00F33B11"/>
    <w:rsid w:val="00F345B6"/>
    <w:rsid w:val="00F358EE"/>
    <w:rsid w:val="00F35FF2"/>
    <w:rsid w:val="00F363B3"/>
    <w:rsid w:val="00F36CED"/>
    <w:rsid w:val="00F36DC1"/>
    <w:rsid w:val="00F36EE1"/>
    <w:rsid w:val="00F3749F"/>
    <w:rsid w:val="00F3767B"/>
    <w:rsid w:val="00F3781A"/>
    <w:rsid w:val="00F4039E"/>
    <w:rsid w:val="00F404CB"/>
    <w:rsid w:val="00F406B7"/>
    <w:rsid w:val="00F406F1"/>
    <w:rsid w:val="00F4181D"/>
    <w:rsid w:val="00F42B42"/>
    <w:rsid w:val="00F42FBF"/>
    <w:rsid w:val="00F43870"/>
    <w:rsid w:val="00F43A68"/>
    <w:rsid w:val="00F44B59"/>
    <w:rsid w:val="00F44BC1"/>
    <w:rsid w:val="00F45452"/>
    <w:rsid w:val="00F45AD6"/>
    <w:rsid w:val="00F45FE7"/>
    <w:rsid w:val="00F4728C"/>
    <w:rsid w:val="00F50377"/>
    <w:rsid w:val="00F508A2"/>
    <w:rsid w:val="00F5252C"/>
    <w:rsid w:val="00F5327A"/>
    <w:rsid w:val="00F53F8C"/>
    <w:rsid w:val="00F544C0"/>
    <w:rsid w:val="00F571F0"/>
    <w:rsid w:val="00F572D7"/>
    <w:rsid w:val="00F602C7"/>
    <w:rsid w:val="00F6092B"/>
    <w:rsid w:val="00F60A77"/>
    <w:rsid w:val="00F61173"/>
    <w:rsid w:val="00F61AEE"/>
    <w:rsid w:val="00F625F6"/>
    <w:rsid w:val="00F62976"/>
    <w:rsid w:val="00F62C1D"/>
    <w:rsid w:val="00F632DD"/>
    <w:rsid w:val="00F6530A"/>
    <w:rsid w:val="00F65447"/>
    <w:rsid w:val="00F65840"/>
    <w:rsid w:val="00F66081"/>
    <w:rsid w:val="00F67464"/>
    <w:rsid w:val="00F675E5"/>
    <w:rsid w:val="00F67625"/>
    <w:rsid w:val="00F70699"/>
    <w:rsid w:val="00F72237"/>
    <w:rsid w:val="00F73140"/>
    <w:rsid w:val="00F73C64"/>
    <w:rsid w:val="00F75E95"/>
    <w:rsid w:val="00F77A50"/>
    <w:rsid w:val="00F80EC8"/>
    <w:rsid w:val="00F81E2F"/>
    <w:rsid w:val="00F82056"/>
    <w:rsid w:val="00F82D57"/>
    <w:rsid w:val="00F83570"/>
    <w:rsid w:val="00F83899"/>
    <w:rsid w:val="00F83E1C"/>
    <w:rsid w:val="00F84444"/>
    <w:rsid w:val="00F84604"/>
    <w:rsid w:val="00F84AD0"/>
    <w:rsid w:val="00F853D5"/>
    <w:rsid w:val="00F85F5B"/>
    <w:rsid w:val="00F8619F"/>
    <w:rsid w:val="00F87312"/>
    <w:rsid w:val="00F87480"/>
    <w:rsid w:val="00F9017A"/>
    <w:rsid w:val="00F90F87"/>
    <w:rsid w:val="00F91014"/>
    <w:rsid w:val="00F921C5"/>
    <w:rsid w:val="00F92C30"/>
    <w:rsid w:val="00F952FF"/>
    <w:rsid w:val="00F959BB"/>
    <w:rsid w:val="00F9612B"/>
    <w:rsid w:val="00F97AC3"/>
    <w:rsid w:val="00F97D2D"/>
    <w:rsid w:val="00F97E30"/>
    <w:rsid w:val="00FA1233"/>
    <w:rsid w:val="00FA1EE2"/>
    <w:rsid w:val="00FA28A1"/>
    <w:rsid w:val="00FA2A1E"/>
    <w:rsid w:val="00FA2BB8"/>
    <w:rsid w:val="00FA37CF"/>
    <w:rsid w:val="00FA3858"/>
    <w:rsid w:val="00FA3A5E"/>
    <w:rsid w:val="00FA3E03"/>
    <w:rsid w:val="00FA4DD7"/>
    <w:rsid w:val="00FA5CEC"/>
    <w:rsid w:val="00FA6AA1"/>
    <w:rsid w:val="00FA6AD8"/>
    <w:rsid w:val="00FA779C"/>
    <w:rsid w:val="00FB0197"/>
    <w:rsid w:val="00FB05BB"/>
    <w:rsid w:val="00FB1D7C"/>
    <w:rsid w:val="00FB35E6"/>
    <w:rsid w:val="00FB3A70"/>
    <w:rsid w:val="00FB443D"/>
    <w:rsid w:val="00FB467E"/>
    <w:rsid w:val="00FB58FD"/>
    <w:rsid w:val="00FB6AE5"/>
    <w:rsid w:val="00FB6E75"/>
    <w:rsid w:val="00FB72D2"/>
    <w:rsid w:val="00FB74E1"/>
    <w:rsid w:val="00FB7940"/>
    <w:rsid w:val="00FC044F"/>
    <w:rsid w:val="00FC0CA8"/>
    <w:rsid w:val="00FC10E3"/>
    <w:rsid w:val="00FC12F7"/>
    <w:rsid w:val="00FC21AE"/>
    <w:rsid w:val="00FC31D0"/>
    <w:rsid w:val="00FC32E5"/>
    <w:rsid w:val="00FC3764"/>
    <w:rsid w:val="00FC5402"/>
    <w:rsid w:val="00FC5D57"/>
    <w:rsid w:val="00FC72E8"/>
    <w:rsid w:val="00FC7A57"/>
    <w:rsid w:val="00FC7B4A"/>
    <w:rsid w:val="00FC7E63"/>
    <w:rsid w:val="00FD0B1F"/>
    <w:rsid w:val="00FD0F9C"/>
    <w:rsid w:val="00FD1539"/>
    <w:rsid w:val="00FD1AA8"/>
    <w:rsid w:val="00FD1C58"/>
    <w:rsid w:val="00FD4D33"/>
    <w:rsid w:val="00FD6991"/>
    <w:rsid w:val="00FD72F4"/>
    <w:rsid w:val="00FD7B7B"/>
    <w:rsid w:val="00FD7C99"/>
    <w:rsid w:val="00FE09B2"/>
    <w:rsid w:val="00FE1171"/>
    <w:rsid w:val="00FE1BA9"/>
    <w:rsid w:val="00FE2FB6"/>
    <w:rsid w:val="00FE38D0"/>
    <w:rsid w:val="00FE3B30"/>
    <w:rsid w:val="00FE477B"/>
    <w:rsid w:val="00FE4F33"/>
    <w:rsid w:val="00FE658D"/>
    <w:rsid w:val="00FE6AAC"/>
    <w:rsid w:val="00FE71E3"/>
    <w:rsid w:val="00FE7A56"/>
    <w:rsid w:val="00FE7E46"/>
    <w:rsid w:val="00FF035F"/>
    <w:rsid w:val="00FF0ADA"/>
    <w:rsid w:val="00FF0BDE"/>
    <w:rsid w:val="00FF1FD0"/>
    <w:rsid w:val="00FF2D9E"/>
    <w:rsid w:val="00FF302A"/>
    <w:rsid w:val="00FF3818"/>
    <w:rsid w:val="00FF38EF"/>
    <w:rsid w:val="00FF3C52"/>
    <w:rsid w:val="00FF587A"/>
    <w:rsid w:val="00FF5C2E"/>
    <w:rsid w:val="00FF5DA1"/>
    <w:rsid w:val="00FF5F4D"/>
    <w:rsid w:val="00FF62B8"/>
    <w:rsid w:val="00FF6EDE"/>
  </w:rsids>
  <m:mathPr>
    <m:mathFont m:val="Cambria Math"/>
    <m:brkBin m:val="before"/>
    <m:brkBinSub m:val="--"/>
    <m:smallFrac m:val="0"/>
    <m:dispDef m:val="0"/>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4:docId w14:val="5CB47174"/>
  <w15:docId w15:val="{D258DBDC-5CA4-044D-BAB7-964A1F48B8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pPr>
        <w:spacing w:after="200"/>
      </w:pPr>
    </w:pPrDefault>
  </w:docDefaults>
  <w:latentStyles w:defLockedState="0" w:defUIPriority="0" w:defSemiHidden="0" w:defUnhideWhenUsed="0" w:defQFormat="0" w:count="376">
    <w:lsdException w:name="heading 1" w:uiPriority="9" w:qFormat="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Balloon Text" w:semiHidden="1" w:uiPriority="99" w:unhideWhenUsed="1"/>
    <w:lsdException w:name="Table Grid" w:uiPriority="59"/>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iPriority="99"/>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04905"/>
    <w:pPr>
      <w:spacing w:after="0"/>
    </w:pPr>
    <w:rPr>
      <w:rFonts w:ascii="Times New Roman" w:eastAsiaTheme="minorEastAsia" w:hAnsi="Times New Roman" w:cs="Times New Roman"/>
      <w:lang w:eastAsia="it-IT"/>
    </w:rPr>
  </w:style>
  <w:style w:type="paragraph" w:styleId="Heading1">
    <w:name w:val="heading 1"/>
    <w:basedOn w:val="Normal"/>
    <w:link w:val="Titolo1Carattere"/>
    <w:uiPriority w:val="9"/>
    <w:qFormat/>
    <w:rsid w:val="004B142A"/>
    <w:pPr>
      <w:spacing w:before="100" w:beforeAutospacing="1" w:after="100" w:afterAutospacing="1"/>
      <w:outlineLvl w:val="0"/>
    </w:pPr>
    <w:rPr>
      <w:rFonts w:eastAsia="Times New Roman"/>
      <w:b/>
      <w:bCs/>
      <w:kern w:val="36"/>
      <w:sz w:val="48"/>
      <w:szCs w:val="4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TestofumettoCarattere"/>
    <w:uiPriority w:val="99"/>
    <w:unhideWhenUsed/>
    <w:rsid w:val="00E04905"/>
    <w:rPr>
      <w:rFonts w:ascii="Lucida Grande" w:hAnsi="Lucida Grande" w:cs="Lucida Grande"/>
      <w:sz w:val="18"/>
      <w:szCs w:val="18"/>
    </w:rPr>
  </w:style>
  <w:style w:type="character" w:customStyle="1" w:styleId="TestofumettoCarattere">
    <w:name w:val="Testo fumetto Carattere"/>
    <w:basedOn w:val="DefaultParagraphFont"/>
    <w:link w:val="BalloonText"/>
    <w:uiPriority w:val="99"/>
    <w:rsid w:val="00E04905"/>
    <w:rPr>
      <w:rFonts w:ascii="Lucida Grande" w:eastAsiaTheme="minorEastAsia" w:hAnsi="Lucida Grande" w:cs="Lucida Grande"/>
      <w:sz w:val="18"/>
      <w:szCs w:val="18"/>
      <w:lang w:eastAsia="it-IT"/>
    </w:rPr>
  </w:style>
  <w:style w:type="paragraph" w:styleId="NormalWeb">
    <w:name w:val="Normal (Web)"/>
    <w:basedOn w:val="Normal"/>
    <w:uiPriority w:val="99"/>
    <w:unhideWhenUsed/>
    <w:rsid w:val="00E04905"/>
    <w:pPr>
      <w:spacing w:before="100" w:beforeAutospacing="1" w:after="100" w:afterAutospacing="1"/>
    </w:pPr>
    <w:rPr>
      <w:rFonts w:ascii="Times" w:hAnsi="Times"/>
      <w:sz w:val="20"/>
      <w:szCs w:val="20"/>
    </w:rPr>
  </w:style>
  <w:style w:type="character" w:styleId="Hyperlink">
    <w:name w:val="Hyperlink"/>
    <w:basedOn w:val="DefaultParagraphFont"/>
    <w:uiPriority w:val="99"/>
    <w:unhideWhenUsed/>
    <w:rsid w:val="00E04905"/>
    <w:rPr>
      <w:color w:val="0000FF" w:themeColor="hyperlink"/>
      <w:u w:val="single"/>
    </w:rPr>
  </w:style>
  <w:style w:type="character" w:styleId="FollowedHyperlink">
    <w:name w:val="FollowedHyperlink"/>
    <w:basedOn w:val="DefaultParagraphFont"/>
    <w:uiPriority w:val="99"/>
    <w:semiHidden/>
    <w:unhideWhenUsed/>
    <w:rsid w:val="00E04905"/>
    <w:rPr>
      <w:color w:val="800080" w:themeColor="followedHyperlink"/>
      <w:u w:val="single"/>
    </w:rPr>
  </w:style>
  <w:style w:type="character" w:styleId="CommentReference">
    <w:name w:val="annotation reference"/>
    <w:basedOn w:val="DefaultParagraphFont"/>
    <w:uiPriority w:val="99"/>
    <w:semiHidden/>
    <w:unhideWhenUsed/>
    <w:rsid w:val="00E04905"/>
    <w:rPr>
      <w:sz w:val="18"/>
      <w:szCs w:val="18"/>
    </w:rPr>
  </w:style>
  <w:style w:type="paragraph" w:styleId="CommentText">
    <w:name w:val="annotation text"/>
    <w:basedOn w:val="Normal"/>
    <w:link w:val="TestocommentoCarattere"/>
    <w:uiPriority w:val="99"/>
    <w:unhideWhenUsed/>
    <w:rsid w:val="00E04905"/>
  </w:style>
  <w:style w:type="character" w:customStyle="1" w:styleId="TestocommentoCarattere">
    <w:name w:val="Testo commento Carattere"/>
    <w:basedOn w:val="DefaultParagraphFont"/>
    <w:link w:val="CommentText"/>
    <w:uiPriority w:val="99"/>
    <w:rsid w:val="00E04905"/>
    <w:rPr>
      <w:rFonts w:ascii="Times New Roman" w:eastAsiaTheme="minorEastAsia" w:hAnsi="Times New Roman" w:cs="Times New Roman"/>
      <w:sz w:val="24"/>
      <w:szCs w:val="24"/>
      <w:lang w:eastAsia="it-IT"/>
    </w:rPr>
  </w:style>
  <w:style w:type="paragraph" w:styleId="CommentSubject">
    <w:name w:val="annotation subject"/>
    <w:basedOn w:val="CommentText"/>
    <w:next w:val="CommentText"/>
    <w:link w:val="SoggettocommentoCarattere"/>
    <w:uiPriority w:val="99"/>
    <w:semiHidden/>
    <w:unhideWhenUsed/>
    <w:rsid w:val="00E04905"/>
    <w:rPr>
      <w:b/>
      <w:bCs/>
      <w:sz w:val="20"/>
      <w:szCs w:val="20"/>
    </w:rPr>
  </w:style>
  <w:style w:type="character" w:customStyle="1" w:styleId="SoggettocommentoCarattere">
    <w:name w:val="Soggetto commento Carattere"/>
    <w:basedOn w:val="TestocommentoCarattere"/>
    <w:link w:val="CommentSubject"/>
    <w:uiPriority w:val="99"/>
    <w:semiHidden/>
    <w:rsid w:val="00E04905"/>
    <w:rPr>
      <w:rFonts w:ascii="Times New Roman" w:eastAsiaTheme="minorEastAsia" w:hAnsi="Times New Roman" w:cs="Times New Roman"/>
      <w:b/>
      <w:bCs/>
      <w:sz w:val="24"/>
      <w:szCs w:val="24"/>
      <w:lang w:eastAsia="it-IT"/>
    </w:rPr>
  </w:style>
  <w:style w:type="paragraph" w:styleId="Revision">
    <w:name w:val="Revision"/>
    <w:hidden/>
    <w:uiPriority w:val="99"/>
    <w:semiHidden/>
    <w:rsid w:val="00E04905"/>
    <w:pPr>
      <w:spacing w:after="0"/>
    </w:pPr>
    <w:rPr>
      <w:rFonts w:ascii="Times New Roman" w:eastAsiaTheme="minorEastAsia" w:hAnsi="Times New Roman" w:cs="Times New Roman"/>
      <w:lang w:eastAsia="it-IT"/>
    </w:rPr>
  </w:style>
  <w:style w:type="character" w:styleId="Emphasis">
    <w:name w:val="Emphasis"/>
    <w:basedOn w:val="DefaultParagraphFont"/>
    <w:uiPriority w:val="20"/>
    <w:qFormat/>
    <w:rsid w:val="00E04905"/>
    <w:rPr>
      <w:i/>
      <w:iCs/>
    </w:rPr>
  </w:style>
  <w:style w:type="paragraph" w:styleId="NoSpacing">
    <w:name w:val="No Spacing"/>
    <w:uiPriority w:val="1"/>
    <w:qFormat/>
    <w:rsid w:val="00E04905"/>
    <w:pPr>
      <w:spacing w:after="0"/>
    </w:pPr>
    <w:rPr>
      <w:rFonts w:ascii="Times New Roman" w:eastAsiaTheme="minorEastAsia" w:hAnsi="Times New Roman" w:cs="Times New Roman"/>
      <w:lang w:eastAsia="it-IT"/>
    </w:rPr>
  </w:style>
  <w:style w:type="paragraph" w:styleId="HTMLPreformatted">
    <w:name w:val="HTML Preformatted"/>
    <w:basedOn w:val="Normal"/>
    <w:link w:val="PreformattatoHTMLCarattere"/>
    <w:uiPriority w:val="99"/>
    <w:unhideWhenUsed/>
    <w:rsid w:val="00E049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PreformattatoHTMLCarattere">
    <w:name w:val="Preformattato HTML Carattere"/>
    <w:basedOn w:val="DefaultParagraphFont"/>
    <w:link w:val="HTMLPreformatted"/>
    <w:uiPriority w:val="99"/>
    <w:rsid w:val="00E04905"/>
    <w:rPr>
      <w:rFonts w:ascii="Courier New" w:eastAsia="Times New Roman" w:hAnsi="Courier New" w:cs="Courier New"/>
      <w:lang w:eastAsia="it-IT"/>
    </w:rPr>
  </w:style>
  <w:style w:type="paragraph" w:styleId="ListParagraph">
    <w:name w:val="List Paragraph"/>
    <w:basedOn w:val="Normal"/>
    <w:uiPriority w:val="34"/>
    <w:qFormat/>
    <w:rsid w:val="00E04905"/>
    <w:pPr>
      <w:ind w:left="720"/>
      <w:contextualSpacing/>
    </w:pPr>
  </w:style>
  <w:style w:type="paragraph" w:styleId="Header">
    <w:name w:val="header"/>
    <w:basedOn w:val="Normal"/>
    <w:link w:val="IntestazioneCarattere"/>
    <w:uiPriority w:val="99"/>
    <w:semiHidden/>
    <w:unhideWhenUsed/>
    <w:rsid w:val="00E04905"/>
    <w:pPr>
      <w:tabs>
        <w:tab w:val="center" w:pos="4819"/>
        <w:tab w:val="right" w:pos="9638"/>
      </w:tabs>
    </w:pPr>
  </w:style>
  <w:style w:type="character" w:customStyle="1" w:styleId="IntestazioneCarattere">
    <w:name w:val="Intestazione Carattere"/>
    <w:basedOn w:val="DefaultParagraphFont"/>
    <w:link w:val="Header"/>
    <w:uiPriority w:val="99"/>
    <w:semiHidden/>
    <w:rsid w:val="00E04905"/>
    <w:rPr>
      <w:rFonts w:ascii="Times New Roman" w:eastAsiaTheme="minorEastAsia" w:hAnsi="Times New Roman" w:cs="Times New Roman"/>
      <w:sz w:val="24"/>
      <w:szCs w:val="24"/>
      <w:lang w:eastAsia="it-IT"/>
    </w:rPr>
  </w:style>
  <w:style w:type="paragraph" w:styleId="Footer">
    <w:name w:val="footer"/>
    <w:basedOn w:val="Normal"/>
    <w:link w:val="PidipaginaCarattere"/>
    <w:uiPriority w:val="99"/>
    <w:unhideWhenUsed/>
    <w:rsid w:val="00E04905"/>
    <w:pPr>
      <w:tabs>
        <w:tab w:val="center" w:pos="4819"/>
        <w:tab w:val="right" w:pos="9638"/>
      </w:tabs>
    </w:pPr>
  </w:style>
  <w:style w:type="character" w:customStyle="1" w:styleId="PidipaginaCarattere">
    <w:name w:val="Piè di pagina Carattere"/>
    <w:basedOn w:val="DefaultParagraphFont"/>
    <w:link w:val="Footer"/>
    <w:uiPriority w:val="99"/>
    <w:rsid w:val="00E04905"/>
    <w:rPr>
      <w:rFonts w:ascii="Times New Roman" w:eastAsiaTheme="minorEastAsia" w:hAnsi="Times New Roman" w:cs="Times New Roman"/>
      <w:sz w:val="24"/>
      <w:szCs w:val="24"/>
      <w:lang w:eastAsia="it-IT"/>
    </w:rPr>
  </w:style>
  <w:style w:type="character" w:customStyle="1" w:styleId="Titolo1Carattere">
    <w:name w:val="Titolo 1 Carattere"/>
    <w:basedOn w:val="DefaultParagraphFont"/>
    <w:link w:val="Heading1"/>
    <w:uiPriority w:val="9"/>
    <w:rsid w:val="004B142A"/>
    <w:rPr>
      <w:rFonts w:ascii="Times New Roman" w:eastAsia="Times New Roman" w:hAnsi="Times New Roman" w:cs="Times New Roman"/>
      <w:b/>
      <w:bCs/>
      <w:kern w:val="36"/>
      <w:sz w:val="48"/>
      <w:szCs w:val="48"/>
      <w:lang w:val="en-GB" w:eastAsia="en-GB"/>
    </w:rPr>
  </w:style>
  <w:style w:type="character" w:customStyle="1" w:styleId="highlight">
    <w:name w:val="highlight"/>
    <w:basedOn w:val="DefaultParagraphFont"/>
    <w:rsid w:val="004B142A"/>
  </w:style>
  <w:style w:type="table" w:styleId="TableGrid">
    <w:name w:val="Table Grid"/>
    <w:basedOn w:val="TableNormal"/>
    <w:uiPriority w:val="59"/>
    <w:rsid w:val="005379EB"/>
    <w:pPr>
      <w:spacing w:after="0"/>
    </w:pPr>
    <w:rPr>
      <w:rFonts w:ascii="Times New Roman" w:hAnsi="Times New Roman" w:cs="Times New Roman"/>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semiHidden/>
    <w:unhideWhenUsed/>
    <w:rsid w:val="00E976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3257329">
      <w:bodyDiv w:val="1"/>
      <w:marLeft w:val="0"/>
      <w:marRight w:val="0"/>
      <w:marTop w:val="0"/>
      <w:marBottom w:val="0"/>
      <w:divBdr>
        <w:top w:val="none" w:sz="0" w:space="0" w:color="auto"/>
        <w:left w:val="none" w:sz="0" w:space="0" w:color="auto"/>
        <w:bottom w:val="none" w:sz="0" w:space="0" w:color="auto"/>
        <w:right w:val="none" w:sz="0" w:space="0" w:color="auto"/>
      </w:divBdr>
    </w:div>
    <w:div w:id="159277747">
      <w:bodyDiv w:val="1"/>
      <w:marLeft w:val="0"/>
      <w:marRight w:val="0"/>
      <w:marTop w:val="0"/>
      <w:marBottom w:val="0"/>
      <w:divBdr>
        <w:top w:val="none" w:sz="0" w:space="0" w:color="auto"/>
        <w:left w:val="none" w:sz="0" w:space="0" w:color="auto"/>
        <w:bottom w:val="none" w:sz="0" w:space="0" w:color="auto"/>
        <w:right w:val="none" w:sz="0" w:space="0" w:color="auto"/>
      </w:divBdr>
      <w:divsChild>
        <w:div w:id="2024089609">
          <w:marLeft w:val="0"/>
          <w:marRight w:val="0"/>
          <w:marTop w:val="0"/>
          <w:marBottom w:val="0"/>
          <w:divBdr>
            <w:top w:val="none" w:sz="0" w:space="0" w:color="auto"/>
            <w:left w:val="none" w:sz="0" w:space="0" w:color="auto"/>
            <w:bottom w:val="none" w:sz="0" w:space="0" w:color="auto"/>
            <w:right w:val="none" w:sz="0" w:space="0" w:color="auto"/>
          </w:divBdr>
        </w:div>
        <w:div w:id="1972007041">
          <w:marLeft w:val="0"/>
          <w:marRight w:val="0"/>
          <w:marTop w:val="0"/>
          <w:marBottom w:val="0"/>
          <w:divBdr>
            <w:top w:val="none" w:sz="0" w:space="0" w:color="auto"/>
            <w:left w:val="none" w:sz="0" w:space="0" w:color="auto"/>
            <w:bottom w:val="none" w:sz="0" w:space="0" w:color="auto"/>
            <w:right w:val="none" w:sz="0" w:space="0" w:color="auto"/>
          </w:divBdr>
        </w:div>
        <w:div w:id="674844258">
          <w:marLeft w:val="0"/>
          <w:marRight w:val="0"/>
          <w:marTop w:val="0"/>
          <w:marBottom w:val="0"/>
          <w:divBdr>
            <w:top w:val="none" w:sz="0" w:space="0" w:color="auto"/>
            <w:left w:val="none" w:sz="0" w:space="0" w:color="auto"/>
            <w:bottom w:val="none" w:sz="0" w:space="0" w:color="auto"/>
            <w:right w:val="none" w:sz="0" w:space="0" w:color="auto"/>
          </w:divBdr>
        </w:div>
        <w:div w:id="839471327">
          <w:marLeft w:val="0"/>
          <w:marRight w:val="0"/>
          <w:marTop w:val="0"/>
          <w:marBottom w:val="0"/>
          <w:divBdr>
            <w:top w:val="none" w:sz="0" w:space="0" w:color="auto"/>
            <w:left w:val="none" w:sz="0" w:space="0" w:color="auto"/>
            <w:bottom w:val="none" w:sz="0" w:space="0" w:color="auto"/>
            <w:right w:val="none" w:sz="0" w:space="0" w:color="auto"/>
          </w:divBdr>
        </w:div>
        <w:div w:id="553124495">
          <w:marLeft w:val="0"/>
          <w:marRight w:val="0"/>
          <w:marTop w:val="0"/>
          <w:marBottom w:val="0"/>
          <w:divBdr>
            <w:top w:val="none" w:sz="0" w:space="0" w:color="auto"/>
            <w:left w:val="none" w:sz="0" w:space="0" w:color="auto"/>
            <w:bottom w:val="none" w:sz="0" w:space="0" w:color="auto"/>
            <w:right w:val="none" w:sz="0" w:space="0" w:color="auto"/>
          </w:divBdr>
        </w:div>
        <w:div w:id="921719597">
          <w:marLeft w:val="0"/>
          <w:marRight w:val="0"/>
          <w:marTop w:val="0"/>
          <w:marBottom w:val="0"/>
          <w:divBdr>
            <w:top w:val="none" w:sz="0" w:space="0" w:color="auto"/>
            <w:left w:val="none" w:sz="0" w:space="0" w:color="auto"/>
            <w:bottom w:val="none" w:sz="0" w:space="0" w:color="auto"/>
            <w:right w:val="none" w:sz="0" w:space="0" w:color="auto"/>
          </w:divBdr>
        </w:div>
        <w:div w:id="32120679">
          <w:marLeft w:val="0"/>
          <w:marRight w:val="0"/>
          <w:marTop w:val="0"/>
          <w:marBottom w:val="0"/>
          <w:divBdr>
            <w:top w:val="none" w:sz="0" w:space="0" w:color="auto"/>
            <w:left w:val="none" w:sz="0" w:space="0" w:color="auto"/>
            <w:bottom w:val="none" w:sz="0" w:space="0" w:color="auto"/>
            <w:right w:val="none" w:sz="0" w:space="0" w:color="auto"/>
          </w:divBdr>
        </w:div>
        <w:div w:id="927349631">
          <w:marLeft w:val="0"/>
          <w:marRight w:val="0"/>
          <w:marTop w:val="0"/>
          <w:marBottom w:val="0"/>
          <w:divBdr>
            <w:top w:val="none" w:sz="0" w:space="0" w:color="auto"/>
            <w:left w:val="none" w:sz="0" w:space="0" w:color="auto"/>
            <w:bottom w:val="none" w:sz="0" w:space="0" w:color="auto"/>
            <w:right w:val="none" w:sz="0" w:space="0" w:color="auto"/>
          </w:divBdr>
        </w:div>
        <w:div w:id="471021029">
          <w:marLeft w:val="0"/>
          <w:marRight w:val="0"/>
          <w:marTop w:val="0"/>
          <w:marBottom w:val="0"/>
          <w:divBdr>
            <w:top w:val="none" w:sz="0" w:space="0" w:color="auto"/>
            <w:left w:val="none" w:sz="0" w:space="0" w:color="auto"/>
            <w:bottom w:val="none" w:sz="0" w:space="0" w:color="auto"/>
            <w:right w:val="none" w:sz="0" w:space="0" w:color="auto"/>
          </w:divBdr>
        </w:div>
        <w:div w:id="924143368">
          <w:marLeft w:val="0"/>
          <w:marRight w:val="0"/>
          <w:marTop w:val="0"/>
          <w:marBottom w:val="0"/>
          <w:divBdr>
            <w:top w:val="none" w:sz="0" w:space="0" w:color="auto"/>
            <w:left w:val="none" w:sz="0" w:space="0" w:color="auto"/>
            <w:bottom w:val="none" w:sz="0" w:space="0" w:color="auto"/>
            <w:right w:val="none" w:sz="0" w:space="0" w:color="auto"/>
          </w:divBdr>
        </w:div>
        <w:div w:id="2057312689">
          <w:marLeft w:val="0"/>
          <w:marRight w:val="0"/>
          <w:marTop w:val="0"/>
          <w:marBottom w:val="0"/>
          <w:divBdr>
            <w:top w:val="none" w:sz="0" w:space="0" w:color="auto"/>
            <w:left w:val="none" w:sz="0" w:space="0" w:color="auto"/>
            <w:bottom w:val="none" w:sz="0" w:space="0" w:color="auto"/>
            <w:right w:val="none" w:sz="0" w:space="0" w:color="auto"/>
          </w:divBdr>
        </w:div>
        <w:div w:id="785393662">
          <w:marLeft w:val="0"/>
          <w:marRight w:val="0"/>
          <w:marTop w:val="0"/>
          <w:marBottom w:val="0"/>
          <w:divBdr>
            <w:top w:val="none" w:sz="0" w:space="0" w:color="auto"/>
            <w:left w:val="none" w:sz="0" w:space="0" w:color="auto"/>
            <w:bottom w:val="none" w:sz="0" w:space="0" w:color="auto"/>
            <w:right w:val="none" w:sz="0" w:space="0" w:color="auto"/>
          </w:divBdr>
        </w:div>
        <w:div w:id="1501118161">
          <w:marLeft w:val="0"/>
          <w:marRight w:val="0"/>
          <w:marTop w:val="0"/>
          <w:marBottom w:val="0"/>
          <w:divBdr>
            <w:top w:val="none" w:sz="0" w:space="0" w:color="auto"/>
            <w:left w:val="none" w:sz="0" w:space="0" w:color="auto"/>
            <w:bottom w:val="none" w:sz="0" w:space="0" w:color="auto"/>
            <w:right w:val="none" w:sz="0" w:space="0" w:color="auto"/>
          </w:divBdr>
        </w:div>
        <w:div w:id="67655715">
          <w:marLeft w:val="0"/>
          <w:marRight w:val="0"/>
          <w:marTop w:val="0"/>
          <w:marBottom w:val="0"/>
          <w:divBdr>
            <w:top w:val="none" w:sz="0" w:space="0" w:color="auto"/>
            <w:left w:val="none" w:sz="0" w:space="0" w:color="auto"/>
            <w:bottom w:val="none" w:sz="0" w:space="0" w:color="auto"/>
            <w:right w:val="none" w:sz="0" w:space="0" w:color="auto"/>
          </w:divBdr>
        </w:div>
        <w:div w:id="1802502482">
          <w:marLeft w:val="0"/>
          <w:marRight w:val="0"/>
          <w:marTop w:val="0"/>
          <w:marBottom w:val="0"/>
          <w:divBdr>
            <w:top w:val="none" w:sz="0" w:space="0" w:color="auto"/>
            <w:left w:val="none" w:sz="0" w:space="0" w:color="auto"/>
            <w:bottom w:val="none" w:sz="0" w:space="0" w:color="auto"/>
            <w:right w:val="none" w:sz="0" w:space="0" w:color="auto"/>
          </w:divBdr>
        </w:div>
        <w:div w:id="497119856">
          <w:marLeft w:val="0"/>
          <w:marRight w:val="0"/>
          <w:marTop w:val="0"/>
          <w:marBottom w:val="0"/>
          <w:divBdr>
            <w:top w:val="none" w:sz="0" w:space="0" w:color="auto"/>
            <w:left w:val="none" w:sz="0" w:space="0" w:color="auto"/>
            <w:bottom w:val="none" w:sz="0" w:space="0" w:color="auto"/>
            <w:right w:val="none" w:sz="0" w:space="0" w:color="auto"/>
          </w:divBdr>
        </w:div>
        <w:div w:id="1641686792">
          <w:marLeft w:val="0"/>
          <w:marRight w:val="0"/>
          <w:marTop w:val="0"/>
          <w:marBottom w:val="0"/>
          <w:divBdr>
            <w:top w:val="none" w:sz="0" w:space="0" w:color="auto"/>
            <w:left w:val="none" w:sz="0" w:space="0" w:color="auto"/>
            <w:bottom w:val="none" w:sz="0" w:space="0" w:color="auto"/>
            <w:right w:val="none" w:sz="0" w:space="0" w:color="auto"/>
          </w:divBdr>
        </w:div>
        <w:div w:id="1975139198">
          <w:marLeft w:val="0"/>
          <w:marRight w:val="0"/>
          <w:marTop w:val="0"/>
          <w:marBottom w:val="0"/>
          <w:divBdr>
            <w:top w:val="none" w:sz="0" w:space="0" w:color="auto"/>
            <w:left w:val="none" w:sz="0" w:space="0" w:color="auto"/>
            <w:bottom w:val="none" w:sz="0" w:space="0" w:color="auto"/>
            <w:right w:val="none" w:sz="0" w:space="0" w:color="auto"/>
          </w:divBdr>
        </w:div>
        <w:div w:id="1495145776">
          <w:marLeft w:val="0"/>
          <w:marRight w:val="0"/>
          <w:marTop w:val="0"/>
          <w:marBottom w:val="0"/>
          <w:divBdr>
            <w:top w:val="none" w:sz="0" w:space="0" w:color="auto"/>
            <w:left w:val="none" w:sz="0" w:space="0" w:color="auto"/>
            <w:bottom w:val="none" w:sz="0" w:space="0" w:color="auto"/>
            <w:right w:val="none" w:sz="0" w:space="0" w:color="auto"/>
          </w:divBdr>
        </w:div>
        <w:div w:id="999308534">
          <w:marLeft w:val="0"/>
          <w:marRight w:val="0"/>
          <w:marTop w:val="0"/>
          <w:marBottom w:val="0"/>
          <w:divBdr>
            <w:top w:val="none" w:sz="0" w:space="0" w:color="auto"/>
            <w:left w:val="none" w:sz="0" w:space="0" w:color="auto"/>
            <w:bottom w:val="none" w:sz="0" w:space="0" w:color="auto"/>
            <w:right w:val="none" w:sz="0" w:space="0" w:color="auto"/>
          </w:divBdr>
        </w:div>
        <w:div w:id="1416248549">
          <w:marLeft w:val="0"/>
          <w:marRight w:val="0"/>
          <w:marTop w:val="0"/>
          <w:marBottom w:val="0"/>
          <w:divBdr>
            <w:top w:val="none" w:sz="0" w:space="0" w:color="auto"/>
            <w:left w:val="none" w:sz="0" w:space="0" w:color="auto"/>
            <w:bottom w:val="none" w:sz="0" w:space="0" w:color="auto"/>
            <w:right w:val="none" w:sz="0" w:space="0" w:color="auto"/>
          </w:divBdr>
        </w:div>
        <w:div w:id="616986510">
          <w:marLeft w:val="0"/>
          <w:marRight w:val="0"/>
          <w:marTop w:val="0"/>
          <w:marBottom w:val="0"/>
          <w:divBdr>
            <w:top w:val="none" w:sz="0" w:space="0" w:color="auto"/>
            <w:left w:val="none" w:sz="0" w:space="0" w:color="auto"/>
            <w:bottom w:val="none" w:sz="0" w:space="0" w:color="auto"/>
            <w:right w:val="none" w:sz="0" w:space="0" w:color="auto"/>
          </w:divBdr>
        </w:div>
        <w:div w:id="457264050">
          <w:marLeft w:val="0"/>
          <w:marRight w:val="0"/>
          <w:marTop w:val="0"/>
          <w:marBottom w:val="0"/>
          <w:divBdr>
            <w:top w:val="none" w:sz="0" w:space="0" w:color="auto"/>
            <w:left w:val="none" w:sz="0" w:space="0" w:color="auto"/>
            <w:bottom w:val="none" w:sz="0" w:space="0" w:color="auto"/>
            <w:right w:val="none" w:sz="0" w:space="0" w:color="auto"/>
          </w:divBdr>
        </w:div>
        <w:div w:id="15623143">
          <w:marLeft w:val="0"/>
          <w:marRight w:val="0"/>
          <w:marTop w:val="0"/>
          <w:marBottom w:val="0"/>
          <w:divBdr>
            <w:top w:val="none" w:sz="0" w:space="0" w:color="auto"/>
            <w:left w:val="none" w:sz="0" w:space="0" w:color="auto"/>
            <w:bottom w:val="none" w:sz="0" w:space="0" w:color="auto"/>
            <w:right w:val="none" w:sz="0" w:space="0" w:color="auto"/>
          </w:divBdr>
        </w:div>
        <w:div w:id="1171330659">
          <w:marLeft w:val="0"/>
          <w:marRight w:val="0"/>
          <w:marTop w:val="0"/>
          <w:marBottom w:val="0"/>
          <w:divBdr>
            <w:top w:val="none" w:sz="0" w:space="0" w:color="auto"/>
            <w:left w:val="none" w:sz="0" w:space="0" w:color="auto"/>
            <w:bottom w:val="none" w:sz="0" w:space="0" w:color="auto"/>
            <w:right w:val="none" w:sz="0" w:space="0" w:color="auto"/>
          </w:divBdr>
        </w:div>
        <w:div w:id="1825514220">
          <w:marLeft w:val="0"/>
          <w:marRight w:val="0"/>
          <w:marTop w:val="0"/>
          <w:marBottom w:val="0"/>
          <w:divBdr>
            <w:top w:val="none" w:sz="0" w:space="0" w:color="auto"/>
            <w:left w:val="none" w:sz="0" w:space="0" w:color="auto"/>
            <w:bottom w:val="none" w:sz="0" w:space="0" w:color="auto"/>
            <w:right w:val="none" w:sz="0" w:space="0" w:color="auto"/>
          </w:divBdr>
        </w:div>
        <w:div w:id="1144738810">
          <w:marLeft w:val="0"/>
          <w:marRight w:val="0"/>
          <w:marTop w:val="0"/>
          <w:marBottom w:val="0"/>
          <w:divBdr>
            <w:top w:val="none" w:sz="0" w:space="0" w:color="auto"/>
            <w:left w:val="none" w:sz="0" w:space="0" w:color="auto"/>
            <w:bottom w:val="none" w:sz="0" w:space="0" w:color="auto"/>
            <w:right w:val="none" w:sz="0" w:space="0" w:color="auto"/>
          </w:divBdr>
        </w:div>
        <w:div w:id="1034379524">
          <w:marLeft w:val="0"/>
          <w:marRight w:val="0"/>
          <w:marTop w:val="0"/>
          <w:marBottom w:val="0"/>
          <w:divBdr>
            <w:top w:val="none" w:sz="0" w:space="0" w:color="auto"/>
            <w:left w:val="none" w:sz="0" w:space="0" w:color="auto"/>
            <w:bottom w:val="none" w:sz="0" w:space="0" w:color="auto"/>
            <w:right w:val="none" w:sz="0" w:space="0" w:color="auto"/>
          </w:divBdr>
        </w:div>
        <w:div w:id="2059620276">
          <w:marLeft w:val="0"/>
          <w:marRight w:val="0"/>
          <w:marTop w:val="0"/>
          <w:marBottom w:val="0"/>
          <w:divBdr>
            <w:top w:val="none" w:sz="0" w:space="0" w:color="auto"/>
            <w:left w:val="none" w:sz="0" w:space="0" w:color="auto"/>
            <w:bottom w:val="none" w:sz="0" w:space="0" w:color="auto"/>
            <w:right w:val="none" w:sz="0" w:space="0" w:color="auto"/>
          </w:divBdr>
        </w:div>
        <w:div w:id="1277562412">
          <w:marLeft w:val="0"/>
          <w:marRight w:val="0"/>
          <w:marTop w:val="0"/>
          <w:marBottom w:val="0"/>
          <w:divBdr>
            <w:top w:val="none" w:sz="0" w:space="0" w:color="auto"/>
            <w:left w:val="none" w:sz="0" w:space="0" w:color="auto"/>
            <w:bottom w:val="none" w:sz="0" w:space="0" w:color="auto"/>
            <w:right w:val="none" w:sz="0" w:space="0" w:color="auto"/>
          </w:divBdr>
        </w:div>
        <w:div w:id="974066184">
          <w:marLeft w:val="0"/>
          <w:marRight w:val="0"/>
          <w:marTop w:val="0"/>
          <w:marBottom w:val="0"/>
          <w:divBdr>
            <w:top w:val="none" w:sz="0" w:space="0" w:color="auto"/>
            <w:left w:val="none" w:sz="0" w:space="0" w:color="auto"/>
            <w:bottom w:val="none" w:sz="0" w:space="0" w:color="auto"/>
            <w:right w:val="none" w:sz="0" w:space="0" w:color="auto"/>
          </w:divBdr>
        </w:div>
        <w:div w:id="1244216972">
          <w:marLeft w:val="0"/>
          <w:marRight w:val="0"/>
          <w:marTop w:val="0"/>
          <w:marBottom w:val="0"/>
          <w:divBdr>
            <w:top w:val="none" w:sz="0" w:space="0" w:color="auto"/>
            <w:left w:val="none" w:sz="0" w:space="0" w:color="auto"/>
            <w:bottom w:val="none" w:sz="0" w:space="0" w:color="auto"/>
            <w:right w:val="none" w:sz="0" w:space="0" w:color="auto"/>
          </w:divBdr>
        </w:div>
        <w:div w:id="173226081">
          <w:marLeft w:val="0"/>
          <w:marRight w:val="0"/>
          <w:marTop w:val="0"/>
          <w:marBottom w:val="0"/>
          <w:divBdr>
            <w:top w:val="none" w:sz="0" w:space="0" w:color="auto"/>
            <w:left w:val="none" w:sz="0" w:space="0" w:color="auto"/>
            <w:bottom w:val="none" w:sz="0" w:space="0" w:color="auto"/>
            <w:right w:val="none" w:sz="0" w:space="0" w:color="auto"/>
          </w:divBdr>
        </w:div>
        <w:div w:id="125006253">
          <w:marLeft w:val="0"/>
          <w:marRight w:val="0"/>
          <w:marTop w:val="0"/>
          <w:marBottom w:val="0"/>
          <w:divBdr>
            <w:top w:val="none" w:sz="0" w:space="0" w:color="auto"/>
            <w:left w:val="none" w:sz="0" w:space="0" w:color="auto"/>
            <w:bottom w:val="none" w:sz="0" w:space="0" w:color="auto"/>
            <w:right w:val="none" w:sz="0" w:space="0" w:color="auto"/>
          </w:divBdr>
        </w:div>
        <w:div w:id="499394736">
          <w:marLeft w:val="0"/>
          <w:marRight w:val="0"/>
          <w:marTop w:val="0"/>
          <w:marBottom w:val="0"/>
          <w:divBdr>
            <w:top w:val="none" w:sz="0" w:space="0" w:color="auto"/>
            <w:left w:val="none" w:sz="0" w:space="0" w:color="auto"/>
            <w:bottom w:val="none" w:sz="0" w:space="0" w:color="auto"/>
            <w:right w:val="none" w:sz="0" w:space="0" w:color="auto"/>
          </w:divBdr>
        </w:div>
      </w:divsChild>
    </w:div>
    <w:div w:id="263271034">
      <w:bodyDiv w:val="1"/>
      <w:marLeft w:val="0"/>
      <w:marRight w:val="0"/>
      <w:marTop w:val="0"/>
      <w:marBottom w:val="0"/>
      <w:divBdr>
        <w:top w:val="none" w:sz="0" w:space="0" w:color="auto"/>
        <w:left w:val="none" w:sz="0" w:space="0" w:color="auto"/>
        <w:bottom w:val="none" w:sz="0" w:space="0" w:color="auto"/>
        <w:right w:val="none" w:sz="0" w:space="0" w:color="auto"/>
      </w:divBdr>
    </w:div>
    <w:div w:id="719477888">
      <w:bodyDiv w:val="1"/>
      <w:marLeft w:val="0"/>
      <w:marRight w:val="0"/>
      <w:marTop w:val="0"/>
      <w:marBottom w:val="0"/>
      <w:divBdr>
        <w:top w:val="none" w:sz="0" w:space="0" w:color="auto"/>
        <w:left w:val="none" w:sz="0" w:space="0" w:color="auto"/>
        <w:bottom w:val="none" w:sz="0" w:space="0" w:color="auto"/>
        <w:right w:val="none" w:sz="0" w:space="0" w:color="auto"/>
      </w:divBdr>
      <w:divsChild>
        <w:div w:id="1883443859">
          <w:marLeft w:val="0"/>
          <w:marRight w:val="0"/>
          <w:marTop w:val="0"/>
          <w:marBottom w:val="0"/>
          <w:divBdr>
            <w:top w:val="none" w:sz="0" w:space="0" w:color="auto"/>
            <w:left w:val="none" w:sz="0" w:space="0" w:color="auto"/>
            <w:bottom w:val="none" w:sz="0" w:space="0" w:color="auto"/>
            <w:right w:val="none" w:sz="0" w:space="0" w:color="auto"/>
          </w:divBdr>
        </w:div>
        <w:div w:id="700518136">
          <w:marLeft w:val="0"/>
          <w:marRight w:val="0"/>
          <w:marTop w:val="0"/>
          <w:marBottom w:val="0"/>
          <w:divBdr>
            <w:top w:val="none" w:sz="0" w:space="0" w:color="auto"/>
            <w:left w:val="none" w:sz="0" w:space="0" w:color="auto"/>
            <w:bottom w:val="none" w:sz="0" w:space="0" w:color="auto"/>
            <w:right w:val="none" w:sz="0" w:space="0" w:color="auto"/>
          </w:divBdr>
        </w:div>
        <w:div w:id="1181434846">
          <w:marLeft w:val="0"/>
          <w:marRight w:val="0"/>
          <w:marTop w:val="0"/>
          <w:marBottom w:val="0"/>
          <w:divBdr>
            <w:top w:val="none" w:sz="0" w:space="0" w:color="auto"/>
            <w:left w:val="none" w:sz="0" w:space="0" w:color="auto"/>
            <w:bottom w:val="none" w:sz="0" w:space="0" w:color="auto"/>
            <w:right w:val="none" w:sz="0" w:space="0" w:color="auto"/>
          </w:divBdr>
        </w:div>
        <w:div w:id="915674007">
          <w:marLeft w:val="0"/>
          <w:marRight w:val="0"/>
          <w:marTop w:val="0"/>
          <w:marBottom w:val="0"/>
          <w:divBdr>
            <w:top w:val="none" w:sz="0" w:space="0" w:color="auto"/>
            <w:left w:val="none" w:sz="0" w:space="0" w:color="auto"/>
            <w:bottom w:val="none" w:sz="0" w:space="0" w:color="auto"/>
            <w:right w:val="none" w:sz="0" w:space="0" w:color="auto"/>
          </w:divBdr>
        </w:div>
        <w:div w:id="170142587">
          <w:marLeft w:val="0"/>
          <w:marRight w:val="0"/>
          <w:marTop w:val="0"/>
          <w:marBottom w:val="0"/>
          <w:divBdr>
            <w:top w:val="none" w:sz="0" w:space="0" w:color="auto"/>
            <w:left w:val="none" w:sz="0" w:space="0" w:color="auto"/>
            <w:bottom w:val="none" w:sz="0" w:space="0" w:color="auto"/>
            <w:right w:val="none" w:sz="0" w:space="0" w:color="auto"/>
          </w:divBdr>
        </w:div>
        <w:div w:id="684945349">
          <w:marLeft w:val="0"/>
          <w:marRight w:val="0"/>
          <w:marTop w:val="0"/>
          <w:marBottom w:val="0"/>
          <w:divBdr>
            <w:top w:val="none" w:sz="0" w:space="0" w:color="auto"/>
            <w:left w:val="none" w:sz="0" w:space="0" w:color="auto"/>
            <w:bottom w:val="none" w:sz="0" w:space="0" w:color="auto"/>
            <w:right w:val="none" w:sz="0" w:space="0" w:color="auto"/>
          </w:divBdr>
        </w:div>
        <w:div w:id="173494853">
          <w:marLeft w:val="0"/>
          <w:marRight w:val="0"/>
          <w:marTop w:val="0"/>
          <w:marBottom w:val="0"/>
          <w:divBdr>
            <w:top w:val="none" w:sz="0" w:space="0" w:color="auto"/>
            <w:left w:val="none" w:sz="0" w:space="0" w:color="auto"/>
            <w:bottom w:val="none" w:sz="0" w:space="0" w:color="auto"/>
            <w:right w:val="none" w:sz="0" w:space="0" w:color="auto"/>
          </w:divBdr>
        </w:div>
        <w:div w:id="1314798898">
          <w:marLeft w:val="0"/>
          <w:marRight w:val="0"/>
          <w:marTop w:val="0"/>
          <w:marBottom w:val="0"/>
          <w:divBdr>
            <w:top w:val="none" w:sz="0" w:space="0" w:color="auto"/>
            <w:left w:val="none" w:sz="0" w:space="0" w:color="auto"/>
            <w:bottom w:val="none" w:sz="0" w:space="0" w:color="auto"/>
            <w:right w:val="none" w:sz="0" w:space="0" w:color="auto"/>
          </w:divBdr>
        </w:div>
        <w:div w:id="1084108509">
          <w:marLeft w:val="0"/>
          <w:marRight w:val="0"/>
          <w:marTop w:val="0"/>
          <w:marBottom w:val="0"/>
          <w:divBdr>
            <w:top w:val="none" w:sz="0" w:space="0" w:color="auto"/>
            <w:left w:val="none" w:sz="0" w:space="0" w:color="auto"/>
            <w:bottom w:val="none" w:sz="0" w:space="0" w:color="auto"/>
            <w:right w:val="none" w:sz="0" w:space="0" w:color="auto"/>
          </w:divBdr>
        </w:div>
        <w:div w:id="1991206449">
          <w:marLeft w:val="0"/>
          <w:marRight w:val="0"/>
          <w:marTop w:val="0"/>
          <w:marBottom w:val="0"/>
          <w:divBdr>
            <w:top w:val="none" w:sz="0" w:space="0" w:color="auto"/>
            <w:left w:val="none" w:sz="0" w:space="0" w:color="auto"/>
            <w:bottom w:val="none" w:sz="0" w:space="0" w:color="auto"/>
            <w:right w:val="none" w:sz="0" w:space="0" w:color="auto"/>
          </w:divBdr>
        </w:div>
        <w:div w:id="2046323799">
          <w:marLeft w:val="0"/>
          <w:marRight w:val="0"/>
          <w:marTop w:val="0"/>
          <w:marBottom w:val="0"/>
          <w:divBdr>
            <w:top w:val="none" w:sz="0" w:space="0" w:color="auto"/>
            <w:left w:val="none" w:sz="0" w:space="0" w:color="auto"/>
            <w:bottom w:val="none" w:sz="0" w:space="0" w:color="auto"/>
            <w:right w:val="none" w:sz="0" w:space="0" w:color="auto"/>
          </w:divBdr>
        </w:div>
        <w:div w:id="1819956658">
          <w:marLeft w:val="0"/>
          <w:marRight w:val="0"/>
          <w:marTop w:val="0"/>
          <w:marBottom w:val="0"/>
          <w:divBdr>
            <w:top w:val="none" w:sz="0" w:space="0" w:color="auto"/>
            <w:left w:val="none" w:sz="0" w:space="0" w:color="auto"/>
            <w:bottom w:val="none" w:sz="0" w:space="0" w:color="auto"/>
            <w:right w:val="none" w:sz="0" w:space="0" w:color="auto"/>
          </w:divBdr>
        </w:div>
        <w:div w:id="559052321">
          <w:marLeft w:val="0"/>
          <w:marRight w:val="0"/>
          <w:marTop w:val="0"/>
          <w:marBottom w:val="0"/>
          <w:divBdr>
            <w:top w:val="none" w:sz="0" w:space="0" w:color="auto"/>
            <w:left w:val="none" w:sz="0" w:space="0" w:color="auto"/>
            <w:bottom w:val="none" w:sz="0" w:space="0" w:color="auto"/>
            <w:right w:val="none" w:sz="0" w:space="0" w:color="auto"/>
          </w:divBdr>
        </w:div>
        <w:div w:id="2123449243">
          <w:marLeft w:val="0"/>
          <w:marRight w:val="0"/>
          <w:marTop w:val="0"/>
          <w:marBottom w:val="0"/>
          <w:divBdr>
            <w:top w:val="none" w:sz="0" w:space="0" w:color="auto"/>
            <w:left w:val="none" w:sz="0" w:space="0" w:color="auto"/>
            <w:bottom w:val="none" w:sz="0" w:space="0" w:color="auto"/>
            <w:right w:val="none" w:sz="0" w:space="0" w:color="auto"/>
          </w:divBdr>
        </w:div>
        <w:div w:id="627322463">
          <w:marLeft w:val="0"/>
          <w:marRight w:val="0"/>
          <w:marTop w:val="0"/>
          <w:marBottom w:val="0"/>
          <w:divBdr>
            <w:top w:val="none" w:sz="0" w:space="0" w:color="auto"/>
            <w:left w:val="none" w:sz="0" w:space="0" w:color="auto"/>
            <w:bottom w:val="none" w:sz="0" w:space="0" w:color="auto"/>
            <w:right w:val="none" w:sz="0" w:space="0" w:color="auto"/>
          </w:divBdr>
        </w:div>
        <w:div w:id="439378074">
          <w:marLeft w:val="0"/>
          <w:marRight w:val="0"/>
          <w:marTop w:val="0"/>
          <w:marBottom w:val="0"/>
          <w:divBdr>
            <w:top w:val="none" w:sz="0" w:space="0" w:color="auto"/>
            <w:left w:val="none" w:sz="0" w:space="0" w:color="auto"/>
            <w:bottom w:val="none" w:sz="0" w:space="0" w:color="auto"/>
            <w:right w:val="none" w:sz="0" w:space="0" w:color="auto"/>
          </w:divBdr>
        </w:div>
        <w:div w:id="677079985">
          <w:marLeft w:val="0"/>
          <w:marRight w:val="0"/>
          <w:marTop w:val="0"/>
          <w:marBottom w:val="0"/>
          <w:divBdr>
            <w:top w:val="none" w:sz="0" w:space="0" w:color="auto"/>
            <w:left w:val="none" w:sz="0" w:space="0" w:color="auto"/>
            <w:bottom w:val="none" w:sz="0" w:space="0" w:color="auto"/>
            <w:right w:val="none" w:sz="0" w:space="0" w:color="auto"/>
          </w:divBdr>
        </w:div>
        <w:div w:id="334379073">
          <w:marLeft w:val="0"/>
          <w:marRight w:val="0"/>
          <w:marTop w:val="0"/>
          <w:marBottom w:val="0"/>
          <w:divBdr>
            <w:top w:val="none" w:sz="0" w:space="0" w:color="auto"/>
            <w:left w:val="none" w:sz="0" w:space="0" w:color="auto"/>
            <w:bottom w:val="none" w:sz="0" w:space="0" w:color="auto"/>
            <w:right w:val="none" w:sz="0" w:space="0" w:color="auto"/>
          </w:divBdr>
        </w:div>
        <w:div w:id="749733951">
          <w:marLeft w:val="0"/>
          <w:marRight w:val="0"/>
          <w:marTop w:val="0"/>
          <w:marBottom w:val="0"/>
          <w:divBdr>
            <w:top w:val="none" w:sz="0" w:space="0" w:color="auto"/>
            <w:left w:val="none" w:sz="0" w:space="0" w:color="auto"/>
            <w:bottom w:val="none" w:sz="0" w:space="0" w:color="auto"/>
            <w:right w:val="none" w:sz="0" w:space="0" w:color="auto"/>
          </w:divBdr>
        </w:div>
        <w:div w:id="1639148971">
          <w:marLeft w:val="0"/>
          <w:marRight w:val="0"/>
          <w:marTop w:val="0"/>
          <w:marBottom w:val="0"/>
          <w:divBdr>
            <w:top w:val="none" w:sz="0" w:space="0" w:color="auto"/>
            <w:left w:val="none" w:sz="0" w:space="0" w:color="auto"/>
            <w:bottom w:val="none" w:sz="0" w:space="0" w:color="auto"/>
            <w:right w:val="none" w:sz="0" w:space="0" w:color="auto"/>
          </w:divBdr>
        </w:div>
        <w:div w:id="1839491866">
          <w:marLeft w:val="0"/>
          <w:marRight w:val="0"/>
          <w:marTop w:val="0"/>
          <w:marBottom w:val="0"/>
          <w:divBdr>
            <w:top w:val="none" w:sz="0" w:space="0" w:color="auto"/>
            <w:left w:val="none" w:sz="0" w:space="0" w:color="auto"/>
            <w:bottom w:val="none" w:sz="0" w:space="0" w:color="auto"/>
            <w:right w:val="none" w:sz="0" w:space="0" w:color="auto"/>
          </w:divBdr>
        </w:div>
        <w:div w:id="2022318918">
          <w:marLeft w:val="0"/>
          <w:marRight w:val="0"/>
          <w:marTop w:val="0"/>
          <w:marBottom w:val="0"/>
          <w:divBdr>
            <w:top w:val="none" w:sz="0" w:space="0" w:color="auto"/>
            <w:left w:val="none" w:sz="0" w:space="0" w:color="auto"/>
            <w:bottom w:val="none" w:sz="0" w:space="0" w:color="auto"/>
            <w:right w:val="none" w:sz="0" w:space="0" w:color="auto"/>
          </w:divBdr>
        </w:div>
        <w:div w:id="1194267280">
          <w:marLeft w:val="0"/>
          <w:marRight w:val="0"/>
          <w:marTop w:val="0"/>
          <w:marBottom w:val="0"/>
          <w:divBdr>
            <w:top w:val="none" w:sz="0" w:space="0" w:color="auto"/>
            <w:left w:val="none" w:sz="0" w:space="0" w:color="auto"/>
            <w:bottom w:val="none" w:sz="0" w:space="0" w:color="auto"/>
            <w:right w:val="none" w:sz="0" w:space="0" w:color="auto"/>
          </w:divBdr>
        </w:div>
      </w:divsChild>
    </w:div>
    <w:div w:id="905064903">
      <w:bodyDiv w:val="1"/>
      <w:marLeft w:val="0"/>
      <w:marRight w:val="0"/>
      <w:marTop w:val="0"/>
      <w:marBottom w:val="0"/>
      <w:divBdr>
        <w:top w:val="none" w:sz="0" w:space="0" w:color="auto"/>
        <w:left w:val="none" w:sz="0" w:space="0" w:color="auto"/>
        <w:bottom w:val="none" w:sz="0" w:space="0" w:color="auto"/>
        <w:right w:val="none" w:sz="0" w:space="0" w:color="auto"/>
      </w:divBdr>
    </w:div>
    <w:div w:id="1038431401">
      <w:bodyDiv w:val="1"/>
      <w:marLeft w:val="0"/>
      <w:marRight w:val="0"/>
      <w:marTop w:val="0"/>
      <w:marBottom w:val="0"/>
      <w:divBdr>
        <w:top w:val="none" w:sz="0" w:space="0" w:color="auto"/>
        <w:left w:val="none" w:sz="0" w:space="0" w:color="auto"/>
        <w:bottom w:val="none" w:sz="0" w:space="0" w:color="auto"/>
        <w:right w:val="none" w:sz="0" w:space="0" w:color="auto"/>
      </w:divBdr>
      <w:divsChild>
        <w:div w:id="560676943">
          <w:marLeft w:val="0"/>
          <w:marRight w:val="0"/>
          <w:marTop w:val="0"/>
          <w:marBottom w:val="0"/>
          <w:divBdr>
            <w:top w:val="none" w:sz="0" w:space="0" w:color="auto"/>
            <w:left w:val="none" w:sz="0" w:space="0" w:color="auto"/>
            <w:bottom w:val="none" w:sz="0" w:space="0" w:color="auto"/>
            <w:right w:val="none" w:sz="0" w:space="0" w:color="auto"/>
          </w:divBdr>
          <w:divsChild>
            <w:div w:id="1829900837">
              <w:marLeft w:val="0"/>
              <w:marRight w:val="0"/>
              <w:marTop w:val="0"/>
              <w:marBottom w:val="0"/>
              <w:divBdr>
                <w:top w:val="none" w:sz="0" w:space="0" w:color="auto"/>
                <w:left w:val="none" w:sz="0" w:space="0" w:color="auto"/>
                <w:bottom w:val="none" w:sz="0" w:space="0" w:color="auto"/>
                <w:right w:val="none" w:sz="0" w:space="0" w:color="auto"/>
              </w:divBdr>
              <w:divsChild>
                <w:div w:id="411973562">
                  <w:marLeft w:val="0"/>
                  <w:marRight w:val="0"/>
                  <w:marTop w:val="0"/>
                  <w:marBottom w:val="0"/>
                  <w:divBdr>
                    <w:top w:val="none" w:sz="0" w:space="0" w:color="auto"/>
                    <w:left w:val="none" w:sz="0" w:space="0" w:color="auto"/>
                    <w:bottom w:val="none" w:sz="0" w:space="0" w:color="auto"/>
                    <w:right w:val="none" w:sz="0" w:space="0" w:color="auto"/>
                  </w:divBdr>
                  <w:divsChild>
                    <w:div w:id="2037536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3382050">
      <w:bodyDiv w:val="1"/>
      <w:marLeft w:val="0"/>
      <w:marRight w:val="0"/>
      <w:marTop w:val="0"/>
      <w:marBottom w:val="0"/>
      <w:divBdr>
        <w:top w:val="none" w:sz="0" w:space="0" w:color="auto"/>
        <w:left w:val="none" w:sz="0" w:space="0" w:color="auto"/>
        <w:bottom w:val="none" w:sz="0" w:space="0" w:color="auto"/>
        <w:right w:val="none" w:sz="0" w:space="0" w:color="auto"/>
      </w:divBdr>
      <w:divsChild>
        <w:div w:id="933972859">
          <w:marLeft w:val="0"/>
          <w:marRight w:val="1"/>
          <w:marTop w:val="0"/>
          <w:marBottom w:val="0"/>
          <w:divBdr>
            <w:top w:val="none" w:sz="0" w:space="0" w:color="auto"/>
            <w:left w:val="none" w:sz="0" w:space="0" w:color="auto"/>
            <w:bottom w:val="none" w:sz="0" w:space="0" w:color="auto"/>
            <w:right w:val="none" w:sz="0" w:space="0" w:color="auto"/>
          </w:divBdr>
          <w:divsChild>
            <w:div w:id="1265770957">
              <w:marLeft w:val="0"/>
              <w:marRight w:val="0"/>
              <w:marTop w:val="0"/>
              <w:marBottom w:val="0"/>
              <w:divBdr>
                <w:top w:val="none" w:sz="0" w:space="0" w:color="auto"/>
                <w:left w:val="none" w:sz="0" w:space="0" w:color="auto"/>
                <w:bottom w:val="none" w:sz="0" w:space="0" w:color="auto"/>
                <w:right w:val="none" w:sz="0" w:space="0" w:color="auto"/>
              </w:divBdr>
              <w:divsChild>
                <w:div w:id="1026443978">
                  <w:marLeft w:val="0"/>
                  <w:marRight w:val="1"/>
                  <w:marTop w:val="0"/>
                  <w:marBottom w:val="0"/>
                  <w:divBdr>
                    <w:top w:val="none" w:sz="0" w:space="0" w:color="auto"/>
                    <w:left w:val="none" w:sz="0" w:space="0" w:color="auto"/>
                    <w:bottom w:val="none" w:sz="0" w:space="0" w:color="auto"/>
                    <w:right w:val="none" w:sz="0" w:space="0" w:color="auto"/>
                  </w:divBdr>
                  <w:divsChild>
                    <w:div w:id="994533744">
                      <w:marLeft w:val="0"/>
                      <w:marRight w:val="0"/>
                      <w:marTop w:val="0"/>
                      <w:marBottom w:val="0"/>
                      <w:divBdr>
                        <w:top w:val="none" w:sz="0" w:space="0" w:color="auto"/>
                        <w:left w:val="none" w:sz="0" w:space="0" w:color="auto"/>
                        <w:bottom w:val="none" w:sz="0" w:space="0" w:color="auto"/>
                        <w:right w:val="none" w:sz="0" w:space="0" w:color="auto"/>
                      </w:divBdr>
                      <w:divsChild>
                        <w:div w:id="1199274404">
                          <w:marLeft w:val="0"/>
                          <w:marRight w:val="0"/>
                          <w:marTop w:val="0"/>
                          <w:marBottom w:val="0"/>
                          <w:divBdr>
                            <w:top w:val="none" w:sz="0" w:space="0" w:color="auto"/>
                            <w:left w:val="none" w:sz="0" w:space="0" w:color="auto"/>
                            <w:bottom w:val="none" w:sz="0" w:space="0" w:color="auto"/>
                            <w:right w:val="none" w:sz="0" w:space="0" w:color="auto"/>
                          </w:divBdr>
                          <w:divsChild>
                            <w:div w:id="1446542210">
                              <w:marLeft w:val="0"/>
                              <w:marRight w:val="0"/>
                              <w:marTop w:val="0"/>
                              <w:marBottom w:val="0"/>
                              <w:divBdr>
                                <w:top w:val="none" w:sz="0" w:space="0" w:color="auto"/>
                                <w:left w:val="none" w:sz="0" w:space="0" w:color="auto"/>
                                <w:bottom w:val="none" w:sz="0" w:space="0" w:color="auto"/>
                                <w:right w:val="none" w:sz="0" w:space="0" w:color="auto"/>
                              </w:divBdr>
                              <w:divsChild>
                                <w:div w:id="978657014">
                                  <w:marLeft w:val="0"/>
                                  <w:marRight w:val="0"/>
                                  <w:marTop w:val="0"/>
                                  <w:marBottom w:val="0"/>
                                  <w:divBdr>
                                    <w:top w:val="none" w:sz="0" w:space="0" w:color="auto"/>
                                    <w:left w:val="none" w:sz="0" w:space="0" w:color="auto"/>
                                    <w:bottom w:val="none" w:sz="0" w:space="0" w:color="auto"/>
                                    <w:right w:val="none" w:sz="0" w:space="0" w:color="auto"/>
                                  </w:divBdr>
                                  <w:divsChild>
                                    <w:div w:id="2018800339">
                                      <w:marLeft w:val="0"/>
                                      <w:marRight w:val="0"/>
                                      <w:marTop w:val="0"/>
                                      <w:marBottom w:val="240"/>
                                      <w:divBdr>
                                        <w:top w:val="none" w:sz="0" w:space="0" w:color="auto"/>
                                        <w:left w:val="none" w:sz="0" w:space="0" w:color="auto"/>
                                        <w:bottom w:val="none" w:sz="0" w:space="0" w:color="auto"/>
                                        <w:right w:val="none" w:sz="0" w:space="0" w:color="auto"/>
                                      </w:divBdr>
                                      <w:divsChild>
                                        <w:div w:id="1565288378">
                                          <w:marLeft w:val="0"/>
                                          <w:marRight w:val="0"/>
                                          <w:marTop w:val="0"/>
                                          <w:marBottom w:val="0"/>
                                          <w:divBdr>
                                            <w:top w:val="none" w:sz="0" w:space="0" w:color="auto"/>
                                            <w:left w:val="none" w:sz="0" w:space="0" w:color="auto"/>
                                            <w:bottom w:val="none" w:sz="0" w:space="0" w:color="auto"/>
                                            <w:right w:val="none" w:sz="0" w:space="0" w:color="auto"/>
                                          </w:divBdr>
                                          <w:divsChild>
                                            <w:div w:id="818615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63818736">
      <w:bodyDiv w:val="1"/>
      <w:marLeft w:val="0"/>
      <w:marRight w:val="0"/>
      <w:marTop w:val="0"/>
      <w:marBottom w:val="0"/>
      <w:divBdr>
        <w:top w:val="none" w:sz="0" w:space="0" w:color="auto"/>
        <w:left w:val="none" w:sz="0" w:space="0" w:color="auto"/>
        <w:bottom w:val="none" w:sz="0" w:space="0" w:color="auto"/>
        <w:right w:val="none" w:sz="0" w:space="0" w:color="auto"/>
      </w:divBdr>
      <w:divsChild>
        <w:div w:id="916790769">
          <w:marLeft w:val="0"/>
          <w:marRight w:val="0"/>
          <w:marTop w:val="0"/>
          <w:marBottom w:val="0"/>
          <w:divBdr>
            <w:top w:val="none" w:sz="0" w:space="0" w:color="auto"/>
            <w:left w:val="none" w:sz="0" w:space="0" w:color="auto"/>
            <w:bottom w:val="none" w:sz="0" w:space="0" w:color="auto"/>
            <w:right w:val="none" w:sz="0" w:space="0" w:color="auto"/>
          </w:divBdr>
          <w:divsChild>
            <w:div w:id="1420365056">
              <w:marLeft w:val="0"/>
              <w:marRight w:val="0"/>
              <w:marTop w:val="0"/>
              <w:marBottom w:val="0"/>
              <w:divBdr>
                <w:top w:val="none" w:sz="0" w:space="0" w:color="auto"/>
                <w:left w:val="none" w:sz="0" w:space="0" w:color="auto"/>
                <w:bottom w:val="none" w:sz="0" w:space="0" w:color="auto"/>
                <w:right w:val="none" w:sz="0" w:space="0" w:color="auto"/>
              </w:divBdr>
              <w:divsChild>
                <w:div w:id="1624731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6379352">
      <w:bodyDiv w:val="1"/>
      <w:marLeft w:val="0"/>
      <w:marRight w:val="0"/>
      <w:marTop w:val="0"/>
      <w:marBottom w:val="0"/>
      <w:divBdr>
        <w:top w:val="none" w:sz="0" w:space="0" w:color="auto"/>
        <w:left w:val="none" w:sz="0" w:space="0" w:color="auto"/>
        <w:bottom w:val="none" w:sz="0" w:space="0" w:color="auto"/>
        <w:right w:val="none" w:sz="0" w:space="0" w:color="auto"/>
      </w:divBdr>
    </w:div>
    <w:div w:id="1280919006">
      <w:bodyDiv w:val="1"/>
      <w:marLeft w:val="0"/>
      <w:marRight w:val="0"/>
      <w:marTop w:val="0"/>
      <w:marBottom w:val="0"/>
      <w:divBdr>
        <w:top w:val="none" w:sz="0" w:space="0" w:color="auto"/>
        <w:left w:val="none" w:sz="0" w:space="0" w:color="auto"/>
        <w:bottom w:val="none" w:sz="0" w:space="0" w:color="auto"/>
        <w:right w:val="none" w:sz="0" w:space="0" w:color="auto"/>
      </w:divBdr>
      <w:divsChild>
        <w:div w:id="90316264">
          <w:marLeft w:val="0"/>
          <w:marRight w:val="0"/>
          <w:marTop w:val="0"/>
          <w:marBottom w:val="0"/>
          <w:divBdr>
            <w:top w:val="none" w:sz="0" w:space="0" w:color="auto"/>
            <w:left w:val="none" w:sz="0" w:space="0" w:color="auto"/>
            <w:bottom w:val="none" w:sz="0" w:space="0" w:color="auto"/>
            <w:right w:val="none" w:sz="0" w:space="0" w:color="auto"/>
          </w:divBdr>
          <w:divsChild>
            <w:div w:id="853691034">
              <w:marLeft w:val="0"/>
              <w:marRight w:val="0"/>
              <w:marTop w:val="0"/>
              <w:marBottom w:val="0"/>
              <w:divBdr>
                <w:top w:val="none" w:sz="0" w:space="0" w:color="auto"/>
                <w:left w:val="none" w:sz="0" w:space="0" w:color="auto"/>
                <w:bottom w:val="none" w:sz="0" w:space="0" w:color="auto"/>
                <w:right w:val="none" w:sz="0" w:space="0" w:color="auto"/>
              </w:divBdr>
              <w:divsChild>
                <w:div w:id="416169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4213542">
      <w:bodyDiv w:val="1"/>
      <w:marLeft w:val="0"/>
      <w:marRight w:val="0"/>
      <w:marTop w:val="0"/>
      <w:marBottom w:val="0"/>
      <w:divBdr>
        <w:top w:val="none" w:sz="0" w:space="0" w:color="auto"/>
        <w:left w:val="none" w:sz="0" w:space="0" w:color="auto"/>
        <w:bottom w:val="none" w:sz="0" w:space="0" w:color="auto"/>
        <w:right w:val="none" w:sz="0" w:space="0" w:color="auto"/>
      </w:divBdr>
      <w:divsChild>
        <w:div w:id="2136675735">
          <w:marLeft w:val="0"/>
          <w:marRight w:val="0"/>
          <w:marTop w:val="0"/>
          <w:marBottom w:val="0"/>
          <w:divBdr>
            <w:top w:val="none" w:sz="0" w:space="0" w:color="auto"/>
            <w:left w:val="none" w:sz="0" w:space="0" w:color="auto"/>
            <w:bottom w:val="none" w:sz="0" w:space="0" w:color="auto"/>
            <w:right w:val="none" w:sz="0" w:space="0" w:color="auto"/>
          </w:divBdr>
          <w:divsChild>
            <w:div w:id="1895433056">
              <w:marLeft w:val="0"/>
              <w:marRight w:val="0"/>
              <w:marTop w:val="0"/>
              <w:marBottom w:val="0"/>
              <w:divBdr>
                <w:top w:val="none" w:sz="0" w:space="0" w:color="auto"/>
                <w:left w:val="none" w:sz="0" w:space="0" w:color="auto"/>
                <w:bottom w:val="none" w:sz="0" w:space="0" w:color="auto"/>
                <w:right w:val="none" w:sz="0" w:space="0" w:color="auto"/>
              </w:divBdr>
              <w:divsChild>
                <w:div w:id="1254239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8157491">
      <w:bodyDiv w:val="1"/>
      <w:marLeft w:val="0"/>
      <w:marRight w:val="0"/>
      <w:marTop w:val="0"/>
      <w:marBottom w:val="0"/>
      <w:divBdr>
        <w:top w:val="none" w:sz="0" w:space="0" w:color="auto"/>
        <w:left w:val="none" w:sz="0" w:space="0" w:color="auto"/>
        <w:bottom w:val="none" w:sz="0" w:space="0" w:color="auto"/>
        <w:right w:val="none" w:sz="0" w:space="0" w:color="auto"/>
      </w:divBdr>
    </w:div>
    <w:div w:id="1886061733">
      <w:bodyDiv w:val="1"/>
      <w:marLeft w:val="0"/>
      <w:marRight w:val="0"/>
      <w:marTop w:val="0"/>
      <w:marBottom w:val="0"/>
      <w:divBdr>
        <w:top w:val="none" w:sz="0" w:space="0" w:color="auto"/>
        <w:left w:val="none" w:sz="0" w:space="0" w:color="auto"/>
        <w:bottom w:val="none" w:sz="0" w:space="0" w:color="auto"/>
        <w:right w:val="none" w:sz="0" w:space="0" w:color="auto"/>
      </w:divBdr>
      <w:divsChild>
        <w:div w:id="943003939">
          <w:marLeft w:val="0"/>
          <w:marRight w:val="0"/>
          <w:marTop w:val="0"/>
          <w:marBottom w:val="0"/>
          <w:divBdr>
            <w:top w:val="none" w:sz="0" w:space="0" w:color="auto"/>
            <w:left w:val="none" w:sz="0" w:space="0" w:color="auto"/>
            <w:bottom w:val="none" w:sz="0" w:space="0" w:color="auto"/>
            <w:right w:val="none" w:sz="0" w:space="0" w:color="auto"/>
          </w:divBdr>
        </w:div>
        <w:div w:id="1402754915">
          <w:marLeft w:val="0"/>
          <w:marRight w:val="0"/>
          <w:marTop w:val="0"/>
          <w:marBottom w:val="0"/>
          <w:divBdr>
            <w:top w:val="none" w:sz="0" w:space="0" w:color="auto"/>
            <w:left w:val="none" w:sz="0" w:space="0" w:color="auto"/>
            <w:bottom w:val="none" w:sz="0" w:space="0" w:color="auto"/>
            <w:right w:val="none" w:sz="0" w:space="0" w:color="auto"/>
          </w:divBdr>
        </w:div>
        <w:div w:id="274218617">
          <w:marLeft w:val="0"/>
          <w:marRight w:val="0"/>
          <w:marTop w:val="0"/>
          <w:marBottom w:val="0"/>
          <w:divBdr>
            <w:top w:val="none" w:sz="0" w:space="0" w:color="auto"/>
            <w:left w:val="none" w:sz="0" w:space="0" w:color="auto"/>
            <w:bottom w:val="none" w:sz="0" w:space="0" w:color="auto"/>
            <w:right w:val="none" w:sz="0" w:space="0" w:color="auto"/>
          </w:divBdr>
        </w:div>
        <w:div w:id="1198161534">
          <w:marLeft w:val="0"/>
          <w:marRight w:val="0"/>
          <w:marTop w:val="0"/>
          <w:marBottom w:val="0"/>
          <w:divBdr>
            <w:top w:val="none" w:sz="0" w:space="0" w:color="auto"/>
            <w:left w:val="none" w:sz="0" w:space="0" w:color="auto"/>
            <w:bottom w:val="none" w:sz="0" w:space="0" w:color="auto"/>
            <w:right w:val="none" w:sz="0" w:space="0" w:color="auto"/>
          </w:divBdr>
        </w:div>
        <w:div w:id="1451625424">
          <w:marLeft w:val="0"/>
          <w:marRight w:val="0"/>
          <w:marTop w:val="0"/>
          <w:marBottom w:val="0"/>
          <w:divBdr>
            <w:top w:val="none" w:sz="0" w:space="0" w:color="auto"/>
            <w:left w:val="none" w:sz="0" w:space="0" w:color="auto"/>
            <w:bottom w:val="none" w:sz="0" w:space="0" w:color="auto"/>
            <w:right w:val="none" w:sz="0" w:space="0" w:color="auto"/>
          </w:divBdr>
        </w:div>
        <w:div w:id="1209953417">
          <w:marLeft w:val="0"/>
          <w:marRight w:val="0"/>
          <w:marTop w:val="0"/>
          <w:marBottom w:val="0"/>
          <w:divBdr>
            <w:top w:val="none" w:sz="0" w:space="0" w:color="auto"/>
            <w:left w:val="none" w:sz="0" w:space="0" w:color="auto"/>
            <w:bottom w:val="none" w:sz="0" w:space="0" w:color="auto"/>
            <w:right w:val="none" w:sz="0" w:space="0" w:color="auto"/>
          </w:divBdr>
        </w:div>
      </w:divsChild>
    </w:div>
    <w:div w:id="2082679005">
      <w:bodyDiv w:val="1"/>
      <w:marLeft w:val="0"/>
      <w:marRight w:val="0"/>
      <w:marTop w:val="0"/>
      <w:marBottom w:val="0"/>
      <w:divBdr>
        <w:top w:val="none" w:sz="0" w:space="0" w:color="auto"/>
        <w:left w:val="none" w:sz="0" w:space="0" w:color="auto"/>
        <w:bottom w:val="none" w:sz="0" w:space="0" w:color="auto"/>
        <w:right w:val="none" w:sz="0" w:space="0" w:color="auto"/>
      </w:divBdr>
      <w:divsChild>
        <w:div w:id="309751781">
          <w:marLeft w:val="0"/>
          <w:marRight w:val="0"/>
          <w:marTop w:val="0"/>
          <w:marBottom w:val="0"/>
          <w:divBdr>
            <w:top w:val="none" w:sz="0" w:space="0" w:color="auto"/>
            <w:left w:val="none" w:sz="0" w:space="0" w:color="auto"/>
            <w:bottom w:val="none" w:sz="0" w:space="0" w:color="auto"/>
            <w:right w:val="none" w:sz="0" w:space="0" w:color="auto"/>
          </w:divBdr>
        </w:div>
        <w:div w:id="1276256637">
          <w:marLeft w:val="0"/>
          <w:marRight w:val="0"/>
          <w:marTop w:val="0"/>
          <w:marBottom w:val="0"/>
          <w:divBdr>
            <w:top w:val="none" w:sz="0" w:space="0" w:color="auto"/>
            <w:left w:val="none" w:sz="0" w:space="0" w:color="auto"/>
            <w:bottom w:val="none" w:sz="0" w:space="0" w:color="auto"/>
            <w:right w:val="none" w:sz="0" w:space="0" w:color="auto"/>
          </w:divBdr>
        </w:div>
        <w:div w:id="1113787669">
          <w:marLeft w:val="0"/>
          <w:marRight w:val="0"/>
          <w:marTop w:val="0"/>
          <w:marBottom w:val="0"/>
          <w:divBdr>
            <w:top w:val="none" w:sz="0" w:space="0" w:color="auto"/>
            <w:left w:val="none" w:sz="0" w:space="0" w:color="auto"/>
            <w:bottom w:val="none" w:sz="0" w:space="0" w:color="auto"/>
            <w:right w:val="none" w:sz="0" w:space="0" w:color="auto"/>
          </w:divBdr>
        </w:div>
        <w:div w:id="1739400071">
          <w:marLeft w:val="0"/>
          <w:marRight w:val="0"/>
          <w:marTop w:val="0"/>
          <w:marBottom w:val="0"/>
          <w:divBdr>
            <w:top w:val="none" w:sz="0" w:space="0" w:color="auto"/>
            <w:left w:val="none" w:sz="0" w:space="0" w:color="auto"/>
            <w:bottom w:val="none" w:sz="0" w:space="0" w:color="auto"/>
            <w:right w:val="none" w:sz="0" w:space="0" w:color="auto"/>
          </w:divBdr>
        </w:div>
        <w:div w:id="1988975595">
          <w:marLeft w:val="0"/>
          <w:marRight w:val="0"/>
          <w:marTop w:val="0"/>
          <w:marBottom w:val="0"/>
          <w:divBdr>
            <w:top w:val="none" w:sz="0" w:space="0" w:color="auto"/>
            <w:left w:val="none" w:sz="0" w:space="0" w:color="auto"/>
            <w:bottom w:val="none" w:sz="0" w:space="0" w:color="auto"/>
            <w:right w:val="none" w:sz="0" w:space="0" w:color="auto"/>
          </w:divBdr>
        </w:div>
        <w:div w:id="1636638685">
          <w:marLeft w:val="0"/>
          <w:marRight w:val="0"/>
          <w:marTop w:val="0"/>
          <w:marBottom w:val="0"/>
          <w:divBdr>
            <w:top w:val="none" w:sz="0" w:space="0" w:color="auto"/>
            <w:left w:val="none" w:sz="0" w:space="0" w:color="auto"/>
            <w:bottom w:val="none" w:sz="0" w:space="0" w:color="auto"/>
            <w:right w:val="none" w:sz="0" w:space="0" w:color="auto"/>
          </w:divBdr>
        </w:div>
        <w:div w:id="47186949">
          <w:marLeft w:val="0"/>
          <w:marRight w:val="0"/>
          <w:marTop w:val="0"/>
          <w:marBottom w:val="0"/>
          <w:divBdr>
            <w:top w:val="none" w:sz="0" w:space="0" w:color="auto"/>
            <w:left w:val="none" w:sz="0" w:space="0" w:color="auto"/>
            <w:bottom w:val="none" w:sz="0" w:space="0" w:color="auto"/>
            <w:right w:val="none" w:sz="0" w:space="0" w:color="auto"/>
          </w:divBdr>
        </w:div>
        <w:div w:id="1168322487">
          <w:marLeft w:val="0"/>
          <w:marRight w:val="0"/>
          <w:marTop w:val="0"/>
          <w:marBottom w:val="0"/>
          <w:divBdr>
            <w:top w:val="none" w:sz="0" w:space="0" w:color="auto"/>
            <w:left w:val="none" w:sz="0" w:space="0" w:color="auto"/>
            <w:bottom w:val="none" w:sz="0" w:space="0" w:color="auto"/>
            <w:right w:val="none" w:sz="0" w:space="0" w:color="auto"/>
          </w:divBdr>
        </w:div>
        <w:div w:id="425543324">
          <w:marLeft w:val="0"/>
          <w:marRight w:val="0"/>
          <w:marTop w:val="0"/>
          <w:marBottom w:val="0"/>
          <w:divBdr>
            <w:top w:val="none" w:sz="0" w:space="0" w:color="auto"/>
            <w:left w:val="none" w:sz="0" w:space="0" w:color="auto"/>
            <w:bottom w:val="none" w:sz="0" w:space="0" w:color="auto"/>
            <w:right w:val="none" w:sz="0" w:space="0" w:color="auto"/>
          </w:divBdr>
        </w:div>
        <w:div w:id="1816144023">
          <w:marLeft w:val="0"/>
          <w:marRight w:val="0"/>
          <w:marTop w:val="0"/>
          <w:marBottom w:val="0"/>
          <w:divBdr>
            <w:top w:val="none" w:sz="0" w:space="0" w:color="auto"/>
            <w:left w:val="none" w:sz="0" w:space="0" w:color="auto"/>
            <w:bottom w:val="none" w:sz="0" w:space="0" w:color="auto"/>
            <w:right w:val="none" w:sz="0" w:space="0" w:color="auto"/>
          </w:divBdr>
        </w:div>
        <w:div w:id="1233467128">
          <w:marLeft w:val="0"/>
          <w:marRight w:val="0"/>
          <w:marTop w:val="0"/>
          <w:marBottom w:val="0"/>
          <w:divBdr>
            <w:top w:val="none" w:sz="0" w:space="0" w:color="auto"/>
            <w:left w:val="none" w:sz="0" w:space="0" w:color="auto"/>
            <w:bottom w:val="none" w:sz="0" w:space="0" w:color="auto"/>
            <w:right w:val="none" w:sz="0" w:space="0" w:color="auto"/>
          </w:divBdr>
        </w:div>
        <w:div w:id="168316928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p337@medschl.cam.ac.u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tif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tiff"/><Relationship Id="rId5" Type="http://schemas.openxmlformats.org/officeDocument/2006/relationships/webSettings" Target="webSettings.xml"/><Relationship Id="rId10" Type="http://schemas.openxmlformats.org/officeDocument/2006/relationships/image" Target="media/image1.tif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1EC4841-652D-4EEB-AB53-C33BB479C8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106</Pages>
  <Words>33625</Words>
  <Characters>191666</Characters>
  <Application>Microsoft Office Word</Application>
  <DocSecurity>0</DocSecurity>
  <Lines>1597</Lines>
  <Paragraphs>449</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Columbia University</Company>
  <LinksUpToDate>false</LinksUpToDate>
  <CharactersWithSpaces>224842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Francesca Cupaioli</dc:creator>
  <cp:lastModifiedBy>Luca Passamonti</cp:lastModifiedBy>
  <cp:revision>2</cp:revision>
  <cp:lastPrinted>2019-06-17T07:36:00Z</cp:lastPrinted>
  <dcterms:created xsi:type="dcterms:W3CDTF">2020-08-14T14:49:00Z</dcterms:created>
  <dcterms:modified xsi:type="dcterms:W3CDTF">2020-08-14T14:49:00Z</dcterms:modified>
</cp:coreProperties>
</file>