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4C3089" w14:textId="4F8E0036" w:rsidR="002E6A98" w:rsidRDefault="00791310" w:rsidP="00FF489A">
      <w:pPr>
        <w:pStyle w:val="Heading1"/>
      </w:pPr>
      <w:r>
        <w:t xml:space="preserve">Ensuring </w:t>
      </w:r>
      <w:r w:rsidR="00821843">
        <w:t xml:space="preserve">Legal </w:t>
      </w:r>
      <w:r w:rsidR="00905BF8">
        <w:t xml:space="preserve">Accountability </w:t>
      </w:r>
      <w:r>
        <w:t xml:space="preserve">of </w:t>
      </w:r>
      <w:r w:rsidR="00821843">
        <w:t xml:space="preserve">the </w:t>
      </w:r>
      <w:r w:rsidR="00837D1F">
        <w:t xml:space="preserve">UK </w:t>
      </w:r>
      <w:r w:rsidR="00905BF8">
        <w:t>Data Protection Authority</w:t>
      </w:r>
      <w:r w:rsidR="00F13912" w:rsidRPr="00F13912">
        <w:t xml:space="preserve">:  </w:t>
      </w:r>
      <w:r w:rsidR="00615E0E">
        <w:t xml:space="preserve">From </w:t>
      </w:r>
      <w:r w:rsidR="00F13912" w:rsidRPr="00F13912">
        <w:t xml:space="preserve">Cause for </w:t>
      </w:r>
      <w:r w:rsidR="00905BF8">
        <w:t xml:space="preserve">Data Subject </w:t>
      </w:r>
      <w:r w:rsidR="00F13912" w:rsidRPr="00F13912">
        <w:t xml:space="preserve">Complaint </w:t>
      </w:r>
      <w:r w:rsidR="00615E0E">
        <w:t xml:space="preserve">to </w:t>
      </w:r>
      <w:r w:rsidR="00905BF8">
        <w:t>a Model for Europe</w:t>
      </w:r>
      <w:r w:rsidR="00F13912" w:rsidRPr="00F13912">
        <w:t>?</w:t>
      </w:r>
    </w:p>
    <w:p w14:paraId="751F4797" w14:textId="4C0A6E3B" w:rsidR="005934B1" w:rsidRDefault="005934B1" w:rsidP="005934B1"/>
    <w:p w14:paraId="4733A95F" w14:textId="49790CDA" w:rsidR="005934B1" w:rsidRPr="002C4A4A" w:rsidRDefault="005934B1" w:rsidP="0027335E">
      <w:pPr>
        <w:rPr>
          <w:i/>
        </w:rPr>
      </w:pPr>
      <w:r w:rsidRPr="002C4A4A">
        <w:rPr>
          <w:i/>
        </w:rPr>
        <w:t>David Erdos</w:t>
      </w:r>
      <w:r w:rsidR="00E52E2A" w:rsidRPr="002C4A4A">
        <w:rPr>
          <w:rStyle w:val="FootnoteReference"/>
          <w:i/>
        </w:rPr>
        <w:footnoteReference w:customMarkFollows="1" w:id="2"/>
        <w:t>*</w:t>
      </w:r>
    </w:p>
    <w:p w14:paraId="70E30998" w14:textId="50F3F2A5" w:rsidR="00A41CD8" w:rsidRDefault="00A41CD8" w:rsidP="00A41CD8"/>
    <w:p w14:paraId="2D72433B" w14:textId="539F88DE" w:rsidR="00821CFD" w:rsidRPr="001F12AA" w:rsidRDefault="002C4A4A" w:rsidP="00821CFD">
      <w:pPr>
        <w:rPr>
          <w:i/>
        </w:rPr>
      </w:pPr>
      <w:r>
        <w:rPr>
          <w:i/>
        </w:rPr>
        <w:t xml:space="preserve">In the context </w:t>
      </w:r>
      <w:r w:rsidR="00791310">
        <w:rPr>
          <w:i/>
        </w:rPr>
        <w:t xml:space="preserve">of data protection </w:t>
      </w:r>
      <w:r>
        <w:rPr>
          <w:i/>
        </w:rPr>
        <w:t xml:space="preserve">in Europe </w:t>
      </w:r>
      <w:r w:rsidR="00E816FD" w:rsidRPr="001F12AA">
        <w:rPr>
          <w:i/>
        </w:rPr>
        <w:t>the role of the Data Protection Authority</w:t>
      </w:r>
      <w:r w:rsidR="00EF1352" w:rsidRPr="001F12AA">
        <w:rPr>
          <w:i/>
        </w:rPr>
        <w:t xml:space="preserve"> (DPA)</w:t>
      </w:r>
      <w:r w:rsidR="00E816FD" w:rsidRPr="001F12AA">
        <w:rPr>
          <w:i/>
        </w:rPr>
        <w:t xml:space="preserve"> in ensuring </w:t>
      </w:r>
      <w:r w:rsidR="006F4CB7" w:rsidRPr="001F12AA">
        <w:rPr>
          <w:i/>
        </w:rPr>
        <w:t>relief for data subjects</w:t>
      </w:r>
      <w:r w:rsidRPr="002C4A4A">
        <w:rPr>
          <w:i/>
        </w:rPr>
        <w:t xml:space="preserve"> </w:t>
      </w:r>
      <w:r w:rsidRPr="001F12AA">
        <w:rPr>
          <w:i/>
        </w:rPr>
        <w:t xml:space="preserve">has long </w:t>
      </w:r>
      <w:r>
        <w:rPr>
          <w:i/>
        </w:rPr>
        <w:t xml:space="preserve">been </w:t>
      </w:r>
      <w:r w:rsidRPr="001F12AA">
        <w:rPr>
          <w:i/>
        </w:rPr>
        <w:t>emphasized</w:t>
      </w:r>
      <w:r w:rsidR="006F4CB7" w:rsidRPr="001F12AA">
        <w:rPr>
          <w:i/>
        </w:rPr>
        <w:t xml:space="preserve">. </w:t>
      </w:r>
      <w:r w:rsidR="00F51B9B" w:rsidRPr="001F12AA">
        <w:rPr>
          <w:i/>
        </w:rPr>
        <w:t xml:space="preserve">However, </w:t>
      </w:r>
      <w:r w:rsidR="00AF0D07">
        <w:rPr>
          <w:i/>
        </w:rPr>
        <w:t xml:space="preserve">taking </w:t>
      </w:r>
      <w:r w:rsidR="00F51B9B" w:rsidRPr="001F12AA">
        <w:rPr>
          <w:i/>
        </w:rPr>
        <w:t xml:space="preserve">the UK case </w:t>
      </w:r>
      <w:r w:rsidR="00F10396">
        <w:rPr>
          <w:i/>
        </w:rPr>
        <w:t xml:space="preserve">as </w:t>
      </w:r>
      <w:r w:rsidR="00F51B9B" w:rsidRPr="001F12AA">
        <w:rPr>
          <w:i/>
        </w:rPr>
        <w:t xml:space="preserve">an example, </w:t>
      </w:r>
      <w:r w:rsidR="0015493D" w:rsidRPr="001F12AA">
        <w:rPr>
          <w:i/>
        </w:rPr>
        <w:t xml:space="preserve">this </w:t>
      </w:r>
      <w:r>
        <w:rPr>
          <w:i/>
        </w:rPr>
        <w:t xml:space="preserve">report </w:t>
      </w:r>
      <w:r w:rsidR="00F51B9B" w:rsidRPr="001F12AA">
        <w:rPr>
          <w:i/>
        </w:rPr>
        <w:t xml:space="preserve">demonstrates </w:t>
      </w:r>
      <w:r w:rsidR="0015493D" w:rsidRPr="001F12AA">
        <w:rPr>
          <w:i/>
        </w:rPr>
        <w:t xml:space="preserve">that </w:t>
      </w:r>
      <w:r w:rsidR="00F51B9B" w:rsidRPr="001F12AA">
        <w:rPr>
          <w:i/>
        </w:rPr>
        <w:t xml:space="preserve">authorities </w:t>
      </w:r>
      <w:r w:rsidR="00F177B5">
        <w:rPr>
          <w:i/>
        </w:rPr>
        <w:t xml:space="preserve">can </w:t>
      </w:r>
      <w:r w:rsidR="00AF0D07">
        <w:rPr>
          <w:i/>
        </w:rPr>
        <w:t xml:space="preserve">often </w:t>
      </w:r>
      <w:r w:rsidR="0015493D" w:rsidRPr="001F12AA">
        <w:rPr>
          <w:i/>
        </w:rPr>
        <w:t xml:space="preserve">adopt </w:t>
      </w:r>
      <w:r w:rsidR="00F51B9B" w:rsidRPr="001F12AA">
        <w:rPr>
          <w:i/>
        </w:rPr>
        <w:t>a highly discretionary and selective approach</w:t>
      </w:r>
      <w:r w:rsidR="00AF0D07">
        <w:rPr>
          <w:i/>
        </w:rPr>
        <w:t xml:space="preserve"> to data subject complaints</w:t>
      </w:r>
      <w:r w:rsidR="00A52F09" w:rsidRPr="001F12AA">
        <w:rPr>
          <w:i/>
        </w:rPr>
        <w:t xml:space="preserve">. </w:t>
      </w:r>
      <w:r w:rsidR="0015493D" w:rsidRPr="001F12AA">
        <w:rPr>
          <w:i/>
        </w:rPr>
        <w:t xml:space="preserve">Although </w:t>
      </w:r>
      <w:r w:rsidR="00747D40" w:rsidRPr="001F12AA">
        <w:rPr>
          <w:i/>
        </w:rPr>
        <w:t>such a stance may appear</w:t>
      </w:r>
      <w:r w:rsidR="0015493D" w:rsidRPr="001F12AA">
        <w:rPr>
          <w:i/>
        </w:rPr>
        <w:t xml:space="preserve"> </w:t>
      </w:r>
      <w:r w:rsidR="00747D40" w:rsidRPr="001F12AA">
        <w:rPr>
          <w:i/>
        </w:rPr>
        <w:t xml:space="preserve">justified by both the myriad types of potentially impactful processing and often generally poor compliance, it is precisely this environment </w:t>
      </w:r>
      <w:r w:rsidR="006D2166">
        <w:rPr>
          <w:i/>
        </w:rPr>
        <w:t xml:space="preserve">which </w:t>
      </w:r>
      <w:r w:rsidR="00872EB3" w:rsidRPr="001F12AA">
        <w:rPr>
          <w:i/>
        </w:rPr>
        <w:t>make</w:t>
      </w:r>
      <w:r w:rsidR="0015493D" w:rsidRPr="001F12AA">
        <w:rPr>
          <w:i/>
        </w:rPr>
        <w:t xml:space="preserve">s </w:t>
      </w:r>
      <w:r w:rsidR="00F27B76" w:rsidRPr="001F12AA">
        <w:rPr>
          <w:i/>
        </w:rPr>
        <w:t xml:space="preserve">a </w:t>
      </w:r>
      <w:r w:rsidR="00AF0D07">
        <w:rPr>
          <w:i/>
        </w:rPr>
        <w:t xml:space="preserve">reasonably </w:t>
      </w:r>
      <w:r w:rsidR="00F27B76" w:rsidRPr="001F12AA">
        <w:rPr>
          <w:i/>
        </w:rPr>
        <w:t xml:space="preserve">comprehensive </w:t>
      </w:r>
      <w:r w:rsidR="00AF0D07">
        <w:rPr>
          <w:i/>
        </w:rPr>
        <w:t xml:space="preserve">regulatory </w:t>
      </w:r>
      <w:r w:rsidR="006D2166">
        <w:rPr>
          <w:i/>
        </w:rPr>
        <w:t xml:space="preserve">approach </w:t>
      </w:r>
      <w:r w:rsidR="00E71FBD">
        <w:rPr>
          <w:i/>
        </w:rPr>
        <w:t>crucial</w:t>
      </w:r>
      <w:r w:rsidR="00872EB3" w:rsidRPr="001F12AA">
        <w:rPr>
          <w:i/>
        </w:rPr>
        <w:t xml:space="preserve">.  </w:t>
      </w:r>
      <w:r w:rsidR="009E4549" w:rsidRPr="001F12AA">
        <w:rPr>
          <w:i/>
        </w:rPr>
        <w:t xml:space="preserve">However, </w:t>
      </w:r>
      <w:r w:rsidR="00F27B76" w:rsidRPr="001F12AA">
        <w:rPr>
          <w:i/>
        </w:rPr>
        <w:t xml:space="preserve">whilst </w:t>
      </w:r>
      <w:r w:rsidR="009E4549" w:rsidRPr="001F12AA">
        <w:rPr>
          <w:i/>
        </w:rPr>
        <w:t xml:space="preserve">both the </w:t>
      </w:r>
      <w:r w:rsidR="00293E9A">
        <w:rPr>
          <w:i/>
        </w:rPr>
        <w:t xml:space="preserve">EU </w:t>
      </w:r>
      <w:r w:rsidR="009E4549" w:rsidRPr="001F12AA">
        <w:rPr>
          <w:i/>
        </w:rPr>
        <w:t xml:space="preserve">General Data Protection Regulation and increasingly Court of Justice jurisprudence </w:t>
      </w:r>
      <w:r w:rsidR="00AF0D07">
        <w:rPr>
          <w:i/>
        </w:rPr>
        <w:t xml:space="preserve">specify </w:t>
      </w:r>
      <w:r w:rsidR="00EF1352" w:rsidRPr="001F12AA">
        <w:rPr>
          <w:i/>
        </w:rPr>
        <w:t xml:space="preserve">important procedural and substantive duties </w:t>
      </w:r>
      <w:r w:rsidR="00AF0D07">
        <w:rPr>
          <w:i/>
        </w:rPr>
        <w:t xml:space="preserve">for </w:t>
      </w:r>
      <w:r w:rsidR="00EF1352" w:rsidRPr="001F12AA">
        <w:rPr>
          <w:i/>
        </w:rPr>
        <w:t xml:space="preserve">DPAs </w:t>
      </w:r>
      <w:r w:rsidR="00837D1F">
        <w:rPr>
          <w:i/>
        </w:rPr>
        <w:t xml:space="preserve">in relation to </w:t>
      </w:r>
      <w:r w:rsidR="00267534">
        <w:rPr>
          <w:i/>
        </w:rPr>
        <w:t>c</w:t>
      </w:r>
      <w:r w:rsidR="00EF1352" w:rsidRPr="001F12AA">
        <w:rPr>
          <w:i/>
        </w:rPr>
        <w:t xml:space="preserve">omplaints, a </w:t>
      </w:r>
      <w:r w:rsidR="009E5569" w:rsidRPr="001F12AA">
        <w:rPr>
          <w:i/>
        </w:rPr>
        <w:t>sever</w:t>
      </w:r>
      <w:r w:rsidR="00F27B76" w:rsidRPr="001F12AA">
        <w:rPr>
          <w:i/>
        </w:rPr>
        <w:t>e</w:t>
      </w:r>
      <w:r w:rsidR="009E5569" w:rsidRPr="001F12AA">
        <w:rPr>
          <w:i/>
        </w:rPr>
        <w:t xml:space="preserve"> </w:t>
      </w:r>
      <w:r w:rsidR="00EF1352" w:rsidRPr="001F12AA">
        <w:rPr>
          <w:i/>
        </w:rPr>
        <w:t xml:space="preserve">practical accountability gap </w:t>
      </w:r>
      <w:r w:rsidR="005344E0">
        <w:rPr>
          <w:i/>
        </w:rPr>
        <w:t xml:space="preserve">generally </w:t>
      </w:r>
      <w:r w:rsidR="00EF1352" w:rsidRPr="001F12AA">
        <w:rPr>
          <w:i/>
        </w:rPr>
        <w:t>remain</w:t>
      </w:r>
      <w:r w:rsidR="005344E0">
        <w:rPr>
          <w:i/>
        </w:rPr>
        <w:t>s</w:t>
      </w:r>
      <w:r w:rsidR="00EF1352" w:rsidRPr="001F12AA">
        <w:rPr>
          <w:i/>
        </w:rPr>
        <w:t xml:space="preserve">.  </w:t>
      </w:r>
      <w:r w:rsidR="009E5569" w:rsidRPr="001F12AA">
        <w:rPr>
          <w:i/>
        </w:rPr>
        <w:t>It is argued that</w:t>
      </w:r>
      <w:r w:rsidR="005344E0">
        <w:rPr>
          <w:i/>
        </w:rPr>
        <w:t xml:space="preserve"> </w:t>
      </w:r>
      <w:r w:rsidR="009E5569" w:rsidRPr="001F12AA">
        <w:rPr>
          <w:i/>
        </w:rPr>
        <w:t xml:space="preserve">the UK’s </w:t>
      </w:r>
      <w:r w:rsidR="00AF0D07">
        <w:rPr>
          <w:i/>
        </w:rPr>
        <w:t xml:space="preserve">recent empowerment </w:t>
      </w:r>
      <w:r w:rsidR="009E5569" w:rsidRPr="001F12AA">
        <w:rPr>
          <w:i/>
        </w:rPr>
        <w:t xml:space="preserve">of its accessible tribunal system to </w:t>
      </w:r>
      <w:r w:rsidR="002C33F1" w:rsidRPr="001F12AA">
        <w:rPr>
          <w:i/>
        </w:rPr>
        <w:t>order the DPA to progress complaints could</w:t>
      </w:r>
      <w:r w:rsidR="005344E0">
        <w:rPr>
          <w:i/>
        </w:rPr>
        <w:t>, in principle,</w:t>
      </w:r>
      <w:r w:rsidR="002C33F1" w:rsidRPr="001F12AA">
        <w:rPr>
          <w:i/>
        </w:rPr>
        <w:t xml:space="preserve"> </w:t>
      </w:r>
      <w:r w:rsidR="00F27B76" w:rsidRPr="001F12AA">
        <w:rPr>
          <w:i/>
        </w:rPr>
        <w:t xml:space="preserve">provide a valuable model of </w:t>
      </w:r>
      <w:r w:rsidR="00136695">
        <w:rPr>
          <w:i/>
        </w:rPr>
        <w:t xml:space="preserve">European DPA </w:t>
      </w:r>
      <w:r w:rsidR="00F27B76" w:rsidRPr="001F12AA">
        <w:rPr>
          <w:i/>
        </w:rPr>
        <w:t>accountability going forward</w:t>
      </w:r>
      <w:r w:rsidR="00136695">
        <w:rPr>
          <w:i/>
        </w:rPr>
        <w:t xml:space="preserve"> even after </w:t>
      </w:r>
      <w:r w:rsidR="009960B1">
        <w:rPr>
          <w:i/>
        </w:rPr>
        <w:t xml:space="preserve">the </w:t>
      </w:r>
      <w:r w:rsidR="00136695">
        <w:rPr>
          <w:i/>
        </w:rPr>
        <w:t>Brexit</w:t>
      </w:r>
      <w:r w:rsidR="009960B1">
        <w:rPr>
          <w:i/>
        </w:rPr>
        <w:t xml:space="preserve"> transition period</w:t>
      </w:r>
      <w:r w:rsidR="00F27B76" w:rsidRPr="001F12AA">
        <w:rPr>
          <w:i/>
        </w:rPr>
        <w:t>.</w:t>
      </w:r>
      <w:r w:rsidR="005344E0">
        <w:rPr>
          <w:i/>
        </w:rPr>
        <w:t xml:space="preserve">  Unfortunately, however, case law from </w:t>
      </w:r>
      <w:r w:rsidR="00775329">
        <w:rPr>
          <w:i/>
        </w:rPr>
        <w:t xml:space="preserve">both the </w:t>
      </w:r>
      <w:r w:rsidR="009960B1">
        <w:rPr>
          <w:i/>
        </w:rPr>
        <w:t xml:space="preserve">UK </w:t>
      </w:r>
      <w:r w:rsidR="00775329">
        <w:rPr>
          <w:i/>
        </w:rPr>
        <w:t>First-</w:t>
      </w:r>
      <w:r w:rsidR="00574611">
        <w:rPr>
          <w:i/>
        </w:rPr>
        <w:t>t</w:t>
      </w:r>
      <w:r w:rsidR="00775329">
        <w:rPr>
          <w:i/>
        </w:rPr>
        <w:t xml:space="preserve">ier and the Upper </w:t>
      </w:r>
      <w:r w:rsidR="005344E0">
        <w:rPr>
          <w:i/>
        </w:rPr>
        <w:t xml:space="preserve">Tribunal has adopted a purely procedural interpretation of this provision which, unless </w:t>
      </w:r>
      <w:r w:rsidR="00775329">
        <w:rPr>
          <w:i/>
        </w:rPr>
        <w:t>reversed</w:t>
      </w:r>
      <w:r w:rsidR="005344E0">
        <w:rPr>
          <w:i/>
        </w:rPr>
        <w:t>, will effectively neuter its value to data subjects.</w:t>
      </w:r>
    </w:p>
    <w:p w14:paraId="3C1DCD5C" w14:textId="5138B0AB" w:rsidR="00F27B76" w:rsidRPr="001F12AA" w:rsidRDefault="00F27B76" w:rsidP="00821CFD">
      <w:pPr>
        <w:rPr>
          <w:i/>
        </w:rPr>
      </w:pPr>
      <w:r w:rsidRPr="001F12AA">
        <w:rPr>
          <w:i/>
        </w:rPr>
        <w:t xml:space="preserve">Keywords:  data protection, </w:t>
      </w:r>
      <w:r w:rsidR="0001057D" w:rsidRPr="001F12AA">
        <w:rPr>
          <w:i/>
        </w:rPr>
        <w:t xml:space="preserve">judicial review, </w:t>
      </w:r>
      <w:r w:rsidR="00EB7C53" w:rsidRPr="001F12AA">
        <w:rPr>
          <w:i/>
        </w:rPr>
        <w:t xml:space="preserve">redress mechanisms, </w:t>
      </w:r>
      <w:r w:rsidR="00C57292" w:rsidRPr="001F12AA">
        <w:rPr>
          <w:i/>
        </w:rPr>
        <w:t xml:space="preserve">regulation, </w:t>
      </w:r>
      <w:r w:rsidR="00066BCF" w:rsidRPr="001F12AA">
        <w:rPr>
          <w:i/>
        </w:rPr>
        <w:t>monetary penalties,</w:t>
      </w:r>
      <w:r w:rsidR="009A1445" w:rsidRPr="001F12AA">
        <w:rPr>
          <w:i/>
        </w:rPr>
        <w:t xml:space="preserve"> privacy,</w:t>
      </w:r>
      <w:r w:rsidR="00066BCF" w:rsidRPr="001F12AA">
        <w:rPr>
          <w:i/>
        </w:rPr>
        <w:t xml:space="preserve"> </w:t>
      </w:r>
      <w:r w:rsidR="0001057D" w:rsidRPr="001F12AA">
        <w:rPr>
          <w:i/>
        </w:rPr>
        <w:t>tribunals</w:t>
      </w:r>
      <w:r w:rsidR="00002D48" w:rsidRPr="001F12AA">
        <w:rPr>
          <w:i/>
        </w:rPr>
        <w:t>.</w:t>
      </w:r>
    </w:p>
    <w:p w14:paraId="3DEEA8D9" w14:textId="602D9F2C" w:rsidR="001A1134" w:rsidRDefault="002E6A98">
      <w:r w:rsidRPr="00F13912">
        <w:t xml:space="preserve"> </w:t>
      </w:r>
    </w:p>
    <w:p w14:paraId="51404DA0" w14:textId="74B52B4B" w:rsidR="000B24FC" w:rsidRPr="000B24FC" w:rsidRDefault="000B24FC">
      <w:pPr>
        <w:rPr>
          <w:b/>
        </w:rPr>
      </w:pPr>
      <w:r w:rsidRPr="000B24FC">
        <w:rPr>
          <w:b/>
        </w:rPr>
        <w:t>I.  Introduction</w:t>
      </w:r>
    </w:p>
    <w:p w14:paraId="07D065B3" w14:textId="097581D9" w:rsidR="001F41E4" w:rsidRPr="00F13912" w:rsidRDefault="002E6A98" w:rsidP="008B1831">
      <w:pPr>
        <w:ind w:firstLine="720"/>
      </w:pPr>
      <w:r w:rsidRPr="00F13912">
        <w:t xml:space="preserve">The </w:t>
      </w:r>
      <w:r w:rsidR="00FB5EEF" w:rsidRPr="00F13912">
        <w:t>ever-greater</w:t>
      </w:r>
      <w:r w:rsidR="005A4509" w:rsidRPr="00F13912">
        <w:t xml:space="preserve"> </w:t>
      </w:r>
      <w:r w:rsidRPr="00F13912">
        <w:t>spread</w:t>
      </w:r>
      <w:r w:rsidR="005A4509" w:rsidRPr="00F13912">
        <w:t>, retention</w:t>
      </w:r>
      <w:r w:rsidRPr="00F13912">
        <w:t xml:space="preserve"> and use of personal data is exercising </w:t>
      </w:r>
      <w:r w:rsidR="005A4509" w:rsidRPr="00F13912">
        <w:t xml:space="preserve">an </w:t>
      </w:r>
      <w:r w:rsidRPr="00F13912">
        <w:t xml:space="preserve">increasing impact on </w:t>
      </w:r>
      <w:r w:rsidR="005A4509" w:rsidRPr="00F13912">
        <w:t xml:space="preserve">all </w:t>
      </w:r>
      <w:r w:rsidRPr="00F13912">
        <w:t>facet</w:t>
      </w:r>
      <w:r w:rsidR="005A4509" w:rsidRPr="00F13912">
        <w:t>s</w:t>
      </w:r>
      <w:r w:rsidRPr="00F13912">
        <w:t xml:space="preserve"> of our lives - social, political and economic.  The growing salience of the data protection framework is a natural corollary and (putting to one-side its many flaws and even absurdities) the General Data Protection Regulation </w:t>
      </w:r>
      <w:r w:rsidR="00AE2693" w:rsidRPr="00F13912">
        <w:t xml:space="preserve">2016/679 </w:t>
      </w:r>
      <w:r w:rsidRPr="00F13912">
        <w:t>(GDPR)</w:t>
      </w:r>
      <w:r w:rsidR="0083343A">
        <w:rPr>
          <w:rStyle w:val="FootnoteReference"/>
        </w:rPr>
        <w:footnoteReference w:id="3"/>
      </w:r>
      <w:r w:rsidRPr="00F13912">
        <w:t xml:space="preserve"> puts in place a powerful </w:t>
      </w:r>
      <w:r w:rsidR="005A4509" w:rsidRPr="00F13912">
        <w:t xml:space="preserve">set </w:t>
      </w:r>
      <w:r w:rsidR="00AE2693" w:rsidRPr="00F13912">
        <w:t xml:space="preserve">of </w:t>
      </w:r>
      <w:r w:rsidR="00C115BD" w:rsidRPr="00F13912">
        <w:t xml:space="preserve">subjective </w:t>
      </w:r>
      <w:r w:rsidR="005A4509" w:rsidRPr="00F13912">
        <w:t xml:space="preserve">rights and expectations </w:t>
      </w:r>
      <w:r w:rsidR="00AE2693" w:rsidRPr="00F13912">
        <w:t xml:space="preserve">to </w:t>
      </w:r>
      <w:r w:rsidR="005A4509" w:rsidRPr="00F13912">
        <w:t xml:space="preserve">safeguard </w:t>
      </w:r>
      <w:r w:rsidR="00721A8C">
        <w:t>the</w:t>
      </w:r>
      <w:r w:rsidR="00721A8C" w:rsidRPr="00F13912">
        <w:t xml:space="preserve"> </w:t>
      </w:r>
      <w:r w:rsidR="005A4509" w:rsidRPr="00F13912">
        <w:t xml:space="preserve">interests </w:t>
      </w:r>
      <w:r w:rsidR="00721A8C">
        <w:t xml:space="preserve">of </w:t>
      </w:r>
      <w:r w:rsidR="005A4509" w:rsidRPr="00F13912">
        <w:t xml:space="preserve">data subjects within this </w:t>
      </w:r>
      <w:r w:rsidR="00AE2693" w:rsidRPr="00F13912">
        <w:t xml:space="preserve">very </w:t>
      </w:r>
      <w:r w:rsidR="005A4509" w:rsidRPr="00F13912">
        <w:t xml:space="preserve">challenging environment.  These relate in particular to an expectation that </w:t>
      </w:r>
      <w:r w:rsidR="00C115BD" w:rsidRPr="00F13912">
        <w:t xml:space="preserve">competing </w:t>
      </w:r>
      <w:r w:rsidR="005A4509" w:rsidRPr="00F13912">
        <w:t xml:space="preserve">interests </w:t>
      </w:r>
      <w:r w:rsidR="00721A8C">
        <w:t xml:space="preserve">of data subjects, </w:t>
      </w:r>
      <w:r w:rsidR="00FD4D9E">
        <w:t xml:space="preserve">controllers </w:t>
      </w:r>
      <w:r w:rsidR="00721A8C">
        <w:t xml:space="preserve">and third parties </w:t>
      </w:r>
      <w:r w:rsidR="005A4509" w:rsidRPr="00F13912">
        <w:t>will be balanced fairly, that standards such as d</w:t>
      </w:r>
      <w:r w:rsidR="005344E0">
        <w:t>ata minimization and accuracy will</w:t>
      </w:r>
      <w:r w:rsidR="005A4509" w:rsidRPr="00F13912">
        <w:t xml:space="preserve"> be adhered to, that data use will be transparent and </w:t>
      </w:r>
      <w:r w:rsidR="00C115BD" w:rsidRPr="00F13912">
        <w:t xml:space="preserve">that </w:t>
      </w:r>
      <w:r w:rsidR="00721A8C">
        <w:t>data subjects are</w:t>
      </w:r>
      <w:r w:rsidR="00C115BD" w:rsidRPr="00F13912">
        <w:t xml:space="preserve"> able </w:t>
      </w:r>
      <w:r w:rsidR="005A4509" w:rsidRPr="00F13912">
        <w:t xml:space="preserve">to exercise a degree of control over processing especially when the data </w:t>
      </w:r>
      <w:r w:rsidR="00C11E9D">
        <w:t>and/</w:t>
      </w:r>
      <w:r w:rsidR="005A4509" w:rsidRPr="00F13912">
        <w:t>or context is of a sensitive nature.  Whilst the GDPR has introduced many (</w:t>
      </w:r>
      <w:r w:rsidR="00AE2693" w:rsidRPr="00F13912">
        <w:t xml:space="preserve">both </w:t>
      </w:r>
      <w:r w:rsidR="005A4509" w:rsidRPr="00F13912">
        <w:t xml:space="preserve">positive and negative) </w:t>
      </w:r>
      <w:r w:rsidR="00AF0D07">
        <w:t xml:space="preserve">substantive </w:t>
      </w:r>
      <w:r w:rsidR="005A4509" w:rsidRPr="00F13912">
        <w:t xml:space="preserve">changes, much of this framework dates back at least to the </w:t>
      </w:r>
      <w:r w:rsidR="00AE2693" w:rsidRPr="00F13912">
        <w:t xml:space="preserve">very beginnings of EU data </w:t>
      </w:r>
      <w:r w:rsidR="00AE2693" w:rsidRPr="00F13912">
        <w:lastRenderedPageBreak/>
        <w:t>protection</w:t>
      </w:r>
      <w:r w:rsidR="00721A8C">
        <w:t xml:space="preserve"> law</w:t>
      </w:r>
      <w:r w:rsidR="005A4509" w:rsidRPr="00F13912">
        <w:t>.</w:t>
      </w:r>
      <w:r w:rsidR="00AF0D07">
        <w:rPr>
          <w:rStyle w:val="FootnoteReference"/>
        </w:rPr>
        <w:footnoteReference w:id="4"/>
      </w:r>
      <w:r w:rsidR="005A4509" w:rsidRPr="00F13912">
        <w:t xml:space="preserve">  But how, in the face of unrelenting socio-technological pressures, are we to ensure that </w:t>
      </w:r>
      <w:r w:rsidR="005344E0">
        <w:t xml:space="preserve">these </w:t>
      </w:r>
      <w:r w:rsidR="005A4509" w:rsidRPr="00F13912">
        <w:t>formal rights and expectations do</w:t>
      </w:r>
      <w:r w:rsidR="00721A8C">
        <w:t xml:space="preserve"> </w:t>
      </w:r>
      <w:r w:rsidR="005A4509" w:rsidRPr="00F13912">
        <w:t>n</w:t>
      </w:r>
      <w:r w:rsidR="00721A8C">
        <w:t>o</w:t>
      </w:r>
      <w:r w:rsidR="005A4509" w:rsidRPr="00F13912">
        <w:t xml:space="preserve">t become a </w:t>
      </w:r>
      <w:r w:rsidR="005A4509" w:rsidRPr="00F13912">
        <w:rPr>
          <w:rFonts w:cstheme="minorHAnsi"/>
        </w:rPr>
        <w:t>‘</w:t>
      </w:r>
      <w:r w:rsidR="005A4509" w:rsidRPr="00F13912">
        <w:t>dead letter</w:t>
      </w:r>
      <w:r w:rsidR="005A4509" w:rsidRPr="00F13912">
        <w:rPr>
          <w:rFonts w:cstheme="minorHAnsi"/>
        </w:rPr>
        <w:t>’</w:t>
      </w:r>
      <w:r w:rsidR="005A4509" w:rsidRPr="00F13912">
        <w:t xml:space="preserve"> in reality?  </w:t>
      </w:r>
      <w:r w:rsidR="00C115BD" w:rsidRPr="00F13912">
        <w:t xml:space="preserve">Building on </w:t>
      </w:r>
      <w:r w:rsidR="00AE2693" w:rsidRPr="00F13912">
        <w:t xml:space="preserve">the former Data Protection </w:t>
      </w:r>
      <w:r w:rsidR="00C115BD" w:rsidRPr="00F13912">
        <w:t>Directive</w:t>
      </w:r>
      <w:r w:rsidR="00AE2693" w:rsidRPr="00F13912">
        <w:t xml:space="preserve"> </w:t>
      </w:r>
      <w:r w:rsidR="006C764E">
        <w:t xml:space="preserve">(DPD) </w:t>
      </w:r>
      <w:r w:rsidR="00AE2693" w:rsidRPr="00F13912">
        <w:t>95/46</w:t>
      </w:r>
      <w:r w:rsidR="00C115BD" w:rsidRPr="00F13912">
        <w:t>,</w:t>
      </w:r>
      <w:r w:rsidR="0096533B">
        <w:rPr>
          <w:rStyle w:val="FootnoteReference"/>
        </w:rPr>
        <w:footnoteReference w:id="5"/>
      </w:r>
      <w:r w:rsidR="00C115BD" w:rsidRPr="00F13912">
        <w:t xml:space="preserve"> the GDPR suggests </w:t>
      </w:r>
      <w:r w:rsidR="00AE2693" w:rsidRPr="00F13912">
        <w:t xml:space="preserve">a number of </w:t>
      </w:r>
      <w:r w:rsidR="00C115BD" w:rsidRPr="00F13912">
        <w:t>answers to this conundrum including enabling individuals (and, in some circumstances, even collective bodies) to pursue private actions for injunctive or compensatory relief in the event of breach.</w:t>
      </w:r>
      <w:r w:rsidR="00AF0D07">
        <w:rPr>
          <w:rStyle w:val="FootnoteReference"/>
        </w:rPr>
        <w:footnoteReference w:id="6"/>
      </w:r>
      <w:r w:rsidR="00C115BD" w:rsidRPr="00F13912">
        <w:t xml:space="preserve">  However, </w:t>
      </w:r>
      <w:r w:rsidR="008B1831" w:rsidRPr="00F13912">
        <w:t xml:space="preserve">also following on from the </w:t>
      </w:r>
      <w:r w:rsidR="00721A8C">
        <w:t>DPD</w:t>
      </w:r>
      <w:r w:rsidR="00C115BD" w:rsidRPr="00F13912">
        <w:t xml:space="preserve">, the GDPR’s primary answer is to </w:t>
      </w:r>
      <w:r w:rsidR="00AE2693" w:rsidRPr="00F13912">
        <w:t xml:space="preserve">enable </w:t>
      </w:r>
      <w:r w:rsidR="00C115BD" w:rsidRPr="00F13912">
        <w:t xml:space="preserve">data subjects to reach out to statutory Data Protection Authorities (DPAs) </w:t>
      </w:r>
      <w:r w:rsidR="008B1831" w:rsidRPr="00F13912">
        <w:t xml:space="preserve">which </w:t>
      </w:r>
      <w:r w:rsidR="00AE2693" w:rsidRPr="00F13912">
        <w:t xml:space="preserve">it </w:t>
      </w:r>
      <w:r w:rsidR="006C764E">
        <w:t xml:space="preserve">not only </w:t>
      </w:r>
      <w:r w:rsidR="00AE2693" w:rsidRPr="00F13912">
        <w:t>sees as</w:t>
      </w:r>
      <w:r w:rsidR="00FF31A7">
        <w:t xml:space="preserve"> an</w:t>
      </w:r>
      <w:r w:rsidR="00AE2693" w:rsidRPr="00F13912">
        <w:t xml:space="preserve"> </w:t>
      </w:r>
      <w:r w:rsidR="00346EC7">
        <w:t>‘</w:t>
      </w:r>
      <w:r w:rsidR="001F41E4" w:rsidRPr="00F13912">
        <w:t>essential component</w:t>
      </w:r>
      <w:r w:rsidR="00346EC7">
        <w:t>’</w:t>
      </w:r>
      <w:r w:rsidR="00AF0D07">
        <w:rPr>
          <w:rStyle w:val="FootnoteReference"/>
        </w:rPr>
        <w:footnoteReference w:id="7"/>
      </w:r>
      <w:r w:rsidR="008B1831" w:rsidRPr="00F13912">
        <w:t xml:space="preserve"> </w:t>
      </w:r>
      <w:r w:rsidR="001F41E4" w:rsidRPr="00F13912">
        <w:t xml:space="preserve">of </w:t>
      </w:r>
      <w:r w:rsidR="006C764E">
        <w:t xml:space="preserve">the </w:t>
      </w:r>
      <w:r w:rsidR="00AE2693" w:rsidRPr="00F13912">
        <w:t xml:space="preserve">framework </w:t>
      </w:r>
      <w:r w:rsidR="006C764E">
        <w:t xml:space="preserve">but also </w:t>
      </w:r>
      <w:r w:rsidR="00AE2693" w:rsidRPr="00F13912">
        <w:t xml:space="preserve">endows </w:t>
      </w:r>
      <w:r w:rsidR="008B1831" w:rsidRPr="00F13912">
        <w:t>with an unprecedented range of tasks and powers to ensure compliance with, and punish infraction of the law.</w:t>
      </w:r>
    </w:p>
    <w:p w14:paraId="1AC07CE0" w14:textId="4F3A4FA4" w:rsidR="007A4365" w:rsidRPr="00F13912" w:rsidRDefault="007A4365" w:rsidP="007A4365"/>
    <w:p w14:paraId="0B0E23B8" w14:textId="1B1C22FB" w:rsidR="007A4365" w:rsidRPr="00F13912" w:rsidRDefault="000B24FC" w:rsidP="007A4365">
      <w:pPr>
        <w:rPr>
          <w:b/>
        </w:rPr>
      </w:pPr>
      <w:r>
        <w:rPr>
          <w:b/>
        </w:rPr>
        <w:t xml:space="preserve">II.  </w:t>
      </w:r>
      <w:r w:rsidR="007A4365" w:rsidRPr="00F13912">
        <w:rPr>
          <w:b/>
        </w:rPr>
        <w:t xml:space="preserve">Data Subject </w:t>
      </w:r>
      <w:r w:rsidR="00F13912" w:rsidRPr="00F13912">
        <w:rPr>
          <w:b/>
        </w:rPr>
        <w:t xml:space="preserve">Accountability </w:t>
      </w:r>
      <w:r w:rsidR="007A4365" w:rsidRPr="00F13912">
        <w:rPr>
          <w:b/>
        </w:rPr>
        <w:t xml:space="preserve">Rights </w:t>
      </w:r>
      <w:r w:rsidR="009F04BE" w:rsidRPr="00F13912">
        <w:rPr>
          <w:b/>
        </w:rPr>
        <w:t xml:space="preserve">before the </w:t>
      </w:r>
      <w:r w:rsidR="007A4365" w:rsidRPr="00F13912">
        <w:rPr>
          <w:b/>
        </w:rPr>
        <w:t>DP</w:t>
      </w:r>
      <w:r>
        <w:rPr>
          <w:b/>
        </w:rPr>
        <w:t>A</w:t>
      </w:r>
      <w:r w:rsidR="000A6D7C">
        <w:rPr>
          <w:b/>
        </w:rPr>
        <w:t xml:space="preserve"> </w:t>
      </w:r>
      <w:r w:rsidR="0062794E">
        <w:rPr>
          <w:b/>
        </w:rPr>
        <w:t xml:space="preserve">according to the </w:t>
      </w:r>
      <w:r w:rsidR="000A6D7C">
        <w:rPr>
          <w:b/>
        </w:rPr>
        <w:t xml:space="preserve">GDPR </w:t>
      </w:r>
    </w:p>
    <w:p w14:paraId="3C9A3ECB" w14:textId="61F955FE" w:rsidR="007F5768" w:rsidRPr="00F13912" w:rsidRDefault="008B1831">
      <w:r w:rsidRPr="00F13912">
        <w:tab/>
        <w:t xml:space="preserve">Turning specifically to the </w:t>
      </w:r>
      <w:r w:rsidR="006C764E">
        <w:t xml:space="preserve">interface between DPAs and </w:t>
      </w:r>
      <w:r w:rsidRPr="00F13912">
        <w:t>data subject</w:t>
      </w:r>
      <w:r w:rsidR="006C764E">
        <w:t>s</w:t>
      </w:r>
      <w:r w:rsidRPr="00F13912">
        <w:t xml:space="preserve">, the GDPR grants individuals a specific right to lodge claims </w:t>
      </w:r>
      <w:r w:rsidR="006C15D2">
        <w:t>for</w:t>
      </w:r>
      <w:r w:rsidR="006C15D2" w:rsidRPr="00F13912">
        <w:t xml:space="preserve"> </w:t>
      </w:r>
      <w:r w:rsidRPr="00F13912">
        <w:t xml:space="preserve">infringement of data protection </w:t>
      </w:r>
      <w:r w:rsidR="006C15D2">
        <w:t xml:space="preserve">law </w:t>
      </w:r>
      <w:r w:rsidRPr="00F13912">
        <w:t>as complaint</w:t>
      </w:r>
      <w:r w:rsidR="00AE2693" w:rsidRPr="00F13912">
        <w:t>s</w:t>
      </w:r>
      <w:r w:rsidRPr="00F13912">
        <w:t xml:space="preserve"> </w:t>
      </w:r>
      <w:r w:rsidR="00AE2693" w:rsidRPr="00F13912">
        <w:t>before a</w:t>
      </w:r>
      <w:r w:rsidR="006332AC">
        <w:t xml:space="preserve"> competent</w:t>
      </w:r>
      <w:r w:rsidR="00AE2693" w:rsidRPr="00F13912">
        <w:t xml:space="preserve"> </w:t>
      </w:r>
      <w:r w:rsidRPr="00F13912">
        <w:t>DPA</w:t>
      </w:r>
      <w:r w:rsidR="00AF0D07">
        <w:rPr>
          <w:rStyle w:val="FootnoteReference"/>
        </w:rPr>
        <w:footnoteReference w:id="8"/>
      </w:r>
      <w:r w:rsidRPr="00F13912">
        <w:t xml:space="preserve">  which is </w:t>
      </w:r>
      <w:r w:rsidR="00AE2693" w:rsidRPr="00F13912">
        <w:t xml:space="preserve">then </w:t>
      </w:r>
      <w:r w:rsidRPr="00F13912">
        <w:t xml:space="preserve">obliged to </w:t>
      </w:r>
      <w:r w:rsidR="00346EC7">
        <w:t>‘</w:t>
      </w:r>
      <w:r w:rsidRPr="00F13912">
        <w:t>handle</w:t>
      </w:r>
      <w:r w:rsidR="00346EC7">
        <w:t>’</w:t>
      </w:r>
      <w:r w:rsidRPr="00F13912">
        <w:t xml:space="preserve"> the complaint, </w:t>
      </w:r>
      <w:r w:rsidR="00346EC7">
        <w:t>‘</w:t>
      </w:r>
      <w:r w:rsidRPr="00F13912">
        <w:t>investigate, to the extent appropriate</w:t>
      </w:r>
      <w:r w:rsidR="00346EC7">
        <w:t>’</w:t>
      </w:r>
      <w:r w:rsidRPr="00F13912">
        <w:t xml:space="preserve"> and to </w:t>
      </w:r>
      <w:r w:rsidR="00346EC7">
        <w:t>‘</w:t>
      </w:r>
      <w:r w:rsidRPr="00F13912">
        <w:t>inform the complainant of the progress and the outcome of the investigat</w:t>
      </w:r>
      <w:r w:rsidR="00AF0D07">
        <w:t>ion within a reasonable period</w:t>
      </w:r>
      <w:r w:rsidR="00346EC7">
        <w:t>’</w:t>
      </w:r>
      <w:r w:rsidRPr="00F13912">
        <w:t>.</w:t>
      </w:r>
      <w:r w:rsidR="00AF0D07">
        <w:rPr>
          <w:rStyle w:val="FootnoteReference"/>
        </w:rPr>
        <w:footnoteReference w:id="9"/>
      </w:r>
      <w:r w:rsidRPr="00F13912">
        <w:t xml:space="preserve">  </w:t>
      </w:r>
      <w:r w:rsidR="00AF5E9E" w:rsidRPr="00F13912">
        <w:t xml:space="preserve"> Putting to one side the complexities </w:t>
      </w:r>
      <w:r w:rsidR="007F5768" w:rsidRPr="00F13912">
        <w:t xml:space="preserve">of competence </w:t>
      </w:r>
      <w:r w:rsidR="00AF5E9E" w:rsidRPr="00F13912">
        <w:t xml:space="preserve">which can arise with cross-border processing </w:t>
      </w:r>
      <w:r w:rsidR="007F5768" w:rsidRPr="00F13912">
        <w:t xml:space="preserve">under </w:t>
      </w:r>
      <w:r w:rsidR="00AF5E9E" w:rsidRPr="00F13912">
        <w:t>the GDPR’s cooperation and consistency mechanism,</w:t>
      </w:r>
      <w:r w:rsidR="00AF0D07">
        <w:rPr>
          <w:rStyle w:val="FootnoteReference"/>
        </w:rPr>
        <w:footnoteReference w:id="10"/>
      </w:r>
      <w:r w:rsidR="00AF5E9E" w:rsidRPr="00F13912">
        <w:t xml:space="preserve"> </w:t>
      </w:r>
      <w:r w:rsidR="006332AC">
        <w:t xml:space="preserve">the GDPR </w:t>
      </w:r>
      <w:r w:rsidR="00AF5E9E" w:rsidRPr="00F13912">
        <w:t xml:space="preserve">grants DPAs </w:t>
      </w:r>
      <w:r w:rsidR="00EE72C4">
        <w:t xml:space="preserve">wide-ranging </w:t>
      </w:r>
      <w:r w:rsidR="00AF5E9E" w:rsidRPr="00F13912">
        <w:t>investigative powers</w:t>
      </w:r>
      <w:r w:rsidR="000B24FC">
        <w:rPr>
          <w:rStyle w:val="FootnoteReference"/>
        </w:rPr>
        <w:footnoteReference w:id="11"/>
      </w:r>
      <w:r w:rsidR="00AF5E9E" w:rsidRPr="00F13912">
        <w:t xml:space="preserve"> </w:t>
      </w:r>
      <w:r w:rsidR="007F5768" w:rsidRPr="00F13912">
        <w:t xml:space="preserve">which </w:t>
      </w:r>
      <w:r w:rsidR="006C764E">
        <w:t xml:space="preserve">they </w:t>
      </w:r>
      <w:r w:rsidR="007F5768" w:rsidRPr="00F13912">
        <w:t xml:space="preserve">must use </w:t>
      </w:r>
      <w:r w:rsidR="00346EC7">
        <w:t>‘</w:t>
      </w:r>
      <w:r w:rsidR="007F5768" w:rsidRPr="00F13912">
        <w:t xml:space="preserve">to the extent </w:t>
      </w:r>
      <w:r w:rsidR="00070D8F" w:rsidRPr="00F13912">
        <w:t>appropriate</w:t>
      </w:r>
      <w:r w:rsidR="00346EC7">
        <w:t>’</w:t>
      </w:r>
      <w:r w:rsidR="00AF5E9E" w:rsidRPr="00F13912">
        <w:t>.</w:t>
      </w:r>
      <w:r w:rsidR="000B24FC">
        <w:rPr>
          <w:rStyle w:val="FootnoteReference"/>
        </w:rPr>
        <w:footnoteReference w:id="12"/>
      </w:r>
      <w:r w:rsidR="00AF5E9E" w:rsidRPr="00F13912">
        <w:t xml:space="preserve">  Moreover, it is also clear that insofar as an</w:t>
      </w:r>
      <w:r w:rsidR="006C764E">
        <w:t>y</w:t>
      </w:r>
      <w:r w:rsidR="00AF5E9E" w:rsidRPr="00F13912">
        <w:t xml:space="preserve"> investigation discloses an infraction of the law then the DPA must </w:t>
      </w:r>
      <w:r w:rsidR="006C764E">
        <w:t xml:space="preserve">also </w:t>
      </w:r>
      <w:r w:rsidR="007F5768" w:rsidRPr="00F13912">
        <w:t xml:space="preserve">look at </w:t>
      </w:r>
      <w:r w:rsidR="00AF5E9E" w:rsidRPr="00F13912">
        <w:t>using its far-reaching corrective powers.</w:t>
      </w:r>
      <w:r w:rsidR="000B24FC">
        <w:rPr>
          <w:rStyle w:val="FootnoteReference"/>
        </w:rPr>
        <w:footnoteReference w:id="13"/>
      </w:r>
      <w:r w:rsidR="00AF5E9E" w:rsidRPr="00F13912">
        <w:t xml:space="preserve">   </w:t>
      </w:r>
      <w:r w:rsidR="00076967" w:rsidRPr="00F13912">
        <w:t xml:space="preserve">In particular, for almost all significant infractions of the law, the regulator is obliged to administer a system of fines which </w:t>
      </w:r>
      <w:r w:rsidR="00346EC7">
        <w:t>‘</w:t>
      </w:r>
      <w:r w:rsidR="00076967" w:rsidRPr="00F13912">
        <w:t>in each individual case</w:t>
      </w:r>
      <w:r w:rsidR="00346EC7">
        <w:t>’</w:t>
      </w:r>
      <w:r w:rsidR="00076967" w:rsidRPr="00F13912">
        <w:t xml:space="preserve"> must be </w:t>
      </w:r>
      <w:r w:rsidR="00346EC7">
        <w:t>‘</w:t>
      </w:r>
      <w:r w:rsidR="00076967" w:rsidRPr="00F13912">
        <w:t>effective,</w:t>
      </w:r>
      <w:r w:rsidR="000B24FC">
        <w:t xml:space="preserve"> proportionate and dissuasive</w:t>
      </w:r>
      <w:r w:rsidR="00346EC7">
        <w:t>’</w:t>
      </w:r>
      <w:r w:rsidR="00076967" w:rsidRPr="00F13912">
        <w:t>.</w:t>
      </w:r>
      <w:r w:rsidR="000B24FC">
        <w:rPr>
          <w:rStyle w:val="FootnoteReference"/>
        </w:rPr>
        <w:footnoteReference w:id="14"/>
      </w:r>
      <w:r w:rsidR="00076967" w:rsidRPr="00F13912">
        <w:t xml:space="preserve">  Indeed, Recital 148 </w:t>
      </w:r>
      <w:r w:rsidR="007F5768" w:rsidRPr="00F13912">
        <w:t xml:space="preserve">of the GDPR </w:t>
      </w:r>
      <w:r w:rsidR="00076967" w:rsidRPr="00F13912">
        <w:t xml:space="preserve">indicates </w:t>
      </w:r>
      <w:r w:rsidR="00346EC7">
        <w:t>‘</w:t>
      </w:r>
      <w:r w:rsidR="007F5768" w:rsidRPr="00F13912">
        <w:t xml:space="preserve">[i]n order to strengthen the enforcement of the rules of this Regulation, penalties including administrative fines should be imposed for </w:t>
      </w:r>
      <w:r w:rsidR="007F5768" w:rsidRPr="000B24FC">
        <w:rPr>
          <w:i/>
        </w:rPr>
        <w:t>any</w:t>
      </w:r>
      <w:r w:rsidR="007F5768" w:rsidRPr="00F13912">
        <w:t xml:space="preserve"> infringement of this Regulation</w:t>
      </w:r>
      <w:r w:rsidR="00346EC7">
        <w:t>’</w:t>
      </w:r>
      <w:r w:rsidR="007F5768" w:rsidRPr="00F13912">
        <w:t xml:space="preserve"> (emphasis added).  In partial derogation from this, the Recital does </w:t>
      </w:r>
      <w:r w:rsidR="000B24FC">
        <w:t xml:space="preserve">acknowledge </w:t>
      </w:r>
      <w:r w:rsidR="007F5768" w:rsidRPr="00F13912">
        <w:t xml:space="preserve">that </w:t>
      </w:r>
      <w:r w:rsidR="00076967" w:rsidRPr="00F13912">
        <w:t xml:space="preserve">in the case of a </w:t>
      </w:r>
      <w:r w:rsidR="00346EC7">
        <w:t>‘</w:t>
      </w:r>
      <w:r w:rsidR="00076967" w:rsidRPr="00F13912">
        <w:t>minor infringement</w:t>
      </w:r>
      <w:r w:rsidR="00346EC7">
        <w:t>’</w:t>
      </w:r>
      <w:r w:rsidR="00076967" w:rsidRPr="00F13912">
        <w:t xml:space="preserve"> or where </w:t>
      </w:r>
      <w:r w:rsidR="00346EC7">
        <w:t>‘</w:t>
      </w:r>
      <w:r w:rsidR="00076967" w:rsidRPr="00F13912">
        <w:t>the fine likely to be imposed would constitute a disproportionate burden to a natural person</w:t>
      </w:r>
      <w:r w:rsidR="00346EC7">
        <w:t>’</w:t>
      </w:r>
      <w:r w:rsidR="00076967" w:rsidRPr="00F13912">
        <w:t xml:space="preserve"> </w:t>
      </w:r>
      <w:r w:rsidR="007F5768" w:rsidRPr="00F13912">
        <w:t xml:space="preserve">a </w:t>
      </w:r>
      <w:r w:rsidR="00346EC7">
        <w:t>‘</w:t>
      </w:r>
      <w:r w:rsidR="00076967" w:rsidRPr="00F13912">
        <w:t>reprimand</w:t>
      </w:r>
      <w:r w:rsidR="00346EC7">
        <w:t>’</w:t>
      </w:r>
      <w:r w:rsidR="00076967" w:rsidRPr="00F13912">
        <w:t xml:space="preserve"> </w:t>
      </w:r>
      <w:r w:rsidR="000B24FC">
        <w:t xml:space="preserve">may be </w:t>
      </w:r>
      <w:r w:rsidR="00076967" w:rsidRPr="00F13912">
        <w:t xml:space="preserve">issued </w:t>
      </w:r>
      <w:r w:rsidR="007F5768" w:rsidRPr="00F13912">
        <w:t>in lieu of this</w:t>
      </w:r>
      <w:r w:rsidR="00076967" w:rsidRPr="00F13912">
        <w:t xml:space="preserve">.  </w:t>
      </w:r>
      <w:r w:rsidR="007F5768" w:rsidRPr="00F13912">
        <w:t xml:space="preserve">Such a reprimand is also defined as </w:t>
      </w:r>
      <w:r w:rsidR="00A66A1B">
        <w:t xml:space="preserve">one of the </w:t>
      </w:r>
      <w:r w:rsidR="000B24FC">
        <w:t>f</w:t>
      </w:r>
      <w:r w:rsidR="007F5768" w:rsidRPr="00F13912">
        <w:t>ormal corrective powers of DPAs</w:t>
      </w:r>
      <w:r w:rsidR="000B24FC">
        <w:rPr>
          <w:rStyle w:val="FootnoteReference"/>
        </w:rPr>
        <w:footnoteReference w:id="15"/>
      </w:r>
      <w:r w:rsidR="007F5768" w:rsidRPr="00F13912">
        <w:t xml:space="preserve"> alongside both warnings and a variety of injunctive orders.</w:t>
      </w:r>
    </w:p>
    <w:p w14:paraId="56434F0F" w14:textId="07964565" w:rsidR="007A4365" w:rsidRPr="00F13912" w:rsidRDefault="007A4365"/>
    <w:p w14:paraId="2AF0F6FB" w14:textId="3D7B9BC7" w:rsidR="007A4365" w:rsidRPr="00F13912" w:rsidRDefault="000B24FC">
      <w:pPr>
        <w:rPr>
          <w:b/>
        </w:rPr>
      </w:pPr>
      <w:r>
        <w:rPr>
          <w:b/>
        </w:rPr>
        <w:t xml:space="preserve">III.  </w:t>
      </w:r>
      <w:r w:rsidR="00F13912" w:rsidRPr="00F13912">
        <w:rPr>
          <w:b/>
        </w:rPr>
        <w:t xml:space="preserve">DPA Accountability Duties </w:t>
      </w:r>
      <w:r w:rsidR="007A4365" w:rsidRPr="00F13912">
        <w:rPr>
          <w:b/>
        </w:rPr>
        <w:t>Specifi</w:t>
      </w:r>
      <w:r>
        <w:rPr>
          <w:b/>
        </w:rPr>
        <w:t>ed in Court of Justice Case Law</w:t>
      </w:r>
    </w:p>
    <w:p w14:paraId="1E8CC65D" w14:textId="22358912" w:rsidR="00076967" w:rsidRPr="00F13912" w:rsidRDefault="00076967" w:rsidP="008021B9">
      <w:pPr>
        <w:rPr>
          <w:rFonts w:cstheme="minorHAnsi"/>
        </w:rPr>
      </w:pPr>
      <w:r w:rsidRPr="00F13912">
        <w:tab/>
      </w:r>
      <w:r w:rsidR="007F5768" w:rsidRPr="00F13912">
        <w:t xml:space="preserve">Turning back to the </w:t>
      </w:r>
      <w:r w:rsidR="006C0686" w:rsidRPr="00F13912">
        <w:t>f</w:t>
      </w:r>
      <w:r w:rsidR="007F5768" w:rsidRPr="00F13912">
        <w:t xml:space="preserve">ormer </w:t>
      </w:r>
      <w:r w:rsidR="006C764E">
        <w:t>DPD</w:t>
      </w:r>
      <w:r w:rsidR="007F5768" w:rsidRPr="00F13912">
        <w:t xml:space="preserve">, this instrument </w:t>
      </w:r>
      <w:r w:rsidR="006C764E">
        <w:t xml:space="preserve">similarly </w:t>
      </w:r>
      <w:r w:rsidR="007F5768" w:rsidRPr="00F13912">
        <w:t xml:space="preserve">set out </w:t>
      </w:r>
      <w:r w:rsidR="006C0686" w:rsidRPr="00F13912">
        <w:t>DPA duties as regards data subject claims or complaints</w:t>
      </w:r>
      <w:r w:rsidR="00874629" w:rsidRPr="00F13912">
        <w:t xml:space="preserve">.  </w:t>
      </w:r>
      <w:r w:rsidR="007F5768" w:rsidRPr="00F13912">
        <w:t xml:space="preserve">Moreover, </w:t>
      </w:r>
      <w:r w:rsidR="000B24FC">
        <w:t xml:space="preserve">recent human rights influenced </w:t>
      </w:r>
      <w:r w:rsidR="0045761B">
        <w:t xml:space="preserve">Grand Chamber decisions </w:t>
      </w:r>
      <w:r w:rsidR="00700EC0" w:rsidRPr="00F13912">
        <w:t xml:space="preserve">from the Court of Justice </w:t>
      </w:r>
      <w:r w:rsidR="000841B5">
        <w:t xml:space="preserve">decided under </w:t>
      </w:r>
      <w:r w:rsidR="0099611F">
        <w:t xml:space="preserve">both </w:t>
      </w:r>
      <w:r w:rsidR="000841B5">
        <w:t xml:space="preserve">the DPD </w:t>
      </w:r>
      <w:r w:rsidR="0099611F">
        <w:t xml:space="preserve">and the GDPR </w:t>
      </w:r>
      <w:r w:rsidR="0045761B">
        <w:t xml:space="preserve">have </w:t>
      </w:r>
      <w:r w:rsidR="00874629" w:rsidRPr="00F13912">
        <w:t xml:space="preserve">provided further important elucidation which clearly also </w:t>
      </w:r>
      <w:r w:rsidR="007F5768" w:rsidRPr="00F13912">
        <w:t xml:space="preserve">specify </w:t>
      </w:r>
      <w:r w:rsidR="00700EC0" w:rsidRPr="00F13912">
        <w:t xml:space="preserve">DPA </w:t>
      </w:r>
      <w:r w:rsidR="00874629" w:rsidRPr="00F13912">
        <w:t>obligation</w:t>
      </w:r>
      <w:r w:rsidR="006C764E">
        <w:t>s</w:t>
      </w:r>
      <w:r w:rsidR="00874629" w:rsidRPr="00F13912">
        <w:t xml:space="preserve"> to ensure corrective action.  For example, in the seminal </w:t>
      </w:r>
      <w:r w:rsidR="00874629" w:rsidRPr="00F13912">
        <w:rPr>
          <w:rFonts w:cstheme="minorHAnsi"/>
        </w:rPr>
        <w:t xml:space="preserve">right to deindexing case of </w:t>
      </w:r>
      <w:r w:rsidR="00874629" w:rsidRPr="00F13912">
        <w:rPr>
          <w:rFonts w:cstheme="minorHAnsi"/>
          <w:i/>
        </w:rPr>
        <w:t>Google Spain</w:t>
      </w:r>
      <w:r w:rsidR="00700EC0" w:rsidRPr="00F13912">
        <w:rPr>
          <w:rFonts w:cstheme="minorHAnsi"/>
        </w:rPr>
        <w:t xml:space="preserve"> (2014)</w:t>
      </w:r>
      <w:r w:rsidR="00874629" w:rsidRPr="00F13912">
        <w:rPr>
          <w:rFonts w:cstheme="minorHAnsi"/>
        </w:rPr>
        <w:t>, the Court found that</w:t>
      </w:r>
      <w:r w:rsidR="00053911">
        <w:rPr>
          <w:rFonts w:cstheme="minorHAnsi"/>
        </w:rPr>
        <w:t xml:space="preserve"> ‘</w:t>
      </w:r>
    </w:p>
    <w:p w14:paraId="79AB7120" w14:textId="3564EA22" w:rsidR="00874629" w:rsidRPr="00F13912" w:rsidRDefault="00874629" w:rsidP="0038438C">
      <w:pPr>
        <w:rPr>
          <w:rFonts w:cstheme="minorHAnsi"/>
        </w:rPr>
      </w:pPr>
      <w:r w:rsidRPr="00F13912">
        <w:rPr>
          <w:rFonts w:cstheme="minorHAnsi"/>
        </w:rPr>
        <w:t xml:space="preserve">Where the controller does not grant the request, the data subject may bring the matter before the supervisory authority or the judicial authority so that it carries out the necessary checks </w:t>
      </w:r>
      <w:r w:rsidRPr="000B24FC">
        <w:rPr>
          <w:rFonts w:cstheme="minorHAnsi"/>
          <w:i/>
        </w:rPr>
        <w:t>and orders the controller to take specific measures accordingly</w:t>
      </w:r>
      <w:r w:rsidRPr="00F13912">
        <w:rPr>
          <w:rFonts w:cstheme="minorHAnsi"/>
        </w:rPr>
        <w:t>.</w:t>
      </w:r>
      <w:r w:rsidR="00053911">
        <w:rPr>
          <w:rFonts w:cstheme="minorHAnsi"/>
        </w:rPr>
        <w:t xml:space="preserve"> </w:t>
      </w:r>
    </w:p>
    <w:p w14:paraId="0BD97450" w14:textId="3B614581" w:rsidR="00874629" w:rsidRPr="00F13912" w:rsidRDefault="006513A3" w:rsidP="0038438C">
      <w:pPr>
        <w:rPr>
          <w:rFonts w:cstheme="minorHAnsi"/>
        </w:rPr>
      </w:pPr>
      <w:r>
        <w:rPr>
          <w:rFonts w:cstheme="minorHAnsi"/>
        </w:rPr>
        <w:t>ʼ</w:t>
      </w:r>
      <w:r w:rsidR="00874629" w:rsidRPr="00F13912">
        <w:rPr>
          <w:rFonts w:cstheme="minorHAnsi"/>
        </w:rPr>
        <w:t>.</w:t>
      </w:r>
      <w:r w:rsidR="006C764E">
        <w:rPr>
          <w:rStyle w:val="FootnoteReference"/>
          <w:rFonts w:cstheme="minorHAnsi"/>
        </w:rPr>
        <w:footnoteReference w:id="16"/>
      </w:r>
      <w:r w:rsidR="00865922">
        <w:rPr>
          <w:rFonts w:cstheme="minorHAnsi"/>
        </w:rPr>
        <w:t>.</w:t>
      </w:r>
      <w:r w:rsidR="00874629" w:rsidRPr="00F13912">
        <w:rPr>
          <w:rFonts w:cstheme="minorHAnsi"/>
        </w:rPr>
        <w:t xml:space="preserve"> </w:t>
      </w:r>
    </w:p>
    <w:p w14:paraId="75F3C07A" w14:textId="58D48A4B" w:rsidR="00700EC0" w:rsidRPr="00F13912" w:rsidRDefault="00700EC0" w:rsidP="0038438C">
      <w:pPr>
        <w:rPr>
          <w:rFonts w:cstheme="minorHAnsi"/>
        </w:rPr>
      </w:pPr>
      <w:r w:rsidRPr="00F13912">
        <w:rPr>
          <w:rFonts w:cstheme="minorHAnsi"/>
        </w:rPr>
        <w:t xml:space="preserve">Meanwhile, in the case of </w:t>
      </w:r>
      <w:r w:rsidRPr="00F13912">
        <w:rPr>
          <w:rFonts w:cstheme="minorHAnsi"/>
          <w:i/>
        </w:rPr>
        <w:t>Schrems</w:t>
      </w:r>
      <w:r w:rsidRPr="00F13912">
        <w:rPr>
          <w:rFonts w:cstheme="minorHAnsi"/>
        </w:rPr>
        <w:t xml:space="preserve"> </w:t>
      </w:r>
      <w:r w:rsidR="008B0D27" w:rsidRPr="00F13912">
        <w:rPr>
          <w:rFonts w:cstheme="minorHAnsi"/>
          <w:i/>
        </w:rPr>
        <w:t>I</w:t>
      </w:r>
      <w:r w:rsidR="008B0D27" w:rsidRPr="00F13912">
        <w:rPr>
          <w:rFonts w:cstheme="minorHAnsi"/>
        </w:rPr>
        <w:t xml:space="preserve"> </w:t>
      </w:r>
      <w:r w:rsidR="006C764E" w:rsidRPr="006C764E">
        <w:rPr>
          <w:rFonts w:cstheme="minorHAnsi"/>
        </w:rPr>
        <w:t>(2015)</w:t>
      </w:r>
      <w:r w:rsidR="006C764E">
        <w:rPr>
          <w:rFonts w:cstheme="minorHAnsi"/>
          <w:i/>
        </w:rPr>
        <w:t xml:space="preserve"> </w:t>
      </w:r>
      <w:r w:rsidR="006C764E">
        <w:rPr>
          <w:rFonts w:cstheme="minorHAnsi"/>
        </w:rPr>
        <w:t xml:space="preserve">which </w:t>
      </w:r>
      <w:r w:rsidRPr="00F13912">
        <w:rPr>
          <w:rFonts w:cstheme="minorHAnsi"/>
        </w:rPr>
        <w:t xml:space="preserve">struck down </w:t>
      </w:r>
      <w:r w:rsidR="00865922">
        <w:rPr>
          <w:rFonts w:cstheme="minorHAnsi"/>
        </w:rPr>
        <w:t xml:space="preserve">the </w:t>
      </w:r>
      <w:r w:rsidRPr="00F13912">
        <w:rPr>
          <w:rFonts w:cstheme="minorHAnsi"/>
        </w:rPr>
        <w:t>‘Safe Harbor’</w:t>
      </w:r>
      <w:r w:rsidR="006C764E">
        <w:rPr>
          <w:rFonts w:cstheme="minorHAnsi"/>
        </w:rPr>
        <w:t xml:space="preserve"> </w:t>
      </w:r>
      <w:r w:rsidR="00865922">
        <w:rPr>
          <w:rFonts w:cstheme="minorHAnsi"/>
        </w:rPr>
        <w:t>decision concerning</w:t>
      </w:r>
      <w:r w:rsidRPr="00F13912">
        <w:rPr>
          <w:rFonts w:cstheme="minorHAnsi"/>
        </w:rPr>
        <w:t xml:space="preserve"> the EU-US personal data </w:t>
      </w:r>
      <w:r w:rsidR="006C764E">
        <w:rPr>
          <w:rFonts w:cstheme="minorHAnsi"/>
        </w:rPr>
        <w:t>transfer mechanism</w:t>
      </w:r>
      <w:r w:rsidR="00865922">
        <w:rPr>
          <w:rFonts w:cstheme="minorHAnsi"/>
        </w:rPr>
        <w:t>,</w:t>
      </w:r>
      <w:r w:rsidR="006C764E">
        <w:rPr>
          <w:rFonts w:cstheme="minorHAnsi"/>
        </w:rPr>
        <w:t xml:space="preserve"> </w:t>
      </w:r>
      <w:r w:rsidRPr="00F13912">
        <w:rPr>
          <w:rFonts w:cstheme="minorHAnsi"/>
        </w:rPr>
        <w:t xml:space="preserve">the Court held that </w:t>
      </w:r>
      <w:r w:rsidR="000B24FC">
        <w:rPr>
          <w:rFonts w:cstheme="minorHAnsi"/>
        </w:rPr>
        <w:t xml:space="preserve">in cases where </w:t>
      </w:r>
      <w:r w:rsidRPr="00F13912">
        <w:rPr>
          <w:rFonts w:cstheme="minorHAnsi"/>
        </w:rPr>
        <w:t xml:space="preserve">an individual </w:t>
      </w:r>
      <w:r w:rsidR="00346EC7">
        <w:rPr>
          <w:rFonts w:cstheme="minorHAnsi"/>
        </w:rPr>
        <w:t>‘</w:t>
      </w:r>
      <w:r w:rsidR="006C764E">
        <w:rPr>
          <w:rFonts w:cstheme="minorHAnsi"/>
        </w:rPr>
        <w:t>w</w:t>
      </w:r>
      <w:r w:rsidRPr="00F13912">
        <w:rPr>
          <w:rFonts w:cstheme="minorHAnsi"/>
        </w:rPr>
        <w:t>hose personal data has been or could be</w:t>
      </w:r>
      <w:r w:rsidR="00346EC7">
        <w:rPr>
          <w:rFonts w:cstheme="minorHAnsi"/>
        </w:rPr>
        <w:t>’</w:t>
      </w:r>
      <w:r w:rsidRPr="00F13912">
        <w:rPr>
          <w:rFonts w:cstheme="minorHAnsi"/>
        </w:rPr>
        <w:t xml:space="preserve"> transferred under such a mechanism contests</w:t>
      </w:r>
      <w:r w:rsidR="00865922">
        <w:rPr>
          <w:rFonts w:cstheme="minorHAnsi"/>
        </w:rPr>
        <w:t xml:space="preserve"> ‘</w:t>
      </w:r>
      <w:r w:rsidRPr="00F13912">
        <w:rPr>
          <w:rFonts w:cstheme="minorHAnsi"/>
        </w:rPr>
        <w:t>the compatibility of that decision [</w:t>
      </w:r>
      <w:r w:rsidR="000B24FC">
        <w:rPr>
          <w:rFonts w:cstheme="minorHAnsi"/>
        </w:rPr>
        <w:t xml:space="preserve">which authorized </w:t>
      </w:r>
      <w:r w:rsidRPr="00F13912">
        <w:rPr>
          <w:rFonts w:cstheme="minorHAnsi"/>
        </w:rPr>
        <w:t xml:space="preserve">such a mechanism] with the protection of the privacy and of the fundamental rights and freedoms of individuals, </w:t>
      </w:r>
      <w:r w:rsidR="006C764E">
        <w:rPr>
          <w:rFonts w:cstheme="minorHAnsi"/>
        </w:rPr>
        <w:t>i</w:t>
      </w:r>
      <w:r w:rsidRPr="00F13912">
        <w:rPr>
          <w:rFonts w:cstheme="minorHAnsi"/>
        </w:rPr>
        <w:t xml:space="preserve">t </w:t>
      </w:r>
      <w:r w:rsidR="00C64975">
        <w:rPr>
          <w:rFonts w:cstheme="minorHAnsi"/>
        </w:rPr>
        <w:t>i</w:t>
      </w:r>
      <w:r w:rsidRPr="00F13912">
        <w:rPr>
          <w:rFonts w:cstheme="minorHAnsi"/>
        </w:rPr>
        <w:t xml:space="preserve">s incumbent upon the national supervisory authority to examine the claim </w:t>
      </w:r>
      <w:r w:rsidRPr="000B24FC">
        <w:rPr>
          <w:rFonts w:cstheme="minorHAnsi"/>
          <w:i/>
        </w:rPr>
        <w:t>with all due diligence</w:t>
      </w:r>
      <w:r w:rsidR="00865922">
        <w:rPr>
          <w:rFonts w:cstheme="minorHAnsi"/>
        </w:rPr>
        <w:t>’</w:t>
      </w:r>
      <w:r w:rsidR="006C764E">
        <w:rPr>
          <w:rStyle w:val="FootnoteReference"/>
          <w:rFonts w:cstheme="minorHAnsi"/>
        </w:rPr>
        <w:footnoteReference w:id="17"/>
      </w:r>
      <w:r w:rsidR="00865922">
        <w:rPr>
          <w:rFonts w:cstheme="minorHAnsi"/>
        </w:rPr>
        <w:t>.</w:t>
      </w:r>
    </w:p>
    <w:p w14:paraId="04E0C7BE" w14:textId="1AB3352A" w:rsidR="00E1023E" w:rsidRDefault="003954B4" w:rsidP="0038438C">
      <w:r>
        <w:rPr>
          <w:iCs/>
        </w:rPr>
        <w:t>Mo</w:t>
      </w:r>
      <w:r w:rsidR="0045761B">
        <w:rPr>
          <w:iCs/>
        </w:rPr>
        <w:t xml:space="preserve">ving </w:t>
      </w:r>
      <w:r w:rsidR="00D22543">
        <w:rPr>
          <w:iCs/>
        </w:rPr>
        <w:t xml:space="preserve">lastly </w:t>
      </w:r>
      <w:r>
        <w:rPr>
          <w:iCs/>
        </w:rPr>
        <w:t xml:space="preserve">to consider </w:t>
      </w:r>
      <w:r w:rsidR="008B0D27" w:rsidRPr="00F13912">
        <w:rPr>
          <w:i/>
        </w:rPr>
        <w:t>Schrems II</w:t>
      </w:r>
      <w:r w:rsidR="00865922">
        <w:rPr>
          <w:i/>
        </w:rPr>
        <w:t xml:space="preserve"> </w:t>
      </w:r>
      <w:r w:rsidR="00865922" w:rsidRPr="0038438C">
        <w:t>(2020)</w:t>
      </w:r>
      <w:r w:rsidR="0045761B" w:rsidRPr="0045761B">
        <w:rPr>
          <w:iCs/>
        </w:rPr>
        <w:t>,</w:t>
      </w:r>
      <w:r w:rsidR="0045761B">
        <w:rPr>
          <w:i/>
        </w:rPr>
        <w:t xml:space="preserve"> </w:t>
      </w:r>
      <w:r w:rsidR="008B0D27" w:rsidRPr="00F13912">
        <w:t>which</w:t>
      </w:r>
      <w:r w:rsidR="00A66A1B">
        <w:t xml:space="preserve"> </w:t>
      </w:r>
      <w:r w:rsidR="0045761B">
        <w:t xml:space="preserve">was </w:t>
      </w:r>
      <w:r w:rsidR="008B0D27" w:rsidRPr="00F13912">
        <w:t xml:space="preserve">originally </w:t>
      </w:r>
      <w:r w:rsidR="006C764E">
        <w:t xml:space="preserve">lodged under </w:t>
      </w:r>
      <w:r w:rsidR="008B0D27" w:rsidRPr="00F13912">
        <w:t xml:space="preserve">the </w:t>
      </w:r>
      <w:r w:rsidR="006C764E">
        <w:t>DPD</w:t>
      </w:r>
      <w:r w:rsidR="0045761B">
        <w:t xml:space="preserve"> but was ultimately decided on the basis of the GDPR,</w:t>
      </w:r>
      <w:r w:rsidR="00BC76EA">
        <w:rPr>
          <w:rStyle w:val="FootnoteReference"/>
        </w:rPr>
        <w:footnoteReference w:id="18"/>
      </w:r>
      <w:r w:rsidR="0045761B">
        <w:t xml:space="preserve"> </w:t>
      </w:r>
      <w:r w:rsidR="005D5CE9">
        <w:t xml:space="preserve">the Court </w:t>
      </w:r>
      <w:r w:rsidR="00865922">
        <w:t xml:space="preserve">recently </w:t>
      </w:r>
      <w:r w:rsidR="005D5CE9">
        <w:t xml:space="preserve">not only struck down </w:t>
      </w:r>
      <w:r w:rsidR="00906D5A">
        <w:rPr>
          <w:rFonts w:cstheme="minorHAnsi"/>
        </w:rPr>
        <w:t>ʻ</w:t>
      </w:r>
      <w:r w:rsidR="00906D5A">
        <w:t>Privacy Shield</w:t>
      </w:r>
      <w:r w:rsidR="00906D5A">
        <w:rPr>
          <w:rFonts w:cstheme="minorHAnsi"/>
        </w:rPr>
        <w:t>ʼ</w:t>
      </w:r>
      <w:r w:rsidR="008A4073">
        <w:rPr>
          <w:rFonts w:cstheme="minorHAnsi"/>
        </w:rPr>
        <w:t xml:space="preserve">, the successor to ʻSafe Haborʼ, but </w:t>
      </w:r>
      <w:r w:rsidR="00EB4643">
        <w:rPr>
          <w:rFonts w:cstheme="minorHAnsi"/>
        </w:rPr>
        <w:t xml:space="preserve">issued </w:t>
      </w:r>
      <w:r w:rsidR="00750560">
        <w:rPr>
          <w:rFonts w:cstheme="minorHAnsi"/>
        </w:rPr>
        <w:t xml:space="preserve">its </w:t>
      </w:r>
      <w:r w:rsidR="000E6469">
        <w:rPr>
          <w:rFonts w:cstheme="minorHAnsi"/>
        </w:rPr>
        <w:t>strongest pronouncements yet as regards the obligations of DPAs to ensure data protection compliance including</w:t>
      </w:r>
      <w:r w:rsidR="00A47A77">
        <w:rPr>
          <w:rFonts w:cstheme="minorHAnsi"/>
        </w:rPr>
        <w:t xml:space="preserve">, but not limited to, </w:t>
      </w:r>
      <w:r w:rsidR="000E6469">
        <w:rPr>
          <w:rFonts w:cstheme="minorHAnsi"/>
        </w:rPr>
        <w:t xml:space="preserve">international data </w:t>
      </w:r>
      <w:r w:rsidR="00D56CB6">
        <w:rPr>
          <w:rFonts w:cstheme="minorHAnsi"/>
        </w:rPr>
        <w:t>transfers</w:t>
      </w:r>
      <w:r w:rsidR="000E6469">
        <w:rPr>
          <w:rFonts w:cstheme="minorHAnsi"/>
        </w:rPr>
        <w:t>.  In sum, the Court rule</w:t>
      </w:r>
      <w:r w:rsidR="00750560">
        <w:rPr>
          <w:rFonts w:cstheme="minorHAnsi"/>
        </w:rPr>
        <w:t>d</w:t>
      </w:r>
      <w:r w:rsidR="000E6469">
        <w:rPr>
          <w:rFonts w:cstheme="minorHAnsi"/>
        </w:rPr>
        <w:t xml:space="preserve"> that </w:t>
      </w:r>
      <w:r w:rsidR="00346EC7">
        <w:rPr>
          <w:rFonts w:cstheme="minorHAnsi"/>
        </w:rPr>
        <w:t>‘</w:t>
      </w:r>
      <w:r w:rsidR="000E6469">
        <w:rPr>
          <w:rFonts w:cstheme="minorHAnsi"/>
        </w:rPr>
        <w:t>the supervisory authorities’ primary responsibility is to monitor the application of the GDPR and to ensure its enforcement</w:t>
      </w:r>
      <w:r w:rsidR="00346EC7">
        <w:rPr>
          <w:rFonts w:cstheme="minorHAnsi"/>
        </w:rPr>
        <w:t>’</w:t>
      </w:r>
      <w:r w:rsidR="000E6469">
        <w:rPr>
          <w:rStyle w:val="FootnoteReference"/>
          <w:rFonts w:cstheme="minorHAnsi"/>
        </w:rPr>
        <w:footnoteReference w:id="19"/>
      </w:r>
      <w:r w:rsidR="000E6469">
        <w:rPr>
          <w:rFonts w:cstheme="minorHAnsi"/>
        </w:rPr>
        <w:t xml:space="preserve"> and </w:t>
      </w:r>
      <w:r w:rsidR="00F75D59">
        <w:rPr>
          <w:rFonts w:cstheme="minorHAnsi"/>
        </w:rPr>
        <w:t xml:space="preserve">that each authority </w:t>
      </w:r>
      <w:r w:rsidR="000E6469">
        <w:rPr>
          <w:rFonts w:cstheme="minorHAnsi"/>
        </w:rPr>
        <w:t xml:space="preserve">was </w:t>
      </w:r>
      <w:r w:rsidR="00346EC7">
        <w:rPr>
          <w:rFonts w:cstheme="minorHAnsi"/>
        </w:rPr>
        <w:t>‘</w:t>
      </w:r>
      <w:r w:rsidR="000E6469">
        <w:rPr>
          <w:rFonts w:cstheme="minorHAnsi"/>
        </w:rPr>
        <w:t>required to exercised its responsibility for ensuring that the GDPR is fully enforced with all due diligence</w:t>
      </w:r>
      <w:r w:rsidR="00346EC7">
        <w:rPr>
          <w:rFonts w:cstheme="minorHAnsi"/>
        </w:rPr>
        <w:t>’</w:t>
      </w:r>
      <w:r w:rsidR="000E6469">
        <w:rPr>
          <w:rFonts w:cstheme="minorHAnsi"/>
        </w:rPr>
        <w:t>.</w:t>
      </w:r>
      <w:r w:rsidR="0056740A">
        <w:rPr>
          <w:rStyle w:val="FootnoteReference"/>
          <w:rFonts w:cstheme="minorHAnsi"/>
        </w:rPr>
        <w:footnoteReference w:id="20"/>
      </w:r>
      <w:r w:rsidR="0056740A">
        <w:rPr>
          <w:rFonts w:cstheme="minorHAnsi"/>
        </w:rPr>
        <w:t xml:space="preserve">  </w:t>
      </w:r>
      <w:r w:rsidR="000167D8">
        <w:rPr>
          <w:rFonts w:cstheme="minorHAnsi"/>
        </w:rPr>
        <w:t>T</w:t>
      </w:r>
      <w:r w:rsidR="0056740A">
        <w:rPr>
          <w:rFonts w:cstheme="minorHAnsi"/>
        </w:rPr>
        <w:t xml:space="preserve">hese responsibilities had </w:t>
      </w:r>
      <w:r w:rsidR="00346EC7">
        <w:rPr>
          <w:rFonts w:cstheme="minorHAnsi"/>
        </w:rPr>
        <w:t>‘</w:t>
      </w:r>
      <w:r w:rsidR="003B6875">
        <w:rPr>
          <w:rFonts w:cstheme="minorHAnsi"/>
        </w:rPr>
        <w:t>particular importance</w:t>
      </w:r>
      <w:r w:rsidR="00346EC7">
        <w:rPr>
          <w:rFonts w:cstheme="minorHAnsi"/>
        </w:rPr>
        <w:t>’</w:t>
      </w:r>
      <w:r w:rsidR="00DC7FE3">
        <w:rPr>
          <w:rFonts w:cstheme="minorHAnsi"/>
        </w:rPr>
        <w:t xml:space="preserve"> </w:t>
      </w:r>
      <w:r w:rsidR="004825F7">
        <w:rPr>
          <w:rFonts w:cstheme="minorHAnsi"/>
        </w:rPr>
        <w:t xml:space="preserve">in the context of international data transfer due to the risks </w:t>
      </w:r>
      <w:r w:rsidR="004468AC">
        <w:rPr>
          <w:rFonts w:cstheme="minorHAnsi"/>
        </w:rPr>
        <w:t xml:space="preserve">(even if sometimes largely theoretical) </w:t>
      </w:r>
      <w:r w:rsidR="004825F7">
        <w:rPr>
          <w:rFonts w:cstheme="minorHAnsi"/>
        </w:rPr>
        <w:t xml:space="preserve">which could be posed to </w:t>
      </w:r>
      <w:r w:rsidR="00346EC7">
        <w:rPr>
          <w:rFonts w:cstheme="minorHAnsi"/>
        </w:rPr>
        <w:t>‘</w:t>
      </w:r>
      <w:r w:rsidR="004825F7">
        <w:rPr>
          <w:rFonts w:cstheme="minorHAnsi"/>
        </w:rPr>
        <w:t>data protection rights</w:t>
      </w:r>
      <w:r w:rsidR="00346EC7">
        <w:rPr>
          <w:rFonts w:cstheme="minorHAnsi"/>
        </w:rPr>
        <w:t>’</w:t>
      </w:r>
      <w:r w:rsidR="004825F7">
        <w:rPr>
          <w:rStyle w:val="FootnoteReference"/>
          <w:rFonts w:cstheme="minorHAnsi"/>
        </w:rPr>
        <w:footnoteReference w:id="21"/>
      </w:r>
      <w:r w:rsidR="0055706F">
        <w:rPr>
          <w:rFonts w:cstheme="minorHAnsi"/>
        </w:rPr>
        <w:t xml:space="preserve"> by such a </w:t>
      </w:r>
      <w:r w:rsidR="00B41A5A">
        <w:rPr>
          <w:rFonts w:cstheme="minorHAnsi"/>
        </w:rPr>
        <w:t>movement of data.</w:t>
      </w:r>
      <w:r w:rsidR="004825F7">
        <w:rPr>
          <w:rFonts w:cstheme="minorHAnsi"/>
        </w:rPr>
        <w:t xml:space="preserve">  Therefore, even when such transfers were fully covered </w:t>
      </w:r>
      <w:r w:rsidR="004F1AE0">
        <w:rPr>
          <w:rFonts w:cstheme="minorHAnsi"/>
        </w:rPr>
        <w:t>by a secondary law in the form of a Commission Decision such as ʻPrivacy Shieldʼ</w:t>
      </w:r>
      <w:r w:rsidR="00247E6F">
        <w:rPr>
          <w:rFonts w:cstheme="minorHAnsi"/>
        </w:rPr>
        <w:t>, a DPA</w:t>
      </w:r>
      <w:r w:rsidR="00865922">
        <w:rPr>
          <w:rFonts w:cstheme="minorHAnsi"/>
        </w:rPr>
        <w:t xml:space="preserve"> ‘</w:t>
      </w:r>
      <w:r w:rsidR="008C16D6">
        <w:rPr>
          <w:rFonts w:cstheme="minorHAnsi"/>
        </w:rPr>
        <w:t>m</w:t>
      </w:r>
      <w:r w:rsidR="00E1023E">
        <w:rPr>
          <w:rFonts w:cstheme="minorHAnsi"/>
        </w:rPr>
        <w:t xml:space="preserve">ust be able to examine with complete independence, whether the transfer of that data complies with the requirements laid down by the GDPR </w:t>
      </w:r>
      <w:r w:rsidR="00865922">
        <w:rPr>
          <w:rFonts w:cstheme="minorHAnsi"/>
        </w:rPr>
        <w:t xml:space="preserve"> </w:t>
      </w:r>
      <w:r w:rsidR="00E1023E">
        <w:rPr>
          <w:rFonts w:cstheme="minorHAnsi"/>
        </w:rPr>
        <w:t xml:space="preserve">and, where relevant, to bring an action before </w:t>
      </w:r>
      <w:r w:rsidR="00DD584A">
        <w:rPr>
          <w:rFonts w:cstheme="minorHAnsi"/>
        </w:rPr>
        <w:t>the national courts in order for them</w:t>
      </w:r>
      <w:r w:rsidR="00865922">
        <w:rPr>
          <w:rFonts w:cstheme="minorHAnsi"/>
        </w:rPr>
        <w:t xml:space="preserve"> […] </w:t>
      </w:r>
      <w:r w:rsidR="005A100E">
        <w:rPr>
          <w:rFonts w:cstheme="minorHAnsi"/>
        </w:rPr>
        <w:t>to make a reference for a preliminary ruling for the purpose of examining its validity</w:t>
      </w:r>
      <w:r w:rsidR="00865922">
        <w:rPr>
          <w:rFonts w:cstheme="minorHAnsi"/>
        </w:rPr>
        <w:t>’</w:t>
      </w:r>
      <w:r w:rsidR="005A100E">
        <w:rPr>
          <w:rStyle w:val="FootnoteReference"/>
          <w:rFonts w:cstheme="minorHAnsi"/>
        </w:rPr>
        <w:footnoteReference w:id="22"/>
      </w:r>
      <w:r w:rsidR="00865922">
        <w:rPr>
          <w:rFonts w:cstheme="minorHAnsi"/>
        </w:rPr>
        <w:t>-</w:t>
      </w:r>
    </w:p>
    <w:p w14:paraId="7E6196E2" w14:textId="385EA244" w:rsidR="00D639A3" w:rsidRDefault="005A100E" w:rsidP="0038438C">
      <w:r>
        <w:t xml:space="preserve">Moreover, </w:t>
      </w:r>
      <w:r w:rsidR="000071CB">
        <w:t xml:space="preserve">in other cases, the Grand Chamber was clear that the DPA was </w:t>
      </w:r>
      <w:r w:rsidR="00B226F1">
        <w:t xml:space="preserve">obliged </w:t>
      </w:r>
      <w:r w:rsidR="000071CB">
        <w:t xml:space="preserve">to use its powers to </w:t>
      </w:r>
      <w:r w:rsidR="00000757">
        <w:t xml:space="preserve">directly ensure compliance with </w:t>
      </w:r>
      <w:r w:rsidR="008C16D6">
        <w:t>data protection standards</w:t>
      </w:r>
      <w:r w:rsidR="00000757">
        <w:t xml:space="preserve">.  </w:t>
      </w:r>
      <w:r w:rsidR="00E063B5">
        <w:t xml:space="preserve">More specifically, in situations where a continuing transfer </w:t>
      </w:r>
      <w:r w:rsidR="006B06D8">
        <w:t xml:space="preserve">was </w:t>
      </w:r>
      <w:r w:rsidR="00C513B3">
        <w:t xml:space="preserve">apparently </w:t>
      </w:r>
      <w:r w:rsidR="006B06D8">
        <w:t xml:space="preserve">justified through the </w:t>
      </w:r>
      <w:r w:rsidR="000E702C">
        <w:t xml:space="preserve">receiving entity </w:t>
      </w:r>
      <w:r w:rsidR="006B06D8">
        <w:t xml:space="preserve">binding itself to </w:t>
      </w:r>
      <w:r w:rsidR="00684165">
        <w:t>European</w:t>
      </w:r>
      <w:r w:rsidR="00A47116">
        <w:t xml:space="preserve"> </w:t>
      </w:r>
      <w:r w:rsidR="00684165">
        <w:lastRenderedPageBreak/>
        <w:t>data protection</w:t>
      </w:r>
      <w:r w:rsidR="00865922">
        <w:t xml:space="preserve"> law</w:t>
      </w:r>
      <w:r w:rsidR="00684165">
        <w:t xml:space="preserve">’s </w:t>
      </w:r>
      <w:r w:rsidR="000E702C">
        <w:t>standard contractual clauses</w:t>
      </w:r>
      <w:r w:rsidR="00B226F1">
        <w:t>,</w:t>
      </w:r>
      <w:r w:rsidR="00354A1F">
        <w:rPr>
          <w:rStyle w:val="FootnoteReference"/>
        </w:rPr>
        <w:footnoteReference w:id="23"/>
      </w:r>
      <w:r w:rsidR="00B226F1">
        <w:t xml:space="preserve"> the Court found that </w:t>
      </w:r>
      <w:r w:rsidR="00C513B3">
        <w:t>a DPA was required</w:t>
      </w:r>
      <w:r w:rsidR="00865922">
        <w:t xml:space="preserve"> ‘</w:t>
      </w:r>
      <w:r w:rsidR="00C513B3">
        <w:t>to suspend or prohibit a transfer of personal data if</w:t>
      </w:r>
      <w:r w:rsidR="00865922">
        <w:t xml:space="preserve"> </w:t>
      </w:r>
      <w:r w:rsidR="00865922">
        <w:rPr>
          <w:rFonts w:cstheme="minorHAnsi"/>
        </w:rPr>
        <w:t xml:space="preserve">[…] </w:t>
      </w:r>
      <w:r w:rsidR="00935EE5">
        <w:t>the standard data protection clauses are not or cannot be complied within that third country and the protection of the data transferred that is required by EU law cannot be ensured by other means.</w:t>
      </w:r>
      <w:r w:rsidR="00865922">
        <w:t>’</w:t>
      </w:r>
      <w:r w:rsidR="00935EE5">
        <w:rPr>
          <w:rStyle w:val="FootnoteReference"/>
        </w:rPr>
        <w:footnoteReference w:id="24"/>
      </w:r>
      <w:r w:rsidR="00865922">
        <w:t>.</w:t>
      </w:r>
    </w:p>
    <w:p w14:paraId="58F96671" w14:textId="77777777" w:rsidR="003C0587" w:rsidRDefault="003C0587" w:rsidP="00D52FBA">
      <w:pPr>
        <w:rPr>
          <w:b/>
        </w:rPr>
      </w:pPr>
    </w:p>
    <w:p w14:paraId="44F12AC8" w14:textId="5900BB67" w:rsidR="009F04BE" w:rsidRPr="00F13912" w:rsidRDefault="003F2E20" w:rsidP="00D52FBA">
      <w:pPr>
        <w:rPr>
          <w:b/>
        </w:rPr>
      </w:pPr>
      <w:r>
        <w:rPr>
          <w:b/>
        </w:rPr>
        <w:t xml:space="preserve">IV. </w:t>
      </w:r>
      <w:r w:rsidR="009F04BE" w:rsidRPr="00F13912">
        <w:rPr>
          <w:b/>
        </w:rPr>
        <w:t xml:space="preserve">The Emergence of </w:t>
      </w:r>
      <w:r w:rsidR="00F13912" w:rsidRPr="00F13912">
        <w:rPr>
          <w:b/>
        </w:rPr>
        <w:t xml:space="preserve">a Highly Discretionary and </w:t>
      </w:r>
      <w:r w:rsidR="009F04BE" w:rsidRPr="00F13912">
        <w:rPr>
          <w:b/>
        </w:rPr>
        <w:t xml:space="preserve">Selective </w:t>
      </w:r>
      <w:r w:rsidR="00F13912" w:rsidRPr="00F13912">
        <w:rPr>
          <w:b/>
        </w:rPr>
        <w:t xml:space="preserve">DPA </w:t>
      </w:r>
      <w:r w:rsidR="009F04BE" w:rsidRPr="00F13912">
        <w:rPr>
          <w:b/>
        </w:rPr>
        <w:t>Approach</w:t>
      </w:r>
    </w:p>
    <w:p w14:paraId="465CD672" w14:textId="455D9B59" w:rsidR="00A832E4" w:rsidRPr="00F13912" w:rsidRDefault="004C74EB" w:rsidP="00D52FBA">
      <w:pPr>
        <w:rPr>
          <w:rFonts w:cstheme="minorHAnsi"/>
        </w:rPr>
      </w:pPr>
      <w:r w:rsidRPr="00F13912">
        <w:tab/>
      </w:r>
      <w:r w:rsidR="003F2E20">
        <w:t xml:space="preserve">In light of the above, and notwithstanding </w:t>
      </w:r>
      <w:r w:rsidR="007F5768" w:rsidRPr="00F13912">
        <w:t xml:space="preserve">suggestions which are </w:t>
      </w:r>
      <w:r w:rsidRPr="00F13912">
        <w:t>sometimes put forward</w:t>
      </w:r>
      <w:r w:rsidR="007F5768" w:rsidRPr="00F13912">
        <w:t xml:space="preserve"> in the literature</w:t>
      </w:r>
      <w:r w:rsidRPr="00F13912">
        <w:t>,</w:t>
      </w:r>
      <w:r w:rsidRPr="00F13912">
        <w:rPr>
          <w:rStyle w:val="FootnoteReference"/>
        </w:rPr>
        <w:footnoteReference w:id="25"/>
      </w:r>
      <w:r w:rsidRPr="00F13912">
        <w:t xml:space="preserve"> </w:t>
      </w:r>
      <w:r w:rsidR="003F2E20">
        <w:t xml:space="preserve">it should be clear </w:t>
      </w:r>
      <w:r w:rsidR="006C764E">
        <w:t xml:space="preserve">that European </w:t>
      </w:r>
      <w:r w:rsidR="00A832E4" w:rsidRPr="00F13912">
        <w:t xml:space="preserve">DPAs have not just wide-ranging powers but also owe far-reaching duties to data subjects which they </w:t>
      </w:r>
      <w:r w:rsidR="007F5768" w:rsidRPr="00F13912">
        <w:t xml:space="preserve">cannot legally </w:t>
      </w:r>
      <w:r w:rsidR="00A832E4" w:rsidRPr="00F13912">
        <w:t xml:space="preserve">derogate from.  In practice, however, many </w:t>
      </w:r>
      <w:r w:rsidR="00A832E4" w:rsidRPr="00FD458A">
        <w:t xml:space="preserve">regulators have pursued an extremely, and at </w:t>
      </w:r>
      <w:r w:rsidR="00AA2104" w:rsidRPr="00FD458A">
        <w:t>least until</w:t>
      </w:r>
      <w:r w:rsidR="009B37C8" w:rsidRPr="00FD458A">
        <w:t xml:space="preserve"> the</w:t>
      </w:r>
      <w:r w:rsidR="00AA2104" w:rsidRPr="00FD458A">
        <w:t xml:space="preserve"> </w:t>
      </w:r>
      <w:r w:rsidR="00E300CA" w:rsidRPr="00FD458A">
        <w:t xml:space="preserve">entry into force </w:t>
      </w:r>
      <w:r w:rsidR="006C764E" w:rsidRPr="00FD458A">
        <w:t>of the GDPR</w:t>
      </w:r>
      <w:r w:rsidR="00AA2104" w:rsidRPr="00FD458A">
        <w:t xml:space="preserve"> </w:t>
      </w:r>
      <w:r w:rsidR="00A832E4" w:rsidRPr="00FD458A">
        <w:t>in</w:t>
      </w:r>
      <w:r w:rsidR="00A832E4" w:rsidRPr="00356FA1">
        <w:t>creasingly, discretionary</w:t>
      </w:r>
      <w:r w:rsidR="006C764E" w:rsidRPr="00356FA1">
        <w:t xml:space="preserve"> and selective</w:t>
      </w:r>
      <w:r w:rsidR="00A832E4" w:rsidRPr="00356FA1">
        <w:t xml:space="preserve"> approach</w:t>
      </w:r>
      <w:r w:rsidR="005E4182" w:rsidRPr="00FD458A">
        <w:t xml:space="preserve"> where only a small sub-set of issues get prioriti</w:t>
      </w:r>
      <w:r w:rsidR="005E4182" w:rsidRPr="00356FA1">
        <w:t xml:space="preserve">sed and there is otherwise a strong emphasis on </w:t>
      </w:r>
      <w:r w:rsidR="00FD458A" w:rsidRPr="00356FA1">
        <w:rPr>
          <w:rFonts w:cstheme="minorHAnsi"/>
        </w:rPr>
        <w:t>‘</w:t>
      </w:r>
      <w:r w:rsidR="005E4182" w:rsidRPr="00356FA1">
        <w:t>soft</w:t>
      </w:r>
      <w:r w:rsidR="00FD458A" w:rsidRPr="00356FA1">
        <w:rPr>
          <w:rFonts w:cstheme="minorHAnsi"/>
        </w:rPr>
        <w:t>’</w:t>
      </w:r>
      <w:r w:rsidR="00FD458A" w:rsidRPr="00356FA1">
        <w:t xml:space="preserve"> promotional activities as opposed to </w:t>
      </w:r>
      <w:r w:rsidR="00FD458A" w:rsidRPr="00356FA1">
        <w:rPr>
          <w:rFonts w:cstheme="minorHAnsi"/>
        </w:rPr>
        <w:t>‘</w:t>
      </w:r>
      <w:r w:rsidR="00FD458A" w:rsidRPr="00356FA1">
        <w:t>hard</w:t>
      </w:r>
      <w:r w:rsidR="00FD458A" w:rsidRPr="00356FA1">
        <w:rPr>
          <w:rFonts w:cstheme="minorHAnsi"/>
        </w:rPr>
        <w:t>’</w:t>
      </w:r>
      <w:r w:rsidR="00FD458A" w:rsidRPr="00356FA1">
        <w:t xml:space="preserve"> enforcement action such as administrative injunctions and sanctioning of infractions.</w:t>
      </w:r>
      <w:r w:rsidR="00A832E4" w:rsidRPr="00F13912">
        <w:t xml:space="preserve">  </w:t>
      </w:r>
      <w:r w:rsidR="003F2E20">
        <w:t>Whilst far from unique</w:t>
      </w:r>
      <w:r w:rsidR="0065621E">
        <w:t xml:space="preserve"> either </w:t>
      </w:r>
      <w:r w:rsidR="00AB3CE3">
        <w:t>under the DPD</w:t>
      </w:r>
      <w:r w:rsidR="003F2E20" w:rsidRPr="003F2E20">
        <w:rPr>
          <w:rStyle w:val="FootnoteReference"/>
        </w:rPr>
        <w:t xml:space="preserve"> </w:t>
      </w:r>
      <w:r w:rsidR="003F2E20" w:rsidRPr="00F13912">
        <w:rPr>
          <w:rStyle w:val="FootnoteReference"/>
        </w:rPr>
        <w:footnoteReference w:id="26"/>
      </w:r>
      <w:r w:rsidR="003F2E20" w:rsidRPr="00F13912">
        <w:t xml:space="preserve"> </w:t>
      </w:r>
      <w:r w:rsidR="003F2E20">
        <w:t xml:space="preserve"> </w:t>
      </w:r>
      <w:r w:rsidR="00AB3CE3">
        <w:t>or in the new era of the GDPR,</w:t>
      </w:r>
      <w:r w:rsidR="00AB3CE3">
        <w:rPr>
          <w:rStyle w:val="FootnoteReference"/>
        </w:rPr>
        <w:footnoteReference w:id="27"/>
      </w:r>
      <w:r w:rsidR="00AB3CE3">
        <w:t xml:space="preserve"> </w:t>
      </w:r>
      <w:r w:rsidR="003F2E20">
        <w:t>t</w:t>
      </w:r>
      <w:r w:rsidR="00AA2104" w:rsidRPr="00F13912">
        <w:t xml:space="preserve">his approach </w:t>
      </w:r>
      <w:r w:rsidR="000A1F1E">
        <w:t xml:space="preserve">has been </w:t>
      </w:r>
      <w:r w:rsidR="00701353" w:rsidRPr="00F13912">
        <w:t xml:space="preserve">particularly championed </w:t>
      </w:r>
      <w:r w:rsidR="00AA2104" w:rsidRPr="00F13912">
        <w:t xml:space="preserve">by </w:t>
      </w:r>
      <w:r w:rsidR="00E300CA">
        <w:t xml:space="preserve">the </w:t>
      </w:r>
      <w:r w:rsidR="00AA2104" w:rsidRPr="00F13912">
        <w:t>UK DPA, the Information Commissioner’s Office (ICO).</w:t>
      </w:r>
      <w:r w:rsidR="007F5768" w:rsidRPr="00F13912">
        <w:t xml:space="preserve"> Thus, </w:t>
      </w:r>
      <w:r w:rsidR="007F5768" w:rsidRPr="00F13912">
        <w:rPr>
          <w:rFonts w:cstheme="minorHAnsi"/>
        </w:rPr>
        <w:t xml:space="preserve">notwithstanding a binding statutory obligation to assess such complaints lodged with </w:t>
      </w:r>
      <w:r w:rsidR="006C764E">
        <w:rPr>
          <w:rFonts w:cstheme="minorHAnsi"/>
        </w:rPr>
        <w:t>it under the DPD</w:t>
      </w:r>
      <w:r w:rsidR="007F5768" w:rsidRPr="00F13912">
        <w:rPr>
          <w:rFonts w:cstheme="minorHAnsi"/>
        </w:rPr>
        <w:t xml:space="preserve">, </w:t>
      </w:r>
      <w:r w:rsidR="007F5768" w:rsidRPr="00F13912">
        <w:t>in 2013</w:t>
      </w:r>
      <w:r w:rsidR="007C0C28">
        <w:t>-</w:t>
      </w:r>
      <w:r w:rsidR="00AA2104" w:rsidRPr="00F13912">
        <w:t xml:space="preserve">14 the ICO sought </w:t>
      </w:r>
      <w:r w:rsidR="002904C0">
        <w:t xml:space="preserve">to </w:t>
      </w:r>
      <w:r w:rsidR="007A4365" w:rsidRPr="00F13912">
        <w:t xml:space="preserve">relabel these as mere </w:t>
      </w:r>
      <w:r w:rsidR="007A4365" w:rsidRPr="00F13912">
        <w:rPr>
          <w:rFonts w:cstheme="minorHAnsi"/>
        </w:rPr>
        <w:t>‘</w:t>
      </w:r>
      <w:r w:rsidR="007A4365" w:rsidRPr="00F13912">
        <w:t>concerns</w:t>
      </w:r>
      <w:r w:rsidR="007A4365" w:rsidRPr="00F13912">
        <w:rPr>
          <w:rFonts w:cstheme="minorHAnsi"/>
        </w:rPr>
        <w:t xml:space="preserve">’ and introduce considerable discretion </w:t>
      </w:r>
      <w:r w:rsidR="002904C0">
        <w:rPr>
          <w:rFonts w:cstheme="minorHAnsi"/>
        </w:rPr>
        <w:t>as to their handling</w:t>
      </w:r>
      <w:r w:rsidR="00701353" w:rsidRPr="00F13912">
        <w:rPr>
          <w:rFonts w:cstheme="minorHAnsi"/>
        </w:rPr>
        <w:t>:</w:t>
      </w:r>
    </w:p>
    <w:p w14:paraId="6E424C48" w14:textId="02AD5E04" w:rsidR="00701353" w:rsidRPr="00FD458A" w:rsidRDefault="00E300CA" w:rsidP="00701353">
      <w:pPr>
        <w:ind w:left="720"/>
        <w:rPr>
          <w:rFonts w:cstheme="minorHAnsi"/>
        </w:rPr>
      </w:pPr>
      <w:r>
        <w:rPr>
          <w:rFonts w:cstheme="minorHAnsi"/>
        </w:rPr>
        <w:t>‘</w:t>
      </w:r>
      <w:r w:rsidR="00701353" w:rsidRPr="00F13912">
        <w:rPr>
          <w:rFonts w:cstheme="minorHAnsi"/>
        </w:rPr>
        <w:t>The approach we intend</w:t>
      </w:r>
      <w:r w:rsidR="00AE4497">
        <w:rPr>
          <w:rFonts w:cstheme="minorHAnsi"/>
        </w:rPr>
        <w:t xml:space="preserve"> </w:t>
      </w:r>
      <w:r w:rsidR="00701353" w:rsidRPr="00F13912">
        <w:rPr>
          <w:rFonts w:cstheme="minorHAnsi"/>
        </w:rPr>
        <w:t xml:space="preserve">to take to deal with each concern will depend on whether we identify an opportunity to improve information rights practice </w:t>
      </w:r>
      <w:r>
        <w:rPr>
          <w:rFonts w:cstheme="minorHAnsi"/>
        </w:rPr>
        <w:t>[</w:t>
      </w:r>
      <w:r w:rsidR="00701353" w:rsidRPr="00F13912">
        <w:rPr>
          <w:rFonts w:cstheme="minorHAnsi"/>
        </w:rPr>
        <w:t>…</w:t>
      </w:r>
      <w:r w:rsidR="004E0904">
        <w:rPr>
          <w:rFonts w:cstheme="minorHAnsi"/>
        </w:rPr>
        <w:t>]</w:t>
      </w:r>
      <w:r w:rsidR="00701353" w:rsidRPr="00F13912">
        <w:rPr>
          <w:rFonts w:cstheme="minorHAnsi"/>
        </w:rPr>
        <w:t xml:space="preserve"> We may make an assessment </w:t>
      </w:r>
      <w:r>
        <w:rPr>
          <w:rFonts w:cstheme="minorHAnsi"/>
        </w:rPr>
        <w:t xml:space="preserve">[…] </w:t>
      </w:r>
      <w:r w:rsidR="00701353" w:rsidRPr="00F13912">
        <w:rPr>
          <w:rFonts w:cstheme="minorHAnsi"/>
        </w:rPr>
        <w:t xml:space="preserve">where we think this adds value or where the customer has asked us to do so.  We may simply offer advice to both parties and ask the organisation to take ownership of their customer or client’s concern.  We will decide how we can best tackle </w:t>
      </w:r>
      <w:r w:rsidR="00701353" w:rsidRPr="00FD458A">
        <w:rPr>
          <w:rFonts w:cstheme="minorHAnsi"/>
        </w:rPr>
        <w:t>each concern on a case by case basis</w:t>
      </w:r>
      <w:r w:rsidR="00701353" w:rsidRPr="00356FA1">
        <w:rPr>
          <w:rFonts w:cstheme="minorHAnsi"/>
        </w:rPr>
        <w:t>.</w:t>
      </w:r>
      <w:r w:rsidRPr="00356FA1">
        <w:rPr>
          <w:rFonts w:cstheme="minorHAnsi"/>
        </w:rPr>
        <w:t>’</w:t>
      </w:r>
      <w:r w:rsidR="00701353" w:rsidRPr="00FD458A">
        <w:rPr>
          <w:rStyle w:val="FootnoteReference"/>
          <w:rFonts w:cstheme="minorHAnsi"/>
        </w:rPr>
        <w:footnoteReference w:id="28"/>
      </w:r>
    </w:p>
    <w:p w14:paraId="31BF1927" w14:textId="79CE9680" w:rsidR="00F563C5" w:rsidRPr="00F13912" w:rsidRDefault="00FB62FB" w:rsidP="00F563C5">
      <w:r w:rsidRPr="00FD458A">
        <w:lastRenderedPageBreak/>
        <w:t xml:space="preserve">In the lead-up to the </w:t>
      </w:r>
      <w:r w:rsidR="00E300CA" w:rsidRPr="00356FA1">
        <w:t xml:space="preserve">applicability of the </w:t>
      </w:r>
      <w:r w:rsidRPr="00356FA1">
        <w:t>GDPR</w:t>
      </w:r>
      <w:r w:rsidR="007A4365" w:rsidRPr="00356FA1">
        <w:t xml:space="preserve">, the ICO </w:t>
      </w:r>
      <w:r w:rsidR="00A76E8C" w:rsidRPr="00356FA1">
        <w:t xml:space="preserve">clearly </w:t>
      </w:r>
      <w:r w:rsidR="00AD2FD9" w:rsidRPr="00356FA1">
        <w:t>indicated</w:t>
      </w:r>
      <w:r w:rsidR="00AD2FD9">
        <w:t xml:space="preserve"> </w:t>
      </w:r>
      <w:r w:rsidR="007A4365" w:rsidRPr="00F13912">
        <w:t>that they intend</w:t>
      </w:r>
      <w:r w:rsidR="00A76E8C">
        <w:t>ed</w:t>
      </w:r>
      <w:r w:rsidR="007A4365" w:rsidRPr="00F13912">
        <w:t xml:space="preserve"> </w:t>
      </w:r>
      <w:r w:rsidR="00F563C5" w:rsidRPr="00F13912">
        <w:t xml:space="preserve">to </w:t>
      </w:r>
      <w:r w:rsidR="00B93E78">
        <w:t xml:space="preserve">continue with this </w:t>
      </w:r>
      <w:r w:rsidR="00F563C5" w:rsidRPr="00F13912">
        <w:t>very selective and discretionary approach into the GDPR-era.  Thus, writing in August 2017, the current UK Information Commissioner Elizabeth Denham state</w:t>
      </w:r>
      <w:r w:rsidR="007A4365" w:rsidRPr="00F13912">
        <w:t>d</w:t>
      </w:r>
      <w:r w:rsidR="00F563C5" w:rsidRPr="00F13912">
        <w:t>:</w:t>
      </w:r>
    </w:p>
    <w:p w14:paraId="6AE6A73C" w14:textId="5116CB91" w:rsidR="00F563C5" w:rsidRDefault="00E300CA" w:rsidP="00F563C5">
      <w:pPr>
        <w:ind w:left="720"/>
      </w:pPr>
      <w:r>
        <w:t>‘</w:t>
      </w:r>
      <w:r w:rsidR="00F563C5" w:rsidRPr="00F13912">
        <w:t>Issuing fines has been and will continue to be, a last resort.  Last year (2016/2017) we concluded 17,300</w:t>
      </w:r>
      <w:r w:rsidR="00A76E8C">
        <w:t xml:space="preserve"> cases</w:t>
      </w:r>
      <w:r w:rsidR="00F563C5" w:rsidRPr="00F13912">
        <w:t xml:space="preserve">.  I can tell you that 16 of them </w:t>
      </w:r>
      <w:r w:rsidR="00A76E8C">
        <w:t xml:space="preserve">resulted </w:t>
      </w:r>
      <w:r w:rsidR="00F563C5" w:rsidRPr="00F13912">
        <w:t>in fines for the organisations concerned.</w:t>
      </w:r>
      <w:r>
        <w:t>’</w:t>
      </w:r>
      <w:r w:rsidR="00F563C5" w:rsidRPr="00F13912">
        <w:rPr>
          <w:rStyle w:val="FootnoteReference"/>
        </w:rPr>
        <w:footnoteReference w:id="29"/>
      </w:r>
    </w:p>
    <w:p w14:paraId="50331ACC" w14:textId="65306B4E" w:rsidR="00AD2FD9" w:rsidRPr="00F13912" w:rsidRDefault="00E53B2D" w:rsidP="00AD2FD9">
      <w:r>
        <w:t>T</w:t>
      </w:r>
      <w:r w:rsidR="001E1751">
        <w:t xml:space="preserve">his approach has largely been maintained during the first two years of </w:t>
      </w:r>
      <w:r w:rsidR="00E300CA">
        <w:t xml:space="preserve">applying the </w:t>
      </w:r>
      <w:r w:rsidR="001E1751">
        <w:t>GDPR.  Thus, in its 2019-20</w:t>
      </w:r>
      <w:r w:rsidR="008C50C4">
        <w:t xml:space="preserve"> Annual Report</w:t>
      </w:r>
      <w:r w:rsidR="001E1751">
        <w:t xml:space="preserve">, which covered the period up to 31 March 2020 and so excluded the special challenges posed by </w:t>
      </w:r>
      <w:r w:rsidR="003A79C0">
        <w:t xml:space="preserve">Covid-19, the </w:t>
      </w:r>
      <w:r w:rsidR="00C45AC3">
        <w:t xml:space="preserve">ICO </w:t>
      </w:r>
      <w:r w:rsidR="00F7235C">
        <w:t xml:space="preserve">emphasised </w:t>
      </w:r>
      <w:r w:rsidR="002E0E1E">
        <w:t xml:space="preserve">its </w:t>
      </w:r>
      <w:r w:rsidR="00346EC7">
        <w:t>‘</w:t>
      </w:r>
      <w:r w:rsidR="002E0E1E">
        <w:t>brand of pragmatic and proportionate regulation</w:t>
      </w:r>
      <w:r w:rsidR="00346EC7">
        <w:t>’</w:t>
      </w:r>
      <w:r w:rsidR="00DA1CA0">
        <w:t xml:space="preserve">, </w:t>
      </w:r>
      <w:r w:rsidR="00353180">
        <w:t xml:space="preserve">stating </w:t>
      </w:r>
      <w:r w:rsidR="002E0E1E">
        <w:t xml:space="preserve">that this had been </w:t>
      </w:r>
      <w:r w:rsidR="00346EC7">
        <w:t>‘</w:t>
      </w:r>
      <w:r w:rsidR="002E0E1E">
        <w:t>widely praised by business</w:t>
      </w:r>
      <w:r w:rsidR="00346EC7">
        <w:t>’</w:t>
      </w:r>
      <w:r w:rsidR="002E0E1E">
        <w:t xml:space="preserve"> during its outreach in California </w:t>
      </w:r>
      <w:r w:rsidR="00DA1CA0">
        <w:t xml:space="preserve">which included </w:t>
      </w:r>
      <w:r w:rsidR="00346EC7">
        <w:t>‘</w:t>
      </w:r>
      <w:r w:rsidR="00DA1CA0">
        <w:t xml:space="preserve">extensive meetings </w:t>
      </w:r>
      <w:r w:rsidR="009E2CB3">
        <w:t>with technology businesses large and small, including Twitter, Uber and YouTube, and board-level meetings with Apple, Facebook and Google</w:t>
      </w:r>
      <w:r w:rsidR="00346EC7">
        <w:t>’</w:t>
      </w:r>
      <w:r w:rsidR="009E2CB3">
        <w:t>.</w:t>
      </w:r>
      <w:r w:rsidR="009E2CB3">
        <w:rPr>
          <w:rStyle w:val="FootnoteReference"/>
        </w:rPr>
        <w:footnoteReference w:id="30"/>
      </w:r>
      <w:r w:rsidR="00C10807">
        <w:t xml:space="preserve">  </w:t>
      </w:r>
      <w:r w:rsidR="00D10054">
        <w:t xml:space="preserve">Moreover, </w:t>
      </w:r>
      <w:r w:rsidR="00353180">
        <w:t xml:space="preserve">in contrast to the Court of Justice’s </w:t>
      </w:r>
      <w:r w:rsidR="002F020A">
        <w:t xml:space="preserve">findings that DPAs were obliged </w:t>
      </w:r>
      <w:r w:rsidR="00353180">
        <w:t>to prioritize</w:t>
      </w:r>
      <w:r w:rsidR="007045A9">
        <w:t xml:space="preserve"> enforcement</w:t>
      </w:r>
      <w:r w:rsidR="00353180">
        <w:t xml:space="preserve">, </w:t>
      </w:r>
      <w:r w:rsidR="00EA7D4F">
        <w:t xml:space="preserve">the </w:t>
      </w:r>
      <w:r w:rsidR="006A3F7F">
        <w:t>IC</w:t>
      </w:r>
      <w:r w:rsidR="009347D0">
        <w:t>O</w:t>
      </w:r>
      <w:r w:rsidR="006A3F7F">
        <w:t xml:space="preserve"> </w:t>
      </w:r>
      <w:r w:rsidR="00F92C57">
        <w:t xml:space="preserve">emphasised </w:t>
      </w:r>
      <w:r w:rsidR="006A3F7F">
        <w:t xml:space="preserve">that </w:t>
      </w:r>
      <w:r w:rsidR="002F020A">
        <w:t xml:space="preserve">it </w:t>
      </w:r>
      <w:r w:rsidR="00346EC7">
        <w:t>‘</w:t>
      </w:r>
      <w:r w:rsidR="002F020A">
        <w:t xml:space="preserve">devotes around </w:t>
      </w:r>
      <w:r w:rsidR="00462BA9">
        <w:t>three quarters of its resources to proactive engagement activities</w:t>
      </w:r>
      <w:r w:rsidR="00346EC7">
        <w:t>’</w:t>
      </w:r>
      <w:r w:rsidR="00462BA9">
        <w:t xml:space="preserve"> although </w:t>
      </w:r>
      <w:r w:rsidR="00346EC7">
        <w:t>‘</w:t>
      </w:r>
      <w:r w:rsidR="00462BA9">
        <w:t>in addition to engagement, [it] took [regulatory] action</w:t>
      </w:r>
      <w:r w:rsidR="00346EC7">
        <w:t>’</w:t>
      </w:r>
      <w:r w:rsidR="00462BA9">
        <w:t>.</w:t>
      </w:r>
      <w:r w:rsidR="000662E3">
        <w:rPr>
          <w:rStyle w:val="FootnoteReference"/>
        </w:rPr>
        <w:footnoteReference w:id="31"/>
      </w:r>
      <w:r w:rsidR="000662E3">
        <w:t xml:space="preserve">  </w:t>
      </w:r>
      <w:r w:rsidR="009E130E">
        <w:t xml:space="preserve">Such </w:t>
      </w:r>
      <w:r w:rsidR="000662E3">
        <w:t xml:space="preserve">action </w:t>
      </w:r>
      <w:r w:rsidR="009E130E">
        <w:t xml:space="preserve">remained </w:t>
      </w:r>
      <w:r w:rsidR="000662E3">
        <w:t xml:space="preserve">at a </w:t>
      </w:r>
      <w:r w:rsidR="009E130E">
        <w:t xml:space="preserve">roughly </w:t>
      </w:r>
      <w:r w:rsidR="000662E3">
        <w:t>similar</w:t>
      </w:r>
      <w:r w:rsidR="007045A9">
        <w:t xml:space="preserve"> level </w:t>
      </w:r>
      <w:r w:rsidR="00E92F1F">
        <w:t xml:space="preserve">to that noted in 2017, with only </w:t>
      </w:r>
      <w:r w:rsidR="009329D5">
        <w:t xml:space="preserve">15 </w:t>
      </w:r>
      <w:r w:rsidR="00CB7B92">
        <w:t>fines</w:t>
      </w:r>
      <w:r w:rsidR="00F92C57">
        <w:t xml:space="preserve"> being issued</w:t>
      </w:r>
      <w:r w:rsidR="00BA20C4">
        <w:t>.</w:t>
      </w:r>
      <w:bookmarkStart w:id="1" w:name="_Ref49178121"/>
      <w:r w:rsidR="00BA20C4">
        <w:rPr>
          <w:rStyle w:val="FootnoteReference"/>
        </w:rPr>
        <w:footnoteReference w:id="32"/>
      </w:r>
      <w:bookmarkEnd w:id="1"/>
    </w:p>
    <w:p w14:paraId="3F6E0FF9" w14:textId="77777777" w:rsidR="00FB62FB" w:rsidRPr="00F13912" w:rsidRDefault="00FB62FB" w:rsidP="009F04BE"/>
    <w:p w14:paraId="0B7BA480" w14:textId="1EA21357" w:rsidR="009F04BE" w:rsidRPr="00F13912" w:rsidRDefault="003F2E20" w:rsidP="009F04BE">
      <w:pPr>
        <w:rPr>
          <w:b/>
        </w:rPr>
      </w:pPr>
      <w:r>
        <w:rPr>
          <w:b/>
        </w:rPr>
        <w:t xml:space="preserve">V. </w:t>
      </w:r>
      <w:r w:rsidR="009F04BE" w:rsidRPr="00F13912">
        <w:rPr>
          <w:b/>
        </w:rPr>
        <w:t>Critique of the Highly Discretionary</w:t>
      </w:r>
      <w:r w:rsidR="00F13912" w:rsidRPr="00F13912">
        <w:rPr>
          <w:b/>
        </w:rPr>
        <w:t xml:space="preserve"> and </w:t>
      </w:r>
      <w:r w:rsidR="009F04BE" w:rsidRPr="00F13912">
        <w:rPr>
          <w:b/>
        </w:rPr>
        <w:t xml:space="preserve">Selective </w:t>
      </w:r>
      <w:r w:rsidR="00F13912" w:rsidRPr="00F13912">
        <w:rPr>
          <w:b/>
        </w:rPr>
        <w:t xml:space="preserve">DPA </w:t>
      </w:r>
      <w:r w:rsidR="009F04BE" w:rsidRPr="00F13912">
        <w:rPr>
          <w:b/>
        </w:rPr>
        <w:t>Approach</w:t>
      </w:r>
    </w:p>
    <w:p w14:paraId="49374CA0" w14:textId="71A158F7" w:rsidR="007A4365" w:rsidRPr="00F13912" w:rsidRDefault="00C87BA2" w:rsidP="00C87BA2">
      <w:pPr>
        <w:ind w:firstLine="720"/>
      </w:pPr>
      <w:r w:rsidRPr="00F13912">
        <w:t xml:space="preserve">Seen from the perspective of the regulator, it is possible to have a good deal of sympathy for </w:t>
      </w:r>
      <w:r w:rsidR="003F2E20">
        <w:t xml:space="preserve">this </w:t>
      </w:r>
      <w:r w:rsidRPr="00F13912">
        <w:t xml:space="preserve">focus on (self)-selection and discretion.  DPAs </w:t>
      </w:r>
      <w:r w:rsidR="006F5C3B" w:rsidRPr="00F13912">
        <w:t xml:space="preserve">are </w:t>
      </w:r>
      <w:r w:rsidR="003F2E20">
        <w:t xml:space="preserve">generally </w:t>
      </w:r>
      <w:r w:rsidR="006F5C3B" w:rsidRPr="00F13912">
        <w:t xml:space="preserve">endowed with </w:t>
      </w:r>
      <w:r w:rsidR="00A76E8C">
        <w:t xml:space="preserve">very </w:t>
      </w:r>
      <w:r w:rsidR="006F5C3B" w:rsidRPr="00F13912">
        <w:t>limited resources</w:t>
      </w:r>
      <w:r w:rsidR="003F2E20">
        <w:rPr>
          <w:rStyle w:val="FootnoteReference"/>
        </w:rPr>
        <w:footnoteReference w:id="33"/>
      </w:r>
      <w:r w:rsidR="006F5C3B" w:rsidRPr="00F13912">
        <w:t xml:space="preserve"> but </w:t>
      </w:r>
      <w:r w:rsidRPr="00F13912">
        <w:t xml:space="preserve">are </w:t>
      </w:r>
      <w:r w:rsidR="009A5C0B" w:rsidRPr="00F13912">
        <w:t xml:space="preserve">confronted with </w:t>
      </w:r>
      <w:r w:rsidR="006F5C3B" w:rsidRPr="00F13912">
        <w:t xml:space="preserve">regulating </w:t>
      </w:r>
      <w:r w:rsidR="009A5C0B" w:rsidRPr="00F13912">
        <w:t>an almost unfathomable range of personal data processing across political, social and economic life</w:t>
      </w:r>
      <w:r w:rsidR="007A4365" w:rsidRPr="00F13912">
        <w:t xml:space="preserve">.  Even more problematically, this processing often </w:t>
      </w:r>
      <w:r w:rsidR="001E78B1">
        <w:t>-</w:t>
      </w:r>
      <w:r w:rsidR="007A4365" w:rsidRPr="00F13912">
        <w:t xml:space="preserve"> and quite probably </w:t>
      </w:r>
      <w:r w:rsidR="009A5C0B" w:rsidRPr="00F13912">
        <w:t xml:space="preserve">increasingly - is not conducted in a way which pays proper heed to </w:t>
      </w:r>
      <w:r w:rsidR="00A76E8C">
        <w:t xml:space="preserve">an individual’s legal </w:t>
      </w:r>
      <w:r w:rsidR="009A5C0B" w:rsidRPr="00F13912">
        <w:t xml:space="preserve">rights.  </w:t>
      </w:r>
      <w:r w:rsidR="00E7185F">
        <w:t>Two examples</w:t>
      </w:r>
      <w:r w:rsidR="00A355D1">
        <w:t xml:space="preserve"> </w:t>
      </w:r>
      <w:r w:rsidR="00510524">
        <w:t>arising from</w:t>
      </w:r>
      <w:r w:rsidR="00E7185F">
        <w:t xml:space="preserve"> ICO’s </w:t>
      </w:r>
      <w:r w:rsidR="00510524">
        <w:t xml:space="preserve">own </w:t>
      </w:r>
      <w:r w:rsidR="00E7185F">
        <w:t>work</w:t>
      </w:r>
      <w:r w:rsidR="00A355D1">
        <w:t>, one just prior and one post the GDPR’s introduction,</w:t>
      </w:r>
      <w:r w:rsidR="00E7185F">
        <w:t xml:space="preserve"> help highlight this.  </w:t>
      </w:r>
      <w:r w:rsidR="0031791E">
        <w:t>Firstly, a</w:t>
      </w:r>
      <w:r w:rsidR="009A5C0B" w:rsidRPr="00F13912">
        <w:t xml:space="preserve">n October 2017 ICO review of thirty websites </w:t>
      </w:r>
      <w:r w:rsidR="00346EC7">
        <w:t>‘</w:t>
      </w:r>
      <w:r w:rsidR="009A5C0B" w:rsidRPr="00F13912">
        <w:t>in the retail, banking and lending, and travel and finance price comparison sectors</w:t>
      </w:r>
      <w:r w:rsidR="00346EC7">
        <w:t>’</w:t>
      </w:r>
      <w:r w:rsidR="009A5C0B" w:rsidRPr="00F13912">
        <w:t xml:space="preserve"> found that most </w:t>
      </w:r>
      <w:r w:rsidR="009A5C0B" w:rsidRPr="00F13912">
        <w:lastRenderedPageBreak/>
        <w:t xml:space="preserve">were </w:t>
      </w:r>
      <w:r w:rsidR="00346EC7">
        <w:t>‘</w:t>
      </w:r>
      <w:r w:rsidR="009A5C0B" w:rsidRPr="00F13912">
        <w:t>too vague and generally inadequate</w:t>
      </w:r>
      <w:r w:rsidR="00346EC7">
        <w:t>’</w:t>
      </w:r>
      <w:r w:rsidR="009A5C0B" w:rsidRPr="00F13912">
        <w:t xml:space="preserve">.  </w:t>
      </w:r>
      <w:r w:rsidR="006F5C3B" w:rsidRPr="00F13912">
        <w:t xml:space="preserve">In </w:t>
      </w:r>
      <w:r w:rsidR="00A76E8C">
        <w:t>particular</w:t>
      </w:r>
      <w:r w:rsidR="006F5C3B" w:rsidRPr="00F13912">
        <w:t xml:space="preserve">, 87% failed to adequately </w:t>
      </w:r>
      <w:r w:rsidR="00F06D4F" w:rsidRPr="00F13912">
        <w:t>explain</w:t>
      </w:r>
      <w:r w:rsidR="006F5C3B" w:rsidRPr="00F13912">
        <w:t xml:space="preserve"> whether they shared data with third parties and if so who, 87% failed to specify how and where information would be stored and 80% made no reference to their retention policy.</w:t>
      </w:r>
      <w:r w:rsidR="006F5C3B" w:rsidRPr="00F13912">
        <w:rPr>
          <w:rStyle w:val="FootnoteReference"/>
        </w:rPr>
        <w:footnoteReference w:id="34"/>
      </w:r>
      <w:r w:rsidR="006F5C3B" w:rsidRPr="00F13912">
        <w:t xml:space="preserve">  </w:t>
      </w:r>
      <w:r w:rsidR="00DB33E8">
        <w:t xml:space="preserve">The second </w:t>
      </w:r>
      <w:r w:rsidR="00510524">
        <w:t xml:space="preserve">example </w:t>
      </w:r>
      <w:r w:rsidR="00DB33E8">
        <w:t xml:space="preserve">relates to ICO’s </w:t>
      </w:r>
      <w:r w:rsidR="00510524">
        <w:t xml:space="preserve">ongoing </w:t>
      </w:r>
      <w:r w:rsidR="000C1BC2">
        <w:t xml:space="preserve">investigation </w:t>
      </w:r>
      <w:r w:rsidR="00E93E7E">
        <w:t xml:space="preserve">since </w:t>
      </w:r>
      <w:r w:rsidR="00DA5467">
        <w:t xml:space="preserve">August </w:t>
      </w:r>
      <w:r w:rsidR="000C1BC2">
        <w:t>2018</w:t>
      </w:r>
      <w:r w:rsidR="002640CD">
        <w:rPr>
          <w:rStyle w:val="FootnoteReference"/>
        </w:rPr>
        <w:footnoteReference w:id="35"/>
      </w:r>
      <w:r w:rsidR="000C1BC2">
        <w:t xml:space="preserve"> </w:t>
      </w:r>
      <w:r w:rsidR="00D357BF">
        <w:t xml:space="preserve">into </w:t>
      </w:r>
      <w:r w:rsidR="003D48D1" w:rsidRPr="00F13912">
        <w:t xml:space="preserve">one </w:t>
      </w:r>
      <w:r w:rsidR="00A76E8C">
        <w:t xml:space="preserve">aspect </w:t>
      </w:r>
      <w:r w:rsidR="003D48D1" w:rsidRPr="00F13912">
        <w:t xml:space="preserve">of the </w:t>
      </w:r>
      <w:r w:rsidR="00963F16">
        <w:t xml:space="preserve">advertising technology </w:t>
      </w:r>
      <w:r w:rsidR="007A1B42">
        <w:t xml:space="preserve">(adtech) </w:t>
      </w:r>
      <w:r w:rsidR="003D48D1" w:rsidRPr="00F13912">
        <w:t xml:space="preserve">business </w:t>
      </w:r>
      <w:r w:rsidR="005362F5">
        <w:t xml:space="preserve">namely, </w:t>
      </w:r>
      <w:r w:rsidR="00A76E8C">
        <w:t>r</w:t>
      </w:r>
      <w:r w:rsidR="003D48D1" w:rsidRPr="00F13912">
        <w:t xml:space="preserve">eal </w:t>
      </w:r>
      <w:r w:rsidR="00A76E8C">
        <w:t>t</w:t>
      </w:r>
      <w:r w:rsidR="003D48D1" w:rsidRPr="00F13912">
        <w:t xml:space="preserve">ime </w:t>
      </w:r>
      <w:r w:rsidR="00A76E8C">
        <w:t>b</w:t>
      </w:r>
      <w:r w:rsidR="003D48D1" w:rsidRPr="00F13912">
        <w:t>idding</w:t>
      </w:r>
      <w:r w:rsidR="005362F5">
        <w:t xml:space="preserve"> for spots on </w:t>
      </w:r>
      <w:r w:rsidR="00A66A1B">
        <w:t xml:space="preserve">a </w:t>
      </w:r>
      <w:r w:rsidR="005362F5">
        <w:t xml:space="preserve">data subjects’ </w:t>
      </w:r>
      <w:r w:rsidR="000F4F2D">
        <w:t xml:space="preserve">online </w:t>
      </w:r>
      <w:r w:rsidR="005362F5">
        <w:t>information stream</w:t>
      </w:r>
      <w:r w:rsidR="00D357BF">
        <w:t xml:space="preserve">.  </w:t>
      </w:r>
      <w:r w:rsidR="00445EA4">
        <w:t>T</w:t>
      </w:r>
      <w:r w:rsidR="00D357BF">
        <w:t xml:space="preserve">his </w:t>
      </w:r>
      <w:r w:rsidR="007A1B42">
        <w:t xml:space="preserve">adtech </w:t>
      </w:r>
      <w:r w:rsidR="000C1BC2">
        <w:t>inquiry has not yet resulted use</w:t>
      </w:r>
      <w:r w:rsidR="00510524">
        <w:t>d</w:t>
      </w:r>
      <w:r w:rsidR="000C1BC2">
        <w:t xml:space="preserve"> </w:t>
      </w:r>
      <w:r w:rsidR="00510524">
        <w:t xml:space="preserve">any of </w:t>
      </w:r>
      <w:r w:rsidR="000C1BC2">
        <w:t xml:space="preserve">ICO’s </w:t>
      </w:r>
      <w:r w:rsidR="00510524">
        <w:t xml:space="preserve">formal </w:t>
      </w:r>
      <w:r w:rsidR="000C1BC2">
        <w:t xml:space="preserve">monitoring </w:t>
      </w:r>
      <w:r w:rsidR="00053797">
        <w:t>(</w:t>
      </w:r>
      <w:r w:rsidR="00804764">
        <w:t>or enforcement</w:t>
      </w:r>
      <w:r w:rsidR="00053797">
        <w:t>)</w:t>
      </w:r>
      <w:r w:rsidR="00804764">
        <w:t xml:space="preserve"> powers and has been suspended since </w:t>
      </w:r>
      <w:r w:rsidR="007968BC">
        <w:t>May 2020 in light of Covid-19</w:t>
      </w:r>
      <w:r w:rsidR="00445EA4">
        <w:t>.</w:t>
      </w:r>
      <w:r w:rsidR="007968BC">
        <w:rPr>
          <w:rStyle w:val="FootnoteReference"/>
        </w:rPr>
        <w:footnoteReference w:id="36"/>
      </w:r>
      <w:r w:rsidR="007968BC">
        <w:t xml:space="preserve"> </w:t>
      </w:r>
      <w:r w:rsidR="00445EA4">
        <w:t xml:space="preserve">  </w:t>
      </w:r>
      <w:r w:rsidR="00E50B69">
        <w:t>Nevertheless</w:t>
      </w:r>
      <w:r w:rsidR="00445EA4">
        <w:t xml:space="preserve">, </w:t>
      </w:r>
      <w:r w:rsidR="007968BC">
        <w:t xml:space="preserve">its interim </w:t>
      </w:r>
      <w:r w:rsidR="00ED2AAA">
        <w:t xml:space="preserve">report issued in </w:t>
      </w:r>
      <w:r w:rsidR="00766B89">
        <w:t xml:space="preserve">June 2019 </w:t>
      </w:r>
      <w:r w:rsidR="00E50B69">
        <w:t xml:space="preserve">still </w:t>
      </w:r>
      <w:r w:rsidR="003D48D1" w:rsidRPr="00F13912">
        <w:t xml:space="preserve">located </w:t>
      </w:r>
      <w:r w:rsidR="001B45C2">
        <w:t xml:space="preserve">numerous </w:t>
      </w:r>
      <w:r w:rsidR="003D48D1" w:rsidRPr="00F13912">
        <w:t xml:space="preserve">legal failings including that </w:t>
      </w:r>
    </w:p>
    <w:p w14:paraId="1EB55D54" w14:textId="11033B65" w:rsidR="007A4365" w:rsidRPr="00F13912" w:rsidRDefault="00346EC7" w:rsidP="007A4365">
      <w:pPr>
        <w:pStyle w:val="ListParagraph"/>
        <w:numPr>
          <w:ilvl w:val="0"/>
          <w:numId w:val="7"/>
        </w:numPr>
      </w:pPr>
      <w:r>
        <w:t>‘</w:t>
      </w:r>
      <w:r w:rsidR="003D48D1" w:rsidRPr="00F13912">
        <w:t>[p]rocessing of non-special category data is taking place unlawfully at the point of collection due to the perception that legitimate interests can be used for placing and/or reading a cookie or other technology (rather than obtaining the consent PECR</w:t>
      </w:r>
      <w:r w:rsidR="00A76E8C">
        <w:rPr>
          <w:rStyle w:val="FootnoteReference"/>
        </w:rPr>
        <w:footnoteReference w:id="37"/>
      </w:r>
      <w:r w:rsidR="003D48D1" w:rsidRPr="00F13912">
        <w:t xml:space="preserve"> requires)</w:t>
      </w:r>
      <w:r>
        <w:t>’</w:t>
      </w:r>
      <w:r w:rsidR="003D48D1" w:rsidRPr="00F13912">
        <w:t xml:space="preserve">, </w:t>
      </w:r>
    </w:p>
    <w:p w14:paraId="577BCDF3" w14:textId="5AB2E148" w:rsidR="007A4365" w:rsidRPr="00F13912" w:rsidRDefault="00346EC7" w:rsidP="007A4365">
      <w:pPr>
        <w:pStyle w:val="ListParagraph"/>
        <w:numPr>
          <w:ilvl w:val="0"/>
          <w:numId w:val="7"/>
        </w:numPr>
      </w:pPr>
      <w:r>
        <w:t>‘</w:t>
      </w:r>
      <w:r w:rsidR="003D48D1" w:rsidRPr="00F13912">
        <w:t>processing of special category data is taking place unlawfully as explicit consent is not being collected (and no other condition applies)</w:t>
      </w:r>
      <w:r>
        <w:t>’</w:t>
      </w:r>
      <w:r w:rsidR="003D48D1" w:rsidRPr="00F13912">
        <w:t xml:space="preserve">, </w:t>
      </w:r>
    </w:p>
    <w:p w14:paraId="2FA7DA82" w14:textId="1BAD3B40" w:rsidR="007A4365" w:rsidRPr="00F13912" w:rsidRDefault="00346EC7" w:rsidP="007A4365">
      <w:pPr>
        <w:pStyle w:val="ListParagraph"/>
        <w:numPr>
          <w:ilvl w:val="0"/>
          <w:numId w:val="7"/>
        </w:numPr>
      </w:pPr>
      <w:r>
        <w:t>‘</w:t>
      </w:r>
      <w:r w:rsidR="003D48D1" w:rsidRPr="00F13912">
        <w:t>[p]rivacy information provided to individuals lacks clarity whilst also being overly complex</w:t>
      </w:r>
      <w:r>
        <w:t>’</w:t>
      </w:r>
      <w:r w:rsidR="003D48D1" w:rsidRPr="00F13912">
        <w:t>,</w:t>
      </w:r>
    </w:p>
    <w:p w14:paraId="7DF192C1" w14:textId="669BFD0F" w:rsidR="007A4365" w:rsidRPr="00F13912" w:rsidRDefault="00346EC7" w:rsidP="007A4365">
      <w:pPr>
        <w:pStyle w:val="ListParagraph"/>
        <w:numPr>
          <w:ilvl w:val="0"/>
          <w:numId w:val="7"/>
        </w:numPr>
      </w:pPr>
      <w:r>
        <w:t>‘</w:t>
      </w:r>
      <w:r w:rsidR="003D48D1" w:rsidRPr="00F13912">
        <w:t>[t]housands of organisations are processing billions of requests in the UK each week with (at best) inconsistent application of adequate technical and organisational measures to secure the data in transit and at rest, and with little or no consideration as to the requirements of data protection law about international transfers of personal data</w:t>
      </w:r>
      <w:r>
        <w:t>’</w:t>
      </w:r>
      <w:r w:rsidR="003D48D1" w:rsidRPr="00F13912">
        <w:t xml:space="preserve">, </w:t>
      </w:r>
    </w:p>
    <w:p w14:paraId="6AD902D6" w14:textId="2CA06AA2" w:rsidR="007A4365" w:rsidRPr="00F13912" w:rsidRDefault="00346EC7" w:rsidP="007A4365">
      <w:pPr>
        <w:pStyle w:val="ListParagraph"/>
        <w:numPr>
          <w:ilvl w:val="0"/>
          <w:numId w:val="7"/>
        </w:numPr>
      </w:pPr>
      <w:r>
        <w:t>‘</w:t>
      </w:r>
      <w:r w:rsidR="003D48D1" w:rsidRPr="00F13912">
        <w:t>[t]here are similar inconsistencies about the application of data minimisation and retention controls</w:t>
      </w:r>
      <w:r>
        <w:t>’</w:t>
      </w:r>
      <w:r w:rsidR="003D48D1" w:rsidRPr="00F13912">
        <w:t xml:space="preserve"> and </w:t>
      </w:r>
    </w:p>
    <w:p w14:paraId="1DA67117" w14:textId="03830C90" w:rsidR="007A4365" w:rsidRPr="00F13912" w:rsidRDefault="00346EC7" w:rsidP="007A4365">
      <w:pPr>
        <w:pStyle w:val="ListParagraph"/>
        <w:numPr>
          <w:ilvl w:val="0"/>
          <w:numId w:val="7"/>
        </w:numPr>
      </w:pPr>
      <w:r>
        <w:t>‘</w:t>
      </w:r>
      <w:r w:rsidR="003247AE" w:rsidRPr="00F13912">
        <w:t>[i]ndividuals have no guarantees about the security of their personal data within the ecoysystem</w:t>
      </w:r>
      <w:r>
        <w:t>’</w:t>
      </w:r>
      <w:r w:rsidR="003247AE" w:rsidRPr="00F13912">
        <w:t>.</w:t>
      </w:r>
      <w:r w:rsidR="003D48D1" w:rsidRPr="00F13912">
        <w:rPr>
          <w:rStyle w:val="FootnoteReference"/>
        </w:rPr>
        <w:footnoteReference w:id="38"/>
      </w:r>
      <w:r w:rsidR="003D48D1" w:rsidRPr="00F13912">
        <w:t xml:space="preserve">  </w:t>
      </w:r>
    </w:p>
    <w:p w14:paraId="14DD7A35" w14:textId="26F19BC7" w:rsidR="00F563C5" w:rsidRPr="00F13912" w:rsidRDefault="002F4FA8" w:rsidP="007A4365">
      <w:r>
        <w:t>These</w:t>
      </w:r>
      <w:r w:rsidR="004F76ED">
        <w:t xml:space="preserve"> </w:t>
      </w:r>
      <w:r w:rsidR="00AB6D78">
        <w:t xml:space="preserve">examples </w:t>
      </w:r>
      <w:r w:rsidR="004F76ED">
        <w:t xml:space="preserve">clearly reveal </w:t>
      </w:r>
      <w:r w:rsidR="0077483D">
        <w:t xml:space="preserve">serious legal problems which are </w:t>
      </w:r>
      <w:r w:rsidR="000671A0">
        <w:t xml:space="preserve">endemic, </w:t>
      </w:r>
      <w:r w:rsidR="0077483D">
        <w:t>large-scale</w:t>
      </w:r>
      <w:r w:rsidR="000671A0">
        <w:t xml:space="preserve">, (at least potentially) highly impactful </w:t>
      </w:r>
      <w:r w:rsidR="00B91EA2">
        <w:t>and quite possibly very challenging</w:t>
      </w:r>
      <w:r w:rsidR="006E4257">
        <w:t xml:space="preserve"> for the regulator</w:t>
      </w:r>
      <w:r w:rsidR="00B91EA2">
        <w:t xml:space="preserve"> to</w:t>
      </w:r>
      <w:r w:rsidR="001B448A">
        <w:t xml:space="preserve"> tackle.</w:t>
      </w:r>
      <w:r w:rsidR="00B91EA2">
        <w:t xml:space="preserve">  Nevertheless</w:t>
      </w:r>
      <w:r w:rsidR="003D48D1" w:rsidRPr="00F13912">
        <w:t xml:space="preserve">, </w:t>
      </w:r>
      <w:r w:rsidR="007A4365" w:rsidRPr="00F13912">
        <w:t xml:space="preserve">looking at this from </w:t>
      </w:r>
      <w:r w:rsidR="003D48D1" w:rsidRPr="00F13912">
        <w:t xml:space="preserve">the perspective of the data subject, it is </w:t>
      </w:r>
      <w:r w:rsidR="003247AE" w:rsidRPr="00F13912">
        <w:t xml:space="preserve">precisely </w:t>
      </w:r>
      <w:r w:rsidR="00AB6D78">
        <w:t xml:space="preserve">this </w:t>
      </w:r>
      <w:r w:rsidR="007A4365" w:rsidRPr="00F13912">
        <w:t xml:space="preserve">same </w:t>
      </w:r>
      <w:r w:rsidR="003D48D1" w:rsidRPr="00F13912">
        <w:t xml:space="preserve">picture </w:t>
      </w:r>
      <w:r w:rsidR="003247AE" w:rsidRPr="00F13912">
        <w:t xml:space="preserve">which makes it so important that </w:t>
      </w:r>
      <w:r w:rsidR="005362F5">
        <w:t xml:space="preserve">there is </w:t>
      </w:r>
      <w:r w:rsidR="003247AE" w:rsidRPr="00F13912">
        <w:t xml:space="preserve">a clear avenue </w:t>
      </w:r>
      <w:r w:rsidR="005362F5">
        <w:t xml:space="preserve">for </w:t>
      </w:r>
      <w:r w:rsidR="003247AE" w:rsidRPr="00F13912">
        <w:t xml:space="preserve">redress.  Moreover, research has long highlighted that in the great majority of situations the only </w:t>
      </w:r>
      <w:r w:rsidR="00A76E8C">
        <w:t xml:space="preserve">reasonably available </w:t>
      </w:r>
      <w:r w:rsidR="003247AE" w:rsidRPr="00F13912">
        <w:t xml:space="preserve">avenue is to make contact with the DPA.  </w:t>
      </w:r>
      <w:r w:rsidR="00885B55">
        <w:t>For example</w:t>
      </w:r>
      <w:r w:rsidR="003247AE" w:rsidRPr="00F13912">
        <w:t xml:space="preserve">, a report in 2013 by the EU Agency for Fundamental Rights found that DPAs </w:t>
      </w:r>
      <w:r w:rsidR="00346EC7">
        <w:t>‘</w:t>
      </w:r>
      <w:r w:rsidR="003247AE" w:rsidRPr="00F13912">
        <w:t>play</w:t>
      </w:r>
      <w:r w:rsidR="00F06D4F" w:rsidRPr="00F13912">
        <w:t xml:space="preserve"> </w:t>
      </w:r>
      <w:r w:rsidR="003247AE" w:rsidRPr="00F13912">
        <w:t>a crucial role in processing the overwhelming majority of data protection complaints</w:t>
      </w:r>
      <w:r w:rsidR="00346EC7">
        <w:t>’</w:t>
      </w:r>
      <w:r w:rsidR="003247AE" w:rsidRPr="00F13912">
        <w:t xml:space="preserve">, whereas </w:t>
      </w:r>
      <w:r w:rsidR="00346EC7">
        <w:t>‘</w:t>
      </w:r>
      <w:r w:rsidR="003247AE" w:rsidRPr="00F13912">
        <w:t xml:space="preserve">very few data protection cases </w:t>
      </w:r>
      <w:r w:rsidR="00A76E8C">
        <w:t xml:space="preserve">[were] </w:t>
      </w:r>
      <w:r w:rsidR="00F06D4F" w:rsidRPr="00F13912">
        <w:t>initiated</w:t>
      </w:r>
      <w:r w:rsidR="00346EC7">
        <w:t>’</w:t>
      </w:r>
      <w:r w:rsidR="003247AE" w:rsidRPr="00F13912">
        <w:t xml:space="preserve"> </w:t>
      </w:r>
      <w:r w:rsidR="00A76E8C">
        <w:t xml:space="preserve">in the regular courts </w:t>
      </w:r>
      <w:r w:rsidR="003247AE" w:rsidRPr="00F13912">
        <w:t xml:space="preserve">and data protection issues were </w:t>
      </w:r>
      <w:r w:rsidR="00346EC7">
        <w:t>‘</w:t>
      </w:r>
      <w:r w:rsidR="003247AE" w:rsidRPr="00F13912">
        <w:t>marginalised</w:t>
      </w:r>
      <w:r w:rsidR="00346EC7">
        <w:t>’</w:t>
      </w:r>
      <w:r w:rsidR="003247AE" w:rsidRPr="00F13912">
        <w:t>.</w:t>
      </w:r>
      <w:r w:rsidR="003247AE" w:rsidRPr="00F13912">
        <w:rPr>
          <w:rStyle w:val="FootnoteReference"/>
        </w:rPr>
        <w:footnoteReference w:id="39"/>
      </w:r>
      <w:r w:rsidR="003247AE" w:rsidRPr="00F13912">
        <w:t xml:space="preserve">  This practical centrality of the DPA is particularly apparent in the UK (and indeed other predominantly common law jurisdictions</w:t>
      </w:r>
      <w:r w:rsidR="00A76E8C">
        <w:t xml:space="preserve"> </w:t>
      </w:r>
      <w:r w:rsidR="007C0C28">
        <w:t xml:space="preserve">such as </w:t>
      </w:r>
      <w:r w:rsidR="00A76E8C">
        <w:t>Ireland</w:t>
      </w:r>
      <w:r w:rsidR="003247AE" w:rsidRPr="00F13912">
        <w:t xml:space="preserve">) given </w:t>
      </w:r>
      <w:r w:rsidR="00AB1576" w:rsidRPr="00F13912">
        <w:t xml:space="preserve">the </w:t>
      </w:r>
      <w:r w:rsidR="00AB1576" w:rsidRPr="00F13912">
        <w:lastRenderedPageBreak/>
        <w:t>notoriously high cost of securing justice through the</w:t>
      </w:r>
      <w:r w:rsidR="007A4365" w:rsidRPr="00F13912">
        <w:t xml:space="preserve"> regular</w:t>
      </w:r>
      <w:r w:rsidR="00AB1576" w:rsidRPr="00F13912">
        <w:t xml:space="preserve"> court system.</w:t>
      </w:r>
      <w:r w:rsidR="00AB1576" w:rsidRPr="00F13912">
        <w:rPr>
          <w:rStyle w:val="FootnoteReference"/>
        </w:rPr>
        <w:footnoteReference w:id="40"/>
      </w:r>
      <w:r w:rsidR="00AB1576" w:rsidRPr="00F13912">
        <w:t xml:space="preserve">  At the very least, therefore, </w:t>
      </w:r>
      <w:r w:rsidR="007A4365" w:rsidRPr="00F13912">
        <w:t xml:space="preserve">it is vital that </w:t>
      </w:r>
      <w:r w:rsidR="00AB1576" w:rsidRPr="00F13912">
        <w:t xml:space="preserve">a data subject </w:t>
      </w:r>
      <w:r w:rsidR="007A4365" w:rsidRPr="00F13912">
        <w:t xml:space="preserve">is </w:t>
      </w:r>
      <w:r w:rsidR="00AB1576" w:rsidRPr="00F13912">
        <w:t xml:space="preserve">able to ensure that </w:t>
      </w:r>
      <w:r w:rsidR="00BD636A" w:rsidRPr="00F13912">
        <w:t xml:space="preserve">a DPA </w:t>
      </w:r>
      <w:r w:rsidR="00AB1576" w:rsidRPr="00F13912">
        <w:t xml:space="preserve">is operating according to the </w:t>
      </w:r>
      <w:r w:rsidR="007A4365" w:rsidRPr="00F13912">
        <w:t xml:space="preserve">law </w:t>
      </w:r>
      <w:r w:rsidR="00AB1576" w:rsidRPr="00F13912">
        <w:t xml:space="preserve">and that it can robustly justify </w:t>
      </w:r>
      <w:r w:rsidR="007A4365" w:rsidRPr="00F13912">
        <w:t xml:space="preserve">any discretionary </w:t>
      </w:r>
      <w:r w:rsidR="00AB1576" w:rsidRPr="00F13912">
        <w:t>choices and priorities</w:t>
      </w:r>
      <w:r w:rsidR="007A4365" w:rsidRPr="00F13912">
        <w:t xml:space="preserve"> </w:t>
      </w:r>
      <w:r w:rsidR="00A76E8C">
        <w:t xml:space="preserve">that </w:t>
      </w:r>
      <w:r w:rsidR="007A4365" w:rsidRPr="00F13912">
        <w:t>it is setting</w:t>
      </w:r>
      <w:r w:rsidR="000F712B">
        <w:t xml:space="preserve"> in line with the legal framework</w:t>
      </w:r>
      <w:r w:rsidR="00AB1576" w:rsidRPr="00F13912">
        <w:t>.</w:t>
      </w:r>
      <w:r w:rsidR="00BD636A" w:rsidRPr="00F13912">
        <w:t xml:space="preserve">  Again, this </w:t>
      </w:r>
      <w:r w:rsidR="007A4365" w:rsidRPr="00F13912">
        <w:t xml:space="preserve">acquires </w:t>
      </w:r>
      <w:r w:rsidR="00BD636A" w:rsidRPr="00F13912">
        <w:t xml:space="preserve">particular </w:t>
      </w:r>
      <w:r w:rsidR="007A4365" w:rsidRPr="00F13912">
        <w:t xml:space="preserve">importance </w:t>
      </w:r>
      <w:r w:rsidR="00BD636A" w:rsidRPr="00F13912">
        <w:t xml:space="preserve">in the UK given that the ICO’s historically highly discretionary stance </w:t>
      </w:r>
      <w:r w:rsidR="007A4365" w:rsidRPr="00F13912">
        <w:t xml:space="preserve">has arguably sat in considerable </w:t>
      </w:r>
      <w:r w:rsidR="00BD636A" w:rsidRPr="00F13912">
        <w:t xml:space="preserve">tension with even the </w:t>
      </w:r>
      <w:r w:rsidR="00A76E8C">
        <w:t xml:space="preserve">former DPD’s </w:t>
      </w:r>
      <w:r w:rsidR="00BD636A" w:rsidRPr="00F13912">
        <w:t xml:space="preserve">supervisory framework as elucidated in binding </w:t>
      </w:r>
      <w:r w:rsidR="005362F5">
        <w:t xml:space="preserve">Court of Justice </w:t>
      </w:r>
      <w:r w:rsidR="00BD636A" w:rsidRPr="00F13912">
        <w:t xml:space="preserve">case law.  Moreover, for reasons elucidated above, </w:t>
      </w:r>
      <w:r w:rsidR="00051488">
        <w:t xml:space="preserve">these </w:t>
      </w:r>
      <w:r w:rsidR="00BD636A" w:rsidRPr="00F13912">
        <w:t xml:space="preserve">tensions </w:t>
      </w:r>
      <w:r w:rsidR="00D018DF">
        <w:t xml:space="preserve">are becoming even </w:t>
      </w:r>
      <w:r w:rsidR="00BD636A" w:rsidRPr="00F13912">
        <w:t xml:space="preserve">more acute under the GDPR.  </w:t>
      </w:r>
      <w:r w:rsidR="007F35F0" w:rsidRPr="00F13912">
        <w:t xml:space="preserve">Thus, contrary to the thrust of Elizabeth Denham’s remarks above, an </w:t>
      </w:r>
      <w:r w:rsidR="00E0520B" w:rsidRPr="00F13912">
        <w:rPr>
          <w:i/>
        </w:rPr>
        <w:t>ex-ante</w:t>
      </w:r>
      <w:r w:rsidR="007F35F0" w:rsidRPr="00F13912">
        <w:t xml:space="preserve"> </w:t>
      </w:r>
      <w:r w:rsidR="00A76E8C">
        <w:t xml:space="preserve">stance which led to </w:t>
      </w:r>
      <w:r w:rsidR="007F35F0" w:rsidRPr="00F13912">
        <w:t xml:space="preserve">only around 0.001% (16/17,300) of </w:t>
      </w:r>
      <w:r w:rsidR="007A4365" w:rsidRPr="00F13912">
        <w:t xml:space="preserve">2016/17 </w:t>
      </w:r>
      <w:r w:rsidR="007F35F0" w:rsidRPr="00F13912">
        <w:t xml:space="preserve">cases </w:t>
      </w:r>
      <w:r w:rsidR="00A76E8C">
        <w:t xml:space="preserve">being </w:t>
      </w:r>
      <w:r w:rsidR="007F35F0" w:rsidRPr="00F13912">
        <w:t xml:space="preserve">closed with a fine clearly </w:t>
      </w:r>
      <w:r w:rsidR="00A76E8C">
        <w:t xml:space="preserve">requires </w:t>
      </w:r>
      <w:r w:rsidR="007F35F0" w:rsidRPr="00F13912">
        <w:t xml:space="preserve">fundamental </w:t>
      </w:r>
      <w:r w:rsidR="00A76E8C">
        <w:t xml:space="preserve">reassessment </w:t>
      </w:r>
      <w:r w:rsidR="005362F5">
        <w:t xml:space="preserve">in light of </w:t>
      </w:r>
      <w:r w:rsidR="00A76E8C">
        <w:t xml:space="preserve">the requirements </w:t>
      </w:r>
      <w:r w:rsidR="005362F5">
        <w:t xml:space="preserve">for formal intervention </w:t>
      </w:r>
      <w:r w:rsidR="007A4365" w:rsidRPr="00F13912">
        <w:t xml:space="preserve">that are </w:t>
      </w:r>
      <w:r w:rsidR="007F35F0" w:rsidRPr="00F13912">
        <w:t xml:space="preserve">established </w:t>
      </w:r>
      <w:r w:rsidR="005F6A8A">
        <w:t xml:space="preserve">by both the text of </w:t>
      </w:r>
      <w:r w:rsidR="007F35F0" w:rsidRPr="00F13912">
        <w:t>GDPR</w:t>
      </w:r>
      <w:r w:rsidR="005F6A8A">
        <w:t xml:space="preserve"> and new Court of Justice jurisprudence</w:t>
      </w:r>
      <w:r w:rsidR="007F35F0" w:rsidRPr="00F13912">
        <w:t xml:space="preserve">.  </w:t>
      </w:r>
      <w:r w:rsidR="00810CC0" w:rsidRPr="00F13912">
        <w:t xml:space="preserve">This is especially the case given </w:t>
      </w:r>
      <w:r w:rsidR="007A4365" w:rsidRPr="00F13912">
        <w:t xml:space="preserve">the ICO only positively established that no further </w:t>
      </w:r>
      <w:r w:rsidR="00810CC0" w:rsidRPr="00F13912">
        <w:t>action was required on the part of the data controller</w:t>
      </w:r>
      <w:r w:rsidR="007A4365" w:rsidRPr="00F13912">
        <w:t xml:space="preserve"> in</w:t>
      </w:r>
      <w:r w:rsidR="00764FAD">
        <w:t xml:space="preserve"> around 40% </w:t>
      </w:r>
      <w:r w:rsidR="007A4365" w:rsidRPr="00F13912">
        <w:t>of these cases</w:t>
      </w:r>
      <w:r w:rsidR="00810CC0" w:rsidRPr="00F13912">
        <w:rPr>
          <w:rStyle w:val="FootnoteReference"/>
        </w:rPr>
        <w:footnoteReference w:id="41"/>
      </w:r>
      <w:r w:rsidR="00810CC0" w:rsidRPr="00F13912">
        <w:t xml:space="preserve"> and </w:t>
      </w:r>
      <w:r w:rsidR="007A4365" w:rsidRPr="00F13912">
        <w:t xml:space="preserve">that </w:t>
      </w:r>
      <w:r w:rsidR="00A76E8C">
        <w:t xml:space="preserve">the </w:t>
      </w:r>
      <w:r w:rsidR="00810CC0" w:rsidRPr="00F13912">
        <w:t xml:space="preserve">authority’s use of its other formal corrective powers </w:t>
      </w:r>
      <w:r w:rsidR="007A4365" w:rsidRPr="00F13912">
        <w:t xml:space="preserve">such as injunctions </w:t>
      </w:r>
      <w:r w:rsidR="00810CC0" w:rsidRPr="00F13912">
        <w:t xml:space="preserve">have been similarly </w:t>
      </w:r>
      <w:r w:rsidR="000F6BC6">
        <w:t>limited</w:t>
      </w:r>
      <w:r w:rsidR="00810CC0" w:rsidRPr="00F13912">
        <w:t>.</w:t>
      </w:r>
      <w:r w:rsidR="007C0C28">
        <w:rPr>
          <w:rStyle w:val="FootnoteReference"/>
        </w:rPr>
        <w:footnoteReference w:id="42"/>
      </w:r>
      <w:r w:rsidR="00A66E72">
        <w:t xml:space="preserve">  </w:t>
      </w:r>
      <w:r w:rsidR="00885B55">
        <w:t>At</w:t>
      </w:r>
      <w:r w:rsidR="00B638EE">
        <w:t xml:space="preserve"> least in broad terms</w:t>
      </w:r>
      <w:r w:rsidR="00A66E72">
        <w:t xml:space="preserve">, </w:t>
      </w:r>
      <w:r w:rsidR="00B638EE">
        <w:t xml:space="preserve">the ICO’s 2019-20 Annual Report </w:t>
      </w:r>
      <w:r w:rsidR="00A617DD">
        <w:t xml:space="preserve">indicates that these </w:t>
      </w:r>
      <w:r w:rsidR="00A66E72">
        <w:t xml:space="preserve">patterns have continued </w:t>
      </w:r>
      <w:r w:rsidR="00BB489C">
        <w:t>into the GDPR</w:t>
      </w:r>
      <w:r w:rsidR="00FF778C">
        <w:t>-</w:t>
      </w:r>
      <w:r w:rsidR="00BB489C">
        <w:t xml:space="preserve">era.  </w:t>
      </w:r>
      <w:r w:rsidR="00A66E72">
        <w:t xml:space="preserve"> </w:t>
      </w:r>
      <w:r w:rsidR="00051488">
        <w:t>Indeed</w:t>
      </w:r>
      <w:r w:rsidR="00043804">
        <w:t xml:space="preserve">, </w:t>
      </w:r>
      <w:r w:rsidR="00CA55C7">
        <w:t xml:space="preserve">despite the </w:t>
      </w:r>
      <w:r w:rsidR="00B638EE">
        <w:t>number of complaints</w:t>
      </w:r>
      <w:r w:rsidR="00D96E7E">
        <w:t xml:space="preserve"> more than</w:t>
      </w:r>
      <w:r w:rsidR="00B638EE">
        <w:t xml:space="preserve"> </w:t>
      </w:r>
      <w:r w:rsidR="00A617DD">
        <w:t xml:space="preserve">doubling </w:t>
      </w:r>
      <w:r w:rsidR="001C6EFC">
        <w:t xml:space="preserve">to </w:t>
      </w:r>
      <w:r w:rsidR="005E7CFB">
        <w:t>38,514</w:t>
      </w:r>
      <w:r w:rsidR="004F7269">
        <w:rPr>
          <w:rStyle w:val="FootnoteReference"/>
        </w:rPr>
        <w:footnoteReference w:id="43"/>
      </w:r>
      <w:r w:rsidR="005E7CFB">
        <w:t xml:space="preserve"> </w:t>
      </w:r>
      <w:r w:rsidR="00A617DD">
        <w:t xml:space="preserve">and </w:t>
      </w:r>
      <w:r w:rsidR="00051488">
        <w:t xml:space="preserve">still only around 40% of </w:t>
      </w:r>
      <w:r w:rsidR="005E7CFB">
        <w:t xml:space="preserve">cases being closed on the basis </w:t>
      </w:r>
      <w:r w:rsidR="004019DB">
        <w:t>of a finding of no specific need for further action</w:t>
      </w:r>
      <w:r w:rsidR="001C6EFC">
        <w:t>,</w:t>
      </w:r>
      <w:r w:rsidR="007E04DE">
        <w:rPr>
          <w:rStyle w:val="FootnoteReference"/>
        </w:rPr>
        <w:footnoteReference w:id="44"/>
      </w:r>
      <w:r w:rsidR="001C6EFC">
        <w:t xml:space="preserve"> only </w:t>
      </w:r>
      <w:r w:rsidR="00742D51">
        <w:t xml:space="preserve">15 </w:t>
      </w:r>
      <w:r w:rsidR="005E7CFB">
        <w:t xml:space="preserve">fines </w:t>
      </w:r>
      <w:r w:rsidR="00742D51">
        <w:t>were issued</w:t>
      </w:r>
      <w:r w:rsidR="00202DD1">
        <w:t xml:space="preserve"> as noted in the previous section</w:t>
      </w:r>
      <w:r w:rsidR="00742D51">
        <w:t>.  There w</w:t>
      </w:r>
      <w:r w:rsidR="009B5F8E">
        <w:t xml:space="preserve">ere also </w:t>
      </w:r>
      <w:r w:rsidR="00742D51">
        <w:t xml:space="preserve">only 19 </w:t>
      </w:r>
      <w:r w:rsidR="009B5F8E">
        <w:t>other uses of the ICO’s formal enforcement powers.</w:t>
      </w:r>
      <w:r w:rsidR="00306315">
        <w:rPr>
          <w:rStyle w:val="FootnoteReference"/>
        </w:rPr>
        <w:footnoteReference w:id="45"/>
      </w:r>
    </w:p>
    <w:p w14:paraId="159E5C43" w14:textId="77777777" w:rsidR="000311DE" w:rsidRDefault="000311DE" w:rsidP="007A4365">
      <w:pPr>
        <w:rPr>
          <w:b/>
        </w:rPr>
      </w:pPr>
    </w:p>
    <w:p w14:paraId="32F4447A" w14:textId="57B9FFFC" w:rsidR="009F04BE" w:rsidRPr="00F13912" w:rsidRDefault="005362F5" w:rsidP="007A4365">
      <w:pPr>
        <w:rPr>
          <w:b/>
        </w:rPr>
      </w:pPr>
      <w:r>
        <w:rPr>
          <w:b/>
        </w:rPr>
        <w:t xml:space="preserve">VI.  </w:t>
      </w:r>
      <w:r w:rsidR="009F04BE" w:rsidRPr="00F13912">
        <w:rPr>
          <w:b/>
        </w:rPr>
        <w:t xml:space="preserve">A New Mechanism to Ensure </w:t>
      </w:r>
      <w:r w:rsidR="00F13912" w:rsidRPr="00F13912">
        <w:rPr>
          <w:b/>
        </w:rPr>
        <w:t xml:space="preserve">DPA Legal </w:t>
      </w:r>
      <w:r w:rsidR="009F04BE" w:rsidRPr="00F13912">
        <w:rPr>
          <w:b/>
        </w:rPr>
        <w:t>Accountability?</w:t>
      </w:r>
    </w:p>
    <w:p w14:paraId="4EFCC051" w14:textId="65844CCF" w:rsidR="003F3646" w:rsidRPr="00F13912" w:rsidRDefault="00DE735E" w:rsidP="00C87BA2">
      <w:pPr>
        <w:ind w:firstLine="720"/>
      </w:pPr>
      <w:r w:rsidRPr="00F13912">
        <w:t>Theoretically</w:t>
      </w:r>
      <w:r w:rsidR="007A4365" w:rsidRPr="00F13912">
        <w:t xml:space="preserve">, </w:t>
      </w:r>
      <w:r w:rsidR="007C0C28">
        <w:t xml:space="preserve">UK </w:t>
      </w:r>
      <w:r w:rsidRPr="00F13912">
        <w:t xml:space="preserve">data subjects </w:t>
      </w:r>
      <w:r w:rsidR="007A4365" w:rsidRPr="00F13912">
        <w:t xml:space="preserve">even </w:t>
      </w:r>
      <w:r w:rsidR="007C0C28">
        <w:t xml:space="preserve">during the time of DPD </w:t>
      </w:r>
      <w:r w:rsidRPr="00F13912">
        <w:t xml:space="preserve">could have </w:t>
      </w:r>
      <w:r w:rsidR="007C0C28">
        <w:t xml:space="preserve">addressed </w:t>
      </w:r>
      <w:r w:rsidRPr="00F13912">
        <w:t xml:space="preserve">some of these legality and reasonableness concerns through </w:t>
      </w:r>
      <w:r w:rsidR="007C0C28">
        <w:t xml:space="preserve">the modality of </w:t>
      </w:r>
      <w:r w:rsidRPr="00F13912">
        <w:t xml:space="preserve">judicial review.  In practice, however, the formidable barriers – especially, but not only, financial – </w:t>
      </w:r>
      <w:r w:rsidR="00480BD7" w:rsidRPr="00F13912">
        <w:t xml:space="preserve">to accessing </w:t>
      </w:r>
      <w:r w:rsidRPr="00F13912">
        <w:t xml:space="preserve">the </w:t>
      </w:r>
      <w:r w:rsidR="007C0C28">
        <w:t xml:space="preserve">administrative courts </w:t>
      </w:r>
      <w:r w:rsidRPr="00F13912">
        <w:t xml:space="preserve">have meant that the ICO appears never to have been subject to a full judicial </w:t>
      </w:r>
      <w:r w:rsidRPr="00F13912">
        <w:lastRenderedPageBreak/>
        <w:t>review action – successful or unsuccessful – for any of its data protection work</w:t>
      </w:r>
      <w:r w:rsidR="007C0C28">
        <w:t xml:space="preserve"> to date</w:t>
      </w:r>
      <w:r w:rsidRPr="00F13912">
        <w:t>.</w:t>
      </w:r>
      <w:r w:rsidR="00480BD7" w:rsidRPr="00F13912">
        <w:rPr>
          <w:rStyle w:val="FootnoteReference"/>
        </w:rPr>
        <w:footnoteReference w:id="46"/>
      </w:r>
      <w:r w:rsidRPr="00F13912">
        <w:t xml:space="preserve">  Effective </w:t>
      </w:r>
      <w:r w:rsidR="003D2717">
        <w:t xml:space="preserve">legal </w:t>
      </w:r>
      <w:r w:rsidRPr="00F13912">
        <w:t xml:space="preserve">accountability </w:t>
      </w:r>
      <w:r w:rsidR="007C0C28">
        <w:t>has</w:t>
      </w:r>
      <w:r w:rsidRPr="00F13912">
        <w:t xml:space="preserve">, therefore, essentially </w:t>
      </w:r>
      <w:r w:rsidR="007C0C28">
        <w:t xml:space="preserve">been </w:t>
      </w:r>
      <w:r w:rsidRPr="00F13912">
        <w:t>absent throughout this period.</w:t>
      </w:r>
      <w:r w:rsidR="003F3646" w:rsidRPr="00F13912">
        <w:t xml:space="preserve">  </w:t>
      </w:r>
      <w:r w:rsidR="009F04BE" w:rsidRPr="00F13912">
        <w:t>However, i</w:t>
      </w:r>
      <w:r w:rsidR="003F3646" w:rsidRPr="00F13912">
        <w:t xml:space="preserve">n a </w:t>
      </w:r>
      <w:r w:rsidR="00A66A1B">
        <w:t xml:space="preserve">potentially </w:t>
      </w:r>
      <w:r w:rsidR="003F3646" w:rsidRPr="00F13912">
        <w:t>refreshing departure, the UK’s Data Protection Act</w:t>
      </w:r>
      <w:r w:rsidR="001A5805">
        <w:t xml:space="preserve"> </w:t>
      </w:r>
      <w:r w:rsidR="003F3646" w:rsidRPr="00F13912">
        <w:t>2018</w:t>
      </w:r>
      <w:r w:rsidR="009E2528" w:rsidRPr="00F13912">
        <w:t xml:space="preserve"> </w:t>
      </w:r>
      <w:r w:rsidR="00FC1231">
        <w:t>(UK DPA 2018)</w:t>
      </w:r>
      <w:r w:rsidR="00FC1231" w:rsidRPr="00F13912">
        <w:t xml:space="preserve"> </w:t>
      </w:r>
      <w:r w:rsidR="009E2528" w:rsidRPr="00F13912">
        <w:t xml:space="preserve">sought to address this accountability gap </w:t>
      </w:r>
      <w:r w:rsidR="003D2717">
        <w:t xml:space="preserve">by establishing </w:t>
      </w:r>
      <w:r w:rsidR="009E2528" w:rsidRPr="00F13912">
        <w:t xml:space="preserve">a new right for data </w:t>
      </w:r>
      <w:r w:rsidR="003F3646" w:rsidRPr="00F13912">
        <w:t xml:space="preserve">subjects to </w:t>
      </w:r>
      <w:r w:rsidR="001A5805">
        <w:t xml:space="preserve">apply for an </w:t>
      </w:r>
      <w:r w:rsidR="00346EC7">
        <w:t>‘</w:t>
      </w:r>
      <w:r w:rsidR="003F3646" w:rsidRPr="00F13912">
        <w:t>order to progress complaints</w:t>
      </w:r>
      <w:r w:rsidR="00346EC7">
        <w:t>’</w:t>
      </w:r>
      <w:r w:rsidR="003F3646" w:rsidRPr="00F13912">
        <w:rPr>
          <w:rStyle w:val="FootnoteReference"/>
        </w:rPr>
        <w:footnoteReference w:id="47"/>
      </w:r>
      <w:r w:rsidR="003F3646" w:rsidRPr="00F13912">
        <w:t xml:space="preserve"> </w:t>
      </w:r>
      <w:r w:rsidR="009F04BE" w:rsidRPr="00F13912">
        <w:t xml:space="preserve">through </w:t>
      </w:r>
      <w:r w:rsidR="008473EB" w:rsidRPr="00F13912">
        <w:t xml:space="preserve">the </w:t>
      </w:r>
      <w:r w:rsidR="007C0C28">
        <w:t xml:space="preserve">UK’s free and accessible </w:t>
      </w:r>
      <w:r w:rsidR="001A5805">
        <w:t>t</w:t>
      </w:r>
      <w:r w:rsidR="006F31EB" w:rsidRPr="00F13912">
        <w:t xml:space="preserve">ribunal system.  </w:t>
      </w:r>
      <w:r w:rsidR="009E2528" w:rsidRPr="00F13912">
        <w:t xml:space="preserve">This provision built on an explicit </w:t>
      </w:r>
      <w:r w:rsidR="007C0C28">
        <w:t xml:space="preserve">stipulation </w:t>
      </w:r>
      <w:r w:rsidR="009E2528" w:rsidRPr="00F13912">
        <w:t>within the GDPR</w:t>
      </w:r>
      <w:r w:rsidR="007C0C28">
        <w:rPr>
          <w:rStyle w:val="FootnoteReference"/>
        </w:rPr>
        <w:footnoteReference w:id="48"/>
      </w:r>
      <w:r w:rsidR="009E2528" w:rsidRPr="00F13912">
        <w:t xml:space="preserve"> </w:t>
      </w:r>
      <w:r w:rsidR="003D2717">
        <w:t xml:space="preserve">that </w:t>
      </w:r>
      <w:r w:rsidR="006F31EB" w:rsidRPr="00F13912">
        <w:t xml:space="preserve">mandates </w:t>
      </w:r>
      <w:r w:rsidR="009E2528" w:rsidRPr="00F13912">
        <w:t xml:space="preserve">access to an </w:t>
      </w:r>
      <w:r w:rsidR="00346EC7">
        <w:t>‘</w:t>
      </w:r>
      <w:r w:rsidR="009E2528" w:rsidRPr="00F13912">
        <w:t>effective judicial remedy</w:t>
      </w:r>
      <w:r w:rsidR="00346EC7">
        <w:t>’</w:t>
      </w:r>
      <w:r w:rsidR="009E2528" w:rsidRPr="00F13912">
        <w:t xml:space="preserve"> where a DPA </w:t>
      </w:r>
      <w:r w:rsidR="00346EC7">
        <w:t>‘</w:t>
      </w:r>
      <w:r w:rsidR="009E2528" w:rsidRPr="00F13912">
        <w:t>does not handle a complaint or does not inform the data subject within three months on the progress or outcome of the complaint</w:t>
      </w:r>
      <w:r w:rsidR="00346EC7">
        <w:t>’</w:t>
      </w:r>
      <w:r w:rsidR="009E2528" w:rsidRPr="00F13912">
        <w:t>.</w:t>
      </w:r>
      <w:r w:rsidR="009E2528" w:rsidRPr="00F13912">
        <w:rPr>
          <w:rStyle w:val="FootnoteReference"/>
        </w:rPr>
        <w:footnoteReference w:id="49"/>
      </w:r>
      <w:r w:rsidR="009E2528" w:rsidRPr="00F13912">
        <w:t xml:space="preserve">  </w:t>
      </w:r>
      <w:r w:rsidR="006F31EB" w:rsidRPr="00F13912">
        <w:t>Set out in section 166</w:t>
      </w:r>
      <w:r w:rsidR="001A5805">
        <w:t xml:space="preserve"> of the</w:t>
      </w:r>
      <w:r w:rsidR="003D2717">
        <w:t xml:space="preserve"> UK</w:t>
      </w:r>
      <w:r w:rsidR="001A5805">
        <w:t xml:space="preserve"> DPA 2018</w:t>
      </w:r>
      <w:r w:rsidR="006F31EB" w:rsidRPr="00F13912">
        <w:t xml:space="preserve">, </w:t>
      </w:r>
      <w:r w:rsidR="001A5805">
        <w:t>this provision states</w:t>
      </w:r>
      <w:r w:rsidR="006F31EB" w:rsidRPr="00F13912">
        <w:t>:</w:t>
      </w:r>
    </w:p>
    <w:p w14:paraId="2387517B" w14:textId="51C44710" w:rsidR="006F31EB" w:rsidRPr="00F13912" w:rsidRDefault="006F31EB" w:rsidP="006F31EB">
      <w:pPr>
        <w:pStyle w:val="ListParagraph"/>
        <w:numPr>
          <w:ilvl w:val="0"/>
          <w:numId w:val="3"/>
        </w:numPr>
      </w:pPr>
      <w:r w:rsidRPr="00F13912">
        <w:t>This section applies where, after a data subject has made a complaint under section 165 or Article 77 of the GDPR, the Commissioner –</w:t>
      </w:r>
    </w:p>
    <w:p w14:paraId="44527171" w14:textId="097E6F94" w:rsidR="006F31EB" w:rsidRPr="00F13912" w:rsidRDefault="006F31EB" w:rsidP="006F31EB">
      <w:pPr>
        <w:pStyle w:val="ListParagraph"/>
        <w:numPr>
          <w:ilvl w:val="0"/>
          <w:numId w:val="2"/>
        </w:numPr>
      </w:pPr>
      <w:r w:rsidRPr="00F13912">
        <w:t xml:space="preserve">fails to </w:t>
      </w:r>
      <w:r w:rsidRPr="00F57E48">
        <w:t xml:space="preserve">take appropriate steps to respond to </w:t>
      </w:r>
      <w:r w:rsidRPr="00F13912">
        <w:t>the complaint,</w:t>
      </w:r>
    </w:p>
    <w:p w14:paraId="55669133" w14:textId="21B156F5" w:rsidR="006F31EB" w:rsidRPr="00F13912" w:rsidRDefault="006F31EB" w:rsidP="006F31EB">
      <w:pPr>
        <w:pStyle w:val="ListParagraph"/>
        <w:numPr>
          <w:ilvl w:val="0"/>
          <w:numId w:val="2"/>
        </w:numPr>
      </w:pPr>
      <w:r w:rsidRPr="00F13912">
        <w:t>fails to provide the complainant with information about progress on the complaint, before the end of the period of 3 months beginning when the Commission</w:t>
      </w:r>
      <w:r w:rsidR="003D2717">
        <w:t>er</w:t>
      </w:r>
      <w:r w:rsidRPr="00F13912">
        <w:t xml:space="preserve"> received the complaint, or</w:t>
      </w:r>
    </w:p>
    <w:p w14:paraId="147C575B" w14:textId="78BF2645" w:rsidR="006F31EB" w:rsidRPr="00F13912" w:rsidRDefault="006F31EB" w:rsidP="006F31EB">
      <w:pPr>
        <w:pStyle w:val="ListParagraph"/>
        <w:numPr>
          <w:ilvl w:val="0"/>
          <w:numId w:val="2"/>
        </w:numPr>
      </w:pPr>
      <w:r w:rsidRPr="00F13912">
        <w:t>if the Commissioner’s consideration of the complaint is not concluded during that period, fails to provide the complainant with such information during a subsequent period of 3 months.</w:t>
      </w:r>
    </w:p>
    <w:p w14:paraId="582C12AF" w14:textId="019A38E6" w:rsidR="006F31EB" w:rsidRPr="00F13912" w:rsidRDefault="006F31EB" w:rsidP="006F31EB">
      <w:pPr>
        <w:pStyle w:val="ListParagraph"/>
        <w:numPr>
          <w:ilvl w:val="0"/>
          <w:numId w:val="3"/>
        </w:numPr>
      </w:pPr>
      <w:r w:rsidRPr="00F13912">
        <w:t xml:space="preserve"> The Tribunal may, on application by the data subject, make an order requiring the Commission</w:t>
      </w:r>
      <w:r w:rsidR="005E1D56">
        <w:t>er</w:t>
      </w:r>
      <w:r w:rsidRPr="00F13912">
        <w:t xml:space="preserve"> –</w:t>
      </w:r>
    </w:p>
    <w:p w14:paraId="4D6EFCBF" w14:textId="1D7D58FD" w:rsidR="006F31EB" w:rsidRPr="00F13912" w:rsidRDefault="006F31EB" w:rsidP="006F31EB">
      <w:pPr>
        <w:pStyle w:val="ListParagraph"/>
        <w:numPr>
          <w:ilvl w:val="0"/>
          <w:numId w:val="4"/>
        </w:numPr>
      </w:pPr>
      <w:r w:rsidRPr="00F13912">
        <w:t>to take appropriate steps to respond to the complaint, or</w:t>
      </w:r>
    </w:p>
    <w:p w14:paraId="6CCBA904" w14:textId="7997FEBD" w:rsidR="006F31EB" w:rsidRPr="00F13912" w:rsidRDefault="006F31EB" w:rsidP="006F31EB">
      <w:pPr>
        <w:pStyle w:val="ListParagraph"/>
        <w:numPr>
          <w:ilvl w:val="0"/>
          <w:numId w:val="4"/>
        </w:numPr>
      </w:pPr>
      <w:r w:rsidRPr="00F13912">
        <w:t>to inform the complainant of progress on the complaint, or of the outcome of the complaint, within a period specified in the order.</w:t>
      </w:r>
    </w:p>
    <w:p w14:paraId="571497F6" w14:textId="3212DDE4" w:rsidR="006F31EB" w:rsidRPr="00F13912" w:rsidRDefault="006F31EB" w:rsidP="006F31EB">
      <w:pPr>
        <w:pStyle w:val="ListParagraph"/>
        <w:numPr>
          <w:ilvl w:val="0"/>
          <w:numId w:val="3"/>
        </w:numPr>
      </w:pPr>
      <w:r w:rsidRPr="00F13912">
        <w:t>Section</w:t>
      </w:r>
      <w:r w:rsidR="0032764C" w:rsidRPr="00F13912">
        <w:t xml:space="preserve"> 165(5) applies for the purpose of subsections (1)(a) and (2)(a) as it applies for the purpose for the purposes of section 154(4)(a).</w:t>
      </w:r>
    </w:p>
    <w:p w14:paraId="66FD573A" w14:textId="46F368CE" w:rsidR="006F31EB" w:rsidRPr="00F13912" w:rsidRDefault="0032764C" w:rsidP="0032764C">
      <w:r w:rsidRPr="00F13912">
        <w:t>Meanwhile, the relevant parts of section 165 state:</w:t>
      </w:r>
    </w:p>
    <w:p w14:paraId="03087CC8" w14:textId="7DCC91F5" w:rsidR="0032764C" w:rsidRPr="00F13912" w:rsidRDefault="0032764C" w:rsidP="0032764C">
      <w:pPr>
        <w:pStyle w:val="ListParagraph"/>
        <w:numPr>
          <w:ilvl w:val="0"/>
          <w:numId w:val="3"/>
        </w:numPr>
      </w:pPr>
      <w:r w:rsidRPr="00F13912">
        <w:t xml:space="preserve"> If the Commission</w:t>
      </w:r>
      <w:r w:rsidR="00106533">
        <w:t>er</w:t>
      </w:r>
      <w:r w:rsidRPr="00F13912">
        <w:t xml:space="preserve"> receives a complaint … the Commissioner must –</w:t>
      </w:r>
    </w:p>
    <w:p w14:paraId="48900811" w14:textId="053A1921" w:rsidR="0032764C" w:rsidRPr="00F13912" w:rsidRDefault="0032764C" w:rsidP="0032764C">
      <w:pPr>
        <w:pStyle w:val="ListParagraph"/>
        <w:numPr>
          <w:ilvl w:val="0"/>
          <w:numId w:val="5"/>
        </w:numPr>
      </w:pPr>
      <w:r w:rsidRPr="00F13912">
        <w:t>take appropriate steps to respond to the complaint,</w:t>
      </w:r>
    </w:p>
    <w:p w14:paraId="20E2C901" w14:textId="6BCC49C6" w:rsidR="0032764C" w:rsidRPr="00F13912" w:rsidRDefault="0032764C" w:rsidP="0032764C">
      <w:pPr>
        <w:pStyle w:val="ListParagraph"/>
        <w:numPr>
          <w:ilvl w:val="0"/>
          <w:numId w:val="5"/>
        </w:numPr>
      </w:pPr>
      <w:r w:rsidRPr="00F13912">
        <w:t>inform the complainant of the outcome of the complaint,</w:t>
      </w:r>
    </w:p>
    <w:p w14:paraId="1737267F" w14:textId="523C1DEA" w:rsidR="0032764C" w:rsidRPr="00F13912" w:rsidRDefault="0032764C" w:rsidP="0032764C">
      <w:pPr>
        <w:pStyle w:val="ListParagraph"/>
        <w:numPr>
          <w:ilvl w:val="0"/>
          <w:numId w:val="5"/>
        </w:numPr>
      </w:pPr>
      <w:r w:rsidRPr="00F13912">
        <w:t>inform the complainant of the rights under section 166, and</w:t>
      </w:r>
    </w:p>
    <w:p w14:paraId="67546F59" w14:textId="046B701A" w:rsidR="0032764C" w:rsidRPr="00F13912" w:rsidRDefault="0032764C" w:rsidP="0032764C">
      <w:pPr>
        <w:pStyle w:val="ListParagraph"/>
        <w:numPr>
          <w:ilvl w:val="0"/>
          <w:numId w:val="5"/>
        </w:numPr>
      </w:pPr>
      <w:r w:rsidRPr="00F13912">
        <w:t>if asked to do so by the complainant, provide the complainant with further information about how to pursue the complaint.</w:t>
      </w:r>
    </w:p>
    <w:p w14:paraId="28B85104" w14:textId="4AE9BE56" w:rsidR="0032764C" w:rsidRPr="00F13912" w:rsidRDefault="008473EB" w:rsidP="0032764C">
      <w:pPr>
        <w:pStyle w:val="ListParagraph"/>
        <w:numPr>
          <w:ilvl w:val="0"/>
          <w:numId w:val="3"/>
        </w:numPr>
      </w:pPr>
      <w:r w:rsidRPr="00F13912">
        <w:lastRenderedPageBreak/>
        <w:t>The reference in subsection 4(a) to taking appropriate steps in response to a complaint includes –</w:t>
      </w:r>
    </w:p>
    <w:p w14:paraId="534D9B66" w14:textId="522A0B91" w:rsidR="008473EB" w:rsidRPr="00F13912" w:rsidRDefault="008473EB" w:rsidP="008473EB">
      <w:pPr>
        <w:pStyle w:val="ListParagraph"/>
        <w:numPr>
          <w:ilvl w:val="0"/>
          <w:numId w:val="6"/>
        </w:numPr>
      </w:pPr>
      <w:r w:rsidRPr="00F57E48">
        <w:t>Investigating</w:t>
      </w:r>
      <w:r w:rsidRPr="00F13912">
        <w:t xml:space="preserve"> the subject matter of the complaint, to the extent appropriate, and</w:t>
      </w:r>
    </w:p>
    <w:p w14:paraId="320A9E15" w14:textId="61BE46D2" w:rsidR="008473EB" w:rsidRPr="00F13912" w:rsidRDefault="008473EB" w:rsidP="008473EB">
      <w:pPr>
        <w:pStyle w:val="ListParagraph"/>
        <w:numPr>
          <w:ilvl w:val="0"/>
          <w:numId w:val="6"/>
        </w:numPr>
      </w:pPr>
      <w:r w:rsidRPr="00F13912">
        <w:t>Informing the complaint about progress on the complaint, including about whether further investigation or coordination with another supervisory authority or foreign designated authority is necessary.</w:t>
      </w:r>
    </w:p>
    <w:p w14:paraId="72CED6F7" w14:textId="3ADC003F" w:rsidR="008473EB" w:rsidRPr="00356FA1" w:rsidRDefault="001A5805" w:rsidP="0038438C">
      <w:r>
        <w:t xml:space="preserve">As enacted, </w:t>
      </w:r>
      <w:r w:rsidR="003D2717">
        <w:t xml:space="preserve">this </w:t>
      </w:r>
      <w:r w:rsidR="008473EB" w:rsidRPr="00F13912">
        <w:t xml:space="preserve">right </w:t>
      </w:r>
      <w:r w:rsidR="003D2717">
        <w:t xml:space="preserve">enabled the data subject </w:t>
      </w:r>
      <w:r w:rsidR="008473EB" w:rsidRPr="00F13912">
        <w:t xml:space="preserve">to </w:t>
      </w:r>
      <w:r w:rsidR="003D2717">
        <w:t xml:space="preserve">challenge </w:t>
      </w:r>
      <w:r>
        <w:t xml:space="preserve">the </w:t>
      </w:r>
      <w:r w:rsidR="008473EB" w:rsidRPr="00F13912">
        <w:t xml:space="preserve">ICO </w:t>
      </w:r>
      <w:r>
        <w:t xml:space="preserve">response to </w:t>
      </w:r>
      <w:r w:rsidR="003D2717">
        <w:t xml:space="preserve">their </w:t>
      </w:r>
      <w:r>
        <w:t>complaint</w:t>
      </w:r>
      <w:r w:rsidR="003D2717">
        <w:t xml:space="preserve"> under </w:t>
      </w:r>
      <w:r w:rsidR="008473EB" w:rsidRPr="00F13912">
        <w:t xml:space="preserve">both </w:t>
      </w:r>
      <w:r>
        <w:t xml:space="preserve">certain bright-line </w:t>
      </w:r>
      <w:r w:rsidR="008473EB" w:rsidRPr="00F13912">
        <w:t>procedural standards</w:t>
      </w:r>
      <w:r w:rsidR="003D2717">
        <w:t xml:space="preserve"> and an open-textured </w:t>
      </w:r>
      <w:r w:rsidR="008473EB" w:rsidRPr="00F13912">
        <w:t xml:space="preserve">standard of </w:t>
      </w:r>
      <w:r w:rsidR="00346EC7">
        <w:t>‘</w:t>
      </w:r>
      <w:r w:rsidR="008473EB" w:rsidRPr="00F13912">
        <w:t>appropriate[ness]</w:t>
      </w:r>
      <w:r w:rsidR="00346EC7">
        <w:t>’</w:t>
      </w:r>
      <w:r w:rsidR="003D2717">
        <w:t xml:space="preserve">.  It, therefore, </w:t>
      </w:r>
      <w:r w:rsidR="008473EB" w:rsidRPr="00F13912">
        <w:t xml:space="preserve">appeared to offer </w:t>
      </w:r>
      <w:r w:rsidR="008473EB" w:rsidRPr="00356FA1">
        <w:t>individuals a powerful new redress mechanism.</w:t>
      </w:r>
      <w:r w:rsidR="00F43BDE" w:rsidRPr="00356FA1">
        <w:rPr>
          <w:rStyle w:val="FootnoteReference"/>
        </w:rPr>
        <w:footnoteReference w:id="50"/>
      </w:r>
    </w:p>
    <w:p w14:paraId="28D49E3E" w14:textId="77777777" w:rsidR="00091EC0" w:rsidRPr="00356FA1" w:rsidRDefault="00091EC0" w:rsidP="008473EB">
      <w:pPr>
        <w:ind w:left="720"/>
      </w:pPr>
    </w:p>
    <w:p w14:paraId="1699F122" w14:textId="275125ED" w:rsidR="00D80CF1" w:rsidRPr="00F13912" w:rsidRDefault="00D80CF1" w:rsidP="00D80CF1">
      <w:pPr>
        <w:rPr>
          <w:b/>
        </w:rPr>
      </w:pPr>
      <w:r w:rsidRPr="00356FA1">
        <w:rPr>
          <w:b/>
        </w:rPr>
        <w:t>VII.  A New Mechanism Neutered?</w:t>
      </w:r>
      <w:r>
        <w:rPr>
          <w:b/>
        </w:rPr>
        <w:t xml:space="preserve">  Early Jurisprudence from the UK Tribunal System</w:t>
      </w:r>
    </w:p>
    <w:p w14:paraId="7EFFB8C4" w14:textId="5843E33F" w:rsidR="00F43BDE" w:rsidRDefault="00091EC0" w:rsidP="009F04BE">
      <w:pPr>
        <w:ind w:firstLine="720"/>
      </w:pPr>
      <w:r>
        <w:t>Unfortunately, however</w:t>
      </w:r>
      <w:r w:rsidR="00A31C32">
        <w:t xml:space="preserve">, early case law from the Tribunal has so far almost entirely neutered the worth of section 166 from a data subject’s perspective by interpreting it in an entirely procedural manner.   The process began </w:t>
      </w:r>
      <w:r w:rsidR="005873E3">
        <w:t xml:space="preserve">when </w:t>
      </w:r>
      <w:r w:rsidR="00A31C32">
        <w:t xml:space="preserve">the First-Tier Tribunal (Information Rights) </w:t>
      </w:r>
      <w:r w:rsidR="00823FC0">
        <w:t xml:space="preserve">handed down </w:t>
      </w:r>
      <w:r w:rsidR="000E5405" w:rsidRPr="00F13912">
        <w:t>at least six cases (all but one</w:t>
      </w:r>
      <w:r w:rsidR="000E5405" w:rsidRPr="00F13912">
        <w:rPr>
          <w:rStyle w:val="FootnoteReference"/>
        </w:rPr>
        <w:footnoteReference w:id="51"/>
      </w:r>
      <w:r w:rsidR="000E5405" w:rsidRPr="00F13912">
        <w:t xml:space="preserve"> of which </w:t>
      </w:r>
      <w:r w:rsidR="005873E3" w:rsidRPr="00F13912">
        <w:t>w</w:t>
      </w:r>
      <w:r w:rsidR="005873E3">
        <w:t>ere</w:t>
      </w:r>
      <w:r w:rsidR="005873E3" w:rsidRPr="00F13912">
        <w:t xml:space="preserve"> </w:t>
      </w:r>
      <w:r w:rsidR="000E5405" w:rsidRPr="00F13912">
        <w:t xml:space="preserve">decided on the papers) </w:t>
      </w:r>
      <w:r w:rsidR="00A31C32">
        <w:t xml:space="preserve">which curtly </w:t>
      </w:r>
      <w:r w:rsidR="00480BD7" w:rsidRPr="00F13912">
        <w:t>reject</w:t>
      </w:r>
      <w:r w:rsidR="00DC28CC">
        <w:t>ed</w:t>
      </w:r>
      <w:r w:rsidR="00480BD7" w:rsidRPr="00F13912">
        <w:t xml:space="preserve"> the data subject’s claim for an </w:t>
      </w:r>
      <w:r w:rsidR="001A5805">
        <w:t>o</w:t>
      </w:r>
      <w:r w:rsidR="00480BD7" w:rsidRPr="00F13912">
        <w:t xml:space="preserve">rder in only three pages of judgment </w:t>
      </w:r>
      <w:r w:rsidR="001A5805">
        <w:t xml:space="preserve">apiece </w:t>
      </w:r>
      <w:r w:rsidR="00480BD7" w:rsidRPr="00F13912">
        <w:t xml:space="preserve">and with practically no individual reasoning.  In all these cases the </w:t>
      </w:r>
      <w:r w:rsidR="005873E3">
        <w:t>ICO</w:t>
      </w:r>
      <w:r w:rsidR="00480BD7" w:rsidRPr="00F13912">
        <w:t xml:space="preserve"> </w:t>
      </w:r>
      <w:r w:rsidR="001A5805">
        <w:t xml:space="preserve">argued </w:t>
      </w:r>
      <w:r w:rsidR="00480BD7" w:rsidRPr="00F13912">
        <w:t xml:space="preserve">that </w:t>
      </w:r>
      <w:r w:rsidR="00346EC7">
        <w:t>‘</w:t>
      </w:r>
      <w:r w:rsidR="00480BD7" w:rsidRPr="00F13912">
        <w:t>the Tribunal’s jurisdiction is limited to procedural failings and is not intended to serve as an appeal against outcome</w:t>
      </w:r>
      <w:r w:rsidR="00346EC7">
        <w:t>’</w:t>
      </w:r>
      <w:r w:rsidR="00480BD7" w:rsidRPr="00F13912">
        <w:rPr>
          <w:rStyle w:val="FootnoteReference"/>
        </w:rPr>
        <w:footnoteReference w:id="52"/>
      </w:r>
      <w:r w:rsidR="00480BD7" w:rsidRPr="00F13912">
        <w:t xml:space="preserve"> and the Tribunal (at least implicitly) accepted the validity of this claim.</w:t>
      </w:r>
      <w:r w:rsidR="00FB5F5F" w:rsidRPr="00F13912">
        <w:t xml:space="preserve">  </w:t>
      </w:r>
      <w:r w:rsidR="00A31C32">
        <w:t xml:space="preserve"> Moreover,</w:t>
      </w:r>
      <w:r w:rsidR="00EF2CAA">
        <w:t xml:space="preserve"> in</w:t>
      </w:r>
      <w:r w:rsidR="00A31C32">
        <w:t xml:space="preserve"> the one case where a data subject provided concrete evidence that </w:t>
      </w:r>
      <w:r w:rsidR="00AE2693" w:rsidRPr="00F13912">
        <w:t xml:space="preserve">the </w:t>
      </w:r>
      <w:r w:rsidR="005873E3">
        <w:t>ICO</w:t>
      </w:r>
      <w:r w:rsidR="00AE2693" w:rsidRPr="00F13912">
        <w:t xml:space="preserve"> </w:t>
      </w:r>
      <w:r w:rsidR="00AE2693" w:rsidRPr="00560D62">
        <w:rPr>
          <w:i/>
        </w:rPr>
        <w:t>had</w:t>
      </w:r>
      <w:r w:rsidR="00AE2693" w:rsidRPr="00F13912">
        <w:t xml:space="preserve"> failed </w:t>
      </w:r>
      <w:r w:rsidR="001A5805">
        <w:t xml:space="preserve">in the procedural duty </w:t>
      </w:r>
      <w:r w:rsidR="00AE2693" w:rsidRPr="00F13912">
        <w:t xml:space="preserve">to respond within three months, the Tribunal’s response was limited to a finding that this failing had </w:t>
      </w:r>
      <w:r w:rsidR="00346EC7">
        <w:t>‘</w:t>
      </w:r>
      <w:r w:rsidR="00AE2693" w:rsidRPr="00F13912">
        <w:t>been remedied</w:t>
      </w:r>
      <w:r w:rsidR="00346EC7">
        <w:t>’</w:t>
      </w:r>
      <w:r w:rsidR="00AE2693" w:rsidRPr="00F13912">
        <w:rPr>
          <w:rStyle w:val="FootnoteReference"/>
        </w:rPr>
        <w:footnoteReference w:id="53"/>
      </w:r>
      <w:r w:rsidR="00AE2693" w:rsidRPr="00F13912">
        <w:t xml:space="preserve"> as the </w:t>
      </w:r>
      <w:r w:rsidR="005873E3">
        <w:t>ICO</w:t>
      </w:r>
      <w:r w:rsidR="005873E3" w:rsidRPr="00F13912">
        <w:t xml:space="preserve"> </w:t>
      </w:r>
      <w:r w:rsidR="00AE2693" w:rsidRPr="00F13912">
        <w:t xml:space="preserve">had responded by the time the case was </w:t>
      </w:r>
      <w:r w:rsidR="001A5805">
        <w:t>heard</w:t>
      </w:r>
      <w:r w:rsidR="00A31C32">
        <w:t>.</w:t>
      </w:r>
    </w:p>
    <w:p w14:paraId="2C58DAF5" w14:textId="77777777" w:rsidR="00683733" w:rsidRDefault="00683733" w:rsidP="009F04BE">
      <w:pPr>
        <w:ind w:firstLine="720"/>
      </w:pPr>
    </w:p>
    <w:p w14:paraId="073202B8" w14:textId="493A7C7F" w:rsidR="00EC6FD9" w:rsidRPr="0038438C" w:rsidRDefault="00EC6FD9" w:rsidP="0038438C">
      <w:pPr>
        <w:rPr>
          <w:b/>
        </w:rPr>
      </w:pPr>
      <w:r w:rsidRPr="0038438C">
        <w:rPr>
          <w:b/>
        </w:rPr>
        <w:t xml:space="preserve">1. The </w:t>
      </w:r>
      <w:r w:rsidRPr="0038438C">
        <w:rPr>
          <w:b/>
          <w:i/>
        </w:rPr>
        <w:t>Leighton v ICO</w:t>
      </w:r>
      <w:r w:rsidRPr="0038438C">
        <w:rPr>
          <w:b/>
        </w:rPr>
        <w:t xml:space="preserve"> case</w:t>
      </w:r>
    </w:p>
    <w:p w14:paraId="5D82690B" w14:textId="52CA5ACB" w:rsidR="00A31C32" w:rsidRDefault="00A31C32" w:rsidP="009F04BE">
      <w:pPr>
        <w:ind w:firstLine="720"/>
      </w:pPr>
      <w:r>
        <w:t xml:space="preserve">The solidification of this problematic step </w:t>
      </w:r>
      <w:r w:rsidR="000C72E6">
        <w:t xml:space="preserve">advanced further </w:t>
      </w:r>
      <w:r w:rsidR="00C94F15">
        <w:t xml:space="preserve">through the handing down of </w:t>
      </w:r>
      <w:r w:rsidRPr="00A31C32">
        <w:rPr>
          <w:i/>
        </w:rPr>
        <w:t>Leighton v Information Commissioner (No. 2)</w:t>
      </w:r>
      <w:r>
        <w:rPr>
          <w:rStyle w:val="FootnoteReference"/>
          <w:i/>
        </w:rPr>
        <w:footnoteReference w:id="54"/>
      </w:r>
      <w:r>
        <w:t xml:space="preserve"> </w:t>
      </w:r>
      <w:r w:rsidR="00C94F15">
        <w:t xml:space="preserve">in January 2020 </w:t>
      </w:r>
      <w:r>
        <w:t xml:space="preserve">which saw the Upper Tribunal reject an appeal against </w:t>
      </w:r>
      <w:r w:rsidR="00C27CCB">
        <w:t xml:space="preserve">a decision of the First-Tier Tribunal to strike-out an application to it under </w:t>
      </w:r>
      <w:r w:rsidR="00C27CCB" w:rsidRPr="00C27CCB">
        <w:rPr>
          <w:i/>
        </w:rPr>
        <w:t>inter alia</w:t>
      </w:r>
      <w:r w:rsidR="00C27CCB">
        <w:t xml:space="preserve"> section 166 for having no </w:t>
      </w:r>
      <w:r w:rsidR="000C72E6">
        <w:t xml:space="preserve">reasonable </w:t>
      </w:r>
      <w:r w:rsidR="00C27CCB">
        <w:t xml:space="preserve">prospect of success.  This complex case concerned a data subject who contended that </w:t>
      </w:r>
      <w:r w:rsidR="00346EC7">
        <w:t>‘</w:t>
      </w:r>
      <w:r w:rsidR="00C27CCB">
        <w:t>he was the subject of a covert surveillance operation conducted by NYP [North Yorkshire Police]</w:t>
      </w:r>
      <w:r w:rsidR="00346EC7">
        <w:t>’</w:t>
      </w:r>
      <w:r w:rsidR="00C27CCB">
        <w:rPr>
          <w:rStyle w:val="FootnoteReference"/>
        </w:rPr>
        <w:footnoteReference w:id="55"/>
      </w:r>
      <w:r w:rsidR="00C27CCB">
        <w:t xml:space="preserve"> and wanted to access any resulting data.   </w:t>
      </w:r>
      <w:r w:rsidR="00BE4BD6">
        <w:t>F</w:t>
      </w:r>
      <w:r w:rsidR="00C27CCB">
        <w:t xml:space="preserve">or the purposes of data protection, this </w:t>
      </w:r>
      <w:r w:rsidR="00CB20C1">
        <w:t xml:space="preserve">most </w:t>
      </w:r>
      <w:r w:rsidR="00C27CCB">
        <w:t xml:space="preserve">clearly engaged </w:t>
      </w:r>
      <w:r w:rsidR="000C72E6">
        <w:t xml:space="preserve">not the GDPR but rather the Law Enforcement Directive 2016/680 </w:t>
      </w:r>
      <w:r w:rsidR="00B96257">
        <w:t xml:space="preserve">(LED) </w:t>
      </w:r>
      <w:r w:rsidR="000C72E6">
        <w:t xml:space="preserve">as transposed in the UK DPA 2018 including, in this regard, the possibility of using </w:t>
      </w:r>
      <w:r w:rsidR="000C72E6">
        <w:lastRenderedPageBreak/>
        <w:t xml:space="preserve">section 166.  The applicant appeared in person and some of his arguments appeared </w:t>
      </w:r>
      <w:r w:rsidR="00087004">
        <w:t xml:space="preserve">either </w:t>
      </w:r>
      <w:r w:rsidR="00CB20C1">
        <w:t>far-fetched</w:t>
      </w:r>
      <w:r w:rsidR="00087004">
        <w:t xml:space="preserve"> or rather confused.</w:t>
      </w:r>
      <w:r w:rsidR="00CB20C1">
        <w:rPr>
          <w:rStyle w:val="FootnoteReference"/>
        </w:rPr>
        <w:footnoteReference w:id="56"/>
      </w:r>
      <w:r w:rsidR="00CB20C1">
        <w:t xml:space="preserve"> </w:t>
      </w:r>
      <w:r w:rsidR="00087004">
        <w:t xml:space="preserve"> For example, one clearly unmeritorious ground pursued was that </w:t>
      </w:r>
      <w:r w:rsidR="000444AF">
        <w:t xml:space="preserve">the First-Tier Tribunal’s decision was invalid as it didn’t contain a </w:t>
      </w:r>
      <w:r w:rsidR="000444AF">
        <w:rPr>
          <w:rFonts w:cstheme="minorHAnsi"/>
        </w:rPr>
        <w:t>‘</w:t>
      </w:r>
      <w:r w:rsidR="000444AF">
        <w:t>wet</w:t>
      </w:r>
      <w:r w:rsidR="000444AF">
        <w:rPr>
          <w:rFonts w:cstheme="minorHAnsi"/>
        </w:rPr>
        <w:t>’</w:t>
      </w:r>
      <w:r w:rsidR="000444AF">
        <w:t xml:space="preserve"> signature of the Judge.</w:t>
      </w:r>
      <w:r w:rsidR="000444AF">
        <w:rPr>
          <w:rStyle w:val="FootnoteReference"/>
        </w:rPr>
        <w:footnoteReference w:id="57"/>
      </w:r>
      <w:r w:rsidR="000444AF">
        <w:t xml:space="preserve">  Turning more directly to the data protection scheme, Leighton </w:t>
      </w:r>
      <w:r w:rsidR="00CB20C1">
        <w:t xml:space="preserve">appeared under the impression that </w:t>
      </w:r>
      <w:r w:rsidR="00F4767F">
        <w:t xml:space="preserve">ensuring </w:t>
      </w:r>
      <w:r w:rsidR="00CB20C1">
        <w:t xml:space="preserve">the right of subject access as regards law enforcement was </w:t>
      </w:r>
      <w:r w:rsidR="00087004">
        <w:t xml:space="preserve">simply a </w:t>
      </w:r>
      <w:r w:rsidR="00346EC7">
        <w:t>‘</w:t>
      </w:r>
      <w:r w:rsidR="00CB20C1">
        <w:t>matter for the FTT [First-Tier Tribunal] and not the county court</w:t>
      </w:r>
      <w:r w:rsidR="00346EC7">
        <w:t>’</w:t>
      </w:r>
      <w:r w:rsidR="00CB20C1">
        <w:t>.</w:t>
      </w:r>
      <w:r w:rsidR="00CB20C1">
        <w:rPr>
          <w:rStyle w:val="FootnoteReference"/>
        </w:rPr>
        <w:footnoteReference w:id="58"/>
      </w:r>
      <w:r w:rsidR="00CB20C1">
        <w:t xml:space="preserve">  </w:t>
      </w:r>
      <w:r w:rsidR="00087004">
        <w:t xml:space="preserve">Whatever regulatory appeals may be available under the DPA 2018, it is clear that this cannot simply provide a mechanism (even if administrated indirectly through the ICO) to enforce any and all data protection rights on each and every controller.  As set out in both the GDPR and the </w:t>
      </w:r>
      <w:r w:rsidR="00B96257">
        <w:t>LED</w:t>
      </w:r>
      <w:r w:rsidR="00087004">
        <w:t xml:space="preserve">, a judicial remedy </w:t>
      </w:r>
      <w:r w:rsidR="00F4767F">
        <w:t>against the controller is clearly appropriate here</w:t>
      </w:r>
      <w:r w:rsidR="00F4767F">
        <w:rPr>
          <w:rStyle w:val="FootnoteReference"/>
        </w:rPr>
        <w:footnoteReference w:id="59"/>
      </w:r>
      <w:r w:rsidR="00F4767F">
        <w:t xml:space="preserve"> and, in the UK, the civil courts are the ones granted jurisdiction.</w:t>
      </w:r>
    </w:p>
    <w:p w14:paraId="179D1690" w14:textId="0A55BE87" w:rsidR="00D05C8A" w:rsidRDefault="004451EC" w:rsidP="004451EC">
      <w:pPr>
        <w:ind w:firstLine="720"/>
      </w:pPr>
      <w:r>
        <w:t>Notwithstanding his protestations to the contrary,</w:t>
      </w:r>
      <w:r>
        <w:rPr>
          <w:rStyle w:val="FootnoteReference"/>
        </w:rPr>
        <w:footnoteReference w:id="60"/>
      </w:r>
      <w:r>
        <w:t xml:space="preserve"> Leighton’s case was treated as a section 166 application.  This was entirely understandable.  Indeed, Leighton himself acknowledged </w:t>
      </w:r>
      <w:r w:rsidR="00D05C8A">
        <w:t xml:space="preserve">much </w:t>
      </w:r>
      <w:r w:rsidR="006904BA">
        <w:t xml:space="preserve">of </w:t>
      </w:r>
      <w:r w:rsidR="00D05C8A">
        <w:t xml:space="preserve">the logic in this by stressing </w:t>
      </w:r>
      <w:r>
        <w:t xml:space="preserve">that </w:t>
      </w:r>
      <w:r w:rsidR="00346EC7">
        <w:t>‘</w:t>
      </w:r>
      <w:r>
        <w:t xml:space="preserve">he was </w:t>
      </w:r>
      <w:r w:rsidR="00D05C8A">
        <w:t>not at this stage seeking to ask the FTT to order NYP to do anything</w:t>
      </w:r>
      <w:r w:rsidR="00346EC7">
        <w:t>’</w:t>
      </w:r>
      <w:r w:rsidR="00D05C8A">
        <w:t xml:space="preserve"> but was rather </w:t>
      </w:r>
      <w:r w:rsidR="00346EC7">
        <w:t>‘</w:t>
      </w:r>
      <w:r w:rsidR="00D05C8A">
        <w:t>seeking to hold the Commissioner to account</w:t>
      </w:r>
      <w:r w:rsidR="00346EC7">
        <w:t>’</w:t>
      </w:r>
      <w:r w:rsidR="00D05C8A">
        <w:t>.</w:t>
      </w:r>
      <w:r w:rsidR="00D05C8A">
        <w:rPr>
          <w:rStyle w:val="FootnoteReference"/>
        </w:rPr>
        <w:footnoteReference w:id="61"/>
      </w:r>
      <w:r w:rsidR="00D05C8A">
        <w:t xml:space="preserve">   However, and much more problematically, Judge Wickeley then endorsed an extremely narrow understanding of section 166, which essentially denuded it of significant value for the data subject:</w:t>
      </w:r>
    </w:p>
    <w:p w14:paraId="72A51169" w14:textId="211F1CE0" w:rsidR="000C72E6" w:rsidRDefault="00B96257" w:rsidP="00D05C8A">
      <w:pPr>
        <w:ind w:left="720"/>
      </w:pPr>
      <w:r>
        <w:t>‘</w:t>
      </w:r>
      <w:r w:rsidR="00D05C8A">
        <w:t xml:space="preserve">Section 166 is directed towards providing a tribunal-based remedy where the Commissioner fails to address a section 165 complaint in a procedurally proper fashion.  Thus, the mischiefs identified by section 166(1) </w:t>
      </w:r>
      <w:r w:rsidR="006D37C7">
        <w:t xml:space="preserve">are </w:t>
      </w:r>
      <w:r w:rsidR="00D05C8A">
        <w:t>all procedural failings</w:t>
      </w:r>
      <w:r w:rsidR="006D37C7">
        <w:t>.</w:t>
      </w:r>
      <w:r w:rsidR="00D05C8A">
        <w:t xml:space="preserve">  </w:t>
      </w:r>
      <w:r>
        <w:t>‘</w:t>
      </w:r>
      <w:r w:rsidR="00D05C8A">
        <w:t xml:space="preserve">Appropriate </w:t>
      </w:r>
      <w:r w:rsidR="006D37C7">
        <w:t>steps</w:t>
      </w:r>
      <w:r>
        <w:t>’</w:t>
      </w:r>
      <w:r w:rsidR="006D37C7">
        <w:t xml:space="preserve"> means just that, and not an </w:t>
      </w:r>
      <w:r>
        <w:t>‘</w:t>
      </w:r>
      <w:r w:rsidR="006D37C7">
        <w:t>appropriate outcome</w:t>
      </w:r>
      <w:r>
        <w:t>’</w:t>
      </w:r>
      <w:r w:rsidR="006D37C7">
        <w:t xml:space="preserve">.  Likewise, the FTT’s powers include making an order that the Commissioner </w:t>
      </w:r>
      <w:r>
        <w:t>‘</w:t>
      </w:r>
      <w:r w:rsidR="006D37C7">
        <w:t xml:space="preserve">take appropriate steps to </w:t>
      </w:r>
      <w:r w:rsidR="006D37C7" w:rsidRPr="006D37C7">
        <w:rPr>
          <w:i/>
        </w:rPr>
        <w:t>respond</w:t>
      </w:r>
      <w:r w:rsidR="006D37C7">
        <w:t xml:space="preserve"> to the complaint</w:t>
      </w:r>
      <w:r>
        <w:t>’</w:t>
      </w:r>
      <w:r w:rsidR="006D37C7">
        <w:t xml:space="preserve">, and not to </w:t>
      </w:r>
      <w:r>
        <w:t>‘</w:t>
      </w:r>
      <w:r w:rsidR="006D37C7">
        <w:t xml:space="preserve">take appropriate steps to </w:t>
      </w:r>
      <w:r w:rsidR="006D37C7" w:rsidRPr="006D37C7">
        <w:rPr>
          <w:i/>
        </w:rPr>
        <w:t>resolve</w:t>
      </w:r>
      <w:r w:rsidR="006D37C7">
        <w:t xml:space="preserve"> the complain</w:t>
      </w:r>
      <w:r>
        <w:t>t’</w:t>
      </w:r>
      <w:r w:rsidR="006D37C7">
        <w:t>, least of all to resolve the matter to the satisfaction of the complainant.</w:t>
      </w:r>
      <w:r>
        <w:t>’</w:t>
      </w:r>
      <w:r w:rsidR="006D37C7">
        <w:rPr>
          <w:rStyle w:val="FootnoteReference"/>
        </w:rPr>
        <w:footnoteReference w:id="62"/>
      </w:r>
    </w:p>
    <w:p w14:paraId="37A63D74" w14:textId="27ED7A52" w:rsidR="004451EC" w:rsidRDefault="006D37C7" w:rsidP="006D37C7">
      <w:r>
        <w:t xml:space="preserve">Alongside this textual </w:t>
      </w:r>
      <w:r w:rsidR="00865025">
        <w:t>argument</w:t>
      </w:r>
      <w:r>
        <w:t xml:space="preserve">, Wickeley </w:t>
      </w:r>
      <w:r w:rsidR="00865025">
        <w:t xml:space="preserve">suggested that any alternative approach would pose </w:t>
      </w:r>
      <w:r>
        <w:t>jurisdictional</w:t>
      </w:r>
      <w:r w:rsidR="00865025">
        <w:t xml:space="preserve"> problems</w:t>
      </w:r>
      <w:r>
        <w:t>:</w:t>
      </w:r>
    </w:p>
    <w:p w14:paraId="018EF803" w14:textId="2F8F4385" w:rsidR="006D37C7" w:rsidRDefault="00B96257" w:rsidP="006D37C7">
      <w:pPr>
        <w:ind w:left="720"/>
      </w:pPr>
      <w:r>
        <w:t>‘</w:t>
      </w:r>
      <w:r w:rsidR="006D37C7">
        <w:t>[I]f the FTT had the jurisdiction to determine the substantive merits of the outcome of the Commissioner’s investigation, the consequence would be jurisdictional confusion, given the data subject’s rights to bring a civil claim in the courts under sections 167-169 (see further DPA 2018 s. 180).</w:t>
      </w:r>
      <w:r>
        <w:t>’</w:t>
      </w:r>
      <w:r w:rsidR="006D37C7">
        <w:rPr>
          <w:rStyle w:val="FootnoteReference"/>
        </w:rPr>
        <w:footnoteReference w:id="63"/>
      </w:r>
    </w:p>
    <w:p w14:paraId="261E1D22" w14:textId="77777777" w:rsidR="00294566" w:rsidRDefault="00294566" w:rsidP="006D37C7">
      <w:pPr>
        <w:ind w:left="720"/>
      </w:pPr>
    </w:p>
    <w:p w14:paraId="25965A2D" w14:textId="13F03842" w:rsidR="00EC6FD9" w:rsidRPr="009E645F" w:rsidRDefault="00EC6FD9" w:rsidP="00EC6FD9">
      <w:pPr>
        <w:rPr>
          <w:b/>
        </w:rPr>
      </w:pPr>
      <w:r>
        <w:rPr>
          <w:b/>
        </w:rPr>
        <w:t>2</w:t>
      </w:r>
      <w:r w:rsidRPr="009E645F">
        <w:rPr>
          <w:b/>
        </w:rPr>
        <w:t xml:space="preserve">. The </w:t>
      </w:r>
      <w:r>
        <w:rPr>
          <w:b/>
          <w:i/>
        </w:rPr>
        <w:t xml:space="preserve">Scranage </w:t>
      </w:r>
      <w:r w:rsidRPr="009E645F">
        <w:rPr>
          <w:b/>
          <w:i/>
        </w:rPr>
        <w:t>v ICO</w:t>
      </w:r>
      <w:r w:rsidRPr="009E645F">
        <w:rPr>
          <w:b/>
        </w:rPr>
        <w:t xml:space="preserve"> case</w:t>
      </w:r>
    </w:p>
    <w:p w14:paraId="0CE4218C" w14:textId="3968A33D" w:rsidR="00A35F68" w:rsidRDefault="0042124C" w:rsidP="00A35F68">
      <w:r>
        <w:t xml:space="preserve">In June 2020, the Upper Tribunal issued </w:t>
      </w:r>
      <w:r w:rsidRPr="0027335E">
        <w:rPr>
          <w:i/>
          <w:iCs/>
        </w:rPr>
        <w:t>Scranage v Information Commissioner</w:t>
      </w:r>
      <w:r w:rsidR="0055737E" w:rsidRPr="0027335E">
        <w:t>, a decision</w:t>
      </w:r>
      <w:r w:rsidR="0055737E">
        <w:rPr>
          <w:i/>
          <w:iCs/>
        </w:rPr>
        <w:t xml:space="preserve"> </w:t>
      </w:r>
      <w:r w:rsidR="0055737E">
        <w:t>which upheld the F</w:t>
      </w:r>
      <w:r w:rsidR="0014083B">
        <w:t xml:space="preserve">TT’s </w:t>
      </w:r>
      <w:r w:rsidR="0055737E">
        <w:t xml:space="preserve">finding that the </w:t>
      </w:r>
      <w:r w:rsidR="00F31F55">
        <w:t xml:space="preserve">data subject’s section 166 application was out-of-time and </w:t>
      </w:r>
      <w:r w:rsidR="00F31F55">
        <w:lastRenderedPageBreak/>
        <w:t xml:space="preserve">confirmed </w:t>
      </w:r>
      <w:r w:rsidR="00C61B87">
        <w:t xml:space="preserve">the Tribunal’s general </w:t>
      </w:r>
      <w:r w:rsidR="00A52DB5">
        <w:t xml:space="preserve">understanding </w:t>
      </w:r>
      <w:r w:rsidR="00C61B87">
        <w:t xml:space="preserve">to this section.  </w:t>
      </w:r>
      <w:r w:rsidR="00394456">
        <w:t>Nevertheless, alongside this confirmation, Justice Wick</w:t>
      </w:r>
      <w:r w:rsidR="00A52DB5">
        <w:t xml:space="preserve">eley did acknowledge its serious </w:t>
      </w:r>
      <w:r w:rsidR="006836CB">
        <w:t>problems</w:t>
      </w:r>
      <w:r w:rsidR="00A52DB5">
        <w:t>:</w:t>
      </w:r>
    </w:p>
    <w:p w14:paraId="44C96843" w14:textId="770D168C" w:rsidR="00A52DB5" w:rsidRDefault="00B96257" w:rsidP="00A35F68">
      <w:pPr>
        <w:ind w:left="720"/>
      </w:pPr>
      <w:r>
        <w:t>‘</w:t>
      </w:r>
      <w:r w:rsidR="00A52DB5">
        <w:t xml:space="preserve">Plainly the GDPR requires that data subjects have an </w:t>
      </w:r>
      <w:r>
        <w:t>‘</w:t>
      </w:r>
      <w:r w:rsidR="00A52DB5">
        <w:t>effective judicial remedy</w:t>
      </w:r>
      <w:r>
        <w:t>’</w:t>
      </w:r>
      <w:r w:rsidR="00A52DB5">
        <w:t xml:space="preserve"> against both a </w:t>
      </w:r>
      <w:r>
        <w:t>‘</w:t>
      </w:r>
      <w:r w:rsidR="00A52DB5">
        <w:t>supervisory authority</w:t>
      </w:r>
      <w:r>
        <w:t>’</w:t>
      </w:r>
      <w:r w:rsidR="00A52DB5">
        <w:t xml:space="preserve"> (here, the Commissioner) </w:t>
      </w:r>
      <w:r w:rsidR="00E90C46">
        <w:t xml:space="preserve">and a data controller or processor (see GDPR Articles 78 and 79 respectively).  Domestic legislation provides </w:t>
      </w:r>
      <w:r w:rsidR="00D70E63">
        <w:t>that procedural redress against the Commissioner under Article 78(2) is sought from the Tribunal whereas substantive redress under Articles 79 must be pursued in the courts (being the county court or the High Court).  The policy reasons for this jurisdictional disconnect, which is hardly helpful for litigants in pe</w:t>
      </w:r>
      <w:r w:rsidR="00884663">
        <w:t>r</w:t>
      </w:r>
      <w:r w:rsidR="00D70E63">
        <w:t xml:space="preserve">son, or for developing a coherent system of precedent, is not immediately </w:t>
      </w:r>
      <w:r w:rsidR="0076391D">
        <w:t>apparent.  A comprehensive strategic review of the various appellate mechanisms for rights exercisable under the DPA is arguably long overdue.  This might include consideration of whether the section 166(2) procedure is working as anticipated.</w:t>
      </w:r>
      <w:r>
        <w:t>’</w:t>
      </w:r>
      <w:r w:rsidR="00F30DF3">
        <w:rPr>
          <w:rStyle w:val="FootnoteReference"/>
        </w:rPr>
        <w:footnoteReference w:id="64"/>
      </w:r>
    </w:p>
    <w:p w14:paraId="61DE488F" w14:textId="40F2A721" w:rsidR="00AE2693" w:rsidRPr="00F13912" w:rsidRDefault="00AE2693" w:rsidP="00F43BDE">
      <w:r w:rsidRPr="00F13912">
        <w:tab/>
      </w:r>
    </w:p>
    <w:p w14:paraId="7CB1EB5D" w14:textId="4C26E9DA" w:rsidR="00F43BDE" w:rsidRDefault="00560D62" w:rsidP="00F43BDE">
      <w:pPr>
        <w:rPr>
          <w:b/>
        </w:rPr>
      </w:pPr>
      <w:r>
        <w:rPr>
          <w:b/>
        </w:rPr>
        <w:t xml:space="preserve">VII. </w:t>
      </w:r>
      <w:r w:rsidR="00CE7BD3">
        <w:rPr>
          <w:b/>
        </w:rPr>
        <w:t xml:space="preserve">Tribunal Supervision of DPA Complaint-Handling </w:t>
      </w:r>
      <w:r w:rsidR="009F04BE" w:rsidRPr="00F13912">
        <w:rPr>
          <w:b/>
        </w:rPr>
        <w:t xml:space="preserve">– A </w:t>
      </w:r>
      <w:r w:rsidR="00CE7BD3">
        <w:rPr>
          <w:b/>
        </w:rPr>
        <w:t xml:space="preserve">Better </w:t>
      </w:r>
      <w:r>
        <w:rPr>
          <w:b/>
        </w:rPr>
        <w:t>Approach</w:t>
      </w:r>
      <w:r w:rsidR="006D37C7">
        <w:rPr>
          <w:b/>
        </w:rPr>
        <w:t>?</w:t>
      </w:r>
    </w:p>
    <w:p w14:paraId="6E34735A" w14:textId="1768F2A2" w:rsidR="00EE7543" w:rsidRDefault="00EE7543" w:rsidP="00F43BDE">
      <w:r w:rsidRPr="00EE7543">
        <w:tab/>
        <w:t xml:space="preserve">It is </w:t>
      </w:r>
      <w:r w:rsidR="0055493C">
        <w:t xml:space="preserve">deeply unfortunate that </w:t>
      </w:r>
      <w:r w:rsidR="004D4B98">
        <w:t xml:space="preserve">the </w:t>
      </w:r>
      <w:r w:rsidR="0055493C">
        <w:t xml:space="preserve">weighty and complex issues </w:t>
      </w:r>
      <w:r w:rsidR="004D4B98">
        <w:t xml:space="preserve">which arise as regards </w:t>
      </w:r>
      <w:r w:rsidR="0055493C">
        <w:t xml:space="preserve">the interpretation of section 166 </w:t>
      </w:r>
      <w:r w:rsidR="00123E51">
        <w:t xml:space="preserve">UK </w:t>
      </w:r>
      <w:r w:rsidR="0055493C">
        <w:t xml:space="preserve">DPA 2018 </w:t>
      </w:r>
      <w:r w:rsidR="00123E51">
        <w:t xml:space="preserve">were first </w:t>
      </w:r>
      <w:r w:rsidR="0055493C">
        <w:t xml:space="preserve">dealt with by the Upper Tribunal in preliminary permission to appeal proceedings by a </w:t>
      </w:r>
      <w:r w:rsidR="00865025">
        <w:t xml:space="preserve">litigant in person.  Since these judgments </w:t>
      </w:r>
      <w:r w:rsidR="0055493C">
        <w:t>are not ordinarily even published,</w:t>
      </w:r>
      <w:r w:rsidR="0055493C">
        <w:rPr>
          <w:rStyle w:val="FootnoteReference"/>
        </w:rPr>
        <w:footnoteReference w:id="65"/>
      </w:r>
      <w:r w:rsidR="0055493C">
        <w:t xml:space="preserve"> </w:t>
      </w:r>
      <w:r w:rsidR="006908BE">
        <w:t xml:space="preserve">the </w:t>
      </w:r>
      <w:r w:rsidR="00865025">
        <w:t xml:space="preserve">decision </w:t>
      </w:r>
      <w:r w:rsidR="006908BE">
        <w:t xml:space="preserve">in </w:t>
      </w:r>
      <w:r w:rsidR="006908BE" w:rsidRPr="0027335E">
        <w:rPr>
          <w:i/>
          <w:iCs/>
        </w:rPr>
        <w:t>Leighton</w:t>
      </w:r>
      <w:r w:rsidR="006908BE">
        <w:t xml:space="preserve"> </w:t>
      </w:r>
      <w:r w:rsidR="00865025">
        <w:t>may not constitute binding precedent for the FTT.</w:t>
      </w:r>
      <w:r w:rsidR="00C9620D">
        <w:t xml:space="preserve">  Likewise</w:t>
      </w:r>
      <w:r w:rsidR="00B96257">
        <w:t>,</w:t>
      </w:r>
      <w:r w:rsidR="00C9620D">
        <w:t xml:space="preserve"> the comments made in </w:t>
      </w:r>
      <w:r w:rsidR="00C9620D" w:rsidRPr="0027335E">
        <w:rPr>
          <w:i/>
          <w:iCs/>
        </w:rPr>
        <w:t>Scranage</w:t>
      </w:r>
      <w:r w:rsidR="008D315A">
        <w:t xml:space="preserve"> on the overall shape of section 166, as opposed to the narrow question of time-limits for lodging </w:t>
      </w:r>
      <w:r w:rsidR="004A0F34">
        <w:t xml:space="preserve">applications, were clearly </w:t>
      </w:r>
      <w:r w:rsidR="004A0F34" w:rsidRPr="0027335E">
        <w:rPr>
          <w:i/>
          <w:iCs/>
        </w:rPr>
        <w:t>obiter</w:t>
      </w:r>
      <w:r w:rsidR="004A0F34">
        <w:t>.</w:t>
      </w:r>
      <w:r w:rsidR="008D315A">
        <w:t xml:space="preserve"> </w:t>
      </w:r>
      <w:r w:rsidR="00C9620D">
        <w:t xml:space="preserve"> </w:t>
      </w:r>
      <w:r w:rsidR="00865025">
        <w:t xml:space="preserve"> Nevertheless, it would be naïve to underestimate </w:t>
      </w:r>
      <w:r w:rsidR="004A0F34">
        <w:t xml:space="preserve">the </w:t>
      </w:r>
      <w:r w:rsidR="00865025">
        <w:t>likely persuasive value</w:t>
      </w:r>
      <w:r w:rsidR="00CC1D50">
        <w:t xml:space="preserve"> </w:t>
      </w:r>
      <w:r w:rsidR="004A0F34">
        <w:t xml:space="preserve">of these understandings </w:t>
      </w:r>
      <w:r w:rsidR="00CC1D50">
        <w:t xml:space="preserve">and so </w:t>
      </w:r>
      <w:r w:rsidR="004A0F34">
        <w:t xml:space="preserve">they </w:t>
      </w:r>
      <w:r w:rsidR="00CC1D50">
        <w:t xml:space="preserve">must be </w:t>
      </w:r>
      <w:r w:rsidR="00865025">
        <w:t>subject it to close scrutiny.</w:t>
      </w:r>
    </w:p>
    <w:p w14:paraId="0BC1B62B" w14:textId="51D9FB74" w:rsidR="00CC1D50" w:rsidRDefault="00CC1D50" w:rsidP="00F43BDE">
      <w:pPr>
        <w:rPr>
          <w:rFonts w:cstheme="minorHAnsi"/>
        </w:rPr>
      </w:pPr>
      <w:r>
        <w:tab/>
      </w:r>
      <w:r w:rsidR="006908BE">
        <w:t xml:space="preserve">In </w:t>
      </w:r>
      <w:r w:rsidR="006908BE" w:rsidRPr="0027335E">
        <w:rPr>
          <w:i/>
          <w:iCs/>
        </w:rPr>
        <w:t>Leighton</w:t>
      </w:r>
      <w:r w:rsidR="006908BE">
        <w:t xml:space="preserve">, </w:t>
      </w:r>
      <w:r>
        <w:t xml:space="preserve">Justice Wickeley rightly </w:t>
      </w:r>
      <w:r w:rsidR="00A779DA">
        <w:t xml:space="preserve">laid </w:t>
      </w:r>
      <w:r>
        <w:t>great emphasis on determining the meaning of section 166(1)(a)</w:t>
      </w:r>
      <w:r w:rsidR="00A779DA">
        <w:t xml:space="preserve"> of the Act</w:t>
      </w:r>
      <w:r>
        <w:t xml:space="preserve">, which provides a possible remedy through the Tribunal when and if the ICO </w:t>
      </w:r>
      <w:r w:rsidR="00346EC7">
        <w:t>‘</w:t>
      </w:r>
      <w:r>
        <w:t>fails to take appropriate steps to respond to the complaint</w:t>
      </w:r>
      <w:r w:rsidR="00346EC7">
        <w:t>’</w:t>
      </w:r>
      <w:r>
        <w:t xml:space="preserve">.  However, he seems </w:t>
      </w:r>
      <w:r w:rsidR="00A779DA">
        <w:t xml:space="preserve">to have been </w:t>
      </w:r>
      <w:r>
        <w:t xml:space="preserve">far too quick to determine that the standard here </w:t>
      </w:r>
      <w:r w:rsidR="0099226D">
        <w:t xml:space="preserve">was </w:t>
      </w:r>
      <w:r>
        <w:t xml:space="preserve">merely procedural.  Certainly, this sub-section cannot be confined to narrowly procedural matters such as ensuring that the Commissioner writes to the complaint within at least three </w:t>
      </w:r>
      <w:r w:rsidR="0099226D">
        <w:t>months</w:t>
      </w:r>
      <w:r>
        <w:t xml:space="preserve">.  Not only are these </w:t>
      </w:r>
      <w:r w:rsidR="0099226D">
        <w:t>sort</w:t>
      </w:r>
      <w:r w:rsidR="004C725C">
        <w:t>s</w:t>
      </w:r>
      <w:r w:rsidR="0099226D">
        <w:t xml:space="preserve"> of </w:t>
      </w:r>
      <w:r>
        <w:t xml:space="preserve">matters </w:t>
      </w:r>
      <w:r w:rsidR="00AF2D1F">
        <w:t xml:space="preserve">dealt with separately in section 166(1)(b) and 166(1)(c) but section 165(5) </w:t>
      </w:r>
      <w:r w:rsidR="00316DB9">
        <w:t xml:space="preserve">UK DPA 2018 </w:t>
      </w:r>
      <w:r w:rsidR="00AF2D1F">
        <w:t xml:space="preserve">specifically states that </w:t>
      </w:r>
      <w:r w:rsidR="00346EC7">
        <w:t>‘</w:t>
      </w:r>
      <w:r w:rsidR="00AF2D1F">
        <w:t>appropriate steps</w:t>
      </w:r>
      <w:r w:rsidR="00346EC7">
        <w:t>’</w:t>
      </w:r>
      <w:r w:rsidR="00AF2D1F">
        <w:t xml:space="preserve"> encompasses </w:t>
      </w:r>
      <w:r w:rsidR="00346EC7">
        <w:t>‘</w:t>
      </w:r>
      <w:r w:rsidR="00AF2D1F">
        <w:t>investigating the subject matter of the complaint, to the extent appropriate</w:t>
      </w:r>
      <w:r w:rsidR="00346EC7">
        <w:t>’</w:t>
      </w:r>
      <w:r w:rsidR="00AF2D1F">
        <w:t>.  In any case, it is vital to recognise that section 165(5) provides only for a partial</w:t>
      </w:r>
      <w:r w:rsidR="00E54AFB">
        <w:t xml:space="preserve">, as opposed to </w:t>
      </w:r>
      <w:r w:rsidR="00AF2D1F">
        <w:t>an exhaustive</w:t>
      </w:r>
      <w:r w:rsidR="00E54AFB">
        <w:t xml:space="preserve">, </w:t>
      </w:r>
      <w:r w:rsidR="00AF2D1F">
        <w:t xml:space="preserve">definition of </w:t>
      </w:r>
      <w:r w:rsidR="001C78ED">
        <w:t>the duties which are to be policed through this mechanism</w:t>
      </w:r>
      <w:r w:rsidR="00AF2D1F">
        <w:t xml:space="preserve">.  Given its open-texture and the principle of indirect effect, it must be interpreted in full conformity the </w:t>
      </w:r>
      <w:r w:rsidR="000707BB">
        <w:t xml:space="preserve">Court of Justice case law.  As elucidated in section III above, the jurisprudence handed down even under the DPD not only clarified that a proper response to a complaint extended to carrying out the </w:t>
      </w:r>
      <w:r w:rsidR="00346EC7">
        <w:t>‘</w:t>
      </w:r>
      <w:r w:rsidR="000707BB">
        <w:t>necessary checks</w:t>
      </w:r>
      <w:r w:rsidR="00346EC7">
        <w:t>’</w:t>
      </w:r>
      <w:r w:rsidR="000707BB">
        <w:t xml:space="preserve"> but also, for example, to </w:t>
      </w:r>
      <w:r w:rsidR="00346EC7">
        <w:t>‘</w:t>
      </w:r>
      <w:r w:rsidR="000707BB">
        <w:t>order[ing] the controller to take specific measures accordingly</w:t>
      </w:r>
      <w:r w:rsidR="00346EC7">
        <w:t>’</w:t>
      </w:r>
      <w:r w:rsidR="00430F97">
        <w:t>.</w:t>
      </w:r>
      <w:r w:rsidR="000707BB">
        <w:rPr>
          <w:rStyle w:val="FootnoteReference"/>
        </w:rPr>
        <w:footnoteReference w:id="66"/>
      </w:r>
      <w:r w:rsidR="000707BB">
        <w:t xml:space="preserve">  Whether that will indeed be </w:t>
      </w:r>
      <w:r w:rsidR="000707BB">
        <w:rPr>
          <w:rFonts w:cstheme="minorHAnsi"/>
        </w:rPr>
        <w:t xml:space="preserve">‘appropriate’ must be assessed in light of the role and resource constraints of the ICO as a public regulator.  It is not enough to simply point to an infraction of data protection by a controller.  At the same time, however, recital 148 and article 83(1) GDPR </w:t>
      </w:r>
      <w:r w:rsidR="000C16FD">
        <w:rPr>
          <w:rFonts w:cstheme="minorHAnsi"/>
        </w:rPr>
        <w:t xml:space="preserve">clearly </w:t>
      </w:r>
      <w:r w:rsidR="000707BB">
        <w:rPr>
          <w:rFonts w:cstheme="minorHAnsi"/>
        </w:rPr>
        <w:t xml:space="preserve">establish a presumption that a DPA will issue effective, proportionate and dissuasive fines or at least take formal corrective action once cognisant of a significant infringement of data </w:t>
      </w:r>
      <w:r w:rsidR="000707BB">
        <w:rPr>
          <w:rFonts w:cstheme="minorHAnsi"/>
        </w:rPr>
        <w:lastRenderedPageBreak/>
        <w:t>protection</w:t>
      </w:r>
      <w:r w:rsidR="00316DB9">
        <w:rPr>
          <w:rFonts w:cstheme="minorHAnsi"/>
        </w:rPr>
        <w:t xml:space="preserve"> law</w:t>
      </w:r>
      <w:r w:rsidR="00312D3B">
        <w:rPr>
          <w:rFonts w:cstheme="minorHAnsi"/>
        </w:rPr>
        <w:t xml:space="preserve">.  </w:t>
      </w:r>
      <w:r w:rsidR="000C16FD">
        <w:rPr>
          <w:rFonts w:cstheme="minorHAnsi"/>
        </w:rPr>
        <w:t xml:space="preserve">Moreover, the Court of Justice in </w:t>
      </w:r>
      <w:r w:rsidR="000C16FD" w:rsidRPr="000C16FD">
        <w:rPr>
          <w:rFonts w:cstheme="minorHAnsi"/>
          <w:i/>
          <w:iCs/>
        </w:rPr>
        <w:t>Schrems II</w:t>
      </w:r>
      <w:r w:rsidR="000C16FD">
        <w:rPr>
          <w:rFonts w:cstheme="minorHAnsi"/>
        </w:rPr>
        <w:t xml:space="preserve"> </w:t>
      </w:r>
      <w:r w:rsidR="005B16CE">
        <w:rPr>
          <w:rFonts w:cstheme="minorHAnsi"/>
        </w:rPr>
        <w:t xml:space="preserve">went even further in </w:t>
      </w:r>
      <w:r w:rsidR="000C16FD">
        <w:rPr>
          <w:rFonts w:cstheme="minorHAnsi"/>
        </w:rPr>
        <w:t xml:space="preserve">ruling that </w:t>
      </w:r>
      <w:r w:rsidR="0087256C">
        <w:rPr>
          <w:rFonts w:cstheme="minorHAnsi"/>
        </w:rPr>
        <w:t xml:space="preserve">a DPA was apparently always required </w:t>
      </w:r>
      <w:r w:rsidR="0018033F">
        <w:rPr>
          <w:rFonts w:cstheme="minorHAnsi"/>
        </w:rPr>
        <w:t xml:space="preserve">act </w:t>
      </w:r>
      <w:r w:rsidR="00346EC7">
        <w:rPr>
          <w:rFonts w:cstheme="minorHAnsi"/>
        </w:rPr>
        <w:t>‘</w:t>
      </w:r>
      <w:r w:rsidR="0087256C">
        <w:rPr>
          <w:rFonts w:cstheme="minorHAnsi"/>
        </w:rPr>
        <w:t>to suspend or prohibit a [continuing] transfer of personal data</w:t>
      </w:r>
      <w:r w:rsidR="00346EC7">
        <w:rPr>
          <w:rFonts w:cstheme="minorHAnsi"/>
        </w:rPr>
        <w:t>’</w:t>
      </w:r>
      <w:r w:rsidR="005B16CE">
        <w:rPr>
          <w:rStyle w:val="FootnoteReference"/>
          <w:rFonts w:cstheme="minorHAnsi"/>
        </w:rPr>
        <w:footnoteReference w:id="67"/>
      </w:r>
      <w:r w:rsidR="0087256C">
        <w:rPr>
          <w:rFonts w:cstheme="minorHAnsi"/>
        </w:rPr>
        <w:t xml:space="preserve"> overseas when</w:t>
      </w:r>
      <w:r w:rsidR="006963CC">
        <w:rPr>
          <w:rFonts w:cstheme="minorHAnsi"/>
        </w:rPr>
        <w:t>ever</w:t>
      </w:r>
      <w:r w:rsidR="0087256C">
        <w:rPr>
          <w:rFonts w:cstheme="minorHAnsi"/>
        </w:rPr>
        <w:t xml:space="preserve"> </w:t>
      </w:r>
      <w:r w:rsidR="0018033F">
        <w:rPr>
          <w:rFonts w:cstheme="minorHAnsi"/>
        </w:rPr>
        <w:t xml:space="preserve">such a transfer </w:t>
      </w:r>
      <w:r w:rsidR="006963CC">
        <w:rPr>
          <w:rFonts w:cstheme="minorHAnsi"/>
        </w:rPr>
        <w:t>was found to be un</w:t>
      </w:r>
      <w:r w:rsidR="0018033F">
        <w:rPr>
          <w:rFonts w:cstheme="minorHAnsi"/>
        </w:rPr>
        <w:t>lawful under the data protection framework.</w:t>
      </w:r>
      <w:r w:rsidR="00DE0EE8">
        <w:rPr>
          <w:rFonts w:cstheme="minorHAnsi"/>
        </w:rPr>
        <w:t xml:space="preserve">  These </w:t>
      </w:r>
      <w:r w:rsidR="00E40FD1">
        <w:rPr>
          <w:rFonts w:cstheme="minorHAnsi"/>
        </w:rPr>
        <w:t xml:space="preserve">important </w:t>
      </w:r>
      <w:r w:rsidR="00DE0EE8">
        <w:rPr>
          <w:rFonts w:cstheme="minorHAnsi"/>
        </w:rPr>
        <w:t xml:space="preserve">decisions, which all seek to police the substantive conduct of </w:t>
      </w:r>
      <w:r w:rsidR="008509BC">
        <w:rPr>
          <w:rFonts w:cstheme="minorHAnsi"/>
        </w:rPr>
        <w:t>DPAs</w:t>
      </w:r>
      <w:r w:rsidR="00CA4243">
        <w:rPr>
          <w:rFonts w:cstheme="minorHAnsi"/>
        </w:rPr>
        <w:t xml:space="preserve"> when responding to data subject complaints</w:t>
      </w:r>
      <w:r w:rsidR="008509BC">
        <w:rPr>
          <w:rFonts w:cstheme="minorHAnsi"/>
        </w:rPr>
        <w:t>,</w:t>
      </w:r>
      <w:r w:rsidR="00CA4243">
        <w:rPr>
          <w:rStyle w:val="FootnoteReference"/>
          <w:rFonts w:cstheme="minorHAnsi"/>
        </w:rPr>
        <w:footnoteReference w:id="68"/>
      </w:r>
      <w:r w:rsidR="008509BC">
        <w:rPr>
          <w:rFonts w:cstheme="minorHAnsi"/>
        </w:rPr>
        <w:t xml:space="preserve"> powerfully highlight that the </w:t>
      </w:r>
      <w:r w:rsidR="00E40FD1">
        <w:rPr>
          <w:rFonts w:cstheme="minorHAnsi"/>
        </w:rPr>
        <w:t xml:space="preserve">understanding </w:t>
      </w:r>
      <w:r w:rsidR="008509BC">
        <w:rPr>
          <w:rFonts w:cstheme="minorHAnsi"/>
        </w:rPr>
        <w:t xml:space="preserve">in </w:t>
      </w:r>
      <w:r w:rsidR="00E40FD1" w:rsidRPr="0027335E">
        <w:rPr>
          <w:rFonts w:cstheme="minorHAnsi"/>
          <w:i/>
          <w:iCs/>
        </w:rPr>
        <w:t>Scranage</w:t>
      </w:r>
      <w:r w:rsidR="00E40FD1">
        <w:rPr>
          <w:rFonts w:cstheme="minorHAnsi"/>
        </w:rPr>
        <w:t xml:space="preserve"> that the </w:t>
      </w:r>
      <w:r w:rsidR="00316DB9">
        <w:rPr>
          <w:rFonts w:cstheme="minorHAnsi"/>
        </w:rPr>
        <w:t>‘</w:t>
      </w:r>
      <w:r w:rsidR="00E40FD1">
        <w:rPr>
          <w:rFonts w:cstheme="minorHAnsi"/>
        </w:rPr>
        <w:t>right to an effective judicial remedy against a supervisory authority</w:t>
      </w:r>
      <w:r w:rsidR="00316DB9">
        <w:rPr>
          <w:rFonts w:cstheme="minorHAnsi"/>
        </w:rPr>
        <w:t>’</w:t>
      </w:r>
      <w:r w:rsidR="00E40FD1">
        <w:rPr>
          <w:rFonts w:cstheme="minorHAnsi"/>
        </w:rPr>
        <w:t xml:space="preserve"> </w:t>
      </w:r>
      <w:r w:rsidR="005040C5">
        <w:rPr>
          <w:rFonts w:cstheme="minorHAnsi"/>
        </w:rPr>
        <w:t xml:space="preserve">spoken about in Article 78 GDPR cannot merely be confined to </w:t>
      </w:r>
      <w:r w:rsidR="00352EB3">
        <w:rPr>
          <w:rFonts w:cstheme="minorHAnsi"/>
        </w:rPr>
        <w:t>merely procedural matters.</w:t>
      </w:r>
    </w:p>
    <w:p w14:paraId="4675E417" w14:textId="32906C7B" w:rsidR="000707BB" w:rsidRDefault="000707BB" w:rsidP="00F43BDE">
      <w:pPr>
        <w:rPr>
          <w:rFonts w:cstheme="minorHAnsi"/>
        </w:rPr>
      </w:pPr>
      <w:r>
        <w:rPr>
          <w:rFonts w:cstheme="minorHAnsi"/>
        </w:rPr>
        <w:tab/>
      </w:r>
      <w:r w:rsidR="00455E49">
        <w:rPr>
          <w:rFonts w:cstheme="minorHAnsi"/>
        </w:rPr>
        <w:t xml:space="preserve">A purely procedural interpretation of section 166 </w:t>
      </w:r>
      <w:r w:rsidR="00884663">
        <w:rPr>
          <w:rFonts w:cstheme="minorHAnsi"/>
        </w:rPr>
        <w:t xml:space="preserve">would also </w:t>
      </w:r>
      <w:r w:rsidR="00455E49">
        <w:rPr>
          <w:rFonts w:cstheme="minorHAnsi"/>
        </w:rPr>
        <w:t xml:space="preserve">hardly ensure the effectiveness of a system which purports to ensure </w:t>
      </w:r>
      <w:r w:rsidR="00346EC7">
        <w:rPr>
          <w:rFonts w:cstheme="minorHAnsi"/>
        </w:rPr>
        <w:t>‘</w:t>
      </w:r>
      <w:r w:rsidR="00455E49">
        <w:rPr>
          <w:rFonts w:cstheme="minorHAnsi"/>
        </w:rPr>
        <w:t>effective and complete protection of data subjects</w:t>
      </w:r>
      <w:r w:rsidR="00346EC7">
        <w:rPr>
          <w:rFonts w:cstheme="minorHAnsi"/>
        </w:rPr>
        <w:t>’</w:t>
      </w:r>
      <w:r w:rsidR="00455E49">
        <w:rPr>
          <w:rFonts w:cstheme="minorHAnsi"/>
        </w:rPr>
        <w:t>.</w:t>
      </w:r>
      <w:r w:rsidR="00455E49">
        <w:rPr>
          <w:rStyle w:val="FootnoteReference"/>
          <w:rFonts w:cstheme="minorHAnsi"/>
        </w:rPr>
        <w:footnoteReference w:id="69"/>
      </w:r>
      <w:r w:rsidR="00455E49">
        <w:rPr>
          <w:rFonts w:cstheme="minorHAnsi"/>
        </w:rPr>
        <w:t xml:space="preserve">  </w:t>
      </w:r>
      <w:r w:rsidR="00884663">
        <w:rPr>
          <w:rFonts w:cstheme="minorHAnsi"/>
        </w:rPr>
        <w:t xml:space="preserve">Notwithstanding this not being addressed in the reasoning in </w:t>
      </w:r>
      <w:r w:rsidR="00884663" w:rsidRPr="0027335E">
        <w:rPr>
          <w:rFonts w:cstheme="minorHAnsi"/>
          <w:i/>
          <w:iCs/>
        </w:rPr>
        <w:t>Scranage</w:t>
      </w:r>
      <w:r w:rsidR="00884663">
        <w:rPr>
          <w:rFonts w:cstheme="minorHAnsi"/>
        </w:rPr>
        <w:t xml:space="preserve">, </w:t>
      </w:r>
      <w:r w:rsidR="00455E49">
        <w:rPr>
          <w:rFonts w:cstheme="minorHAnsi"/>
        </w:rPr>
        <w:t xml:space="preserve">individuals would </w:t>
      </w:r>
      <w:r w:rsidR="00A74E3C">
        <w:rPr>
          <w:rFonts w:cstheme="minorHAnsi"/>
        </w:rPr>
        <w:t xml:space="preserve">presumably </w:t>
      </w:r>
      <w:r w:rsidR="00455E49">
        <w:rPr>
          <w:rFonts w:cstheme="minorHAnsi"/>
        </w:rPr>
        <w:t xml:space="preserve">retain a </w:t>
      </w:r>
      <w:r w:rsidR="00B14CF0">
        <w:rPr>
          <w:rFonts w:cstheme="minorHAnsi"/>
        </w:rPr>
        <w:t xml:space="preserve">limited ability to apply for judicial review of the ICO on the grounds of legality and reasonableness.  However, not surprisingly given the financial, time and other resources it requires, this possibility has proved anything but effective in practice.  Indeed, it has not </w:t>
      </w:r>
      <w:r w:rsidR="00877551">
        <w:rPr>
          <w:rFonts w:cstheme="minorHAnsi"/>
        </w:rPr>
        <w:t xml:space="preserve">proved </w:t>
      </w:r>
      <w:r w:rsidR="00B14CF0">
        <w:rPr>
          <w:rFonts w:cstheme="minorHAnsi"/>
        </w:rPr>
        <w:t xml:space="preserve">possible to locate a single case during the DPD-era where a data subject has been able to mount a full judicial review case against the Commissioner.  Such a narrow interpretation would also be difficult to square with the standard of equivalence, another important principle within EU law.  </w:t>
      </w:r>
      <w:r w:rsidR="00953445">
        <w:rPr>
          <w:rFonts w:cstheme="minorHAnsi"/>
        </w:rPr>
        <w:t xml:space="preserve">Most obviously, formal ICO decisions which </w:t>
      </w:r>
      <w:r w:rsidR="009060D9">
        <w:rPr>
          <w:rFonts w:cstheme="minorHAnsi"/>
        </w:rPr>
        <w:t xml:space="preserve">are </w:t>
      </w:r>
      <w:r w:rsidR="00953445">
        <w:rPr>
          <w:rFonts w:cstheme="minorHAnsi"/>
        </w:rPr>
        <w:t>dispute</w:t>
      </w:r>
      <w:r w:rsidR="000B21E0">
        <w:rPr>
          <w:rFonts w:cstheme="minorHAnsi"/>
        </w:rPr>
        <w:t>d</w:t>
      </w:r>
      <w:r w:rsidR="00953445">
        <w:rPr>
          <w:rFonts w:cstheme="minorHAnsi"/>
        </w:rPr>
        <w:t xml:space="preserve"> by a controller </w:t>
      </w:r>
      <w:r w:rsidR="000B21E0">
        <w:rPr>
          <w:rFonts w:cstheme="minorHAnsi"/>
        </w:rPr>
        <w:t xml:space="preserve">or processor </w:t>
      </w:r>
      <w:r w:rsidR="00953445">
        <w:rPr>
          <w:rFonts w:cstheme="minorHAnsi"/>
        </w:rPr>
        <w:t xml:space="preserve">rather than a data subject </w:t>
      </w:r>
      <w:r w:rsidR="009060D9">
        <w:rPr>
          <w:rFonts w:cstheme="minorHAnsi"/>
        </w:rPr>
        <w:t xml:space="preserve">can </w:t>
      </w:r>
      <w:r w:rsidR="00953445">
        <w:rPr>
          <w:rFonts w:cstheme="minorHAnsi"/>
        </w:rPr>
        <w:t xml:space="preserve">generally </w:t>
      </w:r>
      <w:r w:rsidR="009060D9">
        <w:rPr>
          <w:rFonts w:cstheme="minorHAnsi"/>
        </w:rPr>
        <w:t xml:space="preserve">be appealed </w:t>
      </w:r>
      <w:r w:rsidR="000B21E0">
        <w:rPr>
          <w:rFonts w:cstheme="minorHAnsi"/>
        </w:rPr>
        <w:t>to the FTT,</w:t>
      </w:r>
      <w:r w:rsidR="000B21E0">
        <w:rPr>
          <w:rStyle w:val="FootnoteReference"/>
          <w:rFonts w:cstheme="minorHAnsi"/>
        </w:rPr>
        <w:footnoteReference w:id="70"/>
      </w:r>
      <w:r w:rsidR="000B21E0">
        <w:rPr>
          <w:rFonts w:cstheme="minorHAnsi"/>
        </w:rPr>
        <w:t xml:space="preserve"> including in areas which may fall outside the scope of EU law.</w:t>
      </w:r>
      <w:r w:rsidR="000B21E0">
        <w:rPr>
          <w:rStyle w:val="FootnoteReference"/>
          <w:rFonts w:cstheme="minorHAnsi"/>
        </w:rPr>
        <w:footnoteReference w:id="71"/>
      </w:r>
      <w:r w:rsidR="009060D9">
        <w:rPr>
          <w:rFonts w:cstheme="minorHAnsi"/>
        </w:rPr>
        <w:t xml:space="preserve">  Moreover, in the related area of freedom of information law, not only the public authority but also the complainant may also appeal </w:t>
      </w:r>
      <w:r w:rsidR="00B04C88">
        <w:rPr>
          <w:rFonts w:cstheme="minorHAnsi"/>
        </w:rPr>
        <w:t xml:space="preserve">to the FTT as regards </w:t>
      </w:r>
      <w:r w:rsidR="009060D9">
        <w:rPr>
          <w:rFonts w:cstheme="minorHAnsi"/>
        </w:rPr>
        <w:t>ICO decision</w:t>
      </w:r>
      <w:r w:rsidR="00B04C88">
        <w:rPr>
          <w:rFonts w:cstheme="minorHAnsi"/>
        </w:rPr>
        <w:t xml:space="preserve"> which either allow </w:t>
      </w:r>
      <w:r w:rsidR="009060D9">
        <w:rPr>
          <w:rFonts w:cstheme="minorHAnsi"/>
        </w:rPr>
        <w:t xml:space="preserve">or </w:t>
      </w:r>
      <w:r w:rsidR="00B04C88">
        <w:rPr>
          <w:rFonts w:cstheme="minorHAnsi"/>
        </w:rPr>
        <w:t xml:space="preserve">deny </w:t>
      </w:r>
      <w:r w:rsidR="009060D9">
        <w:rPr>
          <w:rFonts w:cstheme="minorHAnsi"/>
        </w:rPr>
        <w:t xml:space="preserve">access </w:t>
      </w:r>
      <w:r w:rsidR="00B04C88">
        <w:rPr>
          <w:rFonts w:cstheme="minorHAnsi"/>
        </w:rPr>
        <w:t>to information.</w:t>
      </w:r>
      <w:r w:rsidR="009060D9">
        <w:rPr>
          <w:rStyle w:val="FootnoteReference"/>
          <w:rFonts w:cstheme="minorHAnsi"/>
        </w:rPr>
        <w:footnoteReference w:id="72"/>
      </w:r>
    </w:p>
    <w:p w14:paraId="5959D761" w14:textId="29F53326" w:rsidR="00FB03C5" w:rsidRPr="00356FA1" w:rsidRDefault="009060D9" w:rsidP="0038438C">
      <w:r>
        <w:rPr>
          <w:rFonts w:cstheme="minorHAnsi"/>
        </w:rPr>
        <w:tab/>
        <w:t xml:space="preserve">Justice </w:t>
      </w:r>
      <w:r>
        <w:t xml:space="preserve">Wickeley </w:t>
      </w:r>
      <w:r w:rsidR="006836CB">
        <w:t xml:space="preserve">in </w:t>
      </w:r>
      <w:r w:rsidR="006836CB" w:rsidRPr="0027335E">
        <w:rPr>
          <w:i/>
          <w:iCs/>
        </w:rPr>
        <w:t>Leighton</w:t>
      </w:r>
      <w:r w:rsidR="006836CB">
        <w:t xml:space="preserve"> </w:t>
      </w:r>
      <w:r w:rsidR="008831B2">
        <w:t xml:space="preserve">also argued that </w:t>
      </w:r>
      <w:r w:rsidR="00B1295D">
        <w:t xml:space="preserve">a broader </w:t>
      </w:r>
      <w:r w:rsidR="008831B2">
        <w:t xml:space="preserve">interpretation </w:t>
      </w:r>
      <w:r w:rsidR="00B1295D">
        <w:t xml:space="preserve">of section 166 </w:t>
      </w:r>
      <w:r w:rsidR="00316DB9">
        <w:t xml:space="preserve">UK DPA 2018 </w:t>
      </w:r>
      <w:r w:rsidR="00B1295D">
        <w:t xml:space="preserve">would result in </w:t>
      </w:r>
      <w:r>
        <w:t xml:space="preserve">jurisdictional confusion with the civil courts.  However, this seriously </w:t>
      </w:r>
      <w:r w:rsidR="002E51F6">
        <w:t>misunderstands</w:t>
      </w:r>
      <w:r>
        <w:t xml:space="preserve"> what a substantive as well as procedural understanding of section 166 would amount </w:t>
      </w:r>
      <w:r w:rsidR="00DE0EE8">
        <w:t>to</w:t>
      </w:r>
      <w:r>
        <w:t xml:space="preserve">.  It would not provide a data subject </w:t>
      </w:r>
      <w:r w:rsidR="006B2599">
        <w:t xml:space="preserve">with </w:t>
      </w:r>
      <w:r>
        <w:t>a remedy for any and all violations of data protection rights by a controller (or processor).  That is a matter which clearly fall</w:t>
      </w:r>
      <w:r w:rsidR="00EC6FD9">
        <w:t>s</w:t>
      </w:r>
      <w:r>
        <w:t xml:space="preserve"> within the jurisdiction of the civil courts.  Rather what such an understanding of section 166 would ensure is Tribunal oversight </w:t>
      </w:r>
      <w:r w:rsidR="002C5E7D">
        <w:t xml:space="preserve">to ensure that </w:t>
      </w:r>
      <w:r w:rsidR="00403535">
        <w:t xml:space="preserve">the entirety of the ICO’s response to a particular data subject’s complaint </w:t>
      </w:r>
      <w:r w:rsidR="002C5E7D">
        <w:t xml:space="preserve">had </w:t>
      </w:r>
      <w:r w:rsidR="00403535">
        <w:t xml:space="preserve">been </w:t>
      </w:r>
      <w:r w:rsidR="00346EC7">
        <w:t>‘</w:t>
      </w:r>
      <w:r w:rsidR="00403535">
        <w:t>appropriate</w:t>
      </w:r>
      <w:r w:rsidR="00346EC7">
        <w:t>’</w:t>
      </w:r>
      <w:r w:rsidR="00403535">
        <w:t>.</w:t>
      </w:r>
      <w:r w:rsidR="00403535">
        <w:rPr>
          <w:rStyle w:val="FootnoteReference"/>
        </w:rPr>
        <w:footnoteReference w:id="73"/>
      </w:r>
      <w:r w:rsidR="00403535">
        <w:t xml:space="preserve">  That standard would be assessed as a matter of public not private law and in light of the specific tasks, powers and resources available to the ICO as a data protection regulator.  The dualistic nature of supervision through both the civil courts and the DPA is baked into the entire fabric of European data protection</w:t>
      </w:r>
      <w:r w:rsidR="001642E1">
        <w:t xml:space="preserve"> law</w:t>
      </w:r>
      <w:r w:rsidR="00403535">
        <w:t xml:space="preserve">, which sees DPAs an </w:t>
      </w:r>
      <w:r w:rsidR="00346EC7">
        <w:t>‘</w:t>
      </w:r>
      <w:r w:rsidR="00403535">
        <w:t>essential component of the protection of natural persons</w:t>
      </w:r>
      <w:r w:rsidR="00346EC7">
        <w:t>’</w:t>
      </w:r>
      <w:r w:rsidR="00403535">
        <w:rPr>
          <w:rStyle w:val="FootnoteReference"/>
        </w:rPr>
        <w:footnoteReference w:id="74"/>
      </w:r>
      <w:r w:rsidR="00E8516E">
        <w:t xml:space="preserve"> sitting alongside the ordinary civil law.  Providing </w:t>
      </w:r>
      <w:r w:rsidR="00E8516E">
        <w:lastRenderedPageBreak/>
        <w:t xml:space="preserve">a legal mechanism to ensure that a DPA exercise its tasks appropriately can only be seen as </w:t>
      </w:r>
      <w:r w:rsidR="00B1295D">
        <w:t xml:space="preserve">a </w:t>
      </w:r>
      <w:r w:rsidR="00E8516E">
        <w:t>strengthening</w:t>
      </w:r>
      <w:r w:rsidR="00B1295D">
        <w:t>, as opposed to a confusing, of what is very deliberately a two-pronged system of supervision</w:t>
      </w:r>
      <w:r w:rsidR="00E8516E">
        <w:t xml:space="preserve">.  Such a mechanism </w:t>
      </w:r>
      <w:r w:rsidR="00E8516E" w:rsidRPr="00382956">
        <w:t>would</w:t>
      </w:r>
      <w:r w:rsidR="00E8516E">
        <w:t xml:space="preserve"> </w:t>
      </w:r>
      <w:r w:rsidR="00382956">
        <w:t xml:space="preserve">be much </w:t>
      </w:r>
      <w:r w:rsidR="00E8516E">
        <w:t xml:space="preserve">more similar to </w:t>
      </w:r>
      <w:r w:rsidR="00382956">
        <w:t>the jurisdiction which</w:t>
      </w:r>
      <w:r w:rsidR="00E8516E">
        <w:t xml:space="preserve">, at least in theory, </w:t>
      </w:r>
      <w:r w:rsidR="00382956">
        <w:t xml:space="preserve">is otherwise exercised by the </w:t>
      </w:r>
      <w:r w:rsidR="00E8516E">
        <w:t xml:space="preserve">administrative courts </w:t>
      </w:r>
      <w:r w:rsidR="00382956">
        <w:t xml:space="preserve">through </w:t>
      </w:r>
      <w:r w:rsidR="00E8516E">
        <w:t xml:space="preserve">judicial review.  However, that </w:t>
      </w:r>
      <w:r w:rsidR="00291458">
        <w:t xml:space="preserve">potential </w:t>
      </w:r>
      <w:r w:rsidR="00E8516E">
        <w:t xml:space="preserve">jurisdictional </w:t>
      </w:r>
      <w:r w:rsidR="00291458">
        <w:t xml:space="preserve">overlap </w:t>
      </w:r>
      <w:r w:rsidR="00F91A33">
        <w:t xml:space="preserve">could </w:t>
      </w:r>
      <w:r w:rsidR="00E8516E">
        <w:t xml:space="preserve">clearly be </w:t>
      </w:r>
      <w:r w:rsidR="00F91A33">
        <w:t xml:space="preserve">reconciled </w:t>
      </w:r>
      <w:r w:rsidR="00E8516E">
        <w:t xml:space="preserve">through the general legal principle that, </w:t>
      </w:r>
      <w:r w:rsidR="00A26EC4">
        <w:t>as a remedy of last resort</w:t>
      </w:r>
      <w:r w:rsidR="00E8516E">
        <w:t xml:space="preserve">, </w:t>
      </w:r>
      <w:r w:rsidR="00FB03C5">
        <w:t xml:space="preserve">judicial review will not be available where there is another means of legal redress.  Indeed, the situation here would be precisely the same </w:t>
      </w:r>
      <w:r w:rsidR="00FB03C5" w:rsidRPr="00356FA1">
        <w:t xml:space="preserve">as under the </w:t>
      </w:r>
      <w:r w:rsidR="00356FA1" w:rsidRPr="0038438C">
        <w:t xml:space="preserve">UK </w:t>
      </w:r>
      <w:r w:rsidR="00FB03C5" w:rsidRPr="00356FA1">
        <w:t xml:space="preserve">Freedom of Information Act </w:t>
      </w:r>
      <w:r w:rsidR="00356FA1" w:rsidRPr="00356FA1">
        <w:t>2000.</w:t>
      </w:r>
      <w:r w:rsidR="00FB03C5" w:rsidRPr="00356FA1">
        <w:rPr>
          <w:rStyle w:val="FootnoteReference"/>
        </w:rPr>
        <w:footnoteReference w:id="75"/>
      </w:r>
    </w:p>
    <w:p w14:paraId="29D46AE6" w14:textId="7A1A43A4" w:rsidR="00170561" w:rsidRPr="00F13912" w:rsidRDefault="00170561" w:rsidP="009412F4">
      <w:r w:rsidRPr="00356FA1">
        <w:tab/>
        <w:t xml:space="preserve">The </w:t>
      </w:r>
      <w:r w:rsidR="005E4CD7" w:rsidRPr="00356FA1">
        <w:t xml:space="preserve">UK </w:t>
      </w:r>
      <w:r w:rsidRPr="00356FA1">
        <w:t xml:space="preserve">ICO is likely to </w:t>
      </w:r>
      <w:r w:rsidR="00BE2E58" w:rsidRPr="00356FA1">
        <w:t xml:space="preserve">strongly resist </w:t>
      </w:r>
      <w:r w:rsidR="005E4CD7" w:rsidRPr="00356FA1">
        <w:t xml:space="preserve">the application of </w:t>
      </w:r>
      <w:r w:rsidR="00BE2E58" w:rsidRPr="00356FA1">
        <w:t xml:space="preserve">an accountability </w:t>
      </w:r>
      <w:r w:rsidRPr="00356FA1">
        <w:t>framework</w:t>
      </w:r>
      <w:r w:rsidR="005E4CD7" w:rsidRPr="00356FA1">
        <w:t xml:space="preserve"> as mapped out above</w:t>
      </w:r>
      <w:r w:rsidRPr="00356FA1">
        <w:t xml:space="preserve">.  </w:t>
      </w:r>
      <w:r w:rsidR="0048337B" w:rsidRPr="00356FA1">
        <w:t xml:space="preserve">Such a </w:t>
      </w:r>
      <w:r w:rsidR="005E4CD7" w:rsidRPr="00356FA1">
        <w:t>resistance would be understandable</w:t>
      </w:r>
      <w:r w:rsidR="005E4CD7">
        <w:t xml:space="preserve"> given the ICO’s (and indeed many other European DPA’s) </w:t>
      </w:r>
      <w:r w:rsidRPr="00F13912">
        <w:t xml:space="preserve">highly discretionary culture that </w:t>
      </w:r>
      <w:r w:rsidR="00BE2E58" w:rsidRPr="00F13912">
        <w:t xml:space="preserve">(as seen above) </w:t>
      </w:r>
      <w:r w:rsidR="005E4CD7">
        <w:t xml:space="preserve">has sometimes resulted in the abandonment of </w:t>
      </w:r>
      <w:r w:rsidRPr="00F13912">
        <w:t xml:space="preserve">even the pretence </w:t>
      </w:r>
      <w:r w:rsidR="002950B2">
        <w:t xml:space="preserve">of </w:t>
      </w:r>
      <w:r w:rsidRPr="00F13912">
        <w:t>a comprehensive approach to the defence of data subject’s rights</w:t>
      </w:r>
      <w:r w:rsidR="005E4CD7">
        <w:t xml:space="preserve">.  </w:t>
      </w:r>
      <w:r w:rsidRPr="00F13912">
        <w:t xml:space="preserve"> </w:t>
      </w:r>
      <w:r w:rsidR="005E4CD7">
        <w:t xml:space="preserve">However, </w:t>
      </w:r>
      <w:r w:rsidR="00136695">
        <w:t xml:space="preserve">for at least three </w:t>
      </w:r>
      <w:r w:rsidR="00EC6FD9">
        <w:t xml:space="preserve">important </w:t>
      </w:r>
      <w:r w:rsidR="00136695">
        <w:t xml:space="preserve">reasons, such resistance should be subject to challenge.  </w:t>
      </w:r>
      <w:r w:rsidR="00EC6FD9">
        <w:t>Firstly</w:t>
      </w:r>
      <w:r w:rsidR="00136695">
        <w:t xml:space="preserve">, it is clear that the </w:t>
      </w:r>
      <w:r w:rsidR="00346EC7">
        <w:t>‘</w:t>
      </w:r>
      <w:r w:rsidR="005E4CD7" w:rsidRPr="00F13912">
        <w:t>selective</w:t>
      </w:r>
      <w:r w:rsidR="00346EC7">
        <w:t>’</w:t>
      </w:r>
      <w:r w:rsidR="005E4CD7" w:rsidRPr="00F13912">
        <w:rPr>
          <w:rStyle w:val="FootnoteReference"/>
        </w:rPr>
        <w:footnoteReference w:id="76"/>
      </w:r>
      <w:r w:rsidR="005E4CD7">
        <w:t xml:space="preserve"> and discretionary </w:t>
      </w:r>
      <w:r w:rsidR="00136695">
        <w:t xml:space="preserve">regulatory </w:t>
      </w:r>
      <w:r w:rsidRPr="00F13912">
        <w:t xml:space="preserve">approach is </w:t>
      </w:r>
      <w:r w:rsidR="00136695">
        <w:t xml:space="preserve">legally problematic under the </w:t>
      </w:r>
      <w:r w:rsidR="00EC6FD9">
        <w:t xml:space="preserve">EU </w:t>
      </w:r>
      <w:r w:rsidR="00136695">
        <w:t xml:space="preserve">data protection framework, especially as set out in </w:t>
      </w:r>
      <w:r w:rsidR="00BE2E58" w:rsidRPr="00F13912">
        <w:t>the GDPR</w:t>
      </w:r>
      <w:r w:rsidR="002950B2">
        <w:t xml:space="preserve"> and within recent </w:t>
      </w:r>
      <w:r w:rsidR="00EC6FD9">
        <w:t>CJEU</w:t>
      </w:r>
      <w:r w:rsidR="002950B2">
        <w:t xml:space="preserve"> case law</w:t>
      </w:r>
      <w:r w:rsidR="00BE2E58" w:rsidRPr="00F13912">
        <w:t xml:space="preserve">.  </w:t>
      </w:r>
      <w:r w:rsidR="00136695">
        <w:t>Secondly</w:t>
      </w:r>
      <w:r w:rsidR="00BE2E58" w:rsidRPr="00F13912">
        <w:t xml:space="preserve">, it is also an approach that inevitably leads </w:t>
      </w:r>
      <w:r w:rsidR="005E4CD7">
        <w:t xml:space="preserve">to </w:t>
      </w:r>
      <w:r w:rsidR="00BE2E58" w:rsidRPr="00F13912">
        <w:t xml:space="preserve">a lack of sufficient accountability on the part of the </w:t>
      </w:r>
      <w:r w:rsidR="005E4CD7">
        <w:t xml:space="preserve">DPA </w:t>
      </w:r>
      <w:r w:rsidR="00BE2E58" w:rsidRPr="00F13912">
        <w:t xml:space="preserve">and a lack of sufficient empowerment on the part of the data subject.  </w:t>
      </w:r>
      <w:r w:rsidR="00136695">
        <w:t>Finally</w:t>
      </w:r>
      <w:r w:rsidR="005E4CD7">
        <w:t>, u</w:t>
      </w:r>
      <w:r w:rsidR="00107027" w:rsidRPr="00F13912">
        <w:t xml:space="preserve">nder the GDPR, the ICO’s data protection resources have exhibited a significant increase – from roughly £22m </w:t>
      </w:r>
      <w:r w:rsidR="00EC6FD9">
        <w:t xml:space="preserve">(approximately 24m EUR) </w:t>
      </w:r>
      <w:r w:rsidR="00107027" w:rsidRPr="00F13912">
        <w:t>in 2017</w:t>
      </w:r>
      <w:r w:rsidR="007C0C28">
        <w:t>-</w:t>
      </w:r>
      <w:r w:rsidR="00107027" w:rsidRPr="00F13912">
        <w:t xml:space="preserve">18 to </w:t>
      </w:r>
      <w:r w:rsidR="00C34628">
        <w:t>over £</w:t>
      </w:r>
      <w:r w:rsidR="00107027" w:rsidRPr="00F13912">
        <w:t>4</w:t>
      </w:r>
      <w:r w:rsidR="00C34628">
        <w:t>8</w:t>
      </w:r>
      <w:r w:rsidR="00107027" w:rsidRPr="00F13912">
        <w:t xml:space="preserve">m </w:t>
      </w:r>
      <w:r w:rsidR="00EC6FD9">
        <w:t xml:space="preserve">(approximately 45m EUR) </w:t>
      </w:r>
      <w:r w:rsidR="00107027" w:rsidRPr="00F13912">
        <w:t xml:space="preserve">in </w:t>
      </w:r>
      <w:r w:rsidR="00726E69">
        <w:t>2019-20</w:t>
      </w:r>
      <w:r w:rsidR="00107027" w:rsidRPr="00F13912">
        <w:rPr>
          <w:rStyle w:val="FootnoteReference"/>
        </w:rPr>
        <w:footnoteReference w:id="77"/>
      </w:r>
      <w:r w:rsidR="00107027" w:rsidRPr="00F13912">
        <w:t xml:space="preserve"> – and with this co</w:t>
      </w:r>
      <w:r w:rsidR="00136695">
        <w:t xml:space="preserve">mes a greater ability for </w:t>
      </w:r>
      <w:r w:rsidR="005E4CD7">
        <w:t xml:space="preserve">it </w:t>
      </w:r>
      <w:r w:rsidR="00107027" w:rsidRPr="00F13912">
        <w:t xml:space="preserve">to </w:t>
      </w:r>
      <w:r w:rsidR="005E4CD7">
        <w:t xml:space="preserve">truly </w:t>
      </w:r>
      <w:r w:rsidR="00107027" w:rsidRPr="00F13912">
        <w:t>embrace the entirety of its role.  In sum, therefore, t</w:t>
      </w:r>
      <w:r w:rsidR="00BE2E58" w:rsidRPr="00F13912">
        <w:t xml:space="preserve">he </w:t>
      </w:r>
      <w:r w:rsidR="00136695">
        <w:t xml:space="preserve">UK’s </w:t>
      </w:r>
      <w:r w:rsidR="00107027" w:rsidRPr="00F13912">
        <w:t xml:space="preserve">specialist </w:t>
      </w:r>
      <w:r w:rsidR="00BE2E58" w:rsidRPr="00F13912">
        <w:t xml:space="preserve">First-Tier Tribunal (Information Rights) should seize the opportunity of developing this framework of accountability under the new provisions set out in the </w:t>
      </w:r>
      <w:r w:rsidR="00EC6FD9">
        <w:t xml:space="preserve">UK </w:t>
      </w:r>
      <w:r w:rsidR="00BE2E58" w:rsidRPr="00F13912">
        <w:t xml:space="preserve">DPA 2018.  This should not and </w:t>
      </w:r>
      <w:r w:rsidR="005E4CD7">
        <w:t xml:space="preserve">indeed </w:t>
      </w:r>
      <w:r w:rsidR="00BE2E58" w:rsidRPr="00F13912">
        <w:t xml:space="preserve">cannot </w:t>
      </w:r>
      <w:r w:rsidR="005E4CD7">
        <w:t>result in this T</w:t>
      </w:r>
      <w:r w:rsidR="00BE2E58" w:rsidRPr="00F13912">
        <w:t>ribunal either acting as a primary decision-making</w:t>
      </w:r>
      <w:r w:rsidR="00EC6FD9">
        <w:t xml:space="preserve"> body</w:t>
      </w:r>
      <w:r w:rsidR="00BE2E58" w:rsidRPr="00F13912">
        <w:t xml:space="preserve"> or </w:t>
      </w:r>
      <w:r w:rsidR="00BB6ADF">
        <w:t>placing</w:t>
      </w:r>
      <w:r w:rsidR="00BE2E58" w:rsidRPr="00F13912">
        <w:t xml:space="preserve"> unrealistic demands on the ICO.  Instead, i</w:t>
      </w:r>
      <w:r w:rsidR="00107027" w:rsidRPr="00F13912">
        <w:t xml:space="preserve">t will require the ICO to clearly and convincingly justify both its procedural and substantive choices according to the standards set down in </w:t>
      </w:r>
      <w:r w:rsidR="00136695">
        <w:t xml:space="preserve">data protection </w:t>
      </w:r>
      <w:r w:rsidR="00107027" w:rsidRPr="00F13912">
        <w:t>law.</w:t>
      </w:r>
      <w:r w:rsidR="00403535">
        <w:t xml:space="preserve">  </w:t>
      </w:r>
    </w:p>
    <w:p w14:paraId="53E33533" w14:textId="54B24691" w:rsidR="00107027" w:rsidRPr="00F13912" w:rsidRDefault="00107027" w:rsidP="009412F4"/>
    <w:p w14:paraId="5649FDDE" w14:textId="7DF1CDF9" w:rsidR="00107027" w:rsidRPr="00F13912" w:rsidRDefault="00136695" w:rsidP="009412F4">
      <w:pPr>
        <w:rPr>
          <w:b/>
        </w:rPr>
      </w:pPr>
      <w:r>
        <w:rPr>
          <w:b/>
        </w:rPr>
        <w:t xml:space="preserve">VIII.  </w:t>
      </w:r>
      <w:r w:rsidR="00107027" w:rsidRPr="00F13912">
        <w:rPr>
          <w:b/>
        </w:rPr>
        <w:t xml:space="preserve">Conclusions and </w:t>
      </w:r>
      <w:r w:rsidR="00F13912" w:rsidRPr="00F13912">
        <w:rPr>
          <w:b/>
        </w:rPr>
        <w:t xml:space="preserve">Wider </w:t>
      </w:r>
      <w:r w:rsidR="00107027" w:rsidRPr="00F13912">
        <w:rPr>
          <w:b/>
        </w:rPr>
        <w:t>Context</w:t>
      </w:r>
      <w:bookmarkStart w:id="2" w:name="_GoBack"/>
      <w:bookmarkEnd w:id="2"/>
    </w:p>
    <w:p w14:paraId="6FBBD2AC" w14:textId="507CBC8E" w:rsidR="00466F67" w:rsidRDefault="00107027" w:rsidP="00CA7A1A">
      <w:r w:rsidRPr="00F13912">
        <w:tab/>
      </w:r>
      <w:r w:rsidRPr="00356FA1">
        <w:t xml:space="preserve">With </w:t>
      </w:r>
      <w:r w:rsidR="00356FA1" w:rsidRPr="0038438C">
        <w:t xml:space="preserve">continuing public </w:t>
      </w:r>
      <w:r w:rsidR="00356FA1">
        <w:t xml:space="preserve">scepticism </w:t>
      </w:r>
      <w:r w:rsidR="00356FA1" w:rsidRPr="0038438C">
        <w:t xml:space="preserve">over </w:t>
      </w:r>
      <w:r w:rsidRPr="00356FA1">
        <w:t xml:space="preserve">whether the expectations established by the GDPR </w:t>
      </w:r>
      <w:r w:rsidR="001642E1" w:rsidRPr="00356FA1">
        <w:t xml:space="preserve">regarding accountability </w:t>
      </w:r>
      <w:r w:rsidRPr="00356FA1">
        <w:t xml:space="preserve">can </w:t>
      </w:r>
      <w:r w:rsidR="00136695" w:rsidRPr="00356FA1">
        <w:t xml:space="preserve">be </w:t>
      </w:r>
      <w:r w:rsidRPr="00356FA1">
        <w:t>fulfilled, this is a very challenging time</w:t>
      </w:r>
      <w:r w:rsidR="005957AA" w:rsidRPr="00356FA1">
        <w:t xml:space="preserve"> for </w:t>
      </w:r>
      <w:r w:rsidR="001642E1" w:rsidRPr="00356FA1">
        <w:t xml:space="preserve">rights derived from EU </w:t>
      </w:r>
      <w:r w:rsidR="005957AA" w:rsidRPr="00356FA1">
        <w:t>data protection</w:t>
      </w:r>
      <w:r w:rsidR="001642E1">
        <w:t xml:space="preserve"> law</w:t>
      </w:r>
      <w:r w:rsidR="005957AA" w:rsidRPr="00F13912">
        <w:t xml:space="preserve">.  </w:t>
      </w:r>
      <w:r w:rsidR="00356FA1">
        <w:t xml:space="preserve">Given </w:t>
      </w:r>
      <w:r w:rsidR="00390AFE">
        <w:t xml:space="preserve">the myriad problems confronting the GDPR, such </w:t>
      </w:r>
      <w:r w:rsidR="00136695">
        <w:t xml:space="preserve">a fulfilment may </w:t>
      </w:r>
      <w:r w:rsidR="00390AFE">
        <w:t xml:space="preserve">ultimately </w:t>
      </w:r>
      <w:r w:rsidR="00136695">
        <w:t xml:space="preserve">prove </w:t>
      </w:r>
      <w:r w:rsidR="00390AFE">
        <w:t>impossible.</w:t>
      </w:r>
      <w:r w:rsidR="00CA7A1A">
        <w:rPr>
          <w:rStyle w:val="FootnoteReference"/>
        </w:rPr>
        <w:footnoteReference w:id="78"/>
      </w:r>
      <w:r w:rsidR="00390AFE">
        <w:t xml:space="preserve">  </w:t>
      </w:r>
      <w:r w:rsidR="002B4E81">
        <w:t>W</w:t>
      </w:r>
      <w:r w:rsidR="00390AFE">
        <w:t xml:space="preserve">hat is clear is that </w:t>
      </w:r>
      <w:r w:rsidR="00CA7A1A">
        <w:t xml:space="preserve">any </w:t>
      </w:r>
      <w:r w:rsidR="00136695">
        <w:t xml:space="preserve">chance </w:t>
      </w:r>
      <w:r w:rsidR="00CA7A1A">
        <w:t xml:space="preserve">of a positive answer to this question critically depends on ensuring </w:t>
      </w:r>
      <w:r w:rsidR="005957AA" w:rsidRPr="00F13912">
        <w:t xml:space="preserve">that DPAs are genuinely accountable for delivering </w:t>
      </w:r>
      <w:r w:rsidR="00B30E0B">
        <w:t xml:space="preserve">appropriate </w:t>
      </w:r>
      <w:r w:rsidR="005957AA" w:rsidRPr="00F13912">
        <w:t xml:space="preserve">data protection </w:t>
      </w:r>
      <w:r w:rsidR="00B30E0B">
        <w:t xml:space="preserve">supervision </w:t>
      </w:r>
      <w:r w:rsidR="005957AA" w:rsidRPr="00F13912">
        <w:t xml:space="preserve">at a practical level.  </w:t>
      </w:r>
      <w:r w:rsidR="00864A79">
        <w:t xml:space="preserve">These challenges are certainly not unique to the UK.  However, </w:t>
      </w:r>
      <w:r w:rsidR="0079000C">
        <w:t xml:space="preserve">the ICO has developed a particularly </w:t>
      </w:r>
      <w:r w:rsidR="00346EC7">
        <w:t>‘</w:t>
      </w:r>
      <w:r w:rsidR="0079000C">
        <w:t>selective</w:t>
      </w:r>
      <w:r w:rsidR="00346EC7">
        <w:t>’</w:t>
      </w:r>
      <w:r w:rsidR="0080416B">
        <w:rPr>
          <w:rStyle w:val="FootnoteReference"/>
        </w:rPr>
        <w:footnoteReference w:id="79"/>
      </w:r>
      <w:r w:rsidR="0079000C">
        <w:t xml:space="preserve"> and discretionary approach</w:t>
      </w:r>
      <w:r w:rsidR="0080416B">
        <w:t>.</w:t>
      </w:r>
      <w:r w:rsidR="006D678F">
        <w:t xml:space="preserve">  In a potentially important development, </w:t>
      </w:r>
      <w:r w:rsidR="00BF256B">
        <w:t xml:space="preserve">section 166 of the </w:t>
      </w:r>
      <w:r w:rsidR="006D678F">
        <w:t xml:space="preserve">UK </w:t>
      </w:r>
      <w:r w:rsidR="001642E1">
        <w:t>DPA</w:t>
      </w:r>
      <w:r w:rsidR="006D678F">
        <w:t xml:space="preserve"> 2018 </w:t>
      </w:r>
      <w:r w:rsidR="008F6F52">
        <w:t xml:space="preserve">appeared to provide an </w:t>
      </w:r>
      <w:r w:rsidR="008F6F52">
        <w:lastRenderedPageBreak/>
        <w:t xml:space="preserve">important new mechanism of accountability here by enabling data subjects to appeal to the accessible Tribunal system where </w:t>
      </w:r>
      <w:r w:rsidR="00BF256B">
        <w:t xml:space="preserve">they had grounds for believing that the Commissioner had </w:t>
      </w:r>
      <w:r w:rsidR="00346EC7">
        <w:t>‘</w:t>
      </w:r>
      <w:r w:rsidR="00BF256B">
        <w:t>failed to take appropriate steps to respond to the[ir] complaint</w:t>
      </w:r>
      <w:r w:rsidR="00346EC7">
        <w:t>’</w:t>
      </w:r>
      <w:r w:rsidR="00BF256B">
        <w:t>.</w:t>
      </w:r>
      <w:r w:rsidR="00BF256B">
        <w:rPr>
          <w:rStyle w:val="FootnoteReference"/>
        </w:rPr>
        <w:footnoteReference w:id="80"/>
      </w:r>
      <w:r w:rsidR="00BF256B">
        <w:t xml:space="preserve">  Unfortunately, however, both the First-Tier and Upper Tribunal have to date interpreted this provision as an entirely formalistic procedural safeguard.  Such an interpretation denudes it of any real value for data subjects and, if it is maintained, the accountability gap here will certainly remain acute.</w:t>
      </w:r>
    </w:p>
    <w:p w14:paraId="4F93C09B" w14:textId="5C5A7BBC" w:rsidR="00BF256B" w:rsidRDefault="00BF256B" w:rsidP="00CA7A1A">
      <w:r>
        <w:tab/>
        <w:t xml:space="preserve">This </w:t>
      </w:r>
      <w:r w:rsidR="001642E1">
        <w:t xml:space="preserve">report </w:t>
      </w:r>
      <w:r>
        <w:t xml:space="preserve">has argued there is no justification for interpreting the meaning of an appropriate response in this narrow fashion.  Instead, it has argued that this wording, the purpose of data protection, the responsibilities of DPAs as laid down by the CJEU and the principles of effectiveness and equivalence all point to section 166 having </w:t>
      </w:r>
      <w:r w:rsidR="00CE226E">
        <w:t xml:space="preserve">both </w:t>
      </w:r>
      <w:r>
        <w:t xml:space="preserve">substantive and procedural content.  The role of section 166 would remain fundamentally different to that of the civil courts.  In particular, it would not provide data subjects with (even an indirect) remedy for each and every violation of their rights.  Instead, it would provide </w:t>
      </w:r>
      <w:r w:rsidR="0083268D">
        <w:t>an important new mechanism for ensuring that the ICO effectively fulfilled its public law tasks as a statutory DPA.  That could only result in a stronger and more coherent, rather than more confused, system of data protection supervision in the UK.</w:t>
      </w:r>
    </w:p>
    <w:p w14:paraId="2011347B" w14:textId="0C355D76" w:rsidR="005A4509" w:rsidRPr="00F13912" w:rsidRDefault="0083268D" w:rsidP="00CA7A1A">
      <w:r>
        <w:tab/>
        <w:t xml:space="preserve">In light of the culture of data protection </w:t>
      </w:r>
      <w:r w:rsidRPr="00F80750">
        <w:t xml:space="preserve">oversight which has </w:t>
      </w:r>
      <w:r w:rsidR="00356FA1" w:rsidRPr="0038438C">
        <w:t xml:space="preserve">developed </w:t>
      </w:r>
      <w:r w:rsidRPr="00F80750">
        <w:t xml:space="preserve"> in the UK,</w:t>
      </w:r>
      <w:r>
        <w:t xml:space="preserve"> it is not surprising that a richer interpretation of section 166 has been subject to significant resistance from both the ICO and </w:t>
      </w:r>
      <w:r w:rsidR="00015EA1">
        <w:t xml:space="preserve">even </w:t>
      </w:r>
      <w:r>
        <w:t>the Tribunal system itself.  Nevertheless, such resistance remains legally very problematic and is likely to undermine truly effective data protection in the UK.  Moreover, the ICO</w:t>
      </w:r>
      <w:r w:rsidR="00CC534F">
        <w:t xml:space="preserve"> has been granted significantly greater resources for its data protection work in the wake of the GDPR and </w:t>
      </w:r>
      <w:r w:rsidR="00015EA1">
        <w:t xml:space="preserve">with this comes a greater ability for it to truly embrace the entirety of its legal role.  Given this, there is a strong justification for mounting a comprehensively and carefully argued case for alternative approach before the Tribunal.  Should the Tribunal embrace a broad and more generous understanding of section 166, then this new provision could an important exemplar for genuine DPA accountability going forward.  </w:t>
      </w:r>
      <w:r w:rsidR="005957AA" w:rsidRPr="00F13912">
        <w:t xml:space="preserve">In that regard, it is important to note that even after the transition period, </w:t>
      </w:r>
      <w:r w:rsidR="00136695">
        <w:t xml:space="preserve">the UK’s </w:t>
      </w:r>
      <w:r w:rsidR="005957AA" w:rsidRPr="00F13912">
        <w:t xml:space="preserve">Brexit regulations provide for a continuation </w:t>
      </w:r>
      <w:r w:rsidR="00F13912" w:rsidRPr="00F13912">
        <w:t>of both the GDPR (with the notabl</w:t>
      </w:r>
      <w:r w:rsidR="00136695">
        <w:t>e</w:t>
      </w:r>
      <w:r w:rsidR="00F13912" w:rsidRPr="00F13912">
        <w:t xml:space="preserve"> exception of its cooperation and consistency mechanism) and also this order to progress complaints </w:t>
      </w:r>
      <w:r w:rsidR="005E4CD7">
        <w:t>remedy</w:t>
      </w:r>
      <w:r w:rsidR="00F13912" w:rsidRPr="00F13912">
        <w:t>.</w:t>
      </w:r>
      <w:r w:rsidR="00037086">
        <w:rPr>
          <w:rStyle w:val="FootnoteReference"/>
        </w:rPr>
        <w:footnoteReference w:id="81"/>
      </w:r>
      <w:r w:rsidR="00F13912" w:rsidRPr="00F13912">
        <w:t xml:space="preserve">  In sum, therefore, even after </w:t>
      </w:r>
      <w:r w:rsidR="00137A59">
        <w:t>the comp</w:t>
      </w:r>
      <w:r w:rsidR="005A0C5C">
        <w:t>l</w:t>
      </w:r>
      <w:r w:rsidR="00137A59">
        <w:t xml:space="preserve">etion of </w:t>
      </w:r>
      <w:r w:rsidR="00F13912" w:rsidRPr="00F13912">
        <w:t xml:space="preserve">Brexit the UK legal framework </w:t>
      </w:r>
      <w:r w:rsidR="005E4CD7">
        <w:t xml:space="preserve">and this </w:t>
      </w:r>
      <w:r w:rsidR="00136695">
        <w:t xml:space="preserve">innovative </w:t>
      </w:r>
      <w:r w:rsidR="005E4CD7">
        <w:t xml:space="preserve">new legal mechanism </w:t>
      </w:r>
      <w:r w:rsidR="00F13912" w:rsidRPr="00F13912">
        <w:t xml:space="preserve">has an opportunity to provide a potentially useful model of accountability for European data protection </w:t>
      </w:r>
      <w:r w:rsidR="00136695">
        <w:t xml:space="preserve">regulation </w:t>
      </w:r>
      <w:r w:rsidR="00F13912" w:rsidRPr="00F13912">
        <w:t>more broadly.</w:t>
      </w:r>
    </w:p>
    <w:sectPr w:rsidR="005A4509" w:rsidRPr="00F13912">
      <w:footerReference w:type="default" r:id="rId11"/>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069B2715" w16cid:durableId="230DD135"/>
  <w16cid:commentId w16cid:paraId="6E62BB67" w16cid:durableId="230DBD47"/>
  <w16cid:commentId w16cid:paraId="3CA1B46C" w16cid:durableId="230DBF48"/>
  <w16cid:commentId w16cid:paraId="728C4D25" w16cid:durableId="230DC017"/>
  <w16cid:commentId w16cid:paraId="1BEC89E7" w16cid:durableId="230DC598"/>
  <w16cid:commentId w16cid:paraId="74C2B4BD" w16cid:durableId="230DC7E0"/>
  <w16cid:commentId w16cid:paraId="4C1B5F5E" w16cid:durableId="230DCFC3"/>
  <w16cid:commentId w16cid:paraId="54CDC266" w16cid:durableId="23131896"/>
  <w16cid:commentId w16cid:paraId="00F2C58D" w16cid:durableId="230DCFE0"/>
  <w16cid:commentId w16cid:paraId="5A217B03" w16cid:durableId="230DD0A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A091A9" w14:textId="77777777" w:rsidR="0047180F" w:rsidRDefault="0047180F" w:rsidP="00874629">
      <w:pPr>
        <w:spacing w:after="0" w:line="240" w:lineRule="auto"/>
      </w:pPr>
      <w:r>
        <w:separator/>
      </w:r>
    </w:p>
  </w:endnote>
  <w:endnote w:type="continuationSeparator" w:id="0">
    <w:p w14:paraId="77E6E250" w14:textId="77777777" w:rsidR="0047180F" w:rsidRDefault="0047180F" w:rsidP="00874629">
      <w:pPr>
        <w:spacing w:after="0" w:line="240" w:lineRule="auto"/>
      </w:pPr>
      <w:r>
        <w:continuationSeparator/>
      </w:r>
    </w:p>
  </w:endnote>
  <w:endnote w:type="continuationNotice" w:id="1">
    <w:p w14:paraId="616CCB58" w14:textId="77777777" w:rsidR="0047180F" w:rsidRDefault="0047180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6125269"/>
      <w:docPartObj>
        <w:docPartGallery w:val="Page Numbers (Bottom of Page)"/>
        <w:docPartUnique/>
      </w:docPartObj>
    </w:sdtPr>
    <w:sdtEndPr>
      <w:rPr>
        <w:noProof/>
      </w:rPr>
    </w:sdtEndPr>
    <w:sdtContent>
      <w:p w14:paraId="164255D8" w14:textId="694BA1D0" w:rsidR="0055493C" w:rsidRDefault="0055493C">
        <w:pPr>
          <w:pStyle w:val="Footer"/>
          <w:jc w:val="right"/>
        </w:pPr>
        <w:r>
          <w:fldChar w:fldCharType="begin"/>
        </w:r>
        <w:r>
          <w:instrText xml:space="preserve"> PAGE   \* MERGEFORMAT </w:instrText>
        </w:r>
        <w:r>
          <w:fldChar w:fldCharType="separate"/>
        </w:r>
        <w:r w:rsidR="00791310">
          <w:rPr>
            <w:noProof/>
          </w:rPr>
          <w:t>12</w:t>
        </w:r>
        <w:r>
          <w:rPr>
            <w:noProof/>
          </w:rPr>
          <w:fldChar w:fldCharType="end"/>
        </w:r>
      </w:p>
    </w:sdtContent>
  </w:sdt>
  <w:p w14:paraId="59238AA6" w14:textId="77777777" w:rsidR="0055493C" w:rsidRDefault="0055493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30D79B" w14:textId="77777777" w:rsidR="0047180F" w:rsidRDefault="0047180F" w:rsidP="00874629">
      <w:pPr>
        <w:spacing w:after="0" w:line="240" w:lineRule="auto"/>
      </w:pPr>
      <w:r>
        <w:separator/>
      </w:r>
    </w:p>
  </w:footnote>
  <w:footnote w:type="continuationSeparator" w:id="0">
    <w:p w14:paraId="438732FC" w14:textId="77777777" w:rsidR="0047180F" w:rsidRDefault="0047180F" w:rsidP="00874629">
      <w:pPr>
        <w:spacing w:after="0" w:line="240" w:lineRule="auto"/>
      </w:pPr>
      <w:r>
        <w:continuationSeparator/>
      </w:r>
    </w:p>
  </w:footnote>
  <w:footnote w:type="continuationNotice" w:id="1">
    <w:p w14:paraId="235E4CD2" w14:textId="77777777" w:rsidR="0047180F" w:rsidRDefault="0047180F">
      <w:pPr>
        <w:spacing w:after="0" w:line="240" w:lineRule="auto"/>
      </w:pPr>
    </w:p>
  </w:footnote>
  <w:footnote w:id="2">
    <w:p w14:paraId="43EED186" w14:textId="2D6ACEEE" w:rsidR="00E52E2A" w:rsidRDefault="00E52E2A">
      <w:pPr>
        <w:pStyle w:val="FootnoteText"/>
      </w:pPr>
      <w:r>
        <w:rPr>
          <w:rStyle w:val="FootnoteReference"/>
        </w:rPr>
        <w:t>*</w:t>
      </w:r>
      <w:r>
        <w:t xml:space="preserve"> </w:t>
      </w:r>
      <w:r w:rsidR="00185394">
        <w:t xml:space="preserve">David Erdos, Faculty of Law and Trinity Hall, University of Cambridge.  </w:t>
      </w:r>
      <w:r w:rsidR="00821CA7">
        <w:t>For correspondence: &lt;</w:t>
      </w:r>
      <w:hyperlink r:id="rId1" w:history="1">
        <w:r w:rsidR="00821CA7" w:rsidRPr="00821CA7">
          <w:rPr>
            <w:rStyle w:val="Hyperlink"/>
          </w:rPr>
          <w:t>doe20@cam.ac.uk</w:t>
        </w:r>
      </w:hyperlink>
      <w:r w:rsidR="00821CA7">
        <w:t xml:space="preserve">&gt;.  </w:t>
      </w:r>
      <w:r w:rsidR="001854EC">
        <w:t xml:space="preserve">I would like to thank both Jon Baines and Niall </w:t>
      </w:r>
      <w:r w:rsidR="00B14AB3">
        <w:t>Coghlan for their thou</w:t>
      </w:r>
      <w:r w:rsidR="00536C4D">
        <w:t>ghts on the issues discussed in this article.  All understandings and any errors remain my own.</w:t>
      </w:r>
    </w:p>
  </w:footnote>
  <w:footnote w:id="3">
    <w:p w14:paraId="0986F60C" w14:textId="67766E8C" w:rsidR="0083343A" w:rsidRDefault="0083343A">
      <w:pPr>
        <w:pStyle w:val="FootnoteText"/>
      </w:pPr>
      <w:r>
        <w:rPr>
          <w:rStyle w:val="FootnoteReference"/>
        </w:rPr>
        <w:footnoteRef/>
      </w:r>
      <w:r>
        <w:t xml:space="preserve"> </w:t>
      </w:r>
      <w:r w:rsidR="006A2153" w:rsidRPr="006A2153">
        <w:t>Regulation (EU) 2016/679 of the European Parliament and of the Council of 27 April 2016 on the protection of natural persons with regard to the processing of personal data and on the free movement of such data, and repealing Directive 95/46/EC (General Data Protection Regulation)</w:t>
      </w:r>
      <w:r w:rsidR="006A2153">
        <w:t xml:space="preserve"> </w:t>
      </w:r>
      <w:r w:rsidR="0014588B">
        <w:t xml:space="preserve">[2016] </w:t>
      </w:r>
      <w:r w:rsidR="006A2153">
        <w:t>OJ L119</w:t>
      </w:r>
      <w:r w:rsidR="0014588B">
        <w:t>/</w:t>
      </w:r>
      <w:r w:rsidR="003D34F9">
        <w:t>1</w:t>
      </w:r>
      <w:r w:rsidR="006A2153">
        <w:t>.</w:t>
      </w:r>
    </w:p>
  </w:footnote>
  <w:footnote w:id="4">
    <w:p w14:paraId="1394D80B" w14:textId="3830DC2E"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See Paul </w:t>
      </w:r>
      <w:r w:rsidRPr="00F4767F">
        <w:rPr>
          <w:rFonts w:cstheme="minorHAnsi"/>
          <w:color w:val="222222"/>
          <w:shd w:val="clear" w:color="auto" w:fill="FFFFFF"/>
        </w:rPr>
        <w:t xml:space="preserve">De Hert and Vagelis Papakonstantinou, </w:t>
      </w:r>
      <w:r w:rsidR="00346EC7">
        <w:rPr>
          <w:rFonts w:cstheme="minorHAnsi"/>
          <w:color w:val="222222"/>
          <w:shd w:val="clear" w:color="auto" w:fill="FFFFFF"/>
        </w:rPr>
        <w:t>‘</w:t>
      </w:r>
      <w:r w:rsidRPr="00F4767F">
        <w:rPr>
          <w:rFonts w:cstheme="minorHAnsi"/>
          <w:color w:val="222222"/>
          <w:shd w:val="clear" w:color="auto" w:fill="FFFFFF"/>
        </w:rPr>
        <w:t>The new General Data Protection Regulation: Still a sound system for the protection of individuals?</w:t>
      </w:r>
      <w:r w:rsidR="00346EC7">
        <w:rPr>
          <w:rFonts w:cstheme="minorHAnsi"/>
          <w:color w:val="222222"/>
          <w:shd w:val="clear" w:color="auto" w:fill="FFFFFF"/>
        </w:rPr>
        <w:t>’</w:t>
      </w:r>
      <w:r w:rsidRPr="00F4767F">
        <w:rPr>
          <w:rFonts w:cstheme="minorHAnsi"/>
          <w:color w:val="222222"/>
          <w:shd w:val="clear" w:color="auto" w:fill="FFFFFF"/>
        </w:rPr>
        <w:t xml:space="preserve"> </w:t>
      </w:r>
      <w:r w:rsidR="005B6831">
        <w:rPr>
          <w:rFonts w:cstheme="minorHAnsi"/>
          <w:color w:val="222222"/>
          <w:shd w:val="clear" w:color="auto" w:fill="FFFFFF"/>
        </w:rPr>
        <w:t xml:space="preserve">(2016) 32 </w:t>
      </w:r>
      <w:r w:rsidRPr="00F4767F">
        <w:rPr>
          <w:rFonts w:cstheme="minorHAnsi"/>
          <w:i/>
          <w:color w:val="222222"/>
          <w:shd w:val="clear" w:color="auto" w:fill="FFFFFF"/>
        </w:rPr>
        <w:t>Computer Law &amp; Security Review</w:t>
      </w:r>
      <w:r w:rsidRPr="00F4767F">
        <w:rPr>
          <w:rFonts w:cstheme="minorHAnsi"/>
          <w:color w:val="222222"/>
          <w:shd w:val="clear" w:color="auto" w:fill="FFFFFF"/>
        </w:rPr>
        <w:t xml:space="preserve"> 179.</w:t>
      </w:r>
    </w:p>
  </w:footnote>
  <w:footnote w:id="5">
    <w:p w14:paraId="3CB34D7E" w14:textId="53BF1644" w:rsidR="0096533B" w:rsidRDefault="0096533B">
      <w:pPr>
        <w:pStyle w:val="FootnoteText"/>
      </w:pPr>
      <w:r>
        <w:rPr>
          <w:rStyle w:val="FootnoteReference"/>
        </w:rPr>
        <w:footnoteRef/>
      </w:r>
      <w:r>
        <w:t xml:space="preserve"> </w:t>
      </w:r>
      <w:r w:rsidR="00CD3AB9" w:rsidRPr="00CD3AB9">
        <w:t>Directive 95/46/EC of the European Parliament and of the Council of 24 October 1995 on the protection of individuals with regard to the processing of personal data and on the free movement of such data</w:t>
      </w:r>
      <w:r w:rsidR="000A64D3">
        <w:t xml:space="preserve"> </w:t>
      </w:r>
      <w:r w:rsidR="004A5479">
        <w:t xml:space="preserve">[1995] </w:t>
      </w:r>
      <w:r w:rsidR="000A64D3">
        <w:t>OJ L281</w:t>
      </w:r>
      <w:r w:rsidR="003D34F9">
        <w:t>/</w:t>
      </w:r>
      <w:r w:rsidR="004A5479">
        <w:t>31</w:t>
      </w:r>
      <w:r w:rsidR="000A64D3">
        <w:t>.</w:t>
      </w:r>
    </w:p>
  </w:footnote>
  <w:footnote w:id="6">
    <w:p w14:paraId="1D04EA55" w14:textId="26116B9A"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GDPR, </w:t>
      </w:r>
      <w:r w:rsidR="0038451F">
        <w:rPr>
          <w:rFonts w:cstheme="minorHAnsi"/>
        </w:rPr>
        <w:t>art</w:t>
      </w:r>
      <w:r w:rsidRPr="00F4767F">
        <w:rPr>
          <w:rFonts w:cstheme="minorHAnsi"/>
        </w:rPr>
        <w:t xml:space="preserve"> 76.</w:t>
      </w:r>
    </w:p>
  </w:footnote>
  <w:footnote w:id="7">
    <w:p w14:paraId="5790206B" w14:textId="704083B8"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Ibid, recital. 117.</w:t>
      </w:r>
    </w:p>
  </w:footnote>
  <w:footnote w:id="8">
    <w:p w14:paraId="45A1BBDA" w14:textId="6029372A"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Ibid, </w:t>
      </w:r>
      <w:r w:rsidR="0038451F">
        <w:rPr>
          <w:rFonts w:cstheme="minorHAnsi"/>
        </w:rPr>
        <w:t>art</w:t>
      </w:r>
      <w:r w:rsidRPr="00F4767F">
        <w:rPr>
          <w:rFonts w:cstheme="minorHAnsi"/>
        </w:rPr>
        <w:t xml:space="preserve"> 77(1).</w:t>
      </w:r>
    </w:p>
  </w:footnote>
  <w:footnote w:id="9">
    <w:p w14:paraId="13E6E483" w14:textId="4370E31A"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Ibid, </w:t>
      </w:r>
      <w:r w:rsidR="0038451F">
        <w:rPr>
          <w:rFonts w:cstheme="minorHAnsi"/>
        </w:rPr>
        <w:t>art</w:t>
      </w:r>
      <w:r w:rsidRPr="00F4767F">
        <w:rPr>
          <w:rFonts w:cstheme="minorHAnsi"/>
        </w:rPr>
        <w:t xml:space="preserve"> 57(1).</w:t>
      </w:r>
    </w:p>
  </w:footnote>
  <w:footnote w:id="10">
    <w:p w14:paraId="35E69BBB" w14:textId="56D13A0B"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Ibid, </w:t>
      </w:r>
      <w:r w:rsidR="0038451F">
        <w:rPr>
          <w:rFonts w:cstheme="minorHAnsi"/>
        </w:rPr>
        <w:t>art</w:t>
      </w:r>
      <w:r w:rsidRPr="00F4767F">
        <w:rPr>
          <w:rFonts w:cstheme="minorHAnsi"/>
        </w:rPr>
        <w:t xml:space="preserve"> 60-76.  For a recent concerning analysis of this mechanism see Nicholas Vinocur, </w:t>
      </w:r>
      <w:r w:rsidR="00346EC7">
        <w:rPr>
          <w:rFonts w:cstheme="minorHAnsi"/>
        </w:rPr>
        <w:t>‘</w:t>
      </w:r>
      <w:r w:rsidR="00DA0E3F">
        <w:rPr>
          <w:rFonts w:cstheme="minorHAnsi"/>
        </w:rPr>
        <w:t>”</w:t>
      </w:r>
      <w:r w:rsidRPr="00F4767F">
        <w:rPr>
          <w:rFonts w:cstheme="minorHAnsi"/>
        </w:rPr>
        <w:t>We have a huge problem</w:t>
      </w:r>
      <w:r w:rsidR="00DA0E3F">
        <w:rPr>
          <w:rFonts w:cstheme="minorHAnsi"/>
        </w:rPr>
        <w:t>”</w:t>
      </w:r>
      <w:r w:rsidRPr="00F4767F">
        <w:rPr>
          <w:rFonts w:cstheme="minorHAnsi"/>
        </w:rPr>
        <w:t>:  European regulator despairs over lack of enforcement</w:t>
      </w:r>
      <w:r w:rsidR="00346EC7">
        <w:rPr>
          <w:rFonts w:cstheme="minorHAnsi"/>
        </w:rPr>
        <w:t>’</w:t>
      </w:r>
      <w:r w:rsidRPr="00F4767F">
        <w:rPr>
          <w:rFonts w:cstheme="minorHAnsi"/>
        </w:rPr>
        <w:t xml:space="preserve"> </w:t>
      </w:r>
      <w:r w:rsidRPr="00F4767F">
        <w:rPr>
          <w:rFonts w:cstheme="minorHAnsi"/>
          <w:i/>
        </w:rPr>
        <w:t>Politico</w:t>
      </w:r>
      <w:r w:rsidRPr="00F4767F">
        <w:rPr>
          <w:rFonts w:cstheme="minorHAnsi"/>
        </w:rPr>
        <w:t xml:space="preserve"> (27 December 2019), </w:t>
      </w:r>
      <w:hyperlink r:id="rId2" w:history="1">
        <w:r w:rsidRPr="00F4767F">
          <w:rPr>
            <w:rStyle w:val="Hyperlink"/>
            <w:rFonts w:cstheme="minorHAnsi"/>
          </w:rPr>
          <w:t>https://www.politico.eu/article/we-have-a-huge-problem-european-regulator-despairs-over-lack-of-enforcement/</w:t>
        </w:r>
      </w:hyperlink>
      <w:r w:rsidRPr="00F4767F">
        <w:rPr>
          <w:rFonts w:cstheme="minorHAnsi"/>
        </w:rPr>
        <w:t xml:space="preserve"> (accessed </w:t>
      </w:r>
      <w:r w:rsidR="006D6A18">
        <w:rPr>
          <w:rFonts w:cstheme="minorHAnsi"/>
        </w:rPr>
        <w:t>30 July</w:t>
      </w:r>
      <w:r w:rsidRPr="00F4767F">
        <w:rPr>
          <w:rFonts w:cstheme="minorHAnsi"/>
        </w:rPr>
        <w:t xml:space="preserve"> 2020).</w:t>
      </w:r>
    </w:p>
  </w:footnote>
  <w:footnote w:id="11">
    <w:p w14:paraId="30ED50F9" w14:textId="560A4A1F"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GDPR, </w:t>
      </w:r>
      <w:r w:rsidR="0038451F">
        <w:rPr>
          <w:rFonts w:cstheme="minorHAnsi"/>
        </w:rPr>
        <w:t>art</w:t>
      </w:r>
      <w:r w:rsidRPr="00F4767F">
        <w:rPr>
          <w:rFonts w:cstheme="minorHAnsi"/>
        </w:rPr>
        <w:t xml:space="preserve"> 58(1).</w:t>
      </w:r>
    </w:p>
  </w:footnote>
  <w:footnote w:id="12">
    <w:p w14:paraId="4A300EF9" w14:textId="6865F84F"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Ibid, </w:t>
      </w:r>
      <w:r w:rsidR="0038451F">
        <w:rPr>
          <w:rFonts w:cstheme="minorHAnsi"/>
        </w:rPr>
        <w:t>art</w:t>
      </w:r>
      <w:r w:rsidRPr="00F4767F">
        <w:rPr>
          <w:rFonts w:cstheme="minorHAnsi"/>
        </w:rPr>
        <w:t xml:space="preserve"> 57(1).</w:t>
      </w:r>
    </w:p>
  </w:footnote>
  <w:footnote w:id="13">
    <w:p w14:paraId="0AB3583D" w14:textId="6A82CCB3"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Ibid, </w:t>
      </w:r>
      <w:r w:rsidR="0038451F">
        <w:rPr>
          <w:rFonts w:cstheme="minorHAnsi"/>
        </w:rPr>
        <w:t>art</w:t>
      </w:r>
      <w:r w:rsidRPr="00F4767F">
        <w:rPr>
          <w:rFonts w:cstheme="minorHAnsi"/>
        </w:rPr>
        <w:t xml:space="preserve"> 58(2).</w:t>
      </w:r>
    </w:p>
  </w:footnote>
  <w:footnote w:id="14">
    <w:p w14:paraId="2BED2D21" w14:textId="469522F6"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Ibid, </w:t>
      </w:r>
      <w:r w:rsidR="0038451F">
        <w:rPr>
          <w:rFonts w:cstheme="minorHAnsi"/>
        </w:rPr>
        <w:t>art</w:t>
      </w:r>
      <w:r w:rsidRPr="00F4767F">
        <w:rPr>
          <w:rFonts w:cstheme="minorHAnsi"/>
        </w:rPr>
        <w:t xml:space="preserve"> 83(1).</w:t>
      </w:r>
    </w:p>
  </w:footnote>
  <w:footnote w:id="15">
    <w:p w14:paraId="62025263" w14:textId="3EAB6502"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Ibid, </w:t>
      </w:r>
      <w:r w:rsidR="0038451F">
        <w:rPr>
          <w:rFonts w:cstheme="minorHAnsi"/>
        </w:rPr>
        <w:t>art</w:t>
      </w:r>
      <w:r w:rsidRPr="00F4767F">
        <w:rPr>
          <w:rFonts w:cstheme="minorHAnsi"/>
        </w:rPr>
        <w:t xml:space="preserve"> 58(2)(b).</w:t>
      </w:r>
    </w:p>
  </w:footnote>
  <w:footnote w:id="16">
    <w:p w14:paraId="6BEFA068" w14:textId="4680E862"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C-131/12 </w:t>
      </w:r>
      <w:r w:rsidRPr="00F4767F">
        <w:rPr>
          <w:rFonts w:cstheme="minorHAnsi"/>
          <w:i/>
        </w:rPr>
        <w:t>Google Spain</w:t>
      </w:r>
      <w:r w:rsidRPr="00F4767F">
        <w:rPr>
          <w:rFonts w:cstheme="minorHAnsi"/>
        </w:rPr>
        <w:t>, EU:C:2014:317</w:t>
      </w:r>
      <w:r w:rsidR="00FA1C11">
        <w:rPr>
          <w:rFonts w:cstheme="minorHAnsi"/>
        </w:rPr>
        <w:t>,</w:t>
      </w:r>
      <w:r w:rsidRPr="00F4767F">
        <w:rPr>
          <w:rFonts w:cstheme="minorHAnsi"/>
        </w:rPr>
        <w:t xml:space="preserve"> [77]-[79] (emphasis added).</w:t>
      </w:r>
    </w:p>
  </w:footnote>
  <w:footnote w:id="17">
    <w:p w14:paraId="63861528" w14:textId="5CA2A2E1"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C-362/14 </w:t>
      </w:r>
      <w:r w:rsidRPr="00F4767F">
        <w:rPr>
          <w:rFonts w:cstheme="minorHAnsi"/>
          <w:i/>
        </w:rPr>
        <w:t>Schrems v Data Protection Commissioner</w:t>
      </w:r>
      <w:r w:rsidRPr="00F4767F">
        <w:rPr>
          <w:rFonts w:cstheme="minorHAnsi"/>
        </w:rPr>
        <w:t>, EU:C:2015:650</w:t>
      </w:r>
      <w:r w:rsidR="00FA1C11">
        <w:rPr>
          <w:rFonts w:cstheme="minorHAnsi"/>
        </w:rPr>
        <w:t xml:space="preserve">, </w:t>
      </w:r>
      <w:r w:rsidRPr="00F4767F">
        <w:rPr>
          <w:rFonts w:cstheme="minorHAnsi"/>
        </w:rPr>
        <w:t>[63] (emphasis added).</w:t>
      </w:r>
    </w:p>
  </w:footnote>
  <w:footnote w:id="18">
    <w:p w14:paraId="2F0F615E" w14:textId="0DB485C1" w:rsidR="00BC76EA" w:rsidRDefault="00BC76EA">
      <w:pPr>
        <w:pStyle w:val="FootnoteText"/>
      </w:pPr>
      <w:r>
        <w:rPr>
          <w:rStyle w:val="FootnoteReference"/>
        </w:rPr>
        <w:footnoteRef/>
      </w:r>
      <w:r>
        <w:t xml:space="preserve"> C-</w:t>
      </w:r>
      <w:r w:rsidR="00CF0050">
        <w:t xml:space="preserve">311/18 </w:t>
      </w:r>
      <w:r w:rsidR="00CF0050" w:rsidRPr="00CF0050">
        <w:rPr>
          <w:i/>
          <w:iCs/>
        </w:rPr>
        <w:t>Data Protection Commissioner v Facebook Ireland, Schrems</w:t>
      </w:r>
      <w:r w:rsidR="00CF0050">
        <w:t>, EU:C:2020:559</w:t>
      </w:r>
      <w:r w:rsidR="00FA1C11">
        <w:t xml:space="preserve">, </w:t>
      </w:r>
      <w:r w:rsidR="002902D1">
        <w:t>[79].</w:t>
      </w:r>
    </w:p>
  </w:footnote>
  <w:footnote w:id="19">
    <w:p w14:paraId="795719D8" w14:textId="5ADD2D5C" w:rsidR="000E6469" w:rsidRDefault="000E6469">
      <w:pPr>
        <w:pStyle w:val="FootnoteText"/>
      </w:pPr>
      <w:r>
        <w:rPr>
          <w:rStyle w:val="FootnoteReference"/>
        </w:rPr>
        <w:footnoteRef/>
      </w:r>
      <w:r>
        <w:t xml:space="preserve"> Ibid</w:t>
      </w:r>
      <w:r w:rsidR="00E44855">
        <w:t>,</w:t>
      </w:r>
      <w:r>
        <w:t xml:space="preserve"> [1</w:t>
      </w:r>
      <w:r w:rsidR="0056740A">
        <w:t>08</w:t>
      </w:r>
      <w:r>
        <w:t>].</w:t>
      </w:r>
    </w:p>
  </w:footnote>
  <w:footnote w:id="20">
    <w:p w14:paraId="339A0747" w14:textId="2551306E" w:rsidR="0056740A" w:rsidRDefault="0056740A">
      <w:pPr>
        <w:pStyle w:val="FootnoteText"/>
      </w:pPr>
      <w:r>
        <w:rPr>
          <w:rStyle w:val="FootnoteReference"/>
        </w:rPr>
        <w:footnoteRef/>
      </w:r>
      <w:r>
        <w:t xml:space="preserve"> Ibid</w:t>
      </w:r>
      <w:r w:rsidR="00E44855">
        <w:t xml:space="preserve">, </w:t>
      </w:r>
      <w:r>
        <w:t>[112].</w:t>
      </w:r>
    </w:p>
  </w:footnote>
  <w:footnote w:id="21">
    <w:p w14:paraId="03AC80FD" w14:textId="2BF907DE" w:rsidR="004825F7" w:rsidRDefault="004825F7">
      <w:pPr>
        <w:pStyle w:val="FootnoteText"/>
      </w:pPr>
      <w:r>
        <w:rPr>
          <w:rStyle w:val="FootnoteReference"/>
        </w:rPr>
        <w:footnoteRef/>
      </w:r>
      <w:r>
        <w:t xml:space="preserve"> Ibid</w:t>
      </w:r>
      <w:r w:rsidR="00E44855">
        <w:t xml:space="preserve">, </w:t>
      </w:r>
      <w:r>
        <w:t>[108].</w:t>
      </w:r>
    </w:p>
  </w:footnote>
  <w:footnote w:id="22">
    <w:p w14:paraId="5E07D249" w14:textId="4601E216" w:rsidR="005A100E" w:rsidRDefault="005A100E">
      <w:pPr>
        <w:pStyle w:val="FootnoteText"/>
      </w:pPr>
      <w:r>
        <w:rPr>
          <w:rStyle w:val="FootnoteReference"/>
        </w:rPr>
        <w:footnoteRef/>
      </w:r>
      <w:r>
        <w:t xml:space="preserve"> Ibid</w:t>
      </w:r>
      <w:r w:rsidR="00E44855">
        <w:t xml:space="preserve">, </w:t>
      </w:r>
      <w:r>
        <w:t>[120].</w:t>
      </w:r>
    </w:p>
  </w:footnote>
  <w:footnote w:id="23">
    <w:p w14:paraId="2A7BF98B" w14:textId="78CDE895" w:rsidR="00354A1F" w:rsidRDefault="00354A1F">
      <w:pPr>
        <w:pStyle w:val="FootnoteText"/>
      </w:pPr>
      <w:r>
        <w:rPr>
          <w:rStyle w:val="FootnoteReference"/>
        </w:rPr>
        <w:footnoteRef/>
      </w:r>
      <w:r>
        <w:t xml:space="preserve"> See GDPR, </w:t>
      </w:r>
      <w:r w:rsidR="0038451F">
        <w:t>art</w:t>
      </w:r>
      <w:r>
        <w:t xml:space="preserve"> </w:t>
      </w:r>
      <w:r w:rsidR="00156A43">
        <w:t xml:space="preserve">46(2)(c) and (d) for the framework within which such clauses </w:t>
      </w:r>
      <w:r w:rsidR="00854188">
        <w:t>are and may be adopted by the European Commission under secondary legislative powers.</w:t>
      </w:r>
    </w:p>
  </w:footnote>
  <w:footnote w:id="24">
    <w:p w14:paraId="32897671" w14:textId="6D736827" w:rsidR="00935EE5" w:rsidRDefault="00935EE5">
      <w:pPr>
        <w:pStyle w:val="FootnoteText"/>
      </w:pPr>
      <w:r>
        <w:rPr>
          <w:rStyle w:val="FootnoteReference"/>
        </w:rPr>
        <w:footnoteRef/>
      </w:r>
      <w:r>
        <w:t xml:space="preserve"> </w:t>
      </w:r>
      <w:r w:rsidR="00581487" w:rsidRPr="00581487">
        <w:t xml:space="preserve">C-311/18 </w:t>
      </w:r>
      <w:r w:rsidR="00581487" w:rsidRPr="00581487">
        <w:rPr>
          <w:i/>
          <w:iCs/>
        </w:rPr>
        <w:t>Data Protection Commissioner v Facebook Ireland, Schrems</w:t>
      </w:r>
      <w:r w:rsidR="00581487">
        <w:t>, [113].</w:t>
      </w:r>
    </w:p>
  </w:footnote>
  <w:footnote w:id="25">
    <w:p w14:paraId="19FB8BD8" w14:textId="3D40EE96"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Thus, for example, Hijmans</w:t>
      </w:r>
      <w:r w:rsidR="005A0C5C">
        <w:t xml:space="preserve">, </w:t>
      </w:r>
      <w:r w:rsidR="005A0C5C" w:rsidRPr="0038438C">
        <w:rPr>
          <w:i/>
        </w:rPr>
        <w:t>The European Union as Guardian of Internet Privacy</w:t>
      </w:r>
      <w:r w:rsidR="005A0C5C">
        <w:t xml:space="preserve"> (Springer, 2016), </w:t>
      </w:r>
      <w:r w:rsidRPr="00F4767F">
        <w:rPr>
          <w:rFonts w:cstheme="minorHAnsi"/>
        </w:rPr>
        <w:t xml:space="preserve">states that </w:t>
      </w:r>
      <w:r w:rsidR="00346EC7">
        <w:rPr>
          <w:rFonts w:cstheme="minorHAnsi"/>
        </w:rPr>
        <w:t>‘</w:t>
      </w:r>
      <w:r w:rsidRPr="00F4767F">
        <w:rPr>
          <w:rFonts w:cstheme="minorHAnsi"/>
        </w:rPr>
        <w:t>the powers and duties of DPAs, by nature, imply a high level of discretion</w:t>
      </w:r>
      <w:r w:rsidR="00346EC7">
        <w:rPr>
          <w:rFonts w:cstheme="minorHAnsi"/>
        </w:rPr>
        <w:t>’</w:t>
      </w:r>
      <w:r w:rsidRPr="00F4767F">
        <w:rPr>
          <w:rFonts w:cstheme="minorHAnsi"/>
        </w:rPr>
        <w:t xml:space="preserve"> (359) although he does caveat this somewhat by acknowledging that </w:t>
      </w:r>
      <w:r w:rsidR="00346EC7">
        <w:rPr>
          <w:rFonts w:cstheme="minorHAnsi"/>
        </w:rPr>
        <w:t>‘</w:t>
      </w:r>
      <w:r w:rsidRPr="00F4767F">
        <w:rPr>
          <w:rFonts w:cstheme="minorHAnsi"/>
        </w:rPr>
        <w:t>DPAs are free to set their own agenda, but with one limitation, which is their obligation to handle complaints</w:t>
      </w:r>
      <w:r w:rsidR="00346EC7">
        <w:rPr>
          <w:rFonts w:cstheme="minorHAnsi"/>
        </w:rPr>
        <w:t>’</w:t>
      </w:r>
      <w:r w:rsidRPr="00F4767F">
        <w:rPr>
          <w:rFonts w:cstheme="minorHAnsi"/>
        </w:rPr>
        <w:t xml:space="preserve"> (383).  </w:t>
      </w:r>
    </w:p>
  </w:footnote>
  <w:footnote w:id="26">
    <w:p w14:paraId="47B403E0" w14:textId="7F0DD5CB" w:rsidR="0055493C" w:rsidRPr="00F4767F" w:rsidRDefault="0055493C" w:rsidP="003F2E20">
      <w:pPr>
        <w:pStyle w:val="FootnoteText"/>
        <w:rPr>
          <w:rFonts w:cstheme="minorHAnsi"/>
        </w:rPr>
      </w:pPr>
      <w:r w:rsidRPr="00F4767F">
        <w:rPr>
          <w:rStyle w:val="FootnoteReference"/>
          <w:rFonts w:cstheme="minorHAnsi"/>
        </w:rPr>
        <w:footnoteRef/>
      </w:r>
      <w:r w:rsidRPr="00F4767F">
        <w:rPr>
          <w:rFonts w:cstheme="minorHAnsi"/>
        </w:rPr>
        <w:t xml:space="preserve"> Not only has the ICO not been alone amongst European DPAs but it also has not been the most extreme in this regard.  To the contrary, during the latter days of the </w:t>
      </w:r>
      <w:r w:rsidR="005A0C5C">
        <w:rPr>
          <w:rFonts w:cstheme="minorHAnsi"/>
        </w:rPr>
        <w:t>DPD</w:t>
      </w:r>
      <w:r w:rsidR="005A0C5C" w:rsidRPr="00F4767F">
        <w:rPr>
          <w:rFonts w:cstheme="minorHAnsi"/>
        </w:rPr>
        <w:t xml:space="preserve"> </w:t>
      </w:r>
      <w:r w:rsidRPr="00F4767F">
        <w:rPr>
          <w:rFonts w:cstheme="minorHAnsi"/>
        </w:rPr>
        <w:t xml:space="preserve">the Dutch DPA (in)famously withdraw all modalities for data subjects to contact them in a way which would secure a reply, replacing this only with an ability to offer a ‘tip’ (see Autoriteit Persoonsgegevens, </w:t>
      </w:r>
      <w:r w:rsidRPr="00F4767F">
        <w:rPr>
          <w:rFonts w:cstheme="minorHAnsi"/>
          <w:i/>
        </w:rPr>
        <w:t>Tip ons</w:t>
      </w:r>
      <w:r w:rsidRPr="00F4767F">
        <w:rPr>
          <w:rFonts w:cstheme="minorHAnsi"/>
        </w:rPr>
        <w:t xml:space="preserve"> (n.d.), </w:t>
      </w:r>
      <w:hyperlink r:id="rId3" w:history="1">
        <w:r w:rsidRPr="00F4767F">
          <w:rPr>
            <w:rStyle w:val="Hyperlink"/>
            <w:rFonts w:cstheme="minorHAnsi"/>
          </w:rPr>
          <w:t>https://web.archive.org/web/20160215002019/https://autoriteitpersoonsgegevens.nl/nl/contact-met-het-cbp/tip-ons</w:t>
        </w:r>
      </w:hyperlink>
      <w:r w:rsidRPr="00F4767F">
        <w:rPr>
          <w:rFonts w:cstheme="minorHAnsi"/>
        </w:rPr>
        <w:t xml:space="preserve"> (accessed </w:t>
      </w:r>
      <w:r w:rsidR="00327322">
        <w:rPr>
          <w:rFonts w:cstheme="minorHAnsi"/>
        </w:rPr>
        <w:t xml:space="preserve">30 July </w:t>
      </w:r>
      <w:r w:rsidRPr="00F4767F">
        <w:rPr>
          <w:rFonts w:cstheme="minorHAnsi"/>
        </w:rPr>
        <w:t>2020)</w:t>
      </w:r>
      <w:r w:rsidR="00DA0E3F">
        <w:rPr>
          <w:rFonts w:cstheme="minorHAnsi"/>
        </w:rPr>
        <w:t>)</w:t>
      </w:r>
      <w:r w:rsidRPr="00F4767F">
        <w:rPr>
          <w:rFonts w:cstheme="minorHAnsi"/>
        </w:rPr>
        <w:t xml:space="preserve">.  Under the GDPR, this stance has been modified.  See Autoriteit Persoonsgegevens, </w:t>
      </w:r>
      <w:r w:rsidRPr="00F4767F">
        <w:rPr>
          <w:rFonts w:cstheme="minorHAnsi"/>
          <w:i/>
        </w:rPr>
        <w:t>Klacht melden bij de AP</w:t>
      </w:r>
      <w:r w:rsidRPr="00F4767F">
        <w:rPr>
          <w:rFonts w:cstheme="minorHAnsi"/>
        </w:rPr>
        <w:t xml:space="preserve"> (n. d.), </w:t>
      </w:r>
      <w:hyperlink r:id="rId4" w:history="1">
        <w:r w:rsidRPr="00F4767F">
          <w:rPr>
            <w:rStyle w:val="Hyperlink"/>
            <w:rFonts w:cstheme="minorHAnsi"/>
          </w:rPr>
          <w:t>https://autoriteitpersoonsgegevens.nl/nl/zelf-doen/gebruik-uw-privacyrechten/klacht-melden-bij-de-ap</w:t>
        </w:r>
      </w:hyperlink>
      <w:r w:rsidRPr="00F4767F">
        <w:rPr>
          <w:rFonts w:cstheme="minorHAnsi"/>
        </w:rPr>
        <w:t xml:space="preserve"> (accessed </w:t>
      </w:r>
      <w:r w:rsidR="00327322">
        <w:rPr>
          <w:rFonts w:cstheme="minorHAnsi"/>
        </w:rPr>
        <w:t xml:space="preserve">30 </w:t>
      </w:r>
      <w:r w:rsidR="00BA1DAE">
        <w:rPr>
          <w:rFonts w:cstheme="minorHAnsi"/>
        </w:rPr>
        <w:t xml:space="preserve">July </w:t>
      </w:r>
      <w:r w:rsidRPr="00F4767F">
        <w:rPr>
          <w:rFonts w:cstheme="minorHAnsi"/>
        </w:rPr>
        <w:t>2020).</w:t>
      </w:r>
    </w:p>
  </w:footnote>
  <w:footnote w:id="27">
    <w:p w14:paraId="47EFFC9A" w14:textId="7C28A3D2" w:rsidR="00AB3CE3" w:rsidRDefault="00AB3CE3">
      <w:pPr>
        <w:pStyle w:val="FootnoteText"/>
      </w:pPr>
      <w:r>
        <w:rPr>
          <w:rStyle w:val="FootnoteReference"/>
        </w:rPr>
        <w:footnoteRef/>
      </w:r>
      <w:r>
        <w:t xml:space="preserve"> Indeed, </w:t>
      </w:r>
      <w:r w:rsidR="00C45AB6">
        <w:t xml:space="preserve">questionnaire </w:t>
      </w:r>
      <w:r w:rsidR="00F61D23">
        <w:t xml:space="preserve">responses of regulators collated by the European Data Protection Board indicated as of early 2020 the Croatian, Estonian, Irish, Finnish and Luxembourgish DPAs </w:t>
      </w:r>
      <w:r w:rsidR="00AE4497">
        <w:t xml:space="preserve">had not </w:t>
      </w:r>
      <w:r w:rsidR="00F61D23">
        <w:t xml:space="preserve">used the far-reaching fining powers allocated to them under the GDPR.  See </w:t>
      </w:r>
      <w:r w:rsidR="00C45AB6">
        <w:t xml:space="preserve">European Data Protection Board, </w:t>
      </w:r>
      <w:r w:rsidR="00C45AB6" w:rsidRPr="001334A7">
        <w:rPr>
          <w:i/>
          <w:iCs/>
        </w:rPr>
        <w:t xml:space="preserve">Individual </w:t>
      </w:r>
      <w:r w:rsidR="001334A7">
        <w:rPr>
          <w:i/>
          <w:iCs/>
        </w:rPr>
        <w:t>r</w:t>
      </w:r>
      <w:r w:rsidR="00C45AB6" w:rsidRPr="001334A7">
        <w:rPr>
          <w:i/>
          <w:iCs/>
        </w:rPr>
        <w:t xml:space="preserve">eplies </w:t>
      </w:r>
      <w:r w:rsidR="001334A7">
        <w:t xml:space="preserve">[to GDPR article 97 questionnaire] </w:t>
      </w:r>
      <w:r w:rsidR="001334A7" w:rsidRPr="001334A7">
        <w:rPr>
          <w:i/>
          <w:iCs/>
        </w:rPr>
        <w:t>from the data protection supervisory authorities</w:t>
      </w:r>
      <w:r w:rsidR="001334A7">
        <w:t xml:space="preserve"> (n.d.), </w:t>
      </w:r>
      <w:r w:rsidR="00FE3F9D">
        <w:t xml:space="preserve"> </w:t>
      </w:r>
      <w:hyperlink r:id="rId5" w:history="1">
        <w:r w:rsidR="00FE3F9D">
          <w:rPr>
            <w:rStyle w:val="Hyperlink"/>
          </w:rPr>
          <w:t>https://edpb.europa.eu/individual-replies-data-protection-supervisory-authorities_en</w:t>
        </w:r>
      </w:hyperlink>
      <w:r w:rsidR="00FE3F9D">
        <w:t xml:space="preserve"> (accessed </w:t>
      </w:r>
      <w:r w:rsidR="00131696">
        <w:t xml:space="preserve">30 </w:t>
      </w:r>
      <w:r w:rsidR="00FE3F9D">
        <w:t>July 2020).</w:t>
      </w:r>
    </w:p>
  </w:footnote>
  <w:footnote w:id="28">
    <w:p w14:paraId="58440798" w14:textId="3E21A05B"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w:t>
      </w:r>
      <w:r w:rsidR="002A4663">
        <w:rPr>
          <w:rFonts w:cstheme="minorHAnsi"/>
        </w:rPr>
        <w:t>Information Commissioner’s</w:t>
      </w:r>
      <w:r w:rsidRPr="00F4767F">
        <w:rPr>
          <w:rFonts w:cstheme="minorHAnsi"/>
        </w:rPr>
        <w:t xml:space="preserve"> Office, </w:t>
      </w:r>
      <w:r w:rsidRPr="00F4767F">
        <w:rPr>
          <w:rFonts w:cstheme="minorHAnsi"/>
          <w:i/>
        </w:rPr>
        <w:t>Consultation:  Our New Approach to Data Protection Concerns</w:t>
      </w:r>
      <w:r w:rsidRPr="00F4767F">
        <w:rPr>
          <w:rFonts w:cstheme="minorHAnsi"/>
        </w:rPr>
        <w:t xml:space="preserve"> (2013), </w:t>
      </w:r>
      <w:hyperlink r:id="rId6" w:history="1">
        <w:r w:rsidRPr="00F4767F">
          <w:rPr>
            <w:rStyle w:val="Hyperlink"/>
            <w:rFonts w:cstheme="minorHAnsi"/>
          </w:rPr>
          <w:t>https://ico.org.uk/media/about-the-ico/consultations/2019/a-new-approach-consultation.pdf</w:t>
        </w:r>
      </w:hyperlink>
      <w:r w:rsidRPr="00F4767F">
        <w:rPr>
          <w:rFonts w:cstheme="minorHAnsi"/>
        </w:rPr>
        <w:t xml:space="preserve"> (accessed </w:t>
      </w:r>
      <w:r w:rsidR="00327322">
        <w:rPr>
          <w:rFonts w:cstheme="minorHAnsi"/>
        </w:rPr>
        <w:t xml:space="preserve">30 July </w:t>
      </w:r>
      <w:r w:rsidRPr="00F4767F">
        <w:rPr>
          <w:rFonts w:cstheme="minorHAnsi"/>
        </w:rPr>
        <w:t>2020)</w:t>
      </w:r>
      <w:r w:rsidR="00B211DE">
        <w:rPr>
          <w:rFonts w:cstheme="minorHAnsi"/>
        </w:rPr>
        <w:t xml:space="preserve"> </w:t>
      </w:r>
      <w:r w:rsidRPr="00F4767F">
        <w:rPr>
          <w:rFonts w:cstheme="minorHAnsi"/>
        </w:rPr>
        <w:t>5-6.</w:t>
      </w:r>
      <w:r w:rsidR="00FD458A">
        <w:rPr>
          <w:rFonts w:cstheme="minorHAnsi"/>
        </w:rPr>
        <w:t xml:space="preserve">  The rationale for this approach was pithily encapsulated by the then UK Information Commissioner Christopher Graham at the 2015 European DPA Spring Conference when he stated that “</w:t>
      </w:r>
      <w:r w:rsidR="00FD458A" w:rsidRPr="00FD458A">
        <w:rPr>
          <w:rFonts w:cstheme="minorHAnsi"/>
        </w:rPr>
        <w:t>‘Less’ really is ‘more’ – or as my predecessor Richard Thomas used to put it ‘Be selective, to be effective’</w:t>
      </w:r>
      <w:r w:rsidR="00FD458A">
        <w:rPr>
          <w:rFonts w:cstheme="minorHAnsi"/>
        </w:rPr>
        <w:t>” (</w:t>
      </w:r>
      <w:r w:rsidR="00FD458A" w:rsidRPr="00FD458A">
        <w:rPr>
          <w:rFonts w:cstheme="minorHAnsi"/>
        </w:rPr>
        <w:t>Graham, Christopher, Spring Conference Keynote (2015), https://web.archive.org/web/20150924064449/https://ico.org.uk/media/1431716/christopher-graham-spring-conference-speech-190515.docx (accessed 30 July 2020)</w:t>
      </w:r>
      <w:r w:rsidR="00FD458A">
        <w:rPr>
          <w:rFonts w:cstheme="minorHAnsi"/>
        </w:rPr>
        <w:t>)</w:t>
      </w:r>
      <w:r w:rsidR="00FD458A" w:rsidRPr="00FD458A">
        <w:rPr>
          <w:rFonts w:cstheme="minorHAnsi"/>
        </w:rPr>
        <w:t>.</w:t>
      </w:r>
    </w:p>
  </w:footnote>
  <w:footnote w:id="29">
    <w:p w14:paraId="275A8812" w14:textId="2B11A0A5"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Denham, Elizabeth, </w:t>
      </w:r>
      <w:r w:rsidRPr="00F4767F">
        <w:rPr>
          <w:rFonts w:cstheme="minorHAnsi"/>
          <w:i/>
        </w:rPr>
        <w:t>GDPR – Sorting the Fact from the Fiction</w:t>
      </w:r>
      <w:r w:rsidRPr="00F4767F">
        <w:rPr>
          <w:rFonts w:cstheme="minorHAnsi"/>
        </w:rPr>
        <w:t xml:space="preserve"> (2017), </w:t>
      </w:r>
      <w:hyperlink r:id="rId7" w:history="1">
        <w:r w:rsidRPr="00F4767F">
          <w:rPr>
            <w:rStyle w:val="Hyperlink"/>
            <w:rFonts w:cstheme="minorHAnsi"/>
          </w:rPr>
          <w:t>https://ico.org.uk/about-the-ico/news-and-events/blog-gdpr-sorting-the-fact-from-the-fiction/</w:t>
        </w:r>
      </w:hyperlink>
      <w:r w:rsidRPr="00F4767F">
        <w:rPr>
          <w:rFonts w:cstheme="minorHAnsi"/>
        </w:rPr>
        <w:t xml:space="preserve"> (accessed </w:t>
      </w:r>
      <w:r w:rsidR="001F167E">
        <w:rPr>
          <w:rFonts w:cstheme="minorHAnsi"/>
        </w:rPr>
        <w:t xml:space="preserve">30 July </w:t>
      </w:r>
      <w:r w:rsidRPr="00F4767F">
        <w:rPr>
          <w:rFonts w:cstheme="minorHAnsi"/>
        </w:rPr>
        <w:t>2020).</w:t>
      </w:r>
    </w:p>
  </w:footnote>
  <w:footnote w:id="30">
    <w:p w14:paraId="5F099A86" w14:textId="5E4CAEC2" w:rsidR="009E2CB3" w:rsidRDefault="009E2CB3">
      <w:pPr>
        <w:pStyle w:val="FootnoteText"/>
      </w:pPr>
      <w:r>
        <w:rPr>
          <w:rStyle w:val="FootnoteReference"/>
        </w:rPr>
        <w:footnoteRef/>
      </w:r>
      <w:r>
        <w:t xml:space="preserve"> Information Commissioner’s Office, </w:t>
      </w:r>
      <w:bookmarkStart w:id="0" w:name="_Hlk46922292"/>
      <w:r w:rsidR="00E42C4C" w:rsidRPr="00E42C4C">
        <w:rPr>
          <w:i/>
          <w:iCs/>
        </w:rPr>
        <w:t>Annual Report and Financial Statements 2019-20</w:t>
      </w:r>
      <w:r w:rsidR="00E42C4C">
        <w:t xml:space="preserve"> (2020), </w:t>
      </w:r>
      <w:bookmarkEnd w:id="0"/>
      <w:r w:rsidR="00C10807">
        <w:fldChar w:fldCharType="begin"/>
      </w:r>
      <w:r w:rsidR="00C10807">
        <w:instrText xml:space="preserve"> HYPERLINK "https://ico.org.uk/media/about-the-ico/documents/2618021/annual-report-2019-20-v83-certified.pdf" </w:instrText>
      </w:r>
      <w:r w:rsidR="00C10807">
        <w:fldChar w:fldCharType="separate"/>
      </w:r>
      <w:r w:rsidR="00C10807">
        <w:rPr>
          <w:rStyle w:val="Hyperlink"/>
        </w:rPr>
        <w:t>https://ico.org.uk/media/about-the-ico/documents/2618021/annual-report-2019-20-v83-certified.pdf</w:t>
      </w:r>
      <w:r w:rsidR="00C10807">
        <w:fldChar w:fldCharType="end"/>
      </w:r>
      <w:r w:rsidR="00345D48">
        <w:t xml:space="preserve"> (accessed 29 July 2020)</w:t>
      </w:r>
      <w:r w:rsidR="00C10807">
        <w:t>,</w:t>
      </w:r>
      <w:r w:rsidR="00E42C4C">
        <w:t xml:space="preserve"> </w:t>
      </w:r>
      <w:r>
        <w:t>27.</w:t>
      </w:r>
    </w:p>
  </w:footnote>
  <w:footnote w:id="31">
    <w:p w14:paraId="5EE61397" w14:textId="293CEF2B" w:rsidR="000662E3" w:rsidRDefault="000662E3">
      <w:pPr>
        <w:pStyle w:val="FootnoteText"/>
      </w:pPr>
      <w:r>
        <w:rPr>
          <w:rStyle w:val="FootnoteReference"/>
        </w:rPr>
        <w:footnoteRef/>
      </w:r>
      <w:r>
        <w:t xml:space="preserve"> Ibid, 35.</w:t>
      </w:r>
    </w:p>
  </w:footnote>
  <w:footnote w:id="32">
    <w:p w14:paraId="7A26F465" w14:textId="631C0EE0" w:rsidR="00BA20C4" w:rsidRDefault="00BA20C4">
      <w:pPr>
        <w:pStyle w:val="FootnoteText"/>
      </w:pPr>
      <w:r>
        <w:rPr>
          <w:rStyle w:val="FootnoteReference"/>
        </w:rPr>
        <w:footnoteRef/>
      </w:r>
      <w:r>
        <w:t xml:space="preserve"> The ICO did make slightly greater use of its formal monitoring powers, </w:t>
      </w:r>
      <w:r w:rsidR="009329D5">
        <w:t>issuing 54 information notices and eight assessment notices.</w:t>
      </w:r>
      <w:r w:rsidR="001F167E">
        <w:t xml:space="preserve">  See Ibid, 35.</w:t>
      </w:r>
    </w:p>
  </w:footnote>
  <w:footnote w:id="33">
    <w:p w14:paraId="450AF656" w14:textId="00E6FE97"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The resource gap continues to be highlighted by European DPAs as a major problem  Thus, the 2018 Annual Report of the European Data Protection Board</w:t>
      </w:r>
      <w:r w:rsidR="00885B55">
        <w:rPr>
          <w:rFonts w:cstheme="minorHAnsi"/>
        </w:rPr>
        <w:t xml:space="preserve"> (EDPB)</w:t>
      </w:r>
      <w:r w:rsidRPr="00F4767F">
        <w:rPr>
          <w:rFonts w:cstheme="minorHAnsi"/>
        </w:rPr>
        <w:t xml:space="preserve"> stated that </w:t>
      </w:r>
      <w:r w:rsidR="00346EC7">
        <w:rPr>
          <w:rFonts w:cstheme="minorHAnsi"/>
        </w:rPr>
        <w:t>‘</w:t>
      </w:r>
      <w:r w:rsidRPr="00F4767F">
        <w:rPr>
          <w:rFonts w:cstheme="minorHAnsi"/>
        </w:rPr>
        <w:t>[m]ost of the SAs [Supervisory Authorities] (17) stated that they required an increase of around 30-50% to perform their duties.  However, almost none of the SAs received the requested amount.  In some extreme cases, SAs have a need for up to double their current budget</w:t>
      </w:r>
      <w:r w:rsidR="00346EC7">
        <w:rPr>
          <w:rFonts w:cstheme="minorHAnsi"/>
        </w:rPr>
        <w:t>’</w:t>
      </w:r>
      <w:r w:rsidRPr="00F4767F">
        <w:rPr>
          <w:rFonts w:cstheme="minorHAnsi"/>
        </w:rPr>
        <w:t xml:space="preserve">.  See </w:t>
      </w:r>
      <w:r w:rsidR="00885B55">
        <w:rPr>
          <w:rFonts w:cstheme="minorHAnsi"/>
        </w:rPr>
        <w:t>EDPB</w:t>
      </w:r>
      <w:r w:rsidRPr="00F4767F">
        <w:rPr>
          <w:rFonts w:cstheme="minorHAnsi"/>
        </w:rPr>
        <w:t xml:space="preserve">, </w:t>
      </w:r>
      <w:r w:rsidRPr="002414A9">
        <w:rPr>
          <w:rFonts w:cstheme="minorHAnsi"/>
          <w:i/>
          <w:iCs/>
        </w:rPr>
        <w:t>2018 Annual Report:  Cooperation and Transparency</w:t>
      </w:r>
      <w:r w:rsidRPr="00F4767F">
        <w:rPr>
          <w:rFonts w:cstheme="minorHAnsi"/>
        </w:rPr>
        <w:t xml:space="preserve"> (2019), </w:t>
      </w:r>
      <w:hyperlink r:id="rId8" w:history="1">
        <w:r w:rsidRPr="00F4767F">
          <w:rPr>
            <w:rStyle w:val="Hyperlink"/>
            <w:rFonts w:cstheme="minorHAnsi"/>
          </w:rPr>
          <w:t>https://edpb.europa.eu/sites/edpb/files/files/file1/edpb_annual_report_2018_-_digital_final_1507_en.pdf</w:t>
        </w:r>
      </w:hyperlink>
      <w:r w:rsidRPr="00F4767F">
        <w:rPr>
          <w:rFonts w:cstheme="minorHAnsi"/>
        </w:rPr>
        <w:t xml:space="preserve">, (accessed </w:t>
      </w:r>
      <w:r w:rsidR="002414A9">
        <w:rPr>
          <w:rFonts w:cstheme="minorHAnsi"/>
        </w:rPr>
        <w:t xml:space="preserve">30 July </w:t>
      </w:r>
      <w:r w:rsidRPr="00F4767F">
        <w:rPr>
          <w:rFonts w:cstheme="minorHAnsi"/>
        </w:rPr>
        <w:t>2020), 21.</w:t>
      </w:r>
    </w:p>
  </w:footnote>
  <w:footnote w:id="34">
    <w:p w14:paraId="1FCAADD4" w14:textId="2E92A63B"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w:t>
      </w:r>
      <w:r w:rsidR="002A4663">
        <w:rPr>
          <w:rFonts w:cstheme="minorHAnsi"/>
        </w:rPr>
        <w:t>Information Commissioner’s</w:t>
      </w:r>
      <w:r w:rsidRPr="00F4767F">
        <w:rPr>
          <w:rFonts w:cstheme="minorHAnsi"/>
        </w:rPr>
        <w:t xml:space="preserve"> Office, </w:t>
      </w:r>
      <w:r w:rsidRPr="00F4767F">
        <w:rPr>
          <w:rFonts w:cstheme="minorHAnsi"/>
          <w:i/>
        </w:rPr>
        <w:t>International enforcement operation finds website privacy notices are too vague and generally inadequate</w:t>
      </w:r>
      <w:r w:rsidRPr="00F4767F">
        <w:rPr>
          <w:rFonts w:cstheme="minorHAnsi"/>
        </w:rPr>
        <w:t xml:space="preserve"> (2017), </w:t>
      </w:r>
      <w:hyperlink r:id="rId9" w:history="1">
        <w:r w:rsidRPr="00F4767F">
          <w:rPr>
            <w:rStyle w:val="Hyperlink"/>
            <w:rFonts w:cstheme="minorHAnsi"/>
          </w:rPr>
          <w:t>https://ico.org.uk/about-the-ico/news-and-events/news-and-blogs/2017/10/international-enforcement-operation-finds-website-privacy-notices-are-too-vague-and-generally-inadequate/</w:t>
        </w:r>
      </w:hyperlink>
      <w:r w:rsidRPr="00F4767F">
        <w:rPr>
          <w:rFonts w:cstheme="minorHAnsi"/>
        </w:rPr>
        <w:t xml:space="preserve"> (accessed </w:t>
      </w:r>
      <w:r w:rsidR="00CE6B01">
        <w:rPr>
          <w:rFonts w:cstheme="minorHAnsi"/>
        </w:rPr>
        <w:t xml:space="preserve">30 July </w:t>
      </w:r>
      <w:r w:rsidRPr="00F4767F">
        <w:rPr>
          <w:rFonts w:cstheme="minorHAnsi"/>
        </w:rPr>
        <w:t>2020).</w:t>
      </w:r>
    </w:p>
  </w:footnote>
  <w:footnote w:id="35">
    <w:p w14:paraId="106EE080" w14:textId="4D7BD8EB" w:rsidR="002640CD" w:rsidRDefault="002640CD">
      <w:pPr>
        <w:pStyle w:val="FootnoteText"/>
      </w:pPr>
      <w:r>
        <w:rPr>
          <w:rStyle w:val="FootnoteReference"/>
        </w:rPr>
        <w:footnoteRef/>
      </w:r>
      <w:r>
        <w:t xml:space="preserve"> </w:t>
      </w:r>
      <w:r w:rsidR="006A5F26">
        <w:t xml:space="preserve">See </w:t>
      </w:r>
      <w:r w:rsidR="002A4663">
        <w:t>Information Commissioner’s</w:t>
      </w:r>
      <w:r w:rsidR="006A5F26">
        <w:t xml:space="preserve"> Office, </w:t>
      </w:r>
      <w:r w:rsidR="006A5F26" w:rsidRPr="006A5F26">
        <w:rPr>
          <w:i/>
          <w:iCs/>
        </w:rPr>
        <w:t>Annual Report and Financial Statements 2019-20</w:t>
      </w:r>
      <w:r w:rsidR="006A5F26" w:rsidRPr="006A5F26">
        <w:t xml:space="preserve"> (2020),</w:t>
      </w:r>
      <w:r w:rsidR="007968BC">
        <w:t xml:space="preserve"> p. 36.</w:t>
      </w:r>
    </w:p>
  </w:footnote>
  <w:footnote w:id="36">
    <w:p w14:paraId="4CFBDD94" w14:textId="4B0000EC" w:rsidR="007968BC" w:rsidRDefault="007968BC">
      <w:pPr>
        <w:pStyle w:val="FootnoteText"/>
      </w:pPr>
      <w:r>
        <w:rPr>
          <w:rStyle w:val="FootnoteReference"/>
        </w:rPr>
        <w:footnoteRef/>
      </w:r>
      <w:r>
        <w:t xml:space="preserve"> </w:t>
      </w:r>
      <w:r w:rsidR="002A4663">
        <w:t>Information Commissioner’s</w:t>
      </w:r>
      <w:r>
        <w:t xml:space="preserve"> Office, </w:t>
      </w:r>
      <w:r w:rsidRPr="007968BC">
        <w:rPr>
          <w:i/>
          <w:iCs/>
        </w:rPr>
        <w:t>ICO Statement on Adtech Work</w:t>
      </w:r>
      <w:r>
        <w:t xml:space="preserve"> (7 May 2020), </w:t>
      </w:r>
      <w:hyperlink r:id="rId10" w:history="1">
        <w:r w:rsidR="00ED2AAA">
          <w:rPr>
            <w:rStyle w:val="Hyperlink"/>
          </w:rPr>
          <w:t>https://ico.org.uk/about-the-ico/news-and-events/news-and-blogs/2020/05/ico-statement-on-adtech-work/</w:t>
        </w:r>
      </w:hyperlink>
      <w:r w:rsidR="00ED2AAA">
        <w:t xml:space="preserve"> (accessed 29 July 2020).</w:t>
      </w:r>
    </w:p>
  </w:footnote>
  <w:footnote w:id="37">
    <w:p w14:paraId="3AC98850" w14:textId="1C0F5127"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w:t>
      </w:r>
      <w:r w:rsidR="004A0002">
        <w:rPr>
          <w:rFonts w:cstheme="minorHAnsi"/>
        </w:rPr>
        <w:t xml:space="preserve">The </w:t>
      </w:r>
      <w:r w:rsidRPr="00F4767F">
        <w:rPr>
          <w:rFonts w:cstheme="minorHAnsi"/>
        </w:rPr>
        <w:t>Privacy and Electronic Communications (EC Directive) Regulations 2003/2426 which implement the e-Privacy Directive 2000/58/EC (as amended) in the UK.</w:t>
      </w:r>
    </w:p>
  </w:footnote>
  <w:footnote w:id="38">
    <w:p w14:paraId="59D123DF" w14:textId="5A302F41"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w:t>
      </w:r>
      <w:r w:rsidR="002A4663">
        <w:rPr>
          <w:rFonts w:cstheme="minorHAnsi"/>
        </w:rPr>
        <w:t>Information Commissioner’s</w:t>
      </w:r>
      <w:r w:rsidRPr="00F4767F">
        <w:rPr>
          <w:rFonts w:cstheme="minorHAnsi"/>
        </w:rPr>
        <w:t xml:space="preserve"> Office, </w:t>
      </w:r>
      <w:r w:rsidRPr="00F4767F">
        <w:rPr>
          <w:rFonts w:cstheme="minorHAnsi"/>
          <w:i/>
        </w:rPr>
        <w:t>Update Report into Adtech and Real Timing Bidding</w:t>
      </w:r>
      <w:r w:rsidRPr="00F4767F">
        <w:rPr>
          <w:rFonts w:cstheme="minorHAnsi"/>
        </w:rPr>
        <w:t xml:space="preserve"> (2019), </w:t>
      </w:r>
      <w:hyperlink r:id="rId11" w:history="1">
        <w:r w:rsidRPr="00F4767F">
          <w:rPr>
            <w:rStyle w:val="Hyperlink"/>
            <w:rFonts w:cstheme="minorHAnsi"/>
          </w:rPr>
          <w:t>https://ico.org.uk/media/about-the-ico/documents/2615156/adtech-real-time-bidding-report-201906.pdf</w:t>
        </w:r>
      </w:hyperlink>
      <w:r w:rsidRPr="00F4767F">
        <w:rPr>
          <w:rStyle w:val="Hyperlink"/>
          <w:rFonts w:cstheme="minorHAnsi"/>
        </w:rPr>
        <w:t xml:space="preserve"> </w:t>
      </w:r>
      <w:r w:rsidRPr="00F4767F">
        <w:rPr>
          <w:rFonts w:cstheme="minorHAnsi"/>
        </w:rPr>
        <w:t xml:space="preserve"> (accessed </w:t>
      </w:r>
      <w:r w:rsidR="00002998">
        <w:rPr>
          <w:rFonts w:cstheme="minorHAnsi"/>
        </w:rPr>
        <w:t>30</w:t>
      </w:r>
      <w:r w:rsidRPr="00F4767F">
        <w:rPr>
          <w:rFonts w:cstheme="minorHAnsi"/>
        </w:rPr>
        <w:t xml:space="preserve"> </w:t>
      </w:r>
      <w:r w:rsidR="00002998">
        <w:rPr>
          <w:rFonts w:cstheme="minorHAnsi"/>
        </w:rPr>
        <w:t xml:space="preserve">July </w:t>
      </w:r>
      <w:r w:rsidRPr="00F4767F">
        <w:rPr>
          <w:rFonts w:cstheme="minorHAnsi"/>
        </w:rPr>
        <w:t>2020) 23.</w:t>
      </w:r>
    </w:p>
  </w:footnote>
  <w:footnote w:id="39">
    <w:p w14:paraId="5BAD9627" w14:textId="0591C26F"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EU Agency for Fundamental Rights, </w:t>
      </w:r>
      <w:r w:rsidRPr="00F4767F">
        <w:rPr>
          <w:rFonts w:cstheme="minorHAnsi"/>
          <w:i/>
        </w:rPr>
        <w:t>Access to Data Protection Remedies in the EU Member States</w:t>
      </w:r>
      <w:r w:rsidRPr="00F4767F">
        <w:rPr>
          <w:rFonts w:cstheme="minorHAnsi"/>
        </w:rPr>
        <w:t xml:space="preserve"> (2013), </w:t>
      </w:r>
      <w:hyperlink r:id="rId12" w:history="1">
        <w:r w:rsidRPr="00F4767F">
          <w:rPr>
            <w:rStyle w:val="Hyperlink"/>
            <w:rFonts w:cstheme="minorHAnsi"/>
          </w:rPr>
          <w:t>https://fra.europa.eu/sites/default/files/fra-2014-access-data-protection-remedies_en.pdf</w:t>
        </w:r>
      </w:hyperlink>
      <w:r w:rsidRPr="00F4767F">
        <w:rPr>
          <w:rFonts w:cstheme="minorHAnsi"/>
        </w:rPr>
        <w:t xml:space="preserve"> (accessed 17 January 2020).</w:t>
      </w:r>
    </w:p>
  </w:footnote>
  <w:footnote w:id="40">
    <w:p w14:paraId="52DD6EDE" w14:textId="43DCCC6E"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See, for example, Owen Bowcott, </w:t>
      </w:r>
      <w:r w:rsidR="00346EC7">
        <w:rPr>
          <w:rFonts w:cstheme="minorHAnsi"/>
        </w:rPr>
        <w:t>‘</w:t>
      </w:r>
      <w:r w:rsidRPr="00F4767F">
        <w:rPr>
          <w:rFonts w:cstheme="minorHAnsi"/>
        </w:rPr>
        <w:t>Top judge says justice system is now unaffordable to most</w:t>
      </w:r>
      <w:r w:rsidR="00346EC7">
        <w:rPr>
          <w:rFonts w:cstheme="minorHAnsi"/>
        </w:rPr>
        <w:t>’</w:t>
      </w:r>
      <w:r w:rsidRPr="00F4767F">
        <w:rPr>
          <w:rFonts w:cstheme="minorHAnsi"/>
        </w:rPr>
        <w:t xml:space="preserve">, </w:t>
      </w:r>
      <w:r w:rsidRPr="00F4767F">
        <w:rPr>
          <w:rFonts w:cstheme="minorHAnsi"/>
          <w:i/>
        </w:rPr>
        <w:t>The Guardian</w:t>
      </w:r>
      <w:r w:rsidRPr="00F4767F">
        <w:rPr>
          <w:rFonts w:cstheme="minorHAnsi"/>
        </w:rPr>
        <w:t xml:space="preserve">, 13 January 2016, </w:t>
      </w:r>
      <w:hyperlink r:id="rId13" w:history="1">
        <w:r w:rsidRPr="00F4767F">
          <w:rPr>
            <w:rStyle w:val="Hyperlink"/>
            <w:rFonts w:cstheme="minorHAnsi"/>
          </w:rPr>
          <w:t>https://www.theguardian.com/law/2016/jan/13/uk-most-senior-judge-says-justice-has-become-unaffordable-to-most</w:t>
        </w:r>
      </w:hyperlink>
      <w:r w:rsidRPr="00F4767F">
        <w:rPr>
          <w:rFonts w:cstheme="minorHAnsi"/>
        </w:rPr>
        <w:t xml:space="preserve"> (accessed </w:t>
      </w:r>
      <w:r w:rsidR="000311DE">
        <w:rPr>
          <w:rFonts w:cstheme="minorHAnsi"/>
        </w:rPr>
        <w:t xml:space="preserve">30 July </w:t>
      </w:r>
      <w:r w:rsidRPr="00F4767F">
        <w:rPr>
          <w:rFonts w:cstheme="minorHAnsi"/>
        </w:rPr>
        <w:t>2020) (reporting comments of the then Lord Chief Justice for England and Wales, Lord Thomas of Gwmgiedd).</w:t>
      </w:r>
    </w:p>
  </w:footnote>
  <w:footnote w:id="41">
    <w:p w14:paraId="6BE7A10A" w14:textId="1D99A6E2"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Information Commissioner’s Office, </w:t>
      </w:r>
      <w:r w:rsidRPr="00F4767F">
        <w:rPr>
          <w:rFonts w:cstheme="minorHAnsi"/>
          <w:i/>
        </w:rPr>
        <w:t>Annual Report and Financial Statements 2016/17</w:t>
      </w:r>
      <w:r w:rsidRPr="00F4767F">
        <w:rPr>
          <w:rFonts w:cstheme="minorHAnsi"/>
        </w:rPr>
        <w:t xml:space="preserve"> (2017), </w:t>
      </w:r>
      <w:hyperlink r:id="rId14" w:history="1">
        <w:r w:rsidRPr="00F4767F">
          <w:rPr>
            <w:rStyle w:val="Hyperlink"/>
            <w:rFonts w:cstheme="minorHAnsi"/>
          </w:rPr>
          <w:t>https://ico.org.uk/media/about-the-ico/documents/2014449/ico053-annual-report-201617-s12-aw-web-version.pdf</w:t>
        </w:r>
      </w:hyperlink>
      <w:r w:rsidRPr="00F4767F">
        <w:rPr>
          <w:rFonts w:cstheme="minorHAnsi"/>
        </w:rPr>
        <w:t xml:space="preserve"> (accessed </w:t>
      </w:r>
      <w:r w:rsidR="00373BE1">
        <w:rPr>
          <w:rFonts w:cstheme="minorHAnsi"/>
        </w:rPr>
        <w:t xml:space="preserve">30 July </w:t>
      </w:r>
      <w:r w:rsidRPr="00F4767F">
        <w:rPr>
          <w:rFonts w:cstheme="minorHAnsi"/>
        </w:rPr>
        <w:t>2020)</w:t>
      </w:r>
      <w:r w:rsidR="006B1755">
        <w:rPr>
          <w:rFonts w:cstheme="minorHAnsi"/>
        </w:rPr>
        <w:t xml:space="preserve"> </w:t>
      </w:r>
      <w:r w:rsidRPr="00F4767F">
        <w:rPr>
          <w:rFonts w:cstheme="minorHAnsi"/>
        </w:rPr>
        <w:t>18</w:t>
      </w:r>
      <w:r w:rsidR="001B645B">
        <w:rPr>
          <w:rFonts w:cstheme="minorHAnsi"/>
        </w:rPr>
        <w:t xml:space="preserve"> (showing </w:t>
      </w:r>
      <w:r w:rsidR="00F02BB4">
        <w:rPr>
          <w:rFonts w:cstheme="minorHAnsi"/>
        </w:rPr>
        <w:t xml:space="preserve">an outcome of </w:t>
      </w:r>
      <w:r w:rsidR="00346EC7">
        <w:rPr>
          <w:rFonts w:cstheme="minorHAnsi"/>
        </w:rPr>
        <w:t>‘</w:t>
      </w:r>
      <w:r w:rsidR="00F02BB4">
        <w:rPr>
          <w:rFonts w:cstheme="minorHAnsi"/>
        </w:rPr>
        <w:t>no action</w:t>
      </w:r>
      <w:r w:rsidR="00346EC7">
        <w:rPr>
          <w:rFonts w:cstheme="minorHAnsi"/>
        </w:rPr>
        <w:t>’</w:t>
      </w:r>
      <w:r w:rsidR="00F02BB4">
        <w:rPr>
          <w:rFonts w:cstheme="minorHAnsi"/>
        </w:rPr>
        <w:t xml:space="preserve"> was lodged for 33.4% and that in a further 4.2% of cases the complaint was either found </w:t>
      </w:r>
      <w:r w:rsidR="00764FAD">
        <w:rPr>
          <w:rFonts w:cstheme="minorHAnsi"/>
        </w:rPr>
        <w:t>not to fall within data protection or the controller was found no</w:t>
      </w:r>
      <w:r w:rsidR="00DA0E3F">
        <w:rPr>
          <w:rFonts w:cstheme="minorHAnsi"/>
        </w:rPr>
        <w:t>t</w:t>
      </w:r>
      <w:r w:rsidR="00764FAD">
        <w:rPr>
          <w:rFonts w:cstheme="minorHAnsi"/>
        </w:rPr>
        <w:t xml:space="preserve"> subject to UK law</w:t>
      </w:r>
      <w:r w:rsidR="00FF778C">
        <w:rPr>
          <w:rFonts w:cstheme="minorHAnsi"/>
        </w:rPr>
        <w:t>)</w:t>
      </w:r>
      <w:r w:rsidR="00764FAD">
        <w:rPr>
          <w:rFonts w:cstheme="minorHAnsi"/>
        </w:rPr>
        <w:t>.</w:t>
      </w:r>
    </w:p>
  </w:footnote>
  <w:footnote w:id="42">
    <w:p w14:paraId="4BB6D509" w14:textId="4C3070C0"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For example, in 2017/18 it appears to have issued just six enforcement notices under the DPA 1998, with fourteen further preliminary enforcement notices being drawn up and ten enforcement notices issued under PECR.  See Information Commissioner’s Office, </w:t>
      </w:r>
      <w:r w:rsidRPr="00F4767F">
        <w:rPr>
          <w:rFonts w:cstheme="minorHAnsi"/>
          <w:i/>
        </w:rPr>
        <w:t>Annual Report and Financial Statements 2017-18</w:t>
      </w:r>
      <w:r w:rsidRPr="00F4767F">
        <w:rPr>
          <w:rFonts w:cstheme="minorHAnsi"/>
        </w:rPr>
        <w:t xml:space="preserve">, </w:t>
      </w:r>
      <w:hyperlink r:id="rId15" w:history="1">
        <w:r w:rsidRPr="00F4767F">
          <w:rPr>
            <w:rStyle w:val="Hyperlink"/>
            <w:rFonts w:cstheme="minorHAnsi"/>
          </w:rPr>
          <w:t>https://ico.org.uk/media/about-the-ico/documents/2259463/annual-report-201718.pdf</w:t>
        </w:r>
      </w:hyperlink>
      <w:r w:rsidRPr="00F4767F">
        <w:rPr>
          <w:rFonts w:cstheme="minorHAnsi"/>
        </w:rPr>
        <w:t xml:space="preserve"> (accessed </w:t>
      </w:r>
      <w:r w:rsidR="006B1755">
        <w:rPr>
          <w:rFonts w:cstheme="minorHAnsi"/>
        </w:rPr>
        <w:t xml:space="preserve">30 July </w:t>
      </w:r>
      <w:r w:rsidRPr="00F4767F">
        <w:rPr>
          <w:rFonts w:cstheme="minorHAnsi"/>
        </w:rPr>
        <w:t>2020)</w:t>
      </w:r>
      <w:r w:rsidR="006B1755">
        <w:rPr>
          <w:rFonts w:cstheme="minorHAnsi"/>
        </w:rPr>
        <w:t xml:space="preserve"> </w:t>
      </w:r>
      <w:r w:rsidRPr="00F4767F">
        <w:rPr>
          <w:rFonts w:cstheme="minorHAnsi"/>
        </w:rPr>
        <w:t xml:space="preserve">22. </w:t>
      </w:r>
    </w:p>
  </w:footnote>
  <w:footnote w:id="43">
    <w:p w14:paraId="7A3F1320" w14:textId="6FEDC97D" w:rsidR="004F7269" w:rsidRDefault="004F7269">
      <w:pPr>
        <w:pStyle w:val="FootnoteText"/>
      </w:pPr>
      <w:r>
        <w:rPr>
          <w:rStyle w:val="FootnoteReference"/>
        </w:rPr>
        <w:footnoteRef/>
      </w:r>
      <w:r>
        <w:t xml:space="preserve"> </w:t>
      </w:r>
      <w:r w:rsidR="002A4663">
        <w:t>Information Commissioner’s</w:t>
      </w:r>
      <w:r w:rsidR="00015FD7" w:rsidRPr="00015FD7">
        <w:t xml:space="preserve"> Office, </w:t>
      </w:r>
      <w:r w:rsidR="00015FD7" w:rsidRPr="00015FD7">
        <w:rPr>
          <w:i/>
          <w:iCs/>
        </w:rPr>
        <w:t>Annual Report and Financial Statements 2019-20</w:t>
      </w:r>
      <w:r w:rsidR="00015FD7" w:rsidRPr="00015FD7">
        <w:t xml:space="preserve"> (2020)</w:t>
      </w:r>
      <w:r w:rsidR="006B1755">
        <w:t xml:space="preserve"> </w:t>
      </w:r>
      <w:r w:rsidR="00914CDD">
        <w:t>52.</w:t>
      </w:r>
    </w:p>
  </w:footnote>
  <w:footnote w:id="44">
    <w:p w14:paraId="670EFFC5" w14:textId="2DDADB52" w:rsidR="007E04DE" w:rsidRDefault="007E04DE">
      <w:pPr>
        <w:pStyle w:val="FootnoteText"/>
      </w:pPr>
      <w:r>
        <w:rPr>
          <w:rStyle w:val="FootnoteReference"/>
        </w:rPr>
        <w:footnoteRef/>
      </w:r>
      <w:r>
        <w:t xml:space="preserve"> Ibid, </w:t>
      </w:r>
      <w:r w:rsidR="008F59F9">
        <w:t xml:space="preserve">54 (showing that </w:t>
      </w:r>
      <w:r w:rsidR="004019DB">
        <w:t xml:space="preserve">a simple </w:t>
      </w:r>
      <w:r w:rsidR="008F59F9">
        <w:t xml:space="preserve">outcome of </w:t>
      </w:r>
      <w:r w:rsidR="005F581D">
        <w:rPr>
          <w:rFonts w:cstheme="minorHAnsi"/>
        </w:rPr>
        <w:t>ʻ</w:t>
      </w:r>
      <w:r w:rsidR="008F59F9">
        <w:t>no infringement</w:t>
      </w:r>
      <w:r w:rsidR="005F581D">
        <w:rPr>
          <w:rFonts w:cstheme="minorHAnsi"/>
        </w:rPr>
        <w:t>ʼ</w:t>
      </w:r>
      <w:r w:rsidR="008F59F9">
        <w:t xml:space="preserve"> </w:t>
      </w:r>
      <w:r w:rsidR="004019DB">
        <w:t xml:space="preserve">was only recorded in 24.9% of cases but that in a further </w:t>
      </w:r>
      <w:r w:rsidR="00CC0CBE">
        <w:t xml:space="preserve">16.6% of cases this was combined with </w:t>
      </w:r>
      <w:r w:rsidR="00346EC7">
        <w:t>‘</w:t>
      </w:r>
      <w:r w:rsidR="00CC0CBE">
        <w:t>advice given</w:t>
      </w:r>
      <w:r w:rsidR="00346EC7">
        <w:t>’</w:t>
      </w:r>
      <w:r w:rsidR="005F581D">
        <w:t xml:space="preserve"> to the controller</w:t>
      </w:r>
      <w:r w:rsidR="00CC0CBE">
        <w:t xml:space="preserve">.  In addition, 2.9% of cases were found not to be subject to the GDPR </w:t>
      </w:r>
      <w:r w:rsidR="00C52B92">
        <w:t xml:space="preserve">(or, by implication, other parts of UK data protection scheme) </w:t>
      </w:r>
      <w:r w:rsidR="00CC0CBE">
        <w:t xml:space="preserve">and 1.1% of cases </w:t>
      </w:r>
      <w:r w:rsidR="006900E4">
        <w:t>were referred to another European DPA</w:t>
      </w:r>
      <w:r w:rsidR="00187AC5">
        <w:t>)</w:t>
      </w:r>
      <w:r w:rsidR="006900E4">
        <w:t>.</w:t>
      </w:r>
    </w:p>
  </w:footnote>
  <w:footnote w:id="45">
    <w:p w14:paraId="2563D3E5" w14:textId="4D0F9475" w:rsidR="00306315" w:rsidRDefault="00306315">
      <w:pPr>
        <w:pStyle w:val="FootnoteText"/>
      </w:pPr>
      <w:r>
        <w:rPr>
          <w:rStyle w:val="FootnoteReference"/>
        </w:rPr>
        <w:footnoteRef/>
      </w:r>
      <w:r>
        <w:t xml:space="preserve"> Ibid, </w:t>
      </w:r>
      <w:r w:rsidR="00935374">
        <w:t xml:space="preserve">35 (showing that seven injunctive enforcement notices, four cautions and eight prosecutions </w:t>
      </w:r>
      <w:r w:rsidR="00200E31">
        <w:t xml:space="preserve">were issued during the year.  </w:t>
      </w:r>
      <w:r w:rsidR="00202DD1">
        <w:t xml:space="preserve">As stated in note </w:t>
      </w:r>
      <w:r w:rsidR="00202DD1">
        <w:fldChar w:fldCharType="begin"/>
      </w:r>
      <w:r w:rsidR="00202DD1">
        <w:instrText xml:space="preserve"> NOTEREF _Ref49178121 \h </w:instrText>
      </w:r>
      <w:r w:rsidR="00202DD1">
        <w:fldChar w:fldCharType="separate"/>
      </w:r>
      <w:r w:rsidR="00DA0E3F">
        <w:t>31</w:t>
      </w:r>
      <w:r w:rsidR="00202DD1">
        <w:fldChar w:fldCharType="end"/>
      </w:r>
      <w:r w:rsidR="00202DD1">
        <w:t xml:space="preserve"> above, t</w:t>
      </w:r>
      <w:r w:rsidR="00200E31">
        <w:t>he ICO’s use of its formal monitoring powers was slightly higher, with 54 information notices and eight assessment notices issued).</w:t>
      </w:r>
    </w:p>
  </w:footnote>
  <w:footnote w:id="46">
    <w:p w14:paraId="135C6D6A" w14:textId="6127B7E9"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The (again often merely theoretical) availability of an alternative remedy in the form of private court action against the controller has also been invoked by the Administrative Court in refusing requests.  See, for example, </w:t>
      </w:r>
      <w:r w:rsidRPr="00F4767F">
        <w:rPr>
          <w:rFonts w:cstheme="minorHAnsi"/>
          <w:i/>
        </w:rPr>
        <w:t>R (Khashaba) v Information Commissioner</w:t>
      </w:r>
      <w:r w:rsidRPr="00F4767F">
        <w:rPr>
          <w:rFonts w:cstheme="minorHAnsi"/>
        </w:rPr>
        <w:t xml:space="preserve"> (CO/2399/2015) (declaring inadmissible the applicant’s attempted judicial review of the ICO for refusing to take action against Google’s refusal to deindex his personal information on the grounds </w:t>
      </w:r>
      <w:r w:rsidRPr="00F4767F">
        <w:rPr>
          <w:rFonts w:cstheme="minorHAnsi"/>
          <w:i/>
        </w:rPr>
        <w:t>inter alia</w:t>
      </w:r>
      <w:r w:rsidRPr="00F4767F">
        <w:rPr>
          <w:rFonts w:cstheme="minorHAnsi"/>
        </w:rPr>
        <w:t xml:space="preserve"> that he had an alternative remedy through suing Google directly).</w:t>
      </w:r>
    </w:p>
  </w:footnote>
  <w:footnote w:id="47">
    <w:p w14:paraId="172F781D" w14:textId="63FA1773"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w:t>
      </w:r>
      <w:r w:rsidR="00FC1231">
        <w:rPr>
          <w:rFonts w:cstheme="minorHAnsi"/>
        </w:rPr>
        <w:t>UK DPA 2018</w:t>
      </w:r>
      <w:r w:rsidRPr="00F4767F">
        <w:rPr>
          <w:rFonts w:cstheme="minorHAnsi"/>
        </w:rPr>
        <w:t>, s. 166.</w:t>
      </w:r>
    </w:p>
  </w:footnote>
  <w:footnote w:id="48">
    <w:p w14:paraId="1D67CF70" w14:textId="395E612C"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w:t>
      </w:r>
      <w:r w:rsidR="001F6FAF">
        <w:rPr>
          <w:rFonts w:cstheme="minorHAnsi"/>
        </w:rPr>
        <w:t>A</w:t>
      </w:r>
      <w:r w:rsidR="0083343A">
        <w:rPr>
          <w:rFonts w:cstheme="minorHAnsi"/>
        </w:rPr>
        <w:t xml:space="preserve"> cognate provision is also found </w:t>
      </w:r>
      <w:r w:rsidRPr="00F4767F">
        <w:rPr>
          <w:rFonts w:cstheme="minorHAnsi"/>
        </w:rPr>
        <w:t>the Law Enforcement Directive 2016/680</w:t>
      </w:r>
      <w:r w:rsidR="00FC1231">
        <w:rPr>
          <w:rFonts w:cstheme="minorHAnsi"/>
        </w:rPr>
        <w:t xml:space="preserve"> (LED)</w:t>
      </w:r>
      <w:r w:rsidRPr="00F4767F">
        <w:rPr>
          <w:rFonts w:cstheme="minorHAnsi"/>
        </w:rPr>
        <w:t xml:space="preserve">. </w:t>
      </w:r>
      <w:r w:rsidR="008A6986">
        <w:rPr>
          <w:rFonts w:cstheme="minorHAnsi"/>
        </w:rPr>
        <w:t xml:space="preserve"> See </w:t>
      </w:r>
      <w:r w:rsidR="008A6986" w:rsidRPr="008A6986">
        <w:rPr>
          <w:rFonts w:cstheme="minorHAnsi"/>
        </w:rPr>
        <w:t>Directive (EU) 2016/680 of the European Parliament and of the Council of 27 April 2016 on the protection of natural persons with regard to the processing of personal data by competent authorities for the purposes of the prevention, investigation, detection or prosecution of criminal offences or the execution of criminal penalties, and on the free movement of such data, and repealing Council Framework Decision 2008/977/JHA</w:t>
      </w:r>
      <w:r w:rsidR="0057664E">
        <w:rPr>
          <w:rFonts w:cstheme="minorHAnsi"/>
        </w:rPr>
        <w:t xml:space="preserve"> [2</w:t>
      </w:r>
      <w:r w:rsidR="009E0C0B">
        <w:rPr>
          <w:rFonts w:cstheme="minorHAnsi"/>
        </w:rPr>
        <w:t>016] OJ L119/89</w:t>
      </w:r>
      <w:r w:rsidR="0057664E">
        <w:rPr>
          <w:rFonts w:cstheme="minorHAnsi"/>
        </w:rPr>
        <w:t>, art 53(2)</w:t>
      </w:r>
      <w:r w:rsidR="00FC1231">
        <w:rPr>
          <w:rFonts w:cstheme="minorHAnsi"/>
        </w:rPr>
        <w:t>.</w:t>
      </w:r>
    </w:p>
  </w:footnote>
  <w:footnote w:id="49">
    <w:p w14:paraId="36C761EC" w14:textId="30BDE562"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GDPR, art 78(2); LED, art</w:t>
      </w:r>
      <w:r w:rsidR="009E0C0B">
        <w:rPr>
          <w:rFonts w:cstheme="minorHAnsi"/>
        </w:rPr>
        <w:t xml:space="preserve"> </w:t>
      </w:r>
      <w:r w:rsidRPr="00F4767F">
        <w:rPr>
          <w:rFonts w:cstheme="minorHAnsi"/>
        </w:rPr>
        <w:t>53(2).</w:t>
      </w:r>
    </w:p>
  </w:footnote>
  <w:footnote w:id="50">
    <w:p w14:paraId="723C865C" w14:textId="0B262D69"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w:t>
      </w:r>
      <w:r w:rsidR="00356FA1">
        <w:rPr>
          <w:rFonts w:cstheme="minorHAnsi"/>
        </w:rPr>
        <w:t xml:space="preserve">This understanding receives further support from Lord Ashton of Hyde, the Minister responsible for the Act’s passage, who stated </w:t>
      </w:r>
      <w:r w:rsidR="00DA0E3F">
        <w:rPr>
          <w:rFonts w:cstheme="minorHAnsi"/>
        </w:rPr>
        <w:t>d</w:t>
      </w:r>
      <w:r w:rsidR="00356FA1">
        <w:rPr>
          <w:rFonts w:cstheme="minorHAnsi"/>
        </w:rPr>
        <w:t>uring the parliamentary proceedings that the Information Commissioner’s role “</w:t>
      </w:r>
      <w:r w:rsidR="00791310">
        <w:rPr>
          <w:rFonts w:cstheme="minorHAnsi"/>
        </w:rPr>
        <w:t xml:space="preserve">involves </w:t>
      </w:r>
      <w:r w:rsidR="00356FA1" w:rsidRPr="00356FA1">
        <w:rPr>
          <w:rFonts w:cstheme="minorHAnsi"/>
        </w:rPr>
        <w:t>fairly handling complaints from data subjects about the processing of their personal data by controllers and processors, and to penalise those found to be in breach</w:t>
      </w:r>
      <w:r w:rsidR="00356FA1">
        <w:rPr>
          <w:rFonts w:cstheme="minorHAnsi"/>
        </w:rPr>
        <w:t>” (</w:t>
      </w:r>
      <w:r w:rsidRPr="00F4767F">
        <w:rPr>
          <w:rFonts w:cstheme="minorHAnsi"/>
        </w:rPr>
        <w:t xml:space="preserve">UK Parliament, House of Lords, </w:t>
      </w:r>
      <w:r w:rsidRPr="00F4767F">
        <w:rPr>
          <w:rFonts w:cstheme="minorHAnsi"/>
          <w:i/>
        </w:rPr>
        <w:t>Hansard</w:t>
      </w:r>
      <w:r w:rsidRPr="00F4767F">
        <w:rPr>
          <w:rFonts w:cstheme="minorHAnsi"/>
        </w:rPr>
        <w:t xml:space="preserve">, 20 November 2017, </w:t>
      </w:r>
      <w:hyperlink r:id="rId16" w:history="1">
        <w:r w:rsidRPr="00F4767F">
          <w:rPr>
            <w:rStyle w:val="Hyperlink"/>
            <w:rFonts w:cstheme="minorHAnsi"/>
          </w:rPr>
          <w:t>https://hansard.parliament.uk/lords/2017-11-20/debates/934984ICA-96BC-43FB-B747-6A5E09B62DAD/DataProtectionBill</w:t>
        </w:r>
      </w:hyperlink>
      <w:r w:rsidRPr="00F4767F">
        <w:rPr>
          <w:rStyle w:val="Hyperlink"/>
          <w:rFonts w:cstheme="minorHAnsi"/>
        </w:rPr>
        <w:t xml:space="preserve"> </w:t>
      </w:r>
      <w:r w:rsidRPr="00F4767F">
        <w:rPr>
          <w:rFonts w:cstheme="minorHAnsi"/>
        </w:rPr>
        <w:t>(17 January 2020)</w:t>
      </w:r>
      <w:r w:rsidR="00356FA1">
        <w:rPr>
          <w:rFonts w:cstheme="minorHAnsi"/>
        </w:rPr>
        <w:t>)</w:t>
      </w:r>
      <w:r w:rsidRPr="00F4767F">
        <w:rPr>
          <w:rFonts w:cstheme="minorHAnsi"/>
        </w:rPr>
        <w:t>.</w:t>
      </w:r>
    </w:p>
  </w:footnote>
  <w:footnote w:id="51">
    <w:p w14:paraId="4E5D6590" w14:textId="056D2006"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w:t>
      </w:r>
      <w:r w:rsidRPr="00F4767F">
        <w:rPr>
          <w:rFonts w:cstheme="minorHAnsi"/>
          <w:i/>
        </w:rPr>
        <w:t>Shiel v Information Commissioner</w:t>
      </w:r>
      <w:r w:rsidRPr="00F4767F">
        <w:rPr>
          <w:rFonts w:cstheme="minorHAnsi"/>
        </w:rPr>
        <w:t xml:space="preserve"> [2019] UKFTT 2019/0018 (GRC).</w:t>
      </w:r>
    </w:p>
  </w:footnote>
  <w:footnote w:id="52">
    <w:p w14:paraId="00AE62EF" w14:textId="0AC72B40"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See, for example, </w:t>
      </w:r>
      <w:r w:rsidRPr="00F4767F">
        <w:rPr>
          <w:rFonts w:cstheme="minorHAnsi"/>
          <w:i/>
        </w:rPr>
        <w:t>Platts v Information Commissioner</w:t>
      </w:r>
      <w:r w:rsidRPr="00F4767F">
        <w:rPr>
          <w:rFonts w:cstheme="minorHAnsi"/>
        </w:rPr>
        <w:t xml:space="preserve"> [2019] UKFTT 2018/0211 (GRC).</w:t>
      </w:r>
    </w:p>
  </w:footnote>
  <w:footnote w:id="53">
    <w:p w14:paraId="390B8231" w14:textId="62E942CD"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w:t>
      </w:r>
      <w:r w:rsidRPr="00F4767F">
        <w:rPr>
          <w:rFonts w:cstheme="minorHAnsi"/>
          <w:i/>
        </w:rPr>
        <w:t>Smith v Information Commissioner</w:t>
      </w:r>
      <w:r w:rsidRPr="00F4767F">
        <w:rPr>
          <w:rFonts w:cstheme="minorHAnsi"/>
        </w:rPr>
        <w:t xml:space="preserve"> [2019] UKFTT 2019/0069 (GRC) at [12].</w:t>
      </w:r>
    </w:p>
  </w:footnote>
  <w:footnote w:id="54">
    <w:p w14:paraId="59B36684" w14:textId="4378B67E"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w:t>
      </w:r>
      <w:r w:rsidRPr="00F4767F">
        <w:rPr>
          <w:rFonts w:cstheme="minorHAnsi"/>
          <w:i/>
        </w:rPr>
        <w:t>Leighton v Information Commissioner (No. 2)</w:t>
      </w:r>
      <w:r w:rsidRPr="00F4767F">
        <w:rPr>
          <w:rFonts w:cstheme="minorHAnsi"/>
        </w:rPr>
        <w:t xml:space="preserve"> [2020] UKUT 23 (AAC).</w:t>
      </w:r>
    </w:p>
  </w:footnote>
  <w:footnote w:id="55">
    <w:p w14:paraId="1B2DA2E8" w14:textId="1FB8760B"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Ibid at [8].</w:t>
      </w:r>
    </w:p>
  </w:footnote>
  <w:footnote w:id="56">
    <w:p w14:paraId="01D51565" w14:textId="707A5DF7"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Indeed, separately from these proceedings, he was attempting to use the Freedom of Information Act 2000 to access what was likely his personal data, notwithstanding that section 40(1) of this Act set out a categorical exclusion of this.</w:t>
      </w:r>
    </w:p>
  </w:footnote>
  <w:footnote w:id="57">
    <w:p w14:paraId="425A9C15" w14:textId="51CD30E8"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See </w:t>
      </w:r>
      <w:r w:rsidRPr="00F4767F">
        <w:rPr>
          <w:rFonts w:cstheme="minorHAnsi"/>
          <w:i/>
        </w:rPr>
        <w:t>Leighton v Information Commissioner (No. 2)</w:t>
      </w:r>
      <w:r w:rsidRPr="00F4767F">
        <w:rPr>
          <w:rFonts w:cstheme="minorHAnsi"/>
        </w:rPr>
        <w:t xml:space="preserve"> at [41]-[56].</w:t>
      </w:r>
    </w:p>
  </w:footnote>
  <w:footnote w:id="58">
    <w:p w14:paraId="37AC140D" w14:textId="38D5A0EF"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Ibid at [4].</w:t>
      </w:r>
    </w:p>
  </w:footnote>
  <w:footnote w:id="59">
    <w:p w14:paraId="3A8928EB" w14:textId="5D438E83"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w:t>
      </w:r>
      <w:r w:rsidR="008D7BEF">
        <w:rPr>
          <w:rFonts w:cstheme="minorHAnsi"/>
        </w:rPr>
        <w:t xml:space="preserve">Law Enforcement </w:t>
      </w:r>
      <w:r>
        <w:rPr>
          <w:rFonts w:cstheme="minorHAnsi"/>
        </w:rPr>
        <w:t xml:space="preserve">Directive 2016/680, </w:t>
      </w:r>
      <w:r w:rsidR="0038451F">
        <w:rPr>
          <w:rFonts w:cstheme="minorHAnsi"/>
        </w:rPr>
        <w:t>art</w:t>
      </w:r>
      <w:r>
        <w:rPr>
          <w:rFonts w:cstheme="minorHAnsi"/>
        </w:rPr>
        <w:t xml:space="preserve"> 54; GDPR, </w:t>
      </w:r>
      <w:r w:rsidR="0038451F">
        <w:rPr>
          <w:rFonts w:cstheme="minorHAnsi"/>
        </w:rPr>
        <w:t>art</w:t>
      </w:r>
      <w:r>
        <w:rPr>
          <w:rFonts w:cstheme="minorHAnsi"/>
        </w:rPr>
        <w:t xml:space="preserve"> 79.</w:t>
      </w:r>
    </w:p>
  </w:footnote>
  <w:footnote w:id="60">
    <w:p w14:paraId="79870877" w14:textId="0051FE9F" w:rsidR="0055493C" w:rsidRDefault="0055493C">
      <w:pPr>
        <w:pStyle w:val="FootnoteText"/>
      </w:pPr>
      <w:r>
        <w:rPr>
          <w:rStyle w:val="FootnoteReference"/>
        </w:rPr>
        <w:footnoteRef/>
      </w:r>
      <w:r>
        <w:t xml:space="preserve"> </w:t>
      </w:r>
      <w:r w:rsidRPr="00F4767F">
        <w:rPr>
          <w:rFonts w:cstheme="minorHAnsi"/>
          <w:i/>
        </w:rPr>
        <w:t>Leighton v Information Commissioner (No. 2)</w:t>
      </w:r>
      <w:r w:rsidRPr="00F4767F">
        <w:rPr>
          <w:rFonts w:cstheme="minorHAnsi"/>
        </w:rPr>
        <w:t xml:space="preserve"> at [</w:t>
      </w:r>
      <w:r>
        <w:rPr>
          <w:rFonts w:cstheme="minorHAnsi"/>
        </w:rPr>
        <w:t>30</w:t>
      </w:r>
      <w:r w:rsidRPr="00F4767F">
        <w:rPr>
          <w:rFonts w:cstheme="minorHAnsi"/>
        </w:rPr>
        <w:t>]</w:t>
      </w:r>
      <w:r>
        <w:rPr>
          <w:rFonts w:cstheme="minorHAnsi"/>
        </w:rPr>
        <w:t>.</w:t>
      </w:r>
    </w:p>
  </w:footnote>
  <w:footnote w:id="61">
    <w:p w14:paraId="17658BE7" w14:textId="124595D9" w:rsidR="0055493C" w:rsidRDefault="0055493C">
      <w:pPr>
        <w:pStyle w:val="FootnoteText"/>
      </w:pPr>
      <w:r>
        <w:rPr>
          <w:rStyle w:val="FootnoteReference"/>
        </w:rPr>
        <w:footnoteRef/>
      </w:r>
      <w:r>
        <w:t xml:space="preserve"> Ibid at [33].</w:t>
      </w:r>
    </w:p>
  </w:footnote>
  <w:footnote w:id="62">
    <w:p w14:paraId="63910158" w14:textId="36AE8B22" w:rsidR="0055493C" w:rsidRDefault="0055493C">
      <w:pPr>
        <w:pStyle w:val="FootnoteText"/>
      </w:pPr>
      <w:r>
        <w:rPr>
          <w:rStyle w:val="FootnoteReference"/>
        </w:rPr>
        <w:footnoteRef/>
      </w:r>
      <w:r>
        <w:t xml:space="preserve"> Ibid at [31].</w:t>
      </w:r>
    </w:p>
  </w:footnote>
  <w:footnote w:id="63">
    <w:p w14:paraId="6135285F" w14:textId="53AF2A4A" w:rsidR="0055493C" w:rsidRDefault="0055493C">
      <w:pPr>
        <w:pStyle w:val="FootnoteText"/>
      </w:pPr>
      <w:r>
        <w:rPr>
          <w:rStyle w:val="FootnoteReference"/>
        </w:rPr>
        <w:footnoteRef/>
      </w:r>
      <w:r>
        <w:t xml:space="preserve"> Ibid at [31].</w:t>
      </w:r>
    </w:p>
  </w:footnote>
  <w:footnote w:id="64">
    <w:p w14:paraId="3F9FB609" w14:textId="64CF7D9D" w:rsidR="00F30DF3" w:rsidRDefault="00F30DF3">
      <w:pPr>
        <w:pStyle w:val="FootnoteText"/>
      </w:pPr>
      <w:r>
        <w:rPr>
          <w:rStyle w:val="FootnoteReference"/>
        </w:rPr>
        <w:footnoteRef/>
      </w:r>
      <w:r>
        <w:t xml:space="preserve"> </w:t>
      </w:r>
      <w:r w:rsidRPr="0027335E">
        <w:rPr>
          <w:i/>
          <w:iCs/>
        </w:rPr>
        <w:t>Scranage v Information Commissioner</w:t>
      </w:r>
      <w:r>
        <w:t xml:space="preserve"> [2002] UKUT 196 (AAC) </w:t>
      </w:r>
      <w:r w:rsidR="001E3D0A">
        <w:t>at [34].</w:t>
      </w:r>
    </w:p>
  </w:footnote>
  <w:footnote w:id="65">
    <w:p w14:paraId="2C054179" w14:textId="7B1D7828" w:rsidR="0055493C" w:rsidRDefault="0055493C">
      <w:pPr>
        <w:pStyle w:val="FootnoteText"/>
      </w:pPr>
      <w:r>
        <w:rPr>
          <w:rStyle w:val="FootnoteReference"/>
        </w:rPr>
        <w:footnoteRef/>
      </w:r>
      <w:r>
        <w:t xml:space="preserve"> </w:t>
      </w:r>
      <w:r w:rsidR="001E3D0A" w:rsidRPr="00F4767F">
        <w:rPr>
          <w:rFonts w:cstheme="minorHAnsi"/>
          <w:i/>
        </w:rPr>
        <w:t>Leighton v Information Commissioner (No. 2)</w:t>
      </w:r>
      <w:r w:rsidR="00CC1D50">
        <w:t xml:space="preserve"> at [44].</w:t>
      </w:r>
    </w:p>
  </w:footnote>
  <w:footnote w:id="66">
    <w:p w14:paraId="0F86D10A" w14:textId="23F088FA" w:rsidR="000707BB" w:rsidRDefault="000707BB">
      <w:pPr>
        <w:pStyle w:val="FootnoteText"/>
      </w:pPr>
      <w:r>
        <w:rPr>
          <w:rStyle w:val="FootnoteReference"/>
        </w:rPr>
        <w:footnoteRef/>
      </w:r>
      <w:r>
        <w:t xml:space="preserve"> C-131/12 Google Spain at [77].</w:t>
      </w:r>
    </w:p>
  </w:footnote>
  <w:footnote w:id="67">
    <w:p w14:paraId="71AFE30D" w14:textId="48FBDCB4" w:rsidR="005B16CE" w:rsidRDefault="005B16CE">
      <w:pPr>
        <w:pStyle w:val="FootnoteText"/>
      </w:pPr>
      <w:r>
        <w:rPr>
          <w:rStyle w:val="FootnoteReference"/>
        </w:rPr>
        <w:footnoteRef/>
      </w:r>
      <w:r>
        <w:t xml:space="preserve"> C-311/18 </w:t>
      </w:r>
      <w:r w:rsidRPr="005B16CE">
        <w:rPr>
          <w:i/>
          <w:iCs/>
        </w:rPr>
        <w:t>Data Protection Commissioner v Facebook Ireland, Schrems</w:t>
      </w:r>
      <w:r>
        <w:t xml:space="preserve"> at [113].</w:t>
      </w:r>
    </w:p>
  </w:footnote>
  <w:footnote w:id="68">
    <w:p w14:paraId="1601DA91" w14:textId="35E34307" w:rsidR="00CA4243" w:rsidRDefault="00CA4243">
      <w:pPr>
        <w:pStyle w:val="FootnoteText"/>
      </w:pPr>
      <w:r>
        <w:rPr>
          <w:rStyle w:val="FootnoteReference"/>
        </w:rPr>
        <w:footnoteRef/>
      </w:r>
      <w:r>
        <w:t xml:space="preserve"> Indeed, </w:t>
      </w:r>
      <w:r w:rsidRPr="0027335E">
        <w:rPr>
          <w:i/>
          <w:iCs/>
        </w:rPr>
        <w:t>Schrems I</w:t>
      </w:r>
      <w:r>
        <w:t xml:space="preserve"> arose </w:t>
      </w:r>
      <w:r w:rsidR="00352EB3">
        <w:t xml:space="preserve">directly </w:t>
      </w:r>
      <w:r w:rsidR="00BC0738">
        <w:t xml:space="preserve">in the context of a </w:t>
      </w:r>
      <w:r w:rsidR="00996BA0">
        <w:t>judicial review of the way in which Irish DPA had handled the complaint of a data subject</w:t>
      </w:r>
      <w:r w:rsidR="00BA2A27">
        <w:t>, namely, Max Schrems</w:t>
      </w:r>
      <w:r w:rsidR="00BC0738">
        <w:t>.</w:t>
      </w:r>
    </w:p>
  </w:footnote>
  <w:footnote w:id="69">
    <w:p w14:paraId="7F62AE4A" w14:textId="23BE144A" w:rsidR="00455E49" w:rsidRDefault="00455E49">
      <w:pPr>
        <w:pStyle w:val="FootnoteText"/>
      </w:pPr>
      <w:r>
        <w:rPr>
          <w:rStyle w:val="FootnoteReference"/>
        </w:rPr>
        <w:footnoteRef/>
      </w:r>
      <w:r>
        <w:t xml:space="preserve"> Ibid at [34].</w:t>
      </w:r>
    </w:p>
  </w:footnote>
  <w:footnote w:id="70">
    <w:p w14:paraId="48673178" w14:textId="387360EE" w:rsidR="000B21E0" w:rsidRDefault="000B21E0">
      <w:pPr>
        <w:pStyle w:val="FootnoteText"/>
      </w:pPr>
      <w:r>
        <w:rPr>
          <w:rStyle w:val="FootnoteReference"/>
        </w:rPr>
        <w:footnoteRef/>
      </w:r>
      <w:r>
        <w:t xml:space="preserve"> See DPA 2018, s. 162 (providing such rights of appeal in relation to information, assessment, enforcement, penalty and penalty variation notices).</w:t>
      </w:r>
    </w:p>
  </w:footnote>
  <w:footnote w:id="71">
    <w:p w14:paraId="2A9FC5A5" w14:textId="0C627976" w:rsidR="000B21E0" w:rsidRDefault="000B21E0">
      <w:pPr>
        <w:pStyle w:val="FootnoteText"/>
      </w:pPr>
      <w:r>
        <w:rPr>
          <w:rStyle w:val="FootnoteReference"/>
        </w:rPr>
        <w:footnoteRef/>
      </w:r>
      <w:r>
        <w:t xml:space="preserve"> It may be argued that </w:t>
      </w:r>
      <w:r w:rsidR="00DA0E3F">
        <w:t xml:space="preserve">a </w:t>
      </w:r>
      <w:r>
        <w:t xml:space="preserve">remedy granted for EU-derived rights should not usually be relied upon in an equivalence analysis.  However, such arguments have generally involved the </w:t>
      </w:r>
      <w:r w:rsidR="00DA0E3F">
        <w:t>S</w:t>
      </w:r>
      <w:r>
        <w:t xml:space="preserve">tate seeking to invoke such remedies in order to defend its own restrictive approach.  See, for example, C-268/06 </w:t>
      </w:r>
      <w:r w:rsidRPr="000B21E0">
        <w:rPr>
          <w:i/>
        </w:rPr>
        <w:t>Impact v Minister for Agriculture and Food et. al</w:t>
      </w:r>
      <w:r>
        <w:t xml:space="preserve">., EU:C:2008:223.  </w:t>
      </w:r>
      <w:r w:rsidR="009060D9">
        <w:t xml:space="preserve">The situation here would clearly be the precise converse.  </w:t>
      </w:r>
      <w:r>
        <w:t xml:space="preserve">I am extremely grateful to Niall Coghlan for bringing </w:t>
      </w:r>
      <w:r w:rsidR="009060D9">
        <w:t>these points to my attention.</w:t>
      </w:r>
    </w:p>
  </w:footnote>
  <w:footnote w:id="72">
    <w:p w14:paraId="462D4CB6" w14:textId="332988C1" w:rsidR="009060D9" w:rsidRDefault="009060D9">
      <w:pPr>
        <w:pStyle w:val="FootnoteText"/>
      </w:pPr>
      <w:r>
        <w:rPr>
          <w:rStyle w:val="FootnoteReference"/>
        </w:rPr>
        <w:footnoteRef/>
      </w:r>
      <w:r>
        <w:t xml:space="preserve"> Freedom of Information Act 2000, s. 162.</w:t>
      </w:r>
    </w:p>
  </w:footnote>
  <w:footnote w:id="73">
    <w:p w14:paraId="1A50C952" w14:textId="24E30BDD" w:rsidR="00403535" w:rsidRDefault="00403535">
      <w:pPr>
        <w:pStyle w:val="FootnoteText"/>
      </w:pPr>
      <w:r>
        <w:rPr>
          <w:rStyle w:val="FootnoteReference"/>
        </w:rPr>
        <w:footnoteRef/>
      </w:r>
      <w:r>
        <w:t xml:space="preserve"> DPA</w:t>
      </w:r>
      <w:r w:rsidR="008D441E">
        <w:t xml:space="preserve"> 2018</w:t>
      </w:r>
      <w:r>
        <w:t xml:space="preserve">, </w:t>
      </w:r>
      <w:r w:rsidR="008D441E">
        <w:t>s</w:t>
      </w:r>
      <w:r>
        <w:t xml:space="preserve"> 166(1)(a).</w:t>
      </w:r>
    </w:p>
  </w:footnote>
  <w:footnote w:id="74">
    <w:p w14:paraId="14511FB9" w14:textId="258E0AB0" w:rsidR="00403535" w:rsidRDefault="00403535">
      <w:pPr>
        <w:pStyle w:val="FootnoteText"/>
      </w:pPr>
      <w:r>
        <w:rPr>
          <w:rStyle w:val="FootnoteReference"/>
        </w:rPr>
        <w:footnoteRef/>
      </w:r>
      <w:r>
        <w:t xml:space="preserve"> GDPR, recital 117; Directive 2016/678, recital 75.</w:t>
      </w:r>
    </w:p>
  </w:footnote>
  <w:footnote w:id="75">
    <w:p w14:paraId="73EE91F7" w14:textId="239F721C" w:rsidR="00FB03C5" w:rsidRDefault="00FB03C5">
      <w:pPr>
        <w:pStyle w:val="FootnoteText"/>
      </w:pPr>
      <w:r>
        <w:rPr>
          <w:rStyle w:val="FootnoteReference"/>
        </w:rPr>
        <w:footnoteRef/>
      </w:r>
      <w:r>
        <w:t xml:space="preserve"> </w:t>
      </w:r>
      <w:r w:rsidR="00356FA1">
        <w:t xml:space="preserve">Thus, </w:t>
      </w:r>
      <w:r w:rsidR="00BE1012">
        <w:t xml:space="preserve">Philip </w:t>
      </w:r>
      <w:r>
        <w:t xml:space="preserve">Coppel, </w:t>
      </w:r>
      <w:r w:rsidRPr="00FB03C5">
        <w:rPr>
          <w:i/>
        </w:rPr>
        <w:t>Information Rights:  Law and Practice</w:t>
      </w:r>
      <w:r>
        <w:t xml:space="preserve"> (4</w:t>
      </w:r>
      <w:r w:rsidRPr="00FB03C5">
        <w:rPr>
          <w:vertAlign w:val="superscript"/>
        </w:rPr>
        <w:t>th</w:t>
      </w:r>
      <w:r>
        <w:t xml:space="preserve"> Edition) (Hart, 2015)</w:t>
      </w:r>
      <w:r w:rsidR="00BE1012">
        <w:t xml:space="preserve"> </w:t>
      </w:r>
      <w:r w:rsidR="00356FA1">
        <w:t>states as regards that legislation that “t</w:t>
      </w:r>
      <w:r w:rsidR="00356FA1" w:rsidRPr="00356FA1">
        <w:t>here is no provision expressly excluding judicial review but, so far as an applicant is concerned, it will ordinarily be excluded by the principle that the court will not generally grant judicial review where there is some other remedy available</w:t>
      </w:r>
      <w:r w:rsidR="00356FA1">
        <w:t>” (</w:t>
      </w:r>
      <w:r>
        <w:t>939</w:t>
      </w:r>
      <w:r w:rsidR="00356FA1">
        <w:t>)</w:t>
      </w:r>
      <w:r>
        <w:t>.</w:t>
      </w:r>
    </w:p>
  </w:footnote>
  <w:footnote w:id="76">
    <w:p w14:paraId="5A0D9E87" w14:textId="78990D5F" w:rsidR="0055493C" w:rsidRPr="00F4767F" w:rsidRDefault="0055493C" w:rsidP="005E4CD7">
      <w:pPr>
        <w:pStyle w:val="FootnoteText"/>
        <w:rPr>
          <w:rFonts w:cstheme="minorHAnsi"/>
        </w:rPr>
      </w:pPr>
      <w:r w:rsidRPr="00F4767F">
        <w:rPr>
          <w:rStyle w:val="FootnoteReference"/>
          <w:rFonts w:cstheme="minorHAnsi"/>
        </w:rPr>
        <w:footnoteRef/>
      </w:r>
      <w:r w:rsidRPr="00F4767F">
        <w:rPr>
          <w:rFonts w:cstheme="minorHAnsi"/>
        </w:rPr>
        <w:t xml:space="preserve"> Graham, Christopher, </w:t>
      </w:r>
      <w:r w:rsidR="00346EC7">
        <w:rPr>
          <w:rFonts w:cstheme="minorHAnsi"/>
        </w:rPr>
        <w:t>‘</w:t>
      </w:r>
      <w:r w:rsidRPr="00F4767F">
        <w:rPr>
          <w:rFonts w:cstheme="minorHAnsi"/>
        </w:rPr>
        <w:t>Spring Conference Keynote</w:t>
      </w:r>
      <w:r w:rsidR="00346EC7">
        <w:rPr>
          <w:rFonts w:cstheme="minorHAnsi"/>
        </w:rPr>
        <w:t>’</w:t>
      </w:r>
      <w:r w:rsidRPr="00F4767F">
        <w:rPr>
          <w:rFonts w:cstheme="minorHAnsi"/>
        </w:rPr>
        <w:t xml:space="preserve"> (2015).</w:t>
      </w:r>
    </w:p>
  </w:footnote>
  <w:footnote w:id="77">
    <w:p w14:paraId="0CA473C7" w14:textId="38DA6B46"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w:t>
      </w:r>
      <w:r w:rsidR="002A4663">
        <w:rPr>
          <w:rFonts w:cstheme="minorHAnsi"/>
        </w:rPr>
        <w:t>Information Commissioner’s</w:t>
      </w:r>
      <w:r w:rsidR="000F31B5" w:rsidRPr="000F31B5">
        <w:rPr>
          <w:rFonts w:cstheme="minorHAnsi"/>
        </w:rPr>
        <w:t xml:space="preserve"> Office, Annual Report and Financial Statements 2019-20 (2020),</w:t>
      </w:r>
      <w:r w:rsidR="00BB6ADF">
        <w:rPr>
          <w:rFonts w:cstheme="minorHAnsi"/>
        </w:rPr>
        <w:t xml:space="preserve"> 72.</w:t>
      </w:r>
    </w:p>
  </w:footnote>
  <w:footnote w:id="78">
    <w:p w14:paraId="56CBFC8B" w14:textId="26209C05"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For an excellent provocative analysis of some of the most fundamental difficulties see Bert-Jaap Koops, ‘The Trouble with European Data Protection Law’</w:t>
      </w:r>
      <w:r w:rsidR="004F0886">
        <w:rPr>
          <w:rFonts w:cstheme="minorHAnsi"/>
        </w:rPr>
        <w:t xml:space="preserve"> (2014) 4</w:t>
      </w:r>
      <w:r w:rsidRPr="00F4767F">
        <w:rPr>
          <w:rFonts w:cstheme="minorHAnsi"/>
          <w:i/>
        </w:rPr>
        <w:t xml:space="preserve"> International Data Privacy Law</w:t>
      </w:r>
      <w:r w:rsidRPr="00F4767F">
        <w:rPr>
          <w:rFonts w:cstheme="minorHAnsi"/>
        </w:rPr>
        <w:t xml:space="preserve"> 250 (2014).</w:t>
      </w:r>
    </w:p>
  </w:footnote>
  <w:footnote w:id="79">
    <w:p w14:paraId="0A9B7632" w14:textId="615A37FC" w:rsidR="0080416B" w:rsidRDefault="0080416B">
      <w:pPr>
        <w:pStyle w:val="FootnoteText"/>
      </w:pPr>
      <w:r>
        <w:rPr>
          <w:rStyle w:val="FootnoteReference"/>
        </w:rPr>
        <w:footnoteRef/>
      </w:r>
      <w:r>
        <w:t xml:space="preserve"> Graham, Christopher, </w:t>
      </w:r>
      <w:r w:rsidR="00346EC7">
        <w:t>‘</w:t>
      </w:r>
      <w:r>
        <w:t>Spring Conference Keynote</w:t>
      </w:r>
      <w:r w:rsidR="00346EC7">
        <w:t>’</w:t>
      </w:r>
      <w:r>
        <w:t xml:space="preserve"> (2015).</w:t>
      </w:r>
    </w:p>
  </w:footnote>
  <w:footnote w:id="80">
    <w:p w14:paraId="17B0F483" w14:textId="5BB97A75" w:rsidR="00BF256B" w:rsidRDefault="00BF256B">
      <w:pPr>
        <w:pStyle w:val="FootnoteText"/>
      </w:pPr>
      <w:r>
        <w:rPr>
          <w:rStyle w:val="FootnoteReference"/>
        </w:rPr>
        <w:footnoteRef/>
      </w:r>
      <w:r>
        <w:t xml:space="preserve"> </w:t>
      </w:r>
      <w:r w:rsidR="006611CA">
        <w:t xml:space="preserve">DPA </w:t>
      </w:r>
      <w:r>
        <w:t>2018, s. 166.</w:t>
      </w:r>
    </w:p>
  </w:footnote>
  <w:footnote w:id="81">
    <w:p w14:paraId="18FA2F1E" w14:textId="5935251E" w:rsidR="0055493C" w:rsidRPr="00F4767F" w:rsidRDefault="0055493C">
      <w:pPr>
        <w:pStyle w:val="FootnoteText"/>
        <w:rPr>
          <w:rFonts w:cstheme="minorHAnsi"/>
        </w:rPr>
      </w:pPr>
      <w:r w:rsidRPr="00F4767F">
        <w:rPr>
          <w:rStyle w:val="FootnoteReference"/>
          <w:rFonts w:cstheme="minorHAnsi"/>
        </w:rPr>
        <w:footnoteRef/>
      </w:r>
      <w:r w:rsidRPr="00F4767F">
        <w:rPr>
          <w:rFonts w:cstheme="minorHAnsi"/>
        </w:rPr>
        <w:t xml:space="preserve"> See Data Protection, Privacy and Electronic Communications (Amendments etc) (EU Exit) Regulations 2019/419.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54972"/>
    <w:multiLevelType w:val="hybridMultilevel"/>
    <w:tmpl w:val="09B0EB4A"/>
    <w:lvl w:ilvl="0" w:tplc="8F508E2E">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 w15:restartNumberingAfterBreak="0">
    <w:nsid w:val="0B07318C"/>
    <w:multiLevelType w:val="hybridMultilevel"/>
    <w:tmpl w:val="ACC22A56"/>
    <w:lvl w:ilvl="0" w:tplc="941804C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54527E3"/>
    <w:multiLevelType w:val="hybridMultilevel"/>
    <w:tmpl w:val="D702E0FC"/>
    <w:lvl w:ilvl="0" w:tplc="D1E6E398">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4087729"/>
    <w:multiLevelType w:val="hybridMultilevel"/>
    <w:tmpl w:val="7EF03C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18939C0"/>
    <w:multiLevelType w:val="hybridMultilevel"/>
    <w:tmpl w:val="C2B0542E"/>
    <w:lvl w:ilvl="0" w:tplc="98A8CB88">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 w15:restartNumberingAfterBreak="0">
    <w:nsid w:val="5FC42A9F"/>
    <w:multiLevelType w:val="hybridMultilevel"/>
    <w:tmpl w:val="DB3E64BE"/>
    <w:lvl w:ilvl="0" w:tplc="DE10CF30">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71E64B47"/>
    <w:multiLevelType w:val="hybridMultilevel"/>
    <w:tmpl w:val="968AA93C"/>
    <w:lvl w:ilvl="0" w:tplc="C7B28032">
      <w:start w:val="1"/>
      <w:numFmt w:val="decimal"/>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73CB7758"/>
    <w:multiLevelType w:val="hybridMultilevel"/>
    <w:tmpl w:val="6B563782"/>
    <w:lvl w:ilvl="0" w:tplc="D52C72F4">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abstractNumId w:val="2"/>
  </w:num>
  <w:num w:numId="2">
    <w:abstractNumId w:val="5"/>
  </w:num>
  <w:num w:numId="3">
    <w:abstractNumId w:val="6"/>
  </w:num>
  <w:num w:numId="4">
    <w:abstractNumId w:val="7"/>
  </w:num>
  <w:num w:numId="5">
    <w:abstractNumId w:val="4"/>
  </w:num>
  <w:num w:numId="6">
    <w:abstractNumId w:val="0"/>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removePersonalInformation/>
  <w:removeDateAndTime/>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6A98"/>
    <w:rsid w:val="00000757"/>
    <w:rsid w:val="000007F7"/>
    <w:rsid w:val="00000D8D"/>
    <w:rsid w:val="00002998"/>
    <w:rsid w:val="00002D48"/>
    <w:rsid w:val="000071CB"/>
    <w:rsid w:val="0001057D"/>
    <w:rsid w:val="00014044"/>
    <w:rsid w:val="00015EA1"/>
    <w:rsid w:val="00015FD7"/>
    <w:rsid w:val="000167D8"/>
    <w:rsid w:val="000311DE"/>
    <w:rsid w:val="00037086"/>
    <w:rsid w:val="00037653"/>
    <w:rsid w:val="00043804"/>
    <w:rsid w:val="000444AF"/>
    <w:rsid w:val="000470B5"/>
    <w:rsid w:val="00050B28"/>
    <w:rsid w:val="00051488"/>
    <w:rsid w:val="00053797"/>
    <w:rsid w:val="00053911"/>
    <w:rsid w:val="000662E3"/>
    <w:rsid w:val="00066BCF"/>
    <w:rsid w:val="000671A0"/>
    <w:rsid w:val="000707BB"/>
    <w:rsid w:val="00070D8F"/>
    <w:rsid w:val="00076967"/>
    <w:rsid w:val="000840B0"/>
    <w:rsid w:val="000841B5"/>
    <w:rsid w:val="00087004"/>
    <w:rsid w:val="00091EC0"/>
    <w:rsid w:val="000A1F1E"/>
    <w:rsid w:val="000A64D3"/>
    <w:rsid w:val="000A6D7C"/>
    <w:rsid w:val="000B033F"/>
    <w:rsid w:val="000B21E0"/>
    <w:rsid w:val="000B24FC"/>
    <w:rsid w:val="000B7991"/>
    <w:rsid w:val="000C16FD"/>
    <w:rsid w:val="000C1BC2"/>
    <w:rsid w:val="000C72E6"/>
    <w:rsid w:val="000D4665"/>
    <w:rsid w:val="000D6AA1"/>
    <w:rsid w:val="000D7A55"/>
    <w:rsid w:val="000E5405"/>
    <w:rsid w:val="000E6469"/>
    <w:rsid w:val="000E702C"/>
    <w:rsid w:val="000F31B5"/>
    <w:rsid w:val="000F4F2D"/>
    <w:rsid w:val="000F6BC6"/>
    <w:rsid w:val="000F712B"/>
    <w:rsid w:val="00106533"/>
    <w:rsid w:val="00107027"/>
    <w:rsid w:val="00123E51"/>
    <w:rsid w:val="00131696"/>
    <w:rsid w:val="00132F51"/>
    <w:rsid w:val="001334A7"/>
    <w:rsid w:val="00136695"/>
    <w:rsid w:val="00137A59"/>
    <w:rsid w:val="0014083B"/>
    <w:rsid w:val="00141E4B"/>
    <w:rsid w:val="0014588B"/>
    <w:rsid w:val="0015493D"/>
    <w:rsid w:val="00156A43"/>
    <w:rsid w:val="001642E1"/>
    <w:rsid w:val="00170561"/>
    <w:rsid w:val="001801D8"/>
    <w:rsid w:val="0018033F"/>
    <w:rsid w:val="00185300"/>
    <w:rsid w:val="00185394"/>
    <w:rsid w:val="001854EC"/>
    <w:rsid w:val="00187AC5"/>
    <w:rsid w:val="0019150A"/>
    <w:rsid w:val="001A1134"/>
    <w:rsid w:val="001A5805"/>
    <w:rsid w:val="001B01B7"/>
    <w:rsid w:val="001B448A"/>
    <w:rsid w:val="001B45C2"/>
    <w:rsid w:val="001B645B"/>
    <w:rsid w:val="001C2706"/>
    <w:rsid w:val="001C6EFC"/>
    <w:rsid w:val="001C78ED"/>
    <w:rsid w:val="001D08BF"/>
    <w:rsid w:val="001E1751"/>
    <w:rsid w:val="001E3D0A"/>
    <w:rsid w:val="001E78B1"/>
    <w:rsid w:val="001F12AA"/>
    <w:rsid w:val="001F167E"/>
    <w:rsid w:val="001F41E4"/>
    <w:rsid w:val="001F6FAF"/>
    <w:rsid w:val="00200E31"/>
    <w:rsid w:val="00202DD1"/>
    <w:rsid w:val="00217FF8"/>
    <w:rsid w:val="00224BB2"/>
    <w:rsid w:val="0023211F"/>
    <w:rsid w:val="0023498C"/>
    <w:rsid w:val="002414A9"/>
    <w:rsid w:val="00247E6F"/>
    <w:rsid w:val="00256559"/>
    <w:rsid w:val="002640CD"/>
    <w:rsid w:val="00267534"/>
    <w:rsid w:val="0027335E"/>
    <w:rsid w:val="00275BB2"/>
    <w:rsid w:val="002902D1"/>
    <w:rsid w:val="002904C0"/>
    <w:rsid w:val="00291458"/>
    <w:rsid w:val="00293E9A"/>
    <w:rsid w:val="00294566"/>
    <w:rsid w:val="002950B2"/>
    <w:rsid w:val="002A4663"/>
    <w:rsid w:val="002A59D0"/>
    <w:rsid w:val="002B4E81"/>
    <w:rsid w:val="002B7CE5"/>
    <w:rsid w:val="002C015C"/>
    <w:rsid w:val="002C1DA3"/>
    <w:rsid w:val="002C33F1"/>
    <w:rsid w:val="002C4A4A"/>
    <w:rsid w:val="002C5E7D"/>
    <w:rsid w:val="002E0E1E"/>
    <w:rsid w:val="002E51F6"/>
    <w:rsid w:val="002E6A98"/>
    <w:rsid w:val="002F020A"/>
    <w:rsid w:val="002F37EE"/>
    <w:rsid w:val="002F43DA"/>
    <w:rsid w:val="002F4FA8"/>
    <w:rsid w:val="00306315"/>
    <w:rsid w:val="00312D3B"/>
    <w:rsid w:val="00313309"/>
    <w:rsid w:val="00316DB9"/>
    <w:rsid w:val="0031791E"/>
    <w:rsid w:val="003247AE"/>
    <w:rsid w:val="00327322"/>
    <w:rsid w:val="0032764C"/>
    <w:rsid w:val="00330E62"/>
    <w:rsid w:val="00334445"/>
    <w:rsid w:val="00345D48"/>
    <w:rsid w:val="00346EC7"/>
    <w:rsid w:val="003501BA"/>
    <w:rsid w:val="00352EB3"/>
    <w:rsid w:val="00353180"/>
    <w:rsid w:val="00354A1F"/>
    <w:rsid w:val="00356FA1"/>
    <w:rsid w:val="00373BE1"/>
    <w:rsid w:val="003745FB"/>
    <w:rsid w:val="00382956"/>
    <w:rsid w:val="00382FDD"/>
    <w:rsid w:val="0038438C"/>
    <w:rsid w:val="0038451F"/>
    <w:rsid w:val="00390AFE"/>
    <w:rsid w:val="00393AF4"/>
    <w:rsid w:val="00394456"/>
    <w:rsid w:val="003954B4"/>
    <w:rsid w:val="00396146"/>
    <w:rsid w:val="003A0CFA"/>
    <w:rsid w:val="003A79C0"/>
    <w:rsid w:val="003B6875"/>
    <w:rsid w:val="003C0587"/>
    <w:rsid w:val="003D2717"/>
    <w:rsid w:val="003D34F9"/>
    <w:rsid w:val="003D48D1"/>
    <w:rsid w:val="003F2E20"/>
    <w:rsid w:val="003F3646"/>
    <w:rsid w:val="004019DB"/>
    <w:rsid w:val="00403535"/>
    <w:rsid w:val="00414EF5"/>
    <w:rsid w:val="0042124C"/>
    <w:rsid w:val="00427BA8"/>
    <w:rsid w:val="00430F97"/>
    <w:rsid w:val="00433785"/>
    <w:rsid w:val="0044076D"/>
    <w:rsid w:val="004451EC"/>
    <w:rsid w:val="00445EA4"/>
    <w:rsid w:val="004468AC"/>
    <w:rsid w:val="004537A1"/>
    <w:rsid w:val="00455E49"/>
    <w:rsid w:val="0045761B"/>
    <w:rsid w:val="00462BA9"/>
    <w:rsid w:val="00466F67"/>
    <w:rsid w:val="0047180F"/>
    <w:rsid w:val="004755DD"/>
    <w:rsid w:val="00480BD7"/>
    <w:rsid w:val="00482383"/>
    <w:rsid w:val="004825F7"/>
    <w:rsid w:val="0048337B"/>
    <w:rsid w:val="00484C2C"/>
    <w:rsid w:val="004922C3"/>
    <w:rsid w:val="004A0002"/>
    <w:rsid w:val="004A0F34"/>
    <w:rsid w:val="004A5479"/>
    <w:rsid w:val="004C725C"/>
    <w:rsid w:val="004C74EB"/>
    <w:rsid w:val="004D4B98"/>
    <w:rsid w:val="004E06A9"/>
    <w:rsid w:val="004E0904"/>
    <w:rsid w:val="004F0886"/>
    <w:rsid w:val="004F1AE0"/>
    <w:rsid w:val="004F7269"/>
    <w:rsid w:val="004F76ED"/>
    <w:rsid w:val="005004D6"/>
    <w:rsid w:val="005040C5"/>
    <w:rsid w:val="00510524"/>
    <w:rsid w:val="00513A62"/>
    <w:rsid w:val="005344E0"/>
    <w:rsid w:val="005362F5"/>
    <w:rsid w:val="00536C4D"/>
    <w:rsid w:val="005431AC"/>
    <w:rsid w:val="0054612F"/>
    <w:rsid w:val="0055493C"/>
    <w:rsid w:val="00555630"/>
    <w:rsid w:val="0055706F"/>
    <w:rsid w:val="0055737E"/>
    <w:rsid w:val="00557BA6"/>
    <w:rsid w:val="00560D62"/>
    <w:rsid w:val="0056740A"/>
    <w:rsid w:val="00574611"/>
    <w:rsid w:val="00575186"/>
    <w:rsid w:val="0057664E"/>
    <w:rsid w:val="00581487"/>
    <w:rsid w:val="005873E3"/>
    <w:rsid w:val="005934B1"/>
    <w:rsid w:val="005957AA"/>
    <w:rsid w:val="00596640"/>
    <w:rsid w:val="005A0C5C"/>
    <w:rsid w:val="005A100E"/>
    <w:rsid w:val="005A4509"/>
    <w:rsid w:val="005A6047"/>
    <w:rsid w:val="005B0536"/>
    <w:rsid w:val="005B16CE"/>
    <w:rsid w:val="005B6831"/>
    <w:rsid w:val="005C7DF2"/>
    <w:rsid w:val="005D5CE9"/>
    <w:rsid w:val="005E1D56"/>
    <w:rsid w:val="005E4182"/>
    <w:rsid w:val="005E4CD7"/>
    <w:rsid w:val="005E7CFB"/>
    <w:rsid w:val="005F41A4"/>
    <w:rsid w:val="005F501F"/>
    <w:rsid w:val="005F581D"/>
    <w:rsid w:val="005F5E11"/>
    <w:rsid w:val="005F6A8A"/>
    <w:rsid w:val="00615E0E"/>
    <w:rsid w:val="006255FD"/>
    <w:rsid w:val="0062794E"/>
    <w:rsid w:val="006332AC"/>
    <w:rsid w:val="00637DA3"/>
    <w:rsid w:val="006420C3"/>
    <w:rsid w:val="006513A3"/>
    <w:rsid w:val="0065621E"/>
    <w:rsid w:val="006611CA"/>
    <w:rsid w:val="006836CB"/>
    <w:rsid w:val="00683733"/>
    <w:rsid w:val="00684165"/>
    <w:rsid w:val="006900E4"/>
    <w:rsid w:val="006904BA"/>
    <w:rsid w:val="006908BE"/>
    <w:rsid w:val="006963CC"/>
    <w:rsid w:val="0069700A"/>
    <w:rsid w:val="006A2153"/>
    <w:rsid w:val="006A3F7F"/>
    <w:rsid w:val="006A590F"/>
    <w:rsid w:val="006A5F26"/>
    <w:rsid w:val="006B06D8"/>
    <w:rsid w:val="006B1755"/>
    <w:rsid w:val="006B2599"/>
    <w:rsid w:val="006C0277"/>
    <w:rsid w:val="006C0686"/>
    <w:rsid w:val="006C15D2"/>
    <w:rsid w:val="006C764E"/>
    <w:rsid w:val="006D2166"/>
    <w:rsid w:val="006D37C7"/>
    <w:rsid w:val="006D678F"/>
    <w:rsid w:val="006D6A18"/>
    <w:rsid w:val="006E4257"/>
    <w:rsid w:val="006E687D"/>
    <w:rsid w:val="006F15BC"/>
    <w:rsid w:val="006F31EB"/>
    <w:rsid w:val="006F4BA4"/>
    <w:rsid w:val="006F4CB7"/>
    <w:rsid w:val="006F5C3B"/>
    <w:rsid w:val="00700EC0"/>
    <w:rsid w:val="00701353"/>
    <w:rsid w:val="007045A9"/>
    <w:rsid w:val="00720D83"/>
    <w:rsid w:val="00721A8C"/>
    <w:rsid w:val="00726E69"/>
    <w:rsid w:val="00732D30"/>
    <w:rsid w:val="00740053"/>
    <w:rsid w:val="00742D51"/>
    <w:rsid w:val="00747D40"/>
    <w:rsid w:val="00750560"/>
    <w:rsid w:val="0076391D"/>
    <w:rsid w:val="00764FAD"/>
    <w:rsid w:val="00766B89"/>
    <w:rsid w:val="00773D64"/>
    <w:rsid w:val="0077483D"/>
    <w:rsid w:val="00775329"/>
    <w:rsid w:val="0079000C"/>
    <w:rsid w:val="00791310"/>
    <w:rsid w:val="00791EE7"/>
    <w:rsid w:val="007968BC"/>
    <w:rsid w:val="007A0051"/>
    <w:rsid w:val="007A1B42"/>
    <w:rsid w:val="007A4365"/>
    <w:rsid w:val="007A50A7"/>
    <w:rsid w:val="007A5C34"/>
    <w:rsid w:val="007B4C59"/>
    <w:rsid w:val="007B657F"/>
    <w:rsid w:val="007C0C28"/>
    <w:rsid w:val="007E04DE"/>
    <w:rsid w:val="007E0B90"/>
    <w:rsid w:val="007F35F0"/>
    <w:rsid w:val="007F5768"/>
    <w:rsid w:val="00801553"/>
    <w:rsid w:val="008021B9"/>
    <w:rsid w:val="00802BCD"/>
    <w:rsid w:val="0080416B"/>
    <w:rsid w:val="00804764"/>
    <w:rsid w:val="00810CC0"/>
    <w:rsid w:val="00820A3E"/>
    <w:rsid w:val="00821843"/>
    <w:rsid w:val="00821CA7"/>
    <w:rsid w:val="00821CFD"/>
    <w:rsid w:val="00823FC0"/>
    <w:rsid w:val="0082720C"/>
    <w:rsid w:val="0083268D"/>
    <w:rsid w:val="0083343A"/>
    <w:rsid w:val="00837A12"/>
    <w:rsid w:val="00837D1F"/>
    <w:rsid w:val="008425F4"/>
    <w:rsid w:val="0084420D"/>
    <w:rsid w:val="00844ECF"/>
    <w:rsid w:val="008473EB"/>
    <w:rsid w:val="008509BC"/>
    <w:rsid w:val="008520B0"/>
    <w:rsid w:val="00854188"/>
    <w:rsid w:val="00864A79"/>
    <w:rsid w:val="00865025"/>
    <w:rsid w:val="00865922"/>
    <w:rsid w:val="0087256C"/>
    <w:rsid w:val="00872EB3"/>
    <w:rsid w:val="00872F64"/>
    <w:rsid w:val="00874629"/>
    <w:rsid w:val="00877551"/>
    <w:rsid w:val="008831B2"/>
    <w:rsid w:val="00884663"/>
    <w:rsid w:val="00885206"/>
    <w:rsid w:val="00885B55"/>
    <w:rsid w:val="00892919"/>
    <w:rsid w:val="008A4073"/>
    <w:rsid w:val="008A6986"/>
    <w:rsid w:val="008B0D27"/>
    <w:rsid w:val="008B1831"/>
    <w:rsid w:val="008C16D6"/>
    <w:rsid w:val="008C50C4"/>
    <w:rsid w:val="008D315A"/>
    <w:rsid w:val="008D441E"/>
    <w:rsid w:val="008D5E5F"/>
    <w:rsid w:val="008D7BEF"/>
    <w:rsid w:val="008E2791"/>
    <w:rsid w:val="008F59F9"/>
    <w:rsid w:val="008F6F52"/>
    <w:rsid w:val="00905BF8"/>
    <w:rsid w:val="009060D9"/>
    <w:rsid w:val="00906D5A"/>
    <w:rsid w:val="00907A05"/>
    <w:rsid w:val="00914CDD"/>
    <w:rsid w:val="00920CAE"/>
    <w:rsid w:val="009329D5"/>
    <w:rsid w:val="009347D0"/>
    <w:rsid w:val="00935374"/>
    <w:rsid w:val="00935EE5"/>
    <w:rsid w:val="00940340"/>
    <w:rsid w:val="009412F4"/>
    <w:rsid w:val="00953445"/>
    <w:rsid w:val="0096370D"/>
    <w:rsid w:val="00963F16"/>
    <w:rsid w:val="009646B2"/>
    <w:rsid w:val="0096533B"/>
    <w:rsid w:val="00983B20"/>
    <w:rsid w:val="0099226D"/>
    <w:rsid w:val="009960B1"/>
    <w:rsid w:val="0099611F"/>
    <w:rsid w:val="00996BA0"/>
    <w:rsid w:val="009A1445"/>
    <w:rsid w:val="009A5C0B"/>
    <w:rsid w:val="009B2778"/>
    <w:rsid w:val="009B37C8"/>
    <w:rsid w:val="009B5F8E"/>
    <w:rsid w:val="009C2CCF"/>
    <w:rsid w:val="009E0C0B"/>
    <w:rsid w:val="009E130E"/>
    <w:rsid w:val="009E2528"/>
    <w:rsid w:val="009E2CB3"/>
    <w:rsid w:val="009E4549"/>
    <w:rsid w:val="009E5569"/>
    <w:rsid w:val="009F04BE"/>
    <w:rsid w:val="00A055D7"/>
    <w:rsid w:val="00A26BC0"/>
    <w:rsid w:val="00A26EC4"/>
    <w:rsid w:val="00A31C32"/>
    <w:rsid w:val="00A355D1"/>
    <w:rsid w:val="00A35F68"/>
    <w:rsid w:val="00A41CD8"/>
    <w:rsid w:val="00A47116"/>
    <w:rsid w:val="00A47A77"/>
    <w:rsid w:val="00A52AA8"/>
    <w:rsid w:val="00A52DB5"/>
    <w:rsid w:val="00A52F09"/>
    <w:rsid w:val="00A617DD"/>
    <w:rsid w:val="00A62AF4"/>
    <w:rsid w:val="00A66A1B"/>
    <w:rsid w:val="00A66E72"/>
    <w:rsid w:val="00A74E3C"/>
    <w:rsid w:val="00A76E8C"/>
    <w:rsid w:val="00A779DA"/>
    <w:rsid w:val="00A81447"/>
    <w:rsid w:val="00A832E4"/>
    <w:rsid w:val="00A860F2"/>
    <w:rsid w:val="00A9027D"/>
    <w:rsid w:val="00A94D30"/>
    <w:rsid w:val="00AA1C46"/>
    <w:rsid w:val="00AA2104"/>
    <w:rsid w:val="00AB1576"/>
    <w:rsid w:val="00AB3CE3"/>
    <w:rsid w:val="00AB6D78"/>
    <w:rsid w:val="00AC1DB4"/>
    <w:rsid w:val="00AC1DFC"/>
    <w:rsid w:val="00AD2FD9"/>
    <w:rsid w:val="00AE2693"/>
    <w:rsid w:val="00AE4497"/>
    <w:rsid w:val="00AF0D07"/>
    <w:rsid w:val="00AF2D1F"/>
    <w:rsid w:val="00AF5E9E"/>
    <w:rsid w:val="00B04C88"/>
    <w:rsid w:val="00B1295D"/>
    <w:rsid w:val="00B14AB3"/>
    <w:rsid w:val="00B14CF0"/>
    <w:rsid w:val="00B211DE"/>
    <w:rsid w:val="00B226F1"/>
    <w:rsid w:val="00B30E0B"/>
    <w:rsid w:val="00B37126"/>
    <w:rsid w:val="00B41A5A"/>
    <w:rsid w:val="00B47984"/>
    <w:rsid w:val="00B638EE"/>
    <w:rsid w:val="00B71106"/>
    <w:rsid w:val="00B75944"/>
    <w:rsid w:val="00B878B0"/>
    <w:rsid w:val="00B91EA2"/>
    <w:rsid w:val="00B93D6C"/>
    <w:rsid w:val="00B93E78"/>
    <w:rsid w:val="00B96257"/>
    <w:rsid w:val="00BA1DAE"/>
    <w:rsid w:val="00BA20C4"/>
    <w:rsid w:val="00BA2A27"/>
    <w:rsid w:val="00BA5925"/>
    <w:rsid w:val="00BB489C"/>
    <w:rsid w:val="00BB6ADF"/>
    <w:rsid w:val="00BC0738"/>
    <w:rsid w:val="00BC76EA"/>
    <w:rsid w:val="00BD636A"/>
    <w:rsid w:val="00BD63C6"/>
    <w:rsid w:val="00BE1012"/>
    <w:rsid w:val="00BE2E58"/>
    <w:rsid w:val="00BE4BD6"/>
    <w:rsid w:val="00BF256B"/>
    <w:rsid w:val="00C022F6"/>
    <w:rsid w:val="00C10807"/>
    <w:rsid w:val="00C115BD"/>
    <w:rsid w:val="00C11E9D"/>
    <w:rsid w:val="00C22E0E"/>
    <w:rsid w:val="00C27CCB"/>
    <w:rsid w:val="00C27EBD"/>
    <w:rsid w:val="00C34628"/>
    <w:rsid w:val="00C45AB6"/>
    <w:rsid w:val="00C45AC3"/>
    <w:rsid w:val="00C4661C"/>
    <w:rsid w:val="00C47969"/>
    <w:rsid w:val="00C50142"/>
    <w:rsid w:val="00C513B3"/>
    <w:rsid w:val="00C52B92"/>
    <w:rsid w:val="00C57292"/>
    <w:rsid w:val="00C61B87"/>
    <w:rsid w:val="00C639FA"/>
    <w:rsid w:val="00C64975"/>
    <w:rsid w:val="00C64C40"/>
    <w:rsid w:val="00C64C7A"/>
    <w:rsid w:val="00C87BA2"/>
    <w:rsid w:val="00C87E4C"/>
    <w:rsid w:val="00C91151"/>
    <w:rsid w:val="00C9264D"/>
    <w:rsid w:val="00C94F15"/>
    <w:rsid w:val="00C9620D"/>
    <w:rsid w:val="00CA4243"/>
    <w:rsid w:val="00CA55C7"/>
    <w:rsid w:val="00CA7A1A"/>
    <w:rsid w:val="00CB20C1"/>
    <w:rsid w:val="00CB61D8"/>
    <w:rsid w:val="00CB7B92"/>
    <w:rsid w:val="00CC0CBE"/>
    <w:rsid w:val="00CC1D50"/>
    <w:rsid w:val="00CC534F"/>
    <w:rsid w:val="00CD3AB9"/>
    <w:rsid w:val="00CD6DC4"/>
    <w:rsid w:val="00CE226E"/>
    <w:rsid w:val="00CE4B91"/>
    <w:rsid w:val="00CE6B01"/>
    <w:rsid w:val="00CE7BD3"/>
    <w:rsid w:val="00CF0035"/>
    <w:rsid w:val="00CF0050"/>
    <w:rsid w:val="00D018DF"/>
    <w:rsid w:val="00D05C8A"/>
    <w:rsid w:val="00D10054"/>
    <w:rsid w:val="00D22543"/>
    <w:rsid w:val="00D357BF"/>
    <w:rsid w:val="00D52117"/>
    <w:rsid w:val="00D52277"/>
    <w:rsid w:val="00D52FBA"/>
    <w:rsid w:val="00D56CB6"/>
    <w:rsid w:val="00D639A3"/>
    <w:rsid w:val="00D70E63"/>
    <w:rsid w:val="00D714E7"/>
    <w:rsid w:val="00D80CF1"/>
    <w:rsid w:val="00D92D27"/>
    <w:rsid w:val="00D9645A"/>
    <w:rsid w:val="00D96E7E"/>
    <w:rsid w:val="00D971DF"/>
    <w:rsid w:val="00DA0E3F"/>
    <w:rsid w:val="00DA1CA0"/>
    <w:rsid w:val="00DA5467"/>
    <w:rsid w:val="00DA7037"/>
    <w:rsid w:val="00DB33E8"/>
    <w:rsid w:val="00DC28CC"/>
    <w:rsid w:val="00DC7FE3"/>
    <w:rsid w:val="00DD584A"/>
    <w:rsid w:val="00DE0EE8"/>
    <w:rsid w:val="00DE735E"/>
    <w:rsid w:val="00E0520B"/>
    <w:rsid w:val="00E063B5"/>
    <w:rsid w:val="00E1023E"/>
    <w:rsid w:val="00E251EC"/>
    <w:rsid w:val="00E300CA"/>
    <w:rsid w:val="00E40FD1"/>
    <w:rsid w:val="00E42C4C"/>
    <w:rsid w:val="00E42F7D"/>
    <w:rsid w:val="00E44855"/>
    <w:rsid w:val="00E449BB"/>
    <w:rsid w:val="00E455CD"/>
    <w:rsid w:val="00E50B69"/>
    <w:rsid w:val="00E52E2A"/>
    <w:rsid w:val="00E53B2D"/>
    <w:rsid w:val="00E54AFB"/>
    <w:rsid w:val="00E64110"/>
    <w:rsid w:val="00E7185F"/>
    <w:rsid w:val="00E71FBD"/>
    <w:rsid w:val="00E73701"/>
    <w:rsid w:val="00E816FD"/>
    <w:rsid w:val="00E8516E"/>
    <w:rsid w:val="00E90C46"/>
    <w:rsid w:val="00E92F1F"/>
    <w:rsid w:val="00E93E7E"/>
    <w:rsid w:val="00E95EC3"/>
    <w:rsid w:val="00E969F3"/>
    <w:rsid w:val="00EA7D4F"/>
    <w:rsid w:val="00EB4643"/>
    <w:rsid w:val="00EB7C53"/>
    <w:rsid w:val="00EC6FD9"/>
    <w:rsid w:val="00ED1EF4"/>
    <w:rsid w:val="00ED2AAA"/>
    <w:rsid w:val="00EE72C4"/>
    <w:rsid w:val="00EE7543"/>
    <w:rsid w:val="00EF1352"/>
    <w:rsid w:val="00EF2CAA"/>
    <w:rsid w:val="00F02BB4"/>
    <w:rsid w:val="00F044C2"/>
    <w:rsid w:val="00F06D4F"/>
    <w:rsid w:val="00F10396"/>
    <w:rsid w:val="00F13912"/>
    <w:rsid w:val="00F177B5"/>
    <w:rsid w:val="00F24D01"/>
    <w:rsid w:val="00F24F0B"/>
    <w:rsid w:val="00F26997"/>
    <w:rsid w:val="00F27B76"/>
    <w:rsid w:val="00F3010A"/>
    <w:rsid w:val="00F30DF3"/>
    <w:rsid w:val="00F31F55"/>
    <w:rsid w:val="00F32365"/>
    <w:rsid w:val="00F43BDE"/>
    <w:rsid w:val="00F4767F"/>
    <w:rsid w:val="00F51B9B"/>
    <w:rsid w:val="00F563C5"/>
    <w:rsid w:val="00F57E48"/>
    <w:rsid w:val="00F616C9"/>
    <w:rsid w:val="00F61D23"/>
    <w:rsid w:val="00F7235C"/>
    <w:rsid w:val="00F75D59"/>
    <w:rsid w:val="00F805C9"/>
    <w:rsid w:val="00F80750"/>
    <w:rsid w:val="00F91A33"/>
    <w:rsid w:val="00F92C57"/>
    <w:rsid w:val="00FA1C11"/>
    <w:rsid w:val="00FB03C5"/>
    <w:rsid w:val="00FB3470"/>
    <w:rsid w:val="00FB5EEF"/>
    <w:rsid w:val="00FB5F5F"/>
    <w:rsid w:val="00FB62FB"/>
    <w:rsid w:val="00FC1231"/>
    <w:rsid w:val="00FD458A"/>
    <w:rsid w:val="00FD4D9E"/>
    <w:rsid w:val="00FE3F9D"/>
    <w:rsid w:val="00FF00D7"/>
    <w:rsid w:val="00FF31A7"/>
    <w:rsid w:val="00FF489A"/>
    <w:rsid w:val="00FF54BE"/>
    <w:rsid w:val="00FF77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7853D4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3708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2E6A9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E6A98"/>
    <w:rPr>
      <w:rFonts w:asciiTheme="majorHAnsi" w:eastAsiaTheme="majorEastAsia" w:hAnsiTheme="majorHAnsi" w:cstheme="majorBidi"/>
      <w:spacing w:val="-10"/>
      <w:kern w:val="28"/>
      <w:sz w:val="56"/>
      <w:szCs w:val="56"/>
    </w:rPr>
  </w:style>
  <w:style w:type="paragraph" w:styleId="Header">
    <w:name w:val="header"/>
    <w:basedOn w:val="Normal"/>
    <w:link w:val="HeaderChar"/>
    <w:uiPriority w:val="99"/>
    <w:unhideWhenUsed/>
    <w:rsid w:val="00874629"/>
    <w:pPr>
      <w:tabs>
        <w:tab w:val="center" w:pos="4513"/>
        <w:tab w:val="right" w:pos="9026"/>
      </w:tabs>
      <w:spacing w:after="0" w:line="240" w:lineRule="auto"/>
    </w:pPr>
  </w:style>
  <w:style w:type="character" w:customStyle="1" w:styleId="HeaderChar">
    <w:name w:val="Header Char"/>
    <w:basedOn w:val="DefaultParagraphFont"/>
    <w:link w:val="Header"/>
    <w:uiPriority w:val="99"/>
    <w:rsid w:val="00874629"/>
  </w:style>
  <w:style w:type="paragraph" w:styleId="Footer">
    <w:name w:val="footer"/>
    <w:basedOn w:val="Normal"/>
    <w:link w:val="FooterChar"/>
    <w:uiPriority w:val="99"/>
    <w:unhideWhenUsed/>
    <w:rsid w:val="00874629"/>
    <w:pPr>
      <w:tabs>
        <w:tab w:val="center" w:pos="4513"/>
        <w:tab w:val="right" w:pos="9026"/>
      </w:tabs>
      <w:spacing w:after="0" w:line="240" w:lineRule="auto"/>
    </w:pPr>
  </w:style>
  <w:style w:type="character" w:customStyle="1" w:styleId="FooterChar">
    <w:name w:val="Footer Char"/>
    <w:basedOn w:val="DefaultParagraphFont"/>
    <w:link w:val="Footer"/>
    <w:uiPriority w:val="99"/>
    <w:rsid w:val="00874629"/>
  </w:style>
  <w:style w:type="paragraph" w:styleId="FootnoteText">
    <w:name w:val="footnote text"/>
    <w:basedOn w:val="Normal"/>
    <w:link w:val="FootnoteTextChar"/>
    <w:uiPriority w:val="99"/>
    <w:semiHidden/>
    <w:unhideWhenUsed/>
    <w:rsid w:val="004C74E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C74EB"/>
    <w:rPr>
      <w:sz w:val="20"/>
      <w:szCs w:val="20"/>
    </w:rPr>
  </w:style>
  <w:style w:type="character" w:styleId="FootnoteReference">
    <w:name w:val="footnote reference"/>
    <w:basedOn w:val="DefaultParagraphFont"/>
    <w:uiPriority w:val="99"/>
    <w:semiHidden/>
    <w:unhideWhenUsed/>
    <w:rsid w:val="004C74EB"/>
    <w:rPr>
      <w:vertAlign w:val="superscript"/>
    </w:rPr>
  </w:style>
  <w:style w:type="character" w:styleId="Hyperlink">
    <w:name w:val="Hyperlink"/>
    <w:basedOn w:val="DefaultParagraphFont"/>
    <w:uiPriority w:val="99"/>
    <w:unhideWhenUsed/>
    <w:rsid w:val="00701353"/>
    <w:rPr>
      <w:color w:val="0000FF"/>
      <w:u w:val="single"/>
    </w:rPr>
  </w:style>
  <w:style w:type="paragraph" w:styleId="ListParagraph">
    <w:name w:val="List Paragraph"/>
    <w:basedOn w:val="Normal"/>
    <w:uiPriority w:val="34"/>
    <w:qFormat/>
    <w:rsid w:val="006F31EB"/>
    <w:pPr>
      <w:ind w:left="720"/>
      <w:contextualSpacing/>
    </w:pPr>
  </w:style>
  <w:style w:type="paragraph" w:styleId="BalloonText">
    <w:name w:val="Balloon Text"/>
    <w:basedOn w:val="Normal"/>
    <w:link w:val="BalloonTextChar"/>
    <w:uiPriority w:val="99"/>
    <w:semiHidden/>
    <w:unhideWhenUsed/>
    <w:rsid w:val="00F43BD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3BDE"/>
    <w:rPr>
      <w:rFonts w:ascii="Segoe UI" w:hAnsi="Segoe UI" w:cs="Segoe UI"/>
      <w:sz w:val="18"/>
      <w:szCs w:val="18"/>
    </w:rPr>
  </w:style>
  <w:style w:type="character" w:styleId="FollowedHyperlink">
    <w:name w:val="FollowedHyperlink"/>
    <w:basedOn w:val="DefaultParagraphFont"/>
    <w:uiPriority w:val="99"/>
    <w:semiHidden/>
    <w:unhideWhenUsed/>
    <w:rsid w:val="00170561"/>
    <w:rPr>
      <w:color w:val="954F72" w:themeColor="followedHyperlink"/>
      <w:u w:val="single"/>
    </w:rPr>
  </w:style>
  <w:style w:type="character" w:customStyle="1" w:styleId="Heading1Char">
    <w:name w:val="Heading 1 Char"/>
    <w:basedOn w:val="DefaultParagraphFont"/>
    <w:link w:val="Heading1"/>
    <w:uiPriority w:val="9"/>
    <w:rsid w:val="00037086"/>
    <w:rPr>
      <w:rFonts w:asciiTheme="majorHAnsi" w:eastAsiaTheme="majorEastAsia" w:hAnsiTheme="majorHAnsi" w:cstheme="majorBidi"/>
      <w:color w:val="2E74B5" w:themeColor="accent1" w:themeShade="BF"/>
      <w:sz w:val="32"/>
      <w:szCs w:val="32"/>
    </w:rPr>
  </w:style>
  <w:style w:type="character" w:customStyle="1" w:styleId="UnresolvedMention">
    <w:name w:val="Unresolved Mention"/>
    <w:basedOn w:val="DefaultParagraphFont"/>
    <w:uiPriority w:val="99"/>
    <w:semiHidden/>
    <w:unhideWhenUsed/>
    <w:rsid w:val="00FE3F9D"/>
    <w:rPr>
      <w:color w:val="605E5C"/>
      <w:shd w:val="clear" w:color="auto" w:fill="E1DFDD"/>
    </w:rPr>
  </w:style>
  <w:style w:type="character" w:styleId="CommentReference">
    <w:name w:val="annotation reference"/>
    <w:basedOn w:val="DefaultParagraphFont"/>
    <w:uiPriority w:val="99"/>
    <w:semiHidden/>
    <w:unhideWhenUsed/>
    <w:rsid w:val="00053911"/>
    <w:rPr>
      <w:sz w:val="16"/>
      <w:szCs w:val="16"/>
    </w:rPr>
  </w:style>
  <w:style w:type="paragraph" w:styleId="CommentText">
    <w:name w:val="annotation text"/>
    <w:basedOn w:val="Normal"/>
    <w:link w:val="CommentTextChar"/>
    <w:uiPriority w:val="99"/>
    <w:semiHidden/>
    <w:unhideWhenUsed/>
    <w:rsid w:val="00053911"/>
    <w:pPr>
      <w:spacing w:line="240" w:lineRule="auto"/>
    </w:pPr>
    <w:rPr>
      <w:sz w:val="20"/>
      <w:szCs w:val="20"/>
    </w:rPr>
  </w:style>
  <w:style w:type="character" w:customStyle="1" w:styleId="CommentTextChar">
    <w:name w:val="Comment Text Char"/>
    <w:basedOn w:val="DefaultParagraphFont"/>
    <w:link w:val="CommentText"/>
    <w:uiPriority w:val="99"/>
    <w:semiHidden/>
    <w:rsid w:val="00053911"/>
    <w:rPr>
      <w:sz w:val="20"/>
      <w:szCs w:val="20"/>
    </w:rPr>
  </w:style>
  <w:style w:type="paragraph" w:styleId="CommentSubject">
    <w:name w:val="annotation subject"/>
    <w:basedOn w:val="CommentText"/>
    <w:next w:val="CommentText"/>
    <w:link w:val="CommentSubjectChar"/>
    <w:uiPriority w:val="99"/>
    <w:semiHidden/>
    <w:unhideWhenUsed/>
    <w:rsid w:val="00053911"/>
    <w:rPr>
      <w:b/>
      <w:bCs/>
    </w:rPr>
  </w:style>
  <w:style w:type="character" w:customStyle="1" w:styleId="CommentSubjectChar">
    <w:name w:val="Comment Subject Char"/>
    <w:basedOn w:val="CommentTextChar"/>
    <w:link w:val="CommentSubject"/>
    <w:uiPriority w:val="99"/>
    <w:semiHidden/>
    <w:rsid w:val="0005391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footnotes.xml.rels><?xml version="1.0" encoding="UTF-8" standalone="yes"?>
<Relationships xmlns="http://schemas.openxmlformats.org/package/2006/relationships"><Relationship Id="rId8" Type="http://schemas.openxmlformats.org/officeDocument/2006/relationships/hyperlink" Target="https://edpb.europa.eu/sites/edpb/files/files/file1/edpb_annual_report_2018_-_digital_final_1507_en.pdf" TargetMode="External"/><Relationship Id="rId13" Type="http://schemas.openxmlformats.org/officeDocument/2006/relationships/hyperlink" Target="https://www.theguardian.com/law/2016/jan/13/uk-most-senior-judge-says-justice-has-become-unaffordable-to-most" TargetMode="External"/><Relationship Id="rId3" Type="http://schemas.openxmlformats.org/officeDocument/2006/relationships/hyperlink" Target="https://web.archive.org/web/20160215002019/https://autoriteitpersoonsgegevens.nl/nl/contact-met-het-cbp/tip-ons" TargetMode="External"/><Relationship Id="rId7" Type="http://schemas.openxmlformats.org/officeDocument/2006/relationships/hyperlink" Target="https://ico.org.uk/about-the-ico/news-and-events/blog-gdpr-sorting-the-fact-from-the-fiction/" TargetMode="External"/><Relationship Id="rId12" Type="http://schemas.openxmlformats.org/officeDocument/2006/relationships/hyperlink" Target="https://fra.europa.eu/sites/default/files/fra-2014-access-data-protection-remedies_en.pdf" TargetMode="External"/><Relationship Id="rId2" Type="http://schemas.openxmlformats.org/officeDocument/2006/relationships/hyperlink" Target="https://www.politico.eu/article/we-have-a-huge-problem-european-regulator-despairs-over-lack-of-enforcement/" TargetMode="External"/><Relationship Id="rId16" Type="http://schemas.openxmlformats.org/officeDocument/2006/relationships/hyperlink" Target="https://hansard.parliament.uk/lords/2017-11-20/debates/934984ICA-96BC-43FB-B747-6A5E09B62DAD/DataProtectionBill" TargetMode="External"/><Relationship Id="rId1" Type="http://schemas.openxmlformats.org/officeDocument/2006/relationships/hyperlink" Target="mailto:doe20@cam.ac.uk" TargetMode="External"/><Relationship Id="rId6" Type="http://schemas.openxmlformats.org/officeDocument/2006/relationships/hyperlink" Target="https://ico.org.uk/media/about-the-ico/consultations/2019/a-new-approach-consultation.pdf" TargetMode="External"/><Relationship Id="rId11" Type="http://schemas.openxmlformats.org/officeDocument/2006/relationships/hyperlink" Target="https://ico.org.uk/media/about-the-ico/documents/2615156/adtech-real-time-bidding-report-201906.pdf" TargetMode="External"/><Relationship Id="rId5" Type="http://schemas.openxmlformats.org/officeDocument/2006/relationships/hyperlink" Target="https://edpb.europa.eu/individual-replies-data-protection-supervisory-authorities_en" TargetMode="External"/><Relationship Id="rId15" Type="http://schemas.openxmlformats.org/officeDocument/2006/relationships/hyperlink" Target="https://ico.org.uk/media/about-the-ico/documents/2259463/annual-report-201718.pdf" TargetMode="External"/><Relationship Id="rId10" Type="http://schemas.openxmlformats.org/officeDocument/2006/relationships/hyperlink" Target="https://ico.org.uk/about-the-ico/news-and-events/news-and-blogs/2020/05/ico-statement-on-adtech-work/" TargetMode="External"/><Relationship Id="rId4" Type="http://schemas.openxmlformats.org/officeDocument/2006/relationships/hyperlink" Target="https://autoriteitpersoonsgegevens.nl/nl/zelf-doen/gebruik-uw-privacyrechten/klacht-melden-bij-de-ap" TargetMode="External"/><Relationship Id="rId9" Type="http://schemas.openxmlformats.org/officeDocument/2006/relationships/hyperlink" Target="https://ico.org.uk/about-the-ico/news-and-events/news-and-blogs/2017/10/international-enforcement-operation-finds-website-privacy-notices-are-too-vague-and-generally-inadequate/" TargetMode="External"/><Relationship Id="rId14" Type="http://schemas.openxmlformats.org/officeDocument/2006/relationships/hyperlink" Target="https://ico.org.uk/media/about-the-ico/documents/2014449/ico053-annual-report-201617-s12-aw-web-versio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9D3215C8FB00648AFF8092710D04F4D" ma:contentTypeVersion="15" ma:contentTypeDescription="Create a new document." ma:contentTypeScope="" ma:versionID="fa98e892f93d1408d8185498280dd0fc">
  <xsd:schema xmlns:xsd="http://www.w3.org/2001/XMLSchema" xmlns:xs="http://www.w3.org/2001/XMLSchema" xmlns:p="http://schemas.microsoft.com/office/2006/metadata/properties" xmlns:ns3="bd23d43e-d0c6-45d8-95df-661445fd50ec" xmlns:ns4="c9f2eb7e-5351-4b0a-ade2-c3f81590eec2" targetNamespace="http://schemas.microsoft.com/office/2006/metadata/properties" ma:root="true" ma:fieldsID="d33188cd8f083fbc53ee5e8c2de2fdbc" ns3:_="" ns4:_="">
    <xsd:import namespace="bd23d43e-d0c6-45d8-95df-661445fd50ec"/>
    <xsd:import namespace="c9f2eb7e-5351-4b0a-ade2-c3f81590eec2"/>
    <xsd:element name="properties">
      <xsd:complexType>
        <xsd:sequence>
          <xsd:element name="documentManagement">
            <xsd:complexType>
              <xsd:all>
                <xsd:element ref="ns3:SharedWithUsers" minOccurs="0"/>
                <xsd:element ref="ns3:SharedWithDetails" minOccurs="0"/>
                <xsd:element ref="ns3:SharingHintHash" minOccurs="0"/>
                <xsd:element ref="ns3:LastSharedByUser" minOccurs="0"/>
                <xsd:element ref="ns3:LastSharedByTime"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EventHashCode" minOccurs="0"/>
                <xsd:element ref="ns4:MediaServiceGenerationTime" minOccurs="0"/>
                <xsd:element ref="ns4:MediaServiceLocation"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23d43e-d0c6-45d8-95df-661445fd50ec"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element name="LastSharedByUser" ma:index="11" nillable="true" ma:displayName="Last Shared By User" ma:internalName="LastSharedByUser" ma:readOnly="true">
      <xsd:simpleType>
        <xsd:restriction base="dms:Note">
          <xsd:maxLength value="255"/>
        </xsd:restriction>
      </xsd:simpleType>
    </xsd:element>
    <xsd:element name="LastSharedByTime" ma:index="12"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c9f2eb7e-5351-4b0a-ade2-c3f81590eec2" elementFormDefault="qualified">
    <xsd:import namespace="http://schemas.microsoft.com/office/2006/documentManagement/types"/>
    <xsd:import namespace="http://schemas.microsoft.com/office/infopath/2007/PartnerControls"/>
    <xsd:element name="MediaServiceMetadata" ma:index="13" nillable="true" ma:displayName="MediaServiceMetadata" ma:description="" ma:hidden="true" ma:internalName="MediaServiceMetadata" ma:readOnly="true">
      <xsd:simpleType>
        <xsd:restriction base="dms:Note"/>
      </xsd:simpleType>
    </xsd:element>
    <xsd:element name="MediaServiceFastMetadata" ma:index="14" nillable="true" ma:displayName="MediaServiceFastMetadata" ma:description="" ma:hidden="true" ma:internalName="MediaServiceFastMetadata" ma:readOnly="true">
      <xsd:simpleType>
        <xsd:restriction base="dms:Note"/>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AutoTags" ma:index="16" nillable="true" ma:displayName="MediaServiceAutoTags" ma:description="" ma:internalName="MediaServiceAutoTags" ma:readOnly="true">
      <xsd:simpleType>
        <xsd:restriction base="dms:Text"/>
      </xsd:simpleType>
    </xsd:element>
    <xsd:element name="MediaServiceOCR" ma:index="17" nillable="true" ma:displayName="MediaServiceOCR" ma:internalName="MediaServiceOCR" ma:readOnly="true">
      <xsd:simpleType>
        <xsd:restriction base="dms:Note">
          <xsd:maxLength value="255"/>
        </xsd:restriction>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6FBC4E-A55C-4C41-B4C7-3F98CC4722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23d43e-d0c6-45d8-95df-661445fd50ec"/>
    <ds:schemaRef ds:uri="c9f2eb7e-5351-4b0a-ade2-c3f81590ee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B460D8E-8978-4B1D-8458-AA36F34CA54F}">
  <ds:schemaRefs>
    <ds:schemaRef ds:uri="http://schemas.openxmlformats.org/package/2006/metadata/core-properties"/>
    <ds:schemaRef ds:uri="bd23d43e-d0c6-45d8-95df-661445fd50ec"/>
    <ds:schemaRef ds:uri="http://purl.org/dc/dcmitype/"/>
    <ds:schemaRef ds:uri="http://schemas.microsoft.com/office/infopath/2007/PartnerControls"/>
    <ds:schemaRef ds:uri="http://purl.org/dc/elements/1.1/"/>
    <ds:schemaRef ds:uri="http://schemas.microsoft.com/office/2006/metadata/properties"/>
    <ds:schemaRef ds:uri="c9f2eb7e-5351-4b0a-ade2-c3f81590eec2"/>
    <ds:schemaRef ds:uri="http://schemas.microsoft.com/office/2006/documentManagement/types"/>
    <ds:schemaRef ds:uri="http://www.w3.org/XML/1998/namespace"/>
    <ds:schemaRef ds:uri="http://purl.org/dc/terms/"/>
  </ds:schemaRefs>
</ds:datastoreItem>
</file>

<file path=customXml/itemProps3.xml><?xml version="1.0" encoding="utf-8"?>
<ds:datastoreItem xmlns:ds="http://schemas.openxmlformats.org/officeDocument/2006/customXml" ds:itemID="{FE62E9E2-5183-4C13-867D-65F46C5A5BC6}">
  <ds:schemaRefs>
    <ds:schemaRef ds:uri="http://schemas.microsoft.com/sharepoint/v3/contenttype/forms"/>
  </ds:schemaRefs>
</ds:datastoreItem>
</file>

<file path=customXml/itemProps4.xml><?xml version="1.0" encoding="utf-8"?>
<ds:datastoreItem xmlns:ds="http://schemas.openxmlformats.org/officeDocument/2006/customXml" ds:itemID="{6582E21B-B6DD-4CD6-A6A9-A9E9753F5D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5688</Words>
  <Characters>32425</Characters>
  <Application>Microsoft Office Word</Application>
  <DocSecurity>0</DocSecurity>
  <Lines>270</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2020-09-21T17:14:00Z</dcterms:created>
  <dcterms:modified xsi:type="dcterms:W3CDTF">2020-09-25T11:24:00Z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0x01010029D3215C8FB00648AFF8092710D04F4D</vt:lpwstr>
  </property>
</Properties>
</file>