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360140" w14:textId="6094EEA8" w:rsidR="00776FC8" w:rsidRPr="00AD6827" w:rsidRDefault="00776FC8" w:rsidP="00776FC8">
      <w:pPr>
        <w:pStyle w:val="Title"/>
        <w:rPr>
          <w:rFonts w:asciiTheme="majorHAnsi" w:hAnsiTheme="majorHAnsi"/>
          <w:b/>
          <w:sz w:val="28"/>
          <w:szCs w:val="28"/>
        </w:rPr>
      </w:pPr>
      <w:r w:rsidRPr="00AD6827">
        <w:rPr>
          <w:rFonts w:asciiTheme="majorHAnsi" w:hAnsiTheme="majorHAnsi"/>
          <w:sz w:val="28"/>
          <w:szCs w:val="28"/>
        </w:rPr>
        <w:t>Evidence-based synopsis of interventions, a new tool in primate conservation and research</w:t>
      </w:r>
    </w:p>
    <w:p w14:paraId="71DACD69" w14:textId="77777777" w:rsidR="00776FC8" w:rsidRPr="002F3584" w:rsidRDefault="00776FC8" w:rsidP="00776FC8"/>
    <w:p w14:paraId="53BE482B" w14:textId="77777777" w:rsidR="00776FC8" w:rsidRPr="00F81D2E" w:rsidRDefault="00776FC8" w:rsidP="00776FC8">
      <w:pPr>
        <w:rPr>
          <w:rFonts w:eastAsia="Times New Roman"/>
          <w:b/>
          <w:sz w:val="24"/>
          <w:szCs w:val="24"/>
        </w:rPr>
      </w:pPr>
      <w:r w:rsidRPr="00F81D2E">
        <w:rPr>
          <w:rFonts w:eastAsia="Times New Roman"/>
          <w:b/>
          <w:sz w:val="24"/>
          <w:szCs w:val="24"/>
        </w:rPr>
        <w:t>Authors</w:t>
      </w:r>
    </w:p>
    <w:p w14:paraId="45E387EA" w14:textId="0E183CD8" w:rsidR="00776FC8" w:rsidRPr="00E12A8D" w:rsidRDefault="00776FC8" w:rsidP="00776FC8">
      <w:pPr>
        <w:rPr>
          <w:rFonts w:eastAsia="Times New Roman"/>
          <w:sz w:val="24"/>
          <w:szCs w:val="24"/>
          <w:vertAlign w:val="superscript"/>
        </w:rPr>
      </w:pPr>
      <w:r w:rsidRPr="00E12A8D">
        <w:rPr>
          <w:rFonts w:eastAsia="Times New Roman"/>
          <w:sz w:val="24"/>
          <w:szCs w:val="24"/>
        </w:rPr>
        <w:t>Petrovan, S.O</w:t>
      </w:r>
      <w:r>
        <w:rPr>
          <w:rFonts w:eastAsia="Times New Roman"/>
          <w:sz w:val="24"/>
          <w:szCs w:val="24"/>
        </w:rPr>
        <w:t>.</w:t>
      </w:r>
      <w:r w:rsidRPr="00E12A8D">
        <w:rPr>
          <w:rFonts w:eastAsia="Times New Roman"/>
          <w:sz w:val="24"/>
          <w:szCs w:val="24"/>
          <w:vertAlign w:val="superscript"/>
        </w:rPr>
        <w:t>1</w:t>
      </w:r>
      <w:r w:rsidRPr="00E12A8D">
        <w:rPr>
          <w:rFonts w:eastAsia="Times New Roman"/>
          <w:sz w:val="24"/>
          <w:szCs w:val="24"/>
        </w:rPr>
        <w:t>*; Junker, J.</w:t>
      </w:r>
      <w:r w:rsidRPr="00E12A8D">
        <w:rPr>
          <w:rFonts w:eastAsia="Times New Roman"/>
          <w:sz w:val="24"/>
          <w:szCs w:val="24"/>
          <w:vertAlign w:val="superscript"/>
        </w:rPr>
        <w:t>2</w:t>
      </w:r>
      <w:r w:rsidRPr="00E12A8D">
        <w:rPr>
          <w:rFonts w:eastAsia="Times New Roman"/>
          <w:sz w:val="24"/>
          <w:szCs w:val="24"/>
        </w:rPr>
        <w:t>*; Wordley, C.F.R.</w:t>
      </w:r>
      <w:r w:rsidRPr="00E12A8D">
        <w:rPr>
          <w:rFonts w:eastAsia="Times New Roman"/>
          <w:sz w:val="24"/>
          <w:szCs w:val="24"/>
          <w:vertAlign w:val="superscript"/>
        </w:rPr>
        <w:t>1</w:t>
      </w:r>
      <w:r w:rsidRPr="00E12A8D">
        <w:rPr>
          <w:rFonts w:eastAsia="Times New Roman"/>
          <w:sz w:val="24"/>
          <w:szCs w:val="24"/>
        </w:rPr>
        <w:t>; Kühl, H.</w:t>
      </w:r>
      <w:r w:rsidR="00A33ED3">
        <w:rPr>
          <w:rFonts w:eastAsia="Times New Roman"/>
          <w:sz w:val="24"/>
          <w:szCs w:val="24"/>
        </w:rPr>
        <w:t>S.</w:t>
      </w:r>
      <w:r w:rsidRPr="00E12A8D">
        <w:rPr>
          <w:rFonts w:eastAsia="Times New Roman"/>
          <w:sz w:val="24"/>
          <w:szCs w:val="24"/>
          <w:vertAlign w:val="superscript"/>
        </w:rPr>
        <w:t>2</w:t>
      </w:r>
      <w:r>
        <w:rPr>
          <w:rFonts w:eastAsia="Times New Roman"/>
          <w:sz w:val="24"/>
          <w:szCs w:val="24"/>
        </w:rPr>
        <w:t>; O</w:t>
      </w:r>
      <w:r w:rsidRPr="00E12A8D">
        <w:rPr>
          <w:rFonts w:eastAsia="Times New Roman"/>
          <w:sz w:val="24"/>
          <w:szCs w:val="24"/>
        </w:rPr>
        <w:t>rth, L.</w:t>
      </w:r>
      <w:r w:rsidRPr="00E12A8D">
        <w:rPr>
          <w:rFonts w:eastAsia="Times New Roman"/>
          <w:sz w:val="24"/>
          <w:szCs w:val="24"/>
          <w:vertAlign w:val="superscript"/>
        </w:rPr>
        <w:t>2</w:t>
      </w:r>
      <w:r w:rsidRPr="00E12A8D">
        <w:rPr>
          <w:rFonts w:eastAsia="Times New Roman"/>
          <w:sz w:val="24"/>
          <w:szCs w:val="24"/>
        </w:rPr>
        <w:t>; Smith, R.K.</w:t>
      </w:r>
      <w:r>
        <w:rPr>
          <w:rFonts w:eastAsia="Times New Roman"/>
          <w:sz w:val="24"/>
          <w:szCs w:val="24"/>
          <w:vertAlign w:val="superscript"/>
        </w:rPr>
        <w:t>1</w:t>
      </w:r>
      <w:r w:rsidRPr="00E12A8D">
        <w:rPr>
          <w:rFonts w:eastAsia="Times New Roman"/>
          <w:sz w:val="24"/>
          <w:szCs w:val="24"/>
        </w:rPr>
        <w:t>; Sutherland, W.J.</w:t>
      </w:r>
      <w:r w:rsidRPr="00E12A8D">
        <w:rPr>
          <w:rFonts w:eastAsia="Times New Roman"/>
          <w:sz w:val="24"/>
          <w:szCs w:val="24"/>
          <w:vertAlign w:val="superscript"/>
        </w:rPr>
        <w:t>1</w:t>
      </w:r>
    </w:p>
    <w:p w14:paraId="44E2043C" w14:textId="77777777" w:rsidR="00776FC8" w:rsidRPr="00E12A8D" w:rsidRDefault="00776FC8" w:rsidP="00776FC8">
      <w:pPr>
        <w:rPr>
          <w:rFonts w:eastAsia="Times New Roman"/>
          <w:sz w:val="24"/>
          <w:szCs w:val="24"/>
        </w:rPr>
      </w:pPr>
      <w:r w:rsidRPr="00E12A8D">
        <w:rPr>
          <w:rFonts w:eastAsia="Times New Roman"/>
          <w:sz w:val="24"/>
          <w:szCs w:val="24"/>
          <w:vertAlign w:val="superscript"/>
        </w:rPr>
        <w:t xml:space="preserve">1 </w:t>
      </w:r>
      <w:r w:rsidRPr="00E12A8D">
        <w:rPr>
          <w:rFonts w:eastAsia="Times New Roman"/>
          <w:sz w:val="24"/>
          <w:szCs w:val="24"/>
        </w:rPr>
        <w:t>Department of Zoology, University of Cambridge, The David Attenborough Building, Cambridge</w:t>
      </w:r>
      <w:r>
        <w:rPr>
          <w:rFonts w:eastAsia="Times New Roman"/>
          <w:sz w:val="24"/>
          <w:szCs w:val="24"/>
        </w:rPr>
        <w:t>,</w:t>
      </w:r>
      <w:r w:rsidRPr="00E12A8D">
        <w:rPr>
          <w:rFonts w:eastAsia="Times New Roman"/>
          <w:sz w:val="24"/>
          <w:szCs w:val="24"/>
        </w:rPr>
        <w:t xml:space="preserve"> CB2 3QZ, UK</w:t>
      </w:r>
    </w:p>
    <w:p w14:paraId="2DC93EAD" w14:textId="77777777" w:rsidR="00776FC8" w:rsidRDefault="00776FC8" w:rsidP="00776FC8">
      <w:pPr>
        <w:rPr>
          <w:sz w:val="24"/>
          <w:szCs w:val="24"/>
          <w:shd w:val="clear" w:color="auto" w:fill="FFFFFF"/>
        </w:rPr>
      </w:pPr>
      <w:r w:rsidRPr="00E12A8D">
        <w:rPr>
          <w:rFonts w:eastAsia="Times New Roman"/>
          <w:sz w:val="24"/>
          <w:szCs w:val="24"/>
          <w:vertAlign w:val="superscript"/>
        </w:rPr>
        <w:t xml:space="preserve">2 </w:t>
      </w:r>
      <w:r w:rsidRPr="00E12A8D">
        <w:rPr>
          <w:sz w:val="24"/>
          <w:szCs w:val="24"/>
          <w:shd w:val="clear" w:color="auto" w:fill="FFFFFF"/>
        </w:rPr>
        <w:t>Department of Primatology</w:t>
      </w:r>
      <w:r>
        <w:rPr>
          <w:sz w:val="24"/>
          <w:szCs w:val="24"/>
          <w:shd w:val="clear" w:color="auto" w:fill="FFFFFF"/>
        </w:rPr>
        <w:t>,</w:t>
      </w:r>
      <w:r w:rsidRPr="00E12A8D">
        <w:rPr>
          <w:sz w:val="24"/>
          <w:szCs w:val="24"/>
          <w:shd w:val="clear" w:color="auto" w:fill="FFFFFF"/>
        </w:rPr>
        <w:t xml:space="preserve"> Max Planck Institute for Evolutionary Anthropology</w:t>
      </w:r>
      <w:r>
        <w:rPr>
          <w:sz w:val="24"/>
          <w:szCs w:val="24"/>
          <w:shd w:val="clear" w:color="auto" w:fill="FFFFFF"/>
        </w:rPr>
        <w:t xml:space="preserve">, </w:t>
      </w:r>
      <w:r w:rsidRPr="00E12A8D">
        <w:rPr>
          <w:sz w:val="24"/>
          <w:szCs w:val="24"/>
          <w:shd w:val="clear" w:color="auto" w:fill="FFFFFF"/>
        </w:rPr>
        <w:t>6</w:t>
      </w:r>
      <w:r>
        <w:rPr>
          <w:sz w:val="24"/>
          <w:szCs w:val="24"/>
          <w:shd w:val="clear" w:color="auto" w:fill="FFFFFF"/>
        </w:rPr>
        <w:t xml:space="preserve"> </w:t>
      </w:r>
      <w:r w:rsidRPr="00E12A8D">
        <w:rPr>
          <w:sz w:val="24"/>
          <w:szCs w:val="24"/>
          <w:shd w:val="clear" w:color="auto" w:fill="FFFFFF"/>
        </w:rPr>
        <w:t>Deutscher Platz</w:t>
      </w:r>
      <w:r>
        <w:rPr>
          <w:sz w:val="24"/>
          <w:szCs w:val="24"/>
          <w:shd w:val="clear" w:color="auto" w:fill="FFFFFF"/>
        </w:rPr>
        <w:t>,</w:t>
      </w:r>
      <w:r w:rsidRPr="00E12A8D">
        <w:rPr>
          <w:sz w:val="24"/>
          <w:szCs w:val="24"/>
          <w:shd w:val="clear" w:color="auto" w:fill="FFFFFF"/>
        </w:rPr>
        <w:t> D-04103 Leipzig, Germany</w:t>
      </w:r>
    </w:p>
    <w:p w14:paraId="1C763443" w14:textId="77777777" w:rsidR="00776FC8" w:rsidRPr="00E12A8D" w:rsidRDefault="00776FC8" w:rsidP="00776FC8">
      <w:pPr>
        <w:rPr>
          <w:rFonts w:eastAsia="Times New Roman"/>
          <w:sz w:val="24"/>
          <w:szCs w:val="24"/>
        </w:rPr>
      </w:pPr>
      <w:r>
        <w:rPr>
          <w:sz w:val="24"/>
          <w:szCs w:val="24"/>
          <w:shd w:val="clear" w:color="auto" w:fill="FFFFFF"/>
        </w:rPr>
        <w:t>* joint first authors</w:t>
      </w:r>
    </w:p>
    <w:p w14:paraId="7DBFB7C4" w14:textId="294DB1C0" w:rsidR="00776FC8" w:rsidRDefault="00776FC8" w:rsidP="00776FC8">
      <w:pPr>
        <w:rPr>
          <w:rFonts w:eastAsia="Times New Roman"/>
          <w:sz w:val="24"/>
          <w:szCs w:val="24"/>
        </w:rPr>
      </w:pPr>
      <w:r>
        <w:rPr>
          <w:rFonts w:eastAsia="Times New Roman"/>
          <w:sz w:val="24"/>
          <w:szCs w:val="24"/>
        </w:rPr>
        <w:t>Corresponding author</w:t>
      </w:r>
      <w:r w:rsidRPr="00BE3B76">
        <w:rPr>
          <w:rFonts w:eastAsia="Times New Roman"/>
          <w:sz w:val="24"/>
          <w:szCs w:val="24"/>
        </w:rPr>
        <w:t xml:space="preserve">: </w:t>
      </w:r>
      <w:hyperlink r:id="rId6" w:history="1">
        <w:r w:rsidRPr="003B0882">
          <w:rPr>
            <w:rStyle w:val="Hyperlink"/>
            <w:rFonts w:eastAsia="Times New Roman"/>
            <w:sz w:val="24"/>
            <w:szCs w:val="24"/>
          </w:rPr>
          <w:t>sop21@cam.ac.uk</w:t>
        </w:r>
      </w:hyperlink>
      <w:r>
        <w:rPr>
          <w:rFonts w:eastAsia="Times New Roman"/>
          <w:sz w:val="24"/>
          <w:szCs w:val="24"/>
        </w:rPr>
        <w:t xml:space="preserve"> </w:t>
      </w:r>
    </w:p>
    <w:p w14:paraId="354CB8DF" w14:textId="77777777" w:rsidR="005B1CD7" w:rsidRDefault="005B1CD7" w:rsidP="00776FC8">
      <w:pPr>
        <w:rPr>
          <w:rFonts w:eastAsia="Times New Roman"/>
          <w:sz w:val="24"/>
          <w:szCs w:val="24"/>
        </w:rPr>
      </w:pPr>
    </w:p>
    <w:p w14:paraId="24A8DA29" w14:textId="5C5B4AAD" w:rsidR="005B1CD7" w:rsidRPr="005B1CD7" w:rsidRDefault="005B1CD7" w:rsidP="00776FC8">
      <w:pPr>
        <w:rPr>
          <w:rFonts w:eastAsia="Times New Roman"/>
          <w:b/>
          <w:sz w:val="24"/>
          <w:szCs w:val="24"/>
        </w:rPr>
      </w:pPr>
      <w:r w:rsidRPr="005B1CD7">
        <w:rPr>
          <w:rFonts w:eastAsia="Times New Roman"/>
          <w:b/>
          <w:sz w:val="24"/>
          <w:szCs w:val="24"/>
        </w:rPr>
        <w:t>Keywords</w:t>
      </w:r>
    </w:p>
    <w:p w14:paraId="328980E3" w14:textId="65E581D5" w:rsidR="005B1CD7" w:rsidRDefault="00100504">
      <w:pPr>
        <w:spacing w:line="480" w:lineRule="auto"/>
        <w:rPr>
          <w:sz w:val="24"/>
          <w:szCs w:val="24"/>
        </w:rPr>
      </w:pPr>
      <w:r w:rsidRPr="00100504">
        <w:rPr>
          <w:sz w:val="24"/>
          <w:szCs w:val="24"/>
        </w:rPr>
        <w:t>Primate synopsis; conservation evidence; evidence-based management</w:t>
      </w:r>
      <w:r>
        <w:rPr>
          <w:sz w:val="24"/>
          <w:szCs w:val="24"/>
        </w:rPr>
        <w:t>; expert assessment</w:t>
      </w:r>
    </w:p>
    <w:p w14:paraId="74C47426" w14:textId="77777777" w:rsidR="00100504" w:rsidRDefault="00100504">
      <w:pPr>
        <w:spacing w:line="480" w:lineRule="auto"/>
        <w:rPr>
          <w:sz w:val="24"/>
          <w:szCs w:val="24"/>
        </w:rPr>
      </w:pPr>
    </w:p>
    <w:p w14:paraId="50F7E958" w14:textId="7A9E315E" w:rsidR="00BC431D" w:rsidRDefault="002F02CA">
      <w:pPr>
        <w:spacing w:line="480" w:lineRule="auto"/>
        <w:rPr>
          <w:sz w:val="24"/>
          <w:szCs w:val="24"/>
        </w:rPr>
      </w:pPr>
      <w:r>
        <w:rPr>
          <w:sz w:val="24"/>
          <w:szCs w:val="24"/>
        </w:rPr>
        <w:t xml:space="preserve">Biodiversity conservation is often described as a crisis discipline, with conservationists rushing from one emergency to the next. This </w:t>
      </w:r>
      <w:r w:rsidR="00813602">
        <w:rPr>
          <w:sz w:val="24"/>
          <w:szCs w:val="24"/>
        </w:rPr>
        <w:t xml:space="preserve">frequently </w:t>
      </w:r>
      <w:r>
        <w:rPr>
          <w:sz w:val="24"/>
          <w:szCs w:val="24"/>
        </w:rPr>
        <w:t>leave</w:t>
      </w:r>
      <w:r w:rsidR="00813602">
        <w:rPr>
          <w:sz w:val="24"/>
          <w:szCs w:val="24"/>
        </w:rPr>
        <w:t>s</w:t>
      </w:r>
      <w:r>
        <w:rPr>
          <w:sz w:val="24"/>
          <w:szCs w:val="24"/>
        </w:rPr>
        <w:t xml:space="preserve"> limited resources </w:t>
      </w:r>
      <w:r w:rsidR="00813602">
        <w:rPr>
          <w:sz w:val="24"/>
          <w:szCs w:val="24"/>
        </w:rPr>
        <w:t xml:space="preserve">available </w:t>
      </w:r>
      <w:r>
        <w:rPr>
          <w:sz w:val="24"/>
          <w:szCs w:val="24"/>
        </w:rPr>
        <w:t xml:space="preserve">to evaluate the effectiveness of </w:t>
      </w:r>
      <w:r w:rsidR="00C419E8">
        <w:rPr>
          <w:sz w:val="24"/>
          <w:szCs w:val="24"/>
        </w:rPr>
        <w:t xml:space="preserve">the </w:t>
      </w:r>
      <w:r>
        <w:rPr>
          <w:sz w:val="24"/>
          <w:szCs w:val="24"/>
        </w:rPr>
        <w:t>conservation intervention</w:t>
      </w:r>
      <w:r w:rsidR="00813602">
        <w:rPr>
          <w:sz w:val="24"/>
          <w:szCs w:val="24"/>
        </w:rPr>
        <w:t xml:space="preserve">s that have been </w:t>
      </w:r>
      <w:r w:rsidR="00813602" w:rsidRPr="00813602">
        <w:rPr>
          <w:sz w:val="24"/>
          <w:szCs w:val="24"/>
        </w:rPr>
        <w:t>implemented</w:t>
      </w:r>
      <w:r w:rsidRPr="00813602">
        <w:rPr>
          <w:sz w:val="24"/>
          <w:szCs w:val="24"/>
        </w:rPr>
        <w:t>.</w:t>
      </w:r>
      <w:r>
        <w:rPr>
          <w:sz w:val="24"/>
          <w:szCs w:val="24"/>
        </w:rPr>
        <w:t xml:space="preserve"> Furthermore, for those seeking out scientific evidence for conservation </w:t>
      </w:r>
      <w:r w:rsidR="00813602">
        <w:rPr>
          <w:sz w:val="24"/>
          <w:szCs w:val="24"/>
        </w:rPr>
        <w:t>decisions</w:t>
      </w:r>
      <w:r>
        <w:rPr>
          <w:sz w:val="24"/>
          <w:szCs w:val="24"/>
        </w:rPr>
        <w:t xml:space="preserve">, much is locked behind </w:t>
      </w:r>
      <w:r w:rsidR="00D31FCF">
        <w:rPr>
          <w:sz w:val="24"/>
          <w:szCs w:val="24"/>
        </w:rPr>
        <w:t>subscription</w:t>
      </w:r>
      <w:r w:rsidR="00C419E8">
        <w:rPr>
          <w:sz w:val="24"/>
          <w:szCs w:val="24"/>
        </w:rPr>
        <w:t>-only acces</w:t>
      </w:r>
      <w:r w:rsidR="00D31FCF">
        <w:rPr>
          <w:sz w:val="24"/>
          <w:szCs w:val="24"/>
        </w:rPr>
        <w:t>s</w:t>
      </w:r>
      <w:r>
        <w:rPr>
          <w:sz w:val="24"/>
          <w:szCs w:val="24"/>
        </w:rPr>
        <w:t xml:space="preserve"> or hidden in jargon-heavy literature. Assessing the effectiveness of conservation interventions</w:t>
      </w:r>
      <w:r w:rsidR="00813602">
        <w:rPr>
          <w:sz w:val="24"/>
          <w:szCs w:val="24"/>
        </w:rPr>
        <w:t>,</w:t>
      </w:r>
      <w:r>
        <w:rPr>
          <w:sz w:val="24"/>
          <w:szCs w:val="24"/>
        </w:rPr>
        <w:t xml:space="preserve"> and making </w:t>
      </w:r>
      <w:r w:rsidR="00813602">
        <w:rPr>
          <w:sz w:val="24"/>
          <w:szCs w:val="24"/>
        </w:rPr>
        <w:t xml:space="preserve">the </w:t>
      </w:r>
      <w:r>
        <w:rPr>
          <w:sz w:val="24"/>
          <w:szCs w:val="24"/>
        </w:rPr>
        <w:t>results readily available</w:t>
      </w:r>
      <w:r w:rsidR="00085A54">
        <w:rPr>
          <w:sz w:val="24"/>
          <w:szCs w:val="24"/>
        </w:rPr>
        <w:t xml:space="preserve"> to practitioners</w:t>
      </w:r>
      <w:r w:rsidR="00813602">
        <w:rPr>
          <w:sz w:val="24"/>
          <w:szCs w:val="24"/>
        </w:rPr>
        <w:t>,</w:t>
      </w:r>
      <w:r w:rsidR="00085A54">
        <w:rPr>
          <w:sz w:val="24"/>
          <w:szCs w:val="24"/>
        </w:rPr>
        <w:t xml:space="preserve"> could transform conservation efforts</w:t>
      </w:r>
      <w:r>
        <w:rPr>
          <w:sz w:val="24"/>
          <w:szCs w:val="24"/>
        </w:rPr>
        <w:t xml:space="preserve">. </w:t>
      </w:r>
    </w:p>
    <w:p w14:paraId="51BFAC09" w14:textId="692E7D23" w:rsidR="00BC431D" w:rsidRDefault="002F02CA">
      <w:pPr>
        <w:spacing w:before="120" w:line="480" w:lineRule="auto"/>
        <w:rPr>
          <w:sz w:val="24"/>
          <w:szCs w:val="24"/>
        </w:rPr>
      </w:pPr>
      <w:r>
        <w:rPr>
          <w:sz w:val="24"/>
          <w:szCs w:val="24"/>
        </w:rPr>
        <w:t>Initiatives like the Cochrane Collaboration (</w:t>
      </w:r>
      <w:hyperlink r:id="rId7">
        <w:r>
          <w:rPr>
            <w:color w:val="1155CC"/>
            <w:sz w:val="24"/>
            <w:szCs w:val="24"/>
            <w:u w:val="single"/>
          </w:rPr>
          <w:t>http://www.cochrane.org</w:t>
        </w:r>
      </w:hyperlink>
      <w:r>
        <w:rPr>
          <w:sz w:val="24"/>
          <w:szCs w:val="24"/>
        </w:rPr>
        <w:t xml:space="preserve">) in medicine have saved and improved lives across the world, by collating and reviewing the evidence on scientific trials of medical treatments. For example, cot deaths dropped dramatically once data were collated and analysed, reversing the advice provided for decades on sleeping </w:t>
      </w:r>
      <w:r>
        <w:rPr>
          <w:sz w:val="24"/>
          <w:szCs w:val="24"/>
        </w:rPr>
        <w:lastRenderedPageBreak/>
        <w:t>positions for babies (Gilbert et al. 2005). In conservation, reed bed burning and bat gantries are notable examples of where the accepted approach was ineffective or even actively harmful for the species involved (Ditlhogo et al 1992; Berthinussen and Altringham 2012). The Conservation Evidence project</w:t>
      </w:r>
      <w:r>
        <w:rPr>
          <w:color w:val="0000FF"/>
          <w:sz w:val="24"/>
          <w:szCs w:val="24"/>
        </w:rPr>
        <w:t xml:space="preserve"> </w:t>
      </w:r>
      <w:r>
        <w:rPr>
          <w:sz w:val="24"/>
          <w:szCs w:val="24"/>
        </w:rPr>
        <w:t>(</w:t>
      </w:r>
      <w:hyperlink r:id="rId8">
        <w:r>
          <w:rPr>
            <w:color w:val="0563C1"/>
            <w:sz w:val="24"/>
            <w:szCs w:val="24"/>
            <w:u w:val="single"/>
          </w:rPr>
          <w:t>www.conservationevidence.com</w:t>
        </w:r>
      </w:hyperlink>
      <w:r>
        <w:rPr>
          <w:sz w:val="24"/>
          <w:szCs w:val="24"/>
        </w:rPr>
        <w:t>) echoes the Cochrane Collaboration by collating information on how well conservation interven</w:t>
      </w:r>
      <w:r w:rsidR="003E3891">
        <w:rPr>
          <w:sz w:val="24"/>
          <w:szCs w:val="24"/>
        </w:rPr>
        <w:t>tions (any action you</w:t>
      </w:r>
      <w:r>
        <w:rPr>
          <w:sz w:val="24"/>
          <w:szCs w:val="24"/>
        </w:rPr>
        <w:t xml:space="preserve"> might </w:t>
      </w:r>
      <w:r w:rsidR="003E3891">
        <w:rPr>
          <w:sz w:val="24"/>
          <w:szCs w:val="24"/>
        </w:rPr>
        <w:t xml:space="preserve">do </w:t>
      </w:r>
      <w:r w:rsidR="003E3891" w:rsidRPr="003E3891">
        <w:rPr>
          <w:sz w:val="24"/>
          <w:szCs w:val="24"/>
        </w:rPr>
        <w:t>to manage, protect, enhance or restore biodiversity or ecosystem services</w:t>
      </w:r>
      <w:r>
        <w:rPr>
          <w:sz w:val="24"/>
          <w:szCs w:val="24"/>
        </w:rPr>
        <w:t xml:space="preserve">) have worked, providing a free, authoritative, and user-friendly resource to facilitate effective decision-making. The project is working to collect data for all interventions, for all species groups and habitats, everywhere in the world; a daunting task, but one already well underway, with over 1,500 interventions assessed so far </w:t>
      </w:r>
      <w:r w:rsidR="00813602">
        <w:rPr>
          <w:sz w:val="24"/>
          <w:szCs w:val="24"/>
        </w:rPr>
        <w:t xml:space="preserve">using </w:t>
      </w:r>
      <w:r>
        <w:rPr>
          <w:sz w:val="24"/>
          <w:szCs w:val="24"/>
        </w:rPr>
        <w:t xml:space="preserve">over 5,400 studies. </w:t>
      </w:r>
    </w:p>
    <w:p w14:paraId="4137B1A8" w14:textId="4FCDC139" w:rsidR="00BC431D" w:rsidRPr="0094442F" w:rsidRDefault="002F02CA" w:rsidP="0094442F">
      <w:pPr>
        <w:spacing w:line="480" w:lineRule="auto"/>
        <w:rPr>
          <w:sz w:val="24"/>
          <w:szCs w:val="24"/>
        </w:rPr>
      </w:pPr>
      <w:r>
        <w:rPr>
          <w:sz w:val="24"/>
          <w:szCs w:val="24"/>
        </w:rPr>
        <w:t>The latest synthesis work from the Conservation Evidence project focuses on global primate conservation. The ‘Primate synopsis’ (Junker et al. 2017) is the result of a collaboration with researchers at the Max Plan</w:t>
      </w:r>
      <w:r w:rsidR="00813602">
        <w:rPr>
          <w:sz w:val="24"/>
          <w:szCs w:val="24"/>
        </w:rPr>
        <w:t>c</w:t>
      </w:r>
      <w:r>
        <w:rPr>
          <w:sz w:val="24"/>
          <w:szCs w:val="24"/>
        </w:rPr>
        <w:t>k Institute for Evolutionary Anthropology, Germany, to produce a comprehensive database of the effectiveness of conservation interventions for all non-human primate species. An international advisory board of 23 primate experts assisted in producing a comprehensive list of interventions, which we categorised according to the IUCN threat category they addressed. We sy</w:t>
      </w:r>
      <w:r w:rsidR="00D31FCF">
        <w:rPr>
          <w:sz w:val="24"/>
          <w:szCs w:val="24"/>
        </w:rPr>
        <w:t>stematically searched 146</w:t>
      </w:r>
      <w:r>
        <w:rPr>
          <w:sz w:val="24"/>
          <w:szCs w:val="24"/>
        </w:rPr>
        <w:t xml:space="preserve"> general conservation scientific journals and 18 specialist primate journals and newsletters for studies testing primate conservation interventions, complemented with keyword searches of PLoS journals. This identified 80 relevant papers for 162 interventions, gathered in a synopsis consisting of 13 </w:t>
      </w:r>
      <w:r w:rsidRPr="00A77DE7">
        <w:rPr>
          <w:sz w:val="24"/>
          <w:szCs w:val="24"/>
        </w:rPr>
        <w:t>chapters tackling topics from local livelihood projects to roads.</w:t>
      </w:r>
      <w:r w:rsidRPr="00A77DE7">
        <w:rPr>
          <w:i/>
          <w:sz w:val="24"/>
          <w:szCs w:val="24"/>
        </w:rPr>
        <w:t xml:space="preserve"> </w:t>
      </w:r>
      <w:r w:rsidR="00367872" w:rsidRPr="00A77DE7">
        <w:rPr>
          <w:sz w:val="24"/>
          <w:szCs w:val="24"/>
        </w:rPr>
        <w:t>We did not separate planned from opportunistic studies as many interventions could be either, depending on the circumstances - e.g. some programmes may delib</w:t>
      </w:r>
      <w:r w:rsidR="0094442F">
        <w:rPr>
          <w:sz w:val="24"/>
          <w:szCs w:val="24"/>
        </w:rPr>
        <w:t xml:space="preserve">erately seek out abandoned, injured or </w:t>
      </w:r>
      <w:r w:rsidR="00E87C9C" w:rsidRPr="00A77DE7">
        <w:rPr>
          <w:sz w:val="24"/>
          <w:szCs w:val="24"/>
        </w:rPr>
        <w:t xml:space="preserve">illegally kept </w:t>
      </w:r>
      <w:r w:rsidR="0094442F">
        <w:rPr>
          <w:sz w:val="24"/>
          <w:szCs w:val="24"/>
        </w:rPr>
        <w:t xml:space="preserve">primates </w:t>
      </w:r>
      <w:r w:rsidR="00367872" w:rsidRPr="00A77DE7">
        <w:rPr>
          <w:sz w:val="24"/>
          <w:szCs w:val="24"/>
        </w:rPr>
        <w:t xml:space="preserve">and rehabilitate them for release, whereas others might only do this </w:t>
      </w:r>
      <w:r w:rsidR="00367872" w:rsidRPr="00A77DE7">
        <w:rPr>
          <w:sz w:val="24"/>
          <w:szCs w:val="24"/>
        </w:rPr>
        <w:lastRenderedPageBreak/>
        <w:t xml:space="preserve">opportunistically. </w:t>
      </w:r>
      <w:r w:rsidR="0094442F">
        <w:rPr>
          <w:sz w:val="24"/>
          <w:szCs w:val="24"/>
        </w:rPr>
        <w:t>However, we had to exclude s</w:t>
      </w:r>
      <w:r w:rsidR="0094442F" w:rsidRPr="0094442F">
        <w:rPr>
          <w:sz w:val="24"/>
          <w:szCs w:val="24"/>
        </w:rPr>
        <w:t xml:space="preserve">everal of the more opportunistic studies </w:t>
      </w:r>
      <w:r w:rsidR="0094442F">
        <w:rPr>
          <w:sz w:val="24"/>
          <w:szCs w:val="24"/>
        </w:rPr>
        <w:t>as they</w:t>
      </w:r>
      <w:r w:rsidR="0094442F" w:rsidRPr="0094442F">
        <w:rPr>
          <w:sz w:val="24"/>
          <w:szCs w:val="24"/>
        </w:rPr>
        <w:t xml:space="preserve"> did not provide any quantitative data</w:t>
      </w:r>
      <w:r w:rsidR="0094442F">
        <w:rPr>
          <w:sz w:val="24"/>
          <w:szCs w:val="24"/>
        </w:rPr>
        <w:t xml:space="preserve"> on the effect of interventions</w:t>
      </w:r>
      <w:r w:rsidR="00F45907" w:rsidRPr="00F45907">
        <w:t xml:space="preserve"> </w:t>
      </w:r>
      <w:r w:rsidR="00F45907">
        <w:rPr>
          <w:sz w:val="24"/>
          <w:szCs w:val="24"/>
        </w:rPr>
        <w:t>while o</w:t>
      </w:r>
      <w:r w:rsidR="00F45907" w:rsidRPr="00F45907">
        <w:rPr>
          <w:sz w:val="24"/>
          <w:szCs w:val="24"/>
        </w:rPr>
        <w:t>ther stud</w:t>
      </w:r>
      <w:r w:rsidR="00F45907">
        <w:rPr>
          <w:sz w:val="24"/>
          <w:szCs w:val="24"/>
        </w:rPr>
        <w:t>ies did not undertake</w:t>
      </w:r>
      <w:r w:rsidR="00F45907" w:rsidRPr="00F45907">
        <w:rPr>
          <w:sz w:val="24"/>
          <w:szCs w:val="24"/>
        </w:rPr>
        <w:t xml:space="preserve"> any post</w:t>
      </w:r>
      <w:r w:rsidR="00F45907">
        <w:rPr>
          <w:sz w:val="24"/>
          <w:szCs w:val="24"/>
        </w:rPr>
        <w:t>-implementation</w:t>
      </w:r>
      <w:r w:rsidR="00F45907" w:rsidRPr="00F45907">
        <w:rPr>
          <w:sz w:val="24"/>
          <w:szCs w:val="24"/>
        </w:rPr>
        <w:t xml:space="preserve"> monitoring of populations</w:t>
      </w:r>
      <w:r w:rsidR="00F45907">
        <w:rPr>
          <w:sz w:val="24"/>
          <w:szCs w:val="24"/>
        </w:rPr>
        <w:t xml:space="preserve"> or individuals</w:t>
      </w:r>
      <w:r w:rsidR="0094442F">
        <w:rPr>
          <w:sz w:val="24"/>
          <w:szCs w:val="24"/>
        </w:rPr>
        <w:t>.</w:t>
      </w:r>
    </w:p>
    <w:p w14:paraId="10A75273" w14:textId="6DA0BE3D" w:rsidR="00BC431D" w:rsidRDefault="002F02CA">
      <w:pPr>
        <w:spacing w:line="480" w:lineRule="auto"/>
        <w:rPr>
          <w:sz w:val="24"/>
          <w:szCs w:val="24"/>
        </w:rPr>
      </w:pPr>
      <w:r w:rsidRPr="00A77DE7">
        <w:rPr>
          <w:sz w:val="24"/>
          <w:szCs w:val="24"/>
        </w:rPr>
        <w:t>We summarised each paper testing an intervention, e.g. ‘Install rope canopy bridges for primates’ in a short, standardised paragraph in plain English, highlighting the study design and main findings.</w:t>
      </w:r>
      <w:r>
        <w:rPr>
          <w:sz w:val="24"/>
          <w:szCs w:val="24"/>
        </w:rPr>
        <w:t xml:space="preserve"> Key messages provide an overview of how effective (or otherwise) each intervention has been. Finally, using the Delphi technique</w:t>
      </w:r>
      <w:r w:rsidR="00D31FCF">
        <w:rPr>
          <w:sz w:val="24"/>
          <w:szCs w:val="24"/>
        </w:rPr>
        <w:t xml:space="preserve"> (Mukherjee et al. 2015),</w:t>
      </w:r>
      <w:r>
        <w:rPr>
          <w:sz w:val="24"/>
          <w:szCs w:val="24"/>
        </w:rPr>
        <w:t xml:space="preserve"> </w:t>
      </w:r>
      <w:r w:rsidR="00D31FCF">
        <w:rPr>
          <w:sz w:val="24"/>
          <w:szCs w:val="24"/>
        </w:rPr>
        <w:t xml:space="preserve">an expert panel assessed each intervention </w:t>
      </w:r>
      <w:r>
        <w:rPr>
          <w:sz w:val="24"/>
          <w:szCs w:val="24"/>
        </w:rPr>
        <w:t xml:space="preserve">by scoring the certainty of the available evidence, the apparent effectiveness, and any harms. </w:t>
      </w:r>
      <w:r w:rsidR="00B623A2">
        <w:rPr>
          <w:sz w:val="24"/>
          <w:szCs w:val="24"/>
        </w:rPr>
        <w:t xml:space="preserve">The </w:t>
      </w:r>
      <w:r w:rsidR="0082542A">
        <w:rPr>
          <w:sz w:val="24"/>
          <w:szCs w:val="24"/>
        </w:rPr>
        <w:t xml:space="preserve">panel combines </w:t>
      </w:r>
      <w:r w:rsidR="00B623A2">
        <w:rPr>
          <w:sz w:val="24"/>
          <w:szCs w:val="24"/>
        </w:rPr>
        <w:t>primatologists</w:t>
      </w:r>
      <w:r w:rsidR="0082542A">
        <w:rPr>
          <w:sz w:val="24"/>
          <w:szCs w:val="24"/>
        </w:rPr>
        <w:t xml:space="preserve"> from academia and international NGOs. </w:t>
      </w:r>
      <w:r w:rsidR="008B5AD5">
        <w:rPr>
          <w:sz w:val="24"/>
          <w:szCs w:val="24"/>
        </w:rPr>
        <w:t>The resulting scores categorise the</w:t>
      </w:r>
      <w:r>
        <w:rPr>
          <w:sz w:val="24"/>
          <w:szCs w:val="24"/>
        </w:rPr>
        <w:t xml:space="preserve"> effectiveness of each intervention as e.g. ‘beneficial’, a ‘trade-off between benefits and harms’, or ‘likely to be ineffective or harmful.’</w:t>
      </w:r>
    </w:p>
    <w:p w14:paraId="7E12C623" w14:textId="77777777" w:rsidR="00BC431D" w:rsidRDefault="002F02CA">
      <w:pPr>
        <w:spacing w:line="480" w:lineRule="auto"/>
        <w:rPr>
          <w:sz w:val="24"/>
          <w:szCs w:val="24"/>
        </w:rPr>
      </w:pPr>
      <w:r>
        <w:rPr>
          <w:sz w:val="24"/>
          <w:szCs w:val="24"/>
        </w:rPr>
        <w:t xml:space="preserve">The primate synopsis can be accessed in three ways. Firstly, as a PDF that summarises the evidence available for every intervention. This allows the synopsis to be downloaded – for free – and read in areas with limited or no internet, but does not include the expert assessment. Secondly, as a chapter in ‘What Works in Conservation’, a book produced annually that summarises all the synopses with the expert assessment. It is available as a free PDF or a physical book. Thirdly, the most powerful option, as part of the free, searchable online database. This allows users to find relevant results instantly; to order interventions by the number of studies, or by effectiveness category, or to refine the search by country; and to check information in other synopses (e.g. education programs that apply across taxa). </w:t>
      </w:r>
    </w:p>
    <w:p w14:paraId="31482E0B" w14:textId="77777777" w:rsidR="00BC431D" w:rsidRDefault="002F02CA">
      <w:pPr>
        <w:spacing w:line="480" w:lineRule="auto"/>
        <w:rPr>
          <w:sz w:val="24"/>
          <w:szCs w:val="24"/>
        </w:rPr>
      </w:pPr>
      <w:r>
        <w:rPr>
          <w:sz w:val="24"/>
          <w:szCs w:val="24"/>
        </w:rPr>
        <w:lastRenderedPageBreak/>
        <w:t>Around 60% of primate species are threatened with extinction and three-quarters are declining (Estrada et al. 2017). Conserving them will require effective actions spanning multiple strategies, from habitat protection to preventing disease transmission. However, despite their high profile, there is remarkably little tested evidence available</w:t>
      </w:r>
      <w:r>
        <w:rPr>
          <w:color w:val="0000FF"/>
          <w:sz w:val="24"/>
          <w:szCs w:val="24"/>
        </w:rPr>
        <w:t xml:space="preserve"> </w:t>
      </w:r>
      <w:r>
        <w:rPr>
          <w:sz w:val="24"/>
          <w:szCs w:val="24"/>
        </w:rPr>
        <w:t xml:space="preserve">on the best ways to conserve primates, especially </w:t>
      </w:r>
      <w:r w:rsidR="00E05B16">
        <w:rPr>
          <w:sz w:val="24"/>
          <w:szCs w:val="24"/>
        </w:rPr>
        <w:t xml:space="preserve">for </w:t>
      </w:r>
      <w:r>
        <w:rPr>
          <w:sz w:val="24"/>
          <w:szCs w:val="24"/>
        </w:rPr>
        <w:t>small, nocturnal species and primates in South America and Asia (Junker et al. 2017). For many (59%) of the interventions identified by the advisory board, we found no evidence during the journal searches as to whether they worked or not - i.e., no studies testing the intervention were found. While some of this information might exist in grey literature reports, it is disparate and extremely difficult to find, and therefore not available for the wider community to use to inform their management actions.</w:t>
      </w:r>
    </w:p>
    <w:p w14:paraId="391B2341" w14:textId="74D047DE" w:rsidR="00BC431D" w:rsidRDefault="008B5AD5">
      <w:pPr>
        <w:spacing w:line="480" w:lineRule="auto"/>
        <w:rPr>
          <w:sz w:val="24"/>
          <w:szCs w:val="24"/>
        </w:rPr>
      </w:pPr>
      <w:bookmarkStart w:id="0" w:name="_gjdgxs" w:colFirst="0" w:colLast="0"/>
      <w:bookmarkEnd w:id="0"/>
      <w:r>
        <w:rPr>
          <w:sz w:val="24"/>
          <w:szCs w:val="24"/>
        </w:rPr>
        <w:t>P</w:t>
      </w:r>
      <w:r w:rsidR="002F02CA">
        <w:rPr>
          <w:sz w:val="24"/>
          <w:szCs w:val="24"/>
        </w:rPr>
        <w:t xml:space="preserve">rimate conservationists </w:t>
      </w:r>
      <w:r>
        <w:rPr>
          <w:sz w:val="24"/>
          <w:szCs w:val="24"/>
        </w:rPr>
        <w:t xml:space="preserve">can </w:t>
      </w:r>
      <w:r w:rsidR="002F02CA">
        <w:rPr>
          <w:sz w:val="24"/>
          <w:szCs w:val="24"/>
        </w:rPr>
        <w:t xml:space="preserve">use Conservation Evidence </w:t>
      </w:r>
      <w:r w:rsidR="00FF5469">
        <w:rPr>
          <w:sz w:val="24"/>
          <w:szCs w:val="24"/>
        </w:rPr>
        <w:t xml:space="preserve">in </w:t>
      </w:r>
      <w:r w:rsidR="004D3200">
        <w:rPr>
          <w:sz w:val="24"/>
          <w:szCs w:val="24"/>
        </w:rPr>
        <w:t>several</w:t>
      </w:r>
      <w:r w:rsidR="00FF5469">
        <w:rPr>
          <w:sz w:val="24"/>
          <w:szCs w:val="24"/>
        </w:rPr>
        <w:t xml:space="preserve"> ways.</w:t>
      </w:r>
      <w:r w:rsidR="002F02CA">
        <w:rPr>
          <w:sz w:val="24"/>
          <w:szCs w:val="24"/>
        </w:rPr>
        <w:t xml:space="preserve"> Firstly, by seeking evidence when deciding which conservation actions to implement. Reading about what other studies have found may help decide on the option that is most likely to be effective</w:t>
      </w:r>
      <w:r w:rsidR="0085209E">
        <w:rPr>
          <w:sz w:val="24"/>
          <w:szCs w:val="24"/>
        </w:rPr>
        <w:t>, for example</w:t>
      </w:r>
      <w:r w:rsidR="002F02CA">
        <w:rPr>
          <w:sz w:val="24"/>
          <w:szCs w:val="24"/>
        </w:rPr>
        <w:t xml:space="preserve"> whether to put effort into training anti-poaching patrols, involving local communities in conservation, or implementing a community based hunting ban. Due to the importance of first examining the evidence, several primate conservation funders, such as the People’s Trust for Endangered Species and Whitley Fund for Nature, are encouraging grant applicants to </w:t>
      </w:r>
      <w:r w:rsidR="00E76A5A">
        <w:rPr>
          <w:sz w:val="24"/>
          <w:szCs w:val="24"/>
        </w:rPr>
        <w:t>seek</w:t>
      </w:r>
      <w:r w:rsidR="002F02CA">
        <w:rPr>
          <w:sz w:val="24"/>
          <w:szCs w:val="24"/>
        </w:rPr>
        <w:t xml:space="preserve"> evidence from the Conservation Evidence project to assess the likelihood of success of a project. Of course, evidence should be used along with knowledge of the local situation, and practical considerations such as cost and species applicability, in order to make decisions that have the highest likelihood of being effective (Figure 1). </w:t>
      </w:r>
    </w:p>
    <w:p w14:paraId="6E7347D2" w14:textId="77777777" w:rsidR="00E50D6C" w:rsidRDefault="00E50D6C">
      <w:pPr>
        <w:spacing w:line="480" w:lineRule="auto"/>
        <w:rPr>
          <w:sz w:val="24"/>
          <w:szCs w:val="24"/>
        </w:rPr>
      </w:pPr>
    </w:p>
    <w:p w14:paraId="69FCCC06" w14:textId="77777777" w:rsidR="00E50D6C" w:rsidRDefault="00E50D6C">
      <w:pPr>
        <w:spacing w:line="480" w:lineRule="auto"/>
        <w:rPr>
          <w:sz w:val="24"/>
          <w:szCs w:val="24"/>
        </w:rPr>
      </w:pPr>
      <w:r w:rsidRPr="00E50D6C">
        <w:rPr>
          <w:noProof/>
          <w:sz w:val="24"/>
          <w:szCs w:val="24"/>
        </w:rPr>
        <w:lastRenderedPageBreak/>
        <w:drawing>
          <wp:inline distT="0" distB="0" distL="0" distR="0" wp14:anchorId="10AEA196" wp14:editId="1679C02D">
            <wp:extent cx="5731510" cy="3893306"/>
            <wp:effectExtent l="0" t="0" r="2540" b="0"/>
            <wp:docPr id="1" name="Picture 1" descr="\\bio-filer1.biosci.cam.ac.uk\home$\sop21\My Documents\Primates Synopsis\Papers\Fig1IJPNe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o-filer1.biosci.cam.ac.uk\home$\sop21\My Documents\Primates Synopsis\Papers\Fig1IJPNew.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3893306"/>
                    </a:xfrm>
                    <a:prstGeom prst="rect">
                      <a:avLst/>
                    </a:prstGeom>
                    <a:noFill/>
                    <a:ln>
                      <a:noFill/>
                    </a:ln>
                  </pic:spPr>
                </pic:pic>
              </a:graphicData>
            </a:graphic>
          </wp:inline>
        </w:drawing>
      </w:r>
      <w:r>
        <w:rPr>
          <w:sz w:val="24"/>
          <w:szCs w:val="24"/>
        </w:rPr>
        <w:t xml:space="preserve"> </w:t>
      </w:r>
    </w:p>
    <w:p w14:paraId="794CAEF7" w14:textId="77777777" w:rsidR="00E50D6C" w:rsidRDefault="00E50D6C" w:rsidP="00E50D6C">
      <w:pPr>
        <w:rPr>
          <w:sz w:val="24"/>
          <w:szCs w:val="24"/>
        </w:rPr>
      </w:pPr>
      <w:r>
        <w:rPr>
          <w:sz w:val="24"/>
          <w:szCs w:val="24"/>
        </w:rPr>
        <w:t>Figure 1. Illustration of how using and generating evidence produces a positive feedback loop – in general, left, and using a hypothetical example- trying to reduce road deaths and population-level declines in lion-tailed macaques (</w:t>
      </w:r>
      <w:r>
        <w:rPr>
          <w:i/>
          <w:sz w:val="24"/>
          <w:szCs w:val="24"/>
        </w:rPr>
        <w:t>Macaca silenus</w:t>
      </w:r>
      <w:r>
        <w:rPr>
          <w:sz w:val="24"/>
          <w:szCs w:val="24"/>
        </w:rPr>
        <w:t>) in India, right.</w:t>
      </w:r>
    </w:p>
    <w:p w14:paraId="61C4D649" w14:textId="7DFACC73" w:rsidR="00E50D6C" w:rsidRDefault="00E50D6C">
      <w:pPr>
        <w:spacing w:line="480" w:lineRule="auto"/>
        <w:rPr>
          <w:sz w:val="24"/>
          <w:szCs w:val="24"/>
        </w:rPr>
      </w:pPr>
      <w:bookmarkStart w:id="1" w:name="_GoBack"/>
      <w:bookmarkEnd w:id="1"/>
    </w:p>
    <w:p w14:paraId="47643B03" w14:textId="5BBC4C38" w:rsidR="00BC431D" w:rsidRDefault="002F02CA">
      <w:pPr>
        <w:spacing w:line="480" w:lineRule="auto"/>
        <w:rPr>
          <w:sz w:val="24"/>
          <w:szCs w:val="24"/>
        </w:rPr>
      </w:pPr>
      <w:r>
        <w:rPr>
          <w:sz w:val="24"/>
          <w:szCs w:val="24"/>
        </w:rPr>
        <w:t xml:space="preserve">Secondly, </w:t>
      </w:r>
      <w:r w:rsidR="00FF5469">
        <w:rPr>
          <w:sz w:val="24"/>
          <w:szCs w:val="24"/>
        </w:rPr>
        <w:t xml:space="preserve">primate conservationists </w:t>
      </w:r>
      <w:r w:rsidR="004D3200">
        <w:rPr>
          <w:sz w:val="24"/>
          <w:szCs w:val="24"/>
        </w:rPr>
        <w:t xml:space="preserve">could help </w:t>
      </w:r>
      <w:r>
        <w:rPr>
          <w:sz w:val="24"/>
          <w:szCs w:val="24"/>
        </w:rPr>
        <w:t xml:space="preserve">fill the substantial knowledge gaps highlighted by the primate synopsis. Does playing primate alarm calls in farmland deter primates from raiding crops? Can green bridges reduce primate deaths on roads? These are some of the questions </w:t>
      </w:r>
      <w:r w:rsidR="00E76A5A">
        <w:rPr>
          <w:sz w:val="24"/>
          <w:szCs w:val="24"/>
        </w:rPr>
        <w:t>where</w:t>
      </w:r>
      <w:r>
        <w:rPr>
          <w:sz w:val="24"/>
          <w:szCs w:val="24"/>
        </w:rPr>
        <w:t xml:space="preserve"> we found no studies </w:t>
      </w:r>
      <w:r w:rsidR="00E76A5A">
        <w:rPr>
          <w:sz w:val="24"/>
          <w:szCs w:val="24"/>
        </w:rPr>
        <w:t xml:space="preserve">that tested whether they worked or not </w:t>
      </w:r>
      <w:r>
        <w:rPr>
          <w:sz w:val="24"/>
          <w:szCs w:val="24"/>
        </w:rPr>
        <w:t xml:space="preserve">during our searches. </w:t>
      </w:r>
      <w:r w:rsidR="0081559B">
        <w:rPr>
          <w:sz w:val="24"/>
          <w:szCs w:val="24"/>
        </w:rPr>
        <w:t xml:space="preserve">Evaluating </w:t>
      </w:r>
      <w:r>
        <w:rPr>
          <w:sz w:val="24"/>
          <w:szCs w:val="24"/>
        </w:rPr>
        <w:t>these interventions and publishing the results would help other conservationists make better-informed decisions for primates. Conservation Evidence also has a no-fee journal where practitioners can share their findings with the global community.</w:t>
      </w:r>
    </w:p>
    <w:p w14:paraId="6B38C67E" w14:textId="193874E5" w:rsidR="00BC431D" w:rsidRDefault="002F02CA">
      <w:pPr>
        <w:spacing w:line="480" w:lineRule="auto"/>
        <w:rPr>
          <w:sz w:val="24"/>
          <w:szCs w:val="24"/>
        </w:rPr>
      </w:pPr>
      <w:r>
        <w:rPr>
          <w:sz w:val="24"/>
          <w:szCs w:val="24"/>
        </w:rPr>
        <w:lastRenderedPageBreak/>
        <w:t>Th</w:t>
      </w:r>
      <w:r w:rsidR="000B4A11">
        <w:rPr>
          <w:sz w:val="24"/>
          <w:szCs w:val="24"/>
        </w:rPr>
        <w:t>irdly, th</w:t>
      </w:r>
      <w:r>
        <w:rPr>
          <w:sz w:val="24"/>
          <w:szCs w:val="24"/>
        </w:rPr>
        <w:t>e primate synopsis found that conservation actions were frequently implemented concurrently, making it difficult to assess the efficacy of any one action. This is understandable, as most of these projects were designed as conservation projects rather than research projects. Where possible, when planning projects, having a testing phase where one strategy at a time is implemented, even if several interventions will eventually be implemented together, would help conservationists understand what is working, when, and why. Where evidence exists for an intervention, testing it for a different species or in a different context would improve understanding of how reliably it works. The free PRISM Toolkit (</w:t>
      </w:r>
      <w:r>
        <w:rPr>
          <w:color w:val="0563C1"/>
          <w:sz w:val="24"/>
          <w:szCs w:val="24"/>
          <w:u w:val="single"/>
        </w:rPr>
        <w:t>http://www.conservationevaluation.org</w:t>
      </w:r>
      <w:r>
        <w:rPr>
          <w:sz w:val="24"/>
          <w:szCs w:val="24"/>
        </w:rPr>
        <w:t xml:space="preserve">) can help practitioners design adequate evaluation of conservation projects. </w:t>
      </w:r>
    </w:p>
    <w:p w14:paraId="7C23B8E5" w14:textId="7F10BBD8" w:rsidR="00BC431D" w:rsidRDefault="002F02CA">
      <w:pPr>
        <w:spacing w:line="480" w:lineRule="auto"/>
        <w:rPr>
          <w:sz w:val="24"/>
          <w:szCs w:val="24"/>
        </w:rPr>
      </w:pPr>
      <w:r>
        <w:rPr>
          <w:sz w:val="24"/>
          <w:szCs w:val="24"/>
        </w:rPr>
        <w:t>Finally, spread the word about the Conservation Evidence project. Conservationists across the world can access, use and add to this resource, making it a valuable, living database. If you have any suggestions for improvements</w:t>
      </w:r>
      <w:r w:rsidR="0081559B">
        <w:rPr>
          <w:sz w:val="24"/>
          <w:szCs w:val="24"/>
        </w:rPr>
        <w:t xml:space="preserve"> </w:t>
      </w:r>
      <w:r w:rsidR="002C01AE">
        <w:rPr>
          <w:sz w:val="24"/>
          <w:szCs w:val="24"/>
        </w:rPr>
        <w:t>for the</w:t>
      </w:r>
      <w:r w:rsidR="0081559B">
        <w:rPr>
          <w:sz w:val="24"/>
          <w:szCs w:val="24"/>
        </w:rPr>
        <w:t xml:space="preserve"> synopsis updates</w:t>
      </w:r>
      <w:r>
        <w:rPr>
          <w:sz w:val="24"/>
          <w:szCs w:val="24"/>
        </w:rPr>
        <w:t xml:space="preserve">, for example studies we </w:t>
      </w:r>
      <w:r w:rsidR="0081559B">
        <w:rPr>
          <w:sz w:val="24"/>
          <w:szCs w:val="24"/>
        </w:rPr>
        <w:t xml:space="preserve">may </w:t>
      </w:r>
      <w:r>
        <w:rPr>
          <w:sz w:val="24"/>
          <w:szCs w:val="24"/>
        </w:rPr>
        <w:t>h</w:t>
      </w:r>
      <w:r w:rsidR="006C42FB">
        <w:rPr>
          <w:sz w:val="24"/>
          <w:szCs w:val="24"/>
        </w:rPr>
        <w:t xml:space="preserve">ave missed, please contact us </w:t>
      </w:r>
      <w:r w:rsidR="00D7539F">
        <w:rPr>
          <w:sz w:val="24"/>
          <w:szCs w:val="24"/>
        </w:rPr>
        <w:t>at</w:t>
      </w:r>
      <w:r>
        <w:rPr>
          <w:sz w:val="24"/>
          <w:szCs w:val="24"/>
        </w:rPr>
        <w:t xml:space="preserve"> </w:t>
      </w:r>
      <w:hyperlink r:id="rId10">
        <w:r>
          <w:rPr>
            <w:color w:val="1155CC"/>
            <w:sz w:val="24"/>
            <w:szCs w:val="24"/>
            <w:u w:val="single"/>
          </w:rPr>
          <w:t>info@conservationevidence.com</w:t>
        </w:r>
      </w:hyperlink>
      <w:r>
        <w:rPr>
          <w:sz w:val="24"/>
          <w:szCs w:val="24"/>
        </w:rPr>
        <w:t>. Using and producing the best possible science is key to ensuring the next generation sees a world that sustains thriving populations of primates. Collectively, we can all learn to do conservation better.</w:t>
      </w:r>
    </w:p>
    <w:p w14:paraId="764C200D" w14:textId="77777777" w:rsidR="005B1CD7" w:rsidRPr="00F81D2E" w:rsidRDefault="005B1CD7" w:rsidP="005B1CD7">
      <w:pPr>
        <w:rPr>
          <w:rFonts w:eastAsia="Times New Roman"/>
          <w:b/>
          <w:sz w:val="24"/>
          <w:szCs w:val="24"/>
        </w:rPr>
      </w:pPr>
      <w:r w:rsidRPr="00F81D2E">
        <w:rPr>
          <w:rFonts w:eastAsia="Times New Roman"/>
          <w:b/>
          <w:sz w:val="24"/>
          <w:szCs w:val="24"/>
        </w:rPr>
        <w:t>Acknowledgements</w:t>
      </w:r>
    </w:p>
    <w:p w14:paraId="617682E3" w14:textId="77777777" w:rsidR="005B1CD7" w:rsidRPr="0018227A" w:rsidRDefault="005B1CD7" w:rsidP="005B1CD7">
      <w:pPr>
        <w:rPr>
          <w:rFonts w:eastAsia="Times New Roman"/>
          <w:sz w:val="24"/>
          <w:szCs w:val="24"/>
        </w:rPr>
      </w:pPr>
      <w:r>
        <w:rPr>
          <w:rFonts w:eastAsia="Times New Roman"/>
          <w:sz w:val="24"/>
          <w:szCs w:val="24"/>
        </w:rPr>
        <w:t xml:space="preserve">We are grateful to the funders of the Primate synopsis work, Robert Bosch Stiftung at Max Planck Institute for Evolutionary Anthropology in Germany and Arcadia for the Conservation Evidence work at the University of Cambridge. </w:t>
      </w:r>
    </w:p>
    <w:p w14:paraId="1F4FE3C9" w14:textId="2AA5D488" w:rsidR="00BC431D" w:rsidRDefault="00BC431D">
      <w:pPr>
        <w:spacing w:line="480" w:lineRule="auto"/>
        <w:rPr>
          <w:color w:val="2E75B5"/>
          <w:sz w:val="32"/>
          <w:szCs w:val="32"/>
        </w:rPr>
      </w:pPr>
    </w:p>
    <w:p w14:paraId="56E266CB" w14:textId="4ECABD35" w:rsidR="00BC431D" w:rsidRPr="005B1CD7" w:rsidRDefault="005B1CD7">
      <w:pPr>
        <w:pStyle w:val="Heading1"/>
        <w:spacing w:line="480" w:lineRule="auto"/>
        <w:rPr>
          <w:b/>
          <w:color w:val="000000"/>
          <w:sz w:val="24"/>
          <w:szCs w:val="24"/>
        </w:rPr>
      </w:pPr>
      <w:r w:rsidRPr="005B1CD7">
        <w:rPr>
          <w:b/>
          <w:color w:val="000000"/>
          <w:sz w:val="24"/>
          <w:szCs w:val="24"/>
        </w:rPr>
        <w:t>References</w:t>
      </w:r>
    </w:p>
    <w:p w14:paraId="468E57BE" w14:textId="77777777" w:rsidR="00BC431D" w:rsidRDefault="00BC431D">
      <w:pPr>
        <w:spacing w:line="480" w:lineRule="auto"/>
        <w:rPr>
          <w:sz w:val="24"/>
          <w:szCs w:val="24"/>
        </w:rPr>
      </w:pPr>
    </w:p>
    <w:p w14:paraId="5DC8FC06" w14:textId="77777777" w:rsidR="00BC431D" w:rsidRDefault="002F02CA">
      <w:pPr>
        <w:spacing w:line="480" w:lineRule="auto"/>
        <w:rPr>
          <w:sz w:val="24"/>
          <w:szCs w:val="24"/>
        </w:rPr>
      </w:pPr>
      <w:r>
        <w:rPr>
          <w:sz w:val="24"/>
          <w:szCs w:val="24"/>
        </w:rPr>
        <w:lastRenderedPageBreak/>
        <w:t xml:space="preserve">Berthinussen, A. &amp; Altringham, J. (2012) Do bat gantries and underpasses help bats cross roads safely? </w:t>
      </w:r>
      <w:r>
        <w:rPr>
          <w:i/>
          <w:sz w:val="24"/>
          <w:szCs w:val="24"/>
        </w:rPr>
        <w:t>PloS One</w:t>
      </w:r>
      <w:r>
        <w:rPr>
          <w:sz w:val="24"/>
          <w:szCs w:val="24"/>
        </w:rPr>
        <w:t>, 7(6), p.e38775.</w:t>
      </w:r>
    </w:p>
    <w:p w14:paraId="02795085" w14:textId="77777777" w:rsidR="00BC431D" w:rsidRDefault="002F02CA">
      <w:pPr>
        <w:spacing w:before="120" w:line="480" w:lineRule="auto"/>
        <w:rPr>
          <w:sz w:val="24"/>
          <w:szCs w:val="24"/>
        </w:rPr>
      </w:pPr>
      <w:r>
        <w:rPr>
          <w:sz w:val="24"/>
          <w:szCs w:val="24"/>
        </w:rPr>
        <w:t xml:space="preserve">Ditlhogo, M.K.M., James, R., Laurence, B.R. &amp; Sutherland, W.J. (1992) The effect of conservation management of reed beds. I. The invertebrates. </w:t>
      </w:r>
      <w:r>
        <w:rPr>
          <w:i/>
          <w:sz w:val="24"/>
          <w:szCs w:val="24"/>
        </w:rPr>
        <w:t>Journal of Applied Ecology</w:t>
      </w:r>
      <w:r>
        <w:rPr>
          <w:sz w:val="24"/>
          <w:szCs w:val="24"/>
        </w:rPr>
        <w:t xml:space="preserve"> 29</w:t>
      </w:r>
      <w:r>
        <w:rPr>
          <w:b/>
          <w:sz w:val="24"/>
          <w:szCs w:val="24"/>
        </w:rPr>
        <w:t>,</w:t>
      </w:r>
      <w:r>
        <w:rPr>
          <w:sz w:val="24"/>
          <w:szCs w:val="24"/>
        </w:rPr>
        <w:t xml:space="preserve"> 265–276.</w:t>
      </w:r>
    </w:p>
    <w:p w14:paraId="0312A5BC" w14:textId="77777777" w:rsidR="00BC431D" w:rsidRDefault="002F02CA">
      <w:pPr>
        <w:spacing w:line="480" w:lineRule="auto"/>
        <w:rPr>
          <w:sz w:val="24"/>
          <w:szCs w:val="24"/>
        </w:rPr>
      </w:pPr>
      <w:r>
        <w:rPr>
          <w:sz w:val="24"/>
          <w:szCs w:val="24"/>
        </w:rPr>
        <w:t xml:space="preserve">Estrada, A., Garber, P.A., Rylands, A.B., Roos, C., Fernandez-Duque, E., Di Fiore, A., Nekaris, K.A.I., Nijman, V., Heymann, E.W., Lambert, J.E. &amp; Rovero, F. (2017) Impending extinction crisis of the world’s primates: Why primates matter. </w:t>
      </w:r>
      <w:r>
        <w:rPr>
          <w:i/>
          <w:sz w:val="24"/>
          <w:szCs w:val="24"/>
        </w:rPr>
        <w:t>Science Advances</w:t>
      </w:r>
      <w:r>
        <w:rPr>
          <w:sz w:val="24"/>
          <w:szCs w:val="24"/>
        </w:rPr>
        <w:t>, 3(1), p.e1600946.</w:t>
      </w:r>
    </w:p>
    <w:p w14:paraId="7D6CBF3D" w14:textId="77777777" w:rsidR="00BC431D" w:rsidRDefault="002F02CA">
      <w:pPr>
        <w:spacing w:line="480" w:lineRule="auto"/>
        <w:rPr>
          <w:sz w:val="24"/>
          <w:szCs w:val="24"/>
        </w:rPr>
      </w:pPr>
      <w:r>
        <w:rPr>
          <w:sz w:val="24"/>
          <w:szCs w:val="24"/>
        </w:rPr>
        <w:t xml:space="preserve">Gilbert, R., Salanti, G., Harden, M. &amp; See, S. (2005) Infant sleeping position and the sudden infant death syndrome: systematic review of observational studies and historical review of recommendations from 1940 to 2002. </w:t>
      </w:r>
      <w:r>
        <w:rPr>
          <w:i/>
          <w:sz w:val="24"/>
          <w:szCs w:val="24"/>
        </w:rPr>
        <w:t>International Journal of Epidemiology</w:t>
      </w:r>
      <w:r>
        <w:rPr>
          <w:sz w:val="24"/>
          <w:szCs w:val="24"/>
        </w:rPr>
        <w:t>, 34, 874-887.</w:t>
      </w:r>
    </w:p>
    <w:p w14:paraId="4FF182DD" w14:textId="77777777" w:rsidR="00BC431D" w:rsidRDefault="002F02CA">
      <w:pPr>
        <w:spacing w:line="480" w:lineRule="auto"/>
        <w:rPr>
          <w:sz w:val="24"/>
          <w:szCs w:val="24"/>
        </w:rPr>
      </w:pPr>
      <w:r>
        <w:rPr>
          <w:sz w:val="24"/>
          <w:szCs w:val="24"/>
        </w:rPr>
        <w:t xml:space="preserve">Junker, J., Kühl, H.S., Orth, L., Smith, R.K., Petrovan, S.O. &amp; Sutherland, W.J. (2017) </w:t>
      </w:r>
      <w:r>
        <w:rPr>
          <w:i/>
          <w:sz w:val="24"/>
          <w:szCs w:val="24"/>
        </w:rPr>
        <w:t>Primate conservation: Global evidence for the effects of interventions</w:t>
      </w:r>
      <w:r>
        <w:rPr>
          <w:sz w:val="24"/>
          <w:szCs w:val="24"/>
        </w:rPr>
        <w:t>. University of Cambridge, UK</w:t>
      </w:r>
    </w:p>
    <w:p w14:paraId="210F1191" w14:textId="46D3325F" w:rsidR="005B1CD7" w:rsidRDefault="002F02CA" w:rsidP="00E50D6C">
      <w:pPr>
        <w:spacing w:line="480" w:lineRule="auto"/>
        <w:rPr>
          <w:sz w:val="24"/>
          <w:szCs w:val="24"/>
        </w:rPr>
      </w:pPr>
      <w:r>
        <w:rPr>
          <w:sz w:val="24"/>
          <w:szCs w:val="24"/>
        </w:rPr>
        <w:t xml:space="preserve">Mukherjee, N., Huge, J., Sutherland, W.J., McNeill, J., Van Opstal, M., Dahdouh‐Guebas, F. and Koedam, N., 2015. The Delphi technique in ecology and biological conservation: applications and guidelines. </w:t>
      </w:r>
      <w:r>
        <w:rPr>
          <w:i/>
          <w:sz w:val="24"/>
          <w:szCs w:val="24"/>
        </w:rPr>
        <w:t>Methods in Ecology and Evolution</w:t>
      </w:r>
      <w:r>
        <w:rPr>
          <w:sz w:val="24"/>
          <w:szCs w:val="24"/>
        </w:rPr>
        <w:t>, 6, 1097-1109.</w:t>
      </w:r>
    </w:p>
    <w:p w14:paraId="7369554F" w14:textId="7365D39A" w:rsidR="005B1CD7" w:rsidRDefault="005B1CD7" w:rsidP="00AB48AD">
      <w:pPr>
        <w:spacing w:line="480" w:lineRule="auto"/>
        <w:rPr>
          <w:sz w:val="24"/>
          <w:szCs w:val="24"/>
        </w:rPr>
      </w:pPr>
    </w:p>
    <w:sectPr w:rsidR="005B1CD7" w:rsidSect="00AB48AD">
      <w:footerReference w:type="default" r:id="rId11"/>
      <w:pgSz w:w="11906" w:h="16838"/>
      <w:pgMar w:top="1440" w:right="1440" w:bottom="1440" w:left="1440" w:header="708" w:footer="708" w:gutter="0"/>
      <w:lnNumType w:countBy="1" w:restart="continuou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32983C" w14:textId="77777777" w:rsidR="00ED52CF" w:rsidRDefault="002F02CA">
      <w:pPr>
        <w:spacing w:after="0" w:line="240" w:lineRule="auto"/>
      </w:pPr>
      <w:r>
        <w:separator/>
      </w:r>
    </w:p>
  </w:endnote>
  <w:endnote w:type="continuationSeparator" w:id="0">
    <w:p w14:paraId="225ABB25" w14:textId="77777777" w:rsidR="00ED52CF" w:rsidRDefault="002F02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8F11A" w14:textId="326ED0C9" w:rsidR="00BC431D" w:rsidRDefault="002F02CA">
    <w:pPr>
      <w:tabs>
        <w:tab w:val="center" w:pos="4513"/>
        <w:tab w:val="right" w:pos="9026"/>
      </w:tabs>
      <w:spacing w:after="0" w:line="240" w:lineRule="auto"/>
      <w:jc w:val="right"/>
    </w:pPr>
    <w:r>
      <w:fldChar w:fldCharType="begin"/>
    </w:r>
    <w:r>
      <w:instrText>PAGE</w:instrText>
    </w:r>
    <w:r>
      <w:fldChar w:fldCharType="separate"/>
    </w:r>
    <w:r w:rsidR="00E50D6C">
      <w:rPr>
        <w:noProof/>
      </w:rPr>
      <w:t>5</w:t>
    </w:r>
    <w:r>
      <w:fldChar w:fldCharType="end"/>
    </w:r>
  </w:p>
  <w:p w14:paraId="34D64910" w14:textId="77777777" w:rsidR="00BC431D" w:rsidRDefault="00BC431D">
    <w:pPr>
      <w:tabs>
        <w:tab w:val="center" w:pos="4513"/>
        <w:tab w:val="right" w:pos="9026"/>
      </w:tabs>
      <w:spacing w:after="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278DF9" w14:textId="77777777" w:rsidR="00ED52CF" w:rsidRDefault="002F02CA">
      <w:pPr>
        <w:spacing w:after="0" w:line="240" w:lineRule="auto"/>
      </w:pPr>
      <w:r>
        <w:separator/>
      </w:r>
    </w:p>
  </w:footnote>
  <w:footnote w:type="continuationSeparator" w:id="0">
    <w:p w14:paraId="107D8EBE" w14:textId="77777777" w:rsidR="00ED52CF" w:rsidRDefault="002F02C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31D"/>
    <w:rsid w:val="00085A54"/>
    <w:rsid w:val="000B4A11"/>
    <w:rsid w:val="00100504"/>
    <w:rsid w:val="0014066E"/>
    <w:rsid w:val="00197885"/>
    <w:rsid w:val="002C01AE"/>
    <w:rsid w:val="002F02CA"/>
    <w:rsid w:val="00367872"/>
    <w:rsid w:val="003E3891"/>
    <w:rsid w:val="004D3200"/>
    <w:rsid w:val="00506760"/>
    <w:rsid w:val="005B1CD7"/>
    <w:rsid w:val="006C42FB"/>
    <w:rsid w:val="00776FC8"/>
    <w:rsid w:val="00813602"/>
    <w:rsid w:val="0081559B"/>
    <w:rsid w:val="0082542A"/>
    <w:rsid w:val="0085209E"/>
    <w:rsid w:val="008B5AD5"/>
    <w:rsid w:val="009228DC"/>
    <w:rsid w:val="0094442F"/>
    <w:rsid w:val="009F55B9"/>
    <w:rsid w:val="00A33ED3"/>
    <w:rsid w:val="00A77DE7"/>
    <w:rsid w:val="00AB48AD"/>
    <w:rsid w:val="00AD6827"/>
    <w:rsid w:val="00AF1083"/>
    <w:rsid w:val="00B623A2"/>
    <w:rsid w:val="00BC431D"/>
    <w:rsid w:val="00C419E8"/>
    <w:rsid w:val="00D31FCF"/>
    <w:rsid w:val="00D7539F"/>
    <w:rsid w:val="00DB0F5D"/>
    <w:rsid w:val="00E05B16"/>
    <w:rsid w:val="00E1478D"/>
    <w:rsid w:val="00E50D6C"/>
    <w:rsid w:val="00E73921"/>
    <w:rsid w:val="00E76A5A"/>
    <w:rsid w:val="00E87C9C"/>
    <w:rsid w:val="00EC3594"/>
    <w:rsid w:val="00ED52CF"/>
    <w:rsid w:val="00F45907"/>
    <w:rsid w:val="00FC6A1E"/>
    <w:rsid w:val="00FF54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5C86D"/>
  <w15:docId w15:val="{50800BD5-C0BE-4162-9076-D4DEE5858C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GB" w:eastAsia="en-GB" w:bidi="ar-SA"/>
      </w:rPr>
    </w:rPrDefault>
    <w:pPrDefault>
      <w:pPr>
        <w:pBdr>
          <w:top w:val="nil"/>
          <w:left w:val="nil"/>
          <w:bottom w:val="nil"/>
          <w:right w:val="nil"/>
          <w:between w:val="nil"/>
        </w:pBd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40" w:after="0"/>
      <w:outlineLvl w:val="0"/>
    </w:pPr>
    <w:rPr>
      <w:color w:val="2E75B5"/>
      <w:sz w:val="32"/>
      <w:szCs w:val="32"/>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spacing w:after="0" w:line="240" w:lineRule="auto"/>
      <w:contextualSpacing/>
    </w:pPr>
    <w:rPr>
      <w:sz w:val="56"/>
      <w:szCs w:val="56"/>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E05B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5B16"/>
    <w:rPr>
      <w:rFonts w:ascii="Tahoma" w:hAnsi="Tahoma" w:cs="Tahoma"/>
      <w:sz w:val="16"/>
      <w:szCs w:val="16"/>
    </w:rPr>
  </w:style>
  <w:style w:type="character" w:styleId="CommentReference">
    <w:name w:val="annotation reference"/>
    <w:basedOn w:val="DefaultParagraphFont"/>
    <w:uiPriority w:val="99"/>
    <w:semiHidden/>
    <w:unhideWhenUsed/>
    <w:rsid w:val="00813602"/>
    <w:rPr>
      <w:sz w:val="16"/>
      <w:szCs w:val="16"/>
    </w:rPr>
  </w:style>
  <w:style w:type="paragraph" w:styleId="CommentText">
    <w:name w:val="annotation text"/>
    <w:basedOn w:val="Normal"/>
    <w:link w:val="CommentTextChar"/>
    <w:uiPriority w:val="99"/>
    <w:semiHidden/>
    <w:unhideWhenUsed/>
    <w:rsid w:val="00813602"/>
    <w:pPr>
      <w:spacing w:line="240" w:lineRule="auto"/>
    </w:pPr>
    <w:rPr>
      <w:sz w:val="20"/>
      <w:szCs w:val="20"/>
    </w:rPr>
  </w:style>
  <w:style w:type="character" w:customStyle="1" w:styleId="CommentTextChar">
    <w:name w:val="Comment Text Char"/>
    <w:basedOn w:val="DefaultParagraphFont"/>
    <w:link w:val="CommentText"/>
    <w:uiPriority w:val="99"/>
    <w:semiHidden/>
    <w:rsid w:val="00813602"/>
    <w:rPr>
      <w:sz w:val="20"/>
      <w:szCs w:val="20"/>
    </w:rPr>
  </w:style>
  <w:style w:type="paragraph" w:styleId="CommentSubject">
    <w:name w:val="annotation subject"/>
    <w:basedOn w:val="CommentText"/>
    <w:next w:val="CommentText"/>
    <w:link w:val="CommentSubjectChar"/>
    <w:uiPriority w:val="99"/>
    <w:semiHidden/>
    <w:unhideWhenUsed/>
    <w:rsid w:val="00813602"/>
    <w:rPr>
      <w:b/>
      <w:bCs/>
    </w:rPr>
  </w:style>
  <w:style w:type="character" w:customStyle="1" w:styleId="CommentSubjectChar">
    <w:name w:val="Comment Subject Char"/>
    <w:basedOn w:val="CommentTextChar"/>
    <w:link w:val="CommentSubject"/>
    <w:uiPriority w:val="99"/>
    <w:semiHidden/>
    <w:rsid w:val="00813602"/>
    <w:rPr>
      <w:b/>
      <w:bCs/>
      <w:sz w:val="20"/>
      <w:szCs w:val="20"/>
    </w:rPr>
  </w:style>
  <w:style w:type="character" w:styleId="LineNumber">
    <w:name w:val="line number"/>
    <w:basedOn w:val="DefaultParagraphFont"/>
    <w:uiPriority w:val="99"/>
    <w:semiHidden/>
    <w:unhideWhenUsed/>
    <w:rsid w:val="00AB48AD"/>
  </w:style>
  <w:style w:type="character" w:customStyle="1" w:styleId="TitleChar">
    <w:name w:val="Title Char"/>
    <w:basedOn w:val="DefaultParagraphFont"/>
    <w:link w:val="Title"/>
    <w:uiPriority w:val="10"/>
    <w:rsid w:val="00776FC8"/>
    <w:rPr>
      <w:sz w:val="56"/>
      <w:szCs w:val="56"/>
    </w:rPr>
  </w:style>
  <w:style w:type="character" w:styleId="Hyperlink">
    <w:name w:val="Hyperlink"/>
    <w:basedOn w:val="DefaultParagraphFont"/>
    <w:uiPriority w:val="99"/>
    <w:unhideWhenUsed/>
    <w:rsid w:val="00776FC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conservationevidence.com"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cochrane.org/"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op21@cam.ac.uk"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mailto:info@conservationevidece.com" TargetMode="External"/><Relationship Id="rId4" Type="http://schemas.openxmlformats.org/officeDocument/2006/relationships/footnotes" Target="footnotes.xml"/><Relationship Id="rId9"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1708</Words>
  <Characters>9736</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11422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Silviu Petrovan</dc:creator>
  <cp:lastModifiedBy>Silviu Petrovan</cp:lastModifiedBy>
  <cp:revision>2</cp:revision>
  <dcterms:created xsi:type="dcterms:W3CDTF">2018-01-08T12:02:00Z</dcterms:created>
  <dcterms:modified xsi:type="dcterms:W3CDTF">2018-01-08T12:02:00Z</dcterms:modified>
</cp:coreProperties>
</file>