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1CDB20" w14:textId="77777777" w:rsidR="00A15E0E" w:rsidRPr="006B5FE7" w:rsidRDefault="00A15E0E" w:rsidP="00A15E0E">
      <w:pPr>
        <w:pStyle w:val="Default"/>
        <w:spacing w:after="240"/>
        <w:ind w:right="136"/>
        <w:contextualSpacing/>
        <w:jc w:val="center"/>
        <w:rPr>
          <w:rFonts w:ascii="Times New Roman" w:eastAsia="Times New Roman" w:hAnsi="Times New Roman" w:cs="Times New Roman"/>
          <w:b/>
          <w:bCs/>
          <w:sz w:val="24"/>
          <w:szCs w:val="24"/>
          <w:lang w:val="en-US"/>
        </w:rPr>
      </w:pPr>
      <w:bookmarkStart w:id="0" w:name="_GoBack"/>
      <w:bookmarkEnd w:id="0"/>
      <w:r w:rsidRPr="006B5FE7">
        <w:rPr>
          <w:rFonts w:ascii="Times New Roman" w:eastAsia="Times New Roman" w:hAnsi="Times New Roman" w:cs="Times New Roman"/>
          <w:b/>
          <w:bCs/>
          <w:sz w:val="24"/>
          <w:szCs w:val="24"/>
          <w:lang w:val="en-US"/>
        </w:rPr>
        <w:t>BRIDGING DIVIDES: TRANSLATING THE CONCEPT OF SUSTAINABLE LIVELIHOODS TO RURAL INDONESIA THROUGH INSTITUTIONAL EMPOWERMENT WORK</w:t>
      </w:r>
    </w:p>
    <w:p w14:paraId="690F1BE3" w14:textId="77777777" w:rsidR="00A15E0E" w:rsidRPr="006B5FE7" w:rsidRDefault="00A15E0E" w:rsidP="00A15E0E">
      <w:pPr>
        <w:pStyle w:val="Default"/>
        <w:spacing w:after="240"/>
        <w:ind w:right="136"/>
        <w:contextualSpacing/>
        <w:rPr>
          <w:rFonts w:ascii="Times New Roman" w:eastAsia="Times New Roman" w:hAnsi="Times New Roman" w:cs="Times New Roman"/>
          <w:b/>
          <w:bCs/>
          <w:sz w:val="24"/>
          <w:szCs w:val="24"/>
          <w:lang w:val="en-GB"/>
        </w:rPr>
      </w:pPr>
    </w:p>
    <w:p w14:paraId="03ADB553"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ISABEL BRÜGGEMANN</w:t>
      </w:r>
    </w:p>
    <w:p w14:paraId="3A11ED2C"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Judge Business School, University of Cambridge</w:t>
      </w:r>
    </w:p>
    <w:p w14:paraId="5CC4776A"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Trumpington St, Cambridge CB2 1AG, UK</w:t>
      </w:r>
    </w:p>
    <w:p w14:paraId="782613D1"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p>
    <w:p w14:paraId="67D331DC"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PAUL TRACEY</w:t>
      </w:r>
    </w:p>
    <w:p w14:paraId="2C2CA55B"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Judge Business School, University of Cambridge</w:t>
      </w:r>
    </w:p>
    <w:p w14:paraId="47D06521"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p>
    <w:p w14:paraId="20C4915C"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JOCHEM KROEZEN</w:t>
      </w:r>
    </w:p>
    <w:p w14:paraId="30093F41" w14:textId="77777777" w:rsidR="00A15E0E" w:rsidRPr="006B5FE7" w:rsidRDefault="00A15E0E" w:rsidP="00A15E0E">
      <w:pPr>
        <w:pStyle w:val="Default"/>
        <w:spacing w:after="240"/>
        <w:ind w:right="136" w:hanging="284"/>
        <w:contextualSpacing/>
        <w:jc w:val="center"/>
        <w:rPr>
          <w:rFonts w:ascii="Times New Roman" w:hAnsi="Times New Roman" w:cs="Times New Roman"/>
          <w:sz w:val="24"/>
          <w:szCs w:val="24"/>
          <w:lang w:val="en-GB"/>
        </w:rPr>
      </w:pPr>
      <w:r w:rsidRPr="006B5FE7">
        <w:rPr>
          <w:rFonts w:ascii="Times New Roman" w:hAnsi="Times New Roman" w:cs="Times New Roman"/>
          <w:sz w:val="24"/>
          <w:szCs w:val="24"/>
          <w:lang w:val="en-GB"/>
        </w:rPr>
        <w:t>Judge Business School, University of Cambridge</w:t>
      </w:r>
    </w:p>
    <w:p w14:paraId="6DCC695E" w14:textId="77777777" w:rsidR="00C40090" w:rsidRPr="006B5FE7" w:rsidRDefault="00C40090" w:rsidP="00A15E0E">
      <w:pPr>
        <w:pStyle w:val="Default"/>
        <w:spacing w:after="240"/>
        <w:ind w:right="136" w:hanging="284"/>
        <w:contextualSpacing/>
        <w:jc w:val="center"/>
        <w:rPr>
          <w:rFonts w:ascii="Times New Roman" w:hAnsi="Times New Roman" w:cs="Times New Roman"/>
          <w:sz w:val="24"/>
          <w:szCs w:val="24"/>
          <w:lang w:val="en-GB"/>
        </w:rPr>
      </w:pPr>
    </w:p>
    <w:p w14:paraId="55F3234C" w14:textId="77777777" w:rsidR="00C40090" w:rsidRPr="006B5FE7" w:rsidRDefault="00C40090" w:rsidP="00C40090">
      <w:pPr>
        <w:pStyle w:val="Default"/>
        <w:spacing w:after="240"/>
        <w:ind w:right="-142" w:hanging="284"/>
        <w:contextualSpacing/>
        <w:jc w:val="center"/>
        <w:rPr>
          <w:rFonts w:ascii="Times New Roman" w:eastAsia="Times New Roman" w:hAnsi="Times New Roman" w:cs="Times New Roman"/>
          <w:b/>
          <w:bCs/>
          <w:sz w:val="24"/>
          <w:szCs w:val="24"/>
          <w:lang w:val="en-GB"/>
        </w:rPr>
      </w:pPr>
      <w:r w:rsidRPr="006B5FE7">
        <w:rPr>
          <w:rFonts w:ascii="Times New Roman" w:eastAsia="Times New Roman" w:hAnsi="Times New Roman" w:cs="Times New Roman"/>
          <w:b/>
          <w:bCs/>
          <w:sz w:val="24"/>
          <w:szCs w:val="24"/>
          <w:lang w:val="en-GB"/>
        </w:rPr>
        <w:t>INTRODUCTION</w:t>
      </w:r>
    </w:p>
    <w:p w14:paraId="6B9E0707" w14:textId="77777777" w:rsidR="00C40090" w:rsidRPr="006B5FE7" w:rsidRDefault="00C40090" w:rsidP="00C40090">
      <w:pPr>
        <w:pStyle w:val="Default"/>
        <w:spacing w:after="240"/>
        <w:ind w:left="-284" w:right="-142" w:firstLine="720"/>
        <w:contextualSpacing/>
        <w:jc w:val="center"/>
        <w:rPr>
          <w:rFonts w:ascii="Times New Roman" w:eastAsia="Times New Roman" w:hAnsi="Times New Roman" w:cs="Times New Roman"/>
          <w:b/>
          <w:bCs/>
          <w:sz w:val="24"/>
          <w:szCs w:val="24"/>
          <w:lang w:val="en-GB"/>
        </w:rPr>
      </w:pPr>
      <w:r w:rsidRPr="006B5FE7">
        <w:rPr>
          <w:rFonts w:ascii="Times New Roman" w:eastAsia="Times New Roman" w:hAnsi="Times New Roman" w:cs="Times New Roman"/>
          <w:b/>
          <w:bCs/>
          <w:sz w:val="24"/>
          <w:szCs w:val="24"/>
          <w:lang w:val="en-GB"/>
        </w:rPr>
        <w:t xml:space="preserve">                                                                                                                   </w:t>
      </w:r>
    </w:p>
    <w:p w14:paraId="28809161" w14:textId="2E23509B" w:rsidR="00C40090" w:rsidRPr="006B5FE7" w:rsidRDefault="00C40090" w:rsidP="003C50D9">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eastAsia="Times New Roman" w:hAnsi="Times New Roman" w:cs="Times New Roman"/>
          <w:bCs/>
          <w:sz w:val="24"/>
          <w:szCs w:val="24"/>
          <w:lang w:val="en-US"/>
        </w:rPr>
        <w:t xml:space="preserve">          Many of the “grand challenges” of our time involve translating ideas from one domain to another (Ferraro, Etzion, &amp; Gehman, 2015; George et al., 2016). Examples are the translation of scientific facts about the natural environment to the business world to fuel collective action (e.g.</w:t>
      </w:r>
      <w:r w:rsidRPr="006B5FE7">
        <w:rPr>
          <w:rFonts w:ascii="Times New Roman" w:eastAsia="Times New Roman" w:hAnsi="Times New Roman" w:cs="Times New Roman"/>
          <w:bCs/>
          <w:sz w:val="24"/>
          <w:szCs w:val="24"/>
        </w:rPr>
        <w:t xml:space="preserve"> </w:t>
      </w:r>
      <w:r w:rsidRPr="006B5FE7">
        <w:rPr>
          <w:rFonts w:ascii="Times New Roman" w:eastAsia="Times New Roman" w:hAnsi="Times New Roman" w:cs="Times New Roman"/>
          <w:bCs/>
          <w:sz w:val="24"/>
          <w:szCs w:val="24"/>
          <w:lang w:val="en-US"/>
        </w:rPr>
        <w:t>Ansari, Gray, &amp; Wijen, 2011; Maguire &amp; Hardy, 2009; Wright &amp; Nyberg, 2017), or the translation of ideas and policies from the elite to marginalized communities to facilitate development (e.g.</w:t>
      </w:r>
      <w:r w:rsidRPr="006B5FE7">
        <w:rPr>
          <w:rFonts w:ascii="Times New Roman" w:eastAsia="Times New Roman" w:hAnsi="Times New Roman" w:cs="Times New Roman"/>
          <w:bCs/>
          <w:sz w:val="24"/>
          <w:szCs w:val="24"/>
        </w:rPr>
        <w:t xml:space="preserve"> </w:t>
      </w:r>
      <w:r w:rsidRPr="006B5FE7">
        <w:rPr>
          <w:rFonts w:ascii="Times New Roman" w:eastAsia="Times New Roman" w:hAnsi="Times New Roman" w:cs="Times New Roman"/>
          <w:bCs/>
          <w:sz w:val="24"/>
          <w:szCs w:val="24"/>
          <w:lang w:val="en-US"/>
        </w:rPr>
        <w:t xml:space="preserve">Mair, Wolf, &amp; Seelos, 2016; Munir et al, 2017; Vakili &amp; McGahan, 2016). Although previous research has theorized generic features of translation processes, such as the local editing of ideas (Boxenbaum, 2006; Sahlin-Andersson, 1996), studies have tended to focus on a restricted set of cases where translation is driven by either the promoters </w:t>
      </w:r>
      <w:r w:rsidRPr="006B5FE7">
        <w:rPr>
          <w:rFonts w:ascii="Times New Roman" w:eastAsia="Times New Roman" w:hAnsi="Times New Roman" w:cs="Times New Roman"/>
          <w:bCs/>
          <w:i/>
          <w:sz w:val="24"/>
          <w:szCs w:val="24"/>
          <w:lang w:val="en-US"/>
        </w:rPr>
        <w:t>or</w:t>
      </w:r>
      <w:r w:rsidRPr="006B5FE7">
        <w:rPr>
          <w:rFonts w:ascii="Times New Roman" w:eastAsia="Times New Roman" w:hAnsi="Times New Roman" w:cs="Times New Roman"/>
          <w:bCs/>
          <w:sz w:val="24"/>
          <w:szCs w:val="24"/>
          <w:lang w:val="en-US"/>
        </w:rPr>
        <w:t xml:space="preserve"> the adopters of an idea (e.g. Meyer &amp; Hollerer, 2010;</w:t>
      </w:r>
      <w:r w:rsidRPr="006B5FE7">
        <w:rPr>
          <w:rFonts w:ascii="Times New Roman" w:eastAsia="Times New Roman" w:hAnsi="Times New Roman" w:cs="Times New Roman"/>
          <w:bCs/>
          <w:sz w:val="24"/>
          <w:szCs w:val="24"/>
        </w:rPr>
        <w:t xml:space="preserve"> </w:t>
      </w:r>
      <w:r w:rsidRPr="006B5FE7">
        <w:rPr>
          <w:rFonts w:ascii="Times New Roman" w:eastAsia="Times New Roman" w:hAnsi="Times New Roman" w:cs="Times New Roman"/>
          <w:bCs/>
          <w:sz w:val="24"/>
          <w:szCs w:val="24"/>
          <w:lang w:val="en-US"/>
        </w:rPr>
        <w:t xml:space="preserve">Morris &amp; Lancaster, 2006; Özen &amp; Berkman, 2007; Zilber, 2006). As such, we lack studies that have directly examined cases where multiple, diverse actors may work together to facilitate the travel of ideas (but see Saka, 2004). This is a nontrivial dearth in our knowledge, as it is especially in the context of grand challenges that we may expect multi-actor agency if ideas are to be translated effectively. </w:t>
      </w:r>
      <w:r w:rsidRPr="006B5FE7">
        <w:rPr>
          <w:rFonts w:ascii="Times New Roman" w:hAnsi="Times New Roman" w:cs="Times New Roman"/>
          <w:sz w:val="24"/>
          <w:szCs w:val="24"/>
          <w:lang w:val="en-US"/>
        </w:rPr>
        <w:t xml:space="preserve">To address this dearth, we focus on the grand challenge of translating models for sustainable development from the West to the Global South. In particular, we study how the notion of “sustainable livelihoods” was translated to rural communities in Indonesia through the collective institutional work of a large international conservation NGO, local intermediaries, and marginalized Indonesian farmers. Our findings reveal three different </w:t>
      </w:r>
      <w:r w:rsidRPr="006B5FE7">
        <w:rPr>
          <w:rFonts w:ascii="Times New Roman" w:hAnsi="Times New Roman" w:cs="Times New Roman"/>
          <w:i/>
          <w:sz w:val="24"/>
          <w:szCs w:val="24"/>
          <w:lang w:val="en-US"/>
        </w:rPr>
        <w:t>translation modes</w:t>
      </w:r>
      <w:r w:rsidRPr="006B5FE7">
        <w:rPr>
          <w:rFonts w:ascii="Times New Roman" w:hAnsi="Times New Roman" w:cs="Times New Roman"/>
          <w:sz w:val="24"/>
          <w:szCs w:val="24"/>
          <w:lang w:val="en-US"/>
        </w:rPr>
        <w:t xml:space="preserve"> (controlling, collaborative and generative) that may demarcate different stages during multi-actor translation and which involve different distributions of power between promoters and a</w:t>
      </w:r>
      <w:r w:rsidR="00C8158C" w:rsidRPr="006B5FE7">
        <w:rPr>
          <w:rFonts w:ascii="Times New Roman" w:hAnsi="Times New Roman" w:cs="Times New Roman"/>
          <w:sz w:val="24"/>
          <w:szCs w:val="24"/>
          <w:lang w:val="en-US"/>
        </w:rPr>
        <w:t>dopters. E</w:t>
      </w:r>
      <w:r w:rsidRPr="006B5FE7">
        <w:rPr>
          <w:rFonts w:ascii="Times New Roman" w:hAnsi="Times New Roman" w:cs="Times New Roman"/>
          <w:sz w:val="24"/>
          <w:szCs w:val="24"/>
          <w:lang w:val="en-US"/>
        </w:rPr>
        <w:t xml:space="preserve">ach translation mode is associated with unique challenges related to promoter-adopter asymmetry that can be addressed through political and social </w:t>
      </w:r>
      <w:r w:rsidRPr="006B5FE7">
        <w:rPr>
          <w:rFonts w:ascii="Times New Roman" w:hAnsi="Times New Roman" w:cs="Times New Roman"/>
          <w:i/>
          <w:sz w:val="24"/>
          <w:szCs w:val="24"/>
          <w:lang w:val="en-US"/>
        </w:rPr>
        <w:t>empowerment work</w:t>
      </w:r>
      <w:r w:rsidRPr="006B5FE7">
        <w:rPr>
          <w:rFonts w:ascii="Times New Roman" w:hAnsi="Times New Roman" w:cs="Times New Roman"/>
          <w:sz w:val="24"/>
          <w:szCs w:val="24"/>
          <w:lang w:val="en-US"/>
        </w:rPr>
        <w:t xml:space="preserve"> that can trigger transitions between these modes. </w:t>
      </w:r>
    </w:p>
    <w:p w14:paraId="6755F733" w14:textId="77777777" w:rsidR="00216312" w:rsidRPr="006B5FE7" w:rsidRDefault="00216312" w:rsidP="00C40090">
      <w:pPr>
        <w:pStyle w:val="Default"/>
        <w:spacing w:after="240"/>
        <w:ind w:left="-284" w:right="136"/>
        <w:contextualSpacing/>
        <w:rPr>
          <w:rFonts w:ascii="Times New Roman" w:hAnsi="Times New Roman" w:cs="Times New Roman"/>
          <w:sz w:val="24"/>
          <w:szCs w:val="24"/>
          <w:lang w:val="en-US"/>
        </w:rPr>
      </w:pPr>
    </w:p>
    <w:p w14:paraId="67F94BDF" w14:textId="77777777" w:rsidR="00216312" w:rsidRPr="006B5FE7" w:rsidRDefault="00216312" w:rsidP="00216312">
      <w:pPr>
        <w:pStyle w:val="Default"/>
        <w:spacing w:after="240"/>
        <w:ind w:left="-284" w:right="136"/>
        <w:contextualSpacing/>
        <w:jc w:val="center"/>
        <w:rPr>
          <w:rFonts w:ascii="Times New Roman" w:hAnsi="Times New Roman" w:cs="Times New Roman"/>
          <w:b/>
          <w:bCs/>
          <w:sz w:val="24"/>
          <w:szCs w:val="24"/>
          <w:lang w:val="en-US"/>
        </w:rPr>
      </w:pPr>
      <w:r w:rsidRPr="006B5FE7">
        <w:rPr>
          <w:rFonts w:ascii="Times New Roman" w:hAnsi="Times New Roman" w:cs="Times New Roman"/>
          <w:b/>
          <w:bCs/>
          <w:sz w:val="24"/>
          <w:szCs w:val="24"/>
          <w:lang w:val="en-US"/>
        </w:rPr>
        <w:t>RESEARCH ON INSTITUTIONAL TRANSLATION</w:t>
      </w:r>
    </w:p>
    <w:p w14:paraId="61E09CE0" w14:textId="77777777" w:rsidR="00216312" w:rsidRPr="006B5FE7" w:rsidRDefault="00216312" w:rsidP="00216312">
      <w:pPr>
        <w:pStyle w:val="Default"/>
        <w:spacing w:after="240"/>
        <w:ind w:left="-284" w:right="136"/>
        <w:contextualSpacing/>
        <w:jc w:val="center"/>
        <w:rPr>
          <w:rFonts w:ascii="Times New Roman" w:hAnsi="Times New Roman" w:cs="Times New Roman"/>
          <w:b/>
          <w:bCs/>
          <w:sz w:val="24"/>
          <w:szCs w:val="24"/>
          <w:lang w:val="en-US"/>
        </w:rPr>
      </w:pPr>
    </w:p>
    <w:p w14:paraId="00EF28AD" w14:textId="1BD82174" w:rsidR="00216312" w:rsidRPr="006B5FE7" w:rsidRDefault="00216312" w:rsidP="003C50D9">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For a long time, institutional scholars have focused on the diffusion of ideas to describe their adoption in a new institutional setting (DiMaggio &amp; Powell, 1983; Green, 2004; Kennedy &amp; Fiss, 2009; Strang &amp; Meyer, 1993). In contradistinction, the concept of translation acknowledges that ideas can “hold very different meanings for diverse recipients” (Powell, </w:t>
      </w:r>
      <w:r w:rsidRPr="006B5FE7">
        <w:rPr>
          <w:rFonts w:ascii="Times New Roman" w:hAnsi="Times New Roman" w:cs="Times New Roman"/>
          <w:sz w:val="24"/>
          <w:szCs w:val="24"/>
          <w:lang w:val="en-US"/>
        </w:rPr>
        <w:lastRenderedPageBreak/>
        <w:t xml:space="preserve">Gammal &amp; Simard, 2005: 233). It explicitly accounts for the likely situation that ideas change as they diffuse, as they take on new forms and meanings attributed by local actors to create alignment between an externally contributed idea and a particular context (Czarniawska &amp; Sevon, 2005; Sahlin &amp; Wedlin, 2008). </w:t>
      </w:r>
      <w:r w:rsidR="0096078E" w:rsidRPr="0096078E">
        <w:rPr>
          <w:rFonts w:ascii="Times New Roman" w:hAnsi="Times New Roman" w:cs="Times New Roman"/>
          <w:sz w:val="24"/>
          <w:szCs w:val="24"/>
          <w:lang w:val="en-US"/>
        </w:rPr>
        <w:t xml:space="preserve">Most institutional translation research is concerned about the travel of ideas across different organizational, and often national, contexts (e.g. Boxenbaum, 2006; Meyer &amp; Höllerer, 2010; </w:t>
      </w:r>
      <w:r w:rsidR="00AB600F">
        <w:rPr>
          <w:rFonts w:ascii="Times New Roman" w:hAnsi="Times New Roman" w:cs="Times New Roman"/>
          <w:sz w:val="24"/>
          <w:szCs w:val="24"/>
          <w:lang w:val="en-US"/>
        </w:rPr>
        <w:t xml:space="preserve">Saka, 2004). </w:t>
      </w:r>
      <w:r w:rsidRPr="006B5FE7">
        <w:rPr>
          <w:rFonts w:ascii="Times New Roman" w:hAnsi="Times New Roman" w:cs="Times New Roman"/>
          <w:sz w:val="24"/>
          <w:szCs w:val="24"/>
          <w:lang w:val="en-US"/>
        </w:rPr>
        <w:t xml:space="preserve">Translation thereby involves the merging and appropriation of external and local norms (Hammerschmid &amp; Meyer, 2005; Sahlin &amp; Wedlin, 2008; Saka, 2004). </w:t>
      </w:r>
      <w:r w:rsidR="00AF406C" w:rsidRPr="006B5FE7">
        <w:rPr>
          <w:rFonts w:ascii="Times New Roman" w:hAnsi="Times New Roman" w:cs="Times New Roman"/>
          <w:sz w:val="24"/>
          <w:szCs w:val="24"/>
          <w:lang w:val="en-US"/>
        </w:rPr>
        <w:t xml:space="preserve">Institutional scholars have devoted a substantial amount of attention to the translation processes that are typically required to embed existing ideas in new contexts. They have argued that translation occurs through certain repeating patterns, namely “editing rules” (Sahlin-Andersson, 1996). Czarniawska &amp; Joerges (1996) describe four such editing rules: They argue that an idea first needs to be “disembedded” from the particularity of its original context. Second, the idea is then “packaged” into an object that can attract adopters, typically by labeling it as a solution to a particular organizational problem. Third, adopters then “unpackage” the idea in their local context, e.g. through merging it and creating a fit with existing local norms. Finally, the idea is “reembedded” in that context when it leads to particular institutional practices. Empirical research has shown that if an idea is not promoted as an identifiable object that can attract adopters, it can fail to be “reembedded”, i.e. translated into concrete practices (Erlingsdottir &amp; Lindberg, 2006; Özen &amp; Berkman, 2007; Sundewall &amp; Sahlin-Andersson, 2006). Furthermore, due to diverging interpretations and meaning systems between and within the recipient and promoting contexts, entirely different practices can be adopted or different outcomes can result than those originally associated with the idea (Boch Waldorff, 2013; Frenkel, 2005; Jeppsson et al, 2004; Khan, Munir &amp; Willmott, 2007). Thus, it appears that if there is insufficient interaction between promoters and adopters, an idea may fail to meaningfully diffuse. </w:t>
      </w:r>
      <w:r w:rsidR="00240DC6">
        <w:rPr>
          <w:rFonts w:ascii="Times New Roman" w:hAnsi="Times New Roman" w:cs="Times New Roman"/>
          <w:sz w:val="24"/>
          <w:szCs w:val="24"/>
          <w:lang w:val="en-US"/>
        </w:rPr>
        <w:t>Yet</w:t>
      </w:r>
      <w:r w:rsidR="00AF406C" w:rsidRPr="006B5FE7">
        <w:rPr>
          <w:rFonts w:ascii="Times New Roman" w:hAnsi="Times New Roman" w:cs="Times New Roman"/>
          <w:sz w:val="24"/>
          <w:szCs w:val="24"/>
          <w:lang w:val="en-US"/>
        </w:rPr>
        <w:t>, whilst institutional studies on translation deliver important insights into the movement of ideas, empirical studies have focused on a relatively restricted set of cases of that appear to be largely one-directional. Although research has distinguished theoretically between the roles of promoters and adopters in the editing of an idea and has implied that successful translation is likely to depend on the interaction between these actors (Maguire &amp; Hardy, 2009; Zilber, 2006), we lack studies that have rigorously observed the interactions that may occur between different actors during processes of translation.</w:t>
      </w:r>
      <w:r w:rsidR="00516438" w:rsidRPr="006B5FE7">
        <w:rPr>
          <w:rFonts w:ascii="Times New Roman" w:hAnsi="Times New Roman" w:cs="Times New Roman"/>
          <w:sz w:val="24"/>
          <w:szCs w:val="24"/>
          <w:lang w:val="en-US"/>
        </w:rPr>
        <w:t xml:space="preserve"> </w:t>
      </w:r>
    </w:p>
    <w:p w14:paraId="71F82C84" w14:textId="77777777" w:rsidR="00AF406C" w:rsidRPr="006B5FE7" w:rsidRDefault="00AF406C" w:rsidP="00AF406C">
      <w:pPr>
        <w:pStyle w:val="Default"/>
        <w:spacing w:after="240"/>
        <w:ind w:left="-284" w:right="136"/>
        <w:contextualSpacing/>
        <w:rPr>
          <w:rFonts w:ascii="Times New Roman" w:hAnsi="Times New Roman" w:cs="Times New Roman"/>
          <w:sz w:val="24"/>
          <w:szCs w:val="24"/>
          <w:lang w:val="en-US"/>
        </w:rPr>
      </w:pPr>
    </w:p>
    <w:p w14:paraId="58D0C295" w14:textId="77777777" w:rsidR="00AF406C" w:rsidRPr="006B5FE7" w:rsidRDefault="00AF406C" w:rsidP="00AF406C">
      <w:pPr>
        <w:pStyle w:val="Default"/>
        <w:spacing w:after="240"/>
        <w:ind w:left="-284" w:right="136"/>
        <w:contextualSpacing/>
        <w:rPr>
          <w:rFonts w:ascii="Times New Roman" w:hAnsi="Times New Roman" w:cs="Times New Roman"/>
          <w:b/>
          <w:bCs/>
          <w:sz w:val="24"/>
          <w:szCs w:val="24"/>
          <w:lang w:val="en-US"/>
        </w:rPr>
      </w:pPr>
      <w:r w:rsidRPr="006B5FE7">
        <w:rPr>
          <w:rFonts w:ascii="Times New Roman" w:hAnsi="Times New Roman" w:cs="Times New Roman"/>
          <w:b/>
          <w:bCs/>
          <w:sz w:val="24"/>
          <w:szCs w:val="24"/>
          <w:lang w:val="en-US"/>
        </w:rPr>
        <w:t>Institutional Translation in International Development: Three Challenges</w:t>
      </w:r>
    </w:p>
    <w:p w14:paraId="5BC5B275" w14:textId="77777777" w:rsidR="00AF406C" w:rsidRPr="006B5FE7" w:rsidRDefault="00AF406C" w:rsidP="00AF406C">
      <w:pPr>
        <w:pStyle w:val="Default"/>
        <w:spacing w:after="240"/>
        <w:ind w:left="-284" w:right="136"/>
        <w:contextualSpacing/>
        <w:rPr>
          <w:rFonts w:ascii="Times New Roman" w:hAnsi="Times New Roman" w:cs="Times New Roman"/>
          <w:b/>
          <w:bCs/>
          <w:sz w:val="24"/>
          <w:szCs w:val="24"/>
          <w:lang w:val="en-US"/>
        </w:rPr>
      </w:pPr>
    </w:p>
    <w:p w14:paraId="4A5C14A9" w14:textId="56C347D5" w:rsidR="00CF17D9" w:rsidRPr="006B5FE7" w:rsidRDefault="00AF406C" w:rsidP="00CA650D">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One important area where institutional translation is likely to be visibly more complex and dependent on greater degrees of interaction than has commonly been studied is in the context of international development.</w:t>
      </w:r>
      <w:r w:rsidR="00F048DF" w:rsidRPr="006B5FE7">
        <w:rPr>
          <w:rFonts w:ascii="Times New Roman" w:hAnsi="Times New Roman" w:cs="Times New Roman"/>
          <w:sz w:val="24"/>
          <w:szCs w:val="24"/>
          <w:lang w:val="en-US"/>
        </w:rPr>
        <w:t xml:space="preserve"> Studies point to three innate and interrelated challenges that may prevent an idea from being embedded</w:t>
      </w:r>
      <w:r w:rsidR="00062264">
        <w:rPr>
          <w:rFonts w:ascii="Times New Roman" w:hAnsi="Times New Roman" w:cs="Times New Roman"/>
          <w:sz w:val="24"/>
          <w:szCs w:val="24"/>
          <w:lang w:val="en-US"/>
        </w:rPr>
        <w:t xml:space="preserve"> in the intended context, which</w:t>
      </w:r>
      <w:r w:rsidR="00F048DF" w:rsidRPr="006B5FE7">
        <w:rPr>
          <w:rFonts w:ascii="Times New Roman" w:hAnsi="Times New Roman" w:cs="Times New Roman"/>
          <w:sz w:val="24"/>
          <w:szCs w:val="24"/>
          <w:lang w:val="en-US"/>
        </w:rPr>
        <w:t xml:space="preserve"> relate to the structural asymmetry between promoters and adopters in regard to (I) meaning systems, (II) streams of knowledge and (III) power positions. First, different life-worlds build divergent frames of references (Long, 2004), </w:t>
      </w:r>
      <w:r w:rsidR="00CB2D53" w:rsidRPr="006B5FE7">
        <w:rPr>
          <w:rFonts w:ascii="Times New Roman" w:hAnsi="Times New Roman" w:cs="Times New Roman"/>
          <w:sz w:val="24"/>
          <w:szCs w:val="24"/>
          <w:lang w:val="en-US"/>
        </w:rPr>
        <w:t xml:space="preserve">which promoters and adopters draw upon to conceptualize and make sense of a certain idea. As a result, an idea can carry different meanings to these actors, often preventing it to travel in the way intended by its Western promoters (Spybey, 1996). Second, substantially different streams of knowledge are likely to result from the divergent life-worlds of promoters and adopters. Literature rooted in knowledge-based theory has pointed towards the complexities when various groups of actors attempt to share their specialized knowledge in different domains (Carlile, 2004; 2002). </w:t>
      </w:r>
      <w:r w:rsidR="00CF17D9" w:rsidRPr="006B5FE7">
        <w:rPr>
          <w:rFonts w:ascii="Times New Roman" w:hAnsi="Times New Roman" w:cs="Times New Roman"/>
          <w:sz w:val="24"/>
          <w:szCs w:val="24"/>
          <w:lang w:val="en-US"/>
        </w:rPr>
        <w:t xml:space="preserve">Third, an uneven distribution of power between </w:t>
      </w:r>
      <w:r w:rsidR="00CF17D9" w:rsidRPr="006B5FE7">
        <w:rPr>
          <w:rFonts w:ascii="Times New Roman" w:hAnsi="Times New Roman" w:cs="Times New Roman"/>
          <w:sz w:val="24"/>
          <w:szCs w:val="24"/>
          <w:lang w:val="en-US"/>
        </w:rPr>
        <w:lastRenderedPageBreak/>
        <w:t xml:space="preserve">promoters and adopters is likely to further complicate the translation process. In particular, despite rarely being forced to accept external ideas point-blank, local adopters might find that they have few alternatives from doing so when they are dependent upon external support (Powell et al, 2005). This situation poses a challenge, as there is a well-known need for ideas to carry high local legitimacy (Boxenbaum, 2006) and for all involved groups of actors to be convinced of an idea (Czarniawska &amp; Sevon, 2005) before it can travel. In sum, the context of post-modern international development provides a useful setting to observe </w:t>
      </w:r>
      <w:r w:rsidR="00967D1F">
        <w:rPr>
          <w:rFonts w:ascii="Times New Roman" w:hAnsi="Times New Roman" w:cs="Times New Roman"/>
          <w:sz w:val="24"/>
          <w:szCs w:val="24"/>
          <w:lang w:val="en-US"/>
        </w:rPr>
        <w:t xml:space="preserve">multi-actor </w:t>
      </w:r>
      <w:r w:rsidR="00CF17D9" w:rsidRPr="006B5FE7">
        <w:rPr>
          <w:rFonts w:ascii="Times New Roman" w:hAnsi="Times New Roman" w:cs="Times New Roman"/>
          <w:sz w:val="24"/>
          <w:szCs w:val="24"/>
          <w:lang w:val="en-US"/>
        </w:rPr>
        <w:t xml:space="preserve">translations that involve tackling challenges related to promoter-adopter asymmetry. We seek to answer the following research question: </w:t>
      </w:r>
      <w:r w:rsidR="00CF17D9" w:rsidRPr="006B5FE7">
        <w:rPr>
          <w:rFonts w:ascii="Times New Roman" w:hAnsi="Times New Roman" w:cs="Times New Roman"/>
          <w:i/>
          <w:sz w:val="24"/>
          <w:szCs w:val="24"/>
          <w:lang w:val="en-US"/>
        </w:rPr>
        <w:t xml:space="preserve">How can promoters and adopters effectively achieve the translation of an idea under conditions of life-world and power asymmetries? </w:t>
      </w:r>
    </w:p>
    <w:p w14:paraId="49916F49" w14:textId="77777777" w:rsidR="00AF406C" w:rsidRPr="006B5FE7" w:rsidRDefault="00AF406C" w:rsidP="00CF17D9">
      <w:pPr>
        <w:pStyle w:val="Default"/>
        <w:spacing w:after="240"/>
        <w:ind w:left="-284" w:right="136"/>
        <w:contextualSpacing/>
        <w:rPr>
          <w:rFonts w:ascii="Times New Roman" w:hAnsi="Times New Roman" w:cs="Times New Roman"/>
          <w:sz w:val="24"/>
          <w:szCs w:val="24"/>
          <w:lang w:val="en-US"/>
        </w:rPr>
      </w:pPr>
    </w:p>
    <w:p w14:paraId="6B671FD4" w14:textId="77777777" w:rsidR="00CF17D9" w:rsidRPr="006B5FE7" w:rsidRDefault="00DD6D11" w:rsidP="00CF17D9">
      <w:pPr>
        <w:pStyle w:val="Default"/>
        <w:spacing w:after="240"/>
        <w:ind w:left="-284" w:right="136"/>
        <w:contextualSpacing/>
        <w:jc w:val="center"/>
        <w:rPr>
          <w:rFonts w:ascii="Times New Roman" w:hAnsi="Times New Roman" w:cs="Times New Roman"/>
          <w:b/>
          <w:bCs/>
          <w:sz w:val="24"/>
          <w:szCs w:val="24"/>
          <w:lang w:val="en-US"/>
        </w:rPr>
      </w:pPr>
      <w:r w:rsidRPr="006B5FE7">
        <w:rPr>
          <w:rFonts w:ascii="Times New Roman" w:hAnsi="Times New Roman" w:cs="Times New Roman"/>
          <w:b/>
          <w:bCs/>
          <w:sz w:val="24"/>
          <w:szCs w:val="24"/>
          <w:lang w:val="en-US"/>
        </w:rPr>
        <w:t>SETTING, DATA AND</w:t>
      </w:r>
      <w:r w:rsidR="00CF17D9" w:rsidRPr="006B5FE7">
        <w:rPr>
          <w:rFonts w:ascii="Times New Roman" w:hAnsi="Times New Roman" w:cs="Times New Roman"/>
          <w:b/>
          <w:bCs/>
          <w:sz w:val="24"/>
          <w:szCs w:val="24"/>
          <w:lang w:val="en-US"/>
        </w:rPr>
        <w:t xml:space="preserve"> METHODS</w:t>
      </w:r>
    </w:p>
    <w:p w14:paraId="6E3CFFD3" w14:textId="77777777" w:rsidR="00CF17D9" w:rsidRPr="006B5FE7" w:rsidRDefault="00CF17D9" w:rsidP="00CF17D9">
      <w:pPr>
        <w:pStyle w:val="Default"/>
        <w:spacing w:after="240"/>
        <w:ind w:left="-284" w:right="136"/>
        <w:contextualSpacing/>
        <w:jc w:val="center"/>
        <w:rPr>
          <w:rFonts w:ascii="Times New Roman" w:hAnsi="Times New Roman" w:cs="Times New Roman"/>
          <w:b/>
          <w:bCs/>
          <w:sz w:val="24"/>
          <w:szCs w:val="24"/>
          <w:lang w:val="en-US"/>
        </w:rPr>
      </w:pPr>
    </w:p>
    <w:p w14:paraId="352F2C93" w14:textId="3A66DCB7" w:rsidR="00A461ED" w:rsidRPr="006B5FE7" w:rsidRDefault="00F77995" w:rsidP="00CA650D">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On the islands of Borneo and Sumatra, the international conservation NGO, Fauna &amp; Flora International (FFI), has been working together with a network of local conservation NGOs and farmers from rural communities since 2009 to develop solutions that can incentivize local farmers to move away from the production of timber-forest products (TFPs). Key to their endeavor is the idea of “sustainable livelihoods”, which signifies a commitment to sources of income that provide an adequate standard of living without undermining natural resource bases. FFI provides communities with assistance to develop non-timber forest products</w:t>
      </w:r>
      <w:r w:rsidR="00A461ED" w:rsidRPr="006B5FE7">
        <w:rPr>
          <w:rFonts w:ascii="Times New Roman" w:hAnsi="Times New Roman" w:cs="Times New Roman"/>
          <w:sz w:val="24"/>
          <w:szCs w:val="24"/>
          <w:lang w:val="en-US"/>
        </w:rPr>
        <w:t xml:space="preserve"> (NTFPs)</w:t>
      </w:r>
      <w:r w:rsidRPr="006B5FE7">
        <w:rPr>
          <w:rFonts w:ascii="Times New Roman" w:hAnsi="Times New Roman" w:cs="Times New Roman"/>
          <w:sz w:val="24"/>
          <w:szCs w:val="24"/>
          <w:lang w:val="en-US"/>
        </w:rPr>
        <w:t xml:space="preserve"> </w:t>
      </w:r>
      <w:r w:rsidR="00C53565">
        <w:rPr>
          <w:rFonts w:ascii="Times New Roman" w:hAnsi="Times New Roman" w:cs="Times New Roman"/>
          <w:sz w:val="24"/>
          <w:szCs w:val="24"/>
          <w:lang w:val="en-US"/>
        </w:rPr>
        <w:t xml:space="preserve">in order </w:t>
      </w:r>
      <w:r w:rsidRPr="006B5FE7">
        <w:rPr>
          <w:rFonts w:ascii="Times New Roman" w:hAnsi="Times New Roman" w:cs="Times New Roman"/>
          <w:sz w:val="24"/>
          <w:szCs w:val="24"/>
          <w:lang w:val="en-US"/>
        </w:rPr>
        <w:t>to replace unsustainable livelihoods (TFPs, such as palm oil or rubber) with economically viable alternatives.</w:t>
      </w:r>
      <w:r w:rsidR="00A461ED" w:rsidRPr="006B5FE7">
        <w:rPr>
          <w:rFonts w:ascii="Times New Roman" w:hAnsi="Times New Roman" w:cs="Times New Roman"/>
          <w:sz w:val="24"/>
          <w:szCs w:val="24"/>
          <w:lang w:val="en-US"/>
        </w:rPr>
        <w:t xml:space="preserve"> A preeminent challenge hereby is that while the production of TFPs is the root cause of local deforestation, it also delivers short-term economic gains (to an extent that NTFPs cannot, if there is no major commercial interest) and thus tends to persist within impoverished communities. Our case starts in February 2016, when FFI sought support from an international development consultancy, PAC, to accelerate the development </w:t>
      </w:r>
      <w:r w:rsidR="00311926">
        <w:rPr>
          <w:rFonts w:ascii="Times New Roman" w:hAnsi="Times New Roman" w:cs="Times New Roman"/>
          <w:sz w:val="24"/>
          <w:szCs w:val="24"/>
          <w:lang w:val="en-US"/>
        </w:rPr>
        <w:t xml:space="preserve">of </w:t>
      </w:r>
      <w:r w:rsidR="008B373C">
        <w:rPr>
          <w:rFonts w:ascii="Times New Roman" w:hAnsi="Times New Roman" w:cs="Times New Roman"/>
          <w:sz w:val="24"/>
          <w:szCs w:val="24"/>
          <w:lang w:val="en-US"/>
        </w:rPr>
        <w:t>NTFP sectors (</w:t>
      </w:r>
      <w:r w:rsidR="00A461ED" w:rsidRPr="006B5FE7">
        <w:rPr>
          <w:rFonts w:ascii="Times New Roman" w:hAnsi="Times New Roman" w:cs="Times New Roman"/>
          <w:sz w:val="24"/>
          <w:szCs w:val="24"/>
          <w:lang w:val="en-US"/>
        </w:rPr>
        <w:t>kepayang o</w:t>
      </w:r>
      <w:r w:rsidR="00311926">
        <w:rPr>
          <w:rFonts w:ascii="Times New Roman" w:hAnsi="Times New Roman" w:cs="Times New Roman"/>
          <w:sz w:val="24"/>
          <w:szCs w:val="24"/>
          <w:lang w:val="en-US"/>
        </w:rPr>
        <w:t>il and tenkawang butter</w:t>
      </w:r>
      <w:r w:rsidR="008B373C">
        <w:rPr>
          <w:rFonts w:ascii="Times New Roman" w:hAnsi="Times New Roman" w:cs="Times New Roman"/>
          <w:sz w:val="24"/>
          <w:szCs w:val="24"/>
          <w:lang w:val="en-US"/>
        </w:rPr>
        <w:t>)</w:t>
      </w:r>
      <w:r w:rsidR="00A461ED" w:rsidRPr="006B5FE7">
        <w:rPr>
          <w:rFonts w:ascii="Times New Roman" w:hAnsi="Times New Roman" w:cs="Times New Roman"/>
          <w:sz w:val="24"/>
          <w:szCs w:val="24"/>
          <w:lang w:val="en-US"/>
        </w:rPr>
        <w:t xml:space="preserve"> and thereby began to take a more active role in the translation process. Our study observes the translation efforts of all involved parties (FFI, PAC and communities), as they occurred between February 2016 and March 2017.</w:t>
      </w:r>
    </w:p>
    <w:p w14:paraId="6DCDE508" w14:textId="6873EB8D" w:rsidR="009A2DC7" w:rsidRPr="006B5FE7" w:rsidRDefault="009A2DC7" w:rsidP="003C50D9">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We were able to rely on a uniquely balanced dataset that included the perspectives of all involved actors at multiple points in time as well as observations of their interactions. Overall, our data sources can be broken down in three categories. First, we relied on participant observations obtained by attending meetings at FFI headquarters in the UK, joining workshops in Jambi City (Sumatra) and Pontianak (West Kalimantan) where all actors met several times to jointly work on the project, as well as by visiting the rural communities in Sumatra and West Kalimantan that were the focus of the development efforts. Second, we relied on 50 semi-structured interviews, conducted with individuals and in groups, with actors involved in the projects across the three different groups, promoters, intermediaries and adopters. To make sure we came as close as possible to understanding the perspectives of the local farmers, the first author spent one week in each of the two rural villages that were the focus of the translation efforts and worked with a translator to conduct 25 interviews. Third, we obtained all the email correspondence between FFI and the various intermediaries that took place between February 2016 and March 2017, as well as 400 pages of workshop materials, amounting to 800 pages of raw data in total. </w:t>
      </w:r>
      <w:r w:rsidR="00D53CC5" w:rsidRPr="006B5FE7">
        <w:rPr>
          <w:rFonts w:ascii="Times New Roman" w:hAnsi="Times New Roman" w:cs="Times New Roman"/>
          <w:sz w:val="24"/>
          <w:szCs w:val="24"/>
          <w:lang w:val="en-US"/>
        </w:rPr>
        <w:t>We coded for translation challenges and actors’ responses to the latter, in particular</w:t>
      </w:r>
      <w:r w:rsidR="00BF545F">
        <w:rPr>
          <w:rFonts w:ascii="Times New Roman" w:hAnsi="Times New Roman" w:cs="Times New Roman"/>
          <w:sz w:val="24"/>
          <w:szCs w:val="24"/>
          <w:lang w:val="en-US"/>
        </w:rPr>
        <w:t xml:space="preserve"> those that were related to </w:t>
      </w:r>
      <w:r w:rsidR="00D53CC5" w:rsidRPr="006B5FE7">
        <w:rPr>
          <w:rFonts w:ascii="Times New Roman" w:hAnsi="Times New Roman" w:cs="Times New Roman"/>
          <w:sz w:val="24"/>
          <w:szCs w:val="24"/>
          <w:lang w:val="en-US"/>
        </w:rPr>
        <w:t xml:space="preserve">disembedding, packaging, unpackaging and </w:t>
      </w:r>
      <w:r w:rsidR="00412441">
        <w:rPr>
          <w:rFonts w:ascii="Times New Roman" w:hAnsi="Times New Roman" w:cs="Times New Roman"/>
          <w:sz w:val="24"/>
          <w:szCs w:val="24"/>
          <w:lang w:val="en-US"/>
        </w:rPr>
        <w:t xml:space="preserve">reembedding </w:t>
      </w:r>
      <w:r w:rsidR="00D53CC5" w:rsidRPr="006B5FE7">
        <w:rPr>
          <w:rFonts w:ascii="Times New Roman" w:hAnsi="Times New Roman" w:cs="Times New Roman"/>
          <w:sz w:val="24"/>
          <w:szCs w:val="24"/>
          <w:lang w:val="en-US"/>
        </w:rPr>
        <w:t xml:space="preserve">the idea of sustainable livelihoods. </w:t>
      </w:r>
      <w:r w:rsidR="006E4C72">
        <w:rPr>
          <w:rFonts w:ascii="Times New Roman" w:hAnsi="Times New Roman" w:cs="Times New Roman"/>
          <w:sz w:val="24"/>
          <w:szCs w:val="24"/>
          <w:lang w:val="en-US"/>
        </w:rPr>
        <w:t xml:space="preserve">In </w:t>
      </w:r>
      <w:r w:rsidR="001D6FED">
        <w:rPr>
          <w:rFonts w:ascii="Times New Roman" w:hAnsi="Times New Roman" w:cs="Times New Roman"/>
          <w:sz w:val="24"/>
          <w:szCs w:val="24"/>
          <w:lang w:val="en-US"/>
        </w:rPr>
        <w:t>particular</w:t>
      </w:r>
      <w:r w:rsidR="00D53CC5" w:rsidRPr="006B5FE7">
        <w:rPr>
          <w:rFonts w:ascii="Times New Roman" w:hAnsi="Times New Roman" w:cs="Times New Roman"/>
          <w:sz w:val="24"/>
          <w:szCs w:val="24"/>
          <w:lang w:val="en-US"/>
        </w:rPr>
        <w:t>, we distinguished between instances of within- and across-</w:t>
      </w:r>
      <w:r w:rsidR="00D53CC5" w:rsidRPr="006B5FE7">
        <w:rPr>
          <w:rFonts w:ascii="Times New Roman" w:hAnsi="Times New Roman" w:cs="Times New Roman"/>
          <w:sz w:val="24"/>
          <w:szCs w:val="24"/>
          <w:lang w:val="en-US"/>
        </w:rPr>
        <w:lastRenderedPageBreak/>
        <w:t>actor translation work, which collapsed our first-order concepts into second-order themes (Gioia, Corley &amp; Hamilton, 2013). Our second-order themes included overarching dimensions of translation work, such as “formulating ambitions”, “negotiating translation goals” and “facilitating local idea uptake”.</w:t>
      </w:r>
      <w:r w:rsidR="009714F8">
        <w:rPr>
          <w:rFonts w:ascii="Times New Roman" w:hAnsi="Times New Roman" w:cs="Times New Roman"/>
          <w:sz w:val="24"/>
          <w:szCs w:val="24"/>
          <w:lang w:val="en-US"/>
        </w:rPr>
        <w:t xml:space="preserve"> </w:t>
      </w:r>
      <w:r w:rsidR="00D53CC5" w:rsidRPr="006B5FE7">
        <w:rPr>
          <w:rFonts w:ascii="Times New Roman" w:hAnsi="Times New Roman" w:cs="Times New Roman"/>
          <w:sz w:val="24"/>
          <w:szCs w:val="24"/>
          <w:lang w:val="en-US"/>
        </w:rPr>
        <w:t>Next, our angle shifted towards identifying higher-order temporal patterns or stages across which the various forms of translation work could be organized.</w:t>
      </w:r>
      <w:r w:rsidR="00D53CC5" w:rsidRPr="006B5FE7">
        <w:rPr>
          <w:rFonts w:ascii="Times New Roman" w:eastAsiaTheme="minorHAnsi" w:hAnsi="Times New Roman" w:cs="Times New Roman"/>
          <w:color w:val="auto"/>
          <w:sz w:val="24"/>
          <w:szCs w:val="24"/>
          <w:bdr w:val="none" w:sz="0" w:space="0" w:color="auto"/>
          <w:lang w:val="en-US"/>
        </w:rPr>
        <w:t xml:space="preserve"> </w:t>
      </w:r>
      <w:r w:rsidR="00D53CC5" w:rsidRPr="006B5FE7">
        <w:rPr>
          <w:rFonts w:ascii="Times New Roman" w:hAnsi="Times New Roman" w:cs="Times New Roman"/>
          <w:sz w:val="24"/>
          <w:szCs w:val="24"/>
          <w:lang w:val="en-US"/>
        </w:rPr>
        <w:t xml:space="preserve">The role and distribution of power thereby jumped out as an important time-dependent factor. Thus, in another stage of analysis, we grouped the different dimensions of translation work into three respective modes capturing variations in promoters’ and adopters’ interactions and power (controlling, collaborative and generative). </w:t>
      </w:r>
      <w:r w:rsidR="009601BB" w:rsidRPr="006B5FE7">
        <w:rPr>
          <w:rFonts w:ascii="Times New Roman" w:hAnsi="Times New Roman" w:cs="Times New Roman"/>
          <w:sz w:val="24"/>
          <w:szCs w:val="24"/>
          <w:lang w:val="en-US"/>
        </w:rPr>
        <w:t>F</w:t>
      </w:r>
      <w:r w:rsidR="003C50D9">
        <w:rPr>
          <w:rFonts w:ascii="Times New Roman" w:hAnsi="Times New Roman" w:cs="Times New Roman"/>
          <w:sz w:val="24"/>
          <w:szCs w:val="24"/>
          <w:lang w:val="en-US"/>
        </w:rPr>
        <w:t>inally</w:t>
      </w:r>
      <w:r w:rsidR="00D53CC5" w:rsidRPr="006B5FE7">
        <w:rPr>
          <w:rFonts w:ascii="Times New Roman" w:hAnsi="Times New Roman" w:cs="Times New Roman"/>
          <w:sz w:val="24"/>
          <w:szCs w:val="24"/>
          <w:lang w:val="en-US"/>
        </w:rPr>
        <w:t xml:space="preserve">, we investigated the roles of the various intermediaries in the translation project, which ultimately led us to pay close attention to how transitions between different translation modes occurred. Intermediaries, familiar with the life-worlds of promoters and adopters, appeared to resolve obstacles regarding the collaboration of the two groups and facilitate interactions among them that lead to the empowerment of adopters, thereby shifting responsibility for translation towards the latter. </w:t>
      </w:r>
    </w:p>
    <w:p w14:paraId="0ED857C0" w14:textId="77777777" w:rsidR="00346C66" w:rsidRPr="006B5FE7" w:rsidRDefault="00346C66" w:rsidP="009601BB">
      <w:pPr>
        <w:pStyle w:val="Default"/>
        <w:spacing w:after="240"/>
        <w:ind w:left="-284" w:right="136"/>
        <w:contextualSpacing/>
        <w:rPr>
          <w:rFonts w:ascii="Times New Roman" w:hAnsi="Times New Roman" w:cs="Times New Roman"/>
          <w:sz w:val="24"/>
          <w:szCs w:val="24"/>
          <w:lang w:val="en-US"/>
        </w:rPr>
      </w:pPr>
    </w:p>
    <w:p w14:paraId="1CAB0D56" w14:textId="77777777" w:rsidR="00346C66" w:rsidRPr="006B5FE7" w:rsidRDefault="00346C66" w:rsidP="00346C66">
      <w:pPr>
        <w:pStyle w:val="Default"/>
        <w:spacing w:after="240"/>
        <w:ind w:left="-284" w:right="136"/>
        <w:contextualSpacing/>
        <w:jc w:val="center"/>
        <w:rPr>
          <w:rFonts w:ascii="Times New Roman" w:hAnsi="Times New Roman" w:cs="Times New Roman"/>
          <w:b/>
          <w:bCs/>
          <w:sz w:val="24"/>
          <w:szCs w:val="24"/>
          <w:lang w:val="en-US"/>
        </w:rPr>
      </w:pPr>
      <w:r w:rsidRPr="006B5FE7">
        <w:rPr>
          <w:rFonts w:ascii="Times New Roman" w:hAnsi="Times New Roman" w:cs="Times New Roman"/>
          <w:b/>
          <w:bCs/>
          <w:sz w:val="24"/>
          <w:szCs w:val="24"/>
          <w:lang w:val="en-US"/>
        </w:rPr>
        <w:t xml:space="preserve">FINDINGS </w:t>
      </w:r>
    </w:p>
    <w:p w14:paraId="692B52A3" w14:textId="77777777" w:rsidR="00346C66" w:rsidRPr="006B5FE7" w:rsidRDefault="00346C66" w:rsidP="00346C66">
      <w:pPr>
        <w:pStyle w:val="Default"/>
        <w:spacing w:after="240"/>
        <w:ind w:left="-284" w:right="136"/>
        <w:contextualSpacing/>
        <w:jc w:val="center"/>
        <w:rPr>
          <w:rFonts w:ascii="Times New Roman" w:hAnsi="Times New Roman" w:cs="Times New Roman"/>
          <w:b/>
          <w:bCs/>
          <w:sz w:val="24"/>
          <w:szCs w:val="24"/>
          <w:lang w:val="en-US"/>
        </w:rPr>
      </w:pPr>
    </w:p>
    <w:p w14:paraId="3E0E3279" w14:textId="47C49962" w:rsidR="002E0E5C" w:rsidRPr="006B5FE7" w:rsidRDefault="00E374B1" w:rsidP="00CA650D">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Our process model </w:t>
      </w:r>
      <w:r w:rsidR="00600F26">
        <w:rPr>
          <w:rFonts w:ascii="Times New Roman" w:hAnsi="Times New Roman" w:cs="Times New Roman"/>
          <w:sz w:val="24"/>
          <w:szCs w:val="24"/>
          <w:lang w:val="en-US"/>
        </w:rPr>
        <w:t>of</w:t>
      </w:r>
      <w:r w:rsidR="00E832CE">
        <w:rPr>
          <w:rFonts w:ascii="Times New Roman" w:hAnsi="Times New Roman" w:cs="Times New Roman"/>
          <w:sz w:val="24"/>
          <w:szCs w:val="24"/>
          <w:lang w:val="en-US"/>
        </w:rPr>
        <w:t xml:space="preserve"> heterogeneous idea translation</w:t>
      </w:r>
      <w:r w:rsidR="003C50D9">
        <w:rPr>
          <w:rFonts w:ascii="Times New Roman" w:hAnsi="Times New Roman" w:cs="Times New Roman"/>
          <w:sz w:val="24"/>
          <w:szCs w:val="24"/>
          <w:lang w:val="en-US"/>
        </w:rPr>
        <w:t xml:space="preserve"> </w:t>
      </w:r>
      <w:r w:rsidR="00E832CE">
        <w:rPr>
          <w:rFonts w:ascii="Times New Roman" w:hAnsi="Times New Roman" w:cs="Times New Roman"/>
          <w:sz w:val="24"/>
          <w:szCs w:val="24"/>
          <w:lang w:val="en-US"/>
        </w:rPr>
        <w:t xml:space="preserve">spans three modes of </w:t>
      </w:r>
      <w:r w:rsidRPr="006B5FE7">
        <w:rPr>
          <w:rFonts w:ascii="Times New Roman" w:hAnsi="Times New Roman" w:cs="Times New Roman"/>
          <w:sz w:val="24"/>
          <w:szCs w:val="24"/>
          <w:lang w:val="en-US"/>
        </w:rPr>
        <w:t xml:space="preserve">translation. First, </w:t>
      </w:r>
      <w:r w:rsidRPr="006B5FE7">
        <w:rPr>
          <w:rFonts w:ascii="Times New Roman" w:hAnsi="Times New Roman" w:cs="Times New Roman"/>
          <w:i/>
          <w:sz w:val="24"/>
          <w:szCs w:val="24"/>
          <w:lang w:val="en-US"/>
        </w:rPr>
        <w:t>controlling</w:t>
      </w:r>
      <w:r w:rsidRPr="006B5FE7">
        <w:rPr>
          <w:rFonts w:ascii="Times New Roman" w:hAnsi="Times New Roman" w:cs="Times New Roman"/>
          <w:sz w:val="24"/>
          <w:szCs w:val="24"/>
          <w:lang w:val="en-US"/>
        </w:rPr>
        <w:t xml:space="preserve"> translation describes instances and stages of translation that are predominantly driven by promoters. In this mode, promoters are primarily in control of the translation project and exert their influence over the editing and local embedding of the idea if any. As such, in this mode, translation is primarily determined by the perceptions, meaning systems and knowledge of promoters, regardless of whether the latter are in accordance with or in opposition to the life-worlds of adopters. Although this is likely to be helpful as this allows for the initial emergence of ideas that can, in potential, truly challenge or change a context, actors are also likely to struggle with all the three challenges related to promoter-adopter asymmetry. Second, </w:t>
      </w:r>
      <w:r w:rsidRPr="006B5FE7">
        <w:rPr>
          <w:rFonts w:ascii="Times New Roman" w:hAnsi="Times New Roman" w:cs="Times New Roman"/>
          <w:i/>
          <w:sz w:val="24"/>
          <w:szCs w:val="24"/>
          <w:lang w:val="en-US"/>
        </w:rPr>
        <w:t>collaborative</w:t>
      </w:r>
      <w:r w:rsidRPr="006B5FE7">
        <w:rPr>
          <w:rFonts w:ascii="Times New Roman" w:hAnsi="Times New Roman" w:cs="Times New Roman"/>
          <w:sz w:val="24"/>
          <w:szCs w:val="24"/>
          <w:lang w:val="en-US"/>
        </w:rPr>
        <w:t xml:space="preserve"> translation describes instances and stages that are characterized by joint negotiations over translation goals, which promoters and adopters mutually endorse. Unlike under controlling translation, adopters are able to contribute their own views and thereby it is easier to ensure that an external idea is edited in accordance with local life-worlds. Yet, in the collaborative mode, certain challenges related to promoter-adopter asymmetry are likely to persist. Third, </w:t>
      </w:r>
      <w:r w:rsidRPr="006B5FE7">
        <w:rPr>
          <w:rFonts w:ascii="Times New Roman" w:hAnsi="Times New Roman" w:cs="Times New Roman"/>
          <w:i/>
          <w:sz w:val="24"/>
          <w:szCs w:val="24"/>
          <w:lang w:val="en-US"/>
        </w:rPr>
        <w:t xml:space="preserve">generative </w:t>
      </w:r>
      <w:r w:rsidRPr="006B5FE7">
        <w:rPr>
          <w:rFonts w:ascii="Times New Roman" w:hAnsi="Times New Roman" w:cs="Times New Roman"/>
          <w:sz w:val="24"/>
          <w:szCs w:val="24"/>
          <w:lang w:val="en-US"/>
        </w:rPr>
        <w:t>translation describes instances and stages of institutional translation that are predominantly driven by adopters. In this mode, adopters execute the sole control over the editing and local implementation of a particular idea. However, there is a challenge to ensure that promoter meaning sy</w:t>
      </w:r>
      <w:r w:rsidR="00BD6E49">
        <w:rPr>
          <w:rFonts w:ascii="Times New Roman" w:hAnsi="Times New Roman" w:cs="Times New Roman"/>
          <w:sz w:val="24"/>
          <w:szCs w:val="24"/>
          <w:lang w:val="en-US"/>
        </w:rPr>
        <w:t>stems and knowledge remain</w:t>
      </w:r>
      <w:r w:rsidRPr="006B5FE7">
        <w:rPr>
          <w:rFonts w:ascii="Times New Roman" w:hAnsi="Times New Roman" w:cs="Times New Roman"/>
          <w:sz w:val="24"/>
          <w:szCs w:val="24"/>
          <w:lang w:val="en-US"/>
        </w:rPr>
        <w:t xml:space="preserve"> embedded in the idea during the editing process. As such, it appears that the success of outsider-driven translation projects under conditions of promoter-adopter asymmetry hinges on the success of the multiple involved actors to cycle effectively through the various modes. There is therefore a need for researchers and practitioners to adopt a dynamic approach to translation. Key here is to understand when and how a transition from one mode to the next can occur. </w:t>
      </w:r>
    </w:p>
    <w:p w14:paraId="41B31E14" w14:textId="77777777" w:rsidR="00346C66" w:rsidRPr="006B5FE7" w:rsidRDefault="002E0E5C" w:rsidP="00CA650D">
      <w:pPr>
        <w:pStyle w:val="Default"/>
        <w:spacing w:after="240"/>
        <w:ind w:left="-284" w:right="136" w:firstLine="720"/>
        <w:contextualSpacing/>
        <w:rPr>
          <w:rFonts w:ascii="Times New Roman" w:hAnsi="Times New Roman" w:cs="Times New Roman"/>
          <w:sz w:val="24"/>
          <w:szCs w:val="24"/>
          <w:lang w:val="en-US"/>
        </w:rPr>
      </w:pPr>
      <w:r w:rsidRPr="006B5FE7">
        <w:rPr>
          <w:rFonts w:ascii="Times New Roman" w:hAnsi="Times New Roman" w:cs="Times New Roman"/>
          <w:sz w:val="24"/>
          <w:szCs w:val="24"/>
          <w:lang w:val="en-US"/>
        </w:rPr>
        <w:t xml:space="preserve">          </w:t>
      </w:r>
      <w:r w:rsidR="008E33FE" w:rsidRPr="006B5FE7">
        <w:rPr>
          <w:rFonts w:ascii="Times New Roman" w:hAnsi="Times New Roman" w:cs="Times New Roman"/>
          <w:sz w:val="24"/>
          <w:szCs w:val="24"/>
          <w:lang w:val="en-US"/>
        </w:rPr>
        <w:t xml:space="preserve">Our </w:t>
      </w:r>
      <w:r w:rsidR="00E374B1" w:rsidRPr="006B5FE7">
        <w:rPr>
          <w:rFonts w:ascii="Times New Roman" w:hAnsi="Times New Roman" w:cs="Times New Roman"/>
          <w:sz w:val="24"/>
          <w:szCs w:val="24"/>
          <w:lang w:val="en-US"/>
        </w:rPr>
        <w:t xml:space="preserve">model conceptualizes transitions as fundamental power shifts between promoters and adopters that are enabled through different dimensions of </w:t>
      </w:r>
      <w:r w:rsidR="00E374B1" w:rsidRPr="006B5FE7">
        <w:rPr>
          <w:rFonts w:ascii="Times New Roman" w:hAnsi="Times New Roman" w:cs="Times New Roman"/>
          <w:i/>
          <w:sz w:val="24"/>
          <w:szCs w:val="24"/>
          <w:lang w:val="en-US"/>
        </w:rPr>
        <w:t>collective</w:t>
      </w:r>
      <w:r w:rsidR="00E374B1" w:rsidRPr="006B5FE7">
        <w:rPr>
          <w:rFonts w:ascii="Times New Roman" w:hAnsi="Times New Roman" w:cs="Times New Roman"/>
          <w:sz w:val="24"/>
          <w:szCs w:val="24"/>
          <w:lang w:val="en-US"/>
        </w:rPr>
        <w:t xml:space="preserve"> </w:t>
      </w:r>
      <w:r w:rsidR="00E374B1" w:rsidRPr="006B5FE7">
        <w:rPr>
          <w:rFonts w:ascii="Times New Roman" w:hAnsi="Times New Roman" w:cs="Times New Roman"/>
          <w:i/>
          <w:sz w:val="24"/>
          <w:szCs w:val="24"/>
          <w:lang w:val="en-US"/>
        </w:rPr>
        <w:t>institutional empowerment work</w:t>
      </w:r>
      <w:r w:rsidR="00E374B1" w:rsidRPr="006B5FE7">
        <w:rPr>
          <w:rFonts w:ascii="Times New Roman" w:hAnsi="Times New Roman" w:cs="Times New Roman"/>
          <w:sz w:val="24"/>
          <w:szCs w:val="24"/>
          <w:lang w:val="en-US"/>
        </w:rPr>
        <w:t xml:space="preserve">, which is jointly executed through promoters, adopters and boundary-spanning intermediaries. We distinguish between two concrete dimensions: </w:t>
      </w:r>
      <w:r w:rsidR="00E374B1" w:rsidRPr="006B5FE7">
        <w:rPr>
          <w:rFonts w:ascii="Times New Roman" w:hAnsi="Times New Roman" w:cs="Times New Roman"/>
          <w:i/>
          <w:sz w:val="24"/>
          <w:szCs w:val="24"/>
          <w:lang w:val="en-US"/>
        </w:rPr>
        <w:t>Political empowerment work</w:t>
      </w:r>
      <w:r w:rsidR="00E374B1" w:rsidRPr="006B5FE7">
        <w:rPr>
          <w:rFonts w:ascii="Times New Roman" w:hAnsi="Times New Roman" w:cs="Times New Roman"/>
          <w:sz w:val="24"/>
          <w:szCs w:val="24"/>
          <w:lang w:val="en-US"/>
        </w:rPr>
        <w:t xml:space="preserve"> refers to the activities through which structures are built that enable inclusive participation of the low-power stakeholders during the translation project. It enables adopters to actively contribute </w:t>
      </w:r>
      <w:r w:rsidR="00E374B1" w:rsidRPr="006B5FE7">
        <w:rPr>
          <w:rFonts w:ascii="Times New Roman" w:hAnsi="Times New Roman" w:cs="Times New Roman"/>
          <w:sz w:val="24"/>
          <w:szCs w:val="24"/>
          <w:lang w:val="en-US"/>
        </w:rPr>
        <w:lastRenderedPageBreak/>
        <w:t xml:space="preserve">their perspectives and expectations in regard to the translation project, causing a transition from controlling to collaborative translation. Furthermore, it can encourage adopters to fully take charge of determining how the idea should enter their local context, thereby triggering a transition from collaborative to generative translation. </w:t>
      </w:r>
      <w:r w:rsidR="00E374B1" w:rsidRPr="006B5FE7">
        <w:rPr>
          <w:rFonts w:ascii="Times New Roman" w:hAnsi="Times New Roman" w:cs="Times New Roman"/>
          <w:i/>
          <w:sz w:val="24"/>
          <w:szCs w:val="24"/>
          <w:lang w:val="en-US"/>
        </w:rPr>
        <w:t xml:space="preserve">Social empowerment work </w:t>
      </w:r>
      <w:r w:rsidR="00E374B1" w:rsidRPr="006B5FE7">
        <w:rPr>
          <w:rFonts w:ascii="Times New Roman" w:hAnsi="Times New Roman" w:cs="Times New Roman"/>
          <w:sz w:val="24"/>
          <w:szCs w:val="24"/>
          <w:lang w:val="en-US"/>
        </w:rPr>
        <w:t xml:space="preserve">relates to building relationships between promoters and adopters that support the process of translation. It enables trust between them through triggering adopters’ confidence in promoters’ plans and promoters’ faith in adopters’ abilities, triggering a transition from controlling to collaborative translation. Moreover, social empowerment work supports adopters in aligning their existing identities with a new idea. Thus, adopters are enabled to drive translation in a way that makes sense to them, leading to generative translation. </w:t>
      </w:r>
    </w:p>
    <w:p w14:paraId="0F95C21B" w14:textId="77777777" w:rsidR="00E374B1" w:rsidRPr="006B5FE7" w:rsidRDefault="00E374B1" w:rsidP="00E374B1">
      <w:pPr>
        <w:pStyle w:val="Default"/>
        <w:spacing w:after="240"/>
        <w:ind w:left="-284" w:right="136"/>
        <w:contextualSpacing/>
        <w:rPr>
          <w:rFonts w:ascii="Times New Roman" w:hAnsi="Times New Roman" w:cs="Times New Roman"/>
          <w:sz w:val="24"/>
          <w:szCs w:val="24"/>
          <w:lang w:val="en-US"/>
        </w:rPr>
      </w:pPr>
    </w:p>
    <w:p w14:paraId="1B7DB773" w14:textId="77777777" w:rsidR="00CF17D9" w:rsidRPr="006B5FE7" w:rsidRDefault="00CF17D9" w:rsidP="00F77995">
      <w:pPr>
        <w:pStyle w:val="Default"/>
        <w:spacing w:after="240"/>
        <w:ind w:left="-284" w:right="136"/>
        <w:contextualSpacing/>
        <w:rPr>
          <w:rFonts w:ascii="Times New Roman" w:hAnsi="Times New Roman" w:cs="Times New Roman"/>
          <w:sz w:val="24"/>
          <w:szCs w:val="24"/>
          <w:lang w:val="en-US"/>
        </w:rPr>
      </w:pPr>
    </w:p>
    <w:p w14:paraId="40F37318" w14:textId="77777777" w:rsidR="00E374B1" w:rsidRPr="006B5FE7" w:rsidRDefault="00DD6D11" w:rsidP="00DD6D11">
      <w:pPr>
        <w:pStyle w:val="Default"/>
        <w:spacing w:after="240"/>
        <w:ind w:left="-284" w:right="136"/>
        <w:contextualSpacing/>
        <w:jc w:val="center"/>
        <w:rPr>
          <w:rFonts w:ascii="Times New Roman" w:hAnsi="Times New Roman" w:cs="Times New Roman"/>
          <w:b/>
          <w:bCs/>
          <w:sz w:val="24"/>
          <w:szCs w:val="24"/>
          <w:lang w:val="en-US"/>
        </w:rPr>
      </w:pPr>
      <w:r w:rsidRPr="006B5FE7">
        <w:rPr>
          <w:rFonts w:ascii="Times New Roman" w:hAnsi="Times New Roman" w:cs="Times New Roman"/>
          <w:b/>
          <w:bCs/>
          <w:sz w:val="24"/>
          <w:szCs w:val="24"/>
          <w:lang w:val="en-US"/>
        </w:rPr>
        <w:t>DISCUSSION AND CONCLUSION</w:t>
      </w:r>
    </w:p>
    <w:p w14:paraId="56934206" w14:textId="77777777" w:rsidR="00C40090" w:rsidRPr="006B5FE7" w:rsidRDefault="00C40090" w:rsidP="00C40090">
      <w:pPr>
        <w:pStyle w:val="Default"/>
        <w:spacing w:after="240"/>
        <w:ind w:left="-284" w:right="136"/>
        <w:contextualSpacing/>
        <w:rPr>
          <w:rFonts w:ascii="Times New Roman" w:eastAsia="Times New Roman" w:hAnsi="Times New Roman" w:cs="Times New Roman"/>
          <w:bCs/>
          <w:sz w:val="24"/>
          <w:szCs w:val="24"/>
          <w:lang w:val="en-US"/>
        </w:rPr>
      </w:pPr>
    </w:p>
    <w:p w14:paraId="6AB10ECB" w14:textId="3E697272" w:rsidR="008C0846" w:rsidRPr="006B5FE7" w:rsidRDefault="005419F5" w:rsidP="00877E35">
      <w:pPr>
        <w:pStyle w:val="Default"/>
        <w:spacing w:after="240"/>
        <w:ind w:left="-284" w:right="136" w:firstLine="720"/>
        <w:contextualSpacing/>
        <w:rPr>
          <w:rFonts w:ascii="Times New Roman" w:eastAsia="Times New Roman" w:hAnsi="Times New Roman" w:cs="Times New Roman"/>
          <w:bCs/>
          <w:sz w:val="24"/>
          <w:szCs w:val="24"/>
          <w:lang w:val="en-US"/>
        </w:rPr>
      </w:pPr>
      <w:r w:rsidRPr="006B5FE7">
        <w:rPr>
          <w:rFonts w:ascii="Times New Roman" w:eastAsia="Times New Roman" w:hAnsi="Times New Roman" w:cs="Times New Roman"/>
          <w:bCs/>
          <w:sz w:val="24"/>
          <w:szCs w:val="24"/>
          <w:lang w:val="en-US"/>
        </w:rPr>
        <w:t xml:space="preserve">          Our findings result in notable contributions to the institutional translation and work literatures, and deliver practical insights into achieving participatory community development, which may extend to other cases of outsider-driven institutional change. A first contribution of our study is the development of a more dynamic approach to institutional translation through the distinction between three modes of translation. Our real-time data – depicting the process of translation as it happens in time -  points towards a more complex notion of translation than the one described by existing institutional translation literature, which largely assumes that promoters and adopters edit ideas in a transactional, sequential and independent fashion (Sahlin-Andersson, 1996).</w:t>
      </w:r>
      <w:r w:rsidR="009E2B0C">
        <w:rPr>
          <w:rFonts w:ascii="Times New Roman" w:eastAsia="Times New Roman" w:hAnsi="Times New Roman" w:cs="Times New Roman"/>
          <w:bCs/>
          <w:sz w:val="24"/>
          <w:szCs w:val="24"/>
          <w:lang w:val="en-US"/>
        </w:rPr>
        <w:t xml:space="preserve"> S</w:t>
      </w:r>
      <w:r w:rsidR="008C0846" w:rsidRPr="006B5FE7">
        <w:rPr>
          <w:rFonts w:ascii="Times New Roman" w:eastAsia="Times New Roman" w:hAnsi="Times New Roman" w:cs="Times New Roman"/>
          <w:bCs/>
          <w:sz w:val="24"/>
          <w:szCs w:val="24"/>
          <w:lang w:val="en-US"/>
        </w:rPr>
        <w:t xml:space="preserve">uccessful cases of translation might be explained through the experience of promoters (and adopters), who can recognize and address certain translation challenges, therefore being able to move at ease between different translation modes. Successful institutional translation cases have, for instance, been identified in situations where translators had prior experience with combining foreign practices with legitimate local frames of references (e.g. Boxenbaum, 2006, Frenkel, 2005). Importantly, our dynamic approach to institutional translation implies that there is no one optimal translation mode, but rather that it is actors’ ability to shift from one mode to another depending on the nature of the challenges and the progress of the project. In other words, shifting directly to generative translation may not necessarily lead to successful translation. More controlling modes of translation might be necessary when adopters are not aware of the long-term benefits of an idea or lack the knowledge or resources to drive translation solely by themselves. Overall, the three translation modes encourage thinking about the different paths that can result in successful idea translation. </w:t>
      </w:r>
      <w:r w:rsidR="00212C30" w:rsidRPr="006B5FE7">
        <w:rPr>
          <w:rFonts w:ascii="Times New Roman" w:eastAsia="Times New Roman" w:hAnsi="Times New Roman" w:cs="Times New Roman"/>
          <w:bCs/>
          <w:sz w:val="24"/>
          <w:szCs w:val="24"/>
          <w:lang w:val="en-US"/>
        </w:rPr>
        <w:t>A second contribution of our study is that we have examined and theorized a particular form of collective institutional work - a type of work that has been understudied (Hampel, Lawrence, &amp; Tracey, 2017): We studied a case of institutional change through translation that required highly heterogeneous actors to work together and, in particular, bridge substantial power and life-world asymmetries. Previous studies that have appreciated the complexities regarding the collaboration of highly heterogeneous groups of actors seem to provide phenomenological evidence of institutional empowerment work (</w:t>
      </w:r>
      <w:r w:rsidR="00212C30" w:rsidRPr="006B5FE7">
        <w:rPr>
          <w:rFonts w:ascii="Times New Roman" w:eastAsia="Calibri" w:hAnsi="Times New Roman" w:cs="Times New Roman"/>
          <w:sz w:val="24"/>
          <w:szCs w:val="24"/>
          <w:lang w:val="en-US"/>
        </w:rPr>
        <w:t>Helfen &amp; Sydow, 2013;</w:t>
      </w:r>
      <w:r w:rsidR="00212C30" w:rsidRPr="006B5FE7">
        <w:rPr>
          <w:rFonts w:ascii="Times New Roman" w:eastAsia="Times New Roman" w:hAnsi="Times New Roman" w:cs="Times New Roman"/>
          <w:bCs/>
          <w:sz w:val="24"/>
          <w:szCs w:val="24"/>
          <w:lang w:val="en-US"/>
        </w:rPr>
        <w:t xml:space="preserve"> Maguire &amp; Hardy, 2009; </w:t>
      </w:r>
      <w:r w:rsidR="00212C30" w:rsidRPr="006B5FE7">
        <w:rPr>
          <w:rFonts w:ascii="Times New Roman" w:eastAsia="Calibri" w:hAnsi="Times New Roman" w:cs="Times New Roman"/>
          <w:sz w:val="24"/>
          <w:szCs w:val="24"/>
          <w:lang w:val="en-US"/>
        </w:rPr>
        <w:t>Wijen &amp; Ansari, 2006</w:t>
      </w:r>
      <w:r w:rsidR="00212C30" w:rsidRPr="006B5FE7">
        <w:rPr>
          <w:rFonts w:ascii="Times New Roman" w:eastAsia="Times New Roman" w:hAnsi="Times New Roman" w:cs="Times New Roman"/>
          <w:bCs/>
          <w:sz w:val="24"/>
          <w:szCs w:val="24"/>
          <w:lang w:val="en-US"/>
        </w:rPr>
        <w:t xml:space="preserve">; Zietsma &amp; Lawrence, 2010). They suggest that purposeful collaboration of heterogeneous actors depends on whether actors from the outside or periphery of a field can move the core in order to participate in field-level discourse and change. However, this line of research has failed to develop theory that adequately accounts for the mechanisms behind empowerment. We address this important dearth and theorize that transitions between particular </w:t>
      </w:r>
      <w:r w:rsidR="00212C30" w:rsidRPr="006B5FE7">
        <w:rPr>
          <w:rFonts w:ascii="Times New Roman" w:eastAsia="Times New Roman" w:hAnsi="Times New Roman" w:cs="Times New Roman"/>
          <w:bCs/>
          <w:sz w:val="24"/>
          <w:szCs w:val="24"/>
          <w:lang w:val="en-US"/>
        </w:rPr>
        <w:lastRenderedPageBreak/>
        <w:t xml:space="preserve">modes of translations involving heterogeneous actors depend on important power shifts enabled through political and social dimensions of, what we have labeled as, institutional empowerment work. </w:t>
      </w:r>
      <w:r w:rsidR="00214897">
        <w:rPr>
          <w:rFonts w:ascii="Times New Roman" w:eastAsia="Times New Roman" w:hAnsi="Times New Roman" w:cs="Times New Roman"/>
          <w:bCs/>
          <w:sz w:val="24"/>
          <w:szCs w:val="24"/>
          <w:lang w:val="en-US"/>
        </w:rPr>
        <w:t>Third</w:t>
      </w:r>
      <w:r w:rsidR="00212C30" w:rsidRPr="006B5FE7">
        <w:rPr>
          <w:rFonts w:ascii="Times New Roman" w:eastAsia="Times New Roman" w:hAnsi="Times New Roman" w:cs="Times New Roman"/>
          <w:bCs/>
          <w:sz w:val="24"/>
          <w:szCs w:val="24"/>
          <w:lang w:val="en-US"/>
        </w:rPr>
        <w:t xml:space="preserve">, our dynamic conceptualization of institutional translation provides insights into how the grand challenge of achieving participatory community development can be addressed. We argue that approaching developmental change in communities as a mere translation issue, which starts with the view of powerful promoters </w:t>
      </w:r>
      <w:r w:rsidR="00212C30" w:rsidRPr="006B5FE7">
        <w:rPr>
          <w:rFonts w:ascii="Times New Roman" w:eastAsia="Times New Roman" w:hAnsi="Times New Roman" w:cs="Times New Roman"/>
          <w:bCs/>
          <w:i/>
          <w:sz w:val="24"/>
          <w:szCs w:val="24"/>
          <w:lang w:val="en-US"/>
        </w:rPr>
        <w:t>or</w:t>
      </w:r>
      <w:r w:rsidR="00212C30" w:rsidRPr="006B5FE7">
        <w:rPr>
          <w:rFonts w:ascii="Times New Roman" w:eastAsia="Times New Roman" w:hAnsi="Times New Roman" w:cs="Times New Roman"/>
          <w:bCs/>
          <w:sz w:val="24"/>
          <w:szCs w:val="24"/>
          <w:lang w:val="en-US"/>
        </w:rPr>
        <w:t xml:space="preserve"> powerless adopters, is doomed to fail, as it paves the way for a relatively one-directional process. Instead, participatory community development should be approached as an institutional work project that requires transitions between different modes of engagement, achieved through the gradual political and social empowerment of marginalized citizens. These insights may extend to other cases of outsider-driven institutional change (e.g. Maguire &amp; Hardy, 2009; Zietsma &amp; Lawrence, 2010), where ideas for change originate outside of the context in which they are intended to get adopted. In principle, such cases will face similar challenges as prevalent in heterogeneous idea translation and participatory approaches are presumably needed for success. </w:t>
      </w:r>
    </w:p>
    <w:p w14:paraId="590DE624" w14:textId="77777777" w:rsidR="005419F5" w:rsidRPr="006B5FE7" w:rsidRDefault="005419F5" w:rsidP="00E4577C">
      <w:pPr>
        <w:pStyle w:val="Default"/>
        <w:spacing w:after="240"/>
        <w:ind w:right="136"/>
        <w:contextualSpacing/>
        <w:rPr>
          <w:rFonts w:ascii="Times New Roman" w:eastAsia="Times New Roman" w:hAnsi="Times New Roman" w:cs="Times New Roman"/>
          <w:bCs/>
          <w:sz w:val="24"/>
          <w:szCs w:val="24"/>
          <w:lang w:val="en-US"/>
        </w:rPr>
      </w:pPr>
    </w:p>
    <w:p w14:paraId="0542CAD3" w14:textId="77777777" w:rsidR="005419F5" w:rsidRPr="006B5FE7" w:rsidRDefault="005419F5" w:rsidP="005419F5">
      <w:pPr>
        <w:pStyle w:val="Default"/>
        <w:spacing w:after="240"/>
        <w:ind w:right="-142" w:hanging="284"/>
        <w:contextualSpacing/>
        <w:jc w:val="center"/>
        <w:rPr>
          <w:rFonts w:ascii="Times New Roman" w:eastAsia="Times New Roman" w:hAnsi="Times New Roman" w:cs="Times New Roman"/>
          <w:b/>
          <w:bCs/>
          <w:sz w:val="24"/>
          <w:szCs w:val="24"/>
          <w:lang w:val="en-GB"/>
        </w:rPr>
      </w:pPr>
      <w:r w:rsidRPr="006B5FE7">
        <w:rPr>
          <w:rFonts w:ascii="Times New Roman" w:eastAsia="Times New Roman" w:hAnsi="Times New Roman" w:cs="Times New Roman"/>
          <w:b/>
          <w:bCs/>
          <w:sz w:val="24"/>
          <w:szCs w:val="24"/>
          <w:lang w:val="en-GB"/>
        </w:rPr>
        <w:t>REFERENCES AVAILABLE FROM THE AUTHORS</w:t>
      </w:r>
    </w:p>
    <w:p w14:paraId="33325B73" w14:textId="77777777" w:rsidR="00E4577C" w:rsidRPr="006B5FE7" w:rsidRDefault="00E4577C" w:rsidP="001272A9">
      <w:pPr>
        <w:pStyle w:val="Default"/>
        <w:spacing w:after="240"/>
        <w:ind w:right="-142"/>
        <w:contextualSpacing/>
        <w:rPr>
          <w:rFonts w:ascii="Times New Roman" w:eastAsia="Times New Roman" w:hAnsi="Times New Roman" w:cs="Times New Roman"/>
          <w:b/>
          <w:bCs/>
          <w:sz w:val="24"/>
          <w:szCs w:val="24"/>
          <w:lang w:val="en-GB"/>
        </w:rPr>
      </w:pPr>
    </w:p>
    <w:p w14:paraId="2DEB0E97" w14:textId="50A12494" w:rsidR="00E4577C" w:rsidRPr="006B5FE7" w:rsidRDefault="00E4577C" w:rsidP="005419F5">
      <w:pPr>
        <w:pStyle w:val="Default"/>
        <w:spacing w:after="240"/>
        <w:ind w:right="-142" w:hanging="284"/>
        <w:contextualSpacing/>
        <w:jc w:val="center"/>
        <w:rPr>
          <w:rFonts w:ascii="Times New Roman" w:eastAsia="Times New Roman" w:hAnsi="Times New Roman" w:cs="Times New Roman"/>
          <w:b/>
          <w:bCs/>
          <w:sz w:val="24"/>
          <w:szCs w:val="24"/>
          <w:lang w:val="en-GB"/>
        </w:rPr>
      </w:pPr>
    </w:p>
    <w:p w14:paraId="2D9B7918" w14:textId="77777777" w:rsidR="005457FA" w:rsidRDefault="005457FA" w:rsidP="005419F5">
      <w:pPr>
        <w:pStyle w:val="Default"/>
        <w:spacing w:after="240"/>
        <w:ind w:right="-142" w:hanging="284"/>
        <w:contextualSpacing/>
        <w:jc w:val="center"/>
        <w:rPr>
          <w:rFonts w:ascii="Times New Roman" w:eastAsia="Times New Roman" w:hAnsi="Times New Roman" w:cs="Times New Roman"/>
          <w:b/>
          <w:bCs/>
          <w:sz w:val="24"/>
          <w:szCs w:val="24"/>
          <w:lang w:val="en-GB"/>
        </w:rPr>
      </w:pPr>
    </w:p>
    <w:p w14:paraId="40815713" w14:textId="77777777" w:rsidR="00E4577C" w:rsidRDefault="00E4577C" w:rsidP="005419F5">
      <w:pPr>
        <w:pStyle w:val="Default"/>
        <w:spacing w:after="240"/>
        <w:ind w:right="-142" w:hanging="284"/>
        <w:contextualSpacing/>
        <w:jc w:val="center"/>
        <w:rPr>
          <w:rFonts w:ascii="Times New Roman" w:eastAsia="Times New Roman" w:hAnsi="Times New Roman" w:cs="Times New Roman"/>
          <w:b/>
          <w:bCs/>
          <w:sz w:val="24"/>
          <w:szCs w:val="24"/>
          <w:lang w:val="en-GB"/>
        </w:rPr>
      </w:pPr>
    </w:p>
    <w:p w14:paraId="6AE40CC8" w14:textId="7ADECE66" w:rsidR="00775738" w:rsidRPr="002932A1" w:rsidRDefault="0043380B" w:rsidP="002932A1">
      <w:pPr>
        <w:pStyle w:val="Default"/>
        <w:spacing w:after="240"/>
        <w:ind w:right="-142" w:hanging="284"/>
        <w:contextualSpacing/>
        <w:jc w:val="center"/>
        <w:rPr>
          <w:rFonts w:ascii="Times New Roman" w:hAnsi="Times New Roman" w:cs="Times New Roman"/>
          <w:b/>
          <w:sz w:val="24"/>
          <w:szCs w:val="24"/>
          <w:lang w:val="en-GB"/>
        </w:rPr>
      </w:pPr>
    </w:p>
    <w:sectPr w:rsidR="00775738" w:rsidRPr="002932A1" w:rsidSect="005E781C">
      <w:pgSz w:w="12240" w:h="15840" w:code="1"/>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4B47B9" w14:textId="77777777" w:rsidR="00D73BB9" w:rsidRDefault="00D73BB9" w:rsidP="005E781C">
      <w:r>
        <w:separator/>
      </w:r>
    </w:p>
  </w:endnote>
  <w:endnote w:type="continuationSeparator" w:id="0">
    <w:p w14:paraId="4E6E6C29" w14:textId="77777777" w:rsidR="00D73BB9" w:rsidRDefault="00D73BB9" w:rsidP="005E78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A5E15" w14:textId="77777777" w:rsidR="00D73BB9" w:rsidRDefault="00D73BB9" w:rsidP="005E781C">
      <w:r>
        <w:separator/>
      </w:r>
    </w:p>
  </w:footnote>
  <w:footnote w:type="continuationSeparator" w:id="0">
    <w:p w14:paraId="7913AD66" w14:textId="77777777" w:rsidR="00D73BB9" w:rsidRDefault="00D73BB9" w:rsidP="005E781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E0E"/>
    <w:rsid w:val="0005323D"/>
    <w:rsid w:val="00062264"/>
    <w:rsid w:val="001272A9"/>
    <w:rsid w:val="00190C44"/>
    <w:rsid w:val="001D6FED"/>
    <w:rsid w:val="00212C30"/>
    <w:rsid w:val="00214897"/>
    <w:rsid w:val="00216312"/>
    <w:rsid w:val="00240DC6"/>
    <w:rsid w:val="002601B8"/>
    <w:rsid w:val="002601EF"/>
    <w:rsid w:val="002932A1"/>
    <w:rsid w:val="002E0E5C"/>
    <w:rsid w:val="00306863"/>
    <w:rsid w:val="00311926"/>
    <w:rsid w:val="00340FE7"/>
    <w:rsid w:val="00346C66"/>
    <w:rsid w:val="00385D79"/>
    <w:rsid w:val="003C50D9"/>
    <w:rsid w:val="00412441"/>
    <w:rsid w:val="0043380B"/>
    <w:rsid w:val="004444E3"/>
    <w:rsid w:val="004D3340"/>
    <w:rsid w:val="00516438"/>
    <w:rsid w:val="005419F5"/>
    <w:rsid w:val="005457FA"/>
    <w:rsid w:val="005E781C"/>
    <w:rsid w:val="00600F26"/>
    <w:rsid w:val="00695B89"/>
    <w:rsid w:val="006B5FE7"/>
    <w:rsid w:val="006E4C72"/>
    <w:rsid w:val="00722D57"/>
    <w:rsid w:val="007242B7"/>
    <w:rsid w:val="0074752F"/>
    <w:rsid w:val="00827F82"/>
    <w:rsid w:val="00873FC1"/>
    <w:rsid w:val="00877E35"/>
    <w:rsid w:val="008863B4"/>
    <w:rsid w:val="008B373C"/>
    <w:rsid w:val="008C0846"/>
    <w:rsid w:val="008E33FE"/>
    <w:rsid w:val="00911FCE"/>
    <w:rsid w:val="009306FB"/>
    <w:rsid w:val="009601BB"/>
    <w:rsid w:val="0096078E"/>
    <w:rsid w:val="00967D1F"/>
    <w:rsid w:val="009714F8"/>
    <w:rsid w:val="009A2DC7"/>
    <w:rsid w:val="009D6C5F"/>
    <w:rsid w:val="009E2B0C"/>
    <w:rsid w:val="00A15E0E"/>
    <w:rsid w:val="00A206F0"/>
    <w:rsid w:val="00A461ED"/>
    <w:rsid w:val="00A87E6A"/>
    <w:rsid w:val="00AB600F"/>
    <w:rsid w:val="00AD5EAA"/>
    <w:rsid w:val="00AF406C"/>
    <w:rsid w:val="00BD6E49"/>
    <w:rsid w:val="00BF545F"/>
    <w:rsid w:val="00C40090"/>
    <w:rsid w:val="00C53565"/>
    <w:rsid w:val="00C8158C"/>
    <w:rsid w:val="00CA650D"/>
    <w:rsid w:val="00CB2D53"/>
    <w:rsid w:val="00CF17D9"/>
    <w:rsid w:val="00D53CC5"/>
    <w:rsid w:val="00D659ED"/>
    <w:rsid w:val="00D739E8"/>
    <w:rsid w:val="00D73BB9"/>
    <w:rsid w:val="00DD6D11"/>
    <w:rsid w:val="00DE1FCC"/>
    <w:rsid w:val="00DF127A"/>
    <w:rsid w:val="00E17888"/>
    <w:rsid w:val="00E374B1"/>
    <w:rsid w:val="00E4577C"/>
    <w:rsid w:val="00E604BA"/>
    <w:rsid w:val="00E832CE"/>
    <w:rsid w:val="00E96EA2"/>
    <w:rsid w:val="00EA32E1"/>
    <w:rsid w:val="00F048DF"/>
    <w:rsid w:val="00F77995"/>
    <w:rsid w:val="00FB2DEC"/>
    <w:rsid w:val="00FC1FE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09BF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15E0E"/>
    <w:pPr>
      <w:pBdr>
        <w:top w:val="nil"/>
        <w:left w:val="nil"/>
        <w:bottom w:val="nil"/>
        <w:right w:val="nil"/>
        <w:between w:val="nil"/>
        <w:bar w:val="nil"/>
      </w:pBdr>
    </w:pPr>
    <w:rPr>
      <w:rFonts w:ascii="Helvetica" w:eastAsia="Arial Unicode MS" w:hAnsi="Arial Unicode MS" w:cs="Arial Unicode MS"/>
      <w:color w:val="000000"/>
      <w:sz w:val="22"/>
      <w:szCs w:val="22"/>
      <w:u w:color="000000"/>
      <w:bdr w:val="nil"/>
      <w:lang w:val="de-DE"/>
    </w:rPr>
  </w:style>
  <w:style w:type="paragraph" w:styleId="Header">
    <w:name w:val="header"/>
    <w:basedOn w:val="Normal"/>
    <w:link w:val="HeaderChar"/>
    <w:uiPriority w:val="99"/>
    <w:unhideWhenUsed/>
    <w:rsid w:val="005E781C"/>
    <w:pPr>
      <w:tabs>
        <w:tab w:val="center" w:pos="4513"/>
        <w:tab w:val="right" w:pos="9026"/>
      </w:tabs>
    </w:pPr>
  </w:style>
  <w:style w:type="character" w:customStyle="1" w:styleId="HeaderChar">
    <w:name w:val="Header Char"/>
    <w:basedOn w:val="DefaultParagraphFont"/>
    <w:link w:val="Header"/>
    <w:uiPriority w:val="99"/>
    <w:rsid w:val="005E781C"/>
  </w:style>
  <w:style w:type="paragraph" w:styleId="Footer">
    <w:name w:val="footer"/>
    <w:basedOn w:val="Normal"/>
    <w:link w:val="FooterChar"/>
    <w:uiPriority w:val="99"/>
    <w:unhideWhenUsed/>
    <w:rsid w:val="005E781C"/>
    <w:pPr>
      <w:tabs>
        <w:tab w:val="center" w:pos="4513"/>
        <w:tab w:val="right" w:pos="9026"/>
      </w:tabs>
    </w:pPr>
  </w:style>
  <w:style w:type="character" w:customStyle="1" w:styleId="FooterChar">
    <w:name w:val="Footer Char"/>
    <w:basedOn w:val="DefaultParagraphFont"/>
    <w:link w:val="Footer"/>
    <w:uiPriority w:val="99"/>
    <w:rsid w:val="005E78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3078</Words>
  <Characters>17549</Characters>
  <Application>Microsoft Office Word</Application>
  <DocSecurity>4</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 Brueggemann</dc:creator>
  <cp:keywords/>
  <dc:description/>
  <cp:lastModifiedBy>Katie Jones</cp:lastModifiedBy>
  <cp:revision>2</cp:revision>
  <dcterms:created xsi:type="dcterms:W3CDTF">2018-10-08T11:06:00Z</dcterms:created>
  <dcterms:modified xsi:type="dcterms:W3CDTF">2018-10-08T11:06:00Z</dcterms:modified>
</cp:coreProperties>
</file>