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0106" w:rsidRPr="00D5255A" w:rsidRDefault="00210106" w:rsidP="00C8633B">
      <w:pPr>
        <w:spacing w:line="480" w:lineRule="auto"/>
        <w:jc w:val="center"/>
        <w:rPr>
          <w:rFonts w:ascii="Times New Roman" w:hAnsi="Times New Roman"/>
          <w:b/>
          <w:sz w:val="28"/>
          <w:szCs w:val="24"/>
        </w:rPr>
      </w:pPr>
      <w:r w:rsidRPr="00D5255A">
        <w:rPr>
          <w:rFonts w:ascii="Times New Roman" w:hAnsi="Times New Roman"/>
          <w:b/>
          <w:sz w:val="28"/>
          <w:szCs w:val="24"/>
        </w:rPr>
        <w:t>Novel genetic loci associated with long-term deterioration in blood lipid concentrations and coronary artery disease in European adults</w:t>
      </w:r>
    </w:p>
    <w:p w:rsidR="00210106" w:rsidRPr="00D5255A" w:rsidRDefault="00210106" w:rsidP="00D1110C">
      <w:pPr>
        <w:spacing w:after="0" w:line="480" w:lineRule="auto"/>
        <w:rPr>
          <w:rFonts w:ascii="Times New Roman" w:hAnsi="Times New Roman"/>
          <w:sz w:val="24"/>
          <w:szCs w:val="24"/>
        </w:rPr>
      </w:pPr>
    </w:p>
    <w:p w:rsidR="00210106" w:rsidRPr="00D5255A" w:rsidRDefault="00210106" w:rsidP="00C8633B">
      <w:pPr>
        <w:spacing w:after="0" w:line="480" w:lineRule="auto"/>
        <w:jc w:val="both"/>
        <w:rPr>
          <w:rFonts w:ascii="Times New Roman" w:hAnsi="Times New Roman"/>
          <w:sz w:val="24"/>
          <w:szCs w:val="24"/>
        </w:rPr>
      </w:pPr>
      <w:r w:rsidRPr="00D5255A">
        <w:rPr>
          <w:rFonts w:ascii="Times New Roman" w:hAnsi="Times New Roman"/>
          <w:sz w:val="24"/>
          <w:szCs w:val="24"/>
        </w:rPr>
        <w:t>Tibor V. Varga,</w:t>
      </w:r>
      <w:r w:rsidRPr="00D5255A">
        <w:rPr>
          <w:rFonts w:ascii="Times New Roman" w:hAnsi="Times New Roman"/>
          <w:sz w:val="24"/>
          <w:szCs w:val="24"/>
          <w:vertAlign w:val="superscript"/>
        </w:rPr>
        <w:t>1</w:t>
      </w:r>
      <w:r w:rsidRPr="00D5255A">
        <w:rPr>
          <w:rFonts w:ascii="Times New Roman" w:hAnsi="Times New Roman"/>
          <w:sz w:val="24"/>
          <w:szCs w:val="24"/>
        </w:rPr>
        <w:t xml:space="preserve"> Azra Kurbasic,</w:t>
      </w:r>
      <w:r w:rsidRPr="00D5255A">
        <w:rPr>
          <w:rFonts w:ascii="Times New Roman" w:hAnsi="Times New Roman"/>
          <w:sz w:val="24"/>
          <w:szCs w:val="24"/>
          <w:vertAlign w:val="superscript"/>
        </w:rPr>
        <w:t>1</w:t>
      </w:r>
      <w:r w:rsidRPr="00D5255A">
        <w:rPr>
          <w:rFonts w:ascii="Times New Roman" w:hAnsi="Times New Roman"/>
          <w:sz w:val="24"/>
          <w:szCs w:val="24"/>
        </w:rPr>
        <w:t xml:space="preserve"> Mattias Aine,</w:t>
      </w:r>
      <w:r w:rsidRPr="00D5255A">
        <w:rPr>
          <w:rFonts w:ascii="Times New Roman" w:hAnsi="Times New Roman"/>
          <w:sz w:val="24"/>
          <w:szCs w:val="24"/>
          <w:vertAlign w:val="superscript"/>
        </w:rPr>
        <w:t>2</w:t>
      </w:r>
      <w:r w:rsidRPr="00D5255A">
        <w:rPr>
          <w:rFonts w:ascii="Times New Roman" w:hAnsi="Times New Roman"/>
          <w:sz w:val="24"/>
          <w:szCs w:val="24"/>
        </w:rPr>
        <w:t xml:space="preserve"> Pontus Eriksson,</w:t>
      </w:r>
      <w:r w:rsidRPr="00D5255A">
        <w:rPr>
          <w:rFonts w:ascii="Times New Roman" w:hAnsi="Times New Roman"/>
          <w:sz w:val="24"/>
          <w:szCs w:val="24"/>
          <w:vertAlign w:val="superscript"/>
        </w:rPr>
        <w:t>2</w:t>
      </w:r>
      <w:r w:rsidRPr="00D5255A">
        <w:rPr>
          <w:rFonts w:ascii="Times New Roman" w:hAnsi="Times New Roman"/>
          <w:sz w:val="24"/>
          <w:szCs w:val="24"/>
        </w:rPr>
        <w:t xml:space="preserve"> Ashfaq Ali,</w:t>
      </w:r>
      <w:r w:rsidRPr="00D5255A">
        <w:rPr>
          <w:rFonts w:ascii="Times New Roman" w:hAnsi="Times New Roman"/>
          <w:sz w:val="24"/>
          <w:szCs w:val="24"/>
          <w:vertAlign w:val="superscript"/>
        </w:rPr>
        <w:t>1</w:t>
      </w:r>
      <w:r w:rsidRPr="00D5255A">
        <w:rPr>
          <w:rFonts w:ascii="Times New Roman" w:hAnsi="Times New Roman"/>
          <w:sz w:val="24"/>
          <w:szCs w:val="24"/>
        </w:rPr>
        <w:t xml:space="preserve"> George Hindy,</w:t>
      </w:r>
      <w:r w:rsidRPr="00D5255A">
        <w:rPr>
          <w:rFonts w:ascii="Times New Roman" w:hAnsi="Times New Roman"/>
          <w:sz w:val="24"/>
          <w:szCs w:val="24"/>
          <w:vertAlign w:val="superscript"/>
        </w:rPr>
        <w:t>3</w:t>
      </w:r>
      <w:r w:rsidRPr="00D5255A">
        <w:rPr>
          <w:rFonts w:ascii="Times New Roman" w:hAnsi="Times New Roman"/>
          <w:sz w:val="24"/>
          <w:szCs w:val="24"/>
        </w:rPr>
        <w:t xml:space="preserve"> Stefan Gustafsson,</w:t>
      </w:r>
      <w:r w:rsidRPr="00D5255A">
        <w:rPr>
          <w:rFonts w:ascii="Times New Roman" w:hAnsi="Times New Roman"/>
          <w:sz w:val="24"/>
          <w:szCs w:val="24"/>
          <w:vertAlign w:val="superscript"/>
        </w:rPr>
        <w:t>4</w:t>
      </w:r>
      <w:r w:rsidRPr="00D5255A">
        <w:rPr>
          <w:rFonts w:ascii="Times New Roman" w:hAnsi="Times New Roman"/>
          <w:sz w:val="24"/>
          <w:szCs w:val="24"/>
        </w:rPr>
        <w:t>, Jian’an Luan,</w:t>
      </w:r>
      <w:r w:rsidRPr="00D5255A">
        <w:rPr>
          <w:rFonts w:ascii="Times New Roman" w:hAnsi="Times New Roman"/>
          <w:sz w:val="24"/>
          <w:szCs w:val="24"/>
          <w:vertAlign w:val="superscript"/>
        </w:rPr>
        <w:t>5</w:t>
      </w:r>
      <w:r w:rsidRPr="00D5255A">
        <w:rPr>
          <w:rFonts w:ascii="Times New Roman" w:hAnsi="Times New Roman"/>
          <w:sz w:val="24"/>
          <w:szCs w:val="24"/>
        </w:rPr>
        <w:t xml:space="preserve"> Dmitry Shungin,</w:t>
      </w:r>
      <w:r w:rsidRPr="00D5255A">
        <w:rPr>
          <w:rFonts w:ascii="Times New Roman" w:hAnsi="Times New Roman"/>
          <w:sz w:val="24"/>
          <w:szCs w:val="24"/>
          <w:vertAlign w:val="superscript"/>
        </w:rPr>
        <w:t>1,6,7</w:t>
      </w:r>
      <w:r w:rsidRPr="00D5255A">
        <w:rPr>
          <w:rFonts w:ascii="Times New Roman" w:hAnsi="Times New Roman"/>
          <w:sz w:val="24"/>
          <w:szCs w:val="24"/>
        </w:rPr>
        <w:t xml:space="preserve"> Yan Chen,</w:t>
      </w:r>
      <w:r w:rsidRPr="00D5255A">
        <w:rPr>
          <w:rFonts w:ascii="Times New Roman" w:hAnsi="Times New Roman"/>
          <w:sz w:val="24"/>
          <w:szCs w:val="24"/>
          <w:vertAlign w:val="superscript"/>
        </w:rPr>
        <w:t>1</w:t>
      </w:r>
      <w:r w:rsidRPr="00D5255A">
        <w:rPr>
          <w:rFonts w:ascii="Times New Roman" w:hAnsi="Times New Roman"/>
          <w:sz w:val="24"/>
          <w:szCs w:val="24"/>
        </w:rPr>
        <w:t xml:space="preserve"> Christina-Alexandra Schulz,</w:t>
      </w:r>
      <w:r w:rsidRPr="00D5255A">
        <w:rPr>
          <w:rFonts w:ascii="Times New Roman" w:hAnsi="Times New Roman"/>
          <w:sz w:val="24"/>
          <w:szCs w:val="24"/>
          <w:vertAlign w:val="superscript"/>
        </w:rPr>
        <w:t>3</w:t>
      </w:r>
      <w:r w:rsidRPr="00D5255A">
        <w:rPr>
          <w:rFonts w:ascii="Times New Roman" w:hAnsi="Times New Roman"/>
          <w:sz w:val="24"/>
          <w:szCs w:val="24"/>
        </w:rPr>
        <w:t xml:space="preserve"> Peter M. Nilsson,</w:t>
      </w:r>
      <w:r w:rsidRPr="00D5255A">
        <w:rPr>
          <w:rFonts w:ascii="Times New Roman" w:hAnsi="Times New Roman"/>
          <w:sz w:val="24"/>
          <w:szCs w:val="24"/>
          <w:vertAlign w:val="superscript"/>
        </w:rPr>
        <w:t>8</w:t>
      </w:r>
      <w:r w:rsidRPr="00D5255A">
        <w:rPr>
          <w:rFonts w:ascii="Times New Roman" w:hAnsi="Times New Roman"/>
          <w:sz w:val="24"/>
          <w:szCs w:val="24"/>
        </w:rPr>
        <w:t xml:space="preserve"> Göran Hallmans,</w:t>
      </w:r>
      <w:r w:rsidRPr="00D5255A">
        <w:rPr>
          <w:rFonts w:ascii="Times New Roman" w:hAnsi="Times New Roman"/>
          <w:sz w:val="24"/>
          <w:szCs w:val="24"/>
          <w:vertAlign w:val="superscript"/>
        </w:rPr>
        <w:t>9</w:t>
      </w:r>
      <w:r w:rsidRPr="00D5255A">
        <w:rPr>
          <w:rFonts w:ascii="Times New Roman" w:hAnsi="Times New Roman"/>
          <w:sz w:val="24"/>
          <w:szCs w:val="24"/>
        </w:rPr>
        <w:t xml:space="preserve"> Inês Barroso,</w:t>
      </w:r>
      <w:r w:rsidRPr="00D5255A">
        <w:rPr>
          <w:rFonts w:ascii="Times New Roman" w:hAnsi="Times New Roman"/>
          <w:sz w:val="24"/>
          <w:szCs w:val="24"/>
          <w:vertAlign w:val="superscript"/>
        </w:rPr>
        <w:t>10,11,12</w:t>
      </w:r>
      <w:r w:rsidRPr="00D5255A">
        <w:rPr>
          <w:rFonts w:ascii="Times New Roman" w:hAnsi="Times New Roman"/>
          <w:sz w:val="24"/>
          <w:szCs w:val="24"/>
        </w:rPr>
        <w:t xml:space="preserve"> Panos Deloukas,</w:t>
      </w:r>
      <w:r w:rsidRPr="00D5255A">
        <w:rPr>
          <w:rFonts w:ascii="Times New Roman" w:hAnsi="Times New Roman"/>
          <w:sz w:val="24"/>
          <w:szCs w:val="24"/>
          <w:vertAlign w:val="superscript"/>
        </w:rPr>
        <w:t>13,14</w:t>
      </w:r>
      <w:r w:rsidRPr="00D5255A">
        <w:rPr>
          <w:rFonts w:ascii="Times New Roman" w:hAnsi="Times New Roman"/>
          <w:sz w:val="24"/>
          <w:szCs w:val="24"/>
        </w:rPr>
        <w:t xml:space="preserve"> Claudia Langenberg,</w:t>
      </w:r>
      <w:r w:rsidRPr="00D5255A">
        <w:rPr>
          <w:rFonts w:ascii="Times New Roman" w:hAnsi="Times New Roman"/>
          <w:sz w:val="24"/>
          <w:szCs w:val="24"/>
          <w:vertAlign w:val="superscript"/>
        </w:rPr>
        <w:t>5</w:t>
      </w:r>
      <w:r w:rsidRPr="00D5255A">
        <w:rPr>
          <w:rFonts w:ascii="Times New Roman" w:hAnsi="Times New Roman"/>
          <w:sz w:val="24"/>
          <w:szCs w:val="24"/>
        </w:rPr>
        <w:t xml:space="preserve"> Robert A. Scott,</w:t>
      </w:r>
      <w:r w:rsidRPr="00D5255A">
        <w:rPr>
          <w:rFonts w:ascii="Times New Roman" w:hAnsi="Times New Roman"/>
          <w:sz w:val="24"/>
          <w:szCs w:val="24"/>
          <w:vertAlign w:val="superscript"/>
        </w:rPr>
        <w:t>5</w:t>
      </w:r>
      <w:r w:rsidRPr="00D5255A">
        <w:rPr>
          <w:rFonts w:ascii="Times New Roman" w:hAnsi="Times New Roman"/>
          <w:sz w:val="24"/>
          <w:szCs w:val="24"/>
        </w:rPr>
        <w:t xml:space="preserve"> Nicholas J. Wareham,</w:t>
      </w:r>
      <w:r w:rsidRPr="00D5255A">
        <w:rPr>
          <w:rFonts w:ascii="Times New Roman" w:hAnsi="Times New Roman"/>
          <w:sz w:val="24"/>
          <w:szCs w:val="24"/>
          <w:vertAlign w:val="superscript"/>
        </w:rPr>
        <w:t>5</w:t>
      </w:r>
      <w:r w:rsidRPr="00D5255A">
        <w:rPr>
          <w:rFonts w:ascii="Times New Roman" w:hAnsi="Times New Roman"/>
          <w:sz w:val="24"/>
          <w:szCs w:val="24"/>
        </w:rPr>
        <w:t xml:space="preserve"> Lars Lind,</w:t>
      </w:r>
      <w:r w:rsidRPr="00D5255A">
        <w:rPr>
          <w:rFonts w:ascii="Times New Roman" w:hAnsi="Times New Roman"/>
          <w:sz w:val="24"/>
          <w:szCs w:val="24"/>
          <w:vertAlign w:val="superscript"/>
        </w:rPr>
        <w:t>15</w:t>
      </w:r>
      <w:r w:rsidRPr="00D5255A">
        <w:rPr>
          <w:rFonts w:ascii="Times New Roman" w:hAnsi="Times New Roman"/>
          <w:sz w:val="24"/>
          <w:szCs w:val="24"/>
        </w:rPr>
        <w:t xml:space="preserve"> Erik Ingelsson,</w:t>
      </w:r>
      <w:r w:rsidRPr="00D5255A">
        <w:rPr>
          <w:rFonts w:ascii="Times New Roman" w:hAnsi="Times New Roman"/>
          <w:sz w:val="24"/>
          <w:szCs w:val="24"/>
          <w:vertAlign w:val="superscript"/>
        </w:rPr>
        <w:t>4,16</w:t>
      </w:r>
      <w:r w:rsidRPr="00D5255A">
        <w:rPr>
          <w:rFonts w:ascii="Times New Roman" w:hAnsi="Times New Roman"/>
          <w:sz w:val="24"/>
          <w:szCs w:val="24"/>
        </w:rPr>
        <w:t xml:space="preserve"> Olle Melander,</w:t>
      </w:r>
      <w:r w:rsidRPr="00D5255A">
        <w:rPr>
          <w:rFonts w:ascii="Times New Roman" w:hAnsi="Times New Roman"/>
          <w:sz w:val="24"/>
          <w:szCs w:val="24"/>
          <w:vertAlign w:val="superscript"/>
        </w:rPr>
        <w:t>17</w:t>
      </w:r>
      <w:r w:rsidRPr="00D5255A">
        <w:rPr>
          <w:rFonts w:ascii="Times New Roman" w:hAnsi="Times New Roman"/>
          <w:sz w:val="24"/>
          <w:szCs w:val="24"/>
        </w:rPr>
        <w:t xml:space="preserve"> Marju Orho-Melander,</w:t>
      </w:r>
      <w:r w:rsidRPr="00D5255A">
        <w:rPr>
          <w:rFonts w:ascii="Times New Roman" w:hAnsi="Times New Roman"/>
          <w:sz w:val="24"/>
          <w:szCs w:val="24"/>
          <w:vertAlign w:val="superscript"/>
        </w:rPr>
        <w:t>3</w:t>
      </w:r>
      <w:r w:rsidRPr="00D5255A">
        <w:rPr>
          <w:rFonts w:ascii="Times New Roman" w:hAnsi="Times New Roman"/>
          <w:sz w:val="24"/>
          <w:szCs w:val="24"/>
        </w:rPr>
        <w:t xml:space="preserve"> Frida Renström,</w:t>
      </w:r>
      <w:r w:rsidRPr="00D5255A">
        <w:rPr>
          <w:rFonts w:ascii="Times New Roman" w:hAnsi="Times New Roman"/>
          <w:sz w:val="24"/>
          <w:szCs w:val="24"/>
          <w:vertAlign w:val="superscript"/>
        </w:rPr>
        <w:t>1,9</w:t>
      </w:r>
      <w:r w:rsidRPr="00D5255A">
        <w:rPr>
          <w:rFonts w:ascii="Times New Roman" w:hAnsi="Times New Roman"/>
          <w:sz w:val="24"/>
          <w:szCs w:val="24"/>
        </w:rPr>
        <w:t xml:space="preserve"> Paul W. Franks</w:t>
      </w:r>
      <w:r w:rsidRPr="00D5255A">
        <w:rPr>
          <w:rFonts w:ascii="Times New Roman" w:hAnsi="Times New Roman"/>
          <w:sz w:val="24"/>
          <w:szCs w:val="24"/>
          <w:vertAlign w:val="superscript"/>
        </w:rPr>
        <w:t>1,7,18,</w:t>
      </w:r>
      <w:r w:rsidRPr="00D5255A">
        <w:rPr>
          <w:rFonts w:ascii="Times New Roman" w:hAnsi="Times New Roman"/>
          <w:sz w:val="24"/>
          <w:szCs w:val="24"/>
        </w:rPr>
        <w:t>*</w:t>
      </w:r>
    </w:p>
    <w:p w:rsidR="00210106" w:rsidRPr="00D5255A" w:rsidRDefault="00210106" w:rsidP="00D1110C">
      <w:pPr>
        <w:spacing w:after="0" w:line="480" w:lineRule="auto"/>
        <w:rPr>
          <w:rFonts w:ascii="Times New Roman" w:hAnsi="Times New Roman"/>
          <w:sz w:val="24"/>
          <w:szCs w:val="24"/>
        </w:rPr>
      </w:pP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1.</w:t>
      </w:r>
      <w:r w:rsidRPr="00D5255A">
        <w:rPr>
          <w:rFonts w:ascii="Times New Roman" w:hAnsi="Times New Roman"/>
          <w:sz w:val="24"/>
          <w:szCs w:val="24"/>
        </w:rPr>
        <w:tab/>
        <w:t>Department of Clinical Sciences, Genetic and Molecular Epidemiology Unit, Lund University, Skåne University Hospital Malmö, SE-21741, Malmö, Sweden.</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2.</w:t>
      </w:r>
      <w:r w:rsidRPr="00D5255A">
        <w:rPr>
          <w:rFonts w:ascii="Times New Roman" w:hAnsi="Times New Roman"/>
          <w:sz w:val="24"/>
          <w:szCs w:val="24"/>
        </w:rPr>
        <w:tab/>
        <w:t>Department of Clinical Sciences, Division of Oncology and Pathology, Skåne University Hospital, Lund University, Lund, Sweden.</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3.</w:t>
      </w:r>
      <w:r w:rsidRPr="00D5255A">
        <w:rPr>
          <w:rFonts w:ascii="Times New Roman" w:hAnsi="Times New Roman"/>
          <w:sz w:val="24"/>
          <w:szCs w:val="24"/>
        </w:rPr>
        <w:tab/>
        <w:t>Department of Clinical Sciences, Diabetes and Cardiovascular Disease - Genetic Epidemiology, Skåne University Hospital, Malmö, Sweden.</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4.</w:t>
      </w:r>
      <w:r w:rsidRPr="00D5255A">
        <w:rPr>
          <w:rFonts w:ascii="Times New Roman" w:hAnsi="Times New Roman"/>
          <w:sz w:val="24"/>
          <w:szCs w:val="24"/>
        </w:rPr>
        <w:tab/>
        <w:t>Department of Medical Sciences, Molecular Epidemiology and Science for Life Laboratory, Uppsala University, Uppsala, Sweden.</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5.</w:t>
      </w:r>
      <w:r w:rsidRPr="00D5255A">
        <w:rPr>
          <w:rFonts w:ascii="Times New Roman" w:hAnsi="Times New Roman"/>
          <w:sz w:val="24"/>
          <w:szCs w:val="24"/>
        </w:rPr>
        <w:tab/>
        <w:t>Medical Research Council (MRC) Epidemiology Unit, Institute of Metabolic Science, University of Cambridge, Cambridge CB2 0QQ, UK.</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6.</w:t>
      </w:r>
      <w:r w:rsidRPr="00D5255A">
        <w:rPr>
          <w:rFonts w:ascii="Times New Roman" w:hAnsi="Times New Roman"/>
          <w:sz w:val="24"/>
          <w:szCs w:val="24"/>
        </w:rPr>
        <w:tab/>
        <w:t>Department of Odontology, Umeå University, Umeå, Sweden.</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7.</w:t>
      </w:r>
      <w:r w:rsidRPr="00D5255A">
        <w:rPr>
          <w:rFonts w:ascii="Times New Roman" w:hAnsi="Times New Roman"/>
          <w:sz w:val="24"/>
          <w:szCs w:val="24"/>
        </w:rPr>
        <w:tab/>
        <w:t>Department of Public Health &amp; Clinical Medicine, Umeå University, Umeå, Sweden.</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8.</w:t>
      </w:r>
      <w:r w:rsidRPr="00D5255A">
        <w:rPr>
          <w:rFonts w:ascii="Times New Roman" w:hAnsi="Times New Roman"/>
          <w:sz w:val="24"/>
          <w:szCs w:val="24"/>
        </w:rPr>
        <w:tab/>
        <w:t>Department of Clinical Sciences, Lund University, Skåne University Hospital, Malmö, Sweden.</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lastRenderedPageBreak/>
        <w:t>9.</w:t>
      </w:r>
      <w:r w:rsidRPr="00D5255A">
        <w:rPr>
          <w:rFonts w:ascii="Times New Roman" w:hAnsi="Times New Roman"/>
          <w:sz w:val="24"/>
          <w:szCs w:val="24"/>
        </w:rPr>
        <w:tab/>
        <w:t>Department of Biobank Research, Umeå University, Umeå, Sweden.</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10.</w:t>
      </w:r>
      <w:r w:rsidRPr="00D5255A">
        <w:rPr>
          <w:rFonts w:ascii="Times New Roman" w:hAnsi="Times New Roman"/>
          <w:sz w:val="24"/>
          <w:szCs w:val="24"/>
        </w:rPr>
        <w:tab/>
      </w:r>
      <w:proofErr w:type="spellStart"/>
      <w:r w:rsidRPr="00D5255A">
        <w:rPr>
          <w:rFonts w:ascii="Times New Roman" w:hAnsi="Times New Roman"/>
          <w:sz w:val="24"/>
          <w:szCs w:val="24"/>
        </w:rPr>
        <w:t>Wellcome</w:t>
      </w:r>
      <w:proofErr w:type="spellEnd"/>
      <w:r w:rsidRPr="00D5255A">
        <w:rPr>
          <w:rFonts w:ascii="Times New Roman" w:hAnsi="Times New Roman"/>
          <w:sz w:val="24"/>
          <w:szCs w:val="24"/>
        </w:rPr>
        <w:t xml:space="preserve"> Trust Sanger Institute, </w:t>
      </w:r>
      <w:proofErr w:type="spellStart"/>
      <w:r w:rsidRPr="00D5255A">
        <w:rPr>
          <w:rFonts w:ascii="Times New Roman" w:hAnsi="Times New Roman"/>
          <w:sz w:val="24"/>
          <w:szCs w:val="24"/>
        </w:rPr>
        <w:t>Hinxton</w:t>
      </w:r>
      <w:proofErr w:type="spellEnd"/>
      <w:r w:rsidRPr="00D5255A">
        <w:rPr>
          <w:rFonts w:ascii="Times New Roman" w:hAnsi="Times New Roman"/>
          <w:sz w:val="24"/>
          <w:szCs w:val="24"/>
        </w:rPr>
        <w:t>, Cambridge, UK.</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11.</w:t>
      </w:r>
      <w:r w:rsidRPr="00D5255A">
        <w:rPr>
          <w:rFonts w:ascii="Times New Roman" w:hAnsi="Times New Roman"/>
          <w:sz w:val="24"/>
          <w:szCs w:val="24"/>
        </w:rPr>
        <w:tab/>
        <w:t xml:space="preserve">University of Cambridge, Metabolic Research Laboratories, Institute of Metabolic Science, </w:t>
      </w:r>
      <w:proofErr w:type="spellStart"/>
      <w:r w:rsidRPr="00D5255A">
        <w:rPr>
          <w:rFonts w:ascii="Times New Roman" w:hAnsi="Times New Roman"/>
          <w:sz w:val="24"/>
          <w:szCs w:val="24"/>
        </w:rPr>
        <w:t>Addenbrooke’s</w:t>
      </w:r>
      <w:proofErr w:type="spellEnd"/>
      <w:r w:rsidRPr="00D5255A">
        <w:rPr>
          <w:rFonts w:ascii="Times New Roman" w:hAnsi="Times New Roman"/>
          <w:sz w:val="24"/>
          <w:szCs w:val="24"/>
        </w:rPr>
        <w:t xml:space="preserve"> Hospital, Cambridge, UK</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12.</w:t>
      </w:r>
      <w:r w:rsidRPr="00D5255A">
        <w:rPr>
          <w:rFonts w:ascii="Times New Roman" w:hAnsi="Times New Roman"/>
          <w:sz w:val="24"/>
          <w:szCs w:val="24"/>
        </w:rPr>
        <w:tab/>
        <w:t xml:space="preserve">NIHR Cambridge Biomedical Research Centre, Institute of Metabolic Science, </w:t>
      </w:r>
      <w:proofErr w:type="spellStart"/>
      <w:r w:rsidRPr="00D5255A">
        <w:rPr>
          <w:rFonts w:ascii="Times New Roman" w:hAnsi="Times New Roman"/>
          <w:sz w:val="24"/>
          <w:szCs w:val="24"/>
        </w:rPr>
        <w:t>Addenbrooke’s</w:t>
      </w:r>
      <w:proofErr w:type="spellEnd"/>
      <w:r w:rsidRPr="00D5255A">
        <w:rPr>
          <w:rFonts w:ascii="Times New Roman" w:hAnsi="Times New Roman"/>
          <w:sz w:val="24"/>
          <w:szCs w:val="24"/>
        </w:rPr>
        <w:t xml:space="preserve"> Hospital, Cambridge, UK.</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13.</w:t>
      </w:r>
      <w:r w:rsidRPr="00D5255A">
        <w:rPr>
          <w:rFonts w:ascii="Times New Roman" w:hAnsi="Times New Roman"/>
          <w:sz w:val="24"/>
          <w:szCs w:val="24"/>
        </w:rPr>
        <w:tab/>
        <w:t xml:space="preserve">William Harvey Research Institute, </w:t>
      </w:r>
      <w:proofErr w:type="spellStart"/>
      <w:r w:rsidRPr="00D5255A">
        <w:rPr>
          <w:rFonts w:ascii="Times New Roman" w:hAnsi="Times New Roman"/>
          <w:sz w:val="24"/>
          <w:szCs w:val="24"/>
        </w:rPr>
        <w:t>Barts</w:t>
      </w:r>
      <w:proofErr w:type="spellEnd"/>
      <w:r w:rsidRPr="00D5255A">
        <w:rPr>
          <w:rFonts w:ascii="Times New Roman" w:hAnsi="Times New Roman"/>
          <w:sz w:val="24"/>
          <w:szCs w:val="24"/>
        </w:rPr>
        <w:t xml:space="preserve"> and The London School of Medicine and Dentistry, Queen Mary University of London, London, UK.</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14.</w:t>
      </w:r>
      <w:r w:rsidRPr="00D5255A">
        <w:rPr>
          <w:rFonts w:ascii="Times New Roman" w:hAnsi="Times New Roman"/>
          <w:sz w:val="24"/>
          <w:szCs w:val="24"/>
        </w:rPr>
        <w:tab/>
        <w:t>Princess Al-</w:t>
      </w:r>
      <w:proofErr w:type="spellStart"/>
      <w:r w:rsidRPr="00D5255A">
        <w:rPr>
          <w:rFonts w:ascii="Times New Roman" w:hAnsi="Times New Roman"/>
          <w:sz w:val="24"/>
          <w:szCs w:val="24"/>
        </w:rPr>
        <w:t>Jawhara</w:t>
      </w:r>
      <w:proofErr w:type="spellEnd"/>
      <w:r w:rsidRPr="00D5255A">
        <w:rPr>
          <w:rFonts w:ascii="Times New Roman" w:hAnsi="Times New Roman"/>
          <w:sz w:val="24"/>
          <w:szCs w:val="24"/>
        </w:rPr>
        <w:t xml:space="preserve"> Al-</w:t>
      </w:r>
      <w:proofErr w:type="spellStart"/>
      <w:r w:rsidRPr="00D5255A">
        <w:rPr>
          <w:rFonts w:ascii="Times New Roman" w:hAnsi="Times New Roman"/>
          <w:sz w:val="24"/>
          <w:szCs w:val="24"/>
        </w:rPr>
        <w:t>Brahim</w:t>
      </w:r>
      <w:proofErr w:type="spellEnd"/>
      <w:r w:rsidRPr="00D5255A">
        <w:rPr>
          <w:rFonts w:ascii="Times New Roman" w:hAnsi="Times New Roman"/>
          <w:sz w:val="24"/>
          <w:szCs w:val="24"/>
        </w:rPr>
        <w:t xml:space="preserve"> Centre of Excellence in Research of Hereditary Disorders (PACER-HD), King </w:t>
      </w:r>
      <w:proofErr w:type="spellStart"/>
      <w:r w:rsidRPr="00D5255A">
        <w:rPr>
          <w:rFonts w:ascii="Times New Roman" w:hAnsi="Times New Roman"/>
          <w:sz w:val="24"/>
          <w:szCs w:val="24"/>
        </w:rPr>
        <w:t>Abdulaziz</w:t>
      </w:r>
      <w:proofErr w:type="spellEnd"/>
      <w:r w:rsidRPr="00D5255A">
        <w:rPr>
          <w:rFonts w:ascii="Times New Roman" w:hAnsi="Times New Roman"/>
          <w:sz w:val="24"/>
          <w:szCs w:val="24"/>
        </w:rPr>
        <w:t xml:space="preserve"> University, Jeddah, Saudi Arabia.</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15.</w:t>
      </w:r>
      <w:r w:rsidRPr="00D5255A">
        <w:rPr>
          <w:rFonts w:ascii="Times New Roman" w:hAnsi="Times New Roman"/>
          <w:sz w:val="24"/>
          <w:szCs w:val="24"/>
        </w:rPr>
        <w:tab/>
        <w:t>Department of Medical Sciences, Uppsala University, Uppsala, Sweden.</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16.</w:t>
      </w:r>
      <w:r w:rsidRPr="00D5255A">
        <w:rPr>
          <w:rFonts w:ascii="Times New Roman" w:hAnsi="Times New Roman"/>
          <w:sz w:val="24"/>
          <w:szCs w:val="24"/>
        </w:rPr>
        <w:tab/>
      </w:r>
      <w:proofErr w:type="spellStart"/>
      <w:r w:rsidRPr="00D5255A">
        <w:rPr>
          <w:rFonts w:ascii="Times New Roman" w:hAnsi="Times New Roman"/>
          <w:sz w:val="24"/>
          <w:szCs w:val="24"/>
        </w:rPr>
        <w:t>Wellcome</w:t>
      </w:r>
      <w:proofErr w:type="spellEnd"/>
      <w:r w:rsidRPr="00D5255A">
        <w:rPr>
          <w:rFonts w:ascii="Times New Roman" w:hAnsi="Times New Roman"/>
          <w:sz w:val="24"/>
          <w:szCs w:val="24"/>
        </w:rPr>
        <w:t xml:space="preserve"> Trust Centre for Human Genetics, University of Oxford, Oxford, UK.</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17.</w:t>
      </w:r>
      <w:r w:rsidRPr="00D5255A">
        <w:rPr>
          <w:rFonts w:ascii="Times New Roman" w:hAnsi="Times New Roman"/>
          <w:sz w:val="24"/>
          <w:szCs w:val="24"/>
        </w:rPr>
        <w:tab/>
        <w:t>Department of Clinical Sciences, Hypertension and Cardiovascular Diseases, Skåne University Hospital, Malmö, Sweden.</w:t>
      </w:r>
    </w:p>
    <w:p w:rsidR="00210106" w:rsidRPr="00D5255A" w:rsidRDefault="00210106" w:rsidP="00D1110C">
      <w:pPr>
        <w:spacing w:after="0" w:line="480" w:lineRule="auto"/>
        <w:rPr>
          <w:rFonts w:ascii="Times New Roman" w:hAnsi="Times New Roman"/>
          <w:sz w:val="24"/>
          <w:szCs w:val="24"/>
        </w:rPr>
      </w:pPr>
      <w:r w:rsidRPr="00D5255A">
        <w:rPr>
          <w:rFonts w:ascii="Times New Roman" w:hAnsi="Times New Roman"/>
          <w:sz w:val="24"/>
          <w:szCs w:val="24"/>
        </w:rPr>
        <w:t>18.</w:t>
      </w:r>
      <w:r w:rsidRPr="00D5255A">
        <w:rPr>
          <w:rFonts w:ascii="Times New Roman" w:hAnsi="Times New Roman"/>
          <w:sz w:val="24"/>
          <w:szCs w:val="24"/>
        </w:rPr>
        <w:tab/>
        <w:t>Department of Nutrition, Harvard School of Public Health, Boston, MA, USA.</w:t>
      </w:r>
    </w:p>
    <w:p w:rsidR="00210106" w:rsidRPr="00D5255A" w:rsidRDefault="00210106" w:rsidP="00D1110C">
      <w:pPr>
        <w:autoSpaceDE w:val="0"/>
        <w:autoSpaceDN w:val="0"/>
        <w:adjustRightInd w:val="0"/>
        <w:spacing w:after="0" w:line="480" w:lineRule="auto"/>
        <w:rPr>
          <w:rFonts w:ascii="Times New Roman" w:hAnsi="Times New Roman"/>
          <w:sz w:val="24"/>
          <w:szCs w:val="24"/>
        </w:rPr>
      </w:pPr>
    </w:p>
    <w:p w:rsidR="00210106" w:rsidRPr="00D5255A" w:rsidRDefault="00210106" w:rsidP="00D1110C">
      <w:pPr>
        <w:autoSpaceDE w:val="0"/>
        <w:autoSpaceDN w:val="0"/>
        <w:adjustRightInd w:val="0"/>
        <w:spacing w:after="0" w:line="480" w:lineRule="auto"/>
        <w:rPr>
          <w:rFonts w:ascii="Times New Roman" w:hAnsi="Times New Roman"/>
          <w:sz w:val="24"/>
          <w:szCs w:val="24"/>
        </w:rPr>
      </w:pPr>
      <w:r w:rsidRPr="00D5255A">
        <w:rPr>
          <w:rFonts w:ascii="Times New Roman" w:hAnsi="Times New Roman"/>
          <w:sz w:val="24"/>
          <w:szCs w:val="24"/>
        </w:rPr>
        <w:t>*Correspondence:</w:t>
      </w:r>
    </w:p>
    <w:p w:rsidR="00210106" w:rsidRPr="00D5255A" w:rsidRDefault="00210106" w:rsidP="00D1110C">
      <w:pPr>
        <w:autoSpaceDE w:val="0"/>
        <w:autoSpaceDN w:val="0"/>
        <w:adjustRightInd w:val="0"/>
        <w:spacing w:after="0" w:line="480" w:lineRule="auto"/>
        <w:rPr>
          <w:rFonts w:ascii="Times New Roman" w:hAnsi="Times New Roman"/>
          <w:sz w:val="24"/>
          <w:szCs w:val="24"/>
        </w:rPr>
      </w:pPr>
      <w:r w:rsidRPr="00D5255A">
        <w:rPr>
          <w:rFonts w:ascii="Times New Roman" w:hAnsi="Times New Roman"/>
          <w:sz w:val="24"/>
          <w:szCs w:val="24"/>
        </w:rPr>
        <w:t>Paul W. Franks</w:t>
      </w:r>
    </w:p>
    <w:p w:rsidR="00210106" w:rsidRPr="00D5255A" w:rsidRDefault="00210106" w:rsidP="00D1110C">
      <w:pPr>
        <w:autoSpaceDE w:val="0"/>
        <w:autoSpaceDN w:val="0"/>
        <w:adjustRightInd w:val="0"/>
        <w:spacing w:after="0" w:line="480" w:lineRule="auto"/>
        <w:rPr>
          <w:rFonts w:ascii="Times New Roman" w:hAnsi="Times New Roman"/>
          <w:sz w:val="24"/>
          <w:szCs w:val="24"/>
        </w:rPr>
      </w:pPr>
      <w:r w:rsidRPr="00D5255A">
        <w:rPr>
          <w:rFonts w:ascii="Times New Roman" w:hAnsi="Times New Roman"/>
          <w:sz w:val="24"/>
          <w:szCs w:val="24"/>
        </w:rPr>
        <w:t>Department of Clinical Sciences</w:t>
      </w:r>
    </w:p>
    <w:p w:rsidR="00210106" w:rsidRPr="00D5255A" w:rsidRDefault="00210106" w:rsidP="00D1110C">
      <w:pPr>
        <w:autoSpaceDE w:val="0"/>
        <w:autoSpaceDN w:val="0"/>
        <w:adjustRightInd w:val="0"/>
        <w:spacing w:after="0" w:line="480" w:lineRule="auto"/>
        <w:rPr>
          <w:rFonts w:ascii="Times New Roman" w:hAnsi="Times New Roman"/>
          <w:sz w:val="24"/>
          <w:szCs w:val="24"/>
        </w:rPr>
      </w:pPr>
      <w:r w:rsidRPr="00D5255A">
        <w:rPr>
          <w:rFonts w:ascii="Times New Roman" w:hAnsi="Times New Roman"/>
          <w:sz w:val="24"/>
          <w:szCs w:val="24"/>
        </w:rPr>
        <w:t>Genetic and Molecular Epidemiology Unit</w:t>
      </w:r>
    </w:p>
    <w:p w:rsidR="00210106" w:rsidRPr="00D5255A" w:rsidRDefault="00210106" w:rsidP="00D1110C">
      <w:pPr>
        <w:autoSpaceDE w:val="0"/>
        <w:autoSpaceDN w:val="0"/>
        <w:adjustRightInd w:val="0"/>
        <w:spacing w:after="0" w:line="480" w:lineRule="auto"/>
        <w:rPr>
          <w:rFonts w:ascii="Times New Roman" w:hAnsi="Times New Roman"/>
          <w:sz w:val="24"/>
          <w:szCs w:val="24"/>
        </w:rPr>
      </w:pPr>
      <w:r w:rsidRPr="00D5255A">
        <w:rPr>
          <w:rFonts w:ascii="Times New Roman" w:hAnsi="Times New Roman"/>
          <w:sz w:val="24"/>
          <w:szCs w:val="24"/>
        </w:rPr>
        <w:t>CRC, Building 91, Level 10</w:t>
      </w:r>
    </w:p>
    <w:p w:rsidR="00210106" w:rsidRPr="00D5255A" w:rsidRDefault="00210106" w:rsidP="00D1110C">
      <w:pPr>
        <w:autoSpaceDE w:val="0"/>
        <w:autoSpaceDN w:val="0"/>
        <w:adjustRightInd w:val="0"/>
        <w:spacing w:after="0" w:line="480" w:lineRule="auto"/>
        <w:rPr>
          <w:rFonts w:ascii="Times New Roman" w:hAnsi="Times New Roman"/>
          <w:sz w:val="24"/>
          <w:szCs w:val="24"/>
        </w:rPr>
      </w:pPr>
      <w:r w:rsidRPr="00D5255A">
        <w:rPr>
          <w:rFonts w:ascii="Times New Roman" w:hAnsi="Times New Roman"/>
          <w:sz w:val="24"/>
          <w:szCs w:val="24"/>
        </w:rPr>
        <w:t xml:space="preserve">Jan </w:t>
      </w:r>
      <w:proofErr w:type="spellStart"/>
      <w:r w:rsidRPr="00D5255A">
        <w:rPr>
          <w:rFonts w:ascii="Times New Roman" w:hAnsi="Times New Roman"/>
          <w:sz w:val="24"/>
          <w:szCs w:val="24"/>
        </w:rPr>
        <w:t>Waldenströms</w:t>
      </w:r>
      <w:proofErr w:type="spellEnd"/>
      <w:r w:rsidRPr="00D5255A">
        <w:rPr>
          <w:rFonts w:ascii="Times New Roman" w:hAnsi="Times New Roman"/>
          <w:sz w:val="24"/>
          <w:szCs w:val="24"/>
        </w:rPr>
        <w:t xml:space="preserve"> </w:t>
      </w:r>
      <w:proofErr w:type="spellStart"/>
      <w:r w:rsidRPr="00D5255A">
        <w:rPr>
          <w:rFonts w:ascii="Times New Roman" w:hAnsi="Times New Roman"/>
          <w:sz w:val="24"/>
          <w:szCs w:val="24"/>
        </w:rPr>
        <w:t>gata</w:t>
      </w:r>
      <w:proofErr w:type="spellEnd"/>
      <w:r w:rsidRPr="00D5255A">
        <w:rPr>
          <w:rFonts w:ascii="Times New Roman" w:hAnsi="Times New Roman"/>
          <w:sz w:val="24"/>
          <w:szCs w:val="24"/>
        </w:rPr>
        <w:t xml:space="preserve"> 35</w:t>
      </w:r>
    </w:p>
    <w:p w:rsidR="00210106" w:rsidRPr="00D5255A" w:rsidRDefault="00210106" w:rsidP="00D1110C">
      <w:pPr>
        <w:autoSpaceDE w:val="0"/>
        <w:autoSpaceDN w:val="0"/>
        <w:adjustRightInd w:val="0"/>
        <w:spacing w:after="0" w:line="480" w:lineRule="auto"/>
        <w:rPr>
          <w:rFonts w:ascii="Times New Roman" w:hAnsi="Times New Roman"/>
          <w:sz w:val="24"/>
          <w:szCs w:val="24"/>
        </w:rPr>
      </w:pPr>
      <w:r w:rsidRPr="00D5255A">
        <w:rPr>
          <w:rFonts w:ascii="Times New Roman" w:hAnsi="Times New Roman"/>
          <w:sz w:val="24"/>
          <w:szCs w:val="24"/>
        </w:rPr>
        <w:t>Skåne University Hospital Malmö</w:t>
      </w:r>
    </w:p>
    <w:p w:rsidR="00210106" w:rsidRPr="00D5255A" w:rsidRDefault="00210106" w:rsidP="00D1110C">
      <w:pPr>
        <w:autoSpaceDE w:val="0"/>
        <w:autoSpaceDN w:val="0"/>
        <w:adjustRightInd w:val="0"/>
        <w:spacing w:after="0" w:line="480" w:lineRule="auto"/>
        <w:rPr>
          <w:rFonts w:ascii="Times New Roman" w:hAnsi="Times New Roman"/>
          <w:sz w:val="24"/>
          <w:szCs w:val="24"/>
        </w:rPr>
      </w:pPr>
      <w:r w:rsidRPr="00D5255A">
        <w:rPr>
          <w:rFonts w:ascii="Times New Roman" w:hAnsi="Times New Roman"/>
          <w:sz w:val="24"/>
          <w:szCs w:val="24"/>
        </w:rPr>
        <w:t>SE-205 02, Malmö, Sweden</w:t>
      </w:r>
    </w:p>
    <w:p w:rsidR="00210106" w:rsidRPr="00D5255A" w:rsidRDefault="00210106" w:rsidP="00D1110C">
      <w:pPr>
        <w:autoSpaceDE w:val="0"/>
        <w:autoSpaceDN w:val="0"/>
        <w:adjustRightInd w:val="0"/>
        <w:spacing w:after="0" w:line="480" w:lineRule="auto"/>
        <w:rPr>
          <w:rFonts w:ascii="Times New Roman" w:hAnsi="Times New Roman"/>
          <w:sz w:val="24"/>
          <w:szCs w:val="24"/>
        </w:rPr>
      </w:pPr>
      <w:r w:rsidRPr="00D5255A">
        <w:rPr>
          <w:rFonts w:ascii="Times New Roman" w:hAnsi="Times New Roman"/>
          <w:sz w:val="24"/>
          <w:szCs w:val="24"/>
        </w:rPr>
        <w:t>Tel: +4640391149</w:t>
      </w:r>
    </w:p>
    <w:p w:rsidR="00210106" w:rsidRPr="00D5255A" w:rsidRDefault="00210106" w:rsidP="00D1110C">
      <w:pPr>
        <w:autoSpaceDE w:val="0"/>
        <w:autoSpaceDN w:val="0"/>
        <w:adjustRightInd w:val="0"/>
        <w:spacing w:after="0" w:line="480" w:lineRule="auto"/>
        <w:rPr>
          <w:rFonts w:ascii="Times New Roman" w:hAnsi="Times New Roman"/>
          <w:sz w:val="24"/>
          <w:szCs w:val="24"/>
        </w:rPr>
      </w:pPr>
      <w:r w:rsidRPr="00D5255A">
        <w:rPr>
          <w:rFonts w:ascii="Times New Roman" w:hAnsi="Times New Roman"/>
          <w:sz w:val="24"/>
          <w:szCs w:val="24"/>
        </w:rPr>
        <w:lastRenderedPageBreak/>
        <w:t>Fax: +4640391222</w:t>
      </w:r>
    </w:p>
    <w:p w:rsidR="00210106" w:rsidRDefault="00B0438C" w:rsidP="00351A37">
      <w:pPr>
        <w:spacing w:after="0" w:line="480" w:lineRule="auto"/>
        <w:rPr>
          <w:rFonts w:ascii="Times New Roman" w:hAnsi="Times New Roman"/>
          <w:sz w:val="24"/>
          <w:szCs w:val="24"/>
        </w:rPr>
      </w:pPr>
      <w:hyperlink r:id="rId7" w:history="1">
        <w:r w:rsidR="00210106" w:rsidRPr="00D5255A">
          <w:rPr>
            <w:rFonts w:ascii="Times New Roman" w:hAnsi="Times New Roman"/>
            <w:sz w:val="24"/>
            <w:szCs w:val="24"/>
          </w:rPr>
          <w:t>Paul.Franks@med.lu.se</w:t>
        </w:r>
      </w:hyperlink>
    </w:p>
    <w:p w:rsidR="00210106" w:rsidRDefault="00210106" w:rsidP="00351A37">
      <w:pPr>
        <w:spacing w:after="0" w:line="480" w:lineRule="auto"/>
        <w:rPr>
          <w:rFonts w:ascii="Times New Roman" w:hAnsi="Times New Roman"/>
          <w:sz w:val="24"/>
          <w:szCs w:val="24"/>
        </w:rPr>
      </w:pPr>
    </w:p>
    <w:p w:rsidR="00210106" w:rsidRPr="000E0FBB" w:rsidRDefault="00210106" w:rsidP="00351A37">
      <w:pPr>
        <w:spacing w:after="0" w:line="480" w:lineRule="auto"/>
        <w:rPr>
          <w:rFonts w:ascii="Times New Roman" w:eastAsia="Times New Roman" w:hAnsi="Times New Roman"/>
          <w:b/>
          <w:bCs/>
          <w:caps/>
          <w:kern w:val="32"/>
          <w:sz w:val="24"/>
          <w:szCs w:val="24"/>
        </w:rPr>
      </w:pPr>
      <w:r>
        <w:rPr>
          <w:rFonts w:ascii="Times New Roman" w:hAnsi="Times New Roman"/>
          <w:sz w:val="24"/>
          <w:szCs w:val="24"/>
        </w:rPr>
        <w:t xml:space="preserve">Word count: </w:t>
      </w:r>
      <w:r w:rsidR="0080513D">
        <w:rPr>
          <w:rFonts w:ascii="Times New Roman" w:hAnsi="Times New Roman"/>
          <w:sz w:val="24"/>
          <w:szCs w:val="24"/>
        </w:rPr>
        <w:t>4564</w:t>
      </w:r>
      <w:r w:rsidRPr="00D5255A">
        <w:rPr>
          <w:rFonts w:ascii="Times New Roman" w:hAnsi="Times New Roman"/>
          <w:sz w:val="24"/>
          <w:szCs w:val="24"/>
        </w:rPr>
        <w:br w:type="page"/>
      </w:r>
      <w:r w:rsidRPr="00351A37">
        <w:rPr>
          <w:rFonts w:ascii="Times New Roman" w:eastAsia="Times New Roman" w:hAnsi="Times New Roman"/>
          <w:b/>
          <w:bCs/>
          <w:caps/>
          <w:kern w:val="32"/>
          <w:sz w:val="24"/>
          <w:szCs w:val="24"/>
        </w:rPr>
        <w:lastRenderedPageBreak/>
        <w:t>Abstract</w:t>
      </w:r>
    </w:p>
    <w:p w:rsidR="00210106" w:rsidRDefault="00210106" w:rsidP="00D5255A">
      <w:pPr>
        <w:spacing w:line="480" w:lineRule="auto"/>
        <w:jc w:val="both"/>
        <w:rPr>
          <w:rFonts w:ascii="Times New Roman" w:hAnsi="Times New Roman"/>
          <w:sz w:val="24"/>
          <w:szCs w:val="24"/>
        </w:rPr>
      </w:pPr>
      <w:r>
        <w:rPr>
          <w:rFonts w:ascii="Times New Roman" w:hAnsi="Times New Roman"/>
          <w:sz w:val="24"/>
          <w:szCs w:val="24"/>
        </w:rPr>
        <w:t xml:space="preserve">Background: </w:t>
      </w:r>
      <w:r w:rsidRPr="00D5255A">
        <w:rPr>
          <w:rFonts w:ascii="Times New Roman" w:hAnsi="Times New Roman"/>
          <w:sz w:val="24"/>
          <w:szCs w:val="24"/>
        </w:rPr>
        <w:t xml:space="preserve">Cross-sectional genome-wide association studies have identified hundreds of loci associated with blood lipids and related cardiovascular traits, but few genetic association studies have focused on long-term changes in blood lipids. </w:t>
      </w:r>
    </w:p>
    <w:p w:rsidR="00210106" w:rsidRDefault="00210106" w:rsidP="00D5255A">
      <w:pPr>
        <w:spacing w:line="480" w:lineRule="auto"/>
        <w:jc w:val="both"/>
        <w:rPr>
          <w:rFonts w:ascii="Times New Roman" w:hAnsi="Times New Roman"/>
          <w:sz w:val="24"/>
          <w:szCs w:val="24"/>
        </w:rPr>
      </w:pPr>
      <w:r>
        <w:rPr>
          <w:rFonts w:ascii="Times New Roman" w:hAnsi="Times New Roman"/>
          <w:sz w:val="24"/>
          <w:szCs w:val="24"/>
        </w:rPr>
        <w:t xml:space="preserve">Methods: </w:t>
      </w:r>
      <w:r w:rsidRPr="00D5255A">
        <w:rPr>
          <w:rFonts w:ascii="Times New Roman" w:hAnsi="Times New Roman"/>
          <w:sz w:val="24"/>
          <w:szCs w:val="24"/>
        </w:rPr>
        <w:t xml:space="preserve">Participants from the GLACIER Study </w:t>
      </w:r>
      <w:r w:rsidRPr="00D5255A">
        <w:rPr>
          <w:rFonts w:ascii="Times New Roman" w:hAnsi="Times New Roman"/>
          <w:sz w:val="24"/>
          <w:szCs w:val="24"/>
          <w:lang w:val="en-GB"/>
        </w:rPr>
        <w:t>(</w:t>
      </w:r>
      <w:proofErr w:type="spellStart"/>
      <w:r w:rsidRPr="00D5255A">
        <w:rPr>
          <w:rFonts w:ascii="Times New Roman" w:hAnsi="Times New Roman"/>
          <w:sz w:val="24"/>
          <w:szCs w:val="24"/>
          <w:lang w:val="en-GB"/>
        </w:rPr>
        <w:t>N</w:t>
      </w:r>
      <w:r w:rsidRPr="00D5255A">
        <w:rPr>
          <w:rFonts w:ascii="Times New Roman" w:hAnsi="Times New Roman"/>
          <w:sz w:val="24"/>
          <w:szCs w:val="24"/>
          <w:vertAlign w:val="subscript"/>
          <w:lang w:val="en-GB"/>
        </w:rPr>
        <w:t>max</w:t>
      </w:r>
      <w:proofErr w:type="spellEnd"/>
      <w:r w:rsidRPr="00D5255A">
        <w:rPr>
          <w:rFonts w:ascii="Times New Roman" w:hAnsi="Times New Roman"/>
          <w:sz w:val="24"/>
          <w:szCs w:val="24"/>
          <w:lang w:val="en-GB"/>
        </w:rPr>
        <w:t xml:space="preserve">=3,492) </w:t>
      </w:r>
      <w:r w:rsidRPr="00D5255A">
        <w:rPr>
          <w:rFonts w:ascii="Times New Roman" w:hAnsi="Times New Roman"/>
          <w:sz w:val="24"/>
          <w:szCs w:val="24"/>
        </w:rPr>
        <w:t xml:space="preserve">were genotyped with the MetaboChip array, from which </w:t>
      </w:r>
      <w:r w:rsidRPr="00D5255A">
        <w:rPr>
          <w:rFonts w:ascii="Times New Roman" w:hAnsi="Times New Roman"/>
          <w:sz w:val="24"/>
          <w:szCs w:val="24"/>
          <w:lang w:val="en-GB"/>
        </w:rPr>
        <w:t xml:space="preserve">29,387 SNPs (replication, fine-mapping regions and wildcard SNPs for lipid traits) were extracted for association tests with 10-yr change in total cholesterol </w:t>
      </w:r>
      <w:r w:rsidRPr="00D5255A">
        <w:rPr>
          <w:rFonts w:ascii="Times New Roman" w:hAnsi="Times New Roman"/>
          <w:sz w:val="24"/>
          <w:szCs w:val="24"/>
        </w:rPr>
        <w:t xml:space="preserve">(ΔTC) and triglycerides (ΔTG). Four additional prospective cohort studies (MDC, PIVUS, ULSAM, MRC Ely; </w:t>
      </w:r>
      <w:proofErr w:type="spellStart"/>
      <w:r w:rsidRPr="00D5255A">
        <w:rPr>
          <w:rFonts w:ascii="Times New Roman" w:hAnsi="Times New Roman"/>
          <w:sz w:val="24"/>
          <w:szCs w:val="24"/>
        </w:rPr>
        <w:t>N</w:t>
      </w:r>
      <w:r w:rsidRPr="00D5255A">
        <w:rPr>
          <w:rFonts w:ascii="Times New Roman" w:hAnsi="Times New Roman"/>
          <w:sz w:val="24"/>
          <w:szCs w:val="24"/>
          <w:vertAlign w:val="subscript"/>
        </w:rPr>
        <w:t>max</w:t>
      </w:r>
      <w:proofErr w:type="spellEnd"/>
      <w:r w:rsidRPr="00D5255A">
        <w:rPr>
          <w:rFonts w:ascii="Times New Roman" w:hAnsi="Times New Roman"/>
          <w:sz w:val="24"/>
          <w:szCs w:val="24"/>
        </w:rPr>
        <w:t xml:space="preserve">=8,263 participants) were used for replication. We conducted an </w:t>
      </w:r>
      <w:r w:rsidRPr="00D5255A">
        <w:rPr>
          <w:rFonts w:ascii="Times New Roman" w:hAnsi="Times New Roman"/>
          <w:i/>
          <w:sz w:val="24"/>
          <w:szCs w:val="24"/>
        </w:rPr>
        <w:t>in silico</w:t>
      </w:r>
      <w:r w:rsidRPr="00D5255A">
        <w:rPr>
          <w:rFonts w:ascii="Times New Roman" w:hAnsi="Times New Roman"/>
          <w:sz w:val="24"/>
          <w:szCs w:val="24"/>
        </w:rPr>
        <w:t xml:space="preserve"> look-up for association with coronary artery disease (CAD) in the Coronary </w:t>
      </w:r>
      <w:proofErr w:type="spellStart"/>
      <w:r w:rsidRPr="00D5255A">
        <w:rPr>
          <w:rFonts w:ascii="Times New Roman" w:hAnsi="Times New Roman"/>
          <w:sz w:val="24"/>
          <w:szCs w:val="24"/>
        </w:rPr>
        <w:t>ARtery</w:t>
      </w:r>
      <w:proofErr w:type="spellEnd"/>
      <w:r w:rsidRPr="00D5255A">
        <w:rPr>
          <w:rFonts w:ascii="Times New Roman" w:hAnsi="Times New Roman"/>
          <w:sz w:val="24"/>
          <w:szCs w:val="24"/>
        </w:rPr>
        <w:t xml:space="preserve"> </w:t>
      </w:r>
      <w:proofErr w:type="spellStart"/>
      <w:r w:rsidRPr="00D5255A">
        <w:rPr>
          <w:rFonts w:ascii="Times New Roman" w:hAnsi="Times New Roman"/>
          <w:sz w:val="24"/>
          <w:szCs w:val="24"/>
        </w:rPr>
        <w:t>DIsease</w:t>
      </w:r>
      <w:proofErr w:type="spellEnd"/>
      <w:r w:rsidRPr="00D5255A">
        <w:rPr>
          <w:rFonts w:ascii="Times New Roman" w:hAnsi="Times New Roman"/>
          <w:sz w:val="24"/>
          <w:szCs w:val="24"/>
        </w:rPr>
        <w:t xml:space="preserve"> Genome-wide Replication and Meta-analysis (CARDIoGRAMplusC4D) Consortium (N~190,000) and functional annotation </w:t>
      </w:r>
      <w:r>
        <w:rPr>
          <w:rFonts w:ascii="Times New Roman" w:hAnsi="Times New Roman"/>
          <w:sz w:val="24"/>
          <w:szCs w:val="24"/>
        </w:rPr>
        <w:t>for</w:t>
      </w:r>
      <w:r w:rsidRPr="00D5255A">
        <w:rPr>
          <w:rFonts w:ascii="Times New Roman" w:hAnsi="Times New Roman"/>
          <w:sz w:val="24"/>
          <w:szCs w:val="24"/>
        </w:rPr>
        <w:t xml:space="preserve"> the top ranking variants. </w:t>
      </w:r>
    </w:p>
    <w:p w:rsidR="00210106" w:rsidRDefault="00210106" w:rsidP="00D5255A">
      <w:pPr>
        <w:spacing w:line="480" w:lineRule="auto"/>
        <w:jc w:val="both"/>
        <w:rPr>
          <w:rFonts w:ascii="Times New Roman" w:hAnsi="Times New Roman"/>
          <w:sz w:val="24"/>
          <w:szCs w:val="24"/>
        </w:rPr>
      </w:pPr>
      <w:r>
        <w:rPr>
          <w:rFonts w:ascii="Times New Roman" w:hAnsi="Times New Roman"/>
          <w:sz w:val="24"/>
          <w:szCs w:val="24"/>
        </w:rPr>
        <w:t xml:space="preserve">Results: </w:t>
      </w:r>
      <w:r w:rsidRPr="00D5255A">
        <w:rPr>
          <w:rFonts w:ascii="Times New Roman" w:hAnsi="Times New Roman"/>
          <w:sz w:val="24"/>
          <w:szCs w:val="24"/>
        </w:rPr>
        <w:t>In total, 956 variants were associated (</w:t>
      </w:r>
      <w:r w:rsidRPr="00D5255A">
        <w:rPr>
          <w:rFonts w:ascii="Times New Roman" w:hAnsi="Times New Roman"/>
          <w:i/>
          <w:sz w:val="24"/>
          <w:szCs w:val="24"/>
        </w:rPr>
        <w:t>P</w:t>
      </w:r>
      <w:r w:rsidRPr="00D5255A">
        <w:rPr>
          <w:rFonts w:ascii="Times New Roman" w:hAnsi="Times New Roman"/>
          <w:sz w:val="24"/>
          <w:szCs w:val="24"/>
        </w:rPr>
        <w:t xml:space="preserve">&lt;0.01) with either ΔTC or ΔTG in GLACIER. In GLACIER, chr19:50121999 at </w:t>
      </w:r>
      <w:r w:rsidRPr="00D5255A">
        <w:rPr>
          <w:rFonts w:ascii="Times New Roman" w:hAnsi="Times New Roman"/>
          <w:i/>
          <w:sz w:val="24"/>
          <w:szCs w:val="24"/>
        </w:rPr>
        <w:t>APOE</w:t>
      </w:r>
      <w:r w:rsidRPr="00D5255A">
        <w:rPr>
          <w:rFonts w:ascii="Times New Roman" w:hAnsi="Times New Roman"/>
          <w:sz w:val="24"/>
          <w:szCs w:val="24"/>
        </w:rPr>
        <w:t xml:space="preserve"> was associated with ΔTG and multiple SNPs in the </w:t>
      </w:r>
      <w:r w:rsidRPr="00D5255A">
        <w:rPr>
          <w:rFonts w:ascii="Times New Roman" w:hAnsi="Times New Roman"/>
          <w:i/>
          <w:sz w:val="24"/>
          <w:szCs w:val="24"/>
        </w:rPr>
        <w:t>APOA1/A4/C3/A5</w:t>
      </w:r>
      <w:r w:rsidRPr="00D5255A">
        <w:rPr>
          <w:rFonts w:ascii="Times New Roman" w:hAnsi="Times New Roman"/>
          <w:sz w:val="24"/>
          <w:szCs w:val="24"/>
        </w:rPr>
        <w:t xml:space="preserve"> region at genome wide significance (</w:t>
      </w:r>
      <w:r w:rsidRPr="00D5255A">
        <w:rPr>
          <w:rFonts w:ascii="Times New Roman" w:hAnsi="Times New Roman"/>
          <w:i/>
          <w:sz w:val="24"/>
          <w:szCs w:val="24"/>
        </w:rPr>
        <w:t>P</w:t>
      </w:r>
      <w:r w:rsidRPr="00D5255A">
        <w:rPr>
          <w:rFonts w:ascii="Times New Roman" w:hAnsi="Times New Roman"/>
          <w:sz w:val="24"/>
          <w:szCs w:val="24"/>
        </w:rPr>
        <w:t>&lt;5×10</w:t>
      </w:r>
      <w:r w:rsidRPr="00D5255A">
        <w:rPr>
          <w:rFonts w:ascii="Times New Roman" w:hAnsi="Times New Roman"/>
          <w:sz w:val="24"/>
          <w:szCs w:val="24"/>
          <w:vertAlign w:val="superscript"/>
        </w:rPr>
        <w:t>-8</w:t>
      </w:r>
      <w:r w:rsidRPr="00D5255A">
        <w:rPr>
          <w:rFonts w:ascii="Times New Roman" w:hAnsi="Times New Roman"/>
          <w:sz w:val="24"/>
          <w:szCs w:val="24"/>
        </w:rPr>
        <w:t xml:space="preserve">) whereas variants in four loci, </w:t>
      </w:r>
      <w:r w:rsidRPr="00D5255A">
        <w:rPr>
          <w:rFonts w:ascii="Times New Roman" w:hAnsi="Times New Roman"/>
          <w:i/>
          <w:sz w:val="24"/>
          <w:szCs w:val="24"/>
        </w:rPr>
        <w:t>DOCK7</w:t>
      </w:r>
      <w:r w:rsidRPr="00D5255A">
        <w:rPr>
          <w:rFonts w:ascii="Times New Roman" w:hAnsi="Times New Roman"/>
          <w:sz w:val="24"/>
          <w:szCs w:val="24"/>
        </w:rPr>
        <w:t xml:space="preserve">, </w:t>
      </w:r>
      <w:r w:rsidRPr="00D5255A">
        <w:rPr>
          <w:rFonts w:ascii="Times New Roman" w:hAnsi="Times New Roman"/>
          <w:i/>
          <w:sz w:val="24"/>
          <w:szCs w:val="24"/>
        </w:rPr>
        <w:t>BRE</w:t>
      </w:r>
      <w:r w:rsidRPr="00D5255A">
        <w:rPr>
          <w:rFonts w:ascii="Times New Roman" w:hAnsi="Times New Roman"/>
          <w:sz w:val="24"/>
          <w:szCs w:val="24"/>
        </w:rPr>
        <w:t xml:space="preserve">, </w:t>
      </w:r>
      <w:r w:rsidRPr="00D5255A">
        <w:rPr>
          <w:rFonts w:ascii="Times New Roman" w:hAnsi="Times New Roman"/>
          <w:i/>
          <w:sz w:val="24"/>
          <w:szCs w:val="24"/>
        </w:rPr>
        <w:t>SYNE1</w:t>
      </w:r>
      <w:r w:rsidRPr="00D5255A">
        <w:rPr>
          <w:rFonts w:ascii="Times New Roman" w:hAnsi="Times New Roman"/>
          <w:sz w:val="24"/>
          <w:szCs w:val="24"/>
        </w:rPr>
        <w:t xml:space="preserve"> and </w:t>
      </w:r>
      <w:r w:rsidRPr="00D5255A">
        <w:rPr>
          <w:rFonts w:ascii="Times New Roman" w:hAnsi="Times New Roman"/>
          <w:i/>
          <w:sz w:val="24"/>
          <w:szCs w:val="24"/>
        </w:rPr>
        <w:t>KCNIP1</w:t>
      </w:r>
      <w:r w:rsidRPr="00D5255A">
        <w:rPr>
          <w:rFonts w:ascii="Times New Roman" w:hAnsi="Times New Roman"/>
          <w:sz w:val="24"/>
          <w:szCs w:val="24"/>
        </w:rPr>
        <w:t xml:space="preserve"> reached study-wise significance (</w:t>
      </w:r>
      <w:r w:rsidRPr="00D5255A">
        <w:rPr>
          <w:rFonts w:ascii="Times New Roman" w:hAnsi="Times New Roman"/>
          <w:i/>
          <w:sz w:val="24"/>
          <w:szCs w:val="24"/>
        </w:rPr>
        <w:t>P</w:t>
      </w:r>
      <w:r w:rsidRPr="00D5255A">
        <w:rPr>
          <w:rFonts w:ascii="Times New Roman" w:hAnsi="Times New Roman"/>
          <w:sz w:val="24"/>
          <w:szCs w:val="24"/>
        </w:rPr>
        <w:t>&lt;1.7×10</w:t>
      </w:r>
      <w:r w:rsidRPr="00D5255A">
        <w:rPr>
          <w:rFonts w:ascii="Times New Roman" w:hAnsi="Times New Roman"/>
          <w:sz w:val="24"/>
          <w:szCs w:val="24"/>
          <w:vertAlign w:val="superscript"/>
        </w:rPr>
        <w:t>-6</w:t>
      </w:r>
      <w:r w:rsidRPr="00D5255A">
        <w:rPr>
          <w:rFonts w:ascii="Times New Roman" w:hAnsi="Times New Roman"/>
          <w:sz w:val="24"/>
          <w:szCs w:val="24"/>
        </w:rPr>
        <w:t xml:space="preserve">). The rs7412 variant at </w:t>
      </w:r>
      <w:r w:rsidRPr="00D5255A">
        <w:rPr>
          <w:rFonts w:ascii="Times New Roman" w:hAnsi="Times New Roman"/>
          <w:i/>
          <w:sz w:val="24"/>
          <w:szCs w:val="24"/>
        </w:rPr>
        <w:t>APOE</w:t>
      </w:r>
      <w:r w:rsidRPr="00D5255A">
        <w:rPr>
          <w:rFonts w:ascii="Times New Roman" w:hAnsi="Times New Roman"/>
          <w:sz w:val="24"/>
          <w:szCs w:val="24"/>
        </w:rPr>
        <w:t xml:space="preserve"> was associated with ΔTC in GLACIER (</w:t>
      </w:r>
      <w:r w:rsidRPr="00D5255A">
        <w:rPr>
          <w:rFonts w:ascii="Times New Roman" w:hAnsi="Times New Roman"/>
          <w:i/>
          <w:sz w:val="24"/>
          <w:szCs w:val="24"/>
        </w:rPr>
        <w:t>P</w:t>
      </w:r>
      <w:r w:rsidRPr="00D5255A">
        <w:rPr>
          <w:rFonts w:ascii="Times New Roman" w:hAnsi="Times New Roman"/>
          <w:sz w:val="24"/>
          <w:szCs w:val="24"/>
        </w:rPr>
        <w:t>&lt;1.7×10</w:t>
      </w:r>
      <w:r w:rsidRPr="00D5255A">
        <w:rPr>
          <w:rFonts w:ascii="Times New Roman" w:hAnsi="Times New Roman"/>
          <w:sz w:val="24"/>
          <w:szCs w:val="24"/>
          <w:vertAlign w:val="superscript"/>
        </w:rPr>
        <w:t>-6</w:t>
      </w:r>
      <w:r w:rsidRPr="00D5255A">
        <w:rPr>
          <w:rFonts w:ascii="Times New Roman" w:hAnsi="Times New Roman"/>
          <w:sz w:val="24"/>
          <w:szCs w:val="24"/>
        </w:rPr>
        <w:t>). In pooled analyses of all cohorts, 139 SNPs at six and five loci were associated with ΔTC and for ΔTG, respectively (</w:t>
      </w:r>
      <w:r w:rsidRPr="00D5255A">
        <w:rPr>
          <w:rFonts w:ascii="Times New Roman" w:hAnsi="Times New Roman"/>
          <w:i/>
          <w:sz w:val="24"/>
          <w:szCs w:val="24"/>
        </w:rPr>
        <w:t>P</w:t>
      </w:r>
      <w:r w:rsidRPr="00D5255A">
        <w:rPr>
          <w:rFonts w:ascii="Times New Roman" w:hAnsi="Times New Roman"/>
          <w:sz w:val="24"/>
          <w:szCs w:val="24"/>
        </w:rPr>
        <w:t>&lt;10</w:t>
      </w:r>
      <w:r w:rsidRPr="00D5255A">
        <w:rPr>
          <w:rFonts w:ascii="Times New Roman" w:hAnsi="Times New Roman"/>
          <w:sz w:val="24"/>
          <w:szCs w:val="24"/>
          <w:vertAlign w:val="superscript"/>
        </w:rPr>
        <w:t>-3</w:t>
      </w:r>
      <w:r w:rsidRPr="00D5255A">
        <w:rPr>
          <w:rFonts w:ascii="Times New Roman" w:hAnsi="Times New Roman"/>
          <w:sz w:val="24"/>
          <w:szCs w:val="24"/>
        </w:rPr>
        <w:t xml:space="preserve">). Of these, a variant at </w:t>
      </w:r>
      <w:r w:rsidRPr="00D5255A">
        <w:rPr>
          <w:rFonts w:ascii="Times New Roman" w:hAnsi="Times New Roman"/>
          <w:i/>
          <w:sz w:val="24"/>
          <w:szCs w:val="24"/>
        </w:rPr>
        <w:t>CAPN3</w:t>
      </w:r>
      <w:r w:rsidRPr="00D5255A">
        <w:rPr>
          <w:rFonts w:ascii="Times New Roman" w:hAnsi="Times New Roman"/>
          <w:sz w:val="24"/>
          <w:szCs w:val="24"/>
        </w:rPr>
        <w:t xml:space="preserve"> (</w:t>
      </w:r>
      <w:r w:rsidRPr="00D5255A">
        <w:rPr>
          <w:rFonts w:ascii="Times New Roman" w:hAnsi="Times New Roman"/>
          <w:i/>
          <w:sz w:val="24"/>
          <w:szCs w:val="24"/>
        </w:rPr>
        <w:t>P</w:t>
      </w:r>
      <w:r w:rsidRPr="00D5255A">
        <w:rPr>
          <w:rFonts w:ascii="Times New Roman" w:hAnsi="Times New Roman"/>
          <w:sz w:val="24"/>
          <w:szCs w:val="24"/>
        </w:rPr>
        <w:t>=1.2×10</w:t>
      </w:r>
      <w:r w:rsidRPr="00D5255A">
        <w:rPr>
          <w:rFonts w:ascii="Times New Roman" w:hAnsi="Times New Roman"/>
          <w:sz w:val="24"/>
          <w:szCs w:val="24"/>
          <w:vertAlign w:val="superscript"/>
        </w:rPr>
        <w:t>-4</w:t>
      </w:r>
      <w:r w:rsidRPr="00D5255A">
        <w:rPr>
          <w:rFonts w:ascii="Times New Roman" w:hAnsi="Times New Roman"/>
          <w:sz w:val="24"/>
          <w:szCs w:val="24"/>
        </w:rPr>
        <w:t xml:space="preserve">), multiple variants at </w:t>
      </w:r>
      <w:r w:rsidRPr="00D5255A">
        <w:rPr>
          <w:rFonts w:ascii="Times New Roman" w:hAnsi="Times New Roman"/>
          <w:i/>
          <w:sz w:val="24"/>
          <w:szCs w:val="24"/>
        </w:rPr>
        <w:t>HPR</w:t>
      </w:r>
      <w:r w:rsidRPr="00D5255A">
        <w:rPr>
          <w:rFonts w:ascii="Times New Roman" w:hAnsi="Times New Roman"/>
          <w:sz w:val="24"/>
          <w:szCs w:val="24"/>
        </w:rPr>
        <w:t xml:space="preserve"> (</w:t>
      </w:r>
      <w:proofErr w:type="spellStart"/>
      <w:r w:rsidRPr="00D5255A">
        <w:rPr>
          <w:rFonts w:ascii="Times New Roman" w:hAnsi="Times New Roman"/>
          <w:i/>
          <w:sz w:val="24"/>
          <w:szCs w:val="24"/>
        </w:rPr>
        <w:t>P</w:t>
      </w:r>
      <w:r w:rsidRPr="00D5255A">
        <w:rPr>
          <w:rFonts w:ascii="Times New Roman" w:hAnsi="Times New Roman"/>
          <w:i/>
          <w:sz w:val="24"/>
          <w:szCs w:val="24"/>
          <w:vertAlign w:val="subscript"/>
        </w:rPr>
        <w:t>min</w:t>
      </w:r>
      <w:proofErr w:type="spellEnd"/>
      <w:r w:rsidRPr="00D5255A">
        <w:rPr>
          <w:rFonts w:ascii="Times New Roman" w:hAnsi="Times New Roman"/>
          <w:sz w:val="24"/>
          <w:szCs w:val="24"/>
        </w:rPr>
        <w:t>=1.5×10</w:t>
      </w:r>
      <w:r w:rsidRPr="00D5255A">
        <w:rPr>
          <w:rFonts w:ascii="Times New Roman" w:hAnsi="Times New Roman"/>
          <w:sz w:val="24"/>
          <w:szCs w:val="24"/>
          <w:vertAlign w:val="superscript"/>
        </w:rPr>
        <w:t>-6</w:t>
      </w:r>
      <w:r w:rsidRPr="00D5255A">
        <w:rPr>
          <w:rFonts w:ascii="Times New Roman" w:hAnsi="Times New Roman"/>
          <w:sz w:val="24"/>
          <w:szCs w:val="24"/>
        </w:rPr>
        <w:t xml:space="preserve">) and a variant at </w:t>
      </w:r>
      <w:r w:rsidRPr="00D5255A">
        <w:rPr>
          <w:rFonts w:ascii="Times New Roman" w:hAnsi="Times New Roman"/>
          <w:i/>
          <w:sz w:val="24"/>
          <w:szCs w:val="24"/>
        </w:rPr>
        <w:t>SIX5</w:t>
      </w:r>
      <w:r w:rsidRPr="00D5255A">
        <w:rPr>
          <w:rFonts w:ascii="Times New Roman" w:hAnsi="Times New Roman"/>
          <w:sz w:val="24"/>
          <w:szCs w:val="24"/>
        </w:rPr>
        <w:t xml:space="preserve"> (</w:t>
      </w:r>
      <w:r w:rsidRPr="00D5255A">
        <w:rPr>
          <w:rFonts w:ascii="Times New Roman" w:hAnsi="Times New Roman"/>
          <w:i/>
          <w:sz w:val="24"/>
          <w:szCs w:val="24"/>
        </w:rPr>
        <w:t>P</w:t>
      </w:r>
      <w:r w:rsidRPr="00D5255A">
        <w:rPr>
          <w:rFonts w:ascii="Times New Roman" w:hAnsi="Times New Roman"/>
          <w:sz w:val="24"/>
          <w:szCs w:val="24"/>
        </w:rPr>
        <w:t>=1.9×10</w:t>
      </w:r>
      <w:r w:rsidRPr="00D5255A">
        <w:rPr>
          <w:rFonts w:ascii="Times New Roman" w:hAnsi="Times New Roman"/>
          <w:sz w:val="24"/>
          <w:szCs w:val="24"/>
          <w:vertAlign w:val="superscript"/>
        </w:rPr>
        <w:t>-4</w:t>
      </w:r>
      <w:r w:rsidRPr="00D5255A">
        <w:rPr>
          <w:rFonts w:ascii="Times New Roman" w:hAnsi="Times New Roman"/>
          <w:sz w:val="24"/>
          <w:szCs w:val="24"/>
        </w:rPr>
        <w:t xml:space="preserve">) showed evidence for association with CAD. </w:t>
      </w:r>
    </w:p>
    <w:p w:rsidR="00210106" w:rsidRDefault="00210106" w:rsidP="00D5255A">
      <w:pPr>
        <w:spacing w:line="480" w:lineRule="auto"/>
        <w:jc w:val="both"/>
        <w:rPr>
          <w:rFonts w:ascii="Times New Roman" w:hAnsi="Times New Roman"/>
          <w:sz w:val="24"/>
          <w:szCs w:val="24"/>
        </w:rPr>
      </w:pPr>
      <w:r>
        <w:rPr>
          <w:rFonts w:ascii="Times New Roman" w:hAnsi="Times New Roman"/>
          <w:sz w:val="24"/>
          <w:szCs w:val="24"/>
        </w:rPr>
        <w:t xml:space="preserve">Conclusions: </w:t>
      </w:r>
      <w:r w:rsidRPr="00D5255A">
        <w:rPr>
          <w:rFonts w:ascii="Times New Roman" w:hAnsi="Times New Roman"/>
          <w:sz w:val="24"/>
          <w:szCs w:val="24"/>
        </w:rPr>
        <w:t xml:space="preserve">We identified </w:t>
      </w:r>
      <w:r>
        <w:rPr>
          <w:rFonts w:ascii="Times New Roman" w:hAnsi="Times New Roman"/>
          <w:sz w:val="24"/>
          <w:szCs w:val="24"/>
        </w:rPr>
        <w:t>seven</w:t>
      </w:r>
      <w:r w:rsidRPr="00D5255A">
        <w:rPr>
          <w:rFonts w:ascii="Times New Roman" w:hAnsi="Times New Roman"/>
          <w:sz w:val="24"/>
          <w:szCs w:val="24"/>
        </w:rPr>
        <w:t xml:space="preserve"> novel genomic regions associated with long-term changes in blood lipids, of which </w:t>
      </w:r>
      <w:r>
        <w:rPr>
          <w:rFonts w:ascii="Times New Roman" w:hAnsi="Times New Roman"/>
          <w:sz w:val="24"/>
          <w:szCs w:val="24"/>
        </w:rPr>
        <w:t>three also raise</w:t>
      </w:r>
      <w:r w:rsidRPr="00D5255A">
        <w:rPr>
          <w:rFonts w:ascii="Times New Roman" w:hAnsi="Times New Roman"/>
          <w:sz w:val="24"/>
          <w:szCs w:val="24"/>
        </w:rPr>
        <w:t xml:space="preserve"> CAD</w:t>
      </w:r>
      <w:r>
        <w:rPr>
          <w:rFonts w:ascii="Times New Roman" w:hAnsi="Times New Roman"/>
          <w:sz w:val="24"/>
          <w:szCs w:val="24"/>
        </w:rPr>
        <w:t xml:space="preserve"> risk</w:t>
      </w:r>
      <w:r w:rsidRPr="00D5255A">
        <w:rPr>
          <w:rFonts w:ascii="Times New Roman" w:hAnsi="Times New Roman"/>
          <w:sz w:val="24"/>
          <w:szCs w:val="24"/>
        </w:rPr>
        <w:t>.</w:t>
      </w:r>
    </w:p>
    <w:p w:rsidR="00210106" w:rsidRDefault="00210106" w:rsidP="00BE3121">
      <w:pPr>
        <w:pStyle w:val="Heading1"/>
        <w:spacing w:before="0" w:after="0" w:line="480" w:lineRule="auto"/>
        <w:rPr>
          <w:rFonts w:ascii="Times New Roman" w:hAnsi="Times New Roman"/>
          <w:sz w:val="24"/>
          <w:szCs w:val="24"/>
        </w:rPr>
      </w:pPr>
      <w:r>
        <w:rPr>
          <w:rFonts w:ascii="Times New Roman" w:hAnsi="Times New Roman"/>
          <w:sz w:val="24"/>
          <w:szCs w:val="24"/>
        </w:rPr>
        <w:lastRenderedPageBreak/>
        <w:t>Keywords</w:t>
      </w:r>
    </w:p>
    <w:p w:rsidR="00210106" w:rsidRDefault="00210106" w:rsidP="00D5255A">
      <w:pPr>
        <w:spacing w:line="480" w:lineRule="auto"/>
        <w:jc w:val="both"/>
        <w:rPr>
          <w:rFonts w:ascii="Times New Roman" w:hAnsi="Times New Roman"/>
          <w:sz w:val="24"/>
          <w:szCs w:val="24"/>
        </w:rPr>
      </w:pPr>
      <w:proofErr w:type="gramStart"/>
      <w:r>
        <w:rPr>
          <w:rFonts w:ascii="Times New Roman" w:hAnsi="Times New Roman"/>
          <w:sz w:val="24"/>
          <w:szCs w:val="24"/>
        </w:rPr>
        <w:t>prospective</w:t>
      </w:r>
      <w:proofErr w:type="gramEnd"/>
      <w:r>
        <w:rPr>
          <w:rFonts w:ascii="Times New Roman" w:hAnsi="Times New Roman"/>
          <w:sz w:val="24"/>
          <w:szCs w:val="24"/>
        </w:rPr>
        <w:t xml:space="preserve"> cohort study; longitudinal analysis; total cholesterol; triglycerides; single nucleotide polymorphism; genetic epidemiology</w:t>
      </w:r>
    </w:p>
    <w:p w:rsidR="00210106" w:rsidRDefault="00210106" w:rsidP="00214768">
      <w:pPr>
        <w:pStyle w:val="Heading1"/>
        <w:spacing w:before="0" w:after="0" w:line="480" w:lineRule="auto"/>
        <w:rPr>
          <w:rFonts w:ascii="Times New Roman" w:hAnsi="Times New Roman"/>
          <w:sz w:val="24"/>
          <w:szCs w:val="24"/>
        </w:rPr>
      </w:pPr>
      <w:r>
        <w:rPr>
          <w:rFonts w:ascii="Times New Roman" w:hAnsi="Times New Roman"/>
          <w:sz w:val="24"/>
          <w:szCs w:val="24"/>
        </w:rPr>
        <w:t>Mesh headings</w:t>
      </w:r>
    </w:p>
    <w:p w:rsidR="00210106" w:rsidRDefault="00210106" w:rsidP="00D5255A">
      <w:pPr>
        <w:spacing w:line="480" w:lineRule="auto"/>
        <w:jc w:val="both"/>
        <w:rPr>
          <w:rFonts w:ascii="Times New Roman" w:hAnsi="Times New Roman"/>
          <w:sz w:val="24"/>
          <w:szCs w:val="24"/>
        </w:rPr>
      </w:pPr>
      <w:r>
        <w:rPr>
          <w:rFonts w:ascii="Times New Roman" w:hAnsi="Times New Roman"/>
          <w:sz w:val="24"/>
          <w:szCs w:val="24"/>
        </w:rPr>
        <w:t xml:space="preserve">Cholesterol; Triglycerides; </w:t>
      </w:r>
      <w:r w:rsidRPr="00214768">
        <w:rPr>
          <w:rFonts w:ascii="Times New Roman" w:hAnsi="Times New Roman"/>
          <w:sz w:val="24"/>
          <w:szCs w:val="24"/>
        </w:rPr>
        <w:t>Prospective Studies</w:t>
      </w:r>
      <w:r>
        <w:rPr>
          <w:rFonts w:ascii="Times New Roman" w:hAnsi="Times New Roman"/>
          <w:sz w:val="24"/>
          <w:szCs w:val="24"/>
        </w:rPr>
        <w:t xml:space="preserve">; </w:t>
      </w:r>
      <w:r w:rsidRPr="00214768">
        <w:rPr>
          <w:rFonts w:ascii="Times New Roman" w:hAnsi="Times New Roman"/>
          <w:sz w:val="24"/>
          <w:szCs w:val="24"/>
        </w:rPr>
        <w:t>Longitudinal Studies</w:t>
      </w:r>
      <w:r>
        <w:rPr>
          <w:rFonts w:ascii="Times New Roman" w:hAnsi="Times New Roman"/>
          <w:sz w:val="24"/>
          <w:szCs w:val="24"/>
        </w:rPr>
        <w:t xml:space="preserve">; </w:t>
      </w:r>
      <w:r w:rsidRPr="00214768">
        <w:rPr>
          <w:rFonts w:ascii="Times New Roman" w:hAnsi="Times New Roman"/>
          <w:sz w:val="24"/>
          <w:szCs w:val="24"/>
        </w:rPr>
        <w:t>Genetic</w:t>
      </w:r>
      <w:r>
        <w:rPr>
          <w:rFonts w:ascii="Times New Roman" w:hAnsi="Times New Roman"/>
          <w:sz w:val="24"/>
          <w:szCs w:val="24"/>
        </w:rPr>
        <w:t xml:space="preserve"> </w:t>
      </w:r>
      <w:r w:rsidRPr="00214768">
        <w:rPr>
          <w:rFonts w:ascii="Times New Roman" w:hAnsi="Times New Roman"/>
          <w:sz w:val="24"/>
          <w:szCs w:val="24"/>
        </w:rPr>
        <w:t>Association Studies</w:t>
      </w:r>
      <w:r>
        <w:rPr>
          <w:rFonts w:ascii="Times New Roman" w:hAnsi="Times New Roman"/>
          <w:sz w:val="24"/>
          <w:szCs w:val="24"/>
        </w:rPr>
        <w:t xml:space="preserve">; </w:t>
      </w:r>
      <w:r w:rsidRPr="00214768">
        <w:rPr>
          <w:rFonts w:ascii="Times New Roman" w:hAnsi="Times New Roman"/>
          <w:sz w:val="24"/>
          <w:szCs w:val="24"/>
        </w:rPr>
        <w:t>Coronary Artery Disease</w:t>
      </w:r>
      <w:r>
        <w:rPr>
          <w:rFonts w:ascii="Times New Roman" w:hAnsi="Times New Roman"/>
          <w:sz w:val="24"/>
          <w:szCs w:val="24"/>
        </w:rPr>
        <w:t xml:space="preserve">; </w:t>
      </w:r>
      <w:r w:rsidRPr="00214768">
        <w:rPr>
          <w:rFonts w:ascii="Times New Roman" w:hAnsi="Times New Roman"/>
          <w:sz w:val="24"/>
          <w:szCs w:val="24"/>
        </w:rPr>
        <w:t>Blood Pressure</w:t>
      </w:r>
      <w:r>
        <w:rPr>
          <w:rFonts w:ascii="Times New Roman" w:hAnsi="Times New Roman"/>
          <w:sz w:val="24"/>
          <w:szCs w:val="24"/>
        </w:rPr>
        <w:t xml:space="preserve">; </w:t>
      </w:r>
      <w:r w:rsidRPr="00214768">
        <w:rPr>
          <w:rFonts w:ascii="Times New Roman" w:hAnsi="Times New Roman"/>
          <w:sz w:val="24"/>
          <w:szCs w:val="24"/>
        </w:rPr>
        <w:t>Diabetes Mellitus, Type 2</w:t>
      </w:r>
      <w:r>
        <w:rPr>
          <w:rFonts w:ascii="Times New Roman" w:hAnsi="Times New Roman"/>
          <w:sz w:val="24"/>
          <w:szCs w:val="24"/>
        </w:rPr>
        <w:t xml:space="preserve">; </w:t>
      </w:r>
      <w:r w:rsidRPr="00214768">
        <w:rPr>
          <w:rFonts w:ascii="Times New Roman" w:hAnsi="Times New Roman"/>
          <w:sz w:val="24"/>
          <w:szCs w:val="24"/>
        </w:rPr>
        <w:t>Polymorphism, Single Nucleotide</w:t>
      </w:r>
      <w:r>
        <w:rPr>
          <w:rFonts w:ascii="Times New Roman" w:hAnsi="Times New Roman"/>
          <w:sz w:val="24"/>
          <w:szCs w:val="24"/>
        </w:rPr>
        <w:t xml:space="preserve">; </w:t>
      </w:r>
      <w:r w:rsidRPr="00214768">
        <w:rPr>
          <w:rFonts w:ascii="Times New Roman" w:hAnsi="Times New Roman"/>
          <w:sz w:val="24"/>
          <w:szCs w:val="24"/>
        </w:rPr>
        <w:t>Genes</w:t>
      </w:r>
      <w:r>
        <w:rPr>
          <w:rFonts w:ascii="Times New Roman" w:hAnsi="Times New Roman"/>
          <w:sz w:val="24"/>
          <w:szCs w:val="24"/>
        </w:rPr>
        <w:t xml:space="preserve">; </w:t>
      </w:r>
      <w:r w:rsidRPr="00214768">
        <w:rPr>
          <w:rFonts w:ascii="Times New Roman" w:hAnsi="Times New Roman"/>
          <w:sz w:val="24"/>
          <w:szCs w:val="24"/>
        </w:rPr>
        <w:t>Meta-Analysis</w:t>
      </w:r>
      <w:r>
        <w:rPr>
          <w:rFonts w:ascii="Times New Roman" w:hAnsi="Times New Roman"/>
          <w:sz w:val="24"/>
          <w:szCs w:val="24"/>
        </w:rPr>
        <w:t xml:space="preserve">; </w:t>
      </w:r>
      <w:r w:rsidRPr="00214768">
        <w:rPr>
          <w:rFonts w:ascii="Times New Roman" w:hAnsi="Times New Roman"/>
          <w:sz w:val="24"/>
          <w:szCs w:val="24"/>
        </w:rPr>
        <w:t>Lipids</w:t>
      </w:r>
      <w:r>
        <w:rPr>
          <w:rFonts w:ascii="Times New Roman" w:hAnsi="Times New Roman"/>
          <w:sz w:val="24"/>
          <w:szCs w:val="24"/>
        </w:rPr>
        <w:t xml:space="preserve">; </w:t>
      </w:r>
      <w:r w:rsidRPr="00214768">
        <w:rPr>
          <w:rFonts w:ascii="Times New Roman" w:hAnsi="Times New Roman"/>
          <w:sz w:val="24"/>
          <w:szCs w:val="24"/>
        </w:rPr>
        <w:t>Hyperlipidemias</w:t>
      </w:r>
      <w:r>
        <w:rPr>
          <w:rFonts w:ascii="Times New Roman" w:hAnsi="Times New Roman"/>
          <w:sz w:val="24"/>
          <w:szCs w:val="24"/>
        </w:rPr>
        <w:t xml:space="preserve">; </w:t>
      </w:r>
      <w:r w:rsidRPr="00214768">
        <w:rPr>
          <w:rFonts w:ascii="Times New Roman" w:hAnsi="Times New Roman"/>
          <w:sz w:val="24"/>
          <w:szCs w:val="24"/>
        </w:rPr>
        <w:t>Lipid Metabolism</w:t>
      </w:r>
      <w:r>
        <w:rPr>
          <w:rFonts w:ascii="Times New Roman" w:hAnsi="Times New Roman"/>
          <w:sz w:val="24"/>
          <w:szCs w:val="24"/>
        </w:rPr>
        <w:t>.</w:t>
      </w:r>
    </w:p>
    <w:p w:rsidR="00210106" w:rsidRDefault="00210106" w:rsidP="00BE3121">
      <w:pPr>
        <w:pStyle w:val="Heading1"/>
        <w:spacing w:before="0" w:after="0" w:line="480" w:lineRule="auto"/>
        <w:rPr>
          <w:rFonts w:ascii="Times New Roman" w:hAnsi="Times New Roman"/>
          <w:sz w:val="24"/>
          <w:szCs w:val="24"/>
        </w:rPr>
      </w:pPr>
      <w:r>
        <w:rPr>
          <w:rFonts w:ascii="Times New Roman" w:hAnsi="Times New Roman"/>
          <w:sz w:val="24"/>
          <w:szCs w:val="24"/>
        </w:rPr>
        <w:t>Key messages</w:t>
      </w:r>
    </w:p>
    <w:p w:rsidR="00210106" w:rsidRDefault="00210106" w:rsidP="00BE3121">
      <w:pPr>
        <w:pStyle w:val="ListParagraph"/>
        <w:numPr>
          <w:ilvl w:val="0"/>
          <w:numId w:val="4"/>
        </w:numPr>
        <w:spacing w:line="480" w:lineRule="auto"/>
        <w:jc w:val="both"/>
        <w:rPr>
          <w:rFonts w:ascii="Times New Roman" w:hAnsi="Times New Roman"/>
          <w:sz w:val="24"/>
          <w:szCs w:val="24"/>
        </w:rPr>
      </w:pPr>
      <w:r w:rsidRPr="00BE3121">
        <w:rPr>
          <w:rFonts w:ascii="Times New Roman" w:hAnsi="Times New Roman"/>
          <w:sz w:val="24"/>
          <w:szCs w:val="24"/>
        </w:rPr>
        <w:t xml:space="preserve">In the past few years, large studies have identified hundreds of genetic variants </w:t>
      </w:r>
      <w:r>
        <w:rPr>
          <w:rFonts w:ascii="Times New Roman" w:hAnsi="Times New Roman"/>
          <w:sz w:val="24"/>
          <w:szCs w:val="24"/>
        </w:rPr>
        <w:t>that are</w:t>
      </w:r>
      <w:r w:rsidRPr="00BE3121">
        <w:rPr>
          <w:rFonts w:ascii="Times New Roman" w:hAnsi="Times New Roman"/>
          <w:sz w:val="24"/>
          <w:szCs w:val="24"/>
        </w:rPr>
        <w:t xml:space="preserve"> associated with blood lipid levels, </w:t>
      </w:r>
      <w:r>
        <w:rPr>
          <w:rFonts w:ascii="Times New Roman" w:hAnsi="Times New Roman"/>
          <w:sz w:val="24"/>
          <w:szCs w:val="24"/>
        </w:rPr>
        <w:t>but these studies</w:t>
      </w:r>
      <w:r w:rsidRPr="00BE3121">
        <w:rPr>
          <w:rFonts w:ascii="Times New Roman" w:hAnsi="Times New Roman"/>
          <w:sz w:val="24"/>
          <w:szCs w:val="24"/>
        </w:rPr>
        <w:t xml:space="preserve"> were almost exclusively carried</w:t>
      </w:r>
      <w:r>
        <w:rPr>
          <w:rFonts w:ascii="Times New Roman" w:hAnsi="Times New Roman"/>
          <w:sz w:val="24"/>
          <w:szCs w:val="24"/>
        </w:rPr>
        <w:t xml:space="preserve"> out in cross-sectional studies</w:t>
      </w:r>
    </w:p>
    <w:p w:rsidR="00210106" w:rsidRPr="002F2C46" w:rsidRDefault="00210106" w:rsidP="002F2C46">
      <w:pPr>
        <w:pStyle w:val="ListParagraph"/>
        <w:numPr>
          <w:ilvl w:val="0"/>
          <w:numId w:val="4"/>
        </w:numPr>
        <w:spacing w:line="480" w:lineRule="auto"/>
        <w:jc w:val="both"/>
        <w:rPr>
          <w:rFonts w:ascii="Times New Roman" w:hAnsi="Times New Roman"/>
          <w:sz w:val="24"/>
          <w:szCs w:val="24"/>
        </w:rPr>
      </w:pPr>
      <w:r w:rsidRPr="002F2C46">
        <w:rPr>
          <w:rFonts w:ascii="Times New Roman" w:hAnsi="Times New Roman"/>
          <w:sz w:val="24"/>
          <w:szCs w:val="24"/>
        </w:rPr>
        <w:t xml:space="preserve">We </w:t>
      </w:r>
      <w:r>
        <w:rPr>
          <w:rFonts w:ascii="Times New Roman" w:hAnsi="Times New Roman"/>
          <w:sz w:val="24"/>
          <w:szCs w:val="24"/>
        </w:rPr>
        <w:t xml:space="preserve">identified and replicated </w:t>
      </w:r>
      <w:r w:rsidRPr="002F2C46">
        <w:rPr>
          <w:rFonts w:ascii="Times New Roman" w:hAnsi="Times New Roman"/>
          <w:sz w:val="24"/>
          <w:szCs w:val="24"/>
        </w:rPr>
        <w:t xml:space="preserve">associations between genetic variants and long-term deteriorations in </w:t>
      </w:r>
      <w:r>
        <w:rPr>
          <w:rFonts w:ascii="Times New Roman" w:hAnsi="Times New Roman"/>
          <w:sz w:val="24"/>
          <w:szCs w:val="24"/>
        </w:rPr>
        <w:t>triglyceride and total cholesterol</w:t>
      </w:r>
      <w:r w:rsidRPr="002F2C46">
        <w:rPr>
          <w:rFonts w:ascii="Times New Roman" w:hAnsi="Times New Roman"/>
          <w:sz w:val="24"/>
          <w:szCs w:val="24"/>
        </w:rPr>
        <w:t xml:space="preserve"> concentrations</w:t>
      </w:r>
    </w:p>
    <w:p w:rsidR="00210106" w:rsidRPr="00BE3121" w:rsidRDefault="00210106" w:rsidP="00BE3121">
      <w:pPr>
        <w:pStyle w:val="ListParagraph"/>
        <w:numPr>
          <w:ilvl w:val="0"/>
          <w:numId w:val="4"/>
        </w:numPr>
        <w:spacing w:line="480" w:lineRule="auto"/>
        <w:jc w:val="both"/>
        <w:rPr>
          <w:rFonts w:ascii="Times New Roman" w:hAnsi="Times New Roman"/>
          <w:b/>
          <w:sz w:val="24"/>
          <w:szCs w:val="24"/>
        </w:rPr>
      </w:pPr>
      <w:r>
        <w:rPr>
          <w:rFonts w:ascii="Times New Roman" w:hAnsi="Times New Roman"/>
          <w:sz w:val="24"/>
          <w:szCs w:val="24"/>
        </w:rPr>
        <w:t>W</w:t>
      </w:r>
      <w:r w:rsidRPr="00BE3121">
        <w:rPr>
          <w:rFonts w:ascii="Times New Roman" w:hAnsi="Times New Roman"/>
          <w:sz w:val="24"/>
          <w:szCs w:val="24"/>
        </w:rPr>
        <w:t xml:space="preserve">e identified </w:t>
      </w:r>
      <w:r>
        <w:rPr>
          <w:rFonts w:ascii="Times New Roman" w:hAnsi="Times New Roman"/>
          <w:sz w:val="24"/>
          <w:szCs w:val="24"/>
        </w:rPr>
        <w:t>seven novel</w:t>
      </w:r>
      <w:r w:rsidRPr="00BE3121">
        <w:rPr>
          <w:rFonts w:ascii="Times New Roman" w:hAnsi="Times New Roman"/>
          <w:sz w:val="24"/>
          <w:szCs w:val="24"/>
        </w:rPr>
        <w:t xml:space="preserve"> genomic regions associated with either triglyceride or total cholesterol changes</w:t>
      </w:r>
    </w:p>
    <w:p w:rsidR="00210106" w:rsidRPr="00B66CB8" w:rsidRDefault="00210106" w:rsidP="00BE3121">
      <w:pPr>
        <w:pStyle w:val="ListParagraph"/>
        <w:numPr>
          <w:ilvl w:val="0"/>
          <w:numId w:val="4"/>
        </w:numPr>
        <w:spacing w:line="480" w:lineRule="auto"/>
        <w:jc w:val="both"/>
        <w:rPr>
          <w:rFonts w:ascii="Times New Roman" w:hAnsi="Times New Roman"/>
          <w:b/>
          <w:sz w:val="24"/>
          <w:szCs w:val="24"/>
        </w:rPr>
      </w:pPr>
      <w:r w:rsidRPr="00BE3121">
        <w:rPr>
          <w:rFonts w:ascii="Times New Roman" w:hAnsi="Times New Roman"/>
          <w:sz w:val="24"/>
          <w:szCs w:val="24"/>
        </w:rPr>
        <w:t xml:space="preserve">Future studies might shed light on whether interactions with environmental factors that change with age result in time-dependent genetic associations and whether these associations can be utilized </w:t>
      </w:r>
      <w:r>
        <w:rPr>
          <w:rFonts w:ascii="Times New Roman" w:hAnsi="Times New Roman"/>
          <w:sz w:val="24"/>
          <w:szCs w:val="24"/>
        </w:rPr>
        <w:t>in disease prediction</w:t>
      </w:r>
      <w:r w:rsidRPr="00B66CB8">
        <w:rPr>
          <w:rFonts w:ascii="Times New Roman" w:hAnsi="Times New Roman"/>
          <w:sz w:val="24"/>
          <w:szCs w:val="24"/>
        </w:rPr>
        <w:br w:type="page"/>
      </w:r>
    </w:p>
    <w:p w:rsidR="00210106" w:rsidRPr="00D5255A" w:rsidRDefault="00210106" w:rsidP="00D24534">
      <w:pPr>
        <w:pStyle w:val="Heading1"/>
        <w:spacing w:after="0" w:line="480" w:lineRule="auto"/>
        <w:rPr>
          <w:rFonts w:ascii="Times New Roman" w:hAnsi="Times New Roman"/>
          <w:sz w:val="24"/>
          <w:szCs w:val="24"/>
        </w:rPr>
      </w:pPr>
      <w:r w:rsidRPr="00D5255A">
        <w:rPr>
          <w:rFonts w:ascii="Times New Roman" w:hAnsi="Times New Roman"/>
          <w:sz w:val="24"/>
          <w:szCs w:val="24"/>
        </w:rPr>
        <w:lastRenderedPageBreak/>
        <w:t>Introduction</w:t>
      </w:r>
    </w:p>
    <w:p w:rsidR="00210106" w:rsidRPr="00D5255A" w:rsidRDefault="00210106" w:rsidP="00D5255A">
      <w:pPr>
        <w:spacing w:after="0" w:line="480" w:lineRule="auto"/>
        <w:jc w:val="both"/>
        <w:rPr>
          <w:rFonts w:ascii="Times New Roman" w:hAnsi="Times New Roman"/>
          <w:sz w:val="24"/>
        </w:rPr>
      </w:pPr>
      <w:r w:rsidRPr="00D5255A">
        <w:rPr>
          <w:rFonts w:ascii="Times New Roman" w:hAnsi="Times New Roman"/>
          <w:sz w:val="24"/>
        </w:rPr>
        <w:t xml:space="preserve">The estimated heritability of lipid </w:t>
      </w:r>
      <w:r>
        <w:rPr>
          <w:rFonts w:ascii="Times New Roman" w:hAnsi="Times New Roman"/>
          <w:sz w:val="24"/>
        </w:rPr>
        <w:t>traits</w:t>
      </w:r>
      <w:r w:rsidRPr="00D5255A">
        <w:rPr>
          <w:rFonts w:ascii="Times New Roman" w:hAnsi="Times New Roman"/>
          <w:sz w:val="24"/>
        </w:rPr>
        <w:t xml:space="preserve"> is ~40-70%,</w:t>
      </w:r>
      <w:r w:rsidRPr="00D5255A">
        <w:rPr>
          <w:rFonts w:ascii="Times New Roman" w:hAnsi="Times New Roman"/>
          <w:noProof/>
          <w:sz w:val="24"/>
        </w:rPr>
        <w:t>(1)</w:t>
      </w:r>
      <w:r w:rsidRPr="00D5255A">
        <w:rPr>
          <w:rFonts w:ascii="Times New Roman" w:hAnsi="Times New Roman"/>
          <w:sz w:val="24"/>
        </w:rPr>
        <w:t xml:space="preserve"> with genome-wide significant variants (</w:t>
      </w:r>
      <w:r w:rsidRPr="00D5255A">
        <w:rPr>
          <w:rFonts w:ascii="Times New Roman" w:hAnsi="Times New Roman"/>
          <w:i/>
          <w:sz w:val="24"/>
        </w:rPr>
        <w:t>P</w:t>
      </w:r>
      <w:r w:rsidRPr="00D5255A">
        <w:rPr>
          <w:rFonts w:ascii="Times New Roman" w:hAnsi="Times New Roman"/>
          <w:sz w:val="24"/>
        </w:rPr>
        <w:t>&lt;5×10</w:t>
      </w:r>
      <w:r w:rsidRPr="00D5255A">
        <w:rPr>
          <w:rFonts w:ascii="Times New Roman" w:hAnsi="Times New Roman"/>
          <w:sz w:val="24"/>
          <w:vertAlign w:val="superscript"/>
        </w:rPr>
        <w:t>-8</w:t>
      </w:r>
      <w:r w:rsidRPr="00D5255A">
        <w:rPr>
          <w:rFonts w:ascii="Times New Roman" w:hAnsi="Times New Roman"/>
          <w:sz w:val="24"/>
        </w:rPr>
        <w:t>) accounting for ~20% of the heritable fraction</w:t>
      </w:r>
      <w:proofErr w:type="gramStart"/>
      <w:r w:rsidRPr="00D5255A">
        <w:rPr>
          <w:rFonts w:ascii="Times New Roman" w:hAnsi="Times New Roman"/>
          <w:sz w:val="24"/>
        </w:rPr>
        <w:t>.</w:t>
      </w:r>
      <w:r w:rsidRPr="00D5255A">
        <w:rPr>
          <w:rFonts w:ascii="Times New Roman" w:hAnsi="Times New Roman"/>
          <w:noProof/>
          <w:sz w:val="24"/>
        </w:rPr>
        <w:t>(</w:t>
      </w:r>
      <w:proofErr w:type="gramEnd"/>
      <w:r w:rsidRPr="00D5255A">
        <w:rPr>
          <w:rFonts w:ascii="Times New Roman" w:hAnsi="Times New Roman"/>
          <w:noProof/>
          <w:sz w:val="24"/>
        </w:rPr>
        <w:t>2)</w:t>
      </w:r>
      <w:r w:rsidRPr="00D5255A">
        <w:rPr>
          <w:rFonts w:ascii="Times New Roman" w:hAnsi="Times New Roman"/>
          <w:sz w:val="24"/>
        </w:rPr>
        <w:t xml:space="preserve"> Recent large-scale meta-analyses have identified hundreds of loci for cardiovascular traits including blood lipid levels.</w:t>
      </w:r>
      <w:r w:rsidRPr="00D5255A">
        <w:rPr>
          <w:rFonts w:ascii="Times New Roman" w:hAnsi="Times New Roman"/>
          <w:noProof/>
          <w:sz w:val="24"/>
        </w:rPr>
        <w:t>(2-5)</w:t>
      </w:r>
      <w:r w:rsidRPr="00D5255A">
        <w:rPr>
          <w:rFonts w:ascii="Times New Roman" w:hAnsi="Times New Roman"/>
          <w:sz w:val="24"/>
        </w:rPr>
        <w:t xml:space="preserve"> The findings of these well-powered studies elucidate the molecular pathways underlying cardiovascular disease (CVD), but their predictive </w:t>
      </w:r>
      <w:r>
        <w:rPr>
          <w:rFonts w:ascii="Times New Roman" w:hAnsi="Times New Roman"/>
          <w:sz w:val="24"/>
        </w:rPr>
        <w:t>accuracy</w:t>
      </w:r>
      <w:r w:rsidRPr="00D5255A">
        <w:rPr>
          <w:rFonts w:ascii="Times New Roman" w:hAnsi="Times New Roman"/>
          <w:sz w:val="24"/>
        </w:rPr>
        <w:t xml:space="preserve"> is often low. Multiple lipid variants also associate with coronary artery disease (CAD), blood pressure traits, fasting glucose, type 2 diabetes (T2D) and BMI.</w:t>
      </w:r>
      <w:r w:rsidRPr="00D5255A">
        <w:rPr>
          <w:rFonts w:ascii="Times New Roman" w:hAnsi="Times New Roman"/>
          <w:noProof/>
          <w:sz w:val="24"/>
        </w:rPr>
        <w:t>(2)</w:t>
      </w:r>
      <w:r w:rsidRPr="00D5255A">
        <w:rPr>
          <w:rFonts w:ascii="Times New Roman" w:hAnsi="Times New Roman"/>
          <w:sz w:val="24"/>
        </w:rPr>
        <w:t xml:space="preserve"> </w:t>
      </w:r>
    </w:p>
    <w:p w:rsidR="00210106" w:rsidRPr="00D5255A" w:rsidRDefault="00210106" w:rsidP="00C8633B">
      <w:pPr>
        <w:spacing w:after="0" w:line="480" w:lineRule="auto"/>
        <w:ind w:firstLine="720"/>
        <w:jc w:val="both"/>
        <w:rPr>
          <w:rFonts w:ascii="Times New Roman" w:hAnsi="Times New Roman"/>
          <w:sz w:val="24"/>
        </w:rPr>
      </w:pPr>
      <w:r w:rsidRPr="00D5255A">
        <w:rPr>
          <w:rFonts w:ascii="Times New Roman" w:hAnsi="Times New Roman"/>
          <w:sz w:val="24"/>
        </w:rPr>
        <w:t>Genetic variants associated with long-term changes in blood lipid concentrations are plausibly more clinically relevant than those only associated with cross-sectional values; however, very few studies have comprehensively examined this topic.</w:t>
      </w:r>
      <w:r w:rsidRPr="00D5255A">
        <w:rPr>
          <w:rFonts w:ascii="Times New Roman" w:hAnsi="Times New Roman"/>
          <w:noProof/>
          <w:sz w:val="24"/>
        </w:rPr>
        <w:t>(6-9)</w:t>
      </w:r>
      <w:r w:rsidRPr="00D5255A">
        <w:rPr>
          <w:rFonts w:ascii="Times New Roman" w:hAnsi="Times New Roman"/>
          <w:sz w:val="24"/>
        </w:rPr>
        <w:t xml:space="preserve"> In prior analyses in the GLACIER Study, we showed that whilst some of the 157 loci robustly associated with cross-sectional lipid concentrations</w:t>
      </w:r>
      <w:r w:rsidRPr="00D5255A">
        <w:rPr>
          <w:rFonts w:ascii="Times New Roman" w:hAnsi="Times New Roman"/>
          <w:noProof/>
          <w:sz w:val="24"/>
        </w:rPr>
        <w:t>(2, 3)</w:t>
      </w:r>
      <w:r w:rsidRPr="00D5255A">
        <w:rPr>
          <w:rFonts w:ascii="Times New Roman" w:hAnsi="Times New Roman"/>
          <w:sz w:val="24"/>
        </w:rPr>
        <w:t xml:space="preserve"> also convey robust effects on long-term changes in lipids, most loci do not.</w:t>
      </w:r>
      <w:r w:rsidRPr="00D5255A">
        <w:rPr>
          <w:rFonts w:ascii="Times New Roman" w:hAnsi="Times New Roman"/>
          <w:noProof/>
          <w:sz w:val="24"/>
        </w:rPr>
        <w:t>(8)</w:t>
      </w:r>
      <w:r w:rsidRPr="00D5255A">
        <w:rPr>
          <w:rFonts w:ascii="Times New Roman" w:hAnsi="Times New Roman"/>
          <w:sz w:val="24"/>
        </w:rPr>
        <w:t xml:space="preserve"> Thus, discovering loci related to long-term changes in blood lipids, and not merely focusing on variants that are known to bear cross-sectional associations,</w:t>
      </w:r>
      <w:r w:rsidRPr="00D5255A">
        <w:rPr>
          <w:rFonts w:ascii="Times New Roman" w:hAnsi="Times New Roman"/>
          <w:noProof/>
          <w:sz w:val="24"/>
        </w:rPr>
        <w:t>(10)</w:t>
      </w:r>
      <w:r w:rsidRPr="00D5255A">
        <w:rPr>
          <w:rFonts w:ascii="Times New Roman" w:hAnsi="Times New Roman"/>
          <w:sz w:val="24"/>
        </w:rPr>
        <w:t xml:space="preserve"> might be informative for the early identification of persons at high risk of atherosclerotic heart disease; such studies might also </w:t>
      </w:r>
      <w:r>
        <w:rPr>
          <w:rFonts w:ascii="Times New Roman" w:hAnsi="Times New Roman"/>
          <w:sz w:val="24"/>
        </w:rPr>
        <w:t>yield</w:t>
      </w:r>
      <w:r w:rsidRPr="00D5255A">
        <w:rPr>
          <w:rFonts w:ascii="Times New Roman" w:hAnsi="Times New Roman"/>
          <w:sz w:val="24"/>
        </w:rPr>
        <w:t xml:space="preserve"> leads for targeted prevention, as loci that predict changes with age might do so owing to interactions with aging-related risk factors or cumulative environmental exposures.</w:t>
      </w:r>
      <w:r w:rsidRPr="00D5255A">
        <w:rPr>
          <w:rFonts w:ascii="Times New Roman" w:hAnsi="Times New Roman"/>
          <w:noProof/>
          <w:sz w:val="24"/>
        </w:rPr>
        <w:t>(7)</w:t>
      </w:r>
    </w:p>
    <w:p w:rsidR="00210106" w:rsidRPr="00D5255A" w:rsidRDefault="00210106" w:rsidP="00C8633B">
      <w:pPr>
        <w:spacing w:after="0" w:line="480" w:lineRule="auto"/>
        <w:ind w:firstLine="720"/>
        <w:jc w:val="both"/>
        <w:rPr>
          <w:rFonts w:ascii="Times New Roman" w:hAnsi="Times New Roman"/>
          <w:sz w:val="24"/>
        </w:rPr>
      </w:pPr>
      <w:r w:rsidRPr="00D5255A">
        <w:rPr>
          <w:rFonts w:ascii="Times New Roman" w:hAnsi="Times New Roman"/>
          <w:sz w:val="24"/>
        </w:rPr>
        <w:t xml:space="preserve">Large-scale cross-sectional studies that are </w:t>
      </w:r>
      <w:r>
        <w:rPr>
          <w:rFonts w:ascii="Times New Roman" w:hAnsi="Times New Roman"/>
          <w:sz w:val="24"/>
        </w:rPr>
        <w:t>adequately</w:t>
      </w:r>
      <w:r w:rsidRPr="00D5255A">
        <w:rPr>
          <w:rFonts w:ascii="Times New Roman" w:hAnsi="Times New Roman"/>
          <w:sz w:val="24"/>
        </w:rPr>
        <w:t xml:space="preserve"> powered for detecting cross-sectional genetic associations may not be </w:t>
      </w:r>
      <w:r>
        <w:rPr>
          <w:rFonts w:ascii="Times New Roman" w:hAnsi="Times New Roman"/>
          <w:sz w:val="24"/>
        </w:rPr>
        <w:t>sufficiently</w:t>
      </w:r>
      <w:r w:rsidRPr="00D5255A">
        <w:rPr>
          <w:rFonts w:ascii="Times New Roman" w:hAnsi="Times New Roman"/>
          <w:sz w:val="24"/>
        </w:rPr>
        <w:t xml:space="preserve"> powered to identify loci with time-varying effects, particularly in meta-analyses of cohorts that differ </w:t>
      </w:r>
      <w:r>
        <w:rPr>
          <w:rFonts w:ascii="Times New Roman" w:hAnsi="Times New Roman"/>
          <w:sz w:val="24"/>
        </w:rPr>
        <w:t>by</w:t>
      </w:r>
      <w:r w:rsidRPr="00D5255A">
        <w:rPr>
          <w:rFonts w:ascii="Times New Roman" w:hAnsi="Times New Roman"/>
          <w:sz w:val="24"/>
        </w:rPr>
        <w:t xml:space="preserve"> age.</w:t>
      </w:r>
      <w:r w:rsidRPr="00D5255A">
        <w:rPr>
          <w:rFonts w:ascii="Times New Roman" w:hAnsi="Times New Roman"/>
          <w:noProof/>
          <w:sz w:val="24"/>
        </w:rPr>
        <w:t>(11)</w:t>
      </w:r>
      <w:r w:rsidRPr="00D5255A">
        <w:rPr>
          <w:rFonts w:ascii="Times New Roman" w:hAnsi="Times New Roman"/>
          <w:sz w:val="24"/>
        </w:rPr>
        <w:t xml:space="preserve"> To address this, we leveraged the extensive lipid-related content of the MetaboChip array, which contains </w:t>
      </w:r>
      <w:r>
        <w:rPr>
          <w:rFonts w:ascii="Times New Roman" w:hAnsi="Times New Roman"/>
          <w:sz w:val="24"/>
        </w:rPr>
        <w:t>a large number of</w:t>
      </w:r>
      <w:r w:rsidRPr="00D5255A">
        <w:rPr>
          <w:rFonts w:ascii="Times New Roman" w:hAnsi="Times New Roman"/>
          <w:sz w:val="24"/>
        </w:rPr>
        <w:t xml:space="preserve"> variants that </w:t>
      </w:r>
      <w:r>
        <w:rPr>
          <w:rFonts w:ascii="Times New Roman" w:hAnsi="Times New Roman"/>
          <w:sz w:val="24"/>
        </w:rPr>
        <w:t xml:space="preserve">did not reach a genome-wide level of significance </w:t>
      </w:r>
      <w:r w:rsidRPr="00D5255A">
        <w:rPr>
          <w:rFonts w:ascii="Times New Roman" w:hAnsi="Times New Roman"/>
          <w:sz w:val="24"/>
        </w:rPr>
        <w:t>(</w:t>
      </w:r>
      <w:r w:rsidRPr="00D5255A">
        <w:rPr>
          <w:rFonts w:ascii="Times New Roman" w:hAnsi="Times New Roman"/>
          <w:i/>
          <w:sz w:val="24"/>
        </w:rPr>
        <w:t>P</w:t>
      </w:r>
      <w:r>
        <w:rPr>
          <w:rFonts w:ascii="Times New Roman" w:hAnsi="Times New Roman"/>
          <w:sz w:val="24"/>
        </w:rPr>
        <w:t>&gt;</w:t>
      </w:r>
      <w:r w:rsidRPr="00D5255A">
        <w:rPr>
          <w:rFonts w:ascii="Times New Roman" w:hAnsi="Times New Roman"/>
          <w:sz w:val="24"/>
        </w:rPr>
        <w:t>5×10</w:t>
      </w:r>
      <w:r w:rsidRPr="00D5255A">
        <w:rPr>
          <w:rFonts w:ascii="Times New Roman" w:hAnsi="Times New Roman"/>
          <w:sz w:val="24"/>
          <w:vertAlign w:val="superscript"/>
        </w:rPr>
        <w:t>-8</w:t>
      </w:r>
      <w:r w:rsidRPr="00D5255A">
        <w:rPr>
          <w:rFonts w:ascii="Times New Roman" w:hAnsi="Times New Roman"/>
          <w:sz w:val="24"/>
        </w:rPr>
        <w:t>) in early genome-wide associations studies (GWAS)</w:t>
      </w:r>
      <w:r>
        <w:rPr>
          <w:rFonts w:ascii="Times New Roman" w:hAnsi="Times New Roman"/>
          <w:sz w:val="24"/>
        </w:rPr>
        <w:t xml:space="preserve"> for cross-sectional lipid levels</w:t>
      </w:r>
      <w:r w:rsidRPr="00D5255A">
        <w:rPr>
          <w:rFonts w:ascii="Times New Roman" w:hAnsi="Times New Roman"/>
          <w:sz w:val="24"/>
        </w:rPr>
        <w:t xml:space="preserve">. We hypothesized </w:t>
      </w:r>
      <w:r w:rsidRPr="00D5255A">
        <w:rPr>
          <w:rFonts w:ascii="Times New Roman" w:hAnsi="Times New Roman"/>
          <w:sz w:val="24"/>
        </w:rPr>
        <w:lastRenderedPageBreak/>
        <w:t>that some of these loci had weaker effects in cross-sectional studies because their effects might be time-varying.</w:t>
      </w:r>
    </w:p>
    <w:p w:rsidR="00210106" w:rsidRPr="00D5255A" w:rsidRDefault="00210106" w:rsidP="00C8633B">
      <w:pPr>
        <w:spacing w:line="480" w:lineRule="auto"/>
        <w:ind w:firstLine="720"/>
        <w:jc w:val="both"/>
        <w:rPr>
          <w:rFonts w:ascii="Times New Roman" w:hAnsi="Times New Roman"/>
          <w:sz w:val="24"/>
        </w:rPr>
      </w:pPr>
      <w:r w:rsidRPr="00D5255A">
        <w:rPr>
          <w:rFonts w:ascii="Times New Roman" w:hAnsi="Times New Roman"/>
          <w:sz w:val="24"/>
        </w:rPr>
        <w:t xml:space="preserve">The purpose of this study was to discover loci that hitherto </w:t>
      </w:r>
      <w:r>
        <w:rPr>
          <w:rFonts w:ascii="Times New Roman" w:hAnsi="Times New Roman"/>
          <w:sz w:val="24"/>
        </w:rPr>
        <w:t xml:space="preserve">were not </w:t>
      </w:r>
      <w:r w:rsidRPr="00D5255A">
        <w:rPr>
          <w:rFonts w:ascii="Times New Roman" w:hAnsi="Times New Roman"/>
          <w:sz w:val="24"/>
        </w:rPr>
        <w:t xml:space="preserve">known </w:t>
      </w:r>
      <w:r>
        <w:rPr>
          <w:rFonts w:ascii="Times New Roman" w:hAnsi="Times New Roman"/>
          <w:sz w:val="24"/>
        </w:rPr>
        <w:t xml:space="preserve">to bear </w:t>
      </w:r>
      <w:r w:rsidRPr="00D5255A">
        <w:rPr>
          <w:rFonts w:ascii="Times New Roman" w:hAnsi="Times New Roman"/>
          <w:sz w:val="24"/>
        </w:rPr>
        <w:t>relationships with long-term deteriorations in blood lipid levels and CAD.</w:t>
      </w:r>
      <w:r w:rsidRPr="00D5255A">
        <w:rPr>
          <w:rFonts w:ascii="Times New Roman" w:hAnsi="Times New Roman"/>
          <w:sz w:val="24"/>
          <w:szCs w:val="24"/>
        </w:rPr>
        <w:br w:type="page"/>
      </w:r>
    </w:p>
    <w:p w:rsidR="00210106" w:rsidRPr="00D5255A" w:rsidRDefault="00210106" w:rsidP="008D3F50">
      <w:pPr>
        <w:pStyle w:val="Heading1"/>
        <w:spacing w:after="0" w:line="480" w:lineRule="auto"/>
        <w:rPr>
          <w:rFonts w:ascii="Times New Roman" w:hAnsi="Times New Roman"/>
          <w:sz w:val="24"/>
          <w:szCs w:val="24"/>
        </w:rPr>
      </w:pPr>
      <w:r w:rsidRPr="00D5255A">
        <w:rPr>
          <w:rFonts w:ascii="Times New Roman" w:hAnsi="Times New Roman"/>
          <w:sz w:val="24"/>
          <w:szCs w:val="24"/>
        </w:rPr>
        <w:lastRenderedPageBreak/>
        <w:t>MATERIALS and Methods</w:t>
      </w:r>
    </w:p>
    <w:p w:rsidR="00210106" w:rsidRPr="00D5255A" w:rsidRDefault="00210106" w:rsidP="008D3F50">
      <w:pPr>
        <w:pStyle w:val="Heading2"/>
        <w:spacing w:before="0" w:line="480" w:lineRule="auto"/>
        <w:rPr>
          <w:rFonts w:ascii="Times New Roman" w:hAnsi="Times New Roman" w:cs="Times New Roman"/>
          <w:color w:val="auto"/>
          <w:sz w:val="24"/>
          <w:szCs w:val="24"/>
        </w:rPr>
      </w:pPr>
      <w:r w:rsidRPr="00D5255A">
        <w:rPr>
          <w:rFonts w:ascii="Times New Roman" w:hAnsi="Times New Roman" w:cs="Times New Roman"/>
          <w:color w:val="auto"/>
          <w:sz w:val="24"/>
          <w:szCs w:val="24"/>
        </w:rPr>
        <w:t>Ethics Statement</w:t>
      </w:r>
    </w:p>
    <w:p w:rsidR="00210106" w:rsidRPr="00D5255A" w:rsidRDefault="00210106" w:rsidP="008D3F50">
      <w:pPr>
        <w:spacing w:after="0" w:line="480" w:lineRule="auto"/>
        <w:ind w:firstLine="720"/>
        <w:jc w:val="both"/>
        <w:rPr>
          <w:rFonts w:ascii="Times New Roman" w:hAnsi="Times New Roman"/>
          <w:sz w:val="24"/>
          <w:szCs w:val="24"/>
        </w:rPr>
      </w:pPr>
      <w:r w:rsidRPr="00D5255A">
        <w:rPr>
          <w:rFonts w:ascii="Times New Roman" w:hAnsi="Times New Roman"/>
          <w:sz w:val="24"/>
          <w:szCs w:val="24"/>
        </w:rPr>
        <w:t>Ethical approval for the GLACIER study was obtained from the Regional Ethical Review Board in Umeå, Sweden. The Ethics Committee at Lund University approved the MDC study. All participants of the PIVUS and ULSAM studies gave written informed consent and the Ethics Committee of Uppsala University approved the study protocols. All participants of the MRC Ely study gave informed consent and the study has received ethical clearance from the local ethics committee.</w:t>
      </w:r>
    </w:p>
    <w:p w:rsidR="00210106" w:rsidRPr="00D5255A" w:rsidRDefault="00210106" w:rsidP="008D3F50">
      <w:pPr>
        <w:spacing w:after="0" w:line="480" w:lineRule="auto"/>
        <w:rPr>
          <w:rFonts w:ascii="Times New Roman" w:hAnsi="Times New Roman"/>
          <w:sz w:val="24"/>
          <w:szCs w:val="24"/>
        </w:rPr>
      </w:pPr>
    </w:p>
    <w:p w:rsidR="00210106" w:rsidRPr="00D5255A" w:rsidRDefault="00210106" w:rsidP="008D3F50">
      <w:pPr>
        <w:pStyle w:val="Heading2"/>
        <w:spacing w:before="0" w:line="480" w:lineRule="auto"/>
        <w:rPr>
          <w:rFonts w:ascii="Times New Roman" w:hAnsi="Times New Roman" w:cs="Times New Roman"/>
          <w:color w:val="auto"/>
          <w:sz w:val="24"/>
          <w:szCs w:val="24"/>
        </w:rPr>
      </w:pPr>
      <w:r w:rsidRPr="00D5255A">
        <w:rPr>
          <w:rFonts w:ascii="Times New Roman" w:hAnsi="Times New Roman" w:cs="Times New Roman"/>
          <w:color w:val="auto"/>
          <w:sz w:val="24"/>
          <w:szCs w:val="24"/>
        </w:rPr>
        <w:t>Study participants</w:t>
      </w:r>
    </w:p>
    <w:p w:rsidR="00210106" w:rsidRPr="00D5255A" w:rsidRDefault="00210106" w:rsidP="008D3F50">
      <w:pPr>
        <w:spacing w:after="0" w:line="480" w:lineRule="auto"/>
        <w:ind w:firstLine="720"/>
        <w:jc w:val="both"/>
        <w:rPr>
          <w:rFonts w:ascii="Times New Roman" w:hAnsi="Times New Roman"/>
          <w:sz w:val="24"/>
          <w:szCs w:val="24"/>
        </w:rPr>
      </w:pPr>
      <w:r w:rsidRPr="00D5255A">
        <w:rPr>
          <w:rFonts w:ascii="Times New Roman" w:hAnsi="Times New Roman"/>
          <w:sz w:val="24"/>
          <w:szCs w:val="24"/>
        </w:rPr>
        <w:t xml:space="preserve">The GLACIER </w:t>
      </w:r>
      <w:proofErr w:type="gramStart"/>
      <w:r w:rsidRPr="00D5255A">
        <w:rPr>
          <w:rFonts w:ascii="Times New Roman" w:hAnsi="Times New Roman"/>
          <w:sz w:val="24"/>
          <w:szCs w:val="24"/>
        </w:rPr>
        <w:t>Study</w:t>
      </w:r>
      <w:r>
        <w:rPr>
          <w:rFonts w:ascii="Times New Roman" w:hAnsi="Times New Roman"/>
          <w:noProof/>
          <w:sz w:val="24"/>
          <w:szCs w:val="24"/>
        </w:rPr>
        <w:t>(</w:t>
      </w:r>
      <w:proofErr w:type="gramEnd"/>
      <w:r>
        <w:rPr>
          <w:rFonts w:ascii="Times New Roman" w:hAnsi="Times New Roman"/>
          <w:noProof/>
          <w:sz w:val="24"/>
          <w:szCs w:val="24"/>
        </w:rPr>
        <w:t>12)</w:t>
      </w:r>
      <w:r w:rsidRPr="00D5255A">
        <w:rPr>
          <w:rFonts w:ascii="Times New Roman" w:hAnsi="Times New Roman"/>
          <w:sz w:val="24"/>
          <w:szCs w:val="24"/>
        </w:rPr>
        <w:t xml:space="preserve"> is a population-based cohort study of </w:t>
      </w:r>
      <w:r>
        <w:rPr>
          <w:rFonts w:ascii="Times New Roman" w:hAnsi="Times New Roman"/>
          <w:sz w:val="24"/>
          <w:szCs w:val="24"/>
        </w:rPr>
        <w:t xml:space="preserve">participants who were initially </w:t>
      </w:r>
      <w:r w:rsidRPr="00D5255A">
        <w:rPr>
          <w:rFonts w:ascii="Times New Roman" w:hAnsi="Times New Roman"/>
          <w:sz w:val="24"/>
          <w:szCs w:val="24"/>
        </w:rPr>
        <w:t xml:space="preserve">free </w:t>
      </w:r>
      <w:r>
        <w:rPr>
          <w:rFonts w:ascii="Times New Roman" w:hAnsi="Times New Roman"/>
          <w:sz w:val="24"/>
          <w:szCs w:val="24"/>
        </w:rPr>
        <w:t xml:space="preserve">of CAD, </w:t>
      </w:r>
      <w:r w:rsidRPr="00D5255A">
        <w:rPr>
          <w:rFonts w:ascii="Times New Roman" w:hAnsi="Times New Roman"/>
          <w:sz w:val="24"/>
          <w:szCs w:val="24"/>
        </w:rPr>
        <w:t>nested within the Northern Sweden Health and Disease Study</w:t>
      </w:r>
      <w:r>
        <w:rPr>
          <w:rFonts w:ascii="Times New Roman" w:hAnsi="Times New Roman"/>
          <w:noProof/>
          <w:sz w:val="24"/>
          <w:szCs w:val="24"/>
        </w:rPr>
        <w:t>(13)</w:t>
      </w:r>
      <w:r w:rsidRPr="00D5255A">
        <w:rPr>
          <w:rFonts w:ascii="Times New Roman" w:hAnsi="Times New Roman"/>
          <w:sz w:val="24"/>
          <w:szCs w:val="24"/>
        </w:rPr>
        <w:t xml:space="preserve"> and the Västerbotten Health Survey (VHU) in Northern Sweden (N~110,000). Recruitment and clinical measures are described in detail elsewhere</w:t>
      </w:r>
      <w:proofErr w:type="gramStart"/>
      <w:r w:rsidRPr="00D5255A">
        <w:rPr>
          <w:rFonts w:ascii="Times New Roman" w:hAnsi="Times New Roman"/>
          <w:sz w:val="24"/>
          <w:szCs w:val="24"/>
        </w:rPr>
        <w:t>.</w:t>
      </w:r>
      <w:r>
        <w:rPr>
          <w:rFonts w:ascii="Times New Roman" w:hAnsi="Times New Roman"/>
          <w:noProof/>
          <w:sz w:val="24"/>
          <w:szCs w:val="24"/>
        </w:rPr>
        <w:t>(</w:t>
      </w:r>
      <w:proofErr w:type="gramEnd"/>
      <w:r>
        <w:rPr>
          <w:rFonts w:ascii="Times New Roman" w:hAnsi="Times New Roman"/>
          <w:noProof/>
          <w:sz w:val="24"/>
          <w:szCs w:val="24"/>
        </w:rPr>
        <w:t>8, 13)</w:t>
      </w:r>
      <w:r w:rsidRPr="00D5255A">
        <w:rPr>
          <w:rFonts w:ascii="Times New Roman" w:hAnsi="Times New Roman"/>
          <w:sz w:val="24"/>
          <w:szCs w:val="24"/>
        </w:rPr>
        <w:t xml:space="preserve"> A total of 3,492 (</w:t>
      </w:r>
      <w:r>
        <w:rPr>
          <w:rFonts w:ascii="Times New Roman" w:hAnsi="Times New Roman"/>
          <w:sz w:val="24"/>
          <w:szCs w:val="24"/>
        </w:rPr>
        <w:t xml:space="preserve">for </w:t>
      </w:r>
      <w:r w:rsidRPr="00D5255A">
        <w:rPr>
          <w:rFonts w:ascii="Times New Roman" w:hAnsi="Times New Roman"/>
          <w:sz w:val="24"/>
          <w:szCs w:val="24"/>
        </w:rPr>
        <w:t>total cholesterol – TC) and 2,209 (</w:t>
      </w:r>
      <w:r>
        <w:rPr>
          <w:rFonts w:ascii="Times New Roman" w:hAnsi="Times New Roman"/>
          <w:sz w:val="24"/>
          <w:szCs w:val="24"/>
        </w:rPr>
        <w:t xml:space="preserve">for </w:t>
      </w:r>
      <w:r w:rsidRPr="00D5255A">
        <w:rPr>
          <w:rFonts w:ascii="Times New Roman" w:hAnsi="Times New Roman"/>
          <w:sz w:val="24"/>
          <w:szCs w:val="24"/>
        </w:rPr>
        <w:t>triglycerides – TG) participants had relevant prospective genetic and phenotypic data available. As HDL-C was measured with a different method</w:t>
      </w:r>
      <w:r w:rsidR="00A07DA5">
        <w:rPr>
          <w:rFonts w:ascii="Times New Roman" w:hAnsi="Times New Roman"/>
          <w:sz w:val="24"/>
          <w:szCs w:val="24"/>
        </w:rPr>
        <w:t xml:space="preserve"> </w:t>
      </w:r>
      <w:r w:rsidR="00A07DA5">
        <w:rPr>
          <w:rFonts w:ascii="Times New Roman" w:hAnsi="Times New Roman"/>
          <w:sz w:val="24"/>
          <w:szCs w:val="24"/>
        </w:rPr>
        <w:t>than the other lipid traits</w:t>
      </w:r>
      <w:bookmarkStart w:id="0" w:name="_GoBack"/>
      <w:bookmarkEnd w:id="0"/>
      <w:r w:rsidRPr="00D5255A">
        <w:rPr>
          <w:rFonts w:ascii="Times New Roman" w:hAnsi="Times New Roman"/>
          <w:sz w:val="24"/>
          <w:szCs w:val="24"/>
        </w:rPr>
        <w:t>, HDL-C and LDL-C were only available in a smaller subset of samples. Therefore, in this work we only analyzed TC and TG levels.</w:t>
      </w:r>
    </w:p>
    <w:p w:rsidR="00210106" w:rsidRPr="00D5255A" w:rsidRDefault="00210106" w:rsidP="008D3F50">
      <w:pPr>
        <w:spacing w:after="0" w:line="480" w:lineRule="auto"/>
        <w:ind w:firstLine="720"/>
        <w:jc w:val="both"/>
        <w:rPr>
          <w:rFonts w:ascii="Times New Roman" w:hAnsi="Times New Roman"/>
          <w:sz w:val="24"/>
          <w:szCs w:val="24"/>
        </w:rPr>
      </w:pPr>
      <w:r w:rsidRPr="00D5255A">
        <w:rPr>
          <w:rFonts w:ascii="Times New Roman" w:hAnsi="Times New Roman"/>
          <w:sz w:val="24"/>
          <w:szCs w:val="24"/>
        </w:rPr>
        <w:t>Study characteristics, clinical measures, genotyping and statistical methods for the replication cohorts (MDC, PIVUS, ULSAM and MRC Ely) are reported in Method S1.</w:t>
      </w:r>
    </w:p>
    <w:p w:rsidR="00210106" w:rsidRPr="00D5255A" w:rsidRDefault="00210106" w:rsidP="008D3F50">
      <w:pPr>
        <w:spacing w:after="0" w:line="480" w:lineRule="auto"/>
        <w:rPr>
          <w:rFonts w:ascii="Times New Roman" w:hAnsi="Times New Roman"/>
          <w:sz w:val="24"/>
          <w:szCs w:val="24"/>
        </w:rPr>
      </w:pPr>
    </w:p>
    <w:p w:rsidR="00210106" w:rsidRPr="00D5255A" w:rsidRDefault="00210106" w:rsidP="008D3F50">
      <w:pPr>
        <w:pStyle w:val="Heading2"/>
        <w:spacing w:before="0" w:line="480" w:lineRule="auto"/>
        <w:rPr>
          <w:rFonts w:ascii="Times New Roman" w:hAnsi="Times New Roman" w:cs="Times New Roman"/>
          <w:color w:val="auto"/>
          <w:sz w:val="24"/>
          <w:szCs w:val="24"/>
        </w:rPr>
      </w:pPr>
      <w:r w:rsidRPr="00D5255A">
        <w:rPr>
          <w:rFonts w:ascii="Times New Roman" w:hAnsi="Times New Roman" w:cs="Times New Roman"/>
          <w:color w:val="auto"/>
          <w:sz w:val="24"/>
          <w:szCs w:val="24"/>
        </w:rPr>
        <w:t>Clinical measures</w:t>
      </w:r>
    </w:p>
    <w:p w:rsidR="00210106" w:rsidRPr="00D5255A" w:rsidRDefault="00210106" w:rsidP="008D3F50">
      <w:pPr>
        <w:spacing w:after="0" w:line="480" w:lineRule="auto"/>
        <w:ind w:firstLine="720"/>
        <w:jc w:val="both"/>
        <w:rPr>
          <w:rFonts w:ascii="Times New Roman" w:hAnsi="Times New Roman"/>
          <w:sz w:val="24"/>
          <w:szCs w:val="24"/>
        </w:rPr>
      </w:pPr>
      <w:r w:rsidRPr="00D5255A">
        <w:rPr>
          <w:rFonts w:ascii="Times New Roman" w:hAnsi="Times New Roman"/>
          <w:sz w:val="24"/>
          <w:szCs w:val="24"/>
        </w:rPr>
        <w:t>Clinical measures relevant to the GLACIER Study are described in detail elsewhere.</w:t>
      </w:r>
      <w:r w:rsidRPr="00D5255A">
        <w:rPr>
          <w:rFonts w:ascii="Times New Roman" w:hAnsi="Times New Roman"/>
          <w:noProof/>
          <w:sz w:val="24"/>
          <w:szCs w:val="24"/>
        </w:rPr>
        <w:t>(8)</w:t>
      </w:r>
      <w:r w:rsidRPr="00D5255A">
        <w:rPr>
          <w:rFonts w:ascii="Times New Roman" w:hAnsi="Times New Roman"/>
          <w:sz w:val="24"/>
          <w:szCs w:val="24"/>
        </w:rPr>
        <w:t xml:space="preserve"> Prior to blood draw, 80% of the cohort had fasted for &gt;8-hrs, 5% for 4-8-hrs, and fasting status was unknown in 15% of the cohort. One percent of participants reported using lipid-lowering </w:t>
      </w:r>
      <w:r w:rsidRPr="00D5255A">
        <w:rPr>
          <w:rFonts w:ascii="Times New Roman" w:hAnsi="Times New Roman"/>
          <w:sz w:val="24"/>
          <w:szCs w:val="24"/>
        </w:rPr>
        <w:lastRenderedPageBreak/>
        <w:t>medications, which we controlled for in analyses using constants</w:t>
      </w:r>
      <w:r>
        <w:rPr>
          <w:rFonts w:ascii="Times New Roman" w:hAnsi="Times New Roman"/>
          <w:sz w:val="24"/>
          <w:szCs w:val="24"/>
        </w:rPr>
        <w:t xml:space="preserve"> for statins reported by Wu </w:t>
      </w:r>
      <w:r w:rsidRPr="00265DD9">
        <w:rPr>
          <w:rFonts w:ascii="Times New Roman" w:hAnsi="Times New Roman"/>
          <w:i/>
          <w:sz w:val="24"/>
          <w:szCs w:val="24"/>
        </w:rPr>
        <w:t>et al</w:t>
      </w:r>
      <w:r>
        <w:rPr>
          <w:rFonts w:ascii="Times New Roman" w:hAnsi="Times New Roman"/>
          <w:sz w:val="24"/>
          <w:szCs w:val="24"/>
        </w:rPr>
        <w:t xml:space="preserve"> (</w:t>
      </w:r>
      <w:r w:rsidRPr="00587B18">
        <w:rPr>
          <w:rFonts w:ascii="Times New Roman" w:hAnsi="Times New Roman"/>
          <w:sz w:val="24"/>
          <w:szCs w:val="24"/>
        </w:rPr>
        <w:t>TC: +</w:t>
      </w:r>
      <w:r>
        <w:rPr>
          <w:rFonts w:ascii="Times New Roman" w:hAnsi="Times New Roman"/>
          <w:sz w:val="24"/>
          <w:szCs w:val="24"/>
        </w:rPr>
        <w:t xml:space="preserve">1.336 mmol/l, TG: +0.207 mmol/l) </w:t>
      </w:r>
      <w:r>
        <w:rPr>
          <w:rFonts w:ascii="Times New Roman" w:hAnsi="Times New Roman"/>
          <w:noProof/>
          <w:sz w:val="24"/>
          <w:szCs w:val="24"/>
        </w:rPr>
        <w:t>(14)</w:t>
      </w:r>
      <w:r>
        <w:rPr>
          <w:rFonts w:ascii="Times New Roman" w:hAnsi="Times New Roman"/>
          <w:sz w:val="24"/>
          <w:szCs w:val="24"/>
        </w:rPr>
        <w:t>, as described previously.</w:t>
      </w:r>
      <w:r>
        <w:rPr>
          <w:rFonts w:ascii="Times New Roman" w:hAnsi="Times New Roman"/>
          <w:noProof/>
          <w:sz w:val="24"/>
          <w:szCs w:val="24"/>
        </w:rPr>
        <w:t>(8)</w:t>
      </w:r>
      <w:r>
        <w:rPr>
          <w:rFonts w:ascii="Times New Roman" w:hAnsi="Times New Roman"/>
          <w:sz w:val="24"/>
          <w:szCs w:val="24"/>
        </w:rPr>
        <w:t xml:space="preserve"> Although the type of lipid lowering medication was not available in the GLACIER study, statins were the most commonly prescribed lipid lowering agents within this population at the time of recruitment.</w:t>
      </w:r>
      <w:r>
        <w:rPr>
          <w:rFonts w:ascii="Times New Roman" w:hAnsi="Times New Roman"/>
          <w:noProof/>
          <w:sz w:val="24"/>
          <w:szCs w:val="24"/>
        </w:rPr>
        <w:t>(15)</w:t>
      </w:r>
      <w:r w:rsidRPr="00D5255A">
        <w:rPr>
          <w:rFonts w:ascii="Times New Roman" w:hAnsi="Times New Roman"/>
          <w:sz w:val="24"/>
          <w:szCs w:val="24"/>
        </w:rPr>
        <w:t xml:space="preserve"> </w:t>
      </w:r>
      <w:r>
        <w:rPr>
          <w:rFonts w:ascii="Times New Roman" w:hAnsi="Times New Roman"/>
          <w:sz w:val="24"/>
          <w:szCs w:val="24"/>
        </w:rPr>
        <w:t>Using constants to correct for medication effects</w:t>
      </w:r>
      <w:r w:rsidRPr="00D5255A">
        <w:rPr>
          <w:rFonts w:ascii="Times New Roman" w:hAnsi="Times New Roman"/>
          <w:sz w:val="24"/>
          <w:szCs w:val="24"/>
        </w:rPr>
        <w:t xml:space="preserve"> has been shown to yield less biased estimates and to be more powerful than adjusting with a binary variable or exclud</w:t>
      </w:r>
      <w:r>
        <w:rPr>
          <w:rFonts w:ascii="Times New Roman" w:hAnsi="Times New Roman"/>
          <w:sz w:val="24"/>
          <w:szCs w:val="24"/>
        </w:rPr>
        <w:t>ing</w:t>
      </w:r>
      <w:r w:rsidRPr="00D5255A">
        <w:rPr>
          <w:rFonts w:ascii="Times New Roman" w:hAnsi="Times New Roman"/>
          <w:sz w:val="24"/>
          <w:szCs w:val="24"/>
        </w:rPr>
        <w:t xml:space="preserve"> participants on medication.</w:t>
      </w:r>
      <w:r>
        <w:rPr>
          <w:rFonts w:ascii="Times New Roman" w:hAnsi="Times New Roman"/>
          <w:noProof/>
          <w:sz w:val="24"/>
          <w:szCs w:val="24"/>
        </w:rPr>
        <w:t>(16)</w:t>
      </w:r>
      <w:r w:rsidRPr="00D5255A">
        <w:rPr>
          <w:rFonts w:ascii="Times New Roman" w:hAnsi="Times New Roman"/>
          <w:sz w:val="24"/>
          <w:szCs w:val="24"/>
        </w:rPr>
        <w:t xml:space="preserve"> TG values were transformed to the natural log scale prior to all analyses to approximate a normal distribution in each cohort.</w:t>
      </w:r>
    </w:p>
    <w:p w:rsidR="00210106" w:rsidRPr="00D5255A" w:rsidRDefault="00210106" w:rsidP="008D3F50">
      <w:pPr>
        <w:spacing w:after="0" w:line="480" w:lineRule="auto"/>
        <w:rPr>
          <w:rFonts w:ascii="Times New Roman" w:hAnsi="Times New Roman"/>
          <w:sz w:val="24"/>
          <w:szCs w:val="24"/>
        </w:rPr>
      </w:pPr>
    </w:p>
    <w:p w:rsidR="00210106" w:rsidRPr="00D5255A" w:rsidRDefault="00210106" w:rsidP="008D3F50">
      <w:pPr>
        <w:pStyle w:val="Heading2"/>
        <w:spacing w:before="0" w:line="480" w:lineRule="auto"/>
        <w:rPr>
          <w:rFonts w:ascii="Times New Roman" w:hAnsi="Times New Roman" w:cs="Times New Roman"/>
          <w:color w:val="auto"/>
          <w:sz w:val="24"/>
          <w:szCs w:val="24"/>
        </w:rPr>
      </w:pPr>
      <w:r w:rsidRPr="00D5255A">
        <w:rPr>
          <w:rFonts w:ascii="Times New Roman" w:hAnsi="Times New Roman" w:cs="Times New Roman"/>
          <w:color w:val="auto"/>
          <w:sz w:val="24"/>
          <w:szCs w:val="24"/>
        </w:rPr>
        <w:t>Genotyping and SNP selection</w:t>
      </w:r>
    </w:p>
    <w:p w:rsidR="00210106" w:rsidRPr="00D5255A" w:rsidRDefault="00210106" w:rsidP="008D3F50">
      <w:pPr>
        <w:spacing w:after="0" w:line="480" w:lineRule="auto"/>
        <w:ind w:firstLine="720"/>
        <w:jc w:val="both"/>
        <w:rPr>
          <w:rFonts w:ascii="Times New Roman" w:hAnsi="Times New Roman"/>
          <w:sz w:val="24"/>
          <w:szCs w:val="24"/>
        </w:rPr>
      </w:pPr>
      <w:r w:rsidRPr="00D5255A">
        <w:rPr>
          <w:rFonts w:ascii="Times New Roman" w:hAnsi="Times New Roman"/>
          <w:sz w:val="24"/>
          <w:szCs w:val="24"/>
        </w:rPr>
        <w:t>DNA was extracted from peripheral white blood cells and genomic DNA samples were diluted to 4 ng/</w:t>
      </w:r>
      <w:proofErr w:type="spellStart"/>
      <w:r w:rsidRPr="00D5255A">
        <w:rPr>
          <w:rFonts w:ascii="Times New Roman" w:hAnsi="Times New Roman"/>
          <w:sz w:val="24"/>
          <w:szCs w:val="24"/>
        </w:rPr>
        <w:t>μl</w:t>
      </w:r>
      <w:proofErr w:type="spellEnd"/>
      <w:r w:rsidRPr="00D5255A">
        <w:rPr>
          <w:rFonts w:ascii="Times New Roman" w:hAnsi="Times New Roman"/>
          <w:sz w:val="24"/>
          <w:szCs w:val="24"/>
        </w:rPr>
        <w:t xml:space="preserve"> as previously described</w:t>
      </w:r>
      <w:proofErr w:type="gramStart"/>
      <w:r w:rsidRPr="00D5255A">
        <w:rPr>
          <w:rFonts w:ascii="Times New Roman" w:hAnsi="Times New Roman"/>
          <w:sz w:val="24"/>
          <w:szCs w:val="24"/>
        </w:rPr>
        <w:t>.</w:t>
      </w:r>
      <w:r>
        <w:rPr>
          <w:rFonts w:ascii="Times New Roman" w:hAnsi="Times New Roman"/>
          <w:noProof/>
          <w:sz w:val="24"/>
          <w:szCs w:val="24"/>
        </w:rPr>
        <w:t>(</w:t>
      </w:r>
      <w:proofErr w:type="gramEnd"/>
      <w:r>
        <w:rPr>
          <w:rFonts w:ascii="Times New Roman" w:hAnsi="Times New Roman"/>
          <w:noProof/>
          <w:sz w:val="24"/>
          <w:szCs w:val="24"/>
        </w:rPr>
        <w:t>12, 17)</w:t>
      </w:r>
      <w:r w:rsidRPr="00D5255A">
        <w:rPr>
          <w:rFonts w:ascii="Times New Roman" w:hAnsi="Times New Roman"/>
          <w:sz w:val="24"/>
          <w:szCs w:val="24"/>
        </w:rPr>
        <w:t xml:space="preserve"> Samples were genotyped using </w:t>
      </w:r>
      <w:r>
        <w:rPr>
          <w:rFonts w:ascii="Times New Roman" w:hAnsi="Times New Roman"/>
          <w:sz w:val="24"/>
          <w:szCs w:val="24"/>
        </w:rPr>
        <w:t>Illumina Cardio</w:t>
      </w:r>
      <w:r w:rsidRPr="00D5255A">
        <w:rPr>
          <w:rFonts w:ascii="Times New Roman" w:hAnsi="Times New Roman"/>
          <w:sz w:val="24"/>
          <w:szCs w:val="24"/>
        </w:rPr>
        <w:t>MetaboChip (Illumina iSelect). We selected all replication SNPs for TC, TG, LDL-C and HDL-C as well as those that fine-map previously established loci and wildcard SNPs</w:t>
      </w:r>
      <w:r>
        <w:rPr>
          <w:rFonts w:ascii="Times New Roman" w:hAnsi="Times New Roman"/>
          <w:sz w:val="24"/>
          <w:szCs w:val="24"/>
        </w:rPr>
        <w:t xml:space="preserve">, which were included on the chip owing to prior evidence indicating a role in, for example, lipid-related pathways </w:t>
      </w:r>
      <w:r w:rsidRPr="00D5255A">
        <w:rPr>
          <w:rFonts w:ascii="Times New Roman" w:hAnsi="Times New Roman"/>
          <w:sz w:val="24"/>
          <w:szCs w:val="24"/>
        </w:rPr>
        <w:t>(N=43,690 SNPs).</w:t>
      </w:r>
      <w:r>
        <w:rPr>
          <w:rFonts w:ascii="Times New Roman" w:hAnsi="Times New Roman"/>
          <w:noProof/>
          <w:sz w:val="24"/>
          <w:szCs w:val="24"/>
        </w:rPr>
        <w:t>(18)</w:t>
      </w:r>
      <w:r w:rsidRPr="00D5255A">
        <w:rPr>
          <w:rFonts w:ascii="Times New Roman" w:hAnsi="Times New Roman"/>
          <w:sz w:val="24"/>
          <w:szCs w:val="24"/>
        </w:rPr>
        <w:t xml:space="preserve"> Rare variants (minor allele frequency &lt;1%) (N=14,280 SNPs) and SNPs deviating from Hardy-Weinberg equilibrium (</w:t>
      </w:r>
      <w:r w:rsidRPr="00D5255A">
        <w:rPr>
          <w:rFonts w:ascii="Times New Roman" w:hAnsi="Times New Roman"/>
          <w:i/>
          <w:sz w:val="24"/>
          <w:szCs w:val="24"/>
        </w:rPr>
        <w:t>P</w:t>
      </w:r>
      <w:r w:rsidRPr="00D5255A">
        <w:rPr>
          <w:rFonts w:ascii="Times New Roman" w:hAnsi="Times New Roman"/>
          <w:sz w:val="24"/>
          <w:szCs w:val="24"/>
        </w:rPr>
        <w:t>&lt;0.0001) (N=23 SNPs) were excluded. Accordingly, 29,387 SNPs were analyzed in GLACIER, for which the average genotyping success rate was 99.9%.</w:t>
      </w:r>
    </w:p>
    <w:p w:rsidR="00210106" w:rsidRPr="00D5255A" w:rsidRDefault="00210106" w:rsidP="008D3F50">
      <w:pPr>
        <w:spacing w:after="0" w:line="480" w:lineRule="auto"/>
        <w:rPr>
          <w:rFonts w:ascii="Times New Roman" w:hAnsi="Times New Roman"/>
          <w:sz w:val="24"/>
          <w:szCs w:val="24"/>
        </w:rPr>
      </w:pPr>
    </w:p>
    <w:p w:rsidR="00210106" w:rsidRPr="00D5255A" w:rsidRDefault="00210106" w:rsidP="008D3F50">
      <w:pPr>
        <w:pStyle w:val="Heading2"/>
        <w:spacing w:before="0" w:line="480" w:lineRule="auto"/>
        <w:rPr>
          <w:rFonts w:ascii="Times New Roman" w:hAnsi="Times New Roman" w:cs="Times New Roman"/>
          <w:color w:val="auto"/>
          <w:sz w:val="24"/>
          <w:szCs w:val="24"/>
        </w:rPr>
      </w:pPr>
      <w:r w:rsidRPr="00D5255A">
        <w:rPr>
          <w:rFonts w:ascii="Times New Roman" w:hAnsi="Times New Roman" w:cs="Times New Roman"/>
          <w:color w:val="auto"/>
          <w:sz w:val="24"/>
          <w:szCs w:val="24"/>
        </w:rPr>
        <w:t>Statistical methods</w:t>
      </w:r>
    </w:p>
    <w:p w:rsidR="00210106" w:rsidRPr="00D5255A" w:rsidRDefault="00210106" w:rsidP="008D3F50">
      <w:pPr>
        <w:spacing w:after="0" w:line="480" w:lineRule="auto"/>
        <w:ind w:firstLine="720"/>
        <w:jc w:val="both"/>
        <w:rPr>
          <w:rFonts w:ascii="Times New Roman" w:hAnsi="Times New Roman"/>
          <w:sz w:val="24"/>
          <w:szCs w:val="24"/>
        </w:rPr>
      </w:pPr>
      <w:r w:rsidRPr="00D5255A">
        <w:rPr>
          <w:rFonts w:ascii="Times New Roman" w:hAnsi="Times New Roman"/>
          <w:sz w:val="24"/>
          <w:szCs w:val="24"/>
        </w:rPr>
        <w:t xml:space="preserve">Statistical analyses were undertaken using STATA (version 13.1, </w:t>
      </w:r>
      <w:proofErr w:type="spellStart"/>
      <w:r w:rsidRPr="00D5255A">
        <w:rPr>
          <w:rFonts w:ascii="Times New Roman" w:hAnsi="Times New Roman"/>
          <w:sz w:val="24"/>
          <w:szCs w:val="24"/>
        </w:rPr>
        <w:t>StataCorp</w:t>
      </w:r>
      <w:proofErr w:type="spellEnd"/>
      <w:r w:rsidRPr="00D5255A">
        <w:rPr>
          <w:rFonts w:ascii="Times New Roman" w:hAnsi="Times New Roman"/>
          <w:sz w:val="24"/>
          <w:szCs w:val="24"/>
        </w:rPr>
        <w:t xml:space="preserve"> LP, TX, USA) and PLINK (version 1.07).</w:t>
      </w:r>
      <w:r>
        <w:rPr>
          <w:rFonts w:ascii="Times New Roman" w:hAnsi="Times New Roman"/>
          <w:noProof/>
          <w:sz w:val="24"/>
          <w:szCs w:val="24"/>
        </w:rPr>
        <w:t>(19, 20)</w:t>
      </w:r>
      <w:r w:rsidRPr="00D5255A">
        <w:rPr>
          <w:rFonts w:ascii="Times New Roman" w:hAnsi="Times New Roman"/>
          <w:sz w:val="24"/>
          <w:szCs w:val="24"/>
        </w:rPr>
        <w:t xml:space="preserve"> In the discovery (GLACIER) and the replication cohorts (MDC, PIVUS, ULSAM and MRC Ely), </w:t>
      </w:r>
      <w:r>
        <w:rPr>
          <w:rFonts w:ascii="Times New Roman" w:hAnsi="Times New Roman"/>
          <w:sz w:val="24"/>
          <w:szCs w:val="24"/>
        </w:rPr>
        <w:t xml:space="preserve">mean </w:t>
      </w:r>
      <w:r w:rsidRPr="00D5255A">
        <w:rPr>
          <w:rFonts w:ascii="Times New Roman" w:hAnsi="Times New Roman"/>
          <w:sz w:val="24"/>
          <w:szCs w:val="24"/>
        </w:rPr>
        <w:t>differences</w:t>
      </w:r>
      <w:r>
        <w:rPr>
          <w:rFonts w:ascii="Times New Roman" w:hAnsi="Times New Roman"/>
          <w:sz w:val="24"/>
          <w:szCs w:val="24"/>
        </w:rPr>
        <w:t xml:space="preserve"> for continuous variables</w:t>
      </w:r>
      <w:r w:rsidRPr="00D5255A">
        <w:rPr>
          <w:rFonts w:ascii="Times New Roman" w:hAnsi="Times New Roman"/>
          <w:sz w:val="24"/>
          <w:szCs w:val="24"/>
        </w:rPr>
        <w:t xml:space="preserve"> between baseline and follow-up were assessed by paired-samples t-tests and genetic effects </w:t>
      </w:r>
      <w:r w:rsidRPr="00D5255A">
        <w:rPr>
          <w:rFonts w:ascii="Times New Roman" w:hAnsi="Times New Roman"/>
          <w:sz w:val="24"/>
          <w:szCs w:val="24"/>
        </w:rPr>
        <w:lastRenderedPageBreak/>
        <w:t>were estimated with generalized linear models (GLMs) using genotypes (additive genetic model) as the independent variable with the lipid</w:t>
      </w:r>
      <w:r>
        <w:rPr>
          <w:rFonts w:ascii="Times New Roman" w:hAnsi="Times New Roman"/>
          <w:sz w:val="24"/>
          <w:szCs w:val="24"/>
        </w:rPr>
        <w:t xml:space="preserve"> level change</w:t>
      </w:r>
      <w:r w:rsidRPr="00D5255A">
        <w:rPr>
          <w:rFonts w:ascii="Times New Roman" w:hAnsi="Times New Roman"/>
          <w:sz w:val="24"/>
          <w:szCs w:val="24"/>
        </w:rPr>
        <w:t xml:space="preserve"> </w:t>
      </w:r>
      <w:r>
        <w:rPr>
          <w:rFonts w:ascii="Times New Roman" w:hAnsi="Times New Roman"/>
          <w:sz w:val="24"/>
          <w:szCs w:val="24"/>
        </w:rPr>
        <w:t>between baseline and follow-up divided by follow-up years (i.e., change rate or slope)</w:t>
      </w:r>
      <w:r w:rsidRPr="00D5255A">
        <w:rPr>
          <w:rFonts w:ascii="Times New Roman" w:hAnsi="Times New Roman"/>
          <w:sz w:val="24"/>
          <w:szCs w:val="24"/>
        </w:rPr>
        <w:t xml:space="preserve"> as the dependent variable; models were adjusted for the baseline lipid measure, age, age</w:t>
      </w:r>
      <w:r w:rsidRPr="00D5255A">
        <w:rPr>
          <w:rFonts w:ascii="Times New Roman" w:hAnsi="Times New Roman"/>
          <w:sz w:val="24"/>
          <w:szCs w:val="24"/>
          <w:vertAlign w:val="superscript"/>
        </w:rPr>
        <w:t>2</w:t>
      </w:r>
      <w:r w:rsidRPr="00D5255A">
        <w:rPr>
          <w:rFonts w:ascii="Times New Roman" w:hAnsi="Times New Roman"/>
          <w:sz w:val="24"/>
          <w:szCs w:val="24"/>
        </w:rPr>
        <w:t xml:space="preserve">, follow-up age, sex and population structure (first four principal components) in all models. By adjusting </w:t>
      </w:r>
      <w:r>
        <w:rPr>
          <w:rFonts w:ascii="Times New Roman" w:hAnsi="Times New Roman"/>
          <w:sz w:val="24"/>
          <w:szCs w:val="24"/>
        </w:rPr>
        <w:t>for</w:t>
      </w:r>
      <w:r w:rsidRPr="00D5255A">
        <w:rPr>
          <w:rFonts w:ascii="Times New Roman" w:hAnsi="Times New Roman"/>
          <w:sz w:val="24"/>
          <w:szCs w:val="24"/>
        </w:rPr>
        <w:t xml:space="preserve"> both baseline and follow-up age</w:t>
      </w:r>
      <w:r>
        <w:rPr>
          <w:rFonts w:ascii="Times New Roman" w:hAnsi="Times New Roman"/>
          <w:sz w:val="24"/>
          <w:szCs w:val="24"/>
        </w:rPr>
        <w:t>,</w:t>
      </w:r>
      <w:r w:rsidRPr="00D5255A">
        <w:rPr>
          <w:rFonts w:ascii="Times New Roman" w:hAnsi="Times New Roman"/>
          <w:sz w:val="24"/>
          <w:szCs w:val="24"/>
        </w:rPr>
        <w:t xml:space="preserve"> we account for follow-up period, which </w:t>
      </w:r>
      <w:r>
        <w:rPr>
          <w:rFonts w:ascii="Times New Roman" w:hAnsi="Times New Roman"/>
          <w:sz w:val="24"/>
          <w:szCs w:val="24"/>
        </w:rPr>
        <w:t>might otherwise</w:t>
      </w:r>
      <w:r w:rsidRPr="00D5255A">
        <w:rPr>
          <w:rFonts w:ascii="Times New Roman" w:hAnsi="Times New Roman"/>
          <w:sz w:val="24"/>
          <w:szCs w:val="24"/>
        </w:rPr>
        <w:t xml:space="preserve"> confound results. In GLACIER, variables for fasting status w</w:t>
      </w:r>
      <w:r>
        <w:rPr>
          <w:rFonts w:ascii="Times New Roman" w:hAnsi="Times New Roman"/>
          <w:sz w:val="24"/>
          <w:szCs w:val="24"/>
        </w:rPr>
        <w:t>ere</w:t>
      </w:r>
      <w:r w:rsidRPr="00D5255A">
        <w:rPr>
          <w:rFonts w:ascii="Times New Roman" w:hAnsi="Times New Roman"/>
          <w:sz w:val="24"/>
          <w:szCs w:val="24"/>
        </w:rPr>
        <w:t xml:space="preserve"> included in all models, as described previously. </w:t>
      </w:r>
      <w:r>
        <w:rPr>
          <w:rFonts w:ascii="Times New Roman" w:hAnsi="Times New Roman"/>
          <w:noProof/>
          <w:sz w:val="24"/>
          <w:szCs w:val="24"/>
        </w:rPr>
        <w:t>(21)</w:t>
      </w:r>
      <w:r>
        <w:rPr>
          <w:rFonts w:ascii="Times New Roman" w:hAnsi="Times New Roman"/>
          <w:sz w:val="24"/>
          <w:szCs w:val="24"/>
        </w:rPr>
        <w:t xml:space="preserve"> Formally, the model is:</w:t>
      </w:r>
    </w:p>
    <w:p w:rsidR="00210106" w:rsidRPr="00D5255A" w:rsidRDefault="00210106" w:rsidP="008D3F50">
      <w:pPr>
        <w:spacing w:after="0" w:line="480" w:lineRule="auto"/>
        <w:rPr>
          <w:rFonts w:ascii="Times New Roman" w:hAnsi="Times New Roman"/>
          <w:i/>
          <w:sz w:val="24"/>
          <w:szCs w:val="24"/>
        </w:rPr>
      </w:pPr>
      <w:r>
        <w:rPr>
          <w:rFonts w:ascii="Times New Roman" w:hAnsi="Times New Roman"/>
          <w:i/>
          <w:sz w:val="24"/>
          <w:szCs w:val="24"/>
        </w:rPr>
        <w:t>(</w:t>
      </w:r>
      <w:proofErr w:type="spellStart"/>
      <w:proofErr w:type="gramStart"/>
      <w:r w:rsidRPr="00D5255A">
        <w:rPr>
          <w:rFonts w:ascii="Times New Roman" w:hAnsi="Times New Roman"/>
          <w:i/>
          <w:sz w:val="24"/>
          <w:szCs w:val="24"/>
        </w:rPr>
        <w:t>γ</w:t>
      </w:r>
      <w:r w:rsidRPr="00D5255A">
        <w:rPr>
          <w:rFonts w:ascii="Times New Roman" w:hAnsi="Times New Roman"/>
          <w:i/>
          <w:sz w:val="24"/>
          <w:szCs w:val="24"/>
          <w:vertAlign w:val="subscript"/>
        </w:rPr>
        <w:t>F</w:t>
      </w:r>
      <w:r>
        <w:rPr>
          <w:rFonts w:ascii="Times New Roman" w:hAnsi="Times New Roman"/>
          <w:i/>
          <w:sz w:val="24"/>
          <w:szCs w:val="24"/>
          <w:vertAlign w:val="subscript"/>
        </w:rPr>
        <w:t>-</w:t>
      </w:r>
      <w:r w:rsidRPr="00D5255A">
        <w:rPr>
          <w:rFonts w:ascii="Times New Roman" w:hAnsi="Times New Roman"/>
          <w:i/>
          <w:sz w:val="24"/>
          <w:szCs w:val="24"/>
        </w:rPr>
        <w:t>γ</w:t>
      </w:r>
      <w:r w:rsidRPr="00D5255A">
        <w:rPr>
          <w:rFonts w:ascii="Times New Roman" w:hAnsi="Times New Roman"/>
          <w:i/>
          <w:sz w:val="24"/>
          <w:szCs w:val="24"/>
          <w:vertAlign w:val="subscript"/>
        </w:rPr>
        <w:t>B</w:t>
      </w:r>
      <w:proofErr w:type="spellEnd"/>
      <w:proofErr w:type="gramEnd"/>
      <w:r w:rsidRPr="003F670F">
        <w:rPr>
          <w:rFonts w:ascii="Times New Roman" w:hAnsi="Times New Roman"/>
          <w:i/>
          <w:sz w:val="24"/>
          <w:szCs w:val="24"/>
        </w:rPr>
        <w:t>)</w:t>
      </w:r>
      <w:proofErr w:type="gramStart"/>
      <w:r w:rsidRPr="00D5255A">
        <w:rPr>
          <w:rFonts w:ascii="Times New Roman" w:hAnsi="Times New Roman"/>
          <w:i/>
          <w:sz w:val="24"/>
          <w:szCs w:val="24"/>
        </w:rPr>
        <w:t>/(</w:t>
      </w:r>
      <w:proofErr w:type="spellStart"/>
      <w:proofErr w:type="gramEnd"/>
      <w:r w:rsidRPr="00D5255A">
        <w:rPr>
          <w:rFonts w:ascii="Times New Roman" w:hAnsi="Times New Roman"/>
          <w:i/>
          <w:sz w:val="24"/>
          <w:szCs w:val="24"/>
        </w:rPr>
        <w:t>age</w:t>
      </w:r>
      <w:r w:rsidRPr="00D5255A">
        <w:rPr>
          <w:rFonts w:ascii="Times New Roman" w:hAnsi="Times New Roman"/>
          <w:i/>
          <w:sz w:val="24"/>
          <w:szCs w:val="24"/>
          <w:vertAlign w:val="subscript"/>
        </w:rPr>
        <w:t>F</w:t>
      </w:r>
      <w:r w:rsidRPr="00D5255A">
        <w:rPr>
          <w:rFonts w:ascii="Times New Roman" w:hAnsi="Times New Roman"/>
          <w:i/>
          <w:sz w:val="24"/>
          <w:szCs w:val="24"/>
        </w:rPr>
        <w:t>-age</w:t>
      </w:r>
      <w:r w:rsidRPr="00D5255A">
        <w:rPr>
          <w:rFonts w:ascii="Times New Roman" w:hAnsi="Times New Roman"/>
          <w:i/>
          <w:sz w:val="24"/>
          <w:szCs w:val="24"/>
          <w:vertAlign w:val="subscript"/>
        </w:rPr>
        <w:t>B</w:t>
      </w:r>
      <w:proofErr w:type="spellEnd"/>
      <w:r w:rsidRPr="00D5255A">
        <w:rPr>
          <w:rFonts w:ascii="Times New Roman" w:hAnsi="Times New Roman"/>
          <w:i/>
          <w:sz w:val="24"/>
          <w:szCs w:val="24"/>
        </w:rPr>
        <w:t>)  = α + β</w:t>
      </w:r>
      <w:r w:rsidRPr="00D5255A">
        <w:rPr>
          <w:rFonts w:ascii="Times New Roman" w:hAnsi="Times New Roman"/>
          <w:i/>
          <w:sz w:val="24"/>
          <w:szCs w:val="24"/>
          <w:vertAlign w:val="subscript"/>
        </w:rPr>
        <w:t>1</w:t>
      </w:r>
      <w:r w:rsidRPr="00D5255A">
        <w:rPr>
          <w:rFonts w:ascii="Times New Roman" w:hAnsi="Times New Roman"/>
          <w:i/>
          <w:sz w:val="24"/>
          <w:szCs w:val="24"/>
        </w:rPr>
        <w:t>SNP + β</w:t>
      </w:r>
      <w:r w:rsidRPr="00D5255A">
        <w:rPr>
          <w:rFonts w:ascii="Times New Roman" w:hAnsi="Times New Roman"/>
          <w:i/>
          <w:sz w:val="24"/>
          <w:szCs w:val="24"/>
          <w:vertAlign w:val="subscript"/>
        </w:rPr>
        <w:t>2</w:t>
      </w:r>
      <w:r w:rsidRPr="00D5255A">
        <w:rPr>
          <w:rFonts w:ascii="Times New Roman" w:hAnsi="Times New Roman"/>
          <w:i/>
          <w:sz w:val="24"/>
          <w:szCs w:val="24"/>
        </w:rPr>
        <w:t>γ</w:t>
      </w:r>
      <w:r w:rsidRPr="00D5255A">
        <w:rPr>
          <w:rFonts w:ascii="Times New Roman" w:hAnsi="Times New Roman"/>
          <w:i/>
          <w:sz w:val="24"/>
          <w:szCs w:val="24"/>
          <w:vertAlign w:val="subscript"/>
        </w:rPr>
        <w:t>B</w:t>
      </w:r>
      <w:r w:rsidRPr="00D5255A">
        <w:rPr>
          <w:rFonts w:ascii="Times New Roman" w:hAnsi="Times New Roman"/>
          <w:i/>
          <w:sz w:val="24"/>
          <w:szCs w:val="24"/>
        </w:rPr>
        <w:t xml:space="preserve"> + β</w:t>
      </w:r>
      <w:r w:rsidRPr="00D5255A">
        <w:rPr>
          <w:rFonts w:ascii="Times New Roman" w:hAnsi="Times New Roman"/>
          <w:i/>
          <w:sz w:val="24"/>
          <w:szCs w:val="24"/>
          <w:vertAlign w:val="subscript"/>
        </w:rPr>
        <w:t>3</w:t>
      </w:r>
      <w:r w:rsidRPr="00D5255A">
        <w:rPr>
          <w:rFonts w:ascii="Times New Roman" w:hAnsi="Times New Roman"/>
          <w:i/>
          <w:sz w:val="24"/>
          <w:szCs w:val="24"/>
        </w:rPr>
        <w:t>sex + β</w:t>
      </w:r>
      <w:r w:rsidRPr="00D5255A">
        <w:rPr>
          <w:rFonts w:ascii="Times New Roman" w:hAnsi="Times New Roman"/>
          <w:i/>
          <w:sz w:val="24"/>
          <w:szCs w:val="24"/>
          <w:vertAlign w:val="subscript"/>
        </w:rPr>
        <w:t>4</w:t>
      </w:r>
      <w:r w:rsidRPr="00D5255A">
        <w:rPr>
          <w:rFonts w:ascii="Times New Roman" w:hAnsi="Times New Roman"/>
          <w:i/>
          <w:sz w:val="24"/>
          <w:szCs w:val="24"/>
        </w:rPr>
        <w:t>age</w:t>
      </w:r>
      <w:r w:rsidRPr="00D5255A">
        <w:rPr>
          <w:rFonts w:ascii="Times New Roman" w:hAnsi="Times New Roman"/>
          <w:i/>
          <w:sz w:val="24"/>
          <w:szCs w:val="24"/>
          <w:vertAlign w:val="subscript"/>
        </w:rPr>
        <w:t>B</w:t>
      </w:r>
      <w:r w:rsidRPr="00D5255A">
        <w:rPr>
          <w:rFonts w:ascii="Times New Roman" w:hAnsi="Times New Roman"/>
          <w:i/>
          <w:sz w:val="24"/>
          <w:szCs w:val="24"/>
        </w:rPr>
        <w:t xml:space="preserve"> + β</w:t>
      </w:r>
      <w:r w:rsidRPr="00D5255A">
        <w:rPr>
          <w:rFonts w:ascii="Times New Roman" w:hAnsi="Times New Roman"/>
          <w:i/>
          <w:sz w:val="24"/>
          <w:szCs w:val="24"/>
          <w:vertAlign w:val="subscript"/>
        </w:rPr>
        <w:t>5</w:t>
      </w:r>
      <w:r w:rsidRPr="00D5255A">
        <w:rPr>
          <w:rFonts w:ascii="Times New Roman" w:hAnsi="Times New Roman"/>
          <w:i/>
          <w:sz w:val="24"/>
          <w:szCs w:val="24"/>
        </w:rPr>
        <w:t>age</w:t>
      </w:r>
      <w:r w:rsidRPr="00D5255A">
        <w:rPr>
          <w:rFonts w:ascii="Times New Roman" w:hAnsi="Times New Roman"/>
          <w:i/>
          <w:sz w:val="24"/>
          <w:szCs w:val="24"/>
          <w:vertAlign w:val="superscript"/>
        </w:rPr>
        <w:t>2</w:t>
      </w:r>
      <w:r w:rsidRPr="00D5255A">
        <w:rPr>
          <w:rFonts w:ascii="Times New Roman" w:hAnsi="Times New Roman"/>
          <w:i/>
          <w:sz w:val="24"/>
          <w:szCs w:val="24"/>
          <w:vertAlign w:val="subscript"/>
        </w:rPr>
        <w:t>B</w:t>
      </w:r>
      <w:r w:rsidRPr="00D5255A">
        <w:rPr>
          <w:rFonts w:ascii="Times New Roman" w:hAnsi="Times New Roman"/>
          <w:i/>
          <w:sz w:val="24"/>
          <w:szCs w:val="24"/>
        </w:rPr>
        <w:t xml:space="preserve"> + β</w:t>
      </w:r>
      <w:r w:rsidRPr="00D5255A">
        <w:rPr>
          <w:rFonts w:ascii="Times New Roman" w:hAnsi="Times New Roman"/>
          <w:i/>
          <w:sz w:val="24"/>
          <w:szCs w:val="24"/>
          <w:vertAlign w:val="subscript"/>
        </w:rPr>
        <w:t>6</w:t>
      </w:r>
      <w:r w:rsidRPr="00D5255A">
        <w:rPr>
          <w:rFonts w:ascii="Times New Roman" w:hAnsi="Times New Roman"/>
          <w:i/>
          <w:sz w:val="24"/>
          <w:szCs w:val="24"/>
        </w:rPr>
        <w:t>age</w:t>
      </w:r>
      <w:r w:rsidRPr="00D5255A">
        <w:rPr>
          <w:rFonts w:ascii="Times New Roman" w:hAnsi="Times New Roman"/>
          <w:i/>
          <w:sz w:val="24"/>
          <w:szCs w:val="24"/>
          <w:vertAlign w:val="subscript"/>
        </w:rPr>
        <w:t>F</w:t>
      </w:r>
      <w:r w:rsidRPr="00D5255A">
        <w:rPr>
          <w:rFonts w:ascii="Times New Roman" w:hAnsi="Times New Roman"/>
          <w:i/>
          <w:sz w:val="24"/>
          <w:szCs w:val="24"/>
        </w:rPr>
        <w:t xml:space="preserve"> + β</w:t>
      </w:r>
      <w:r w:rsidRPr="00D5255A">
        <w:rPr>
          <w:rFonts w:ascii="Times New Roman" w:hAnsi="Times New Roman"/>
          <w:i/>
          <w:sz w:val="24"/>
          <w:szCs w:val="24"/>
          <w:vertAlign w:val="subscript"/>
        </w:rPr>
        <w:t>7-10</w:t>
      </w:r>
      <w:r w:rsidRPr="00D5255A">
        <w:rPr>
          <w:rFonts w:ascii="Times New Roman" w:hAnsi="Times New Roman"/>
          <w:i/>
          <w:sz w:val="24"/>
          <w:szCs w:val="24"/>
        </w:rPr>
        <w:t>PC</w:t>
      </w:r>
      <w:r w:rsidRPr="00D5255A">
        <w:rPr>
          <w:rFonts w:ascii="Times New Roman" w:hAnsi="Times New Roman"/>
          <w:i/>
          <w:sz w:val="24"/>
          <w:szCs w:val="24"/>
          <w:vertAlign w:val="subscript"/>
        </w:rPr>
        <w:t xml:space="preserve">1-4 </w:t>
      </w:r>
      <w:r w:rsidRPr="00D5255A">
        <w:rPr>
          <w:rFonts w:ascii="Times New Roman" w:hAnsi="Times New Roman"/>
          <w:i/>
          <w:sz w:val="24"/>
          <w:szCs w:val="24"/>
        </w:rPr>
        <w:t>+ ε</w:t>
      </w:r>
    </w:p>
    <w:p w:rsidR="00210106" w:rsidRPr="00D5255A" w:rsidRDefault="00210106" w:rsidP="00265DD9">
      <w:pPr>
        <w:spacing w:after="0" w:line="480" w:lineRule="auto"/>
        <w:jc w:val="both"/>
        <w:rPr>
          <w:rFonts w:ascii="Times New Roman" w:hAnsi="Times New Roman"/>
          <w:sz w:val="24"/>
          <w:szCs w:val="24"/>
        </w:rPr>
      </w:pPr>
      <w:r>
        <w:rPr>
          <w:rFonts w:ascii="Times New Roman" w:hAnsi="Times New Roman"/>
          <w:sz w:val="24"/>
          <w:szCs w:val="24"/>
        </w:rPr>
        <w:t>where</w:t>
      </w:r>
      <w:r w:rsidRPr="00D5255A">
        <w:rPr>
          <w:rFonts w:ascii="Times New Roman" w:hAnsi="Times New Roman"/>
          <w:sz w:val="24"/>
          <w:szCs w:val="24"/>
        </w:rPr>
        <w:t xml:space="preserve"> </w:t>
      </w:r>
      <w:r w:rsidRPr="00D5255A">
        <w:rPr>
          <w:rFonts w:ascii="Times New Roman" w:hAnsi="Times New Roman"/>
          <w:i/>
          <w:sz w:val="24"/>
          <w:szCs w:val="24"/>
        </w:rPr>
        <w:t>γ</w:t>
      </w:r>
      <w:r w:rsidRPr="00D5255A">
        <w:rPr>
          <w:rFonts w:ascii="Times New Roman" w:hAnsi="Times New Roman"/>
          <w:sz w:val="24"/>
          <w:szCs w:val="24"/>
        </w:rPr>
        <w:t xml:space="preserve"> represents a trait (TC or TG), </w:t>
      </w:r>
      <w:proofErr w:type="spellStart"/>
      <w:r w:rsidRPr="00D5255A">
        <w:rPr>
          <w:rFonts w:ascii="Times New Roman" w:hAnsi="Times New Roman"/>
          <w:i/>
          <w:sz w:val="24"/>
          <w:szCs w:val="24"/>
        </w:rPr>
        <w:t>γ</w:t>
      </w:r>
      <w:r w:rsidRPr="00D5255A">
        <w:rPr>
          <w:rFonts w:ascii="Times New Roman" w:hAnsi="Times New Roman"/>
          <w:i/>
          <w:sz w:val="24"/>
          <w:szCs w:val="24"/>
          <w:vertAlign w:val="subscript"/>
        </w:rPr>
        <w:t>B</w:t>
      </w:r>
      <w:proofErr w:type="spellEnd"/>
      <w:r w:rsidRPr="00D5255A">
        <w:rPr>
          <w:rFonts w:ascii="Times New Roman" w:hAnsi="Times New Roman"/>
          <w:sz w:val="24"/>
          <w:szCs w:val="24"/>
        </w:rPr>
        <w:t xml:space="preserve"> and </w:t>
      </w:r>
      <w:proofErr w:type="spellStart"/>
      <w:r w:rsidRPr="00D5255A">
        <w:rPr>
          <w:rFonts w:ascii="Times New Roman" w:hAnsi="Times New Roman"/>
          <w:i/>
          <w:sz w:val="24"/>
          <w:szCs w:val="24"/>
        </w:rPr>
        <w:t>γ</w:t>
      </w:r>
      <w:r w:rsidRPr="00D5255A">
        <w:rPr>
          <w:rFonts w:ascii="Times New Roman" w:hAnsi="Times New Roman"/>
          <w:i/>
          <w:sz w:val="24"/>
          <w:szCs w:val="24"/>
          <w:vertAlign w:val="subscript"/>
        </w:rPr>
        <w:t>F</w:t>
      </w:r>
      <w:proofErr w:type="spellEnd"/>
      <w:r w:rsidRPr="00D5255A">
        <w:rPr>
          <w:rFonts w:ascii="Times New Roman" w:hAnsi="Times New Roman"/>
          <w:sz w:val="24"/>
          <w:szCs w:val="24"/>
        </w:rPr>
        <w:t xml:space="preserve"> are baseline and follow-up </w:t>
      </w:r>
      <w:r>
        <w:rPr>
          <w:rFonts w:ascii="Times New Roman" w:hAnsi="Times New Roman"/>
          <w:sz w:val="24"/>
          <w:szCs w:val="24"/>
        </w:rPr>
        <w:t xml:space="preserve">lipid </w:t>
      </w:r>
      <w:r w:rsidRPr="00D5255A">
        <w:rPr>
          <w:rFonts w:ascii="Times New Roman" w:hAnsi="Times New Roman"/>
          <w:sz w:val="24"/>
          <w:szCs w:val="24"/>
        </w:rPr>
        <w:t>values,</w:t>
      </w:r>
      <w:r>
        <w:rPr>
          <w:rFonts w:ascii="Times New Roman" w:hAnsi="Times New Roman"/>
          <w:sz w:val="24"/>
          <w:szCs w:val="24"/>
        </w:rPr>
        <w:t xml:space="preserve"> </w:t>
      </w:r>
      <w:proofErr w:type="spellStart"/>
      <w:r w:rsidRPr="00D5255A">
        <w:rPr>
          <w:rFonts w:ascii="Times New Roman" w:hAnsi="Times New Roman"/>
          <w:i/>
          <w:sz w:val="24"/>
          <w:szCs w:val="24"/>
        </w:rPr>
        <w:t>age</w:t>
      </w:r>
      <w:r>
        <w:rPr>
          <w:rFonts w:ascii="Times New Roman" w:hAnsi="Times New Roman"/>
          <w:i/>
          <w:sz w:val="24"/>
          <w:szCs w:val="24"/>
          <w:vertAlign w:val="subscript"/>
        </w:rPr>
        <w:t>B</w:t>
      </w:r>
      <w:proofErr w:type="spellEnd"/>
      <w:r>
        <w:rPr>
          <w:rFonts w:ascii="Times New Roman" w:hAnsi="Times New Roman"/>
          <w:i/>
          <w:sz w:val="24"/>
          <w:szCs w:val="24"/>
          <w:vertAlign w:val="subscript"/>
        </w:rPr>
        <w:t xml:space="preserve"> </w:t>
      </w:r>
      <w:r w:rsidRPr="003F670F">
        <w:rPr>
          <w:rFonts w:ascii="Times New Roman" w:hAnsi="Times New Roman"/>
          <w:sz w:val="24"/>
          <w:szCs w:val="24"/>
        </w:rPr>
        <w:t>and</w:t>
      </w:r>
      <w:r>
        <w:rPr>
          <w:rFonts w:ascii="Times New Roman" w:hAnsi="Times New Roman"/>
          <w:i/>
          <w:sz w:val="24"/>
          <w:szCs w:val="24"/>
        </w:rPr>
        <w:t xml:space="preserve"> </w:t>
      </w:r>
      <w:proofErr w:type="spellStart"/>
      <w:r w:rsidRPr="00D5255A">
        <w:rPr>
          <w:rFonts w:ascii="Times New Roman" w:hAnsi="Times New Roman"/>
          <w:i/>
          <w:sz w:val="24"/>
          <w:szCs w:val="24"/>
        </w:rPr>
        <w:t>age</w:t>
      </w:r>
      <w:r w:rsidRPr="00D5255A">
        <w:rPr>
          <w:rFonts w:ascii="Times New Roman" w:hAnsi="Times New Roman"/>
          <w:i/>
          <w:sz w:val="24"/>
          <w:szCs w:val="24"/>
          <w:vertAlign w:val="subscript"/>
        </w:rPr>
        <w:t>B</w:t>
      </w:r>
      <w:proofErr w:type="spellEnd"/>
      <w:r w:rsidRPr="00D5255A">
        <w:rPr>
          <w:rFonts w:ascii="Times New Roman" w:hAnsi="Times New Roman"/>
          <w:sz w:val="24"/>
          <w:szCs w:val="24"/>
        </w:rPr>
        <w:t xml:space="preserve"> </w:t>
      </w:r>
      <w:r>
        <w:rPr>
          <w:rFonts w:ascii="Times New Roman" w:hAnsi="Times New Roman"/>
          <w:sz w:val="24"/>
          <w:szCs w:val="24"/>
        </w:rPr>
        <w:t xml:space="preserve">are baseline and follow-up ages, </w:t>
      </w:r>
      <w:r w:rsidRPr="00D5255A">
        <w:rPr>
          <w:rFonts w:ascii="Times New Roman" w:hAnsi="Times New Roman"/>
          <w:sz w:val="24"/>
          <w:szCs w:val="24"/>
        </w:rPr>
        <w:t xml:space="preserve">respectively, </w:t>
      </w:r>
      <w:r w:rsidRPr="00D5255A">
        <w:rPr>
          <w:rFonts w:ascii="Times New Roman" w:hAnsi="Times New Roman"/>
          <w:i/>
          <w:sz w:val="24"/>
          <w:szCs w:val="24"/>
        </w:rPr>
        <w:t>α</w:t>
      </w:r>
      <w:r w:rsidRPr="00D5255A">
        <w:rPr>
          <w:rFonts w:ascii="Times New Roman" w:hAnsi="Times New Roman"/>
          <w:sz w:val="24"/>
          <w:szCs w:val="24"/>
        </w:rPr>
        <w:t xml:space="preserve"> is the intercept, </w:t>
      </w:r>
      <w:r w:rsidRPr="00D5255A">
        <w:rPr>
          <w:rFonts w:ascii="Times New Roman" w:hAnsi="Times New Roman"/>
          <w:i/>
          <w:sz w:val="24"/>
          <w:szCs w:val="24"/>
        </w:rPr>
        <w:t>β</w:t>
      </w:r>
      <w:proofErr w:type="spellStart"/>
      <w:r w:rsidRPr="00D5255A">
        <w:rPr>
          <w:rFonts w:ascii="Times New Roman" w:hAnsi="Times New Roman"/>
          <w:i/>
          <w:sz w:val="24"/>
          <w:szCs w:val="24"/>
          <w:vertAlign w:val="subscript"/>
        </w:rPr>
        <w:t>i</w:t>
      </w:r>
      <w:proofErr w:type="spellEnd"/>
      <w:r w:rsidRPr="00D5255A">
        <w:rPr>
          <w:rFonts w:ascii="Times New Roman" w:hAnsi="Times New Roman"/>
          <w:sz w:val="24"/>
          <w:szCs w:val="24"/>
        </w:rPr>
        <w:t xml:space="preserve"> represents effect size parameters for the corresponding variables and </w:t>
      </w:r>
      <w:r w:rsidRPr="00D5255A">
        <w:rPr>
          <w:rFonts w:ascii="Times New Roman" w:hAnsi="Times New Roman"/>
          <w:i/>
          <w:sz w:val="24"/>
          <w:szCs w:val="24"/>
        </w:rPr>
        <w:t>ε</w:t>
      </w:r>
      <w:r w:rsidRPr="00D5255A">
        <w:rPr>
          <w:rFonts w:ascii="Times New Roman" w:hAnsi="Times New Roman"/>
          <w:sz w:val="24"/>
          <w:szCs w:val="24"/>
        </w:rPr>
        <w:t xml:space="preserve"> is an error term.</w:t>
      </w:r>
      <w:r>
        <w:rPr>
          <w:rFonts w:ascii="Times New Roman" w:hAnsi="Times New Roman"/>
          <w:sz w:val="24"/>
          <w:szCs w:val="24"/>
        </w:rPr>
        <w:t xml:space="preserve"> </w:t>
      </w:r>
      <w:r w:rsidRPr="00D32AAA">
        <w:rPr>
          <w:rFonts w:ascii="Times New Roman" w:hAnsi="Times New Roman"/>
          <w:sz w:val="24"/>
          <w:szCs w:val="24"/>
        </w:rPr>
        <w:t>Although linear mixed models (LMMs) are commonly used in prospective association studies with more than two time points, utilizing LMMs in studies with only two time points is computationally burdensome and the covariance structure between observations derived from the same individuals</w:t>
      </w:r>
      <w:r>
        <w:rPr>
          <w:rFonts w:ascii="Times New Roman" w:hAnsi="Times New Roman"/>
          <w:sz w:val="24"/>
          <w:szCs w:val="24"/>
        </w:rPr>
        <w:t xml:space="preserve"> cannot be properly ascertained.</w:t>
      </w:r>
      <w:r>
        <w:rPr>
          <w:rFonts w:ascii="Times New Roman" w:hAnsi="Times New Roman"/>
          <w:noProof/>
          <w:sz w:val="24"/>
          <w:szCs w:val="24"/>
        </w:rPr>
        <w:t>(22, 23)</w:t>
      </w:r>
      <w:r>
        <w:rPr>
          <w:rFonts w:ascii="Times New Roman" w:hAnsi="Times New Roman"/>
          <w:sz w:val="24"/>
          <w:szCs w:val="24"/>
        </w:rPr>
        <w:t xml:space="preserve">  </w:t>
      </w:r>
      <w:r w:rsidRPr="00D32AAA">
        <w:rPr>
          <w:rFonts w:ascii="Times New Roman" w:hAnsi="Times New Roman"/>
          <w:sz w:val="24"/>
          <w:szCs w:val="24"/>
        </w:rPr>
        <w:t>Comparisons between various statistical approaches to detect genetic associations with trait changes were not the main aim of this paper; however, we conducted comparisons between GLMs with change rate as the outcome (the model used in this paper) and LMMs on a subset of ~1000 SNPs, which showed strong correlations of beta coefficients, standard errors and P values (Spearman and Pearson r&gt;0.7 for all comparisons).</w:t>
      </w:r>
      <w:r>
        <w:rPr>
          <w:rFonts w:ascii="Times New Roman" w:hAnsi="Times New Roman"/>
          <w:sz w:val="24"/>
          <w:szCs w:val="24"/>
        </w:rPr>
        <w:t xml:space="preserve"> Methodology and results from the comparison of GLMs and LMMs are presented in Method S2.</w:t>
      </w:r>
    </w:p>
    <w:p w:rsidR="00210106" w:rsidRPr="00D5255A" w:rsidRDefault="00210106" w:rsidP="008D3F50">
      <w:pPr>
        <w:spacing w:after="0" w:line="480" w:lineRule="auto"/>
        <w:ind w:firstLine="720"/>
        <w:jc w:val="both"/>
        <w:rPr>
          <w:rFonts w:ascii="Times New Roman" w:hAnsi="Times New Roman"/>
          <w:sz w:val="24"/>
          <w:szCs w:val="24"/>
        </w:rPr>
      </w:pPr>
      <w:r w:rsidRPr="00D5255A">
        <w:rPr>
          <w:rFonts w:ascii="Times New Roman" w:hAnsi="Times New Roman"/>
          <w:sz w:val="24"/>
          <w:szCs w:val="24"/>
        </w:rPr>
        <w:t>To assess whether the variants associated with lipid changes (</w:t>
      </w:r>
      <w:r w:rsidRPr="00D5255A">
        <w:rPr>
          <w:rFonts w:ascii="Times New Roman" w:hAnsi="Times New Roman"/>
          <w:i/>
          <w:sz w:val="24"/>
          <w:szCs w:val="24"/>
        </w:rPr>
        <w:t>P</w:t>
      </w:r>
      <w:r w:rsidRPr="00D5255A">
        <w:rPr>
          <w:rFonts w:ascii="Times New Roman" w:hAnsi="Times New Roman"/>
          <w:sz w:val="24"/>
          <w:szCs w:val="24"/>
        </w:rPr>
        <w:t xml:space="preserve">&lt;0.01) are also associated with cross-sectional lipid measures, we conducted an </w:t>
      </w:r>
      <w:r w:rsidRPr="00D5255A">
        <w:rPr>
          <w:rFonts w:ascii="Times New Roman" w:hAnsi="Times New Roman"/>
          <w:i/>
          <w:sz w:val="24"/>
          <w:szCs w:val="24"/>
        </w:rPr>
        <w:t>in silico</w:t>
      </w:r>
      <w:r w:rsidRPr="00D5255A">
        <w:rPr>
          <w:rFonts w:ascii="Times New Roman" w:hAnsi="Times New Roman"/>
          <w:sz w:val="24"/>
          <w:szCs w:val="24"/>
        </w:rPr>
        <w:t xml:space="preserve"> look-up in </w:t>
      </w:r>
      <w:r>
        <w:rPr>
          <w:rFonts w:ascii="Times New Roman" w:hAnsi="Times New Roman"/>
          <w:sz w:val="24"/>
          <w:szCs w:val="24"/>
        </w:rPr>
        <w:t>the Global Lipids Genetics Consortium (</w:t>
      </w:r>
      <w:r w:rsidRPr="00D5255A">
        <w:rPr>
          <w:rFonts w:ascii="Times New Roman" w:hAnsi="Times New Roman"/>
          <w:sz w:val="24"/>
          <w:szCs w:val="24"/>
        </w:rPr>
        <w:t>GLGC</w:t>
      </w:r>
      <w:r>
        <w:rPr>
          <w:rFonts w:ascii="Times New Roman" w:hAnsi="Times New Roman"/>
          <w:sz w:val="24"/>
          <w:szCs w:val="24"/>
        </w:rPr>
        <w:t>)</w:t>
      </w:r>
      <w:r w:rsidRPr="00D5255A">
        <w:rPr>
          <w:rFonts w:ascii="Times New Roman" w:hAnsi="Times New Roman"/>
          <w:sz w:val="24"/>
          <w:szCs w:val="24"/>
        </w:rPr>
        <w:t xml:space="preserve"> (</w:t>
      </w:r>
      <w:proofErr w:type="spellStart"/>
      <w:r w:rsidRPr="00D5255A">
        <w:rPr>
          <w:rFonts w:ascii="Times New Roman" w:hAnsi="Times New Roman"/>
          <w:sz w:val="24"/>
          <w:szCs w:val="24"/>
        </w:rPr>
        <w:t>N</w:t>
      </w:r>
      <w:r w:rsidRPr="00D5255A">
        <w:rPr>
          <w:rFonts w:ascii="Times New Roman" w:hAnsi="Times New Roman"/>
          <w:sz w:val="24"/>
          <w:szCs w:val="24"/>
          <w:vertAlign w:val="subscript"/>
        </w:rPr>
        <w:t>max</w:t>
      </w:r>
      <w:proofErr w:type="spellEnd"/>
      <w:r w:rsidRPr="00D5255A">
        <w:rPr>
          <w:rFonts w:ascii="Times New Roman" w:hAnsi="Times New Roman"/>
          <w:sz w:val="24"/>
          <w:szCs w:val="24"/>
        </w:rPr>
        <w:t>=188,577)</w:t>
      </w:r>
      <w:proofErr w:type="gramStart"/>
      <w:r w:rsidRPr="00D5255A">
        <w:rPr>
          <w:rFonts w:ascii="Times New Roman" w:hAnsi="Times New Roman"/>
          <w:sz w:val="24"/>
          <w:szCs w:val="24"/>
        </w:rPr>
        <w:t>.</w:t>
      </w:r>
      <w:r w:rsidRPr="00D5255A">
        <w:rPr>
          <w:rFonts w:ascii="Times New Roman" w:hAnsi="Times New Roman"/>
          <w:noProof/>
          <w:sz w:val="24"/>
          <w:szCs w:val="24"/>
        </w:rPr>
        <w:t>(</w:t>
      </w:r>
      <w:proofErr w:type="gramEnd"/>
      <w:r w:rsidRPr="00D5255A">
        <w:rPr>
          <w:rFonts w:ascii="Times New Roman" w:hAnsi="Times New Roman"/>
          <w:noProof/>
          <w:sz w:val="24"/>
          <w:szCs w:val="24"/>
        </w:rPr>
        <w:t>2)</w:t>
      </w:r>
    </w:p>
    <w:p w:rsidR="00210106" w:rsidRPr="00D5255A" w:rsidRDefault="00210106" w:rsidP="008D3F50">
      <w:pPr>
        <w:spacing w:after="0" w:line="480" w:lineRule="auto"/>
        <w:rPr>
          <w:rFonts w:ascii="Times New Roman" w:hAnsi="Times New Roman"/>
          <w:sz w:val="24"/>
          <w:szCs w:val="24"/>
        </w:rPr>
      </w:pPr>
    </w:p>
    <w:p w:rsidR="00210106" w:rsidRPr="00D5255A" w:rsidRDefault="00210106" w:rsidP="008D3F50">
      <w:pPr>
        <w:pStyle w:val="Heading2"/>
        <w:spacing w:before="0" w:line="480" w:lineRule="auto"/>
        <w:rPr>
          <w:rFonts w:ascii="Times New Roman" w:hAnsi="Times New Roman" w:cs="Times New Roman"/>
          <w:color w:val="auto"/>
          <w:sz w:val="24"/>
          <w:szCs w:val="24"/>
        </w:rPr>
      </w:pPr>
      <w:r w:rsidRPr="00D5255A">
        <w:rPr>
          <w:rFonts w:ascii="Times New Roman" w:hAnsi="Times New Roman" w:cs="Times New Roman"/>
          <w:color w:val="auto"/>
          <w:sz w:val="24"/>
          <w:szCs w:val="24"/>
        </w:rPr>
        <w:t>Replication and meta-analysis</w:t>
      </w:r>
      <w:r w:rsidRPr="00D5255A">
        <w:rPr>
          <w:rFonts w:ascii="Times New Roman" w:hAnsi="Times New Roman" w:cs="Times New Roman"/>
          <w:color w:val="auto"/>
          <w:sz w:val="24"/>
          <w:szCs w:val="24"/>
        </w:rPr>
        <w:tab/>
      </w:r>
    </w:p>
    <w:p w:rsidR="00210106" w:rsidRPr="00D5255A" w:rsidRDefault="00210106" w:rsidP="008D3F50">
      <w:pPr>
        <w:spacing w:after="0" w:line="480" w:lineRule="auto"/>
        <w:ind w:firstLine="720"/>
        <w:jc w:val="both"/>
        <w:rPr>
          <w:rFonts w:ascii="Times New Roman" w:hAnsi="Times New Roman"/>
          <w:sz w:val="24"/>
          <w:szCs w:val="24"/>
        </w:rPr>
      </w:pPr>
      <w:r>
        <w:rPr>
          <w:rFonts w:ascii="Times New Roman" w:hAnsi="Times New Roman"/>
          <w:sz w:val="24"/>
          <w:szCs w:val="24"/>
        </w:rPr>
        <w:t>We anticipated</w:t>
      </w:r>
      <w:r w:rsidRPr="00D5255A">
        <w:rPr>
          <w:rFonts w:ascii="Times New Roman" w:hAnsi="Times New Roman"/>
          <w:sz w:val="24"/>
          <w:szCs w:val="24"/>
        </w:rPr>
        <w:t xml:space="preserve"> heterogeneity between cohorts due to differences in the participants’ age, follow-up periods and medication use</w:t>
      </w:r>
      <w:r>
        <w:rPr>
          <w:rFonts w:ascii="Times New Roman" w:hAnsi="Times New Roman"/>
          <w:sz w:val="24"/>
          <w:szCs w:val="24"/>
        </w:rPr>
        <w:t>; therefore</w:t>
      </w:r>
      <w:r w:rsidRPr="00D5255A">
        <w:rPr>
          <w:rFonts w:ascii="Times New Roman" w:hAnsi="Times New Roman"/>
          <w:sz w:val="24"/>
          <w:szCs w:val="24"/>
        </w:rPr>
        <w:t xml:space="preserve"> </w:t>
      </w:r>
      <w:r>
        <w:rPr>
          <w:rFonts w:ascii="Times New Roman" w:hAnsi="Times New Roman"/>
          <w:sz w:val="24"/>
          <w:szCs w:val="24"/>
        </w:rPr>
        <w:t>we</w:t>
      </w:r>
      <w:r w:rsidRPr="00D5255A">
        <w:rPr>
          <w:rFonts w:ascii="Times New Roman" w:hAnsi="Times New Roman"/>
          <w:sz w:val="24"/>
          <w:szCs w:val="24"/>
        </w:rPr>
        <w:t xml:space="preserve"> implement</w:t>
      </w:r>
      <w:r>
        <w:rPr>
          <w:rFonts w:ascii="Times New Roman" w:hAnsi="Times New Roman"/>
          <w:sz w:val="24"/>
          <w:szCs w:val="24"/>
        </w:rPr>
        <w:t>ed</w:t>
      </w:r>
      <w:r w:rsidRPr="00D5255A">
        <w:rPr>
          <w:rFonts w:ascii="Times New Roman" w:hAnsi="Times New Roman"/>
          <w:sz w:val="24"/>
          <w:szCs w:val="24"/>
        </w:rPr>
        <w:t xml:space="preserve"> a two-stage approach us</w:t>
      </w:r>
      <w:r>
        <w:rPr>
          <w:rFonts w:ascii="Times New Roman" w:hAnsi="Times New Roman"/>
          <w:sz w:val="24"/>
          <w:szCs w:val="24"/>
        </w:rPr>
        <w:t>ing</w:t>
      </w:r>
      <w:r w:rsidRPr="00D5255A">
        <w:rPr>
          <w:rFonts w:ascii="Times New Roman" w:hAnsi="Times New Roman"/>
          <w:sz w:val="24"/>
          <w:szCs w:val="24"/>
        </w:rPr>
        <w:t xml:space="preserve"> GLACIER as </w:t>
      </w:r>
      <w:r>
        <w:rPr>
          <w:rFonts w:ascii="Times New Roman" w:hAnsi="Times New Roman"/>
          <w:sz w:val="24"/>
          <w:szCs w:val="24"/>
        </w:rPr>
        <w:t>the</w:t>
      </w:r>
      <w:r w:rsidRPr="00D5255A">
        <w:rPr>
          <w:rFonts w:ascii="Times New Roman" w:hAnsi="Times New Roman"/>
          <w:sz w:val="24"/>
          <w:szCs w:val="24"/>
        </w:rPr>
        <w:t xml:space="preserve"> discovery cohort</w:t>
      </w:r>
      <w:r>
        <w:rPr>
          <w:rFonts w:ascii="Times New Roman" w:hAnsi="Times New Roman"/>
          <w:sz w:val="24"/>
          <w:szCs w:val="24"/>
        </w:rPr>
        <w:t xml:space="preserve"> from which</w:t>
      </w:r>
      <w:r w:rsidRPr="00D5255A">
        <w:rPr>
          <w:rFonts w:ascii="Times New Roman" w:hAnsi="Times New Roman"/>
          <w:sz w:val="24"/>
          <w:szCs w:val="24"/>
        </w:rPr>
        <w:t xml:space="preserve"> </w:t>
      </w:r>
      <w:r>
        <w:rPr>
          <w:rFonts w:ascii="Times New Roman" w:hAnsi="Times New Roman"/>
          <w:sz w:val="24"/>
          <w:szCs w:val="24"/>
        </w:rPr>
        <w:t>a</w:t>
      </w:r>
      <w:r w:rsidRPr="00D5255A">
        <w:rPr>
          <w:rFonts w:ascii="Times New Roman" w:hAnsi="Times New Roman"/>
          <w:sz w:val="24"/>
          <w:szCs w:val="24"/>
        </w:rPr>
        <w:t xml:space="preserve"> set of SNPs </w:t>
      </w:r>
      <w:r>
        <w:rPr>
          <w:rFonts w:ascii="Times New Roman" w:hAnsi="Times New Roman"/>
          <w:sz w:val="24"/>
          <w:szCs w:val="24"/>
        </w:rPr>
        <w:t xml:space="preserve">associated with TG and TC at a </w:t>
      </w:r>
      <w:r w:rsidRPr="00D5255A">
        <w:rPr>
          <w:rFonts w:ascii="Times New Roman" w:hAnsi="Times New Roman"/>
          <w:sz w:val="24"/>
          <w:szCs w:val="24"/>
        </w:rPr>
        <w:t xml:space="preserve">significance threshold of </w:t>
      </w:r>
      <w:r w:rsidRPr="00D5255A">
        <w:rPr>
          <w:rFonts w:ascii="Times New Roman" w:hAnsi="Times New Roman"/>
          <w:i/>
          <w:sz w:val="24"/>
          <w:szCs w:val="24"/>
        </w:rPr>
        <w:t>P</w:t>
      </w:r>
      <w:r w:rsidRPr="00D5255A">
        <w:rPr>
          <w:rFonts w:ascii="Times New Roman" w:hAnsi="Times New Roman"/>
          <w:sz w:val="24"/>
          <w:szCs w:val="24"/>
        </w:rPr>
        <w:t>&lt;0.01</w:t>
      </w:r>
      <w:r>
        <w:rPr>
          <w:rFonts w:ascii="Times New Roman" w:hAnsi="Times New Roman"/>
          <w:sz w:val="24"/>
          <w:szCs w:val="24"/>
        </w:rPr>
        <w:t xml:space="preserve"> were identified</w:t>
      </w:r>
      <w:r w:rsidRPr="00D5255A">
        <w:rPr>
          <w:rFonts w:ascii="Times New Roman" w:hAnsi="Times New Roman"/>
          <w:sz w:val="24"/>
          <w:szCs w:val="24"/>
        </w:rPr>
        <w:t xml:space="preserve">. This </w:t>
      </w:r>
      <w:r>
        <w:rPr>
          <w:rFonts w:ascii="Times New Roman" w:hAnsi="Times New Roman"/>
          <w:sz w:val="24"/>
          <w:szCs w:val="24"/>
        </w:rPr>
        <w:t>significance</w:t>
      </w:r>
      <w:r w:rsidRPr="00D5255A">
        <w:rPr>
          <w:rFonts w:ascii="Times New Roman" w:hAnsi="Times New Roman"/>
          <w:sz w:val="24"/>
          <w:szCs w:val="24"/>
        </w:rPr>
        <w:t xml:space="preserve"> threshold was selected to balance type I error and type II error rates, as </w:t>
      </w:r>
      <w:r>
        <w:rPr>
          <w:rFonts w:ascii="Times New Roman" w:hAnsi="Times New Roman"/>
          <w:sz w:val="24"/>
          <w:szCs w:val="24"/>
        </w:rPr>
        <w:t>we hypothesized that the</w:t>
      </w:r>
      <w:r w:rsidRPr="00D5255A">
        <w:rPr>
          <w:rFonts w:ascii="Times New Roman" w:hAnsi="Times New Roman"/>
          <w:sz w:val="24"/>
          <w:szCs w:val="24"/>
        </w:rPr>
        <w:t xml:space="preserve"> discovery cohort may be underpowered to detect the loci of interest, and </w:t>
      </w:r>
      <w:r>
        <w:rPr>
          <w:rFonts w:ascii="Times New Roman" w:hAnsi="Times New Roman"/>
          <w:sz w:val="24"/>
          <w:szCs w:val="24"/>
        </w:rPr>
        <w:t xml:space="preserve">for practical reasons </w:t>
      </w:r>
      <w:r w:rsidRPr="00D5255A">
        <w:rPr>
          <w:rFonts w:ascii="Times New Roman" w:hAnsi="Times New Roman"/>
          <w:sz w:val="24"/>
          <w:szCs w:val="24"/>
        </w:rPr>
        <w:t xml:space="preserve">we </w:t>
      </w:r>
      <w:r>
        <w:rPr>
          <w:rFonts w:ascii="Times New Roman" w:hAnsi="Times New Roman"/>
          <w:sz w:val="24"/>
          <w:szCs w:val="24"/>
        </w:rPr>
        <w:t>chose not to</w:t>
      </w:r>
      <w:r w:rsidRPr="00D5255A">
        <w:rPr>
          <w:rFonts w:ascii="Times New Roman" w:hAnsi="Times New Roman"/>
          <w:sz w:val="24"/>
          <w:szCs w:val="24"/>
        </w:rPr>
        <w:t xml:space="preserve"> carry </w:t>
      </w:r>
      <w:r>
        <w:rPr>
          <w:rFonts w:ascii="Times New Roman" w:hAnsi="Times New Roman"/>
          <w:sz w:val="24"/>
          <w:szCs w:val="24"/>
        </w:rPr>
        <w:t xml:space="preserve">forwards a very large number of loci for </w:t>
      </w:r>
      <w:r w:rsidRPr="00D5255A">
        <w:rPr>
          <w:rFonts w:ascii="Times New Roman" w:hAnsi="Times New Roman"/>
          <w:sz w:val="24"/>
          <w:szCs w:val="24"/>
        </w:rPr>
        <w:t>replication owing to the high penalty this would incurred for multiple-test correction. This multi-stage approach has been shown to be successful elsewhere where the discovery cohort was likely underpowered</w:t>
      </w:r>
      <w:proofErr w:type="gramStart"/>
      <w:r w:rsidRPr="00D5255A">
        <w:rPr>
          <w:rFonts w:ascii="Times New Roman" w:hAnsi="Times New Roman"/>
          <w:sz w:val="24"/>
          <w:szCs w:val="24"/>
        </w:rPr>
        <w:t>.</w:t>
      </w:r>
      <w:r>
        <w:rPr>
          <w:rFonts w:ascii="Times New Roman" w:hAnsi="Times New Roman"/>
          <w:noProof/>
          <w:sz w:val="24"/>
          <w:szCs w:val="24"/>
        </w:rPr>
        <w:t>(</w:t>
      </w:r>
      <w:proofErr w:type="gramEnd"/>
      <w:r>
        <w:rPr>
          <w:rFonts w:ascii="Times New Roman" w:hAnsi="Times New Roman"/>
          <w:noProof/>
          <w:sz w:val="24"/>
          <w:szCs w:val="24"/>
        </w:rPr>
        <w:t>24)</w:t>
      </w:r>
      <w:r w:rsidRPr="00D5255A">
        <w:rPr>
          <w:rFonts w:ascii="Times New Roman" w:hAnsi="Times New Roman"/>
          <w:sz w:val="24"/>
          <w:szCs w:val="24"/>
        </w:rPr>
        <w:t xml:space="preserve"> </w:t>
      </w:r>
    </w:p>
    <w:p w:rsidR="00210106" w:rsidRPr="00D5255A" w:rsidRDefault="00210106" w:rsidP="008D3F50">
      <w:pPr>
        <w:spacing w:after="0" w:line="480" w:lineRule="auto"/>
        <w:ind w:firstLine="720"/>
        <w:jc w:val="both"/>
        <w:rPr>
          <w:rFonts w:ascii="Times New Roman" w:hAnsi="Times New Roman"/>
          <w:sz w:val="24"/>
          <w:szCs w:val="24"/>
        </w:rPr>
      </w:pPr>
      <w:r w:rsidRPr="00D5255A">
        <w:rPr>
          <w:rFonts w:ascii="Times New Roman" w:hAnsi="Times New Roman"/>
          <w:sz w:val="24"/>
          <w:szCs w:val="24"/>
        </w:rPr>
        <w:t>Fixed-effect</w:t>
      </w:r>
      <w:r>
        <w:rPr>
          <w:rFonts w:ascii="Times New Roman" w:hAnsi="Times New Roman"/>
          <w:sz w:val="24"/>
          <w:szCs w:val="24"/>
        </w:rPr>
        <w:t>s</w:t>
      </w:r>
      <w:r w:rsidRPr="00D5255A">
        <w:rPr>
          <w:rFonts w:ascii="Times New Roman" w:hAnsi="Times New Roman"/>
          <w:sz w:val="24"/>
          <w:szCs w:val="24"/>
        </w:rPr>
        <w:t xml:space="preserve"> and random-effects inverse variance weighted meta-analyses were undertaken using GWAMA</w:t>
      </w:r>
      <w:r>
        <w:rPr>
          <w:rFonts w:ascii="Times New Roman" w:hAnsi="Times New Roman"/>
          <w:sz w:val="24"/>
          <w:szCs w:val="24"/>
        </w:rPr>
        <w:t xml:space="preserve"> </w:t>
      </w:r>
      <w:r>
        <w:rPr>
          <w:rFonts w:ascii="Times New Roman" w:hAnsi="Times New Roman"/>
          <w:noProof/>
          <w:sz w:val="24"/>
          <w:szCs w:val="24"/>
        </w:rPr>
        <w:t>(25)</w:t>
      </w:r>
      <w:r w:rsidRPr="00D5255A">
        <w:rPr>
          <w:rFonts w:ascii="Times New Roman" w:hAnsi="Times New Roman"/>
          <w:sz w:val="24"/>
          <w:szCs w:val="24"/>
        </w:rPr>
        <w:t xml:space="preserve"> and heterogeneity between studies was assessed using the Cochran’s Q</w:t>
      </w:r>
      <w:r w:rsidRPr="00D5255A">
        <w:rPr>
          <w:rFonts w:ascii="Times New Roman" w:hAnsi="Times New Roman"/>
          <w:i/>
          <w:sz w:val="24"/>
          <w:szCs w:val="24"/>
        </w:rPr>
        <w:t xml:space="preserve"> </w:t>
      </w:r>
      <w:r w:rsidRPr="00D5255A">
        <w:rPr>
          <w:rFonts w:ascii="Times New Roman" w:hAnsi="Times New Roman"/>
          <w:sz w:val="24"/>
          <w:szCs w:val="24"/>
        </w:rPr>
        <w:t>test (</w:t>
      </w:r>
      <w:r w:rsidRPr="00D5255A">
        <w:rPr>
          <w:rFonts w:ascii="Times New Roman" w:hAnsi="Times New Roman"/>
          <w:i/>
          <w:sz w:val="24"/>
          <w:szCs w:val="24"/>
        </w:rPr>
        <w:t>P</w:t>
      </w:r>
      <w:r w:rsidRPr="00D5255A">
        <w:rPr>
          <w:rFonts w:ascii="Times New Roman" w:hAnsi="Times New Roman"/>
          <w:sz w:val="24"/>
          <w:szCs w:val="24"/>
        </w:rPr>
        <w:t xml:space="preserve"> value from this test and </w:t>
      </w:r>
      <w:r w:rsidRPr="00D5255A">
        <w:rPr>
          <w:rFonts w:ascii="Times New Roman" w:hAnsi="Times New Roman"/>
          <w:i/>
          <w:sz w:val="24"/>
          <w:szCs w:val="24"/>
        </w:rPr>
        <w:t>I</w:t>
      </w:r>
      <w:r w:rsidRPr="00D5255A">
        <w:rPr>
          <w:rFonts w:ascii="Times New Roman" w:hAnsi="Times New Roman"/>
          <w:i/>
          <w:sz w:val="24"/>
          <w:szCs w:val="24"/>
          <w:vertAlign w:val="superscript"/>
        </w:rPr>
        <w:t>2</w:t>
      </w:r>
      <w:r w:rsidRPr="00D5255A">
        <w:rPr>
          <w:rFonts w:ascii="Times New Roman" w:hAnsi="Times New Roman"/>
          <w:sz w:val="24"/>
          <w:szCs w:val="24"/>
        </w:rPr>
        <w:t xml:space="preserve"> statistics are reported). As the estimates from the random-effects meta-analysis demonstrated low heterogeneity for most loci (</w:t>
      </w:r>
      <w:r>
        <w:rPr>
          <w:rFonts w:ascii="Times New Roman" w:hAnsi="Times New Roman"/>
          <w:sz w:val="24"/>
          <w:szCs w:val="24"/>
        </w:rPr>
        <w:t xml:space="preserve">see </w:t>
      </w:r>
      <w:r w:rsidRPr="00D5255A">
        <w:rPr>
          <w:rFonts w:ascii="Times New Roman" w:hAnsi="Times New Roman"/>
          <w:sz w:val="24"/>
          <w:szCs w:val="24"/>
        </w:rPr>
        <w:t>Table 1), we present results from the fixed-effect meta-analysis.</w:t>
      </w:r>
      <w:r>
        <w:rPr>
          <w:rFonts w:ascii="Times New Roman" w:hAnsi="Times New Roman"/>
          <w:sz w:val="24"/>
          <w:szCs w:val="24"/>
        </w:rPr>
        <w:t xml:space="preserve"> In two separate meta-analyses we pooled </w:t>
      </w:r>
      <w:proofErr w:type="spellStart"/>
      <w:r>
        <w:rPr>
          <w:rFonts w:ascii="Times New Roman" w:hAnsi="Times New Roman"/>
          <w:sz w:val="24"/>
          <w:szCs w:val="24"/>
        </w:rPr>
        <w:t>i</w:t>
      </w:r>
      <w:proofErr w:type="spellEnd"/>
      <w:r>
        <w:rPr>
          <w:rFonts w:ascii="Times New Roman" w:hAnsi="Times New Roman"/>
          <w:sz w:val="24"/>
          <w:szCs w:val="24"/>
        </w:rPr>
        <w:t xml:space="preserve">) only the replication cohorts and ii) the replication cohorts and the discovery cohort (GLACIER). This was done to determine which signals replicated independently of the discovery cohort (analysis </w:t>
      </w:r>
      <w:proofErr w:type="spellStart"/>
      <w:r>
        <w:rPr>
          <w:rFonts w:ascii="Times New Roman" w:hAnsi="Times New Roman"/>
          <w:sz w:val="24"/>
          <w:szCs w:val="24"/>
        </w:rPr>
        <w:t>i</w:t>
      </w:r>
      <w:proofErr w:type="spellEnd"/>
      <w:r>
        <w:rPr>
          <w:rFonts w:ascii="Times New Roman" w:hAnsi="Times New Roman"/>
          <w:sz w:val="24"/>
          <w:szCs w:val="24"/>
        </w:rPr>
        <w:t xml:space="preserve">) and thereafter to maximize power (analysis ii) </w:t>
      </w:r>
      <w:r>
        <w:rPr>
          <w:rFonts w:ascii="Times New Roman" w:hAnsi="Times New Roman"/>
          <w:noProof/>
          <w:sz w:val="24"/>
          <w:szCs w:val="24"/>
        </w:rPr>
        <w:t>(26)</w:t>
      </w:r>
      <w:r>
        <w:rPr>
          <w:rFonts w:ascii="Times New Roman" w:hAnsi="Times New Roman"/>
          <w:sz w:val="24"/>
          <w:szCs w:val="24"/>
        </w:rPr>
        <w:t>.</w:t>
      </w:r>
    </w:p>
    <w:p w:rsidR="00210106" w:rsidRPr="00D5255A" w:rsidRDefault="00210106" w:rsidP="008D3F50">
      <w:pPr>
        <w:pStyle w:val="Heading2"/>
        <w:tabs>
          <w:tab w:val="left" w:pos="5070"/>
          <w:tab w:val="left" w:pos="7965"/>
        </w:tabs>
        <w:spacing w:before="0" w:line="480" w:lineRule="auto"/>
        <w:rPr>
          <w:rFonts w:ascii="Times New Roman" w:hAnsi="Times New Roman" w:cs="Times New Roman"/>
          <w:i/>
          <w:color w:val="auto"/>
          <w:sz w:val="24"/>
          <w:szCs w:val="24"/>
        </w:rPr>
      </w:pPr>
    </w:p>
    <w:p w:rsidR="00210106" w:rsidRPr="00D5255A" w:rsidRDefault="00210106" w:rsidP="008D3F50">
      <w:pPr>
        <w:pStyle w:val="Heading2"/>
        <w:tabs>
          <w:tab w:val="left" w:pos="5070"/>
          <w:tab w:val="left" w:pos="7965"/>
        </w:tabs>
        <w:spacing w:before="0" w:line="480" w:lineRule="auto"/>
        <w:rPr>
          <w:rFonts w:ascii="Times New Roman" w:hAnsi="Times New Roman" w:cs="Times New Roman"/>
          <w:color w:val="auto"/>
          <w:sz w:val="24"/>
          <w:szCs w:val="24"/>
        </w:rPr>
      </w:pPr>
      <w:r w:rsidRPr="00D5255A">
        <w:rPr>
          <w:rFonts w:ascii="Times New Roman" w:hAnsi="Times New Roman" w:cs="Times New Roman"/>
          <w:i/>
          <w:color w:val="auto"/>
          <w:sz w:val="24"/>
          <w:szCs w:val="24"/>
        </w:rPr>
        <w:t>In silico</w:t>
      </w:r>
      <w:r w:rsidRPr="00D5255A">
        <w:rPr>
          <w:rFonts w:ascii="Times New Roman" w:hAnsi="Times New Roman" w:cs="Times New Roman"/>
          <w:color w:val="auto"/>
          <w:sz w:val="24"/>
          <w:szCs w:val="24"/>
        </w:rPr>
        <w:t xml:space="preserve"> look-up</w:t>
      </w:r>
      <w:r w:rsidRPr="00D5255A">
        <w:rPr>
          <w:rFonts w:ascii="Times New Roman" w:hAnsi="Times New Roman" w:cs="Times New Roman"/>
          <w:color w:val="auto"/>
          <w:sz w:val="24"/>
          <w:szCs w:val="24"/>
        </w:rPr>
        <w:tab/>
      </w:r>
    </w:p>
    <w:p w:rsidR="00210106" w:rsidRPr="00D5255A" w:rsidRDefault="00210106" w:rsidP="008D3F50">
      <w:pPr>
        <w:spacing w:after="0" w:line="480" w:lineRule="auto"/>
        <w:ind w:firstLine="720"/>
        <w:jc w:val="both"/>
        <w:rPr>
          <w:rFonts w:ascii="Times New Roman" w:hAnsi="Times New Roman"/>
          <w:sz w:val="24"/>
          <w:szCs w:val="24"/>
        </w:rPr>
      </w:pPr>
      <w:r w:rsidRPr="00D5255A">
        <w:rPr>
          <w:rFonts w:ascii="Times New Roman" w:hAnsi="Times New Roman"/>
          <w:sz w:val="24"/>
          <w:szCs w:val="24"/>
        </w:rPr>
        <w:t xml:space="preserve">We performed an </w:t>
      </w:r>
      <w:r w:rsidRPr="00D5255A">
        <w:rPr>
          <w:rFonts w:ascii="Times New Roman" w:hAnsi="Times New Roman"/>
          <w:i/>
          <w:sz w:val="24"/>
          <w:szCs w:val="24"/>
        </w:rPr>
        <w:t>in silico</w:t>
      </w:r>
      <w:r w:rsidRPr="00D5255A">
        <w:rPr>
          <w:rFonts w:ascii="Times New Roman" w:hAnsi="Times New Roman"/>
          <w:sz w:val="24"/>
          <w:szCs w:val="24"/>
        </w:rPr>
        <w:t xml:space="preserve"> look-up for all SNPs</w:t>
      </w:r>
      <w:r>
        <w:rPr>
          <w:rFonts w:ascii="Times New Roman" w:hAnsi="Times New Roman"/>
          <w:sz w:val="24"/>
          <w:szCs w:val="24"/>
        </w:rPr>
        <w:t xml:space="preserve"> (± 200 kb)</w:t>
      </w:r>
      <w:r w:rsidRPr="00D5255A">
        <w:rPr>
          <w:rFonts w:ascii="Times New Roman" w:hAnsi="Times New Roman"/>
          <w:sz w:val="24"/>
          <w:szCs w:val="24"/>
        </w:rPr>
        <w:t xml:space="preserve"> that were associated with lipid change at </w:t>
      </w:r>
      <w:r w:rsidRPr="00D5255A">
        <w:rPr>
          <w:rFonts w:ascii="Times New Roman" w:hAnsi="Times New Roman"/>
          <w:i/>
          <w:sz w:val="24"/>
          <w:szCs w:val="24"/>
        </w:rPr>
        <w:t>P</w:t>
      </w:r>
      <w:r w:rsidRPr="00D5255A">
        <w:rPr>
          <w:rFonts w:ascii="Times New Roman" w:hAnsi="Times New Roman"/>
          <w:sz w:val="24"/>
          <w:szCs w:val="24"/>
        </w:rPr>
        <w:t>&lt;10</w:t>
      </w:r>
      <w:r w:rsidRPr="00D5255A">
        <w:rPr>
          <w:rFonts w:ascii="Times New Roman" w:hAnsi="Times New Roman"/>
          <w:sz w:val="24"/>
          <w:szCs w:val="24"/>
          <w:vertAlign w:val="superscript"/>
        </w:rPr>
        <w:t>-3</w:t>
      </w:r>
      <w:r w:rsidRPr="00D5255A">
        <w:rPr>
          <w:rFonts w:ascii="Times New Roman" w:hAnsi="Times New Roman"/>
          <w:sz w:val="24"/>
          <w:szCs w:val="24"/>
        </w:rPr>
        <w:t xml:space="preserve"> in the fixed-effect meta-analysis described above in the CARDIoGRAMplusC4D consortium database </w:t>
      </w:r>
      <w:r w:rsidRPr="00D5255A">
        <w:rPr>
          <w:rFonts w:ascii="Times New Roman" w:hAnsi="Times New Roman"/>
          <w:noProof/>
          <w:sz w:val="24"/>
          <w:szCs w:val="24"/>
        </w:rPr>
        <w:t>(5)</w:t>
      </w:r>
      <w:r w:rsidRPr="00D5255A">
        <w:rPr>
          <w:rFonts w:ascii="Times New Roman" w:hAnsi="Times New Roman"/>
          <w:sz w:val="24"/>
          <w:szCs w:val="24"/>
        </w:rPr>
        <w:t xml:space="preserve"> (</w:t>
      </w:r>
      <w:proofErr w:type="spellStart"/>
      <w:r w:rsidRPr="00D5255A">
        <w:rPr>
          <w:rFonts w:ascii="Times New Roman" w:hAnsi="Times New Roman"/>
          <w:sz w:val="24"/>
          <w:szCs w:val="24"/>
        </w:rPr>
        <w:t>N</w:t>
      </w:r>
      <w:r w:rsidRPr="00D5255A">
        <w:rPr>
          <w:rFonts w:ascii="Times New Roman" w:hAnsi="Times New Roman"/>
          <w:sz w:val="24"/>
          <w:szCs w:val="24"/>
          <w:vertAlign w:val="subscript"/>
        </w:rPr>
        <w:t>max</w:t>
      </w:r>
      <w:proofErr w:type="spellEnd"/>
      <w:r w:rsidRPr="00D5255A">
        <w:rPr>
          <w:rFonts w:ascii="Times New Roman" w:hAnsi="Times New Roman"/>
          <w:sz w:val="24"/>
          <w:szCs w:val="24"/>
        </w:rPr>
        <w:t xml:space="preserve">=191,650). For the </w:t>
      </w:r>
      <w:r>
        <w:rPr>
          <w:rFonts w:ascii="Times New Roman" w:hAnsi="Times New Roman"/>
          <w:sz w:val="24"/>
          <w:szCs w:val="24"/>
        </w:rPr>
        <w:t xml:space="preserve">pragmatic </w:t>
      </w:r>
      <w:r w:rsidRPr="00D5255A">
        <w:rPr>
          <w:rFonts w:ascii="Times New Roman" w:hAnsi="Times New Roman"/>
          <w:sz w:val="24"/>
          <w:szCs w:val="24"/>
        </w:rPr>
        <w:t xml:space="preserve">reasons </w:t>
      </w:r>
      <w:r>
        <w:rPr>
          <w:rFonts w:ascii="Times New Roman" w:hAnsi="Times New Roman"/>
          <w:sz w:val="24"/>
          <w:szCs w:val="24"/>
        </w:rPr>
        <w:t>outlined above</w:t>
      </w:r>
      <w:r w:rsidRPr="00D5255A">
        <w:rPr>
          <w:rFonts w:ascii="Times New Roman" w:hAnsi="Times New Roman"/>
          <w:sz w:val="24"/>
          <w:szCs w:val="24"/>
        </w:rPr>
        <w:t xml:space="preserve"> for the replication analyses, a probability threshold of </w:t>
      </w:r>
      <w:r w:rsidRPr="00D5255A">
        <w:rPr>
          <w:rFonts w:ascii="Times New Roman" w:hAnsi="Times New Roman"/>
          <w:i/>
          <w:sz w:val="24"/>
          <w:szCs w:val="24"/>
        </w:rPr>
        <w:t>P</w:t>
      </w:r>
      <w:r w:rsidRPr="00D5255A">
        <w:rPr>
          <w:rFonts w:ascii="Times New Roman" w:hAnsi="Times New Roman"/>
          <w:sz w:val="24"/>
          <w:szCs w:val="24"/>
        </w:rPr>
        <w:t>&lt;1×10</w:t>
      </w:r>
      <w:r w:rsidRPr="00D5255A">
        <w:rPr>
          <w:rFonts w:ascii="Times New Roman" w:hAnsi="Times New Roman"/>
          <w:sz w:val="24"/>
          <w:szCs w:val="24"/>
          <w:vertAlign w:val="superscript"/>
        </w:rPr>
        <w:t>-3</w:t>
      </w:r>
      <w:r w:rsidRPr="00D5255A">
        <w:rPr>
          <w:rFonts w:ascii="Times New Roman" w:hAnsi="Times New Roman"/>
          <w:sz w:val="24"/>
          <w:szCs w:val="24"/>
        </w:rPr>
        <w:t xml:space="preserve"> was used for </w:t>
      </w:r>
      <w:r w:rsidRPr="00D5255A">
        <w:rPr>
          <w:rFonts w:ascii="Times New Roman" w:hAnsi="Times New Roman"/>
          <w:sz w:val="24"/>
          <w:szCs w:val="24"/>
        </w:rPr>
        <w:lastRenderedPageBreak/>
        <w:t xml:space="preserve">SNP look-ups. The purpose of the look-up was to detect </w:t>
      </w:r>
      <w:r>
        <w:rPr>
          <w:rFonts w:ascii="Times New Roman" w:hAnsi="Times New Roman"/>
          <w:sz w:val="24"/>
          <w:szCs w:val="24"/>
        </w:rPr>
        <w:t>suggestive</w:t>
      </w:r>
      <w:r w:rsidRPr="00D5255A">
        <w:rPr>
          <w:rFonts w:ascii="Times New Roman" w:hAnsi="Times New Roman"/>
          <w:sz w:val="24"/>
          <w:szCs w:val="24"/>
        </w:rPr>
        <w:t xml:space="preserve"> novel associations with CAD</w:t>
      </w:r>
      <w:r>
        <w:rPr>
          <w:rFonts w:ascii="Times New Roman" w:hAnsi="Times New Roman"/>
          <w:sz w:val="24"/>
          <w:szCs w:val="24"/>
        </w:rPr>
        <w:t xml:space="preserve"> at or around (± 200 kb)</w:t>
      </w:r>
      <w:r w:rsidRPr="00D5255A">
        <w:rPr>
          <w:rFonts w:ascii="Times New Roman" w:hAnsi="Times New Roman"/>
          <w:sz w:val="24"/>
          <w:szCs w:val="24"/>
        </w:rPr>
        <w:t xml:space="preserve"> </w:t>
      </w:r>
      <w:r>
        <w:rPr>
          <w:rFonts w:ascii="Times New Roman" w:hAnsi="Times New Roman"/>
          <w:sz w:val="24"/>
          <w:szCs w:val="24"/>
        </w:rPr>
        <w:t>the genomic locations where associations with lipid level changes have been detected</w:t>
      </w:r>
      <w:r w:rsidRPr="00D5255A">
        <w:rPr>
          <w:rFonts w:ascii="Times New Roman" w:hAnsi="Times New Roman"/>
          <w:sz w:val="24"/>
          <w:szCs w:val="24"/>
        </w:rPr>
        <w:t>; because all variants reaching genome-wide significance in this database have been reported elsewhere</w:t>
      </w:r>
      <w:proofErr w:type="gramStart"/>
      <w:r w:rsidRPr="00D5255A">
        <w:rPr>
          <w:rFonts w:ascii="Times New Roman" w:hAnsi="Times New Roman"/>
          <w:sz w:val="24"/>
          <w:szCs w:val="24"/>
        </w:rPr>
        <w:t>,</w:t>
      </w:r>
      <w:r w:rsidRPr="00D5255A">
        <w:rPr>
          <w:rFonts w:ascii="Times New Roman" w:hAnsi="Times New Roman"/>
          <w:noProof/>
          <w:sz w:val="24"/>
          <w:szCs w:val="24"/>
        </w:rPr>
        <w:t>(</w:t>
      </w:r>
      <w:proofErr w:type="gramEnd"/>
      <w:r w:rsidRPr="00D5255A">
        <w:rPr>
          <w:rFonts w:ascii="Times New Roman" w:hAnsi="Times New Roman"/>
          <w:noProof/>
          <w:sz w:val="24"/>
          <w:szCs w:val="24"/>
        </w:rPr>
        <w:t>5)</w:t>
      </w:r>
      <w:r w:rsidRPr="00D5255A">
        <w:rPr>
          <w:rFonts w:ascii="Times New Roman" w:hAnsi="Times New Roman"/>
          <w:sz w:val="24"/>
          <w:szCs w:val="24"/>
        </w:rPr>
        <w:t xml:space="preserve"> </w:t>
      </w:r>
      <w:r>
        <w:rPr>
          <w:rFonts w:ascii="Times New Roman" w:hAnsi="Times New Roman"/>
          <w:sz w:val="24"/>
          <w:szCs w:val="24"/>
        </w:rPr>
        <w:t xml:space="preserve">this search was restricted to the </w:t>
      </w:r>
      <w:r w:rsidRPr="00D5255A">
        <w:rPr>
          <w:rFonts w:ascii="Times New Roman" w:hAnsi="Times New Roman"/>
          <w:sz w:val="24"/>
          <w:szCs w:val="24"/>
        </w:rPr>
        <w:t>identif</w:t>
      </w:r>
      <w:r>
        <w:rPr>
          <w:rFonts w:ascii="Times New Roman" w:hAnsi="Times New Roman"/>
          <w:sz w:val="24"/>
          <w:szCs w:val="24"/>
        </w:rPr>
        <w:t>ication of</w:t>
      </w:r>
      <w:r w:rsidRPr="00D5255A">
        <w:rPr>
          <w:rFonts w:ascii="Times New Roman" w:hAnsi="Times New Roman"/>
          <w:sz w:val="24"/>
          <w:szCs w:val="24"/>
        </w:rPr>
        <w:t xml:space="preserve"> variants yielding association signals in the </w:t>
      </w:r>
      <w:r w:rsidRPr="00D5255A">
        <w:rPr>
          <w:rFonts w:ascii="Times New Roman" w:hAnsi="Times New Roman"/>
          <w:i/>
          <w:sz w:val="24"/>
          <w:szCs w:val="24"/>
        </w:rPr>
        <w:t>P</w:t>
      </w:r>
      <w:r w:rsidRPr="00D5255A">
        <w:rPr>
          <w:rFonts w:ascii="Times New Roman" w:hAnsi="Times New Roman"/>
          <w:sz w:val="24"/>
          <w:szCs w:val="24"/>
        </w:rPr>
        <w:t>=5×10</w:t>
      </w:r>
      <w:r w:rsidRPr="00D5255A">
        <w:rPr>
          <w:rFonts w:ascii="Times New Roman" w:hAnsi="Times New Roman"/>
          <w:sz w:val="24"/>
          <w:szCs w:val="24"/>
          <w:vertAlign w:val="superscript"/>
        </w:rPr>
        <w:t>-8</w:t>
      </w:r>
      <w:r w:rsidRPr="00D5255A">
        <w:rPr>
          <w:rFonts w:ascii="Times New Roman" w:hAnsi="Times New Roman"/>
          <w:sz w:val="24"/>
          <w:szCs w:val="24"/>
        </w:rPr>
        <w:t xml:space="preserve"> to </w:t>
      </w:r>
      <w:r w:rsidRPr="00D5255A">
        <w:rPr>
          <w:rFonts w:ascii="Times New Roman" w:hAnsi="Times New Roman"/>
          <w:i/>
          <w:sz w:val="24"/>
          <w:szCs w:val="24"/>
        </w:rPr>
        <w:t>P</w:t>
      </w:r>
      <w:r w:rsidRPr="00D5255A">
        <w:rPr>
          <w:rFonts w:ascii="Times New Roman" w:hAnsi="Times New Roman"/>
          <w:sz w:val="24"/>
          <w:szCs w:val="24"/>
        </w:rPr>
        <w:t>=</w:t>
      </w:r>
      <w:r>
        <w:rPr>
          <w:rFonts w:ascii="Times New Roman" w:hAnsi="Times New Roman"/>
          <w:sz w:val="24"/>
          <w:szCs w:val="24"/>
        </w:rPr>
        <w:t>1</w:t>
      </w:r>
      <w:r w:rsidRPr="00D5255A">
        <w:rPr>
          <w:rFonts w:ascii="Times New Roman" w:hAnsi="Times New Roman"/>
          <w:sz w:val="24"/>
          <w:szCs w:val="24"/>
        </w:rPr>
        <w:t>×10</w:t>
      </w:r>
      <w:r w:rsidRPr="00D5255A">
        <w:rPr>
          <w:rFonts w:ascii="Times New Roman" w:hAnsi="Times New Roman"/>
          <w:sz w:val="24"/>
          <w:szCs w:val="24"/>
          <w:vertAlign w:val="superscript"/>
        </w:rPr>
        <w:t>-3</w:t>
      </w:r>
      <w:r w:rsidRPr="00D5255A">
        <w:rPr>
          <w:rFonts w:ascii="Times New Roman" w:hAnsi="Times New Roman"/>
          <w:sz w:val="24"/>
          <w:szCs w:val="24"/>
        </w:rPr>
        <w:t xml:space="preserve"> range. We also performed an </w:t>
      </w:r>
      <w:r w:rsidRPr="00D5255A">
        <w:rPr>
          <w:rFonts w:ascii="Times New Roman" w:hAnsi="Times New Roman"/>
          <w:i/>
          <w:sz w:val="24"/>
          <w:szCs w:val="24"/>
        </w:rPr>
        <w:t>in silico</w:t>
      </w:r>
      <w:r w:rsidRPr="00D5255A">
        <w:rPr>
          <w:rFonts w:ascii="Times New Roman" w:hAnsi="Times New Roman"/>
          <w:sz w:val="24"/>
          <w:szCs w:val="24"/>
        </w:rPr>
        <w:t xml:space="preserve"> look-up of our top hits in the </w:t>
      </w:r>
      <w:proofErr w:type="spellStart"/>
      <w:r w:rsidRPr="00D5255A">
        <w:rPr>
          <w:rFonts w:ascii="Times New Roman" w:hAnsi="Times New Roman"/>
          <w:sz w:val="24"/>
          <w:szCs w:val="24"/>
        </w:rPr>
        <w:t>DIAbetes</w:t>
      </w:r>
      <w:proofErr w:type="spellEnd"/>
      <w:r w:rsidRPr="00D5255A">
        <w:rPr>
          <w:rFonts w:ascii="Times New Roman" w:hAnsi="Times New Roman"/>
          <w:sz w:val="24"/>
          <w:szCs w:val="24"/>
        </w:rPr>
        <w:t xml:space="preserve"> Genetics Replication </w:t>
      </w:r>
      <w:proofErr w:type="gramStart"/>
      <w:r w:rsidRPr="00D5255A">
        <w:rPr>
          <w:rFonts w:ascii="Times New Roman" w:hAnsi="Times New Roman"/>
          <w:sz w:val="24"/>
          <w:szCs w:val="24"/>
        </w:rPr>
        <w:t>And</w:t>
      </w:r>
      <w:proofErr w:type="gramEnd"/>
      <w:r w:rsidRPr="00D5255A">
        <w:rPr>
          <w:rFonts w:ascii="Times New Roman" w:hAnsi="Times New Roman"/>
          <w:sz w:val="24"/>
          <w:szCs w:val="24"/>
        </w:rPr>
        <w:t xml:space="preserve"> Meta-analysis </w:t>
      </w:r>
      <w:r>
        <w:rPr>
          <w:rFonts w:ascii="Times New Roman" w:hAnsi="Times New Roman"/>
          <w:sz w:val="24"/>
          <w:szCs w:val="24"/>
        </w:rPr>
        <w:t>(</w:t>
      </w:r>
      <w:r w:rsidRPr="00D5255A">
        <w:rPr>
          <w:rFonts w:ascii="Times New Roman" w:hAnsi="Times New Roman"/>
          <w:sz w:val="24"/>
          <w:szCs w:val="24"/>
        </w:rPr>
        <w:t>DIAGRAM</w:t>
      </w:r>
      <w:r>
        <w:rPr>
          <w:rFonts w:ascii="Times New Roman" w:hAnsi="Times New Roman"/>
          <w:sz w:val="24"/>
          <w:szCs w:val="24"/>
        </w:rPr>
        <w:t>)</w:t>
      </w:r>
      <w:r w:rsidRPr="00D5255A">
        <w:rPr>
          <w:rFonts w:ascii="Times New Roman" w:hAnsi="Times New Roman"/>
          <w:sz w:val="24"/>
          <w:szCs w:val="24"/>
        </w:rPr>
        <w:t xml:space="preserve"> </w:t>
      </w:r>
      <w:r>
        <w:rPr>
          <w:rFonts w:ascii="Times New Roman" w:hAnsi="Times New Roman"/>
          <w:noProof/>
          <w:sz w:val="24"/>
          <w:szCs w:val="24"/>
        </w:rPr>
        <w:t>(27)</w:t>
      </w:r>
      <w:r w:rsidRPr="00D5255A">
        <w:rPr>
          <w:rFonts w:ascii="Times New Roman" w:hAnsi="Times New Roman"/>
          <w:sz w:val="24"/>
          <w:szCs w:val="24"/>
        </w:rPr>
        <w:t xml:space="preserve"> (</w:t>
      </w:r>
      <w:proofErr w:type="spellStart"/>
      <w:r w:rsidRPr="00D5255A">
        <w:rPr>
          <w:rFonts w:ascii="Times New Roman" w:hAnsi="Times New Roman"/>
          <w:sz w:val="24"/>
          <w:szCs w:val="24"/>
        </w:rPr>
        <w:t>N</w:t>
      </w:r>
      <w:r w:rsidRPr="00D5255A">
        <w:rPr>
          <w:rFonts w:ascii="Times New Roman" w:hAnsi="Times New Roman"/>
          <w:sz w:val="24"/>
          <w:szCs w:val="24"/>
          <w:vertAlign w:val="subscript"/>
        </w:rPr>
        <w:t>max</w:t>
      </w:r>
      <w:proofErr w:type="spellEnd"/>
      <w:r w:rsidRPr="00D5255A">
        <w:rPr>
          <w:rFonts w:ascii="Times New Roman" w:hAnsi="Times New Roman"/>
          <w:sz w:val="24"/>
          <w:szCs w:val="24"/>
        </w:rPr>
        <w:t>=86,531) and</w:t>
      </w:r>
      <w:r>
        <w:rPr>
          <w:rFonts w:ascii="Times New Roman" w:hAnsi="Times New Roman"/>
          <w:sz w:val="24"/>
          <w:szCs w:val="24"/>
        </w:rPr>
        <w:t xml:space="preserve"> the </w:t>
      </w:r>
      <w:r w:rsidRPr="00D5255A">
        <w:rPr>
          <w:rFonts w:ascii="Times New Roman" w:hAnsi="Times New Roman"/>
          <w:sz w:val="24"/>
          <w:szCs w:val="24"/>
        </w:rPr>
        <w:t xml:space="preserve">International Consortium for Blood Pressure </w:t>
      </w:r>
      <w:r>
        <w:rPr>
          <w:rFonts w:ascii="Times New Roman" w:hAnsi="Times New Roman"/>
          <w:sz w:val="24"/>
          <w:szCs w:val="24"/>
        </w:rPr>
        <w:t>(</w:t>
      </w:r>
      <w:r w:rsidRPr="00D5255A">
        <w:rPr>
          <w:rFonts w:ascii="Times New Roman" w:hAnsi="Times New Roman"/>
          <w:sz w:val="24"/>
          <w:szCs w:val="24"/>
        </w:rPr>
        <w:t>ICBP</w:t>
      </w:r>
      <w:r>
        <w:rPr>
          <w:rFonts w:ascii="Times New Roman" w:hAnsi="Times New Roman"/>
          <w:sz w:val="24"/>
          <w:szCs w:val="24"/>
        </w:rPr>
        <w:t>)</w:t>
      </w:r>
      <w:r w:rsidRPr="00D5255A">
        <w:rPr>
          <w:rFonts w:ascii="Times New Roman" w:hAnsi="Times New Roman"/>
          <w:sz w:val="24"/>
          <w:szCs w:val="24"/>
        </w:rPr>
        <w:t xml:space="preserve"> </w:t>
      </w:r>
      <w:r>
        <w:rPr>
          <w:rFonts w:ascii="Times New Roman" w:hAnsi="Times New Roman"/>
          <w:noProof/>
          <w:sz w:val="24"/>
          <w:szCs w:val="24"/>
        </w:rPr>
        <w:t>(28)</w:t>
      </w:r>
      <w:r w:rsidRPr="00D5255A">
        <w:rPr>
          <w:rFonts w:ascii="Times New Roman" w:hAnsi="Times New Roman"/>
          <w:sz w:val="24"/>
          <w:szCs w:val="24"/>
        </w:rPr>
        <w:t xml:space="preserve"> (</w:t>
      </w:r>
      <w:proofErr w:type="spellStart"/>
      <w:r w:rsidRPr="00D5255A">
        <w:rPr>
          <w:rFonts w:ascii="Times New Roman" w:hAnsi="Times New Roman"/>
          <w:sz w:val="24"/>
          <w:szCs w:val="24"/>
        </w:rPr>
        <w:t>N</w:t>
      </w:r>
      <w:r w:rsidRPr="00D5255A">
        <w:rPr>
          <w:rFonts w:ascii="Times New Roman" w:hAnsi="Times New Roman"/>
          <w:sz w:val="24"/>
          <w:szCs w:val="24"/>
          <w:vertAlign w:val="subscript"/>
        </w:rPr>
        <w:t>max</w:t>
      </w:r>
      <w:proofErr w:type="spellEnd"/>
      <w:r w:rsidRPr="00D5255A">
        <w:rPr>
          <w:rFonts w:ascii="Times New Roman" w:hAnsi="Times New Roman"/>
          <w:sz w:val="24"/>
          <w:szCs w:val="24"/>
        </w:rPr>
        <w:t xml:space="preserve">=203,056) consortia in order to investigate potential associations of our index variants and T2D </w:t>
      </w:r>
      <w:r>
        <w:rPr>
          <w:rFonts w:ascii="Times New Roman" w:hAnsi="Times New Roman"/>
          <w:sz w:val="24"/>
          <w:szCs w:val="24"/>
        </w:rPr>
        <w:t>and</w:t>
      </w:r>
      <w:r w:rsidRPr="00D5255A">
        <w:rPr>
          <w:rFonts w:ascii="Times New Roman" w:hAnsi="Times New Roman"/>
          <w:sz w:val="24"/>
          <w:szCs w:val="24"/>
        </w:rPr>
        <w:t xml:space="preserve"> blood pressure respectively.</w:t>
      </w:r>
    </w:p>
    <w:p w:rsidR="00210106" w:rsidRPr="00D5255A" w:rsidRDefault="00210106" w:rsidP="008D3F50">
      <w:pPr>
        <w:spacing w:after="0" w:line="480" w:lineRule="auto"/>
        <w:rPr>
          <w:rFonts w:ascii="Times New Roman" w:hAnsi="Times New Roman"/>
          <w:sz w:val="24"/>
          <w:szCs w:val="24"/>
        </w:rPr>
      </w:pPr>
    </w:p>
    <w:p w:rsidR="00210106" w:rsidRPr="00D5255A" w:rsidRDefault="00210106" w:rsidP="008D3F50">
      <w:pPr>
        <w:pStyle w:val="Heading2"/>
        <w:tabs>
          <w:tab w:val="left" w:pos="5070"/>
          <w:tab w:val="left" w:pos="7965"/>
        </w:tabs>
        <w:spacing w:before="0" w:line="480" w:lineRule="auto"/>
        <w:rPr>
          <w:rFonts w:ascii="Times New Roman" w:hAnsi="Times New Roman" w:cs="Times New Roman"/>
          <w:color w:val="auto"/>
          <w:sz w:val="24"/>
          <w:szCs w:val="24"/>
        </w:rPr>
      </w:pPr>
      <w:r w:rsidRPr="00D5255A">
        <w:rPr>
          <w:rFonts w:ascii="Times New Roman" w:hAnsi="Times New Roman" w:cs="Times New Roman"/>
          <w:color w:val="auto"/>
          <w:sz w:val="24"/>
          <w:szCs w:val="24"/>
        </w:rPr>
        <w:t>Functional annotation</w:t>
      </w:r>
      <w:r w:rsidRPr="00D5255A">
        <w:rPr>
          <w:rFonts w:ascii="Times New Roman" w:hAnsi="Times New Roman" w:cs="Times New Roman"/>
          <w:color w:val="auto"/>
          <w:sz w:val="24"/>
          <w:szCs w:val="24"/>
        </w:rPr>
        <w:tab/>
      </w:r>
    </w:p>
    <w:p w:rsidR="00210106" w:rsidRDefault="00210106" w:rsidP="008D3F50">
      <w:pPr>
        <w:pStyle w:val="Heading1"/>
        <w:tabs>
          <w:tab w:val="left" w:pos="6195"/>
        </w:tabs>
        <w:spacing w:after="0" w:line="480" w:lineRule="auto"/>
        <w:jc w:val="both"/>
        <w:rPr>
          <w:rFonts w:ascii="Times New Roman" w:hAnsi="Times New Roman"/>
          <w:sz w:val="24"/>
          <w:szCs w:val="24"/>
        </w:rPr>
      </w:pPr>
      <w:r w:rsidRPr="008D3F50">
        <w:rPr>
          <w:rFonts w:ascii="Times New Roman" w:eastAsia="Calibri" w:hAnsi="Times New Roman"/>
          <w:b w:val="0"/>
          <w:bCs w:val="0"/>
          <w:caps w:val="0"/>
          <w:kern w:val="0"/>
          <w:sz w:val="24"/>
          <w:szCs w:val="24"/>
        </w:rPr>
        <w:t>In order to characterize the regulatory potential of candidate loci, we characterized SNP overlaps with evolutionarily conserved elements determined using the GERP algorithm.</w:t>
      </w:r>
      <w:r>
        <w:rPr>
          <w:rFonts w:ascii="Times New Roman" w:eastAsia="Calibri" w:hAnsi="Times New Roman"/>
          <w:b w:val="0"/>
          <w:bCs w:val="0"/>
          <w:caps w:val="0"/>
          <w:noProof/>
          <w:kern w:val="0"/>
          <w:sz w:val="24"/>
          <w:szCs w:val="24"/>
        </w:rPr>
        <w:t>(29)</w:t>
      </w:r>
      <w:r w:rsidRPr="008D3F50">
        <w:rPr>
          <w:rFonts w:ascii="Times New Roman" w:eastAsia="Calibri" w:hAnsi="Times New Roman"/>
          <w:b w:val="0"/>
          <w:bCs w:val="0"/>
          <w:caps w:val="0"/>
          <w:kern w:val="0"/>
          <w:sz w:val="24"/>
          <w:szCs w:val="24"/>
        </w:rPr>
        <w:t xml:space="preserve"> We conducted functional annotation for the seven novel lipid change variants identified through the fixed-effect meta-analysis. These variants include those that were also associated with CAD in CARDIoGRAMplusC4D. Using data on DHSs in 125 cell lines generated by The ENCODE Project,</w:t>
      </w:r>
      <w:r>
        <w:rPr>
          <w:rFonts w:ascii="Times New Roman" w:eastAsia="Calibri" w:hAnsi="Times New Roman"/>
          <w:b w:val="0"/>
          <w:bCs w:val="0"/>
          <w:caps w:val="0"/>
          <w:kern w:val="0"/>
          <w:sz w:val="24"/>
          <w:szCs w:val="24"/>
        </w:rPr>
        <w:t xml:space="preserve"> </w:t>
      </w:r>
      <w:r>
        <w:rPr>
          <w:rFonts w:ascii="Times New Roman" w:eastAsia="Calibri" w:hAnsi="Times New Roman"/>
          <w:b w:val="0"/>
          <w:bCs w:val="0"/>
          <w:caps w:val="0"/>
          <w:noProof/>
          <w:kern w:val="0"/>
          <w:sz w:val="24"/>
          <w:szCs w:val="24"/>
        </w:rPr>
        <w:t>(30)</w:t>
      </w:r>
      <w:r w:rsidRPr="008D3F50">
        <w:rPr>
          <w:rFonts w:ascii="Times New Roman" w:eastAsia="Calibri" w:hAnsi="Times New Roman"/>
          <w:b w:val="0"/>
          <w:bCs w:val="0"/>
          <w:caps w:val="0"/>
          <w:kern w:val="0"/>
          <w:sz w:val="24"/>
          <w:szCs w:val="24"/>
        </w:rPr>
        <w:t xml:space="preserve"> we determined the frequencies with which DHS-sites overlapped with candidate loci. Ernst et al. generated genome-wide chromatin state maps for nine cell lines using a hidden Markov model trained on histone modification patterns as well as binding of CCCTC-binding factor </w:t>
      </w:r>
      <w:r>
        <w:rPr>
          <w:rFonts w:ascii="Times New Roman" w:eastAsia="Calibri" w:hAnsi="Times New Roman"/>
          <w:b w:val="0"/>
          <w:bCs w:val="0"/>
          <w:caps w:val="0"/>
          <w:noProof/>
          <w:kern w:val="0"/>
          <w:sz w:val="24"/>
          <w:szCs w:val="24"/>
        </w:rPr>
        <w:t>(31)</w:t>
      </w:r>
      <w:r w:rsidRPr="008D3F50">
        <w:rPr>
          <w:rFonts w:ascii="Times New Roman" w:eastAsia="Calibri" w:hAnsi="Times New Roman"/>
          <w:b w:val="0"/>
          <w:bCs w:val="0"/>
          <w:caps w:val="0"/>
          <w:kern w:val="0"/>
          <w:sz w:val="24"/>
          <w:szCs w:val="24"/>
        </w:rPr>
        <w:t>; to gauge the diversity of chromatin states associated with each SNP, we mapped these chromatin states for each of the nine cell lines onto our candidate loci. We used ChIP-seq data generated by ENCODE</w:t>
      </w:r>
      <w:r>
        <w:rPr>
          <w:rFonts w:ascii="Times New Roman" w:eastAsia="Calibri" w:hAnsi="Times New Roman"/>
          <w:b w:val="0"/>
          <w:bCs w:val="0"/>
          <w:caps w:val="0"/>
          <w:kern w:val="0"/>
          <w:sz w:val="24"/>
          <w:szCs w:val="24"/>
        </w:rPr>
        <w:t xml:space="preserve"> </w:t>
      </w:r>
      <w:r>
        <w:rPr>
          <w:rFonts w:ascii="Times New Roman" w:eastAsia="Calibri" w:hAnsi="Times New Roman"/>
          <w:b w:val="0"/>
          <w:bCs w:val="0"/>
          <w:caps w:val="0"/>
          <w:noProof/>
          <w:kern w:val="0"/>
          <w:sz w:val="24"/>
          <w:szCs w:val="24"/>
        </w:rPr>
        <w:t>(30)</w:t>
      </w:r>
      <w:r w:rsidRPr="008D3F50">
        <w:rPr>
          <w:rFonts w:ascii="Times New Roman" w:eastAsia="Calibri" w:hAnsi="Times New Roman"/>
          <w:b w:val="0"/>
          <w:bCs w:val="0"/>
          <w:caps w:val="0"/>
          <w:kern w:val="0"/>
          <w:sz w:val="24"/>
          <w:szCs w:val="24"/>
        </w:rPr>
        <w:t xml:space="preserve"> in order to assign binding capacity of specific regulatory factors (RFs) to our candidate SNPs. Genomic coordinates (hg19) as well as sequence variants were obtained from the MetaboChip consortium web page </w:t>
      </w:r>
      <w:r w:rsidRPr="008D3F50">
        <w:rPr>
          <w:rFonts w:ascii="Times New Roman" w:eastAsia="Calibri" w:hAnsi="Times New Roman"/>
          <w:b w:val="0"/>
          <w:bCs w:val="0"/>
          <w:caps w:val="0"/>
          <w:kern w:val="0"/>
          <w:sz w:val="24"/>
          <w:szCs w:val="24"/>
        </w:rPr>
        <w:lastRenderedPageBreak/>
        <w:t>(sph.umich.edu/</w:t>
      </w:r>
      <w:proofErr w:type="spellStart"/>
      <w:r w:rsidRPr="008D3F50">
        <w:rPr>
          <w:rFonts w:ascii="Times New Roman" w:eastAsia="Calibri" w:hAnsi="Times New Roman"/>
          <w:b w:val="0"/>
          <w:bCs w:val="0"/>
          <w:caps w:val="0"/>
          <w:kern w:val="0"/>
          <w:sz w:val="24"/>
          <w:szCs w:val="24"/>
        </w:rPr>
        <w:t>csg</w:t>
      </w:r>
      <w:proofErr w:type="spellEnd"/>
      <w:r w:rsidRPr="008D3F50">
        <w:rPr>
          <w:rFonts w:ascii="Times New Roman" w:eastAsia="Calibri" w:hAnsi="Times New Roman"/>
          <w:b w:val="0"/>
          <w:bCs w:val="0"/>
          <w:caps w:val="0"/>
          <w:kern w:val="0"/>
          <w:sz w:val="24"/>
          <w:szCs w:val="24"/>
        </w:rPr>
        <w:t>/</w:t>
      </w:r>
      <w:proofErr w:type="spellStart"/>
      <w:r w:rsidRPr="008D3F50">
        <w:rPr>
          <w:rFonts w:ascii="Times New Roman" w:eastAsia="Calibri" w:hAnsi="Times New Roman"/>
          <w:b w:val="0"/>
          <w:bCs w:val="0"/>
          <w:caps w:val="0"/>
          <w:kern w:val="0"/>
          <w:sz w:val="24"/>
          <w:szCs w:val="24"/>
        </w:rPr>
        <w:t>kang</w:t>
      </w:r>
      <w:proofErr w:type="spellEnd"/>
      <w:r w:rsidRPr="008D3F50">
        <w:rPr>
          <w:rFonts w:ascii="Times New Roman" w:eastAsia="Calibri" w:hAnsi="Times New Roman"/>
          <w:b w:val="0"/>
          <w:bCs w:val="0"/>
          <w:caps w:val="0"/>
          <w:kern w:val="0"/>
          <w:sz w:val="24"/>
          <w:szCs w:val="24"/>
        </w:rPr>
        <w:t xml:space="preserve">/MetaboChip). Data on conserved elements were obtained from the </w:t>
      </w:r>
      <w:proofErr w:type="spellStart"/>
      <w:r w:rsidRPr="008D3F50">
        <w:rPr>
          <w:rFonts w:ascii="Times New Roman" w:eastAsia="Calibri" w:hAnsi="Times New Roman"/>
          <w:b w:val="0"/>
          <w:bCs w:val="0"/>
          <w:caps w:val="0"/>
          <w:kern w:val="0"/>
          <w:sz w:val="24"/>
          <w:szCs w:val="24"/>
        </w:rPr>
        <w:t>Sidow</w:t>
      </w:r>
      <w:proofErr w:type="spellEnd"/>
      <w:r w:rsidRPr="008D3F50">
        <w:rPr>
          <w:rFonts w:ascii="Times New Roman" w:eastAsia="Calibri" w:hAnsi="Times New Roman"/>
          <w:b w:val="0"/>
          <w:bCs w:val="0"/>
          <w:caps w:val="0"/>
          <w:kern w:val="0"/>
          <w:sz w:val="24"/>
          <w:szCs w:val="24"/>
        </w:rPr>
        <w:t>-lab web page (mendel.stanford.edu/</w:t>
      </w:r>
      <w:proofErr w:type="spellStart"/>
      <w:r w:rsidRPr="008D3F50">
        <w:rPr>
          <w:rFonts w:ascii="Times New Roman" w:eastAsia="Calibri" w:hAnsi="Times New Roman"/>
          <w:b w:val="0"/>
          <w:bCs w:val="0"/>
          <w:caps w:val="0"/>
          <w:kern w:val="0"/>
          <w:sz w:val="24"/>
          <w:szCs w:val="24"/>
        </w:rPr>
        <w:t>SidowLab</w:t>
      </w:r>
      <w:proofErr w:type="spellEnd"/>
      <w:r w:rsidRPr="008D3F50">
        <w:rPr>
          <w:rFonts w:ascii="Times New Roman" w:eastAsia="Calibri" w:hAnsi="Times New Roman"/>
          <w:b w:val="0"/>
          <w:bCs w:val="0"/>
          <w:caps w:val="0"/>
          <w:kern w:val="0"/>
          <w:sz w:val="24"/>
          <w:szCs w:val="24"/>
        </w:rPr>
        <w:t>/downloads/</w:t>
      </w:r>
      <w:proofErr w:type="spellStart"/>
      <w:r w:rsidRPr="008D3F50">
        <w:rPr>
          <w:rFonts w:ascii="Times New Roman" w:eastAsia="Calibri" w:hAnsi="Times New Roman"/>
          <w:b w:val="0"/>
          <w:bCs w:val="0"/>
          <w:caps w:val="0"/>
          <w:kern w:val="0"/>
          <w:sz w:val="24"/>
          <w:szCs w:val="24"/>
        </w:rPr>
        <w:t>gerp</w:t>
      </w:r>
      <w:proofErr w:type="spellEnd"/>
      <w:r w:rsidRPr="008D3F50">
        <w:rPr>
          <w:rFonts w:ascii="Times New Roman" w:eastAsia="Calibri" w:hAnsi="Times New Roman"/>
          <w:b w:val="0"/>
          <w:bCs w:val="0"/>
          <w:caps w:val="0"/>
          <w:kern w:val="0"/>
          <w:sz w:val="24"/>
          <w:szCs w:val="24"/>
        </w:rPr>
        <w:t>). DHS tracks (</w:t>
      </w:r>
      <w:proofErr w:type="spellStart"/>
      <w:r w:rsidRPr="008D3F50">
        <w:rPr>
          <w:rFonts w:ascii="Times New Roman" w:eastAsia="Calibri" w:hAnsi="Times New Roman"/>
          <w:b w:val="0"/>
          <w:bCs w:val="0"/>
          <w:caps w:val="0"/>
          <w:kern w:val="0"/>
          <w:sz w:val="24"/>
          <w:szCs w:val="24"/>
        </w:rPr>
        <w:t>narrowPeak</w:t>
      </w:r>
      <w:proofErr w:type="spellEnd"/>
      <w:r w:rsidRPr="008D3F50">
        <w:rPr>
          <w:rFonts w:ascii="Times New Roman" w:eastAsia="Calibri" w:hAnsi="Times New Roman"/>
          <w:b w:val="0"/>
          <w:bCs w:val="0"/>
          <w:caps w:val="0"/>
          <w:kern w:val="0"/>
          <w:sz w:val="24"/>
          <w:szCs w:val="24"/>
        </w:rPr>
        <w:t xml:space="preserve">-pipeline), the Ernst </w:t>
      </w:r>
      <w:r w:rsidRPr="008D3F50">
        <w:rPr>
          <w:rFonts w:ascii="Times New Roman" w:eastAsia="Calibri" w:hAnsi="Times New Roman"/>
          <w:b w:val="0"/>
          <w:bCs w:val="0"/>
          <w:i/>
          <w:caps w:val="0"/>
          <w:kern w:val="0"/>
          <w:sz w:val="24"/>
          <w:szCs w:val="24"/>
        </w:rPr>
        <w:t>et al</w:t>
      </w:r>
      <w:r w:rsidRPr="008D3F50">
        <w:rPr>
          <w:rFonts w:ascii="Times New Roman" w:eastAsia="Calibri" w:hAnsi="Times New Roman"/>
          <w:b w:val="0"/>
          <w:bCs w:val="0"/>
          <w:caps w:val="0"/>
          <w:kern w:val="0"/>
          <w:sz w:val="24"/>
          <w:szCs w:val="24"/>
        </w:rPr>
        <w:t xml:space="preserve"> chromatin tracks and regulatory factor ChIP-seq binding tracks were obtained through the UCSC genome browser (genome.ucsc.edu). Overlaps between genomic annotation tracks and SNPs were calculated using the </w:t>
      </w:r>
      <w:proofErr w:type="spellStart"/>
      <w:r w:rsidRPr="008D3F50">
        <w:rPr>
          <w:rFonts w:ascii="Times New Roman" w:eastAsia="Calibri" w:hAnsi="Times New Roman"/>
          <w:b w:val="0"/>
          <w:bCs w:val="0"/>
          <w:caps w:val="0"/>
          <w:kern w:val="0"/>
          <w:sz w:val="24"/>
          <w:szCs w:val="24"/>
        </w:rPr>
        <w:t>GenomicRanges</w:t>
      </w:r>
      <w:proofErr w:type="spellEnd"/>
      <w:r w:rsidRPr="008D3F50">
        <w:rPr>
          <w:rFonts w:ascii="Times New Roman" w:eastAsia="Calibri" w:hAnsi="Times New Roman"/>
          <w:b w:val="0"/>
          <w:bCs w:val="0"/>
          <w:caps w:val="0"/>
          <w:kern w:val="0"/>
          <w:sz w:val="24"/>
          <w:szCs w:val="24"/>
        </w:rPr>
        <w:t xml:space="preserve"> package in R </w:t>
      </w:r>
      <w:r>
        <w:rPr>
          <w:rFonts w:ascii="Times New Roman" w:eastAsia="Calibri" w:hAnsi="Times New Roman"/>
          <w:b w:val="0"/>
          <w:bCs w:val="0"/>
          <w:caps w:val="0"/>
          <w:noProof/>
          <w:kern w:val="0"/>
          <w:sz w:val="24"/>
          <w:szCs w:val="24"/>
        </w:rPr>
        <w:t>(32)</w:t>
      </w:r>
      <w:r w:rsidRPr="008D3F50">
        <w:rPr>
          <w:rFonts w:ascii="Times New Roman" w:eastAsia="Calibri" w:hAnsi="Times New Roman"/>
          <w:b w:val="0"/>
          <w:bCs w:val="0"/>
          <w:caps w:val="0"/>
          <w:kern w:val="0"/>
          <w:sz w:val="24"/>
          <w:szCs w:val="24"/>
        </w:rPr>
        <w:t>.</w:t>
      </w:r>
    </w:p>
    <w:p w:rsidR="00210106" w:rsidRDefault="00210106" w:rsidP="008D3F50">
      <w:pPr>
        <w:spacing w:after="0" w:line="240" w:lineRule="auto"/>
        <w:jc w:val="both"/>
        <w:rPr>
          <w:rFonts w:ascii="Times New Roman" w:eastAsia="Times New Roman" w:hAnsi="Times New Roman"/>
          <w:b/>
          <w:bCs/>
          <w:caps/>
          <w:kern w:val="32"/>
          <w:sz w:val="24"/>
          <w:szCs w:val="24"/>
        </w:rPr>
      </w:pPr>
      <w:r>
        <w:rPr>
          <w:rFonts w:ascii="Times New Roman" w:hAnsi="Times New Roman"/>
          <w:sz w:val="24"/>
          <w:szCs w:val="24"/>
        </w:rPr>
        <w:br w:type="page"/>
      </w:r>
    </w:p>
    <w:p w:rsidR="00210106" w:rsidRDefault="00210106" w:rsidP="008D3F50">
      <w:pPr>
        <w:pStyle w:val="Heading1"/>
        <w:tabs>
          <w:tab w:val="left" w:pos="6195"/>
        </w:tabs>
        <w:spacing w:after="0" w:line="480" w:lineRule="auto"/>
        <w:rPr>
          <w:rFonts w:ascii="Times New Roman" w:hAnsi="Times New Roman"/>
          <w:sz w:val="24"/>
          <w:szCs w:val="24"/>
        </w:rPr>
      </w:pPr>
      <w:r w:rsidRPr="00D5255A">
        <w:rPr>
          <w:rFonts w:ascii="Times New Roman" w:hAnsi="Times New Roman"/>
          <w:sz w:val="24"/>
          <w:szCs w:val="24"/>
        </w:rPr>
        <w:lastRenderedPageBreak/>
        <w:t>Results</w:t>
      </w:r>
    </w:p>
    <w:p w:rsidR="00210106" w:rsidRPr="008D3F50" w:rsidRDefault="00210106" w:rsidP="008D3F50"/>
    <w:p w:rsidR="00210106" w:rsidRPr="00D5255A" w:rsidRDefault="00210106" w:rsidP="00A144F5">
      <w:pPr>
        <w:spacing w:after="0" w:line="480" w:lineRule="auto"/>
        <w:ind w:firstLine="720"/>
        <w:jc w:val="both"/>
        <w:rPr>
          <w:rFonts w:ascii="Times New Roman" w:hAnsi="Times New Roman"/>
          <w:sz w:val="24"/>
          <w:szCs w:val="24"/>
        </w:rPr>
      </w:pPr>
      <w:r w:rsidRPr="00D5255A">
        <w:rPr>
          <w:rFonts w:ascii="Times New Roman" w:hAnsi="Times New Roman"/>
          <w:sz w:val="24"/>
          <w:szCs w:val="24"/>
        </w:rPr>
        <w:t>The project flowchart is shown in Figure 1. Participant baseline and follow-up characteristics are shown for each cohort in Tables S1-S5. The average follow-up period was 9.9-yrs (standard deviation (SD) = 0.3-yrs) in the GLACIER Study, 15.8-yrs (SD=1.4-yrs) in MDC Study, 5.1-yrs (SD= 0.1-yrs) in PIVUS, 6.6-yrs (SD= 0.5-yrs) in ULSAM and 9.4-yrs (SD= 1.9-yrs) in the MRC Ely Study.</w:t>
      </w:r>
    </w:p>
    <w:p w:rsidR="00210106" w:rsidRPr="00D5255A" w:rsidRDefault="00210106" w:rsidP="00D1110C">
      <w:pPr>
        <w:spacing w:after="0" w:line="480" w:lineRule="auto"/>
        <w:rPr>
          <w:rFonts w:ascii="Times New Roman" w:hAnsi="Times New Roman"/>
          <w:sz w:val="24"/>
          <w:szCs w:val="24"/>
        </w:rPr>
      </w:pPr>
    </w:p>
    <w:p w:rsidR="00210106" w:rsidRPr="00D5255A" w:rsidRDefault="00210106" w:rsidP="00D1110C">
      <w:pPr>
        <w:pStyle w:val="Heading2"/>
        <w:spacing w:before="0" w:line="480" w:lineRule="auto"/>
        <w:rPr>
          <w:rFonts w:ascii="Times New Roman" w:hAnsi="Times New Roman" w:cs="Times New Roman"/>
          <w:color w:val="auto"/>
          <w:sz w:val="24"/>
          <w:szCs w:val="24"/>
        </w:rPr>
      </w:pPr>
      <w:r w:rsidRPr="00D5255A">
        <w:rPr>
          <w:rFonts w:ascii="Times New Roman" w:hAnsi="Times New Roman" w:cs="Times New Roman"/>
          <w:color w:val="auto"/>
          <w:sz w:val="24"/>
          <w:szCs w:val="24"/>
        </w:rPr>
        <w:t>Discovery analyses</w:t>
      </w:r>
    </w:p>
    <w:p w:rsidR="00210106" w:rsidRPr="00D5255A" w:rsidRDefault="00210106" w:rsidP="00C8633B">
      <w:pPr>
        <w:spacing w:after="0" w:line="480" w:lineRule="auto"/>
        <w:ind w:firstLine="720"/>
        <w:jc w:val="both"/>
        <w:rPr>
          <w:rFonts w:ascii="Times New Roman" w:hAnsi="Times New Roman"/>
          <w:sz w:val="24"/>
          <w:szCs w:val="24"/>
        </w:rPr>
      </w:pPr>
      <w:r w:rsidRPr="00D5255A">
        <w:rPr>
          <w:rFonts w:ascii="Times New Roman" w:hAnsi="Times New Roman"/>
          <w:sz w:val="24"/>
          <w:szCs w:val="24"/>
        </w:rPr>
        <w:t>A</w:t>
      </w:r>
      <w:r>
        <w:rPr>
          <w:rFonts w:ascii="Times New Roman" w:hAnsi="Times New Roman"/>
          <w:sz w:val="24"/>
          <w:szCs w:val="24"/>
        </w:rPr>
        <w:t>n</w:t>
      </w:r>
      <w:r w:rsidRPr="00D5255A">
        <w:rPr>
          <w:rFonts w:ascii="Times New Roman" w:hAnsi="Times New Roman"/>
          <w:sz w:val="24"/>
          <w:szCs w:val="24"/>
        </w:rPr>
        <w:t xml:space="preserve"> overall decrease in plasma TC concentrations from baseline to follow-up (mean change=-0.18±1.12 mmol/l; </w:t>
      </w:r>
      <w:r w:rsidRPr="00D5255A">
        <w:rPr>
          <w:rFonts w:ascii="Times New Roman" w:hAnsi="Times New Roman"/>
          <w:i/>
          <w:sz w:val="24"/>
          <w:szCs w:val="24"/>
        </w:rPr>
        <w:t>P</w:t>
      </w:r>
      <w:r w:rsidRPr="00D5255A">
        <w:rPr>
          <w:rFonts w:ascii="Times New Roman" w:hAnsi="Times New Roman"/>
          <w:sz w:val="24"/>
          <w:szCs w:val="24"/>
        </w:rPr>
        <w:t xml:space="preserve">&lt;0.0001), but no change in TG concentrations (mean change=0.02±1 mmol/l; </w:t>
      </w:r>
      <w:r w:rsidRPr="00D5255A">
        <w:rPr>
          <w:rFonts w:ascii="Times New Roman" w:hAnsi="Times New Roman"/>
          <w:i/>
          <w:sz w:val="24"/>
          <w:szCs w:val="24"/>
        </w:rPr>
        <w:t>P</w:t>
      </w:r>
      <w:r w:rsidRPr="00D5255A">
        <w:rPr>
          <w:rFonts w:ascii="Times New Roman" w:hAnsi="Times New Roman"/>
          <w:sz w:val="24"/>
          <w:szCs w:val="24"/>
        </w:rPr>
        <w:t>=0.32) was observed, as previously reported</w:t>
      </w:r>
      <w:proofErr w:type="gramStart"/>
      <w:r w:rsidRPr="00D5255A">
        <w:rPr>
          <w:rFonts w:ascii="Times New Roman" w:hAnsi="Times New Roman"/>
          <w:sz w:val="24"/>
          <w:szCs w:val="24"/>
        </w:rPr>
        <w:t>.</w:t>
      </w:r>
      <w:r w:rsidRPr="00D5255A">
        <w:rPr>
          <w:rFonts w:ascii="Times New Roman" w:hAnsi="Times New Roman"/>
          <w:noProof/>
          <w:sz w:val="24"/>
          <w:szCs w:val="24"/>
        </w:rPr>
        <w:t>(</w:t>
      </w:r>
      <w:proofErr w:type="gramEnd"/>
      <w:r w:rsidRPr="00D5255A">
        <w:rPr>
          <w:rFonts w:ascii="Times New Roman" w:hAnsi="Times New Roman"/>
          <w:noProof/>
          <w:sz w:val="24"/>
          <w:szCs w:val="24"/>
        </w:rPr>
        <w:t>8)</w:t>
      </w:r>
      <w:r w:rsidRPr="00D5255A">
        <w:rPr>
          <w:rFonts w:ascii="Times New Roman" w:hAnsi="Times New Roman"/>
          <w:sz w:val="24"/>
          <w:szCs w:val="24"/>
        </w:rPr>
        <w:t xml:space="preserve"> </w:t>
      </w:r>
    </w:p>
    <w:p w:rsidR="00210106" w:rsidRPr="00D5255A" w:rsidRDefault="00210106" w:rsidP="00C8633B">
      <w:pPr>
        <w:spacing w:after="0" w:line="480" w:lineRule="auto"/>
        <w:ind w:firstLine="720"/>
        <w:jc w:val="both"/>
        <w:rPr>
          <w:rFonts w:ascii="Times New Roman" w:hAnsi="Times New Roman"/>
          <w:sz w:val="24"/>
          <w:szCs w:val="24"/>
        </w:rPr>
      </w:pPr>
      <w:r w:rsidRPr="00D5255A">
        <w:rPr>
          <w:rFonts w:ascii="Times New Roman" w:hAnsi="Times New Roman"/>
          <w:sz w:val="24"/>
          <w:szCs w:val="24"/>
        </w:rPr>
        <w:t xml:space="preserve">In individual SNP analyses, a single low-frequency (MAF=1.4%) SNP in </w:t>
      </w:r>
      <w:r w:rsidRPr="00D5255A">
        <w:rPr>
          <w:rFonts w:ascii="Times New Roman" w:hAnsi="Times New Roman"/>
          <w:i/>
          <w:sz w:val="24"/>
          <w:szCs w:val="24"/>
        </w:rPr>
        <w:t>APOE</w:t>
      </w:r>
      <w:r w:rsidRPr="00D5255A">
        <w:rPr>
          <w:rFonts w:ascii="Times New Roman" w:hAnsi="Times New Roman"/>
          <w:sz w:val="24"/>
          <w:szCs w:val="24"/>
        </w:rPr>
        <w:t xml:space="preserve"> (chr19:50121999; β=0.</w:t>
      </w:r>
      <w:r>
        <w:rPr>
          <w:rFonts w:ascii="Times New Roman" w:hAnsi="Times New Roman"/>
          <w:sz w:val="24"/>
          <w:szCs w:val="24"/>
        </w:rPr>
        <w:t>0</w:t>
      </w:r>
      <w:r w:rsidRPr="00D5255A">
        <w:rPr>
          <w:rFonts w:ascii="Times New Roman" w:hAnsi="Times New Roman"/>
          <w:sz w:val="24"/>
          <w:szCs w:val="24"/>
        </w:rPr>
        <w:t>64 mmol/l/</w:t>
      </w:r>
      <w:proofErr w:type="spellStart"/>
      <w:r w:rsidRPr="00D5255A">
        <w:rPr>
          <w:rFonts w:ascii="Times New Roman" w:hAnsi="Times New Roman"/>
          <w:sz w:val="24"/>
          <w:szCs w:val="24"/>
        </w:rPr>
        <w:t>yr</w:t>
      </w:r>
      <w:proofErr w:type="spellEnd"/>
      <w:r w:rsidRPr="00D5255A">
        <w:rPr>
          <w:rFonts w:ascii="Times New Roman" w:hAnsi="Times New Roman"/>
          <w:sz w:val="24"/>
          <w:szCs w:val="24"/>
        </w:rPr>
        <w:t>; SE=0.</w:t>
      </w:r>
      <w:r>
        <w:rPr>
          <w:rFonts w:ascii="Times New Roman" w:hAnsi="Times New Roman"/>
          <w:sz w:val="24"/>
          <w:szCs w:val="24"/>
        </w:rPr>
        <w:t>0</w:t>
      </w:r>
      <w:r w:rsidRPr="00D5255A">
        <w:rPr>
          <w:rFonts w:ascii="Times New Roman" w:hAnsi="Times New Roman"/>
          <w:sz w:val="24"/>
          <w:szCs w:val="24"/>
        </w:rPr>
        <w:t>11;</w:t>
      </w:r>
      <w:r>
        <w:rPr>
          <w:rFonts w:ascii="Times New Roman" w:hAnsi="Times New Roman"/>
          <w:sz w:val="24"/>
          <w:szCs w:val="24"/>
        </w:rPr>
        <w:t xml:space="preserve"> 95% confidence interval (CI)=</w:t>
      </w:r>
      <w:r w:rsidRPr="00EF59E1">
        <w:rPr>
          <w:rFonts w:ascii="Times New Roman" w:hAnsi="Times New Roman"/>
          <w:sz w:val="24"/>
          <w:szCs w:val="24"/>
        </w:rPr>
        <w:t>0</w:t>
      </w:r>
      <w:r>
        <w:rPr>
          <w:rFonts w:ascii="Times New Roman" w:hAnsi="Times New Roman"/>
          <w:sz w:val="24"/>
          <w:szCs w:val="24"/>
        </w:rPr>
        <w:t>.0</w:t>
      </w:r>
      <w:r w:rsidRPr="00EF59E1">
        <w:rPr>
          <w:rFonts w:ascii="Times New Roman" w:hAnsi="Times New Roman"/>
          <w:sz w:val="24"/>
          <w:szCs w:val="24"/>
        </w:rPr>
        <w:t>4</w:t>
      </w:r>
      <w:r>
        <w:rPr>
          <w:rFonts w:ascii="Times New Roman" w:hAnsi="Times New Roman"/>
          <w:sz w:val="24"/>
          <w:szCs w:val="24"/>
        </w:rPr>
        <w:t xml:space="preserve">2 to </w:t>
      </w:r>
      <w:r w:rsidRPr="00EF59E1">
        <w:rPr>
          <w:rFonts w:ascii="Times New Roman" w:hAnsi="Times New Roman"/>
          <w:sz w:val="24"/>
          <w:szCs w:val="24"/>
        </w:rPr>
        <w:t>0</w:t>
      </w:r>
      <w:r>
        <w:rPr>
          <w:rFonts w:ascii="Times New Roman" w:hAnsi="Times New Roman"/>
          <w:sz w:val="24"/>
          <w:szCs w:val="24"/>
        </w:rPr>
        <w:t>.0</w:t>
      </w:r>
      <w:r w:rsidRPr="00EF59E1">
        <w:rPr>
          <w:rFonts w:ascii="Times New Roman" w:hAnsi="Times New Roman"/>
          <w:sz w:val="24"/>
          <w:szCs w:val="24"/>
        </w:rPr>
        <w:t>86</w:t>
      </w:r>
      <w:r>
        <w:rPr>
          <w:rFonts w:ascii="Times New Roman" w:hAnsi="Times New Roman"/>
          <w:sz w:val="24"/>
          <w:szCs w:val="24"/>
        </w:rPr>
        <w:t xml:space="preserve">; </w:t>
      </w:r>
      <w:r w:rsidRPr="00D5255A">
        <w:rPr>
          <w:rFonts w:ascii="Times New Roman" w:hAnsi="Times New Roman"/>
          <w:i/>
          <w:sz w:val="24"/>
          <w:szCs w:val="24"/>
        </w:rPr>
        <w:t>P</w:t>
      </w:r>
      <w:r w:rsidRPr="00D5255A">
        <w:rPr>
          <w:rFonts w:ascii="Times New Roman" w:hAnsi="Times New Roman"/>
          <w:sz w:val="24"/>
          <w:szCs w:val="24"/>
        </w:rPr>
        <w:t>=1.7×10</w:t>
      </w:r>
      <w:r w:rsidRPr="00D5255A">
        <w:rPr>
          <w:rFonts w:ascii="Times New Roman" w:hAnsi="Times New Roman"/>
          <w:sz w:val="24"/>
          <w:szCs w:val="24"/>
          <w:vertAlign w:val="superscript"/>
        </w:rPr>
        <w:t>-8</w:t>
      </w:r>
      <w:r w:rsidRPr="00D5255A">
        <w:rPr>
          <w:rFonts w:ascii="Times New Roman" w:hAnsi="Times New Roman"/>
          <w:sz w:val="24"/>
          <w:szCs w:val="24"/>
        </w:rPr>
        <w:t xml:space="preserve">) and multiple SNPs in the </w:t>
      </w:r>
      <w:r w:rsidRPr="00D5255A">
        <w:rPr>
          <w:rFonts w:ascii="Times New Roman" w:hAnsi="Times New Roman"/>
          <w:i/>
          <w:sz w:val="24"/>
          <w:szCs w:val="24"/>
        </w:rPr>
        <w:t>APOA1/A4/C3/A5</w:t>
      </w:r>
      <w:r w:rsidRPr="00D5255A">
        <w:rPr>
          <w:rFonts w:ascii="Times New Roman" w:hAnsi="Times New Roman"/>
          <w:sz w:val="24"/>
          <w:szCs w:val="24"/>
        </w:rPr>
        <w:t xml:space="preserve"> gene cluster (top SNP rs9326246, β=0.</w:t>
      </w:r>
      <w:r>
        <w:rPr>
          <w:rFonts w:ascii="Times New Roman" w:hAnsi="Times New Roman"/>
          <w:sz w:val="24"/>
          <w:szCs w:val="24"/>
        </w:rPr>
        <w:t>0</w:t>
      </w:r>
      <w:r w:rsidRPr="00D5255A">
        <w:rPr>
          <w:rFonts w:ascii="Times New Roman" w:hAnsi="Times New Roman"/>
          <w:sz w:val="24"/>
          <w:szCs w:val="24"/>
        </w:rPr>
        <w:t>32 mmol/l/</w:t>
      </w:r>
      <w:proofErr w:type="spellStart"/>
      <w:r w:rsidRPr="00D5255A">
        <w:rPr>
          <w:rFonts w:ascii="Times New Roman" w:hAnsi="Times New Roman"/>
          <w:sz w:val="24"/>
          <w:szCs w:val="24"/>
        </w:rPr>
        <w:t>yr</w:t>
      </w:r>
      <w:proofErr w:type="spellEnd"/>
      <w:r w:rsidRPr="00D5255A">
        <w:rPr>
          <w:rFonts w:ascii="Times New Roman" w:hAnsi="Times New Roman"/>
          <w:sz w:val="24"/>
          <w:szCs w:val="24"/>
        </w:rPr>
        <w:t>; SE=0.0</w:t>
      </w:r>
      <w:r>
        <w:rPr>
          <w:rFonts w:ascii="Times New Roman" w:hAnsi="Times New Roman"/>
          <w:sz w:val="24"/>
          <w:szCs w:val="24"/>
        </w:rPr>
        <w:t>0</w:t>
      </w:r>
      <w:r w:rsidRPr="00D5255A">
        <w:rPr>
          <w:rFonts w:ascii="Times New Roman" w:hAnsi="Times New Roman"/>
          <w:sz w:val="24"/>
          <w:szCs w:val="24"/>
        </w:rPr>
        <w:t>5;</w:t>
      </w:r>
      <w:r>
        <w:rPr>
          <w:rFonts w:ascii="Times New Roman" w:hAnsi="Times New Roman"/>
          <w:sz w:val="24"/>
          <w:szCs w:val="24"/>
        </w:rPr>
        <w:t xml:space="preserve"> 95% CI=0.021 to 0.043;</w:t>
      </w:r>
      <w:r w:rsidRPr="00D5255A">
        <w:rPr>
          <w:rFonts w:ascii="Times New Roman" w:hAnsi="Times New Roman"/>
          <w:sz w:val="24"/>
          <w:szCs w:val="24"/>
        </w:rPr>
        <w:t xml:space="preserve"> </w:t>
      </w:r>
      <w:r w:rsidRPr="00D5255A">
        <w:rPr>
          <w:rFonts w:ascii="Times New Roman" w:hAnsi="Times New Roman"/>
          <w:i/>
          <w:sz w:val="24"/>
          <w:szCs w:val="24"/>
        </w:rPr>
        <w:t>P</w:t>
      </w:r>
      <w:r w:rsidRPr="00D5255A">
        <w:rPr>
          <w:rFonts w:ascii="Times New Roman" w:hAnsi="Times New Roman"/>
          <w:sz w:val="24"/>
          <w:szCs w:val="24"/>
        </w:rPr>
        <w:t>=4.4×10</w:t>
      </w:r>
      <w:r w:rsidRPr="00D5255A">
        <w:rPr>
          <w:rFonts w:ascii="Times New Roman" w:hAnsi="Times New Roman"/>
          <w:sz w:val="24"/>
          <w:szCs w:val="24"/>
          <w:vertAlign w:val="superscript"/>
        </w:rPr>
        <w:t>-9</w:t>
      </w:r>
      <w:r w:rsidRPr="00D5255A">
        <w:rPr>
          <w:rFonts w:ascii="Times New Roman" w:hAnsi="Times New Roman"/>
          <w:sz w:val="24"/>
          <w:szCs w:val="24"/>
        </w:rPr>
        <w:t xml:space="preserve">) reached genome-wide significance </w:t>
      </w:r>
      <w:r w:rsidRPr="00D5255A">
        <w:rPr>
          <w:rFonts w:ascii="Times New Roman" w:hAnsi="Times New Roman"/>
          <w:sz w:val="24"/>
        </w:rPr>
        <w:t>(</w:t>
      </w:r>
      <w:r w:rsidRPr="00D5255A">
        <w:rPr>
          <w:rFonts w:ascii="Times New Roman" w:hAnsi="Times New Roman"/>
          <w:i/>
          <w:sz w:val="24"/>
        </w:rPr>
        <w:t>P</w:t>
      </w:r>
      <w:r w:rsidRPr="00D5255A">
        <w:rPr>
          <w:rFonts w:ascii="Times New Roman" w:hAnsi="Times New Roman"/>
          <w:sz w:val="24"/>
        </w:rPr>
        <w:t>&lt;5×10</w:t>
      </w:r>
      <w:r w:rsidRPr="00D5255A">
        <w:rPr>
          <w:rFonts w:ascii="Times New Roman" w:hAnsi="Times New Roman"/>
          <w:sz w:val="24"/>
          <w:vertAlign w:val="superscript"/>
        </w:rPr>
        <w:t>-8</w:t>
      </w:r>
      <w:r w:rsidRPr="00D5255A">
        <w:rPr>
          <w:rFonts w:ascii="Times New Roman" w:hAnsi="Times New Roman"/>
          <w:sz w:val="24"/>
        </w:rPr>
        <w:t>)</w:t>
      </w:r>
      <w:r w:rsidRPr="00D5255A">
        <w:rPr>
          <w:rFonts w:ascii="Times New Roman" w:hAnsi="Times New Roman"/>
          <w:sz w:val="24"/>
          <w:szCs w:val="24"/>
        </w:rPr>
        <w:t xml:space="preserve"> in relation to ΔTG. SNPs in </w:t>
      </w:r>
      <w:r w:rsidRPr="00D5255A">
        <w:rPr>
          <w:rFonts w:ascii="Times New Roman" w:hAnsi="Times New Roman"/>
          <w:i/>
          <w:sz w:val="24"/>
          <w:szCs w:val="24"/>
        </w:rPr>
        <w:t xml:space="preserve">DOCK7 </w:t>
      </w:r>
      <w:r w:rsidRPr="00D5255A">
        <w:rPr>
          <w:rFonts w:ascii="Times New Roman" w:hAnsi="Times New Roman"/>
          <w:sz w:val="24"/>
          <w:szCs w:val="24"/>
        </w:rPr>
        <w:t>(chr1:62714800; β=0.</w:t>
      </w:r>
      <w:r>
        <w:rPr>
          <w:rFonts w:ascii="Times New Roman" w:hAnsi="Times New Roman"/>
          <w:sz w:val="24"/>
          <w:szCs w:val="24"/>
        </w:rPr>
        <w:t>0</w:t>
      </w:r>
      <w:r w:rsidRPr="00D5255A">
        <w:rPr>
          <w:rFonts w:ascii="Times New Roman" w:hAnsi="Times New Roman"/>
          <w:sz w:val="24"/>
          <w:szCs w:val="24"/>
        </w:rPr>
        <w:t>59 mmol/l/</w:t>
      </w:r>
      <w:proofErr w:type="spellStart"/>
      <w:r w:rsidRPr="00D5255A">
        <w:rPr>
          <w:rFonts w:ascii="Times New Roman" w:hAnsi="Times New Roman"/>
          <w:sz w:val="24"/>
          <w:szCs w:val="24"/>
        </w:rPr>
        <w:t>yr</w:t>
      </w:r>
      <w:proofErr w:type="spellEnd"/>
      <w:r w:rsidRPr="00D5255A">
        <w:rPr>
          <w:rFonts w:ascii="Times New Roman" w:hAnsi="Times New Roman"/>
          <w:sz w:val="24"/>
          <w:szCs w:val="24"/>
        </w:rPr>
        <w:t>; SE=0.</w:t>
      </w:r>
      <w:r>
        <w:rPr>
          <w:rFonts w:ascii="Times New Roman" w:hAnsi="Times New Roman"/>
          <w:sz w:val="24"/>
          <w:szCs w:val="24"/>
        </w:rPr>
        <w:t>0</w:t>
      </w:r>
      <w:r w:rsidRPr="00D5255A">
        <w:rPr>
          <w:rFonts w:ascii="Times New Roman" w:hAnsi="Times New Roman"/>
          <w:sz w:val="24"/>
          <w:szCs w:val="24"/>
        </w:rPr>
        <w:t>11;</w:t>
      </w:r>
      <w:r>
        <w:rPr>
          <w:rFonts w:ascii="Times New Roman" w:hAnsi="Times New Roman"/>
          <w:sz w:val="24"/>
          <w:szCs w:val="24"/>
        </w:rPr>
        <w:t xml:space="preserve"> 95% CI=0.038 to 0.081; </w:t>
      </w:r>
      <w:r w:rsidRPr="00D5255A">
        <w:rPr>
          <w:rFonts w:ascii="Times New Roman" w:hAnsi="Times New Roman"/>
          <w:i/>
          <w:sz w:val="24"/>
          <w:szCs w:val="24"/>
        </w:rPr>
        <w:t>P</w:t>
      </w:r>
      <w:r w:rsidRPr="00D5255A">
        <w:rPr>
          <w:rFonts w:ascii="Times New Roman" w:hAnsi="Times New Roman"/>
          <w:sz w:val="24"/>
          <w:szCs w:val="24"/>
        </w:rPr>
        <w:t>=9.6×10</w:t>
      </w:r>
      <w:r w:rsidRPr="00D5255A">
        <w:rPr>
          <w:rFonts w:ascii="Times New Roman" w:hAnsi="Times New Roman"/>
          <w:sz w:val="24"/>
          <w:szCs w:val="24"/>
          <w:vertAlign w:val="superscript"/>
        </w:rPr>
        <w:t>-8</w:t>
      </w:r>
      <w:r w:rsidRPr="00D5255A">
        <w:rPr>
          <w:rFonts w:ascii="Times New Roman" w:hAnsi="Times New Roman"/>
          <w:sz w:val="24"/>
          <w:szCs w:val="24"/>
        </w:rPr>
        <w:t xml:space="preserve">), </w:t>
      </w:r>
      <w:r w:rsidRPr="00D5255A">
        <w:rPr>
          <w:rFonts w:ascii="Times New Roman" w:hAnsi="Times New Roman"/>
          <w:i/>
          <w:sz w:val="24"/>
          <w:szCs w:val="24"/>
        </w:rPr>
        <w:t xml:space="preserve">BRE </w:t>
      </w:r>
      <w:r w:rsidRPr="00D5255A">
        <w:rPr>
          <w:rFonts w:ascii="Times New Roman" w:hAnsi="Times New Roman"/>
          <w:sz w:val="24"/>
          <w:szCs w:val="24"/>
        </w:rPr>
        <w:t>(chr2:28165690; β=0.</w:t>
      </w:r>
      <w:r>
        <w:rPr>
          <w:rFonts w:ascii="Times New Roman" w:hAnsi="Times New Roman"/>
          <w:sz w:val="24"/>
          <w:szCs w:val="24"/>
        </w:rPr>
        <w:t>0</w:t>
      </w:r>
      <w:r w:rsidRPr="00D5255A">
        <w:rPr>
          <w:rFonts w:ascii="Times New Roman" w:hAnsi="Times New Roman"/>
          <w:sz w:val="24"/>
          <w:szCs w:val="24"/>
        </w:rPr>
        <w:t>59 mmol/l/1yr; SE=0.</w:t>
      </w:r>
      <w:r>
        <w:rPr>
          <w:rFonts w:ascii="Times New Roman" w:hAnsi="Times New Roman"/>
          <w:sz w:val="24"/>
          <w:szCs w:val="24"/>
        </w:rPr>
        <w:t>0</w:t>
      </w:r>
      <w:r w:rsidRPr="00D5255A">
        <w:rPr>
          <w:rFonts w:ascii="Times New Roman" w:hAnsi="Times New Roman"/>
          <w:sz w:val="24"/>
          <w:szCs w:val="24"/>
        </w:rPr>
        <w:t>12;</w:t>
      </w:r>
      <w:r>
        <w:rPr>
          <w:rFonts w:ascii="Times New Roman" w:hAnsi="Times New Roman"/>
          <w:sz w:val="24"/>
          <w:szCs w:val="24"/>
        </w:rPr>
        <w:t xml:space="preserve"> 95% CI=0.036 to 0.082;</w:t>
      </w:r>
      <w:r w:rsidRPr="00D5255A">
        <w:rPr>
          <w:rFonts w:ascii="Times New Roman" w:hAnsi="Times New Roman"/>
          <w:sz w:val="24"/>
          <w:szCs w:val="24"/>
        </w:rPr>
        <w:t xml:space="preserve"> </w:t>
      </w:r>
      <w:r w:rsidRPr="00D5255A">
        <w:rPr>
          <w:rFonts w:ascii="Times New Roman" w:hAnsi="Times New Roman"/>
          <w:i/>
          <w:sz w:val="24"/>
          <w:szCs w:val="24"/>
        </w:rPr>
        <w:t>P</w:t>
      </w:r>
      <w:r w:rsidRPr="00D5255A">
        <w:rPr>
          <w:rFonts w:ascii="Times New Roman" w:hAnsi="Times New Roman"/>
          <w:sz w:val="24"/>
          <w:szCs w:val="24"/>
        </w:rPr>
        <w:t>=6.7×10</w:t>
      </w:r>
      <w:r w:rsidRPr="00D5255A">
        <w:rPr>
          <w:rFonts w:ascii="Times New Roman" w:hAnsi="Times New Roman"/>
          <w:sz w:val="24"/>
          <w:szCs w:val="24"/>
          <w:vertAlign w:val="superscript"/>
        </w:rPr>
        <w:t>-7</w:t>
      </w:r>
      <w:r w:rsidRPr="00D5255A">
        <w:rPr>
          <w:rFonts w:ascii="Times New Roman" w:hAnsi="Times New Roman"/>
          <w:sz w:val="24"/>
          <w:szCs w:val="24"/>
        </w:rPr>
        <w:t xml:space="preserve">), </w:t>
      </w:r>
      <w:r w:rsidRPr="00D5255A">
        <w:rPr>
          <w:rFonts w:ascii="Times New Roman" w:hAnsi="Times New Roman"/>
          <w:i/>
          <w:sz w:val="24"/>
          <w:szCs w:val="24"/>
        </w:rPr>
        <w:t xml:space="preserve">KCNIP1 </w:t>
      </w:r>
      <w:r w:rsidRPr="00D5255A">
        <w:rPr>
          <w:rFonts w:ascii="Times New Roman" w:hAnsi="Times New Roman"/>
          <w:sz w:val="24"/>
          <w:szCs w:val="24"/>
        </w:rPr>
        <w:t>(rs10041010; β=0.</w:t>
      </w:r>
      <w:r>
        <w:rPr>
          <w:rFonts w:ascii="Times New Roman" w:hAnsi="Times New Roman"/>
          <w:sz w:val="24"/>
          <w:szCs w:val="24"/>
        </w:rPr>
        <w:t>0</w:t>
      </w:r>
      <w:r w:rsidRPr="00D5255A">
        <w:rPr>
          <w:rFonts w:ascii="Times New Roman" w:hAnsi="Times New Roman"/>
          <w:sz w:val="24"/>
          <w:szCs w:val="24"/>
        </w:rPr>
        <w:t>54 mmol/l/</w:t>
      </w:r>
      <w:proofErr w:type="spellStart"/>
      <w:r w:rsidRPr="00D5255A">
        <w:rPr>
          <w:rFonts w:ascii="Times New Roman" w:hAnsi="Times New Roman"/>
          <w:sz w:val="24"/>
          <w:szCs w:val="24"/>
        </w:rPr>
        <w:t>yr</w:t>
      </w:r>
      <w:proofErr w:type="spellEnd"/>
      <w:r w:rsidRPr="00D5255A">
        <w:rPr>
          <w:rFonts w:ascii="Times New Roman" w:hAnsi="Times New Roman"/>
          <w:sz w:val="24"/>
          <w:szCs w:val="24"/>
        </w:rPr>
        <w:t>; SE=0.</w:t>
      </w:r>
      <w:r>
        <w:rPr>
          <w:rFonts w:ascii="Times New Roman" w:hAnsi="Times New Roman"/>
          <w:sz w:val="24"/>
          <w:szCs w:val="24"/>
        </w:rPr>
        <w:t>0</w:t>
      </w:r>
      <w:r w:rsidRPr="00D5255A">
        <w:rPr>
          <w:rFonts w:ascii="Times New Roman" w:hAnsi="Times New Roman"/>
          <w:sz w:val="24"/>
          <w:szCs w:val="24"/>
        </w:rPr>
        <w:t>11;</w:t>
      </w:r>
      <w:r>
        <w:rPr>
          <w:rFonts w:ascii="Times New Roman" w:hAnsi="Times New Roman"/>
          <w:sz w:val="24"/>
          <w:szCs w:val="24"/>
        </w:rPr>
        <w:t xml:space="preserve"> 95% CI=0.032 to 0.075;</w:t>
      </w:r>
      <w:r w:rsidRPr="00D5255A">
        <w:rPr>
          <w:rFonts w:ascii="Times New Roman" w:hAnsi="Times New Roman"/>
          <w:sz w:val="24"/>
          <w:szCs w:val="24"/>
        </w:rPr>
        <w:t xml:space="preserve"> </w:t>
      </w:r>
      <w:r w:rsidRPr="00D5255A">
        <w:rPr>
          <w:rFonts w:ascii="Times New Roman" w:hAnsi="Times New Roman"/>
          <w:i/>
          <w:sz w:val="24"/>
          <w:szCs w:val="24"/>
        </w:rPr>
        <w:t>P</w:t>
      </w:r>
      <w:r w:rsidRPr="00D5255A">
        <w:rPr>
          <w:rFonts w:ascii="Times New Roman" w:hAnsi="Times New Roman"/>
          <w:sz w:val="24"/>
          <w:szCs w:val="24"/>
        </w:rPr>
        <w:t>=8.7×10</w:t>
      </w:r>
      <w:r w:rsidRPr="00D5255A">
        <w:rPr>
          <w:rFonts w:ascii="Times New Roman" w:hAnsi="Times New Roman"/>
          <w:sz w:val="24"/>
          <w:szCs w:val="24"/>
          <w:vertAlign w:val="superscript"/>
        </w:rPr>
        <w:t>-7</w:t>
      </w:r>
      <w:r w:rsidRPr="00D5255A">
        <w:rPr>
          <w:rFonts w:ascii="Times New Roman" w:hAnsi="Times New Roman"/>
          <w:sz w:val="24"/>
          <w:szCs w:val="24"/>
        </w:rPr>
        <w:t xml:space="preserve">) and </w:t>
      </w:r>
      <w:r w:rsidRPr="00D5255A">
        <w:rPr>
          <w:rFonts w:ascii="Times New Roman" w:hAnsi="Times New Roman"/>
          <w:i/>
          <w:sz w:val="24"/>
          <w:szCs w:val="24"/>
        </w:rPr>
        <w:t xml:space="preserve">SYNE1 </w:t>
      </w:r>
      <w:r w:rsidRPr="00D5255A">
        <w:rPr>
          <w:rFonts w:ascii="Times New Roman" w:hAnsi="Times New Roman"/>
          <w:sz w:val="24"/>
          <w:szCs w:val="24"/>
        </w:rPr>
        <w:t>(rs594522; β=0.</w:t>
      </w:r>
      <w:r>
        <w:rPr>
          <w:rFonts w:ascii="Times New Roman" w:hAnsi="Times New Roman"/>
          <w:sz w:val="24"/>
          <w:szCs w:val="24"/>
        </w:rPr>
        <w:t>0</w:t>
      </w:r>
      <w:r w:rsidRPr="00D5255A">
        <w:rPr>
          <w:rFonts w:ascii="Times New Roman" w:hAnsi="Times New Roman"/>
          <w:sz w:val="24"/>
          <w:szCs w:val="24"/>
        </w:rPr>
        <w:t>55 mmol/l/</w:t>
      </w:r>
      <w:proofErr w:type="spellStart"/>
      <w:r w:rsidRPr="00D5255A">
        <w:rPr>
          <w:rFonts w:ascii="Times New Roman" w:hAnsi="Times New Roman"/>
          <w:sz w:val="24"/>
          <w:szCs w:val="24"/>
        </w:rPr>
        <w:t>yr</w:t>
      </w:r>
      <w:proofErr w:type="spellEnd"/>
      <w:r w:rsidRPr="00D5255A">
        <w:rPr>
          <w:rFonts w:ascii="Times New Roman" w:hAnsi="Times New Roman"/>
          <w:sz w:val="24"/>
          <w:szCs w:val="24"/>
        </w:rPr>
        <w:t>; SE=0.</w:t>
      </w:r>
      <w:r>
        <w:rPr>
          <w:rFonts w:ascii="Times New Roman" w:hAnsi="Times New Roman"/>
          <w:sz w:val="24"/>
          <w:szCs w:val="24"/>
        </w:rPr>
        <w:t>0</w:t>
      </w:r>
      <w:r w:rsidRPr="00D5255A">
        <w:rPr>
          <w:rFonts w:ascii="Times New Roman" w:hAnsi="Times New Roman"/>
          <w:sz w:val="24"/>
          <w:szCs w:val="24"/>
        </w:rPr>
        <w:t>11;</w:t>
      </w:r>
      <w:r>
        <w:rPr>
          <w:rFonts w:ascii="Times New Roman" w:hAnsi="Times New Roman"/>
          <w:sz w:val="24"/>
          <w:szCs w:val="24"/>
        </w:rPr>
        <w:t xml:space="preserve"> 95% CI=0.033 to 0.078;</w:t>
      </w:r>
      <w:r w:rsidRPr="00D5255A">
        <w:rPr>
          <w:rFonts w:ascii="Times New Roman" w:hAnsi="Times New Roman"/>
          <w:sz w:val="24"/>
          <w:szCs w:val="24"/>
        </w:rPr>
        <w:t xml:space="preserve"> </w:t>
      </w:r>
      <w:r w:rsidRPr="00D5255A">
        <w:rPr>
          <w:rFonts w:ascii="Times New Roman" w:hAnsi="Times New Roman"/>
          <w:i/>
          <w:sz w:val="24"/>
          <w:szCs w:val="24"/>
        </w:rPr>
        <w:t>P</w:t>
      </w:r>
      <w:r w:rsidRPr="00D5255A">
        <w:rPr>
          <w:rFonts w:ascii="Times New Roman" w:hAnsi="Times New Roman"/>
          <w:sz w:val="24"/>
          <w:szCs w:val="24"/>
        </w:rPr>
        <w:t>=1.4×10</w:t>
      </w:r>
      <w:r w:rsidRPr="00D5255A">
        <w:rPr>
          <w:rFonts w:ascii="Times New Roman" w:hAnsi="Times New Roman"/>
          <w:sz w:val="24"/>
          <w:szCs w:val="24"/>
          <w:vertAlign w:val="superscript"/>
        </w:rPr>
        <w:t>-6</w:t>
      </w:r>
      <w:r w:rsidRPr="00D5255A">
        <w:rPr>
          <w:rFonts w:ascii="Times New Roman" w:hAnsi="Times New Roman"/>
          <w:sz w:val="24"/>
          <w:szCs w:val="24"/>
        </w:rPr>
        <w:t xml:space="preserve">) reached study-wide significance for ΔTG. One SNP in </w:t>
      </w:r>
      <w:r w:rsidRPr="00D5255A">
        <w:rPr>
          <w:rFonts w:ascii="Times New Roman" w:hAnsi="Times New Roman"/>
          <w:i/>
          <w:sz w:val="24"/>
          <w:szCs w:val="24"/>
        </w:rPr>
        <w:t>APOE</w:t>
      </w:r>
      <w:r w:rsidRPr="00D5255A">
        <w:rPr>
          <w:rFonts w:ascii="Times New Roman" w:hAnsi="Times New Roman"/>
          <w:sz w:val="24"/>
          <w:szCs w:val="24"/>
        </w:rPr>
        <w:t xml:space="preserve"> (rs7412; β=-0.</w:t>
      </w:r>
      <w:r>
        <w:rPr>
          <w:rFonts w:ascii="Times New Roman" w:hAnsi="Times New Roman"/>
          <w:sz w:val="24"/>
          <w:szCs w:val="24"/>
        </w:rPr>
        <w:t>0</w:t>
      </w:r>
      <w:r w:rsidRPr="00D5255A">
        <w:rPr>
          <w:rFonts w:ascii="Times New Roman" w:hAnsi="Times New Roman"/>
          <w:sz w:val="24"/>
          <w:szCs w:val="24"/>
        </w:rPr>
        <w:t>23 mmol/l/</w:t>
      </w:r>
      <w:proofErr w:type="spellStart"/>
      <w:r w:rsidRPr="00D5255A">
        <w:rPr>
          <w:rFonts w:ascii="Times New Roman" w:hAnsi="Times New Roman"/>
          <w:sz w:val="24"/>
          <w:szCs w:val="24"/>
        </w:rPr>
        <w:t>yr</w:t>
      </w:r>
      <w:proofErr w:type="spellEnd"/>
      <w:r w:rsidRPr="00D5255A">
        <w:rPr>
          <w:rFonts w:ascii="Times New Roman" w:hAnsi="Times New Roman"/>
          <w:sz w:val="24"/>
          <w:szCs w:val="24"/>
        </w:rPr>
        <w:t>; SE=0.</w:t>
      </w:r>
      <w:r>
        <w:rPr>
          <w:rFonts w:ascii="Times New Roman" w:hAnsi="Times New Roman"/>
          <w:sz w:val="24"/>
          <w:szCs w:val="24"/>
        </w:rPr>
        <w:t>0</w:t>
      </w:r>
      <w:r w:rsidRPr="00D5255A">
        <w:rPr>
          <w:rFonts w:ascii="Times New Roman" w:hAnsi="Times New Roman"/>
          <w:sz w:val="24"/>
          <w:szCs w:val="24"/>
        </w:rPr>
        <w:t>04;</w:t>
      </w:r>
      <w:r>
        <w:rPr>
          <w:rFonts w:ascii="Times New Roman" w:hAnsi="Times New Roman"/>
          <w:sz w:val="24"/>
          <w:szCs w:val="24"/>
        </w:rPr>
        <w:t xml:space="preserve"> 95% CI=</w:t>
      </w:r>
      <w:r w:rsidRPr="00EF59E1">
        <w:rPr>
          <w:rFonts w:ascii="Times New Roman" w:hAnsi="Times New Roman"/>
          <w:sz w:val="24"/>
          <w:szCs w:val="24"/>
        </w:rPr>
        <w:t>-0</w:t>
      </w:r>
      <w:r>
        <w:rPr>
          <w:rFonts w:ascii="Times New Roman" w:hAnsi="Times New Roman"/>
          <w:sz w:val="24"/>
          <w:szCs w:val="24"/>
        </w:rPr>
        <w:t>.0</w:t>
      </w:r>
      <w:r w:rsidRPr="00EF59E1">
        <w:rPr>
          <w:rFonts w:ascii="Times New Roman" w:hAnsi="Times New Roman"/>
          <w:sz w:val="24"/>
          <w:szCs w:val="24"/>
        </w:rPr>
        <w:t>3</w:t>
      </w:r>
      <w:r>
        <w:rPr>
          <w:rFonts w:ascii="Times New Roman" w:hAnsi="Times New Roman"/>
          <w:sz w:val="24"/>
          <w:szCs w:val="24"/>
        </w:rPr>
        <w:t xml:space="preserve">2 to </w:t>
      </w:r>
      <w:r w:rsidRPr="00EF59E1">
        <w:rPr>
          <w:rFonts w:ascii="Times New Roman" w:hAnsi="Times New Roman"/>
          <w:sz w:val="24"/>
          <w:szCs w:val="24"/>
        </w:rPr>
        <w:t>-0</w:t>
      </w:r>
      <w:r>
        <w:rPr>
          <w:rFonts w:ascii="Times New Roman" w:hAnsi="Times New Roman"/>
          <w:sz w:val="24"/>
          <w:szCs w:val="24"/>
        </w:rPr>
        <w:t>.0</w:t>
      </w:r>
      <w:r w:rsidRPr="00EF59E1">
        <w:rPr>
          <w:rFonts w:ascii="Times New Roman" w:hAnsi="Times New Roman"/>
          <w:sz w:val="24"/>
          <w:szCs w:val="24"/>
        </w:rPr>
        <w:t>14</w:t>
      </w:r>
      <w:r>
        <w:rPr>
          <w:rFonts w:ascii="Times New Roman" w:hAnsi="Times New Roman"/>
          <w:sz w:val="24"/>
          <w:szCs w:val="24"/>
        </w:rPr>
        <w:t xml:space="preserve">; </w:t>
      </w:r>
      <w:r w:rsidRPr="00D5255A">
        <w:rPr>
          <w:rFonts w:ascii="Times New Roman" w:hAnsi="Times New Roman"/>
          <w:i/>
          <w:sz w:val="24"/>
          <w:szCs w:val="24"/>
        </w:rPr>
        <w:t>P</w:t>
      </w:r>
      <w:r w:rsidRPr="00D5255A">
        <w:rPr>
          <w:rFonts w:ascii="Times New Roman" w:hAnsi="Times New Roman"/>
          <w:sz w:val="24"/>
          <w:szCs w:val="24"/>
        </w:rPr>
        <w:t>=1.8×10</w:t>
      </w:r>
      <w:r w:rsidRPr="00D5255A">
        <w:rPr>
          <w:rFonts w:ascii="Times New Roman" w:hAnsi="Times New Roman"/>
          <w:sz w:val="24"/>
          <w:szCs w:val="24"/>
          <w:vertAlign w:val="superscript"/>
        </w:rPr>
        <w:t>-7</w:t>
      </w:r>
      <w:r w:rsidRPr="00D5255A">
        <w:rPr>
          <w:rFonts w:ascii="Times New Roman" w:hAnsi="Times New Roman"/>
          <w:sz w:val="24"/>
          <w:szCs w:val="24"/>
        </w:rPr>
        <w:t>) reached study-wide significance (α = 0.05/29,387 ~ 1.7×10</w:t>
      </w:r>
      <w:r w:rsidRPr="00D5255A">
        <w:rPr>
          <w:rFonts w:ascii="Times New Roman" w:hAnsi="Times New Roman"/>
          <w:sz w:val="24"/>
          <w:szCs w:val="24"/>
          <w:vertAlign w:val="superscript"/>
        </w:rPr>
        <w:t>-6</w:t>
      </w:r>
      <w:r w:rsidRPr="00D5255A">
        <w:rPr>
          <w:rFonts w:ascii="Times New Roman" w:hAnsi="Times New Roman"/>
          <w:sz w:val="24"/>
          <w:szCs w:val="24"/>
        </w:rPr>
        <w:t>) for ΔTC. 478 and 490 SNPs associated (</w:t>
      </w:r>
      <w:r w:rsidRPr="00D5255A">
        <w:rPr>
          <w:rFonts w:ascii="Times New Roman" w:hAnsi="Times New Roman"/>
          <w:i/>
          <w:sz w:val="24"/>
          <w:szCs w:val="24"/>
        </w:rPr>
        <w:t>P</w:t>
      </w:r>
      <w:r w:rsidRPr="00D5255A">
        <w:rPr>
          <w:rFonts w:ascii="Times New Roman" w:hAnsi="Times New Roman"/>
          <w:sz w:val="24"/>
          <w:szCs w:val="24"/>
        </w:rPr>
        <w:t xml:space="preserve">&lt;0.01) with ΔTC and ΔTG, respectively. All associations reaching </w:t>
      </w:r>
      <w:r w:rsidRPr="00D5255A">
        <w:rPr>
          <w:rFonts w:ascii="Times New Roman" w:hAnsi="Times New Roman"/>
          <w:i/>
          <w:sz w:val="24"/>
          <w:szCs w:val="24"/>
        </w:rPr>
        <w:t>P</w:t>
      </w:r>
      <w:r w:rsidRPr="00D5255A">
        <w:rPr>
          <w:rFonts w:ascii="Times New Roman" w:hAnsi="Times New Roman"/>
          <w:sz w:val="24"/>
          <w:szCs w:val="24"/>
        </w:rPr>
        <w:t xml:space="preserve">&lt;0.01 for ΔTC and ΔTG are shown in Table S6 and Table S7 respectively. </w:t>
      </w:r>
    </w:p>
    <w:p w:rsidR="00210106" w:rsidRPr="00D5255A" w:rsidRDefault="00210106" w:rsidP="00C8633B">
      <w:pPr>
        <w:spacing w:after="0" w:line="480" w:lineRule="auto"/>
        <w:ind w:firstLine="720"/>
        <w:jc w:val="both"/>
        <w:rPr>
          <w:rFonts w:ascii="Times New Roman" w:hAnsi="Times New Roman"/>
          <w:sz w:val="24"/>
          <w:szCs w:val="24"/>
        </w:rPr>
      </w:pPr>
      <w:r w:rsidRPr="00D5255A">
        <w:rPr>
          <w:rFonts w:ascii="Times New Roman" w:hAnsi="Times New Roman"/>
          <w:sz w:val="24"/>
          <w:szCs w:val="24"/>
        </w:rPr>
        <w:lastRenderedPageBreak/>
        <w:t xml:space="preserve">From the 956 variants </w:t>
      </w:r>
      <w:r>
        <w:rPr>
          <w:rFonts w:ascii="Times New Roman" w:hAnsi="Times New Roman"/>
          <w:sz w:val="24"/>
          <w:szCs w:val="24"/>
        </w:rPr>
        <w:t xml:space="preserve">nominally </w:t>
      </w:r>
      <w:r w:rsidRPr="00D5255A">
        <w:rPr>
          <w:rFonts w:ascii="Times New Roman" w:hAnsi="Times New Roman"/>
          <w:sz w:val="24"/>
          <w:szCs w:val="24"/>
        </w:rPr>
        <w:t xml:space="preserve">associated with </w:t>
      </w:r>
      <w:r>
        <w:rPr>
          <w:rFonts w:ascii="Times New Roman" w:hAnsi="Times New Roman"/>
          <w:sz w:val="24"/>
          <w:szCs w:val="24"/>
        </w:rPr>
        <w:t>lipid</w:t>
      </w:r>
      <w:r w:rsidRPr="00D5255A">
        <w:rPr>
          <w:rFonts w:ascii="Times New Roman" w:hAnsi="Times New Roman"/>
          <w:sz w:val="24"/>
          <w:szCs w:val="24"/>
        </w:rPr>
        <w:t xml:space="preserve"> changes, 274 SNPs had no cross-sectional associations with TC or TG in the GLGC (148 variants associated with TG, 183 variants associated with TC and 351 variants associated with both traits </w:t>
      </w:r>
      <w:r w:rsidRPr="00D5255A">
        <w:rPr>
          <w:rFonts w:ascii="Times New Roman" w:hAnsi="Times New Roman"/>
          <w:i/>
          <w:sz w:val="24"/>
          <w:szCs w:val="24"/>
        </w:rPr>
        <w:t>P</w:t>
      </w:r>
      <w:r w:rsidRPr="00D5255A">
        <w:rPr>
          <w:rFonts w:ascii="Times New Roman" w:hAnsi="Times New Roman"/>
          <w:sz w:val="24"/>
          <w:szCs w:val="24"/>
        </w:rPr>
        <w:t>&lt;5×10</w:t>
      </w:r>
      <w:r w:rsidRPr="00D5255A">
        <w:rPr>
          <w:rFonts w:ascii="Times New Roman" w:hAnsi="Times New Roman"/>
          <w:sz w:val="24"/>
          <w:szCs w:val="24"/>
          <w:vertAlign w:val="superscript"/>
        </w:rPr>
        <w:t>-8</w:t>
      </w:r>
      <w:r w:rsidRPr="00D5255A">
        <w:rPr>
          <w:rFonts w:ascii="Times New Roman" w:hAnsi="Times New Roman"/>
          <w:sz w:val="24"/>
          <w:szCs w:val="24"/>
        </w:rPr>
        <w:t>).</w:t>
      </w:r>
    </w:p>
    <w:p w:rsidR="00210106" w:rsidRPr="00D5255A" w:rsidRDefault="00210106" w:rsidP="00D1110C">
      <w:pPr>
        <w:spacing w:after="0" w:line="480" w:lineRule="auto"/>
        <w:rPr>
          <w:rFonts w:ascii="Times New Roman" w:hAnsi="Times New Roman"/>
          <w:sz w:val="24"/>
          <w:szCs w:val="24"/>
        </w:rPr>
      </w:pPr>
    </w:p>
    <w:p w:rsidR="00210106" w:rsidRPr="00D5255A" w:rsidRDefault="00210106" w:rsidP="00D1110C">
      <w:pPr>
        <w:pStyle w:val="Heading2"/>
        <w:spacing w:before="0" w:line="480" w:lineRule="auto"/>
        <w:rPr>
          <w:rFonts w:ascii="Times New Roman" w:hAnsi="Times New Roman" w:cs="Times New Roman"/>
          <w:color w:val="auto"/>
          <w:sz w:val="24"/>
          <w:szCs w:val="24"/>
        </w:rPr>
      </w:pPr>
      <w:r w:rsidRPr="00D5255A">
        <w:rPr>
          <w:rFonts w:ascii="Times New Roman" w:hAnsi="Times New Roman" w:cs="Times New Roman"/>
          <w:color w:val="auto"/>
          <w:sz w:val="24"/>
          <w:szCs w:val="24"/>
        </w:rPr>
        <w:t>Replication and meta-analysis</w:t>
      </w:r>
    </w:p>
    <w:p w:rsidR="00210106" w:rsidRPr="00D5255A" w:rsidRDefault="00210106" w:rsidP="00C8633B">
      <w:pPr>
        <w:spacing w:after="0" w:line="480" w:lineRule="auto"/>
        <w:ind w:firstLine="720"/>
        <w:jc w:val="both"/>
        <w:rPr>
          <w:rFonts w:ascii="Times New Roman" w:hAnsi="Times New Roman"/>
          <w:sz w:val="24"/>
          <w:szCs w:val="24"/>
        </w:rPr>
      </w:pPr>
      <w:r w:rsidRPr="00D5255A">
        <w:rPr>
          <w:rFonts w:ascii="Times New Roman" w:hAnsi="Times New Roman"/>
          <w:sz w:val="24"/>
          <w:szCs w:val="24"/>
        </w:rPr>
        <w:t xml:space="preserve">The 956 variants </w:t>
      </w:r>
      <w:r>
        <w:rPr>
          <w:rFonts w:ascii="Times New Roman" w:hAnsi="Times New Roman"/>
          <w:sz w:val="24"/>
          <w:szCs w:val="24"/>
        </w:rPr>
        <w:t xml:space="preserve">that </w:t>
      </w:r>
      <w:r w:rsidRPr="00D5255A">
        <w:rPr>
          <w:rFonts w:ascii="Times New Roman" w:hAnsi="Times New Roman"/>
          <w:sz w:val="24"/>
          <w:szCs w:val="24"/>
        </w:rPr>
        <w:t>were associated with ∆lipids in the discovery cohort were further examined in the replication cohorts</w:t>
      </w:r>
      <w:r>
        <w:rPr>
          <w:rFonts w:ascii="Times New Roman" w:hAnsi="Times New Roman"/>
          <w:sz w:val="24"/>
          <w:szCs w:val="24"/>
        </w:rPr>
        <w:t xml:space="preserve"> (excluding the discovery cohort)</w:t>
      </w:r>
      <w:r w:rsidRPr="00D5255A">
        <w:rPr>
          <w:rFonts w:ascii="Times New Roman" w:hAnsi="Times New Roman"/>
          <w:sz w:val="24"/>
          <w:szCs w:val="24"/>
        </w:rPr>
        <w:t xml:space="preserve">. The variant at rs7412 at </w:t>
      </w:r>
      <w:r w:rsidRPr="00D5255A">
        <w:rPr>
          <w:rFonts w:ascii="Times New Roman" w:hAnsi="Times New Roman"/>
          <w:i/>
          <w:sz w:val="24"/>
          <w:szCs w:val="24"/>
        </w:rPr>
        <w:t>APOE</w:t>
      </w:r>
      <w:r w:rsidRPr="00D5255A">
        <w:rPr>
          <w:rFonts w:ascii="Times New Roman" w:hAnsi="Times New Roman"/>
          <w:sz w:val="24"/>
          <w:szCs w:val="24"/>
        </w:rPr>
        <w:t xml:space="preserve"> replicated for ∆TC (</w:t>
      </w:r>
      <w:r w:rsidRPr="00D5255A">
        <w:rPr>
          <w:rFonts w:ascii="Times New Roman" w:hAnsi="Times New Roman"/>
          <w:i/>
          <w:sz w:val="24"/>
          <w:szCs w:val="24"/>
        </w:rPr>
        <w:t>P</w:t>
      </w:r>
      <w:r w:rsidRPr="00D5255A">
        <w:rPr>
          <w:rFonts w:ascii="Times New Roman" w:hAnsi="Times New Roman"/>
          <w:sz w:val="24"/>
          <w:szCs w:val="24"/>
        </w:rPr>
        <w:t>=1.5×10</w:t>
      </w:r>
      <w:r w:rsidRPr="00D5255A">
        <w:rPr>
          <w:rFonts w:ascii="Times New Roman" w:hAnsi="Times New Roman"/>
          <w:sz w:val="24"/>
          <w:szCs w:val="24"/>
          <w:vertAlign w:val="superscript"/>
        </w:rPr>
        <w:t>-7</w:t>
      </w:r>
      <w:r w:rsidRPr="00D5255A">
        <w:rPr>
          <w:rFonts w:ascii="Times New Roman" w:hAnsi="Times New Roman"/>
          <w:sz w:val="24"/>
          <w:szCs w:val="24"/>
        </w:rPr>
        <w:t xml:space="preserve">), as did multiple variants at </w:t>
      </w:r>
      <w:r w:rsidRPr="00D5255A">
        <w:rPr>
          <w:rFonts w:ascii="Times New Roman" w:hAnsi="Times New Roman"/>
          <w:i/>
          <w:sz w:val="24"/>
          <w:szCs w:val="24"/>
        </w:rPr>
        <w:t>APOA1/A4/C3/A5</w:t>
      </w:r>
      <w:r w:rsidRPr="00D5255A">
        <w:rPr>
          <w:rFonts w:ascii="Times New Roman" w:hAnsi="Times New Roman"/>
          <w:sz w:val="24"/>
          <w:szCs w:val="24"/>
        </w:rPr>
        <w:t xml:space="preserve"> for ∆TG (</w:t>
      </w:r>
      <w:proofErr w:type="spellStart"/>
      <w:r w:rsidRPr="00D5255A">
        <w:rPr>
          <w:rFonts w:ascii="Times New Roman" w:hAnsi="Times New Roman"/>
          <w:i/>
          <w:sz w:val="24"/>
          <w:szCs w:val="24"/>
        </w:rPr>
        <w:t>P</w:t>
      </w:r>
      <w:r w:rsidRPr="00D5255A">
        <w:rPr>
          <w:rFonts w:ascii="Times New Roman" w:hAnsi="Times New Roman"/>
          <w:i/>
          <w:sz w:val="24"/>
          <w:szCs w:val="24"/>
          <w:vertAlign w:val="subscript"/>
        </w:rPr>
        <w:t>min</w:t>
      </w:r>
      <w:proofErr w:type="spellEnd"/>
      <w:r w:rsidRPr="00D5255A">
        <w:rPr>
          <w:rFonts w:ascii="Times New Roman" w:hAnsi="Times New Roman"/>
          <w:sz w:val="24"/>
          <w:szCs w:val="24"/>
        </w:rPr>
        <w:t>=6.5×10</w:t>
      </w:r>
      <w:r w:rsidRPr="00D5255A">
        <w:rPr>
          <w:rFonts w:ascii="Times New Roman" w:hAnsi="Times New Roman"/>
          <w:sz w:val="24"/>
          <w:szCs w:val="24"/>
          <w:vertAlign w:val="superscript"/>
        </w:rPr>
        <w:t>-7</w:t>
      </w:r>
      <w:r w:rsidRPr="00D5255A">
        <w:rPr>
          <w:rFonts w:ascii="Times New Roman" w:hAnsi="Times New Roman"/>
          <w:sz w:val="24"/>
          <w:szCs w:val="24"/>
        </w:rPr>
        <w:t>). 135/478 SNPs (~28%) for ∆TC and 66/490 (~13%) SNPs for ∆TG reached nominal statistical significance (</w:t>
      </w:r>
      <w:r w:rsidRPr="00D5255A">
        <w:rPr>
          <w:rFonts w:ascii="Times New Roman" w:hAnsi="Times New Roman"/>
          <w:i/>
          <w:sz w:val="24"/>
          <w:szCs w:val="24"/>
        </w:rPr>
        <w:t>P</w:t>
      </w:r>
      <w:r w:rsidRPr="00D5255A">
        <w:rPr>
          <w:rFonts w:ascii="Times New Roman" w:hAnsi="Times New Roman"/>
          <w:sz w:val="24"/>
          <w:szCs w:val="24"/>
        </w:rPr>
        <w:t xml:space="preserve">&lt;0.05). None of the </w:t>
      </w:r>
      <w:r w:rsidRPr="00D5255A">
        <w:rPr>
          <w:rFonts w:ascii="Times New Roman" w:hAnsi="Times New Roman"/>
          <w:i/>
          <w:sz w:val="24"/>
          <w:szCs w:val="24"/>
        </w:rPr>
        <w:t>APOE</w:t>
      </w:r>
      <w:r w:rsidRPr="00D5255A">
        <w:rPr>
          <w:rFonts w:ascii="Times New Roman" w:hAnsi="Times New Roman"/>
          <w:sz w:val="24"/>
          <w:szCs w:val="24"/>
        </w:rPr>
        <w:t xml:space="preserve"> association signals replicated for ∆TG.</w:t>
      </w:r>
    </w:p>
    <w:p w:rsidR="00210106" w:rsidRDefault="00210106" w:rsidP="00C8633B">
      <w:pPr>
        <w:spacing w:after="0" w:line="480" w:lineRule="auto"/>
        <w:ind w:firstLine="720"/>
        <w:jc w:val="both"/>
        <w:rPr>
          <w:rFonts w:ascii="Times New Roman" w:hAnsi="Times New Roman"/>
          <w:sz w:val="24"/>
          <w:szCs w:val="24"/>
        </w:rPr>
      </w:pPr>
      <w:r w:rsidRPr="00D5255A">
        <w:rPr>
          <w:rFonts w:ascii="Times New Roman" w:hAnsi="Times New Roman"/>
          <w:sz w:val="24"/>
          <w:szCs w:val="24"/>
        </w:rPr>
        <w:t>In the meta-analysis including all cohorts (discovery and replication), 88 SNPs at six loci for ∆TC and 51 SNPs at five loci for ∆TG (total of 10 loci, as one locus associated with both traits) replicated (</w:t>
      </w:r>
      <w:r w:rsidRPr="00D5255A">
        <w:rPr>
          <w:rFonts w:ascii="Times New Roman" w:hAnsi="Times New Roman"/>
          <w:i/>
          <w:sz w:val="24"/>
          <w:szCs w:val="24"/>
        </w:rPr>
        <w:t>P</w:t>
      </w:r>
      <w:r w:rsidRPr="00D5255A">
        <w:rPr>
          <w:rFonts w:ascii="Times New Roman" w:hAnsi="Times New Roman"/>
          <w:sz w:val="24"/>
          <w:szCs w:val="24"/>
        </w:rPr>
        <w:t>&lt;1.0×10</w:t>
      </w:r>
      <w:r w:rsidRPr="00D5255A">
        <w:rPr>
          <w:rFonts w:ascii="Times New Roman" w:hAnsi="Times New Roman"/>
          <w:sz w:val="24"/>
          <w:szCs w:val="24"/>
          <w:vertAlign w:val="superscript"/>
        </w:rPr>
        <w:t>-3</w:t>
      </w:r>
      <w:r w:rsidRPr="00D5255A">
        <w:rPr>
          <w:rFonts w:ascii="Times New Roman" w:hAnsi="Times New Roman"/>
          <w:sz w:val="24"/>
          <w:szCs w:val="24"/>
        </w:rPr>
        <w:t>). The lead SNPs for the 10 replicating loci in relation to their respective traits are shown in Table 1.</w:t>
      </w:r>
      <w:r w:rsidRPr="00327DAB">
        <w:rPr>
          <w:rFonts w:ascii="Times New Roman" w:hAnsi="Times New Roman"/>
          <w:sz w:val="24"/>
          <w:szCs w:val="24"/>
        </w:rPr>
        <w:t xml:space="preserve"> </w:t>
      </w:r>
    </w:p>
    <w:p w:rsidR="00210106" w:rsidRPr="00303AA5" w:rsidRDefault="00210106" w:rsidP="00327DAB">
      <w:pPr>
        <w:spacing w:after="0" w:line="480" w:lineRule="auto"/>
        <w:jc w:val="both"/>
        <w:rPr>
          <w:rFonts w:ascii="Times New Roman" w:hAnsi="Times New Roman"/>
          <w:i/>
          <w:sz w:val="24"/>
          <w:szCs w:val="24"/>
        </w:rPr>
      </w:pPr>
      <w:r w:rsidRPr="00303AA5">
        <w:rPr>
          <w:rFonts w:ascii="Times New Roman" w:hAnsi="Times New Roman"/>
          <w:i/>
          <w:sz w:val="24"/>
          <w:szCs w:val="24"/>
        </w:rPr>
        <w:t>(Table 1 here)</w:t>
      </w:r>
    </w:p>
    <w:p w:rsidR="00210106" w:rsidRDefault="00210106" w:rsidP="00AD4E04">
      <w:pPr>
        <w:spacing w:after="0" w:line="480" w:lineRule="auto"/>
        <w:ind w:firstLine="720"/>
        <w:jc w:val="both"/>
        <w:rPr>
          <w:rFonts w:ascii="Times New Roman" w:hAnsi="Times New Roman"/>
          <w:sz w:val="24"/>
          <w:szCs w:val="24"/>
        </w:rPr>
      </w:pPr>
      <w:r w:rsidRPr="00D5255A">
        <w:rPr>
          <w:rFonts w:ascii="Times New Roman" w:hAnsi="Times New Roman"/>
          <w:sz w:val="24"/>
          <w:szCs w:val="24"/>
        </w:rPr>
        <w:t>All 10 of the associated loci ha</w:t>
      </w:r>
      <w:r>
        <w:rPr>
          <w:rFonts w:ascii="Times New Roman" w:hAnsi="Times New Roman"/>
          <w:sz w:val="24"/>
          <w:szCs w:val="24"/>
        </w:rPr>
        <w:t>ve</w:t>
      </w:r>
      <w:r w:rsidRPr="00D5255A">
        <w:rPr>
          <w:rFonts w:ascii="Times New Roman" w:hAnsi="Times New Roman"/>
          <w:sz w:val="24"/>
          <w:szCs w:val="24"/>
        </w:rPr>
        <w:t xml:space="preserve"> been linked to cross-sectional lipid levels in previous meta-analyses </w:t>
      </w:r>
      <w:r w:rsidRPr="00D5255A">
        <w:rPr>
          <w:rFonts w:ascii="Times New Roman" w:hAnsi="Times New Roman"/>
          <w:noProof/>
          <w:sz w:val="24"/>
          <w:szCs w:val="24"/>
        </w:rPr>
        <w:t>(2)</w:t>
      </w:r>
      <w:r w:rsidRPr="00D5255A">
        <w:rPr>
          <w:rFonts w:ascii="Times New Roman" w:hAnsi="Times New Roman"/>
          <w:sz w:val="24"/>
          <w:szCs w:val="24"/>
        </w:rPr>
        <w:t xml:space="preserve">. </w:t>
      </w:r>
      <w:r>
        <w:rPr>
          <w:rFonts w:ascii="Times New Roman" w:hAnsi="Times New Roman"/>
          <w:sz w:val="24"/>
          <w:szCs w:val="24"/>
        </w:rPr>
        <w:t>The</w:t>
      </w:r>
      <w:r w:rsidRPr="00D5255A">
        <w:rPr>
          <w:rFonts w:ascii="Times New Roman" w:hAnsi="Times New Roman"/>
          <w:sz w:val="24"/>
          <w:szCs w:val="24"/>
        </w:rPr>
        <w:t xml:space="preserve"> </w:t>
      </w:r>
      <w:r w:rsidRPr="00D5255A">
        <w:rPr>
          <w:rFonts w:ascii="Times New Roman" w:hAnsi="Times New Roman"/>
          <w:i/>
          <w:sz w:val="24"/>
          <w:szCs w:val="24"/>
        </w:rPr>
        <w:t>DOCK7</w:t>
      </w:r>
      <w:r w:rsidRPr="00D5255A">
        <w:rPr>
          <w:rFonts w:ascii="Times New Roman" w:hAnsi="Times New Roman"/>
          <w:sz w:val="24"/>
          <w:szCs w:val="24"/>
        </w:rPr>
        <w:t>/</w:t>
      </w:r>
      <w:r w:rsidRPr="00D5255A">
        <w:rPr>
          <w:rFonts w:ascii="Times New Roman" w:hAnsi="Times New Roman"/>
          <w:i/>
          <w:sz w:val="24"/>
          <w:szCs w:val="24"/>
        </w:rPr>
        <w:t>ANGPTL3</w:t>
      </w:r>
      <w:r w:rsidRPr="00D5255A">
        <w:rPr>
          <w:rFonts w:ascii="Times New Roman" w:hAnsi="Times New Roman"/>
          <w:sz w:val="24"/>
          <w:szCs w:val="24"/>
        </w:rPr>
        <w:t xml:space="preserve"> </w:t>
      </w:r>
      <w:r>
        <w:rPr>
          <w:rFonts w:ascii="Times New Roman" w:hAnsi="Times New Roman"/>
          <w:sz w:val="24"/>
          <w:szCs w:val="24"/>
        </w:rPr>
        <w:t xml:space="preserve">locus associated </w:t>
      </w:r>
      <w:r w:rsidRPr="00D5255A">
        <w:rPr>
          <w:rFonts w:ascii="Times New Roman" w:hAnsi="Times New Roman"/>
          <w:sz w:val="24"/>
          <w:szCs w:val="24"/>
        </w:rPr>
        <w:t>with both ∆TC and ∆TG</w:t>
      </w:r>
      <w:r>
        <w:rPr>
          <w:rFonts w:ascii="Times New Roman" w:hAnsi="Times New Roman"/>
          <w:sz w:val="24"/>
          <w:szCs w:val="24"/>
        </w:rPr>
        <w:t xml:space="preserve"> in the meta-analysis</w:t>
      </w:r>
      <w:r w:rsidRPr="00D5255A">
        <w:rPr>
          <w:rFonts w:ascii="Times New Roman" w:hAnsi="Times New Roman"/>
          <w:sz w:val="24"/>
          <w:szCs w:val="24"/>
        </w:rPr>
        <w:t xml:space="preserve"> (chr1:62912318; β=-0.004 mmol/l/</w:t>
      </w:r>
      <w:proofErr w:type="spellStart"/>
      <w:r w:rsidRPr="00D5255A">
        <w:rPr>
          <w:rFonts w:ascii="Times New Roman" w:hAnsi="Times New Roman"/>
          <w:sz w:val="24"/>
          <w:szCs w:val="24"/>
        </w:rPr>
        <w:t>yr</w:t>
      </w:r>
      <w:proofErr w:type="spellEnd"/>
      <w:r w:rsidRPr="00D5255A">
        <w:rPr>
          <w:rFonts w:ascii="Times New Roman" w:hAnsi="Times New Roman"/>
          <w:sz w:val="24"/>
          <w:szCs w:val="24"/>
        </w:rPr>
        <w:t>; SE=0.001;</w:t>
      </w:r>
      <w:r>
        <w:rPr>
          <w:rFonts w:ascii="Times New Roman" w:hAnsi="Times New Roman"/>
          <w:sz w:val="24"/>
          <w:szCs w:val="24"/>
        </w:rPr>
        <w:t xml:space="preserve"> 95% CI=-0.006 to </w:t>
      </w:r>
      <w:r w:rsidRPr="00AD4E04">
        <w:rPr>
          <w:rFonts w:ascii="Times New Roman" w:hAnsi="Times New Roman"/>
          <w:sz w:val="24"/>
          <w:szCs w:val="24"/>
        </w:rPr>
        <w:t>-0.002</w:t>
      </w:r>
      <w:r>
        <w:rPr>
          <w:rFonts w:ascii="Times New Roman" w:hAnsi="Times New Roman"/>
          <w:sz w:val="24"/>
          <w:szCs w:val="24"/>
        </w:rPr>
        <w:t>;</w:t>
      </w:r>
      <w:r w:rsidRPr="00D5255A">
        <w:rPr>
          <w:rFonts w:ascii="Times New Roman" w:hAnsi="Times New Roman"/>
          <w:sz w:val="24"/>
          <w:szCs w:val="24"/>
        </w:rPr>
        <w:t xml:space="preserve"> </w:t>
      </w:r>
      <w:r w:rsidRPr="00D5255A">
        <w:rPr>
          <w:rFonts w:ascii="Times New Roman" w:hAnsi="Times New Roman"/>
          <w:i/>
          <w:sz w:val="24"/>
          <w:szCs w:val="24"/>
        </w:rPr>
        <w:t>P</w:t>
      </w:r>
      <w:r w:rsidRPr="00D5255A">
        <w:rPr>
          <w:rFonts w:ascii="Times New Roman" w:hAnsi="Times New Roman"/>
          <w:sz w:val="24"/>
          <w:szCs w:val="24"/>
        </w:rPr>
        <w:t>=2.5×10</w:t>
      </w:r>
      <w:r w:rsidRPr="00D5255A">
        <w:rPr>
          <w:rFonts w:ascii="Times New Roman" w:hAnsi="Times New Roman"/>
          <w:sz w:val="24"/>
          <w:szCs w:val="24"/>
          <w:vertAlign w:val="superscript"/>
        </w:rPr>
        <w:t>-4</w:t>
      </w:r>
      <w:r w:rsidRPr="00D5255A">
        <w:rPr>
          <w:rFonts w:ascii="Times New Roman" w:hAnsi="Times New Roman"/>
          <w:sz w:val="24"/>
          <w:szCs w:val="24"/>
        </w:rPr>
        <w:t xml:space="preserve"> for ∆TC and chr1:62954723; β=-0.002 mmol/l/</w:t>
      </w:r>
      <w:proofErr w:type="spellStart"/>
      <w:r w:rsidRPr="00D5255A">
        <w:rPr>
          <w:rFonts w:ascii="Times New Roman" w:hAnsi="Times New Roman"/>
          <w:sz w:val="24"/>
          <w:szCs w:val="24"/>
        </w:rPr>
        <w:t>yr</w:t>
      </w:r>
      <w:proofErr w:type="spellEnd"/>
      <w:r w:rsidRPr="00D5255A">
        <w:rPr>
          <w:rFonts w:ascii="Times New Roman" w:hAnsi="Times New Roman"/>
          <w:sz w:val="24"/>
          <w:szCs w:val="24"/>
        </w:rPr>
        <w:t>; SE=0.001;</w:t>
      </w:r>
      <w:r>
        <w:rPr>
          <w:rFonts w:ascii="Times New Roman" w:hAnsi="Times New Roman"/>
          <w:sz w:val="24"/>
          <w:szCs w:val="24"/>
        </w:rPr>
        <w:t xml:space="preserve"> 95% CI=</w:t>
      </w:r>
      <w:r w:rsidRPr="00AD4E04">
        <w:t xml:space="preserve"> </w:t>
      </w:r>
      <w:r>
        <w:rPr>
          <w:rFonts w:ascii="Times New Roman" w:hAnsi="Times New Roman"/>
          <w:sz w:val="24"/>
          <w:szCs w:val="24"/>
        </w:rPr>
        <w:t xml:space="preserve">-0.004 to </w:t>
      </w:r>
      <w:r w:rsidRPr="00AD4E04">
        <w:rPr>
          <w:rFonts w:ascii="Times New Roman" w:hAnsi="Times New Roman"/>
          <w:sz w:val="24"/>
          <w:szCs w:val="24"/>
        </w:rPr>
        <w:t>-0.001</w:t>
      </w:r>
      <w:r>
        <w:rPr>
          <w:rFonts w:ascii="Times New Roman" w:hAnsi="Times New Roman"/>
          <w:sz w:val="24"/>
          <w:szCs w:val="24"/>
        </w:rPr>
        <w:t>;</w:t>
      </w:r>
      <w:r w:rsidRPr="00D5255A">
        <w:rPr>
          <w:rFonts w:ascii="Times New Roman" w:hAnsi="Times New Roman"/>
          <w:sz w:val="24"/>
          <w:szCs w:val="24"/>
        </w:rPr>
        <w:t xml:space="preserve"> </w:t>
      </w:r>
      <w:r w:rsidRPr="00D5255A">
        <w:rPr>
          <w:rFonts w:ascii="Times New Roman" w:hAnsi="Times New Roman"/>
          <w:i/>
          <w:sz w:val="24"/>
          <w:szCs w:val="24"/>
        </w:rPr>
        <w:t>P</w:t>
      </w:r>
      <w:r w:rsidRPr="00D5255A">
        <w:rPr>
          <w:rFonts w:ascii="Times New Roman" w:hAnsi="Times New Roman"/>
          <w:sz w:val="24"/>
          <w:szCs w:val="24"/>
        </w:rPr>
        <w:t>=5.3×10</w:t>
      </w:r>
      <w:r w:rsidRPr="00D5255A">
        <w:rPr>
          <w:rFonts w:ascii="Times New Roman" w:hAnsi="Times New Roman"/>
          <w:sz w:val="24"/>
          <w:szCs w:val="24"/>
          <w:vertAlign w:val="superscript"/>
        </w:rPr>
        <w:t>-4</w:t>
      </w:r>
      <w:r w:rsidRPr="00D5255A">
        <w:rPr>
          <w:rFonts w:ascii="Times New Roman" w:hAnsi="Times New Roman"/>
          <w:sz w:val="24"/>
          <w:szCs w:val="24"/>
        </w:rPr>
        <w:t xml:space="preserve"> for ∆TG). </w:t>
      </w:r>
      <w:r>
        <w:rPr>
          <w:rFonts w:ascii="Times New Roman" w:hAnsi="Times New Roman"/>
          <w:sz w:val="24"/>
          <w:szCs w:val="24"/>
        </w:rPr>
        <w:t xml:space="preserve">Two loci, </w:t>
      </w:r>
      <w:r w:rsidRPr="00265DD9">
        <w:rPr>
          <w:rFonts w:ascii="Times New Roman" w:hAnsi="Times New Roman"/>
          <w:i/>
          <w:sz w:val="24"/>
          <w:szCs w:val="24"/>
        </w:rPr>
        <w:t>APOE</w:t>
      </w:r>
      <w:r>
        <w:rPr>
          <w:rFonts w:ascii="Times New Roman" w:hAnsi="Times New Roman"/>
          <w:sz w:val="24"/>
          <w:szCs w:val="24"/>
        </w:rPr>
        <w:t>/</w:t>
      </w:r>
      <w:r w:rsidRPr="00265DD9">
        <w:rPr>
          <w:rFonts w:ascii="Times New Roman" w:hAnsi="Times New Roman"/>
          <w:i/>
          <w:sz w:val="24"/>
          <w:szCs w:val="24"/>
        </w:rPr>
        <w:t>C1</w:t>
      </w:r>
      <w:r>
        <w:rPr>
          <w:rFonts w:ascii="Times New Roman" w:hAnsi="Times New Roman"/>
          <w:sz w:val="24"/>
          <w:szCs w:val="24"/>
        </w:rPr>
        <w:t xml:space="preserve"> for </w:t>
      </w:r>
      <w:r w:rsidRPr="00D5255A">
        <w:rPr>
          <w:rFonts w:ascii="Times New Roman" w:hAnsi="Times New Roman"/>
          <w:sz w:val="24"/>
          <w:szCs w:val="24"/>
        </w:rPr>
        <w:t>∆TC</w:t>
      </w:r>
      <w:r>
        <w:rPr>
          <w:rFonts w:ascii="Times New Roman" w:hAnsi="Times New Roman"/>
          <w:sz w:val="24"/>
          <w:szCs w:val="24"/>
        </w:rPr>
        <w:t xml:space="preserve"> (</w:t>
      </w:r>
      <w:r w:rsidRPr="00D5255A">
        <w:rPr>
          <w:rFonts w:ascii="Times New Roman" w:hAnsi="Times New Roman"/>
          <w:sz w:val="24"/>
          <w:szCs w:val="24"/>
        </w:rPr>
        <w:t>β=</w:t>
      </w:r>
      <w:r w:rsidRPr="00AD4E04">
        <w:rPr>
          <w:rFonts w:ascii="Times New Roman" w:hAnsi="Times New Roman"/>
          <w:sz w:val="24"/>
          <w:szCs w:val="24"/>
        </w:rPr>
        <w:t>-0.014</w:t>
      </w:r>
      <w:r>
        <w:rPr>
          <w:rFonts w:ascii="Times New Roman" w:hAnsi="Times New Roman"/>
          <w:sz w:val="24"/>
          <w:szCs w:val="24"/>
        </w:rPr>
        <w:t xml:space="preserve"> </w:t>
      </w:r>
      <w:r w:rsidRPr="00D5255A">
        <w:rPr>
          <w:rFonts w:ascii="Times New Roman" w:hAnsi="Times New Roman"/>
          <w:sz w:val="24"/>
          <w:szCs w:val="24"/>
        </w:rPr>
        <w:t>mmol/l/</w:t>
      </w:r>
      <w:proofErr w:type="spellStart"/>
      <w:r w:rsidRPr="00D5255A">
        <w:rPr>
          <w:rFonts w:ascii="Times New Roman" w:hAnsi="Times New Roman"/>
          <w:sz w:val="24"/>
          <w:szCs w:val="24"/>
        </w:rPr>
        <w:t>yr</w:t>
      </w:r>
      <w:proofErr w:type="spellEnd"/>
      <w:r>
        <w:rPr>
          <w:rFonts w:ascii="Times New Roman" w:hAnsi="Times New Roman"/>
          <w:sz w:val="24"/>
          <w:szCs w:val="24"/>
        </w:rPr>
        <w:t>; SE=</w:t>
      </w:r>
      <w:r w:rsidRPr="00AD4E04">
        <w:rPr>
          <w:rFonts w:ascii="Times New Roman" w:hAnsi="Times New Roman"/>
          <w:sz w:val="24"/>
          <w:szCs w:val="24"/>
        </w:rPr>
        <w:t>0.002</w:t>
      </w:r>
      <w:r>
        <w:rPr>
          <w:rFonts w:ascii="Times New Roman" w:hAnsi="Times New Roman"/>
          <w:sz w:val="24"/>
          <w:szCs w:val="24"/>
        </w:rPr>
        <w:t xml:space="preserve">; 95% CI=-0.018 to </w:t>
      </w:r>
      <w:r w:rsidRPr="00AD4E04">
        <w:rPr>
          <w:rFonts w:ascii="Times New Roman" w:hAnsi="Times New Roman"/>
          <w:sz w:val="24"/>
          <w:szCs w:val="24"/>
        </w:rPr>
        <w:t>-0.01</w:t>
      </w:r>
      <w:r>
        <w:rPr>
          <w:rFonts w:ascii="Times New Roman" w:hAnsi="Times New Roman"/>
          <w:sz w:val="24"/>
          <w:szCs w:val="24"/>
        </w:rPr>
        <w:t xml:space="preserve">; </w:t>
      </w:r>
      <w:r w:rsidRPr="00265DD9">
        <w:rPr>
          <w:rFonts w:ascii="Times New Roman" w:hAnsi="Times New Roman"/>
          <w:i/>
          <w:sz w:val="24"/>
          <w:szCs w:val="24"/>
        </w:rPr>
        <w:t>P</w:t>
      </w:r>
      <w:r>
        <w:rPr>
          <w:rFonts w:ascii="Times New Roman" w:hAnsi="Times New Roman"/>
          <w:sz w:val="24"/>
          <w:szCs w:val="24"/>
        </w:rPr>
        <w:t>=</w:t>
      </w:r>
      <w:r w:rsidRPr="00AD4E04">
        <w:rPr>
          <w:rFonts w:ascii="Times New Roman" w:hAnsi="Times New Roman"/>
          <w:sz w:val="24"/>
          <w:szCs w:val="24"/>
        </w:rPr>
        <w:t>2.0×10</w:t>
      </w:r>
      <w:r w:rsidRPr="00265DD9">
        <w:rPr>
          <w:rFonts w:ascii="Times New Roman" w:hAnsi="Times New Roman"/>
          <w:sz w:val="24"/>
          <w:szCs w:val="24"/>
          <w:vertAlign w:val="superscript"/>
        </w:rPr>
        <w:t>-12</w:t>
      </w:r>
      <w:r>
        <w:rPr>
          <w:rFonts w:ascii="Times New Roman" w:hAnsi="Times New Roman"/>
          <w:sz w:val="24"/>
          <w:szCs w:val="24"/>
        </w:rPr>
        <w:t>)</w:t>
      </w:r>
      <w:r w:rsidRPr="00D5255A">
        <w:rPr>
          <w:rFonts w:ascii="Times New Roman" w:hAnsi="Times New Roman"/>
          <w:sz w:val="24"/>
          <w:szCs w:val="24"/>
        </w:rPr>
        <w:t xml:space="preserve"> </w:t>
      </w:r>
      <w:r>
        <w:rPr>
          <w:rFonts w:ascii="Times New Roman" w:hAnsi="Times New Roman"/>
          <w:sz w:val="24"/>
          <w:szCs w:val="24"/>
        </w:rPr>
        <w:t xml:space="preserve">and </w:t>
      </w:r>
      <w:r w:rsidRPr="00265DD9">
        <w:rPr>
          <w:rFonts w:ascii="Times New Roman" w:hAnsi="Times New Roman"/>
          <w:i/>
          <w:sz w:val="24"/>
          <w:szCs w:val="24"/>
        </w:rPr>
        <w:t>ZNF159</w:t>
      </w:r>
      <w:r>
        <w:rPr>
          <w:rFonts w:ascii="Times New Roman" w:hAnsi="Times New Roman"/>
          <w:sz w:val="24"/>
          <w:szCs w:val="24"/>
        </w:rPr>
        <w:t>/</w:t>
      </w:r>
      <w:r w:rsidRPr="00265DD9">
        <w:rPr>
          <w:rFonts w:ascii="Times New Roman" w:hAnsi="Times New Roman"/>
          <w:i/>
          <w:sz w:val="24"/>
          <w:szCs w:val="24"/>
        </w:rPr>
        <w:t>APOA5</w:t>
      </w:r>
      <w:r>
        <w:rPr>
          <w:rFonts w:ascii="Times New Roman" w:hAnsi="Times New Roman"/>
          <w:sz w:val="24"/>
          <w:szCs w:val="24"/>
        </w:rPr>
        <w:t>/</w:t>
      </w:r>
      <w:r w:rsidRPr="00265DD9">
        <w:rPr>
          <w:rFonts w:ascii="Times New Roman" w:hAnsi="Times New Roman"/>
          <w:i/>
          <w:sz w:val="24"/>
          <w:szCs w:val="24"/>
        </w:rPr>
        <w:t>A1</w:t>
      </w:r>
      <w:r>
        <w:rPr>
          <w:rFonts w:ascii="Times New Roman" w:hAnsi="Times New Roman"/>
          <w:sz w:val="24"/>
          <w:szCs w:val="24"/>
        </w:rPr>
        <w:t xml:space="preserve"> </w:t>
      </w:r>
      <w:r w:rsidRPr="00D5255A">
        <w:rPr>
          <w:rFonts w:ascii="Times New Roman" w:hAnsi="Times New Roman"/>
          <w:sz w:val="24"/>
          <w:szCs w:val="24"/>
        </w:rPr>
        <w:t>for ∆TG</w:t>
      </w:r>
      <w:r>
        <w:rPr>
          <w:rFonts w:ascii="Times New Roman" w:hAnsi="Times New Roman"/>
          <w:sz w:val="24"/>
          <w:szCs w:val="24"/>
        </w:rPr>
        <w:t xml:space="preserve"> (</w:t>
      </w:r>
      <w:r w:rsidRPr="00D5255A">
        <w:rPr>
          <w:rFonts w:ascii="Times New Roman" w:hAnsi="Times New Roman"/>
          <w:sz w:val="24"/>
          <w:szCs w:val="24"/>
        </w:rPr>
        <w:t>β=</w:t>
      </w:r>
      <w:r w:rsidRPr="00AD4E04">
        <w:rPr>
          <w:rFonts w:ascii="Times New Roman" w:hAnsi="Times New Roman"/>
          <w:sz w:val="24"/>
          <w:szCs w:val="24"/>
        </w:rPr>
        <w:t>0.0</w:t>
      </w:r>
      <w:r>
        <w:rPr>
          <w:rFonts w:ascii="Times New Roman" w:hAnsi="Times New Roman"/>
          <w:sz w:val="24"/>
          <w:szCs w:val="24"/>
        </w:rPr>
        <w:t xml:space="preserve">09 </w:t>
      </w:r>
      <w:r w:rsidRPr="00D5255A">
        <w:rPr>
          <w:rFonts w:ascii="Times New Roman" w:hAnsi="Times New Roman"/>
          <w:sz w:val="24"/>
          <w:szCs w:val="24"/>
        </w:rPr>
        <w:t>mmol/l/</w:t>
      </w:r>
      <w:proofErr w:type="spellStart"/>
      <w:r w:rsidRPr="00D5255A">
        <w:rPr>
          <w:rFonts w:ascii="Times New Roman" w:hAnsi="Times New Roman"/>
          <w:sz w:val="24"/>
          <w:szCs w:val="24"/>
        </w:rPr>
        <w:t>yr</w:t>
      </w:r>
      <w:proofErr w:type="spellEnd"/>
      <w:r>
        <w:rPr>
          <w:rFonts w:ascii="Times New Roman" w:hAnsi="Times New Roman"/>
          <w:sz w:val="24"/>
          <w:szCs w:val="24"/>
        </w:rPr>
        <w:t>; SE=</w:t>
      </w:r>
      <w:r w:rsidRPr="00AD4E04">
        <w:rPr>
          <w:rFonts w:ascii="Times New Roman" w:hAnsi="Times New Roman"/>
          <w:sz w:val="24"/>
          <w:szCs w:val="24"/>
        </w:rPr>
        <w:t>0.00</w:t>
      </w:r>
      <w:r>
        <w:rPr>
          <w:rFonts w:ascii="Times New Roman" w:hAnsi="Times New Roman"/>
          <w:sz w:val="24"/>
          <w:szCs w:val="24"/>
        </w:rPr>
        <w:t xml:space="preserve">1; 95% CI=0.007 to </w:t>
      </w:r>
      <w:r w:rsidRPr="00AD4E04">
        <w:rPr>
          <w:rFonts w:ascii="Times New Roman" w:hAnsi="Times New Roman"/>
          <w:sz w:val="24"/>
          <w:szCs w:val="24"/>
        </w:rPr>
        <w:t>0.01</w:t>
      </w:r>
      <w:r>
        <w:rPr>
          <w:rFonts w:ascii="Times New Roman" w:hAnsi="Times New Roman"/>
          <w:sz w:val="24"/>
          <w:szCs w:val="24"/>
        </w:rPr>
        <w:t xml:space="preserve">2; </w:t>
      </w:r>
      <w:r w:rsidRPr="00227D0A">
        <w:rPr>
          <w:rFonts w:ascii="Times New Roman" w:hAnsi="Times New Roman"/>
          <w:i/>
          <w:sz w:val="24"/>
          <w:szCs w:val="24"/>
        </w:rPr>
        <w:t>P</w:t>
      </w:r>
      <w:r>
        <w:rPr>
          <w:rFonts w:ascii="Times New Roman" w:hAnsi="Times New Roman"/>
          <w:sz w:val="24"/>
          <w:szCs w:val="24"/>
        </w:rPr>
        <w:t>=1</w:t>
      </w:r>
      <w:r w:rsidRPr="00AD4E04">
        <w:rPr>
          <w:rFonts w:ascii="Times New Roman" w:hAnsi="Times New Roman"/>
          <w:sz w:val="24"/>
          <w:szCs w:val="24"/>
        </w:rPr>
        <w:t>.</w:t>
      </w:r>
      <w:r>
        <w:rPr>
          <w:rFonts w:ascii="Times New Roman" w:hAnsi="Times New Roman"/>
          <w:sz w:val="24"/>
          <w:szCs w:val="24"/>
        </w:rPr>
        <w:t>4</w:t>
      </w:r>
      <w:r w:rsidRPr="00AD4E04">
        <w:rPr>
          <w:rFonts w:ascii="Times New Roman" w:hAnsi="Times New Roman"/>
          <w:sz w:val="24"/>
          <w:szCs w:val="24"/>
        </w:rPr>
        <w:t>×10</w:t>
      </w:r>
      <w:r w:rsidRPr="00227D0A">
        <w:rPr>
          <w:rFonts w:ascii="Times New Roman" w:hAnsi="Times New Roman"/>
          <w:sz w:val="24"/>
          <w:szCs w:val="24"/>
          <w:vertAlign w:val="superscript"/>
        </w:rPr>
        <w:t>-1</w:t>
      </w:r>
      <w:r>
        <w:rPr>
          <w:rFonts w:ascii="Times New Roman" w:hAnsi="Times New Roman"/>
          <w:sz w:val="24"/>
          <w:szCs w:val="24"/>
          <w:vertAlign w:val="superscript"/>
        </w:rPr>
        <w:t>0</w:t>
      </w:r>
      <w:r>
        <w:rPr>
          <w:rFonts w:ascii="Times New Roman" w:hAnsi="Times New Roman"/>
          <w:sz w:val="24"/>
          <w:szCs w:val="24"/>
        </w:rPr>
        <w:t>) reached genome-wide significance (</w:t>
      </w:r>
      <w:r w:rsidRPr="00227D0A">
        <w:rPr>
          <w:rFonts w:ascii="Times New Roman" w:hAnsi="Times New Roman"/>
          <w:i/>
          <w:sz w:val="24"/>
          <w:szCs w:val="24"/>
        </w:rPr>
        <w:t>P</w:t>
      </w:r>
      <w:r>
        <w:rPr>
          <w:rFonts w:ascii="Times New Roman" w:hAnsi="Times New Roman"/>
          <w:sz w:val="24"/>
          <w:szCs w:val="24"/>
        </w:rPr>
        <w:t>&lt;5</w:t>
      </w:r>
      <w:r w:rsidRPr="00AD4E04">
        <w:rPr>
          <w:rFonts w:ascii="Times New Roman" w:hAnsi="Times New Roman"/>
          <w:sz w:val="24"/>
          <w:szCs w:val="24"/>
        </w:rPr>
        <w:t>×10</w:t>
      </w:r>
      <w:r>
        <w:rPr>
          <w:rFonts w:ascii="Times New Roman" w:hAnsi="Times New Roman"/>
          <w:sz w:val="24"/>
          <w:szCs w:val="24"/>
          <w:vertAlign w:val="superscript"/>
        </w:rPr>
        <w:t>-8</w:t>
      </w:r>
      <w:r>
        <w:rPr>
          <w:rFonts w:ascii="Times New Roman" w:hAnsi="Times New Roman"/>
          <w:sz w:val="24"/>
          <w:szCs w:val="24"/>
        </w:rPr>
        <w:t>). A</w:t>
      </w:r>
      <w:r w:rsidRPr="00D5255A">
        <w:rPr>
          <w:rFonts w:ascii="Times New Roman" w:hAnsi="Times New Roman"/>
          <w:sz w:val="24"/>
          <w:szCs w:val="24"/>
        </w:rPr>
        <w:t>ll associations remain</w:t>
      </w:r>
      <w:r>
        <w:rPr>
          <w:rFonts w:ascii="Times New Roman" w:hAnsi="Times New Roman"/>
          <w:sz w:val="24"/>
          <w:szCs w:val="24"/>
        </w:rPr>
        <w:t>ed</w:t>
      </w:r>
      <w:r w:rsidRPr="00D5255A">
        <w:rPr>
          <w:rFonts w:ascii="Times New Roman" w:hAnsi="Times New Roman"/>
          <w:sz w:val="24"/>
          <w:szCs w:val="24"/>
        </w:rPr>
        <w:t xml:space="preserve"> </w:t>
      </w:r>
      <w:r>
        <w:rPr>
          <w:rFonts w:ascii="Times New Roman" w:hAnsi="Times New Roman"/>
          <w:sz w:val="24"/>
          <w:szCs w:val="24"/>
        </w:rPr>
        <w:t xml:space="preserve">associated with lipid level changes with </w:t>
      </w:r>
      <w:r w:rsidRPr="00D5255A">
        <w:rPr>
          <w:rFonts w:ascii="Times New Roman" w:hAnsi="Times New Roman"/>
          <w:i/>
          <w:sz w:val="24"/>
          <w:szCs w:val="24"/>
        </w:rPr>
        <w:t>P</w:t>
      </w:r>
      <w:r>
        <w:rPr>
          <w:rFonts w:ascii="Times New Roman" w:hAnsi="Times New Roman"/>
          <w:sz w:val="24"/>
          <w:szCs w:val="24"/>
        </w:rPr>
        <w:t>&lt;0.05</w:t>
      </w:r>
      <w:r w:rsidRPr="00D5255A">
        <w:rPr>
          <w:rFonts w:ascii="Times New Roman" w:hAnsi="Times New Roman"/>
          <w:sz w:val="24"/>
          <w:szCs w:val="24"/>
        </w:rPr>
        <w:t xml:space="preserve"> after removing the discovery cohort</w:t>
      </w:r>
      <w:r>
        <w:rPr>
          <w:rFonts w:ascii="Times New Roman" w:hAnsi="Times New Roman"/>
          <w:sz w:val="24"/>
          <w:szCs w:val="24"/>
        </w:rPr>
        <w:t>, GLACIER, from the meta-analysis (Table 2).</w:t>
      </w:r>
    </w:p>
    <w:p w:rsidR="00210106" w:rsidRPr="00265DD9" w:rsidRDefault="00210106" w:rsidP="00265DD9">
      <w:pPr>
        <w:spacing w:after="0" w:line="480" w:lineRule="auto"/>
        <w:jc w:val="both"/>
        <w:rPr>
          <w:rFonts w:ascii="Times New Roman" w:hAnsi="Times New Roman"/>
          <w:i/>
          <w:sz w:val="24"/>
          <w:szCs w:val="24"/>
        </w:rPr>
      </w:pPr>
      <w:r w:rsidRPr="00303AA5">
        <w:rPr>
          <w:rFonts w:ascii="Times New Roman" w:hAnsi="Times New Roman"/>
          <w:i/>
          <w:sz w:val="24"/>
          <w:szCs w:val="24"/>
        </w:rPr>
        <w:lastRenderedPageBreak/>
        <w:t xml:space="preserve">(Table </w:t>
      </w:r>
      <w:r>
        <w:rPr>
          <w:rFonts w:ascii="Times New Roman" w:hAnsi="Times New Roman"/>
          <w:i/>
          <w:sz w:val="24"/>
          <w:szCs w:val="24"/>
        </w:rPr>
        <w:t>2</w:t>
      </w:r>
      <w:r w:rsidRPr="00303AA5">
        <w:rPr>
          <w:rFonts w:ascii="Times New Roman" w:hAnsi="Times New Roman"/>
          <w:i/>
          <w:sz w:val="24"/>
          <w:szCs w:val="24"/>
        </w:rPr>
        <w:t xml:space="preserve"> here)</w:t>
      </w:r>
    </w:p>
    <w:p w:rsidR="00210106" w:rsidRPr="00D5255A" w:rsidRDefault="00210106" w:rsidP="00336117">
      <w:pPr>
        <w:spacing w:after="0" w:line="480" w:lineRule="auto"/>
        <w:rPr>
          <w:rFonts w:ascii="Times New Roman" w:hAnsi="Times New Roman"/>
          <w:sz w:val="24"/>
          <w:szCs w:val="24"/>
        </w:rPr>
      </w:pPr>
    </w:p>
    <w:p w:rsidR="00210106" w:rsidRPr="00D5255A" w:rsidRDefault="00210106" w:rsidP="00D1110C">
      <w:pPr>
        <w:pStyle w:val="Heading2"/>
        <w:spacing w:before="0" w:line="480" w:lineRule="auto"/>
        <w:rPr>
          <w:rFonts w:ascii="Times New Roman" w:hAnsi="Times New Roman" w:cs="Times New Roman"/>
          <w:color w:val="auto"/>
          <w:sz w:val="24"/>
          <w:szCs w:val="24"/>
        </w:rPr>
      </w:pPr>
      <w:r w:rsidRPr="00D5255A">
        <w:rPr>
          <w:rFonts w:ascii="Times New Roman" w:hAnsi="Times New Roman" w:cs="Times New Roman"/>
          <w:color w:val="auto"/>
          <w:sz w:val="24"/>
          <w:szCs w:val="24"/>
        </w:rPr>
        <w:t>Associations with CAD, blood pressure and T2D</w:t>
      </w:r>
    </w:p>
    <w:p w:rsidR="00210106" w:rsidRPr="00D5255A" w:rsidRDefault="00210106" w:rsidP="00C8633B">
      <w:pPr>
        <w:spacing w:after="0" w:line="480" w:lineRule="auto"/>
        <w:ind w:firstLine="360"/>
        <w:jc w:val="both"/>
        <w:rPr>
          <w:rFonts w:ascii="Times New Roman" w:hAnsi="Times New Roman"/>
          <w:sz w:val="24"/>
          <w:szCs w:val="24"/>
        </w:rPr>
      </w:pPr>
      <w:r w:rsidRPr="00D5255A">
        <w:rPr>
          <w:rFonts w:ascii="Times New Roman" w:hAnsi="Times New Roman"/>
          <w:sz w:val="24"/>
          <w:szCs w:val="24"/>
        </w:rPr>
        <w:t xml:space="preserve">When conducting the CARDIoGRAMplusC4D </w:t>
      </w:r>
      <w:r w:rsidRPr="00D5255A">
        <w:rPr>
          <w:rFonts w:ascii="Times New Roman" w:hAnsi="Times New Roman"/>
          <w:i/>
          <w:sz w:val="24"/>
          <w:szCs w:val="24"/>
        </w:rPr>
        <w:t>in silico</w:t>
      </w:r>
      <w:r w:rsidRPr="00D5255A">
        <w:rPr>
          <w:rFonts w:ascii="Times New Roman" w:hAnsi="Times New Roman"/>
          <w:sz w:val="24"/>
          <w:szCs w:val="24"/>
        </w:rPr>
        <w:t xml:space="preserve"> look-up for the 10 top loci (Table </w:t>
      </w:r>
      <w:r>
        <w:rPr>
          <w:rFonts w:ascii="Times New Roman" w:hAnsi="Times New Roman"/>
          <w:sz w:val="24"/>
          <w:szCs w:val="24"/>
        </w:rPr>
        <w:t>3</w:t>
      </w:r>
      <w:r w:rsidRPr="00D5255A">
        <w:rPr>
          <w:rFonts w:ascii="Times New Roman" w:hAnsi="Times New Roman"/>
          <w:sz w:val="24"/>
          <w:szCs w:val="24"/>
        </w:rPr>
        <w:t xml:space="preserve">), we allocated these to three distinct categories of association signals: </w:t>
      </w:r>
    </w:p>
    <w:p w:rsidR="00210106" w:rsidRPr="00D5255A" w:rsidRDefault="00210106" w:rsidP="00C8633B">
      <w:pPr>
        <w:pStyle w:val="ListParagraph"/>
        <w:numPr>
          <w:ilvl w:val="0"/>
          <w:numId w:val="1"/>
        </w:numPr>
        <w:spacing w:after="0" w:line="480" w:lineRule="auto"/>
        <w:jc w:val="both"/>
        <w:rPr>
          <w:rFonts w:ascii="Times New Roman" w:hAnsi="Times New Roman"/>
          <w:sz w:val="24"/>
          <w:szCs w:val="24"/>
        </w:rPr>
      </w:pPr>
      <w:r w:rsidRPr="00D5255A">
        <w:rPr>
          <w:rFonts w:ascii="Times New Roman" w:hAnsi="Times New Roman"/>
          <w:sz w:val="24"/>
          <w:szCs w:val="24"/>
        </w:rPr>
        <w:t>Three loci (</w:t>
      </w:r>
      <w:r w:rsidRPr="00D5255A">
        <w:rPr>
          <w:rFonts w:ascii="Times New Roman" w:hAnsi="Times New Roman"/>
          <w:i/>
          <w:sz w:val="24"/>
          <w:szCs w:val="24"/>
        </w:rPr>
        <w:t>APOE/C1</w:t>
      </w:r>
      <w:r w:rsidRPr="00D5255A">
        <w:rPr>
          <w:rFonts w:ascii="Times New Roman" w:hAnsi="Times New Roman"/>
          <w:sz w:val="24"/>
          <w:szCs w:val="24"/>
        </w:rPr>
        <w:t xml:space="preserve">, </w:t>
      </w:r>
      <w:r w:rsidRPr="00D5255A">
        <w:rPr>
          <w:rFonts w:ascii="Times New Roman" w:hAnsi="Times New Roman"/>
          <w:i/>
          <w:sz w:val="24"/>
          <w:szCs w:val="24"/>
        </w:rPr>
        <w:t>TRIB1</w:t>
      </w:r>
      <w:r w:rsidRPr="00D5255A">
        <w:rPr>
          <w:rFonts w:ascii="Times New Roman" w:hAnsi="Times New Roman"/>
          <w:sz w:val="24"/>
          <w:szCs w:val="24"/>
        </w:rPr>
        <w:t xml:space="preserve">, </w:t>
      </w:r>
      <w:r w:rsidRPr="00D5255A">
        <w:rPr>
          <w:rFonts w:ascii="Times New Roman" w:hAnsi="Times New Roman"/>
          <w:i/>
          <w:sz w:val="24"/>
          <w:szCs w:val="24"/>
        </w:rPr>
        <w:t>ZNF159/APOA5/A1</w:t>
      </w:r>
      <w:r w:rsidRPr="00D5255A">
        <w:rPr>
          <w:rFonts w:ascii="Times New Roman" w:hAnsi="Times New Roman"/>
          <w:sz w:val="24"/>
          <w:szCs w:val="24"/>
        </w:rPr>
        <w:t>) that have been previously reported for their associations with both lipid changes</w:t>
      </w:r>
      <w:r>
        <w:rPr>
          <w:rFonts w:ascii="Times New Roman" w:hAnsi="Times New Roman"/>
          <w:sz w:val="24"/>
          <w:szCs w:val="24"/>
        </w:rPr>
        <w:t xml:space="preserve"> </w:t>
      </w:r>
      <w:r w:rsidRPr="00D5255A">
        <w:rPr>
          <w:rFonts w:ascii="Times New Roman" w:hAnsi="Times New Roman"/>
          <w:noProof/>
          <w:sz w:val="24"/>
          <w:szCs w:val="24"/>
        </w:rPr>
        <w:t>(8)</w:t>
      </w:r>
      <w:r w:rsidRPr="00D5255A">
        <w:rPr>
          <w:rFonts w:ascii="Times New Roman" w:hAnsi="Times New Roman"/>
          <w:sz w:val="24"/>
          <w:szCs w:val="24"/>
        </w:rPr>
        <w:t xml:space="preserve"> and CAD</w:t>
      </w:r>
      <w:r>
        <w:rPr>
          <w:rFonts w:ascii="Times New Roman" w:hAnsi="Times New Roman"/>
          <w:sz w:val="24"/>
          <w:szCs w:val="24"/>
        </w:rPr>
        <w:t xml:space="preserve"> </w:t>
      </w:r>
      <w:r w:rsidRPr="00D5255A">
        <w:rPr>
          <w:rFonts w:ascii="Times New Roman" w:hAnsi="Times New Roman"/>
          <w:noProof/>
          <w:sz w:val="24"/>
          <w:szCs w:val="24"/>
        </w:rPr>
        <w:t>(5)</w:t>
      </w:r>
      <w:r w:rsidRPr="00D5255A">
        <w:rPr>
          <w:rFonts w:ascii="Times New Roman" w:hAnsi="Times New Roman"/>
          <w:sz w:val="24"/>
          <w:szCs w:val="24"/>
        </w:rPr>
        <w:t xml:space="preserve"> </w:t>
      </w:r>
    </w:p>
    <w:p w:rsidR="00210106" w:rsidRPr="00D5255A" w:rsidRDefault="00210106" w:rsidP="00C8633B">
      <w:pPr>
        <w:pStyle w:val="ListParagraph"/>
        <w:numPr>
          <w:ilvl w:val="0"/>
          <w:numId w:val="1"/>
        </w:numPr>
        <w:spacing w:after="0" w:line="480" w:lineRule="auto"/>
        <w:jc w:val="both"/>
        <w:rPr>
          <w:rFonts w:ascii="Times New Roman" w:hAnsi="Times New Roman"/>
          <w:sz w:val="24"/>
          <w:szCs w:val="24"/>
        </w:rPr>
      </w:pPr>
      <w:r w:rsidRPr="00D5255A">
        <w:rPr>
          <w:rFonts w:ascii="Times New Roman" w:hAnsi="Times New Roman"/>
          <w:sz w:val="24"/>
          <w:szCs w:val="24"/>
        </w:rPr>
        <w:t>Loci not previously associated with lipid changes, but either associated with (</w:t>
      </w:r>
      <w:r w:rsidRPr="00D5255A">
        <w:rPr>
          <w:rFonts w:ascii="Times New Roman" w:hAnsi="Times New Roman"/>
          <w:i/>
          <w:sz w:val="24"/>
          <w:szCs w:val="24"/>
        </w:rPr>
        <w:t>P</w:t>
      </w:r>
      <w:r w:rsidRPr="00D5255A">
        <w:rPr>
          <w:rFonts w:ascii="Times New Roman" w:hAnsi="Times New Roman"/>
          <w:sz w:val="24"/>
          <w:szCs w:val="24"/>
        </w:rPr>
        <w:t>&lt;5×10</w:t>
      </w:r>
      <w:r w:rsidRPr="00D5255A">
        <w:rPr>
          <w:rFonts w:ascii="Times New Roman" w:hAnsi="Times New Roman"/>
          <w:sz w:val="24"/>
          <w:szCs w:val="24"/>
          <w:vertAlign w:val="superscript"/>
        </w:rPr>
        <w:t>-8</w:t>
      </w:r>
      <w:r w:rsidRPr="00D5255A">
        <w:rPr>
          <w:rFonts w:ascii="Times New Roman" w:hAnsi="Times New Roman"/>
          <w:sz w:val="24"/>
          <w:szCs w:val="24"/>
        </w:rPr>
        <w:t xml:space="preserve"> for </w:t>
      </w:r>
      <w:r w:rsidRPr="00D5255A">
        <w:rPr>
          <w:rFonts w:ascii="Times New Roman" w:hAnsi="Times New Roman"/>
          <w:i/>
          <w:sz w:val="24"/>
          <w:szCs w:val="24"/>
        </w:rPr>
        <w:t>LPL/CSGALNACT</w:t>
      </w:r>
      <w:r w:rsidRPr="00D5255A">
        <w:rPr>
          <w:rFonts w:ascii="Times New Roman" w:hAnsi="Times New Roman"/>
          <w:sz w:val="24"/>
          <w:szCs w:val="24"/>
        </w:rPr>
        <w:t xml:space="preserve"> and </w:t>
      </w:r>
      <w:r w:rsidRPr="00D5255A">
        <w:rPr>
          <w:rFonts w:ascii="Times New Roman" w:hAnsi="Times New Roman"/>
          <w:i/>
          <w:sz w:val="24"/>
          <w:szCs w:val="24"/>
        </w:rPr>
        <w:t>LDLR</w:t>
      </w:r>
      <w:r w:rsidRPr="00D5255A">
        <w:rPr>
          <w:rFonts w:ascii="Times New Roman" w:hAnsi="Times New Roman"/>
          <w:sz w:val="24"/>
          <w:szCs w:val="24"/>
        </w:rPr>
        <w:t>), or not associated (</w:t>
      </w:r>
      <w:r w:rsidRPr="00D5255A">
        <w:rPr>
          <w:rFonts w:ascii="Times New Roman" w:hAnsi="Times New Roman"/>
          <w:i/>
          <w:sz w:val="24"/>
          <w:szCs w:val="24"/>
        </w:rPr>
        <w:t>P</w:t>
      </w:r>
      <w:r w:rsidRPr="00D5255A">
        <w:rPr>
          <w:rFonts w:ascii="Times New Roman" w:hAnsi="Times New Roman"/>
          <w:sz w:val="24"/>
          <w:szCs w:val="24"/>
        </w:rPr>
        <w:t xml:space="preserve">&gt;0.05 for </w:t>
      </w:r>
      <w:r w:rsidRPr="00D5255A">
        <w:rPr>
          <w:rFonts w:ascii="Times New Roman" w:hAnsi="Times New Roman"/>
          <w:i/>
          <w:sz w:val="24"/>
          <w:szCs w:val="24"/>
        </w:rPr>
        <w:t>DOCK7/ANGPTL3</w:t>
      </w:r>
      <w:r w:rsidRPr="00D5255A">
        <w:rPr>
          <w:rFonts w:ascii="Times New Roman" w:hAnsi="Times New Roman"/>
          <w:sz w:val="24"/>
          <w:szCs w:val="24"/>
        </w:rPr>
        <w:t xml:space="preserve"> and</w:t>
      </w:r>
      <w:r w:rsidRPr="00D5255A">
        <w:rPr>
          <w:rFonts w:ascii="Times New Roman" w:hAnsi="Times New Roman"/>
          <w:i/>
          <w:sz w:val="24"/>
          <w:szCs w:val="24"/>
        </w:rPr>
        <w:t xml:space="preserve"> GIPR</w:t>
      </w:r>
      <w:r w:rsidRPr="00D5255A">
        <w:rPr>
          <w:rFonts w:ascii="Times New Roman" w:hAnsi="Times New Roman"/>
          <w:sz w:val="24"/>
          <w:szCs w:val="24"/>
        </w:rPr>
        <w:t xml:space="preserve">) with CAD. </w:t>
      </w:r>
    </w:p>
    <w:p w:rsidR="00210106" w:rsidRPr="00D5255A" w:rsidRDefault="00210106" w:rsidP="003154C0">
      <w:pPr>
        <w:pStyle w:val="ListParagraph"/>
        <w:numPr>
          <w:ilvl w:val="0"/>
          <w:numId w:val="1"/>
        </w:numPr>
        <w:spacing w:after="0" w:line="480" w:lineRule="auto"/>
        <w:jc w:val="both"/>
        <w:rPr>
          <w:rFonts w:ascii="Times New Roman" w:hAnsi="Times New Roman"/>
          <w:sz w:val="24"/>
          <w:szCs w:val="24"/>
        </w:rPr>
      </w:pPr>
      <w:r w:rsidRPr="00D5255A">
        <w:rPr>
          <w:rFonts w:ascii="Times New Roman" w:hAnsi="Times New Roman"/>
          <w:sz w:val="24"/>
          <w:szCs w:val="24"/>
        </w:rPr>
        <w:t>Loci for which novel associations with both lipid changes and CAD were observed in the current meta-analysis (</w:t>
      </w:r>
      <w:r w:rsidRPr="00D5255A">
        <w:rPr>
          <w:rFonts w:ascii="Times New Roman" w:hAnsi="Times New Roman"/>
          <w:i/>
          <w:sz w:val="24"/>
          <w:szCs w:val="24"/>
        </w:rPr>
        <w:t>CAPN3</w:t>
      </w:r>
      <w:r w:rsidRPr="00D5255A">
        <w:rPr>
          <w:rFonts w:ascii="Times New Roman" w:hAnsi="Times New Roman"/>
          <w:sz w:val="24"/>
          <w:szCs w:val="24"/>
        </w:rPr>
        <w:t xml:space="preserve">, </w:t>
      </w:r>
      <w:r w:rsidRPr="00D5255A">
        <w:rPr>
          <w:rFonts w:ascii="Times New Roman" w:hAnsi="Times New Roman"/>
          <w:i/>
          <w:sz w:val="24"/>
          <w:szCs w:val="24"/>
        </w:rPr>
        <w:t>HP/HPR</w:t>
      </w:r>
      <w:r w:rsidRPr="00D5255A">
        <w:rPr>
          <w:rFonts w:ascii="Times New Roman" w:hAnsi="Times New Roman"/>
          <w:sz w:val="24"/>
          <w:szCs w:val="24"/>
        </w:rPr>
        <w:t xml:space="preserve"> and </w:t>
      </w:r>
      <w:r w:rsidRPr="00D5255A">
        <w:rPr>
          <w:rFonts w:ascii="Times New Roman" w:hAnsi="Times New Roman"/>
          <w:i/>
          <w:sz w:val="24"/>
          <w:szCs w:val="24"/>
        </w:rPr>
        <w:t>QPCTL</w:t>
      </w:r>
      <w:r w:rsidRPr="00D5255A">
        <w:rPr>
          <w:rFonts w:ascii="Times New Roman" w:hAnsi="Times New Roman"/>
          <w:sz w:val="24"/>
          <w:szCs w:val="24"/>
        </w:rPr>
        <w:t>).</w:t>
      </w:r>
    </w:p>
    <w:p w:rsidR="00210106" w:rsidRDefault="00210106" w:rsidP="00F74367">
      <w:pPr>
        <w:spacing w:after="0" w:line="480" w:lineRule="auto"/>
        <w:jc w:val="both"/>
        <w:rPr>
          <w:rFonts w:ascii="Times New Roman" w:hAnsi="Times New Roman"/>
          <w:sz w:val="24"/>
          <w:szCs w:val="24"/>
        </w:rPr>
      </w:pPr>
      <w:r w:rsidRPr="00D5255A">
        <w:rPr>
          <w:rFonts w:ascii="Times New Roman" w:hAnsi="Times New Roman"/>
          <w:sz w:val="24"/>
          <w:szCs w:val="24"/>
        </w:rPr>
        <w:t>Associations for the 10 loci in the DIAGRAM and the ICBP are shown in Table S8 and Table S9, respectively. Three loci (</w:t>
      </w:r>
      <w:r w:rsidRPr="00D5255A">
        <w:rPr>
          <w:rFonts w:ascii="Times New Roman" w:hAnsi="Times New Roman"/>
          <w:i/>
          <w:sz w:val="24"/>
          <w:szCs w:val="24"/>
        </w:rPr>
        <w:t>APOE/C1</w:t>
      </w:r>
      <w:r w:rsidRPr="00D5255A">
        <w:rPr>
          <w:rFonts w:ascii="Times New Roman" w:hAnsi="Times New Roman"/>
          <w:sz w:val="24"/>
          <w:szCs w:val="24"/>
        </w:rPr>
        <w:t>,</w:t>
      </w:r>
      <w:r w:rsidRPr="00D5255A">
        <w:rPr>
          <w:rFonts w:ascii="Times New Roman" w:hAnsi="Times New Roman"/>
          <w:i/>
          <w:sz w:val="24"/>
          <w:szCs w:val="24"/>
        </w:rPr>
        <w:t xml:space="preserve"> TRIB1</w:t>
      </w:r>
      <w:r w:rsidRPr="00D5255A">
        <w:rPr>
          <w:rFonts w:ascii="Times New Roman" w:hAnsi="Times New Roman"/>
          <w:sz w:val="24"/>
          <w:szCs w:val="24"/>
        </w:rPr>
        <w:t xml:space="preserve"> and</w:t>
      </w:r>
      <w:r w:rsidRPr="00D5255A">
        <w:rPr>
          <w:rFonts w:ascii="Times New Roman" w:hAnsi="Times New Roman"/>
          <w:i/>
          <w:sz w:val="24"/>
          <w:szCs w:val="24"/>
        </w:rPr>
        <w:t xml:space="preserve"> CAPN3</w:t>
      </w:r>
      <w:r w:rsidRPr="00D5255A">
        <w:rPr>
          <w:rFonts w:ascii="Times New Roman" w:hAnsi="Times New Roman"/>
          <w:sz w:val="24"/>
          <w:szCs w:val="24"/>
        </w:rPr>
        <w:t xml:space="preserve">) show </w:t>
      </w:r>
      <w:r>
        <w:rPr>
          <w:rFonts w:ascii="Times New Roman" w:hAnsi="Times New Roman"/>
          <w:sz w:val="24"/>
          <w:szCs w:val="24"/>
        </w:rPr>
        <w:t>suggestive</w:t>
      </w:r>
      <w:r w:rsidRPr="00D5255A">
        <w:rPr>
          <w:rFonts w:ascii="Times New Roman" w:hAnsi="Times New Roman"/>
          <w:sz w:val="24"/>
          <w:szCs w:val="24"/>
        </w:rPr>
        <w:t xml:space="preserve"> associations with T2D (5×10</w:t>
      </w:r>
      <w:r w:rsidRPr="00D5255A">
        <w:rPr>
          <w:rFonts w:ascii="Times New Roman" w:hAnsi="Times New Roman"/>
          <w:sz w:val="24"/>
          <w:szCs w:val="24"/>
          <w:vertAlign w:val="superscript"/>
        </w:rPr>
        <w:t>-8</w:t>
      </w:r>
      <w:r w:rsidRPr="00D5255A">
        <w:rPr>
          <w:rFonts w:ascii="Times New Roman" w:hAnsi="Times New Roman"/>
          <w:sz w:val="24"/>
          <w:szCs w:val="24"/>
        </w:rPr>
        <w:t>&lt;</w:t>
      </w:r>
      <w:r w:rsidRPr="00D5255A">
        <w:rPr>
          <w:rFonts w:ascii="Times New Roman" w:hAnsi="Times New Roman"/>
          <w:i/>
          <w:sz w:val="24"/>
          <w:szCs w:val="24"/>
        </w:rPr>
        <w:t>P</w:t>
      </w:r>
      <w:r w:rsidRPr="00D5255A">
        <w:rPr>
          <w:rFonts w:ascii="Times New Roman" w:hAnsi="Times New Roman"/>
          <w:sz w:val="24"/>
          <w:szCs w:val="24"/>
        </w:rPr>
        <w:t>&lt;</w:t>
      </w:r>
      <w:r>
        <w:rPr>
          <w:rFonts w:ascii="Times New Roman" w:hAnsi="Times New Roman"/>
          <w:sz w:val="24"/>
          <w:szCs w:val="24"/>
        </w:rPr>
        <w:t>1</w:t>
      </w:r>
      <w:r w:rsidRPr="00D5255A">
        <w:rPr>
          <w:rFonts w:ascii="Times New Roman" w:hAnsi="Times New Roman"/>
          <w:sz w:val="24"/>
          <w:szCs w:val="24"/>
        </w:rPr>
        <w:t>×10</w:t>
      </w:r>
      <w:r w:rsidRPr="00D5255A">
        <w:rPr>
          <w:rFonts w:ascii="Times New Roman" w:hAnsi="Times New Roman"/>
          <w:sz w:val="24"/>
          <w:szCs w:val="24"/>
          <w:vertAlign w:val="superscript"/>
        </w:rPr>
        <w:t>-3</w:t>
      </w:r>
      <w:r w:rsidRPr="00D5255A">
        <w:rPr>
          <w:rFonts w:ascii="Times New Roman" w:hAnsi="Times New Roman"/>
          <w:sz w:val="24"/>
          <w:szCs w:val="24"/>
        </w:rPr>
        <w:t>), while two loci (</w:t>
      </w:r>
      <w:r w:rsidRPr="00D5255A">
        <w:rPr>
          <w:rFonts w:ascii="Times New Roman" w:hAnsi="Times New Roman"/>
          <w:i/>
          <w:sz w:val="24"/>
          <w:szCs w:val="24"/>
        </w:rPr>
        <w:t>CAPN3</w:t>
      </w:r>
      <w:r w:rsidRPr="00D5255A">
        <w:rPr>
          <w:rFonts w:ascii="Times New Roman" w:hAnsi="Times New Roman"/>
          <w:sz w:val="24"/>
          <w:szCs w:val="24"/>
        </w:rPr>
        <w:t xml:space="preserve"> and</w:t>
      </w:r>
      <w:r w:rsidRPr="00D5255A">
        <w:rPr>
          <w:rFonts w:ascii="Times New Roman" w:hAnsi="Times New Roman"/>
          <w:i/>
          <w:sz w:val="24"/>
          <w:szCs w:val="24"/>
        </w:rPr>
        <w:t xml:space="preserve"> DOCK7/ANGPTL3</w:t>
      </w:r>
      <w:r w:rsidRPr="00D5255A">
        <w:rPr>
          <w:rFonts w:ascii="Times New Roman" w:hAnsi="Times New Roman"/>
          <w:sz w:val="24"/>
          <w:szCs w:val="24"/>
        </w:rPr>
        <w:t xml:space="preserve">) show </w:t>
      </w:r>
      <w:r>
        <w:rPr>
          <w:rFonts w:ascii="Times New Roman" w:hAnsi="Times New Roman"/>
          <w:sz w:val="24"/>
          <w:szCs w:val="24"/>
        </w:rPr>
        <w:t>suggestive</w:t>
      </w:r>
      <w:r w:rsidRPr="00D5255A">
        <w:rPr>
          <w:rFonts w:ascii="Times New Roman" w:hAnsi="Times New Roman"/>
          <w:sz w:val="24"/>
          <w:szCs w:val="24"/>
        </w:rPr>
        <w:t xml:space="preserve"> associations with systolic blood pressure (</w:t>
      </w:r>
      <w:r w:rsidRPr="00D5255A">
        <w:rPr>
          <w:rFonts w:ascii="Times New Roman" w:hAnsi="Times New Roman"/>
          <w:i/>
          <w:sz w:val="24"/>
          <w:szCs w:val="24"/>
        </w:rPr>
        <w:t>P</w:t>
      </w:r>
      <w:r w:rsidRPr="00D5255A">
        <w:rPr>
          <w:rFonts w:ascii="Times New Roman" w:hAnsi="Times New Roman"/>
          <w:sz w:val="24"/>
          <w:szCs w:val="24"/>
        </w:rPr>
        <w:t>~7×10</w:t>
      </w:r>
      <w:r w:rsidRPr="00D5255A">
        <w:rPr>
          <w:rFonts w:ascii="Times New Roman" w:hAnsi="Times New Roman"/>
          <w:sz w:val="24"/>
          <w:szCs w:val="24"/>
          <w:vertAlign w:val="superscript"/>
        </w:rPr>
        <w:t>-3</w:t>
      </w:r>
      <w:r w:rsidRPr="00D5255A">
        <w:rPr>
          <w:rFonts w:ascii="Times New Roman" w:hAnsi="Times New Roman"/>
          <w:sz w:val="24"/>
          <w:szCs w:val="24"/>
        </w:rPr>
        <w:t>).</w:t>
      </w:r>
    </w:p>
    <w:p w:rsidR="00210106" w:rsidRPr="00303AA5" w:rsidRDefault="00210106" w:rsidP="00F74367">
      <w:pPr>
        <w:spacing w:after="0" w:line="480" w:lineRule="auto"/>
        <w:jc w:val="both"/>
        <w:rPr>
          <w:rFonts w:ascii="Times New Roman" w:hAnsi="Times New Roman"/>
          <w:i/>
          <w:sz w:val="24"/>
          <w:szCs w:val="24"/>
        </w:rPr>
      </w:pPr>
      <w:r w:rsidRPr="00303AA5">
        <w:rPr>
          <w:rFonts w:ascii="Times New Roman" w:hAnsi="Times New Roman"/>
          <w:i/>
          <w:sz w:val="24"/>
          <w:szCs w:val="24"/>
        </w:rPr>
        <w:t xml:space="preserve">(Table </w:t>
      </w:r>
      <w:r>
        <w:rPr>
          <w:rFonts w:ascii="Times New Roman" w:hAnsi="Times New Roman"/>
          <w:i/>
          <w:sz w:val="24"/>
          <w:szCs w:val="24"/>
        </w:rPr>
        <w:t>3</w:t>
      </w:r>
      <w:r w:rsidRPr="00303AA5">
        <w:rPr>
          <w:rFonts w:ascii="Times New Roman" w:hAnsi="Times New Roman"/>
          <w:i/>
          <w:sz w:val="24"/>
          <w:szCs w:val="24"/>
        </w:rPr>
        <w:t xml:space="preserve"> here)</w:t>
      </w:r>
    </w:p>
    <w:p w:rsidR="00210106" w:rsidRPr="00D5255A" w:rsidRDefault="00210106" w:rsidP="00D1110C">
      <w:pPr>
        <w:spacing w:after="0" w:line="480" w:lineRule="auto"/>
        <w:rPr>
          <w:rFonts w:ascii="Times New Roman" w:hAnsi="Times New Roman"/>
          <w:sz w:val="24"/>
          <w:szCs w:val="24"/>
        </w:rPr>
      </w:pPr>
    </w:p>
    <w:p w:rsidR="00210106" w:rsidRPr="00D5255A" w:rsidRDefault="00210106" w:rsidP="00D1110C">
      <w:pPr>
        <w:pStyle w:val="Heading2"/>
        <w:spacing w:before="0" w:line="480" w:lineRule="auto"/>
        <w:rPr>
          <w:rFonts w:ascii="Times New Roman" w:hAnsi="Times New Roman" w:cs="Times New Roman"/>
          <w:color w:val="auto"/>
          <w:sz w:val="24"/>
          <w:szCs w:val="24"/>
        </w:rPr>
      </w:pPr>
      <w:r w:rsidRPr="00D5255A">
        <w:rPr>
          <w:rFonts w:ascii="Times New Roman" w:hAnsi="Times New Roman" w:cs="Times New Roman"/>
          <w:color w:val="auto"/>
          <w:sz w:val="24"/>
          <w:szCs w:val="24"/>
        </w:rPr>
        <w:t>Functional annotation</w:t>
      </w:r>
    </w:p>
    <w:p w:rsidR="00210106" w:rsidRPr="00D5255A" w:rsidRDefault="00210106" w:rsidP="00C8633B">
      <w:pPr>
        <w:spacing w:line="480" w:lineRule="auto"/>
        <w:ind w:firstLine="720"/>
        <w:jc w:val="both"/>
        <w:rPr>
          <w:rFonts w:ascii="Times New Roman" w:hAnsi="Times New Roman"/>
          <w:sz w:val="24"/>
          <w:szCs w:val="24"/>
        </w:rPr>
      </w:pPr>
      <w:r w:rsidRPr="00D5255A">
        <w:rPr>
          <w:rFonts w:ascii="Times New Roman" w:hAnsi="Times New Roman"/>
          <w:sz w:val="24"/>
          <w:szCs w:val="24"/>
        </w:rPr>
        <w:t>We functionally annotated the top SNPs and SNPs in close proximity to our top SNPs (n=11 SNPs) for the seven loci (</w:t>
      </w:r>
      <w:r w:rsidRPr="00D5255A">
        <w:rPr>
          <w:rFonts w:ascii="Times New Roman" w:hAnsi="Times New Roman"/>
          <w:i/>
          <w:sz w:val="24"/>
          <w:szCs w:val="24"/>
        </w:rPr>
        <w:t>LPL/CSGALNACT1</w:t>
      </w:r>
      <w:r w:rsidRPr="00D5255A">
        <w:rPr>
          <w:rFonts w:ascii="Times New Roman" w:hAnsi="Times New Roman"/>
          <w:sz w:val="24"/>
          <w:szCs w:val="24"/>
        </w:rPr>
        <w:t xml:space="preserve">, </w:t>
      </w:r>
      <w:r w:rsidRPr="00D5255A">
        <w:rPr>
          <w:rFonts w:ascii="Times New Roman" w:hAnsi="Times New Roman"/>
          <w:i/>
          <w:sz w:val="24"/>
          <w:szCs w:val="24"/>
        </w:rPr>
        <w:t>LDLR, DOCK7/ANGPTL3, CAPN3</w:t>
      </w:r>
      <w:r w:rsidRPr="00D5255A">
        <w:rPr>
          <w:rFonts w:ascii="Times New Roman" w:hAnsi="Times New Roman"/>
          <w:sz w:val="24"/>
          <w:szCs w:val="24"/>
        </w:rPr>
        <w:t xml:space="preserve">, </w:t>
      </w:r>
      <w:r w:rsidRPr="00D5255A">
        <w:rPr>
          <w:rFonts w:ascii="Times New Roman" w:hAnsi="Times New Roman"/>
          <w:i/>
          <w:sz w:val="24"/>
          <w:szCs w:val="24"/>
        </w:rPr>
        <w:t>HP/HPR</w:t>
      </w:r>
      <w:r w:rsidRPr="00D5255A">
        <w:rPr>
          <w:rFonts w:ascii="Times New Roman" w:hAnsi="Times New Roman"/>
          <w:sz w:val="24"/>
          <w:szCs w:val="24"/>
        </w:rPr>
        <w:t xml:space="preserve">, </w:t>
      </w:r>
      <w:r w:rsidRPr="00D5255A">
        <w:rPr>
          <w:rFonts w:ascii="Times New Roman" w:hAnsi="Times New Roman"/>
          <w:i/>
          <w:sz w:val="24"/>
          <w:szCs w:val="24"/>
        </w:rPr>
        <w:t>GIPR</w:t>
      </w:r>
      <w:r w:rsidRPr="00D5255A">
        <w:rPr>
          <w:rFonts w:ascii="Times New Roman" w:hAnsi="Times New Roman"/>
          <w:sz w:val="24"/>
          <w:szCs w:val="24"/>
        </w:rPr>
        <w:t xml:space="preserve">, </w:t>
      </w:r>
      <w:r w:rsidRPr="00D5255A">
        <w:rPr>
          <w:rFonts w:ascii="Times New Roman" w:hAnsi="Times New Roman"/>
          <w:i/>
          <w:sz w:val="24"/>
          <w:szCs w:val="24"/>
        </w:rPr>
        <w:t>QPCTL</w:t>
      </w:r>
      <w:r w:rsidRPr="00D5255A">
        <w:rPr>
          <w:rFonts w:ascii="Times New Roman" w:hAnsi="Times New Roman"/>
          <w:sz w:val="24"/>
          <w:szCs w:val="24"/>
        </w:rPr>
        <w:t xml:space="preserve">) in the second and third categories described above. All results from the functional annotation are shown in Table S10. Two SNPs, rs1050362 near </w:t>
      </w:r>
      <w:r w:rsidRPr="00D5255A">
        <w:rPr>
          <w:rFonts w:ascii="Times New Roman" w:hAnsi="Times New Roman"/>
          <w:i/>
          <w:sz w:val="24"/>
          <w:szCs w:val="24"/>
        </w:rPr>
        <w:t>HPR</w:t>
      </w:r>
      <w:r w:rsidRPr="00D5255A">
        <w:rPr>
          <w:rFonts w:ascii="Times New Roman" w:hAnsi="Times New Roman"/>
          <w:sz w:val="24"/>
          <w:szCs w:val="24"/>
        </w:rPr>
        <w:t xml:space="preserve"> and rs2341097 in </w:t>
      </w:r>
      <w:r w:rsidRPr="00D5255A">
        <w:rPr>
          <w:rFonts w:ascii="Times New Roman" w:hAnsi="Times New Roman"/>
          <w:i/>
          <w:sz w:val="24"/>
          <w:szCs w:val="24"/>
        </w:rPr>
        <w:t>SIX5</w:t>
      </w:r>
      <w:r w:rsidRPr="00D5255A">
        <w:rPr>
          <w:rFonts w:ascii="Times New Roman" w:hAnsi="Times New Roman"/>
          <w:sz w:val="24"/>
          <w:szCs w:val="24"/>
        </w:rPr>
        <w:t xml:space="preserve"> (in close proximity to </w:t>
      </w:r>
      <w:r w:rsidRPr="00D5255A">
        <w:rPr>
          <w:rFonts w:ascii="Times New Roman" w:hAnsi="Times New Roman"/>
          <w:i/>
          <w:sz w:val="24"/>
          <w:szCs w:val="24"/>
        </w:rPr>
        <w:t>QPCTL</w:t>
      </w:r>
      <w:r w:rsidRPr="00D5255A">
        <w:rPr>
          <w:rFonts w:ascii="Times New Roman" w:hAnsi="Times New Roman"/>
          <w:sz w:val="24"/>
          <w:szCs w:val="24"/>
        </w:rPr>
        <w:t xml:space="preserve"> and </w:t>
      </w:r>
      <w:r w:rsidRPr="00D5255A">
        <w:rPr>
          <w:rFonts w:ascii="Times New Roman" w:hAnsi="Times New Roman"/>
          <w:i/>
          <w:sz w:val="24"/>
          <w:szCs w:val="24"/>
        </w:rPr>
        <w:t>GIPR</w:t>
      </w:r>
      <w:r w:rsidRPr="00D5255A">
        <w:rPr>
          <w:rFonts w:ascii="Times New Roman" w:hAnsi="Times New Roman"/>
          <w:sz w:val="24"/>
          <w:szCs w:val="24"/>
        </w:rPr>
        <w:t xml:space="preserve">) overlapped with elements displaying excess constraint. Expanding the overlaps to a 501 base pair window centered on </w:t>
      </w:r>
      <w:r w:rsidRPr="00D5255A">
        <w:rPr>
          <w:rFonts w:ascii="Times New Roman" w:hAnsi="Times New Roman"/>
          <w:sz w:val="24"/>
          <w:szCs w:val="24"/>
        </w:rPr>
        <w:lastRenderedPageBreak/>
        <w:t>each SNP yielded an additional variant,</w:t>
      </w:r>
      <w:r w:rsidRPr="00D5255A">
        <w:t xml:space="preserve"> </w:t>
      </w:r>
      <w:r w:rsidRPr="00D5255A">
        <w:rPr>
          <w:rFonts w:ascii="Times New Roman" w:hAnsi="Times New Roman"/>
          <w:sz w:val="24"/>
          <w:szCs w:val="24"/>
        </w:rPr>
        <w:t xml:space="preserve">rs13282247 in </w:t>
      </w:r>
      <w:r w:rsidRPr="00D5255A">
        <w:rPr>
          <w:rFonts w:ascii="Times New Roman" w:hAnsi="Times New Roman"/>
          <w:i/>
          <w:sz w:val="24"/>
          <w:szCs w:val="24"/>
        </w:rPr>
        <w:t>LPL/CSGALNACT1</w:t>
      </w:r>
      <w:r w:rsidRPr="00D5255A">
        <w:rPr>
          <w:rFonts w:ascii="Times New Roman" w:hAnsi="Times New Roman"/>
          <w:sz w:val="24"/>
          <w:szCs w:val="24"/>
        </w:rPr>
        <w:t xml:space="preserve"> with overlapping elements. Variants rs2412710 in </w:t>
      </w:r>
      <w:r w:rsidRPr="00D5255A">
        <w:rPr>
          <w:rFonts w:ascii="Times New Roman" w:hAnsi="Times New Roman"/>
          <w:i/>
          <w:sz w:val="24"/>
          <w:szCs w:val="24"/>
        </w:rPr>
        <w:t>CAPN3</w:t>
      </w:r>
      <w:r w:rsidRPr="00D5255A">
        <w:rPr>
          <w:rFonts w:ascii="Times New Roman" w:hAnsi="Times New Roman"/>
          <w:sz w:val="24"/>
          <w:szCs w:val="24"/>
        </w:rPr>
        <w:t xml:space="preserve">, rs1050362 near </w:t>
      </w:r>
      <w:r w:rsidRPr="00D5255A">
        <w:rPr>
          <w:rFonts w:ascii="Times New Roman" w:hAnsi="Times New Roman"/>
          <w:i/>
          <w:sz w:val="24"/>
          <w:szCs w:val="24"/>
        </w:rPr>
        <w:t>HPR</w:t>
      </w:r>
      <w:r w:rsidRPr="00D5255A">
        <w:rPr>
          <w:rFonts w:ascii="Times New Roman" w:hAnsi="Times New Roman"/>
          <w:sz w:val="24"/>
          <w:szCs w:val="24"/>
        </w:rPr>
        <w:t xml:space="preserve">, rs2341097 in </w:t>
      </w:r>
      <w:r w:rsidRPr="00D5255A">
        <w:rPr>
          <w:rFonts w:ascii="Times New Roman" w:hAnsi="Times New Roman"/>
          <w:i/>
          <w:sz w:val="24"/>
          <w:szCs w:val="24"/>
        </w:rPr>
        <w:t>SIX5</w:t>
      </w:r>
      <w:r w:rsidRPr="00D5255A">
        <w:rPr>
          <w:rFonts w:ascii="Times New Roman" w:hAnsi="Times New Roman"/>
          <w:sz w:val="24"/>
          <w:szCs w:val="24"/>
        </w:rPr>
        <w:t xml:space="preserve"> and rs13282247 in </w:t>
      </w:r>
      <w:r w:rsidRPr="00D5255A">
        <w:rPr>
          <w:rFonts w:ascii="Times New Roman" w:hAnsi="Times New Roman"/>
          <w:i/>
          <w:sz w:val="24"/>
          <w:szCs w:val="24"/>
        </w:rPr>
        <w:t>LPL/CSGALNACT1</w:t>
      </w:r>
      <w:r w:rsidRPr="00D5255A">
        <w:rPr>
          <w:rFonts w:ascii="Times New Roman" w:hAnsi="Times New Roman"/>
          <w:sz w:val="24"/>
          <w:szCs w:val="24"/>
        </w:rPr>
        <w:t xml:space="preserve"> disrupt CpG-dinucleotides, potentially altering the local balance of DNA methylation and providing a common mechanism by which both variants may influence regulatory factor binding. In total, 6/11 SNPs exhibited </w:t>
      </w:r>
      <w:proofErr w:type="spellStart"/>
      <w:r w:rsidRPr="00D5255A">
        <w:rPr>
          <w:rFonts w:ascii="Times New Roman" w:hAnsi="Times New Roman"/>
          <w:sz w:val="24"/>
          <w:szCs w:val="24"/>
        </w:rPr>
        <w:t>DNaseI</w:t>
      </w:r>
      <w:proofErr w:type="spellEnd"/>
      <w:r w:rsidRPr="00D5255A">
        <w:rPr>
          <w:rFonts w:ascii="Times New Roman" w:hAnsi="Times New Roman"/>
          <w:sz w:val="24"/>
          <w:szCs w:val="24"/>
        </w:rPr>
        <w:t xml:space="preserve"> hypersensitive sites (DHS) in at least one </w:t>
      </w:r>
      <w:proofErr w:type="spellStart"/>
      <w:r w:rsidRPr="00D5255A">
        <w:rPr>
          <w:rFonts w:ascii="Times New Roman" w:hAnsi="Times New Roman"/>
          <w:sz w:val="24"/>
          <w:szCs w:val="24"/>
        </w:rPr>
        <w:t>ENCyclopedia</w:t>
      </w:r>
      <w:proofErr w:type="spellEnd"/>
      <w:r w:rsidRPr="00D5255A">
        <w:rPr>
          <w:rFonts w:ascii="Times New Roman" w:hAnsi="Times New Roman"/>
          <w:sz w:val="24"/>
          <w:szCs w:val="24"/>
        </w:rPr>
        <w:t xml:space="preserve"> Of DNA </w:t>
      </w:r>
      <w:proofErr w:type="gramStart"/>
      <w:r w:rsidRPr="00D5255A">
        <w:rPr>
          <w:rFonts w:ascii="Times New Roman" w:hAnsi="Times New Roman"/>
          <w:sz w:val="24"/>
          <w:szCs w:val="24"/>
        </w:rPr>
        <w:t>Elements  (</w:t>
      </w:r>
      <w:proofErr w:type="gramEnd"/>
      <w:r w:rsidRPr="00D5255A">
        <w:rPr>
          <w:rFonts w:ascii="Times New Roman" w:hAnsi="Times New Roman"/>
          <w:sz w:val="24"/>
          <w:szCs w:val="24"/>
        </w:rPr>
        <w:t xml:space="preserve">ENCODE) cell line, including rs2412710 </w:t>
      </w:r>
      <w:r>
        <w:rPr>
          <w:rFonts w:ascii="Times New Roman" w:hAnsi="Times New Roman"/>
          <w:sz w:val="24"/>
          <w:szCs w:val="24"/>
        </w:rPr>
        <w:t>at</w:t>
      </w:r>
      <w:r w:rsidRPr="00D5255A">
        <w:rPr>
          <w:rFonts w:ascii="Times New Roman" w:hAnsi="Times New Roman"/>
          <w:sz w:val="24"/>
          <w:szCs w:val="24"/>
        </w:rPr>
        <w:t xml:space="preserve"> </w:t>
      </w:r>
      <w:r w:rsidRPr="00D5255A">
        <w:rPr>
          <w:rFonts w:ascii="Times New Roman" w:hAnsi="Times New Roman"/>
          <w:i/>
          <w:sz w:val="24"/>
          <w:szCs w:val="24"/>
        </w:rPr>
        <w:t>CAPN3</w:t>
      </w:r>
      <w:r w:rsidRPr="00D5255A">
        <w:rPr>
          <w:rFonts w:ascii="Times New Roman" w:hAnsi="Times New Roman"/>
          <w:sz w:val="24"/>
          <w:szCs w:val="24"/>
        </w:rPr>
        <w:t xml:space="preserve">. We found a high degree of correspondence between active states, e.g. “transcription elongation” as well as “weak transcribed” and other indicators of regulatory potential such as DHS occurrence across a broad range of ENCODE cell lines. </w:t>
      </w:r>
      <w:r>
        <w:rPr>
          <w:rFonts w:ascii="Times New Roman" w:hAnsi="Times New Roman"/>
          <w:sz w:val="24"/>
          <w:szCs w:val="24"/>
        </w:rPr>
        <w:t>In the meta-analysis, some</w:t>
      </w:r>
      <w:r w:rsidRPr="00D5255A">
        <w:rPr>
          <w:rFonts w:ascii="Times New Roman" w:hAnsi="Times New Roman"/>
          <w:sz w:val="24"/>
          <w:szCs w:val="24"/>
        </w:rPr>
        <w:t xml:space="preserve"> SNPs </w:t>
      </w:r>
      <w:r>
        <w:rPr>
          <w:rFonts w:ascii="Times New Roman" w:hAnsi="Times New Roman"/>
          <w:sz w:val="24"/>
          <w:szCs w:val="24"/>
        </w:rPr>
        <w:t xml:space="preserve">that were </w:t>
      </w:r>
      <w:r w:rsidRPr="00D5255A">
        <w:rPr>
          <w:rFonts w:ascii="Times New Roman" w:hAnsi="Times New Roman"/>
          <w:sz w:val="24"/>
          <w:szCs w:val="24"/>
        </w:rPr>
        <w:t xml:space="preserve">associated with lipid changes and CAD displayed enhancer-related chromatin marks, rs2412710 at </w:t>
      </w:r>
      <w:r w:rsidRPr="00D5255A">
        <w:rPr>
          <w:rFonts w:ascii="Times New Roman" w:hAnsi="Times New Roman"/>
          <w:i/>
          <w:sz w:val="24"/>
          <w:szCs w:val="24"/>
        </w:rPr>
        <w:t>CAPN3</w:t>
      </w:r>
      <w:r w:rsidRPr="00D5255A">
        <w:rPr>
          <w:rFonts w:ascii="Times New Roman" w:hAnsi="Times New Roman"/>
          <w:sz w:val="24"/>
          <w:szCs w:val="24"/>
        </w:rPr>
        <w:t xml:space="preserve"> was indicated by a “weak enhancer” state in HepG2 cells, rs10406431 at </w:t>
      </w:r>
      <w:r w:rsidRPr="00D5255A">
        <w:rPr>
          <w:rFonts w:ascii="Times New Roman" w:hAnsi="Times New Roman"/>
          <w:i/>
          <w:sz w:val="24"/>
          <w:szCs w:val="24"/>
        </w:rPr>
        <w:t>GIPR</w:t>
      </w:r>
      <w:r w:rsidRPr="00D5255A">
        <w:rPr>
          <w:rFonts w:ascii="Times New Roman" w:hAnsi="Times New Roman"/>
          <w:sz w:val="24"/>
          <w:szCs w:val="24"/>
        </w:rPr>
        <w:t xml:space="preserve"> by “weak enhancer” in K562 cells and “repressed” in GM12878 cells and rs11668847 at </w:t>
      </w:r>
      <w:r w:rsidRPr="00D5255A">
        <w:rPr>
          <w:rFonts w:ascii="Times New Roman" w:hAnsi="Times New Roman"/>
          <w:i/>
          <w:sz w:val="24"/>
          <w:szCs w:val="24"/>
        </w:rPr>
        <w:t>QPCTL</w:t>
      </w:r>
      <w:r w:rsidRPr="00D5255A">
        <w:rPr>
          <w:rFonts w:ascii="Times New Roman" w:hAnsi="Times New Roman"/>
          <w:sz w:val="24"/>
          <w:szCs w:val="24"/>
        </w:rPr>
        <w:t xml:space="preserve"> by “strong enhancer” state in GM12878 cells. In total, 5/11 SNPs were in regions with ChIP-seq peaks. Variants rs11668847 at </w:t>
      </w:r>
      <w:r w:rsidRPr="00D5255A">
        <w:rPr>
          <w:rFonts w:ascii="Times New Roman" w:hAnsi="Times New Roman"/>
          <w:i/>
          <w:sz w:val="24"/>
          <w:szCs w:val="24"/>
        </w:rPr>
        <w:t>QPCTL,</w:t>
      </w:r>
      <w:r w:rsidRPr="00D5255A">
        <w:rPr>
          <w:rFonts w:ascii="Times New Roman" w:hAnsi="Times New Roman"/>
          <w:sz w:val="24"/>
          <w:szCs w:val="24"/>
        </w:rPr>
        <w:t xml:space="preserve"> rs10406431 at </w:t>
      </w:r>
      <w:r w:rsidRPr="00D5255A">
        <w:rPr>
          <w:rFonts w:ascii="Times New Roman" w:hAnsi="Times New Roman"/>
          <w:i/>
          <w:sz w:val="24"/>
          <w:szCs w:val="24"/>
        </w:rPr>
        <w:t>GIPR</w:t>
      </w:r>
      <w:r w:rsidRPr="00D5255A">
        <w:rPr>
          <w:rFonts w:ascii="Times New Roman" w:hAnsi="Times New Roman"/>
          <w:sz w:val="24"/>
          <w:szCs w:val="24"/>
        </w:rPr>
        <w:t xml:space="preserve">, rs17304534 at </w:t>
      </w:r>
      <w:r w:rsidRPr="00D5255A">
        <w:rPr>
          <w:rFonts w:ascii="Times New Roman" w:hAnsi="Times New Roman"/>
          <w:i/>
          <w:sz w:val="24"/>
          <w:szCs w:val="24"/>
        </w:rPr>
        <w:t>LDLR</w:t>
      </w:r>
      <w:r w:rsidRPr="00D5255A">
        <w:rPr>
          <w:rFonts w:ascii="Times New Roman" w:hAnsi="Times New Roman"/>
          <w:sz w:val="24"/>
          <w:szCs w:val="24"/>
        </w:rPr>
        <w:t xml:space="preserve">, chr1:62954723 in </w:t>
      </w:r>
      <w:r w:rsidRPr="00D5255A">
        <w:rPr>
          <w:rFonts w:ascii="Times New Roman" w:hAnsi="Times New Roman"/>
          <w:i/>
          <w:sz w:val="24"/>
          <w:szCs w:val="24"/>
        </w:rPr>
        <w:t>DOCK7/ANGPTL3</w:t>
      </w:r>
      <w:r w:rsidRPr="00D5255A">
        <w:rPr>
          <w:rFonts w:ascii="Times New Roman" w:hAnsi="Times New Roman"/>
          <w:sz w:val="24"/>
          <w:szCs w:val="24"/>
        </w:rPr>
        <w:t xml:space="preserve"> and rs13282247 at </w:t>
      </w:r>
      <w:r w:rsidRPr="00D5255A">
        <w:rPr>
          <w:rFonts w:ascii="Times New Roman" w:hAnsi="Times New Roman"/>
          <w:i/>
          <w:sz w:val="24"/>
          <w:szCs w:val="24"/>
        </w:rPr>
        <w:t>LPL/CSGALNACT1</w:t>
      </w:r>
      <w:r w:rsidRPr="00D5255A">
        <w:rPr>
          <w:rFonts w:ascii="Times New Roman" w:hAnsi="Times New Roman"/>
          <w:sz w:val="24"/>
          <w:szCs w:val="24"/>
        </w:rPr>
        <w:t xml:space="preserve"> displayed evidence for binding of multiple enhancer and gene regulation-related factors, including FOS, GATA1 and GATA3, all in the K562 cell line. The variant rs11668847 at </w:t>
      </w:r>
      <w:r w:rsidRPr="00D5255A">
        <w:rPr>
          <w:rFonts w:ascii="Times New Roman" w:hAnsi="Times New Roman"/>
          <w:i/>
          <w:sz w:val="24"/>
          <w:szCs w:val="24"/>
        </w:rPr>
        <w:t>QPCTL,</w:t>
      </w:r>
      <w:r w:rsidRPr="00D5255A">
        <w:rPr>
          <w:rFonts w:ascii="Times New Roman" w:hAnsi="Times New Roman"/>
          <w:sz w:val="24"/>
          <w:szCs w:val="24"/>
        </w:rPr>
        <w:t xml:space="preserve"> which displayed a “strong enhancer” state in GM12878 cells, displayed concomitant RNA polymerase II (POLR2A) binding.</w:t>
      </w:r>
      <w:r w:rsidRPr="00D5255A">
        <w:rPr>
          <w:rFonts w:ascii="Times New Roman" w:hAnsi="Times New Roman"/>
          <w:sz w:val="24"/>
          <w:szCs w:val="24"/>
        </w:rPr>
        <w:br w:type="page"/>
      </w:r>
    </w:p>
    <w:p w:rsidR="00210106" w:rsidRPr="00D5255A" w:rsidRDefault="00210106" w:rsidP="00D1110C">
      <w:pPr>
        <w:pStyle w:val="Heading1"/>
        <w:spacing w:line="480" w:lineRule="auto"/>
        <w:rPr>
          <w:rFonts w:ascii="Times New Roman" w:hAnsi="Times New Roman"/>
          <w:sz w:val="24"/>
          <w:szCs w:val="24"/>
        </w:rPr>
      </w:pPr>
      <w:r w:rsidRPr="00D5255A">
        <w:rPr>
          <w:rFonts w:ascii="Times New Roman" w:hAnsi="Times New Roman"/>
          <w:sz w:val="24"/>
          <w:szCs w:val="24"/>
        </w:rPr>
        <w:lastRenderedPageBreak/>
        <w:t>Discussion</w:t>
      </w:r>
    </w:p>
    <w:p w:rsidR="00210106" w:rsidRPr="00D5255A" w:rsidRDefault="00210106" w:rsidP="00C8633B">
      <w:pPr>
        <w:spacing w:after="0" w:line="480" w:lineRule="auto"/>
        <w:ind w:firstLine="720"/>
        <w:jc w:val="both"/>
        <w:rPr>
          <w:rFonts w:ascii="Times New Roman" w:hAnsi="Times New Roman"/>
          <w:sz w:val="24"/>
          <w:szCs w:val="24"/>
        </w:rPr>
      </w:pPr>
      <w:r w:rsidRPr="00D5255A">
        <w:rPr>
          <w:rFonts w:ascii="Times New Roman" w:hAnsi="Times New Roman"/>
          <w:sz w:val="24"/>
          <w:szCs w:val="24"/>
        </w:rPr>
        <w:t xml:space="preserve">We sought to discover causal loci affecting CAD risk by virtue of their associations with long-term deteriorations in blood lipid concentrations. The discovery analyses identified a SNP associated with worsening TG concentrations at the </w:t>
      </w:r>
      <w:r w:rsidRPr="00D5255A">
        <w:rPr>
          <w:rFonts w:ascii="Times New Roman" w:hAnsi="Times New Roman"/>
          <w:i/>
          <w:sz w:val="24"/>
          <w:szCs w:val="24"/>
        </w:rPr>
        <w:t>APOA1/A4/C3/A5</w:t>
      </w:r>
      <w:r w:rsidRPr="00D5255A">
        <w:rPr>
          <w:rFonts w:ascii="Times New Roman" w:hAnsi="Times New Roman"/>
          <w:sz w:val="24"/>
          <w:szCs w:val="24"/>
        </w:rPr>
        <w:t xml:space="preserve"> locus that reached genome-wide significance </w:t>
      </w:r>
      <w:r w:rsidRPr="00D5255A">
        <w:rPr>
          <w:rFonts w:ascii="Times New Roman" w:hAnsi="Times New Roman"/>
          <w:sz w:val="24"/>
        </w:rPr>
        <w:t>(</w:t>
      </w:r>
      <w:r w:rsidRPr="00D5255A">
        <w:rPr>
          <w:rFonts w:ascii="Times New Roman" w:hAnsi="Times New Roman"/>
          <w:i/>
          <w:sz w:val="24"/>
        </w:rPr>
        <w:t>P</w:t>
      </w:r>
      <w:r w:rsidRPr="00D5255A">
        <w:rPr>
          <w:rFonts w:ascii="Times New Roman" w:hAnsi="Times New Roman"/>
          <w:sz w:val="24"/>
        </w:rPr>
        <w:t>&lt;5×10</w:t>
      </w:r>
      <w:r w:rsidRPr="00D5255A">
        <w:rPr>
          <w:rFonts w:ascii="Times New Roman" w:hAnsi="Times New Roman"/>
          <w:sz w:val="24"/>
          <w:vertAlign w:val="superscript"/>
        </w:rPr>
        <w:t>-8</w:t>
      </w:r>
      <w:r w:rsidRPr="00D5255A">
        <w:rPr>
          <w:rFonts w:ascii="Times New Roman" w:hAnsi="Times New Roman"/>
          <w:sz w:val="24"/>
        </w:rPr>
        <w:t>)</w:t>
      </w:r>
      <w:r w:rsidRPr="00D5255A">
        <w:rPr>
          <w:rFonts w:ascii="Times New Roman" w:hAnsi="Times New Roman"/>
          <w:sz w:val="24"/>
          <w:szCs w:val="24"/>
        </w:rPr>
        <w:t>; a further four loci (</w:t>
      </w:r>
      <w:r w:rsidRPr="00D5255A">
        <w:rPr>
          <w:rFonts w:ascii="Times New Roman" w:hAnsi="Times New Roman"/>
          <w:i/>
          <w:sz w:val="24"/>
          <w:szCs w:val="24"/>
        </w:rPr>
        <w:t xml:space="preserve">DOCK7, BRE, KCNIP1 </w:t>
      </w:r>
      <w:r w:rsidRPr="00D5255A">
        <w:rPr>
          <w:rFonts w:ascii="Times New Roman" w:hAnsi="Times New Roman"/>
          <w:sz w:val="24"/>
          <w:szCs w:val="24"/>
        </w:rPr>
        <w:t>and</w:t>
      </w:r>
      <w:r w:rsidRPr="00D5255A">
        <w:rPr>
          <w:rFonts w:ascii="Times New Roman" w:hAnsi="Times New Roman"/>
          <w:i/>
          <w:sz w:val="24"/>
          <w:szCs w:val="24"/>
        </w:rPr>
        <w:t xml:space="preserve"> SYNE1</w:t>
      </w:r>
      <w:r w:rsidRPr="00D5255A">
        <w:rPr>
          <w:rFonts w:ascii="Times New Roman" w:hAnsi="Times New Roman"/>
          <w:sz w:val="24"/>
          <w:szCs w:val="24"/>
        </w:rPr>
        <w:t>) were associated with worsening TG at a study-wise level of statistical significance. One variant</w:t>
      </w:r>
      <w:r w:rsidRPr="00D5255A">
        <w:rPr>
          <w:rFonts w:ascii="Times New Roman" w:hAnsi="Times New Roman"/>
          <w:i/>
          <w:sz w:val="24"/>
          <w:szCs w:val="24"/>
        </w:rPr>
        <w:t xml:space="preserve"> </w:t>
      </w:r>
      <w:r w:rsidRPr="00D5255A">
        <w:rPr>
          <w:rFonts w:ascii="Times New Roman" w:hAnsi="Times New Roman"/>
          <w:sz w:val="24"/>
          <w:szCs w:val="24"/>
        </w:rPr>
        <w:t xml:space="preserve">at </w:t>
      </w:r>
      <w:r w:rsidRPr="00D5255A">
        <w:rPr>
          <w:rFonts w:ascii="Times New Roman" w:hAnsi="Times New Roman"/>
          <w:i/>
          <w:sz w:val="24"/>
          <w:szCs w:val="24"/>
        </w:rPr>
        <w:t>APOE</w:t>
      </w:r>
      <w:r w:rsidRPr="00D5255A">
        <w:rPr>
          <w:rFonts w:ascii="Times New Roman" w:hAnsi="Times New Roman"/>
          <w:sz w:val="24"/>
          <w:szCs w:val="24"/>
        </w:rPr>
        <w:t xml:space="preserve"> reached study-wise statistical significance for worsening TC in the discovery cohort. In the meta-analysis, 10 loci were associated with lipid changes, of which three were also associated with CAD. Functional annotation of these variants and those in close proximity revealed compelling evidence across a range of ENCODE cell lines that some of these loci might influence regulatory factor binding and transcription</w:t>
      </w:r>
      <w:r>
        <w:rPr>
          <w:rFonts w:ascii="Times New Roman" w:hAnsi="Times New Roman"/>
          <w:sz w:val="24"/>
          <w:szCs w:val="24"/>
        </w:rPr>
        <w:t xml:space="preserve"> factor</w:t>
      </w:r>
      <w:r w:rsidRPr="00D5255A">
        <w:rPr>
          <w:rFonts w:ascii="Times New Roman" w:hAnsi="Times New Roman"/>
          <w:sz w:val="24"/>
          <w:szCs w:val="24"/>
        </w:rPr>
        <w:t xml:space="preserve"> binding.</w:t>
      </w:r>
    </w:p>
    <w:p w:rsidR="00210106" w:rsidRPr="00D5255A" w:rsidRDefault="00210106" w:rsidP="00C8633B">
      <w:pPr>
        <w:spacing w:after="0" w:line="480" w:lineRule="auto"/>
        <w:ind w:firstLine="720"/>
        <w:jc w:val="both"/>
        <w:rPr>
          <w:rFonts w:ascii="Times New Roman" w:hAnsi="Times New Roman"/>
          <w:sz w:val="24"/>
          <w:szCs w:val="24"/>
        </w:rPr>
      </w:pPr>
      <w:r w:rsidRPr="00D5255A">
        <w:rPr>
          <w:rFonts w:ascii="Times New Roman" w:hAnsi="Times New Roman"/>
          <w:sz w:val="24"/>
          <w:szCs w:val="24"/>
        </w:rPr>
        <w:t>Of the 10 loci robustly associated with lipid changes, seven (</w:t>
      </w:r>
      <w:r w:rsidRPr="00D5255A">
        <w:rPr>
          <w:rFonts w:ascii="Times New Roman" w:hAnsi="Times New Roman"/>
          <w:i/>
          <w:sz w:val="24"/>
          <w:szCs w:val="24"/>
        </w:rPr>
        <w:t>DOCK7/ANGPTL3</w:t>
      </w:r>
      <w:r w:rsidRPr="00D5255A">
        <w:rPr>
          <w:rFonts w:ascii="Times New Roman" w:hAnsi="Times New Roman"/>
          <w:sz w:val="24"/>
          <w:szCs w:val="24"/>
        </w:rPr>
        <w:t>,</w:t>
      </w:r>
      <w:r w:rsidRPr="00D5255A">
        <w:rPr>
          <w:rFonts w:ascii="Times New Roman" w:hAnsi="Times New Roman"/>
          <w:i/>
          <w:sz w:val="24"/>
          <w:szCs w:val="24"/>
        </w:rPr>
        <w:t xml:space="preserve"> LPL/CSGALNACT</w:t>
      </w:r>
      <w:r w:rsidRPr="00D5255A">
        <w:rPr>
          <w:rFonts w:ascii="Times New Roman" w:hAnsi="Times New Roman"/>
          <w:sz w:val="24"/>
          <w:szCs w:val="24"/>
        </w:rPr>
        <w:t>,</w:t>
      </w:r>
      <w:r w:rsidRPr="00D5255A">
        <w:rPr>
          <w:rFonts w:ascii="Times New Roman" w:hAnsi="Times New Roman"/>
          <w:i/>
          <w:sz w:val="24"/>
          <w:szCs w:val="24"/>
        </w:rPr>
        <w:t xml:space="preserve"> HP/HPR</w:t>
      </w:r>
      <w:r w:rsidRPr="00D5255A">
        <w:rPr>
          <w:rFonts w:ascii="Times New Roman" w:hAnsi="Times New Roman"/>
          <w:sz w:val="24"/>
          <w:szCs w:val="24"/>
        </w:rPr>
        <w:t>,</w:t>
      </w:r>
      <w:r w:rsidRPr="00D5255A">
        <w:rPr>
          <w:rFonts w:ascii="Times New Roman" w:hAnsi="Times New Roman"/>
          <w:i/>
          <w:sz w:val="24"/>
          <w:szCs w:val="24"/>
        </w:rPr>
        <w:t xml:space="preserve"> LDLR</w:t>
      </w:r>
      <w:r w:rsidRPr="00D5255A">
        <w:rPr>
          <w:rFonts w:ascii="Times New Roman" w:hAnsi="Times New Roman"/>
          <w:sz w:val="24"/>
          <w:szCs w:val="24"/>
        </w:rPr>
        <w:t>,</w:t>
      </w:r>
      <w:r w:rsidRPr="00D5255A">
        <w:rPr>
          <w:rFonts w:ascii="Times New Roman" w:hAnsi="Times New Roman"/>
          <w:i/>
          <w:sz w:val="24"/>
          <w:szCs w:val="24"/>
        </w:rPr>
        <w:t xml:space="preserve"> APOE/C1</w:t>
      </w:r>
      <w:r w:rsidRPr="00D5255A">
        <w:rPr>
          <w:rFonts w:ascii="Times New Roman" w:hAnsi="Times New Roman"/>
          <w:sz w:val="24"/>
          <w:szCs w:val="24"/>
        </w:rPr>
        <w:t>,</w:t>
      </w:r>
      <w:r w:rsidRPr="00D5255A">
        <w:rPr>
          <w:rFonts w:ascii="Times New Roman" w:hAnsi="Times New Roman"/>
          <w:i/>
          <w:sz w:val="24"/>
          <w:szCs w:val="24"/>
        </w:rPr>
        <w:t xml:space="preserve"> DOCK7/ANGPTL3</w:t>
      </w:r>
      <w:r w:rsidRPr="00D5255A">
        <w:rPr>
          <w:rFonts w:ascii="Times New Roman" w:hAnsi="Times New Roman"/>
          <w:sz w:val="24"/>
          <w:szCs w:val="24"/>
        </w:rPr>
        <w:t>,</w:t>
      </w:r>
      <w:r w:rsidRPr="00D5255A">
        <w:rPr>
          <w:rFonts w:ascii="Times New Roman" w:hAnsi="Times New Roman"/>
          <w:i/>
          <w:sz w:val="24"/>
          <w:szCs w:val="24"/>
        </w:rPr>
        <w:t xml:space="preserve"> TRIB1</w:t>
      </w:r>
      <w:r w:rsidRPr="00D5255A">
        <w:rPr>
          <w:rFonts w:ascii="Times New Roman" w:hAnsi="Times New Roman"/>
          <w:sz w:val="24"/>
          <w:szCs w:val="24"/>
        </w:rPr>
        <w:t>,</w:t>
      </w:r>
      <w:r w:rsidRPr="00D5255A">
        <w:rPr>
          <w:rFonts w:ascii="Times New Roman" w:hAnsi="Times New Roman"/>
          <w:i/>
          <w:sz w:val="24"/>
          <w:szCs w:val="24"/>
        </w:rPr>
        <w:t xml:space="preserve"> ZNF159/APOA5/A1</w:t>
      </w:r>
      <w:r w:rsidRPr="00D5255A">
        <w:rPr>
          <w:rFonts w:ascii="Times New Roman" w:hAnsi="Times New Roman"/>
          <w:sz w:val="24"/>
          <w:szCs w:val="24"/>
        </w:rPr>
        <w:t xml:space="preserve">, </w:t>
      </w:r>
      <w:r w:rsidRPr="00D5255A">
        <w:rPr>
          <w:rFonts w:ascii="Times New Roman" w:hAnsi="Times New Roman"/>
          <w:i/>
          <w:sz w:val="24"/>
          <w:szCs w:val="24"/>
        </w:rPr>
        <w:t>CAPN3</w:t>
      </w:r>
      <w:r w:rsidRPr="00D5255A">
        <w:rPr>
          <w:rFonts w:ascii="Times New Roman" w:hAnsi="Times New Roman"/>
          <w:sz w:val="24"/>
          <w:szCs w:val="24"/>
        </w:rPr>
        <w:t xml:space="preserve">) are known genetic determinants of blood lipid levels from large-scale cross-sectional analyses </w:t>
      </w:r>
      <w:r w:rsidRPr="00D5255A">
        <w:rPr>
          <w:rFonts w:ascii="Times New Roman" w:hAnsi="Times New Roman"/>
          <w:noProof/>
          <w:sz w:val="24"/>
          <w:szCs w:val="24"/>
        </w:rPr>
        <w:t>(2, 3)</w:t>
      </w:r>
      <w:r w:rsidRPr="00D5255A">
        <w:rPr>
          <w:rFonts w:ascii="Times New Roman" w:hAnsi="Times New Roman"/>
          <w:sz w:val="24"/>
          <w:szCs w:val="24"/>
        </w:rPr>
        <w:t xml:space="preserve"> and three (</w:t>
      </w:r>
      <w:r w:rsidRPr="00D5255A">
        <w:rPr>
          <w:rFonts w:ascii="Times New Roman" w:hAnsi="Times New Roman"/>
          <w:i/>
          <w:sz w:val="24"/>
          <w:szCs w:val="24"/>
        </w:rPr>
        <w:t>APOE/C1</w:t>
      </w:r>
      <w:r w:rsidRPr="00D5255A">
        <w:rPr>
          <w:rFonts w:ascii="Times New Roman" w:hAnsi="Times New Roman"/>
          <w:sz w:val="24"/>
          <w:szCs w:val="24"/>
        </w:rPr>
        <w:t>,</w:t>
      </w:r>
      <w:r w:rsidRPr="00D5255A">
        <w:rPr>
          <w:rFonts w:ascii="Times New Roman" w:hAnsi="Times New Roman"/>
          <w:i/>
          <w:sz w:val="24"/>
          <w:szCs w:val="24"/>
        </w:rPr>
        <w:t xml:space="preserve"> TRIB1</w:t>
      </w:r>
      <w:r w:rsidRPr="00D5255A">
        <w:rPr>
          <w:rFonts w:ascii="Times New Roman" w:hAnsi="Times New Roman"/>
          <w:sz w:val="24"/>
          <w:szCs w:val="24"/>
        </w:rPr>
        <w:t>,</w:t>
      </w:r>
      <w:r w:rsidRPr="00D5255A">
        <w:rPr>
          <w:rFonts w:ascii="Times New Roman" w:hAnsi="Times New Roman"/>
          <w:i/>
          <w:sz w:val="24"/>
          <w:szCs w:val="24"/>
        </w:rPr>
        <w:t xml:space="preserve"> ZNF159/APOA5/A1</w:t>
      </w:r>
      <w:r w:rsidRPr="00D5255A">
        <w:rPr>
          <w:rFonts w:ascii="Times New Roman" w:hAnsi="Times New Roman"/>
          <w:sz w:val="24"/>
          <w:szCs w:val="24"/>
        </w:rPr>
        <w:t>) have also been previously associated with prospectively changes in blood lipid concentrations.</w:t>
      </w:r>
      <w:r w:rsidRPr="00D5255A">
        <w:rPr>
          <w:rFonts w:ascii="Times New Roman" w:hAnsi="Times New Roman"/>
          <w:noProof/>
          <w:sz w:val="24"/>
          <w:szCs w:val="24"/>
        </w:rPr>
        <w:t>(8)</w:t>
      </w:r>
      <w:r w:rsidRPr="00D5255A">
        <w:rPr>
          <w:rFonts w:ascii="Times New Roman" w:hAnsi="Times New Roman"/>
          <w:sz w:val="24"/>
          <w:szCs w:val="24"/>
        </w:rPr>
        <w:t xml:space="preserve"> In </w:t>
      </w:r>
      <w:r>
        <w:rPr>
          <w:rFonts w:ascii="Times New Roman" w:hAnsi="Times New Roman"/>
          <w:sz w:val="24"/>
          <w:szCs w:val="24"/>
        </w:rPr>
        <w:t>a</w:t>
      </w:r>
      <w:r w:rsidRPr="00D5255A">
        <w:rPr>
          <w:rFonts w:ascii="Times New Roman" w:hAnsi="Times New Roman"/>
          <w:sz w:val="24"/>
          <w:szCs w:val="24"/>
        </w:rPr>
        <w:t xml:space="preserve"> previous analyses investigating known lipid-associated loci, the rs4420638 variant at </w:t>
      </w:r>
      <w:r w:rsidRPr="00D5255A">
        <w:rPr>
          <w:rFonts w:ascii="Times New Roman" w:hAnsi="Times New Roman"/>
          <w:i/>
          <w:sz w:val="24"/>
          <w:szCs w:val="24"/>
        </w:rPr>
        <w:t>APOE</w:t>
      </w:r>
      <w:r w:rsidRPr="00D5255A">
        <w:rPr>
          <w:rFonts w:ascii="Times New Roman" w:hAnsi="Times New Roman"/>
          <w:sz w:val="24"/>
          <w:szCs w:val="24"/>
        </w:rPr>
        <w:t xml:space="preserve"> was robustly associated with TC changes.</w:t>
      </w:r>
      <w:r>
        <w:rPr>
          <w:rFonts w:ascii="Times New Roman" w:hAnsi="Times New Roman"/>
          <w:noProof/>
          <w:sz w:val="24"/>
          <w:szCs w:val="24"/>
        </w:rPr>
        <w:t>(8)</w:t>
      </w:r>
      <w:r w:rsidRPr="00D5255A">
        <w:rPr>
          <w:rFonts w:ascii="Times New Roman" w:hAnsi="Times New Roman"/>
          <w:sz w:val="24"/>
          <w:szCs w:val="24"/>
        </w:rPr>
        <w:t xml:space="preserve"> In </w:t>
      </w:r>
      <w:r>
        <w:rPr>
          <w:rFonts w:ascii="Times New Roman" w:hAnsi="Times New Roman"/>
          <w:sz w:val="24"/>
          <w:szCs w:val="24"/>
        </w:rPr>
        <w:t>the</w:t>
      </w:r>
      <w:r w:rsidRPr="00D5255A">
        <w:rPr>
          <w:rFonts w:ascii="Times New Roman" w:hAnsi="Times New Roman"/>
          <w:sz w:val="24"/>
          <w:szCs w:val="24"/>
        </w:rPr>
        <w:t xml:space="preserve"> current meta-analysis the rs7412 variant was the lead SNP in the </w:t>
      </w:r>
      <w:r w:rsidRPr="00D5255A">
        <w:rPr>
          <w:rFonts w:ascii="Times New Roman" w:hAnsi="Times New Roman"/>
          <w:i/>
          <w:sz w:val="24"/>
          <w:szCs w:val="24"/>
        </w:rPr>
        <w:t>APOE/C1</w:t>
      </w:r>
      <w:r w:rsidRPr="00D5255A">
        <w:rPr>
          <w:rFonts w:ascii="Times New Roman" w:hAnsi="Times New Roman"/>
          <w:sz w:val="24"/>
          <w:szCs w:val="24"/>
        </w:rPr>
        <w:t xml:space="preserve"> locus. This SNP defines the ε2, ε3 and ε4 status in humans, which plays a crucial role in CVD</w:t>
      </w:r>
      <w:proofErr w:type="gramStart"/>
      <w:r w:rsidRPr="00D5255A">
        <w:rPr>
          <w:rFonts w:ascii="Times New Roman" w:hAnsi="Times New Roman"/>
          <w:sz w:val="24"/>
          <w:szCs w:val="24"/>
        </w:rPr>
        <w:t>.</w:t>
      </w:r>
      <w:r>
        <w:rPr>
          <w:rFonts w:ascii="Times New Roman" w:hAnsi="Times New Roman"/>
          <w:noProof/>
          <w:sz w:val="24"/>
          <w:szCs w:val="24"/>
        </w:rPr>
        <w:t>(</w:t>
      </w:r>
      <w:proofErr w:type="gramEnd"/>
      <w:r>
        <w:rPr>
          <w:rFonts w:ascii="Times New Roman" w:hAnsi="Times New Roman"/>
          <w:noProof/>
          <w:sz w:val="24"/>
          <w:szCs w:val="24"/>
        </w:rPr>
        <w:t>33)</w:t>
      </w:r>
      <w:r w:rsidRPr="00D5255A">
        <w:rPr>
          <w:rFonts w:ascii="Times New Roman" w:hAnsi="Times New Roman"/>
          <w:sz w:val="24"/>
          <w:szCs w:val="24"/>
        </w:rPr>
        <w:t xml:space="preserve"> </w:t>
      </w:r>
      <w:r>
        <w:rPr>
          <w:rFonts w:ascii="Times New Roman" w:hAnsi="Times New Roman"/>
          <w:sz w:val="24"/>
          <w:szCs w:val="24"/>
        </w:rPr>
        <w:t>However, t</w:t>
      </w:r>
      <w:r w:rsidRPr="00D5255A">
        <w:rPr>
          <w:rFonts w:ascii="Times New Roman" w:hAnsi="Times New Roman"/>
          <w:sz w:val="24"/>
          <w:szCs w:val="24"/>
        </w:rPr>
        <w:t xml:space="preserve">he lead variant </w:t>
      </w:r>
      <w:r>
        <w:rPr>
          <w:rFonts w:ascii="Times New Roman" w:hAnsi="Times New Roman"/>
          <w:sz w:val="24"/>
          <w:szCs w:val="24"/>
        </w:rPr>
        <w:t>at</w:t>
      </w:r>
      <w:r w:rsidRPr="00D5255A">
        <w:rPr>
          <w:rFonts w:ascii="Times New Roman" w:hAnsi="Times New Roman"/>
          <w:sz w:val="24"/>
          <w:szCs w:val="24"/>
        </w:rPr>
        <w:t xml:space="preserve"> </w:t>
      </w:r>
      <w:r w:rsidRPr="00D5255A">
        <w:rPr>
          <w:rFonts w:ascii="Times New Roman" w:hAnsi="Times New Roman"/>
          <w:i/>
          <w:sz w:val="24"/>
          <w:szCs w:val="24"/>
        </w:rPr>
        <w:t>APOE</w:t>
      </w:r>
      <w:r w:rsidRPr="00D5255A">
        <w:rPr>
          <w:rFonts w:ascii="Times New Roman" w:hAnsi="Times New Roman"/>
          <w:sz w:val="24"/>
          <w:szCs w:val="24"/>
        </w:rPr>
        <w:t xml:space="preserve"> for TG changes in the discovery analysis</w:t>
      </w:r>
      <w:r>
        <w:rPr>
          <w:rFonts w:ascii="Times New Roman" w:hAnsi="Times New Roman"/>
          <w:sz w:val="24"/>
          <w:szCs w:val="24"/>
        </w:rPr>
        <w:t xml:space="preserve"> </w:t>
      </w:r>
      <w:r w:rsidRPr="00D5255A">
        <w:rPr>
          <w:rFonts w:ascii="Times New Roman" w:hAnsi="Times New Roman"/>
          <w:sz w:val="24"/>
          <w:szCs w:val="24"/>
        </w:rPr>
        <w:t xml:space="preserve">was another variant, chr19:50121999, but this variant </w:t>
      </w:r>
      <w:r>
        <w:rPr>
          <w:rFonts w:ascii="Times New Roman" w:hAnsi="Times New Roman"/>
          <w:sz w:val="24"/>
          <w:szCs w:val="24"/>
        </w:rPr>
        <w:t>was not associated with TG changes</w:t>
      </w:r>
      <w:r w:rsidRPr="00D5255A">
        <w:rPr>
          <w:rFonts w:ascii="Times New Roman" w:hAnsi="Times New Roman"/>
          <w:sz w:val="24"/>
          <w:szCs w:val="24"/>
        </w:rPr>
        <w:t xml:space="preserve"> in the meta-analysis. We discovered SNP associations with worsening lipids at seven additional loci, with three (</w:t>
      </w:r>
      <w:r w:rsidRPr="00D5255A">
        <w:rPr>
          <w:rFonts w:ascii="Times New Roman" w:hAnsi="Times New Roman"/>
          <w:i/>
          <w:sz w:val="24"/>
          <w:szCs w:val="24"/>
        </w:rPr>
        <w:t>CAPN3, HP/HPR, QPCTL</w:t>
      </w:r>
      <w:r w:rsidRPr="00D5255A">
        <w:rPr>
          <w:rFonts w:ascii="Times New Roman" w:hAnsi="Times New Roman"/>
          <w:sz w:val="24"/>
          <w:szCs w:val="24"/>
        </w:rPr>
        <w:t xml:space="preserve">) of these also being associated with CAD. </w:t>
      </w:r>
    </w:p>
    <w:p w:rsidR="00210106" w:rsidRPr="00D5255A" w:rsidRDefault="00210106" w:rsidP="00C8633B">
      <w:pPr>
        <w:spacing w:after="0" w:line="480" w:lineRule="auto"/>
        <w:ind w:firstLine="720"/>
        <w:jc w:val="both"/>
        <w:rPr>
          <w:rFonts w:ascii="Times New Roman" w:hAnsi="Times New Roman"/>
          <w:sz w:val="24"/>
          <w:szCs w:val="24"/>
        </w:rPr>
      </w:pPr>
      <w:r w:rsidRPr="00D5255A">
        <w:rPr>
          <w:rFonts w:ascii="Times New Roman" w:hAnsi="Times New Roman"/>
          <w:sz w:val="24"/>
          <w:szCs w:val="24"/>
        </w:rPr>
        <w:lastRenderedPageBreak/>
        <w:t xml:space="preserve">The </w:t>
      </w:r>
      <w:r w:rsidRPr="00D5255A">
        <w:rPr>
          <w:rFonts w:ascii="Times New Roman" w:hAnsi="Times New Roman"/>
          <w:i/>
          <w:sz w:val="24"/>
          <w:szCs w:val="24"/>
        </w:rPr>
        <w:t>CAPN3</w:t>
      </w:r>
      <w:r w:rsidRPr="00D5255A">
        <w:rPr>
          <w:rFonts w:ascii="Times New Roman" w:hAnsi="Times New Roman"/>
          <w:sz w:val="24"/>
          <w:szCs w:val="24"/>
        </w:rPr>
        <w:t xml:space="preserve"> variant was associated with worsening TC (</w:t>
      </w:r>
      <w:r w:rsidRPr="00D5255A">
        <w:rPr>
          <w:rFonts w:ascii="Times New Roman" w:hAnsi="Times New Roman"/>
          <w:i/>
          <w:sz w:val="24"/>
          <w:szCs w:val="24"/>
        </w:rPr>
        <w:t>P</w:t>
      </w:r>
      <w:r w:rsidRPr="00D5255A">
        <w:rPr>
          <w:rFonts w:ascii="Times New Roman" w:hAnsi="Times New Roman"/>
          <w:sz w:val="24"/>
          <w:szCs w:val="24"/>
        </w:rPr>
        <w:t>=1.5×10</w:t>
      </w:r>
      <w:r w:rsidRPr="00D5255A">
        <w:rPr>
          <w:rFonts w:ascii="Times New Roman" w:hAnsi="Times New Roman"/>
          <w:sz w:val="24"/>
          <w:szCs w:val="24"/>
          <w:vertAlign w:val="superscript"/>
        </w:rPr>
        <w:t>-4</w:t>
      </w:r>
      <w:r w:rsidRPr="00D5255A">
        <w:rPr>
          <w:rFonts w:ascii="Times New Roman" w:hAnsi="Times New Roman"/>
          <w:sz w:val="24"/>
          <w:szCs w:val="24"/>
        </w:rPr>
        <w:t xml:space="preserve">) and CAD </w:t>
      </w:r>
      <w:r w:rsidRPr="00D5255A">
        <w:rPr>
          <w:rFonts w:ascii="Times New Roman" w:hAnsi="Times New Roman"/>
          <w:sz w:val="24"/>
          <w:szCs w:val="24"/>
        </w:rPr>
        <w:br/>
        <w:t>(</w:t>
      </w:r>
      <w:r w:rsidRPr="00D5255A">
        <w:rPr>
          <w:rFonts w:ascii="Times New Roman" w:hAnsi="Times New Roman"/>
          <w:i/>
          <w:sz w:val="24"/>
          <w:szCs w:val="24"/>
        </w:rPr>
        <w:t>P</w:t>
      </w:r>
      <w:r w:rsidRPr="00D5255A">
        <w:rPr>
          <w:rFonts w:ascii="Times New Roman" w:hAnsi="Times New Roman"/>
          <w:sz w:val="24"/>
          <w:szCs w:val="24"/>
        </w:rPr>
        <w:t>=1.2×10</w:t>
      </w:r>
      <w:r w:rsidRPr="00D5255A">
        <w:rPr>
          <w:rFonts w:ascii="Times New Roman" w:hAnsi="Times New Roman"/>
          <w:sz w:val="24"/>
          <w:szCs w:val="24"/>
          <w:vertAlign w:val="superscript"/>
        </w:rPr>
        <w:t>-4</w:t>
      </w:r>
      <w:r w:rsidRPr="00D5255A">
        <w:rPr>
          <w:rFonts w:ascii="Times New Roman" w:hAnsi="Times New Roman"/>
          <w:sz w:val="24"/>
          <w:szCs w:val="24"/>
        </w:rPr>
        <w:t>), but also with T2D (</w:t>
      </w:r>
      <w:r w:rsidRPr="00D5255A">
        <w:rPr>
          <w:rFonts w:ascii="Times New Roman" w:hAnsi="Times New Roman"/>
          <w:i/>
          <w:sz w:val="24"/>
          <w:szCs w:val="24"/>
        </w:rPr>
        <w:t>P</w:t>
      </w:r>
      <w:r w:rsidRPr="00D5255A">
        <w:rPr>
          <w:rFonts w:ascii="Times New Roman" w:hAnsi="Times New Roman"/>
          <w:sz w:val="24"/>
          <w:szCs w:val="24"/>
        </w:rPr>
        <w:t>=1.6×10</w:t>
      </w:r>
      <w:r w:rsidRPr="00D5255A">
        <w:rPr>
          <w:rFonts w:ascii="Times New Roman" w:hAnsi="Times New Roman"/>
          <w:sz w:val="24"/>
          <w:szCs w:val="24"/>
          <w:vertAlign w:val="superscript"/>
        </w:rPr>
        <w:t>-3</w:t>
      </w:r>
      <w:r w:rsidRPr="00D5255A">
        <w:rPr>
          <w:rFonts w:ascii="Times New Roman" w:hAnsi="Times New Roman"/>
          <w:sz w:val="24"/>
          <w:szCs w:val="24"/>
        </w:rPr>
        <w:t>) and cross-sectional SBP (</w:t>
      </w:r>
      <w:r w:rsidRPr="00D5255A">
        <w:rPr>
          <w:rFonts w:ascii="Times New Roman" w:hAnsi="Times New Roman"/>
          <w:i/>
          <w:sz w:val="24"/>
          <w:szCs w:val="24"/>
        </w:rPr>
        <w:t>P</w:t>
      </w:r>
      <w:r w:rsidRPr="00D5255A">
        <w:rPr>
          <w:rFonts w:ascii="Times New Roman" w:hAnsi="Times New Roman"/>
          <w:sz w:val="24"/>
          <w:szCs w:val="24"/>
        </w:rPr>
        <w:t>=6.9×10</w:t>
      </w:r>
      <w:r w:rsidRPr="00D5255A">
        <w:rPr>
          <w:rFonts w:ascii="Times New Roman" w:hAnsi="Times New Roman"/>
          <w:sz w:val="24"/>
          <w:szCs w:val="24"/>
          <w:vertAlign w:val="superscript"/>
        </w:rPr>
        <w:t>-3</w:t>
      </w:r>
      <w:r w:rsidRPr="00D5255A">
        <w:rPr>
          <w:rFonts w:ascii="Times New Roman" w:hAnsi="Times New Roman"/>
          <w:sz w:val="24"/>
          <w:szCs w:val="24"/>
        </w:rPr>
        <w:t xml:space="preserve">). In addition, functional annotation showed that this variant disrupts CpG-dinucleotides, displays </w:t>
      </w:r>
      <w:proofErr w:type="spellStart"/>
      <w:r w:rsidRPr="00D5255A">
        <w:rPr>
          <w:rFonts w:ascii="Times New Roman" w:hAnsi="Times New Roman"/>
          <w:sz w:val="24"/>
          <w:szCs w:val="24"/>
        </w:rPr>
        <w:t>DNaseI</w:t>
      </w:r>
      <w:proofErr w:type="spellEnd"/>
      <w:r w:rsidRPr="00D5255A">
        <w:rPr>
          <w:rFonts w:ascii="Times New Roman" w:hAnsi="Times New Roman"/>
          <w:sz w:val="24"/>
          <w:szCs w:val="24"/>
        </w:rPr>
        <w:t xml:space="preserve"> hypersensitivity sites in two cell lines and “weak enhancer” status in HepG2 cells. </w:t>
      </w:r>
      <w:r w:rsidRPr="00D5255A">
        <w:rPr>
          <w:rFonts w:ascii="Times New Roman" w:hAnsi="Times New Roman"/>
          <w:i/>
          <w:sz w:val="24"/>
          <w:szCs w:val="24"/>
        </w:rPr>
        <w:t>CAPN3</w:t>
      </w:r>
      <w:r w:rsidRPr="00D5255A">
        <w:rPr>
          <w:rFonts w:ascii="Times New Roman" w:hAnsi="Times New Roman"/>
          <w:sz w:val="24"/>
          <w:szCs w:val="24"/>
        </w:rPr>
        <w:t xml:space="preserve"> encodes for calpain3, which is strongly expressed in muscle and weakly expressed in heart with </w:t>
      </w:r>
      <w:proofErr w:type="spellStart"/>
      <w:r w:rsidRPr="00D5255A">
        <w:rPr>
          <w:rFonts w:ascii="Times New Roman" w:hAnsi="Times New Roman"/>
          <w:sz w:val="24"/>
          <w:szCs w:val="24"/>
        </w:rPr>
        <w:t>calpainopathy</w:t>
      </w:r>
      <w:proofErr w:type="spellEnd"/>
      <w:r w:rsidRPr="00D5255A">
        <w:rPr>
          <w:rFonts w:ascii="Times New Roman" w:hAnsi="Times New Roman"/>
          <w:sz w:val="24"/>
          <w:szCs w:val="24"/>
        </w:rPr>
        <w:t xml:space="preserve"> (symmetric and progressive weakness of proximal muscles).</w:t>
      </w:r>
      <w:r>
        <w:rPr>
          <w:rFonts w:ascii="Times New Roman" w:hAnsi="Times New Roman"/>
          <w:noProof/>
          <w:sz w:val="24"/>
          <w:szCs w:val="24"/>
        </w:rPr>
        <w:t>(34)</w:t>
      </w:r>
      <w:r w:rsidRPr="00D5255A">
        <w:rPr>
          <w:rFonts w:ascii="Times New Roman" w:hAnsi="Times New Roman"/>
          <w:sz w:val="24"/>
          <w:szCs w:val="24"/>
        </w:rPr>
        <w:t xml:space="preserve"> Although calpain3 function has not been fully elucidated, it is known to have proteolytic activity in skeletal muscle.</w:t>
      </w:r>
      <w:r>
        <w:rPr>
          <w:rFonts w:ascii="Times New Roman" w:hAnsi="Times New Roman"/>
          <w:noProof/>
          <w:sz w:val="24"/>
          <w:szCs w:val="24"/>
        </w:rPr>
        <w:t>(34)</w:t>
      </w:r>
      <w:r w:rsidRPr="00D5255A">
        <w:rPr>
          <w:rFonts w:ascii="Times New Roman" w:hAnsi="Times New Roman"/>
          <w:sz w:val="24"/>
          <w:szCs w:val="24"/>
        </w:rPr>
        <w:t xml:space="preserve"> In murine models, targeted</w:t>
      </w:r>
      <w:r w:rsidRPr="00D5255A">
        <w:rPr>
          <w:rFonts w:ascii="Times New Roman" w:hAnsi="Times New Roman"/>
          <w:i/>
          <w:sz w:val="24"/>
          <w:szCs w:val="24"/>
        </w:rPr>
        <w:t xml:space="preserve"> Capn3</w:t>
      </w:r>
      <w:r w:rsidRPr="00D5255A">
        <w:rPr>
          <w:rFonts w:ascii="Times New Roman" w:hAnsi="Times New Roman"/>
          <w:sz w:val="24"/>
          <w:szCs w:val="24"/>
        </w:rPr>
        <w:t xml:space="preserve"> knockout reverses myopathy</w:t>
      </w:r>
      <w:r>
        <w:rPr>
          <w:rFonts w:ascii="Times New Roman" w:hAnsi="Times New Roman"/>
          <w:noProof/>
          <w:sz w:val="24"/>
          <w:szCs w:val="24"/>
        </w:rPr>
        <w:t>(35)</w:t>
      </w:r>
      <w:r w:rsidRPr="00D5255A">
        <w:rPr>
          <w:rFonts w:ascii="Times New Roman" w:hAnsi="Times New Roman"/>
          <w:sz w:val="24"/>
          <w:szCs w:val="24"/>
        </w:rPr>
        <w:t xml:space="preserve"> and restriction of calpain3 transgene expression in heart prevents cardiac toxicity and reverts the pathological signs of calpain3 deficiency.</w:t>
      </w:r>
      <w:r>
        <w:rPr>
          <w:rFonts w:ascii="Times New Roman" w:hAnsi="Times New Roman"/>
          <w:noProof/>
          <w:sz w:val="24"/>
          <w:szCs w:val="24"/>
        </w:rPr>
        <w:t>(36)</w:t>
      </w:r>
      <w:r w:rsidRPr="00D5255A">
        <w:rPr>
          <w:rFonts w:ascii="Times New Roman" w:hAnsi="Times New Roman"/>
          <w:sz w:val="24"/>
          <w:szCs w:val="24"/>
        </w:rPr>
        <w:t xml:space="preserve"> In addition, targeted knock-in of calpain3 leads to increased circulating </w:t>
      </w:r>
      <w:proofErr w:type="spellStart"/>
      <w:r w:rsidRPr="00D5255A">
        <w:rPr>
          <w:rFonts w:ascii="Times New Roman" w:hAnsi="Times New Roman"/>
          <w:sz w:val="24"/>
          <w:szCs w:val="24"/>
        </w:rPr>
        <w:t>creatine</w:t>
      </w:r>
      <w:proofErr w:type="spellEnd"/>
      <w:r w:rsidRPr="00D5255A">
        <w:rPr>
          <w:rFonts w:ascii="Times New Roman" w:hAnsi="Times New Roman"/>
          <w:sz w:val="24"/>
          <w:szCs w:val="24"/>
        </w:rPr>
        <w:t xml:space="preserve"> kinase levels,</w:t>
      </w:r>
      <w:r>
        <w:rPr>
          <w:rFonts w:ascii="Times New Roman" w:hAnsi="Times New Roman"/>
          <w:noProof/>
          <w:sz w:val="24"/>
          <w:szCs w:val="24"/>
        </w:rPr>
        <w:t>(37)</w:t>
      </w:r>
      <w:r w:rsidRPr="00D5255A">
        <w:rPr>
          <w:rFonts w:ascii="Times New Roman" w:hAnsi="Times New Roman"/>
          <w:sz w:val="24"/>
          <w:szCs w:val="24"/>
        </w:rPr>
        <w:t xml:space="preserve"> a marker for MI. A Japanese autopsy study recently reported that two unrelated patients with </w:t>
      </w:r>
      <w:proofErr w:type="spellStart"/>
      <w:r w:rsidRPr="00D5255A">
        <w:rPr>
          <w:rFonts w:ascii="Times New Roman" w:hAnsi="Times New Roman"/>
          <w:sz w:val="24"/>
          <w:szCs w:val="24"/>
        </w:rPr>
        <w:t>calpainopathy</w:t>
      </w:r>
      <w:proofErr w:type="spellEnd"/>
      <w:r w:rsidRPr="00D5255A">
        <w:rPr>
          <w:rFonts w:ascii="Times New Roman" w:hAnsi="Times New Roman"/>
          <w:sz w:val="24"/>
          <w:szCs w:val="24"/>
        </w:rPr>
        <w:t xml:space="preserve"> (LGMD2A), who had died of ischemic cardiomyopathy and systemic circulatory failure respectively, carried mutations in </w:t>
      </w:r>
      <w:r w:rsidRPr="00D5255A">
        <w:rPr>
          <w:rFonts w:ascii="Times New Roman" w:hAnsi="Times New Roman"/>
          <w:i/>
          <w:sz w:val="24"/>
          <w:szCs w:val="24"/>
        </w:rPr>
        <w:t>CAPN3</w:t>
      </w:r>
      <w:r w:rsidRPr="00D5255A">
        <w:rPr>
          <w:rFonts w:ascii="Times New Roman" w:hAnsi="Times New Roman"/>
          <w:sz w:val="24"/>
          <w:szCs w:val="24"/>
        </w:rPr>
        <w:t>.</w:t>
      </w:r>
      <w:r>
        <w:rPr>
          <w:rFonts w:ascii="Times New Roman" w:hAnsi="Times New Roman"/>
          <w:noProof/>
          <w:sz w:val="24"/>
          <w:szCs w:val="24"/>
        </w:rPr>
        <w:t>(38)</w:t>
      </w:r>
    </w:p>
    <w:p w:rsidR="00210106" w:rsidRPr="00D5255A" w:rsidRDefault="00210106" w:rsidP="00265DD9">
      <w:pPr>
        <w:spacing w:after="0" w:line="480" w:lineRule="auto"/>
        <w:ind w:firstLine="720"/>
        <w:jc w:val="both"/>
        <w:rPr>
          <w:rFonts w:ascii="Times New Roman" w:hAnsi="Times New Roman"/>
          <w:sz w:val="24"/>
          <w:szCs w:val="24"/>
        </w:rPr>
      </w:pPr>
      <w:r>
        <w:rPr>
          <w:rFonts w:ascii="Times New Roman" w:hAnsi="Times New Roman"/>
          <w:sz w:val="24"/>
          <w:szCs w:val="24"/>
        </w:rPr>
        <w:t>A</w:t>
      </w:r>
      <w:r w:rsidRPr="00D5255A">
        <w:rPr>
          <w:rFonts w:ascii="Times New Roman" w:hAnsi="Times New Roman"/>
          <w:sz w:val="24"/>
          <w:szCs w:val="24"/>
        </w:rPr>
        <w:t xml:space="preserve">ssociations were observed for rs10406431 at </w:t>
      </w:r>
      <w:r w:rsidRPr="00D5255A">
        <w:rPr>
          <w:rFonts w:ascii="Times New Roman" w:hAnsi="Times New Roman"/>
          <w:i/>
          <w:sz w:val="24"/>
          <w:szCs w:val="24"/>
        </w:rPr>
        <w:t>GIPR</w:t>
      </w:r>
      <w:r w:rsidRPr="00D5255A">
        <w:rPr>
          <w:rFonts w:ascii="Times New Roman" w:hAnsi="Times New Roman"/>
          <w:sz w:val="24"/>
          <w:szCs w:val="24"/>
        </w:rPr>
        <w:t xml:space="preserve"> (</w:t>
      </w:r>
      <w:r w:rsidRPr="00D5255A">
        <w:rPr>
          <w:rFonts w:ascii="Times New Roman" w:hAnsi="Times New Roman"/>
          <w:i/>
          <w:sz w:val="24"/>
          <w:szCs w:val="24"/>
        </w:rPr>
        <w:t>P</w:t>
      </w:r>
      <w:r w:rsidRPr="00D5255A">
        <w:rPr>
          <w:rFonts w:ascii="Times New Roman" w:hAnsi="Times New Roman"/>
          <w:sz w:val="24"/>
          <w:szCs w:val="24"/>
        </w:rPr>
        <w:t>=1.7×10</w:t>
      </w:r>
      <w:r w:rsidRPr="00D5255A">
        <w:rPr>
          <w:rFonts w:ascii="Times New Roman" w:hAnsi="Times New Roman"/>
          <w:sz w:val="24"/>
          <w:szCs w:val="24"/>
          <w:vertAlign w:val="superscript"/>
        </w:rPr>
        <w:t>-4</w:t>
      </w:r>
      <w:r w:rsidRPr="00D5255A">
        <w:rPr>
          <w:rFonts w:ascii="Times New Roman" w:hAnsi="Times New Roman"/>
          <w:sz w:val="24"/>
          <w:szCs w:val="24"/>
        </w:rPr>
        <w:t xml:space="preserve">) and rs11668847 at </w:t>
      </w:r>
      <w:r w:rsidRPr="00D5255A">
        <w:rPr>
          <w:rFonts w:ascii="Times New Roman" w:hAnsi="Times New Roman"/>
          <w:i/>
          <w:sz w:val="24"/>
          <w:szCs w:val="24"/>
        </w:rPr>
        <w:t>QPCTL</w:t>
      </w:r>
      <w:r w:rsidRPr="00D5255A">
        <w:rPr>
          <w:rFonts w:ascii="Times New Roman" w:hAnsi="Times New Roman"/>
          <w:sz w:val="24"/>
          <w:szCs w:val="24"/>
        </w:rPr>
        <w:t xml:space="preserve"> (</w:t>
      </w:r>
      <w:r w:rsidRPr="00D5255A">
        <w:rPr>
          <w:rFonts w:ascii="Times New Roman" w:hAnsi="Times New Roman"/>
          <w:i/>
          <w:sz w:val="24"/>
          <w:szCs w:val="24"/>
        </w:rPr>
        <w:t>P</w:t>
      </w:r>
      <w:r w:rsidRPr="00D5255A">
        <w:rPr>
          <w:rFonts w:ascii="Times New Roman" w:hAnsi="Times New Roman"/>
          <w:sz w:val="24"/>
          <w:szCs w:val="24"/>
        </w:rPr>
        <w:t>=2.7×10</w:t>
      </w:r>
      <w:r w:rsidRPr="00D5255A">
        <w:rPr>
          <w:rFonts w:ascii="Times New Roman" w:hAnsi="Times New Roman"/>
          <w:sz w:val="24"/>
          <w:szCs w:val="24"/>
          <w:vertAlign w:val="superscript"/>
        </w:rPr>
        <w:t>-5</w:t>
      </w:r>
      <w:r w:rsidRPr="00D5255A">
        <w:rPr>
          <w:rFonts w:ascii="Times New Roman" w:hAnsi="Times New Roman"/>
          <w:sz w:val="24"/>
          <w:szCs w:val="24"/>
        </w:rPr>
        <w:t>) (variants 53 kB apart, r</w:t>
      </w:r>
      <w:r w:rsidRPr="00D5255A">
        <w:rPr>
          <w:rFonts w:ascii="Times New Roman" w:hAnsi="Times New Roman"/>
          <w:sz w:val="24"/>
          <w:szCs w:val="24"/>
          <w:vertAlign w:val="superscript"/>
        </w:rPr>
        <w:t>2</w:t>
      </w:r>
      <w:r w:rsidRPr="00D5255A">
        <w:rPr>
          <w:rFonts w:ascii="Times New Roman" w:hAnsi="Times New Roman"/>
          <w:sz w:val="24"/>
          <w:szCs w:val="24"/>
        </w:rPr>
        <w:t xml:space="preserve">=0.09, D’=0.33) for worsening TG concentrations. These variants display </w:t>
      </w:r>
      <w:proofErr w:type="spellStart"/>
      <w:r w:rsidRPr="00D5255A">
        <w:rPr>
          <w:rFonts w:ascii="Times New Roman" w:hAnsi="Times New Roman"/>
          <w:sz w:val="24"/>
          <w:szCs w:val="24"/>
        </w:rPr>
        <w:t>DNaseI</w:t>
      </w:r>
      <w:proofErr w:type="spellEnd"/>
      <w:r w:rsidRPr="00D5255A">
        <w:rPr>
          <w:rFonts w:ascii="Times New Roman" w:hAnsi="Times New Roman"/>
          <w:sz w:val="24"/>
          <w:szCs w:val="24"/>
        </w:rPr>
        <w:t xml:space="preserve"> hypersensitivity and regulatory factor binding potential in multiple cell lines. The rs11668847 variant at </w:t>
      </w:r>
      <w:r w:rsidRPr="00D5255A">
        <w:rPr>
          <w:rFonts w:ascii="Times New Roman" w:hAnsi="Times New Roman"/>
          <w:i/>
          <w:sz w:val="24"/>
          <w:szCs w:val="24"/>
        </w:rPr>
        <w:t>QPCTL</w:t>
      </w:r>
      <w:r w:rsidRPr="00D5255A">
        <w:rPr>
          <w:rFonts w:ascii="Times New Roman" w:hAnsi="Times New Roman"/>
          <w:sz w:val="24"/>
          <w:szCs w:val="24"/>
        </w:rPr>
        <w:t xml:space="preserve"> displayed a “strong enhancer” status, while rs10406431 at </w:t>
      </w:r>
      <w:r w:rsidRPr="00D5255A">
        <w:rPr>
          <w:rFonts w:ascii="Times New Roman" w:hAnsi="Times New Roman"/>
          <w:i/>
          <w:sz w:val="24"/>
          <w:szCs w:val="24"/>
        </w:rPr>
        <w:t>GIPR</w:t>
      </w:r>
      <w:r w:rsidRPr="00D5255A">
        <w:rPr>
          <w:rFonts w:ascii="Times New Roman" w:hAnsi="Times New Roman"/>
          <w:sz w:val="24"/>
          <w:szCs w:val="24"/>
        </w:rPr>
        <w:t xml:space="preserve"> was characterized by a “</w:t>
      </w:r>
      <w:proofErr w:type="spellStart"/>
      <w:r w:rsidRPr="00D5255A">
        <w:rPr>
          <w:rFonts w:ascii="Times New Roman" w:hAnsi="Times New Roman"/>
          <w:sz w:val="24"/>
          <w:szCs w:val="24"/>
        </w:rPr>
        <w:t>polycomb</w:t>
      </w:r>
      <w:proofErr w:type="spellEnd"/>
      <w:r w:rsidRPr="00D5255A">
        <w:rPr>
          <w:rFonts w:ascii="Times New Roman" w:hAnsi="Times New Roman"/>
          <w:sz w:val="24"/>
          <w:szCs w:val="24"/>
        </w:rPr>
        <w:t xml:space="preserve">-repressed” status in GM12878 cells. The rs2341097 </w:t>
      </w:r>
      <w:r w:rsidRPr="00D5255A">
        <w:rPr>
          <w:rFonts w:ascii="Times New Roman" w:hAnsi="Times New Roman"/>
          <w:i/>
          <w:sz w:val="24"/>
          <w:szCs w:val="24"/>
        </w:rPr>
        <w:t>SIX5</w:t>
      </w:r>
      <w:r w:rsidRPr="00D5255A">
        <w:rPr>
          <w:rFonts w:ascii="Times New Roman" w:hAnsi="Times New Roman"/>
          <w:sz w:val="24"/>
          <w:szCs w:val="24"/>
        </w:rPr>
        <w:t xml:space="preserve"> variant is in close proximity to these loci (111 kB, r</w:t>
      </w:r>
      <w:r w:rsidRPr="00D5255A">
        <w:rPr>
          <w:rFonts w:ascii="Times New Roman" w:hAnsi="Times New Roman"/>
          <w:sz w:val="24"/>
          <w:szCs w:val="24"/>
          <w:vertAlign w:val="superscript"/>
        </w:rPr>
        <w:t>2</w:t>
      </w:r>
      <w:r w:rsidRPr="00D5255A">
        <w:rPr>
          <w:rFonts w:ascii="Times New Roman" w:hAnsi="Times New Roman"/>
          <w:sz w:val="24"/>
          <w:szCs w:val="24"/>
        </w:rPr>
        <w:t xml:space="preserve">=0.09, D’=0.52 to </w:t>
      </w:r>
      <w:r w:rsidRPr="00D5255A">
        <w:rPr>
          <w:rFonts w:ascii="Times New Roman" w:hAnsi="Times New Roman"/>
          <w:i/>
          <w:sz w:val="24"/>
          <w:szCs w:val="24"/>
        </w:rPr>
        <w:t>GIPR</w:t>
      </w:r>
      <w:r w:rsidRPr="00D5255A">
        <w:rPr>
          <w:rFonts w:ascii="Times New Roman" w:hAnsi="Times New Roman"/>
          <w:sz w:val="24"/>
          <w:szCs w:val="24"/>
        </w:rPr>
        <w:t xml:space="preserve"> variant and 59 kB, r</w:t>
      </w:r>
      <w:r w:rsidRPr="00D5255A">
        <w:rPr>
          <w:rFonts w:ascii="Times New Roman" w:hAnsi="Times New Roman"/>
          <w:sz w:val="24"/>
          <w:szCs w:val="24"/>
          <w:vertAlign w:val="superscript"/>
        </w:rPr>
        <w:t>2</w:t>
      </w:r>
      <w:r w:rsidRPr="00D5255A">
        <w:rPr>
          <w:rFonts w:ascii="Times New Roman" w:hAnsi="Times New Roman"/>
          <w:sz w:val="24"/>
          <w:szCs w:val="24"/>
        </w:rPr>
        <w:t xml:space="preserve">=0.17, D’=0.66 to </w:t>
      </w:r>
      <w:r w:rsidRPr="00D5255A">
        <w:rPr>
          <w:rFonts w:ascii="Times New Roman" w:hAnsi="Times New Roman"/>
          <w:i/>
          <w:sz w:val="24"/>
          <w:szCs w:val="24"/>
        </w:rPr>
        <w:t>QPCTL</w:t>
      </w:r>
      <w:r w:rsidRPr="00D5255A">
        <w:rPr>
          <w:rFonts w:ascii="Times New Roman" w:hAnsi="Times New Roman"/>
          <w:sz w:val="24"/>
          <w:szCs w:val="24"/>
        </w:rPr>
        <w:t xml:space="preserve"> variant) and was associated with CAD (</w:t>
      </w:r>
      <w:r w:rsidRPr="00D5255A">
        <w:rPr>
          <w:rFonts w:ascii="Times New Roman" w:hAnsi="Times New Roman"/>
          <w:i/>
          <w:sz w:val="24"/>
          <w:szCs w:val="24"/>
        </w:rPr>
        <w:t>P</w:t>
      </w:r>
      <w:r w:rsidRPr="00D5255A">
        <w:rPr>
          <w:rFonts w:ascii="Times New Roman" w:hAnsi="Times New Roman"/>
          <w:sz w:val="24"/>
          <w:szCs w:val="24"/>
        </w:rPr>
        <w:t>=1.9×10</w:t>
      </w:r>
      <w:r w:rsidRPr="00D5255A">
        <w:rPr>
          <w:rFonts w:ascii="Times New Roman" w:hAnsi="Times New Roman"/>
          <w:sz w:val="24"/>
          <w:szCs w:val="24"/>
          <w:vertAlign w:val="superscript"/>
        </w:rPr>
        <w:t>-4</w:t>
      </w:r>
      <w:r w:rsidRPr="00D5255A">
        <w:rPr>
          <w:rFonts w:ascii="Times New Roman" w:hAnsi="Times New Roman"/>
          <w:sz w:val="24"/>
          <w:szCs w:val="24"/>
        </w:rPr>
        <w:t xml:space="preserve">). The </w:t>
      </w:r>
      <w:r w:rsidRPr="00D5255A">
        <w:rPr>
          <w:rFonts w:ascii="Times New Roman" w:hAnsi="Times New Roman"/>
          <w:i/>
          <w:sz w:val="24"/>
          <w:szCs w:val="24"/>
        </w:rPr>
        <w:t>GIPR</w:t>
      </w:r>
      <w:r w:rsidRPr="00D5255A">
        <w:rPr>
          <w:rFonts w:ascii="Times New Roman" w:hAnsi="Times New Roman"/>
          <w:sz w:val="24"/>
          <w:szCs w:val="24"/>
        </w:rPr>
        <w:t xml:space="preserve"> gene encodes a G-protein coupled receptor for gastric inhibitory polypeptide (GIP). </w:t>
      </w:r>
      <w:proofErr w:type="spellStart"/>
      <w:r w:rsidRPr="00D5255A">
        <w:rPr>
          <w:rFonts w:ascii="Times New Roman" w:hAnsi="Times New Roman"/>
          <w:sz w:val="24"/>
          <w:szCs w:val="24"/>
        </w:rPr>
        <w:t>Saxena</w:t>
      </w:r>
      <w:proofErr w:type="spellEnd"/>
      <w:r w:rsidRPr="00D5255A">
        <w:rPr>
          <w:rFonts w:ascii="Times New Roman" w:hAnsi="Times New Roman"/>
          <w:sz w:val="24"/>
          <w:szCs w:val="24"/>
        </w:rPr>
        <w:t xml:space="preserve"> </w:t>
      </w:r>
      <w:r w:rsidRPr="00D5255A">
        <w:rPr>
          <w:rFonts w:ascii="Times New Roman" w:hAnsi="Times New Roman"/>
          <w:i/>
          <w:sz w:val="24"/>
          <w:szCs w:val="24"/>
        </w:rPr>
        <w:t>et al</w:t>
      </w:r>
      <w:r w:rsidRPr="00D5255A">
        <w:rPr>
          <w:rFonts w:ascii="Times New Roman" w:hAnsi="Times New Roman"/>
          <w:sz w:val="24"/>
          <w:szCs w:val="24"/>
        </w:rPr>
        <w:t xml:space="preserve"> reported that the A allele of the rs10423928 variant is associated with increased 2-hour glucose concentrations and decreased insulin secretion.</w:t>
      </w:r>
      <w:r>
        <w:rPr>
          <w:rFonts w:ascii="Times New Roman" w:hAnsi="Times New Roman"/>
          <w:noProof/>
          <w:sz w:val="24"/>
          <w:szCs w:val="24"/>
        </w:rPr>
        <w:t>(39)</w:t>
      </w:r>
      <w:r w:rsidRPr="00D5255A">
        <w:rPr>
          <w:rFonts w:ascii="Times New Roman" w:hAnsi="Times New Roman"/>
          <w:sz w:val="24"/>
          <w:szCs w:val="24"/>
        </w:rPr>
        <w:t xml:space="preserve"> In addition, interactions between </w:t>
      </w:r>
      <w:r w:rsidRPr="00D5255A">
        <w:rPr>
          <w:rFonts w:ascii="Times New Roman" w:hAnsi="Times New Roman"/>
          <w:i/>
          <w:sz w:val="24"/>
          <w:szCs w:val="24"/>
        </w:rPr>
        <w:t>GIPR</w:t>
      </w:r>
      <w:r w:rsidRPr="00D5255A">
        <w:rPr>
          <w:rFonts w:ascii="Times New Roman" w:hAnsi="Times New Roman"/>
          <w:sz w:val="24"/>
          <w:szCs w:val="24"/>
        </w:rPr>
        <w:t xml:space="preserve"> and carbohydrate and fat intake have been reported for </w:t>
      </w:r>
      <w:r w:rsidRPr="00D5255A">
        <w:rPr>
          <w:rFonts w:ascii="Times New Roman" w:hAnsi="Times New Roman"/>
          <w:sz w:val="24"/>
          <w:szCs w:val="24"/>
        </w:rPr>
        <w:lastRenderedPageBreak/>
        <w:t>incident T2D. In that study, rs10423928 A allele homozygotes were at a lower risk of T2D when consuming high-fat, low-carbohydrate diets, whereas two thirds of the population homozygous for the T-allele were at lower risk of T2D when consuming high-carbohydrate, low-fat diets.</w:t>
      </w:r>
      <w:r>
        <w:rPr>
          <w:rFonts w:ascii="Times New Roman" w:hAnsi="Times New Roman"/>
          <w:noProof/>
          <w:sz w:val="24"/>
          <w:szCs w:val="24"/>
        </w:rPr>
        <w:t>(40)</w:t>
      </w:r>
    </w:p>
    <w:p w:rsidR="00210106" w:rsidRPr="00D5255A" w:rsidRDefault="00210106" w:rsidP="00C8633B">
      <w:pPr>
        <w:spacing w:after="0" w:line="480" w:lineRule="auto"/>
        <w:ind w:firstLine="720"/>
        <w:jc w:val="both"/>
        <w:rPr>
          <w:rFonts w:ascii="Times New Roman" w:hAnsi="Times New Roman"/>
          <w:sz w:val="24"/>
          <w:szCs w:val="24"/>
        </w:rPr>
      </w:pPr>
      <w:r w:rsidRPr="00D5255A">
        <w:rPr>
          <w:rFonts w:ascii="Times New Roman" w:hAnsi="Times New Roman"/>
          <w:i/>
          <w:sz w:val="24"/>
          <w:szCs w:val="24"/>
        </w:rPr>
        <w:t>QPCTL</w:t>
      </w:r>
      <w:r w:rsidRPr="00D5255A">
        <w:rPr>
          <w:rFonts w:ascii="Times New Roman" w:hAnsi="Times New Roman"/>
          <w:sz w:val="24"/>
          <w:szCs w:val="24"/>
        </w:rPr>
        <w:t xml:space="preserve"> is responsible for the biosynthesis of </w:t>
      </w:r>
      <w:proofErr w:type="spellStart"/>
      <w:r w:rsidRPr="00D5255A">
        <w:rPr>
          <w:rFonts w:ascii="Times New Roman" w:hAnsi="Times New Roman"/>
          <w:sz w:val="24"/>
          <w:szCs w:val="24"/>
        </w:rPr>
        <w:t>pyroglutamyl</w:t>
      </w:r>
      <w:proofErr w:type="spellEnd"/>
      <w:r w:rsidRPr="00D5255A">
        <w:rPr>
          <w:rFonts w:ascii="Times New Roman" w:hAnsi="Times New Roman"/>
          <w:sz w:val="24"/>
          <w:szCs w:val="24"/>
        </w:rPr>
        <w:t xml:space="preserve"> peptides.</w:t>
      </w:r>
      <w:r>
        <w:rPr>
          <w:rFonts w:ascii="Times New Roman" w:hAnsi="Times New Roman"/>
          <w:sz w:val="24"/>
          <w:szCs w:val="24"/>
        </w:rPr>
        <w:t xml:space="preserve"> </w:t>
      </w:r>
      <w:r w:rsidRPr="00D5255A">
        <w:rPr>
          <w:rFonts w:ascii="Times New Roman" w:hAnsi="Times New Roman"/>
          <w:sz w:val="24"/>
          <w:szCs w:val="24"/>
        </w:rPr>
        <w:t xml:space="preserve">The rs2287019 variant’s C allele at the </w:t>
      </w:r>
      <w:r w:rsidRPr="00D5255A">
        <w:rPr>
          <w:rFonts w:ascii="Times New Roman" w:hAnsi="Times New Roman"/>
          <w:i/>
          <w:sz w:val="24"/>
          <w:szCs w:val="24"/>
        </w:rPr>
        <w:t>QPCTL</w:t>
      </w:r>
      <w:r w:rsidRPr="00D5255A">
        <w:rPr>
          <w:rFonts w:ascii="Times New Roman" w:hAnsi="Times New Roman"/>
          <w:sz w:val="24"/>
          <w:szCs w:val="24"/>
        </w:rPr>
        <w:t xml:space="preserve"> locus has been previously associated with increased insulinogenic index and disposition index</w:t>
      </w:r>
      <w:proofErr w:type="gramStart"/>
      <w:r w:rsidRPr="00D5255A">
        <w:rPr>
          <w:rFonts w:ascii="Times New Roman" w:hAnsi="Times New Roman"/>
          <w:sz w:val="24"/>
          <w:szCs w:val="24"/>
        </w:rPr>
        <w:t>.</w:t>
      </w:r>
      <w:r>
        <w:rPr>
          <w:rFonts w:ascii="Times New Roman" w:hAnsi="Times New Roman"/>
          <w:noProof/>
          <w:sz w:val="24"/>
          <w:szCs w:val="24"/>
        </w:rPr>
        <w:t>(</w:t>
      </w:r>
      <w:proofErr w:type="gramEnd"/>
      <w:r>
        <w:rPr>
          <w:rFonts w:ascii="Times New Roman" w:hAnsi="Times New Roman"/>
          <w:noProof/>
          <w:sz w:val="24"/>
          <w:szCs w:val="24"/>
        </w:rPr>
        <w:t>41)</w:t>
      </w:r>
      <w:r w:rsidRPr="00D5255A">
        <w:rPr>
          <w:rFonts w:ascii="Times New Roman" w:hAnsi="Times New Roman"/>
          <w:sz w:val="24"/>
          <w:szCs w:val="24"/>
        </w:rPr>
        <w:t xml:space="preserve"> Furthermore, genome-wide significant associations with BMI near the </w:t>
      </w:r>
      <w:r w:rsidRPr="00D5255A">
        <w:rPr>
          <w:rFonts w:ascii="Times New Roman" w:hAnsi="Times New Roman"/>
          <w:i/>
          <w:sz w:val="24"/>
          <w:szCs w:val="24"/>
        </w:rPr>
        <w:t>QPCTL</w:t>
      </w:r>
      <w:r w:rsidRPr="00D5255A">
        <w:rPr>
          <w:rFonts w:ascii="Times New Roman" w:hAnsi="Times New Roman"/>
          <w:sz w:val="24"/>
          <w:szCs w:val="24"/>
        </w:rPr>
        <w:t xml:space="preserve"> locus have been reported.</w:t>
      </w:r>
      <w:r>
        <w:rPr>
          <w:rFonts w:ascii="Times New Roman" w:hAnsi="Times New Roman"/>
          <w:noProof/>
          <w:sz w:val="24"/>
          <w:szCs w:val="24"/>
        </w:rPr>
        <w:t>(42, 43)</w:t>
      </w:r>
      <w:r w:rsidRPr="00D5255A">
        <w:rPr>
          <w:rFonts w:ascii="Times New Roman" w:hAnsi="Times New Roman"/>
          <w:sz w:val="24"/>
          <w:szCs w:val="24"/>
        </w:rPr>
        <w:t xml:space="preserve"> We found that the rs2341097 </w:t>
      </w:r>
      <w:r w:rsidRPr="00D5255A">
        <w:rPr>
          <w:rFonts w:ascii="Times New Roman" w:hAnsi="Times New Roman"/>
          <w:i/>
          <w:sz w:val="24"/>
          <w:szCs w:val="24"/>
        </w:rPr>
        <w:t>SIX5</w:t>
      </w:r>
      <w:r w:rsidRPr="00D5255A">
        <w:rPr>
          <w:rFonts w:ascii="Times New Roman" w:hAnsi="Times New Roman"/>
          <w:sz w:val="24"/>
          <w:szCs w:val="24"/>
        </w:rPr>
        <w:t xml:space="preserve"> variant disrupts a CpG site and resides in an evolutionarily conserved region. </w:t>
      </w:r>
      <w:r w:rsidRPr="00D5255A">
        <w:rPr>
          <w:rFonts w:ascii="Times New Roman" w:hAnsi="Times New Roman"/>
          <w:i/>
          <w:sz w:val="24"/>
          <w:szCs w:val="24"/>
        </w:rPr>
        <w:t>SIX5</w:t>
      </w:r>
      <w:r w:rsidRPr="00D5255A">
        <w:rPr>
          <w:rFonts w:ascii="Times New Roman" w:hAnsi="Times New Roman"/>
          <w:sz w:val="24"/>
          <w:szCs w:val="24"/>
        </w:rPr>
        <w:t xml:space="preserve"> encodes for the </w:t>
      </w:r>
      <w:r w:rsidRPr="00D5255A">
        <w:rPr>
          <w:rFonts w:ascii="Times New Roman" w:hAnsi="Times New Roman"/>
          <w:i/>
          <w:sz w:val="24"/>
          <w:szCs w:val="24"/>
        </w:rPr>
        <w:t>homeodomain-containing transcription factor</w:t>
      </w:r>
      <w:r w:rsidRPr="00D5255A">
        <w:rPr>
          <w:rFonts w:ascii="Times New Roman" w:hAnsi="Times New Roman"/>
          <w:sz w:val="24"/>
          <w:szCs w:val="24"/>
        </w:rPr>
        <w:t xml:space="preserve"> that appears to regulate organogenesis. </w:t>
      </w:r>
      <w:r w:rsidRPr="00D5255A">
        <w:rPr>
          <w:rFonts w:ascii="Times New Roman" w:hAnsi="Times New Roman"/>
          <w:i/>
          <w:sz w:val="24"/>
          <w:szCs w:val="24"/>
        </w:rPr>
        <w:t>SIX5</w:t>
      </w:r>
      <w:r w:rsidRPr="00D5255A">
        <w:rPr>
          <w:rFonts w:ascii="Times New Roman" w:hAnsi="Times New Roman"/>
          <w:sz w:val="24"/>
          <w:szCs w:val="24"/>
        </w:rPr>
        <w:t xml:space="preserve"> is associated with myotonic dystrophy, a highly variable multisystem disease in which the classic adult-onset form displays progressive muscle wasting with </w:t>
      </w:r>
      <w:proofErr w:type="spellStart"/>
      <w:r w:rsidRPr="00D5255A">
        <w:rPr>
          <w:rFonts w:ascii="Times New Roman" w:hAnsi="Times New Roman"/>
          <w:sz w:val="24"/>
          <w:szCs w:val="24"/>
        </w:rPr>
        <w:t>myotonia</w:t>
      </w:r>
      <w:proofErr w:type="spellEnd"/>
      <w:r w:rsidRPr="00D5255A">
        <w:rPr>
          <w:rFonts w:ascii="Times New Roman" w:hAnsi="Times New Roman"/>
          <w:sz w:val="24"/>
          <w:szCs w:val="24"/>
        </w:rPr>
        <w:t>, cataracts, heart block, gonadal atrophy, insulin resistance, and neuropsychiatric impairment.</w:t>
      </w:r>
      <w:r>
        <w:rPr>
          <w:rFonts w:ascii="Times New Roman" w:hAnsi="Times New Roman"/>
          <w:noProof/>
          <w:sz w:val="24"/>
          <w:szCs w:val="24"/>
        </w:rPr>
        <w:t>(44)</w:t>
      </w:r>
      <w:r w:rsidRPr="00D5255A">
        <w:rPr>
          <w:rFonts w:ascii="Times New Roman" w:hAnsi="Times New Roman"/>
          <w:sz w:val="24"/>
          <w:szCs w:val="24"/>
        </w:rPr>
        <w:t xml:space="preserve"> The </w:t>
      </w:r>
      <w:r w:rsidRPr="00D5255A">
        <w:rPr>
          <w:rFonts w:ascii="Times New Roman" w:hAnsi="Times New Roman"/>
          <w:i/>
          <w:sz w:val="24"/>
          <w:szCs w:val="24"/>
        </w:rPr>
        <w:t>SIX5</w:t>
      </w:r>
      <w:r w:rsidRPr="00D5255A">
        <w:rPr>
          <w:rFonts w:ascii="Times New Roman" w:hAnsi="Times New Roman"/>
          <w:sz w:val="24"/>
          <w:szCs w:val="24"/>
        </w:rPr>
        <w:t xml:space="preserve"> rs16980013 variant has been nominally associated with myocardial infarction in Japanese patients.</w:t>
      </w:r>
      <w:r>
        <w:rPr>
          <w:rFonts w:ascii="Times New Roman" w:hAnsi="Times New Roman"/>
          <w:noProof/>
          <w:sz w:val="24"/>
          <w:szCs w:val="24"/>
        </w:rPr>
        <w:t>(45)</w:t>
      </w:r>
      <w:r w:rsidRPr="00D5255A">
        <w:rPr>
          <w:rFonts w:ascii="Times New Roman" w:hAnsi="Times New Roman"/>
          <w:sz w:val="24"/>
          <w:szCs w:val="24"/>
        </w:rPr>
        <w:t xml:space="preserve"> In </w:t>
      </w:r>
      <w:r w:rsidRPr="00D5255A">
        <w:rPr>
          <w:rFonts w:ascii="Times New Roman" w:hAnsi="Times New Roman"/>
          <w:i/>
          <w:sz w:val="24"/>
          <w:szCs w:val="24"/>
        </w:rPr>
        <w:t>Six5</w:t>
      </w:r>
      <w:r w:rsidRPr="00D5255A">
        <w:rPr>
          <w:rFonts w:ascii="Times New Roman" w:hAnsi="Times New Roman"/>
          <w:i/>
          <w:sz w:val="24"/>
          <w:szCs w:val="24"/>
          <w:vertAlign w:val="superscript"/>
        </w:rPr>
        <w:t>+/-</w:t>
      </w:r>
      <w:r w:rsidRPr="00D5255A">
        <w:rPr>
          <w:rFonts w:ascii="Times New Roman" w:hAnsi="Times New Roman"/>
          <w:i/>
          <w:sz w:val="24"/>
          <w:szCs w:val="24"/>
        </w:rPr>
        <w:t xml:space="preserve"> </w:t>
      </w:r>
      <w:r w:rsidRPr="00D5255A">
        <w:rPr>
          <w:rFonts w:ascii="Times New Roman" w:hAnsi="Times New Roman"/>
          <w:sz w:val="24"/>
          <w:szCs w:val="24"/>
        </w:rPr>
        <w:t>(heterozygote) adult mice, prolonged QRS duration was observed, which is one of the initial phenotypes of adult-onset cardiac conduction abnormalities in humans with myotonic dystrophy.</w:t>
      </w:r>
      <w:r>
        <w:rPr>
          <w:rFonts w:ascii="Times New Roman" w:hAnsi="Times New Roman"/>
          <w:noProof/>
          <w:sz w:val="24"/>
          <w:szCs w:val="24"/>
        </w:rPr>
        <w:t>(46)</w:t>
      </w:r>
    </w:p>
    <w:p w:rsidR="00210106" w:rsidRPr="00D5255A" w:rsidRDefault="00210106" w:rsidP="00C8633B">
      <w:pPr>
        <w:spacing w:after="0" w:line="480" w:lineRule="auto"/>
        <w:ind w:firstLine="720"/>
        <w:jc w:val="both"/>
        <w:rPr>
          <w:rFonts w:ascii="Times New Roman" w:hAnsi="Times New Roman"/>
          <w:sz w:val="24"/>
          <w:szCs w:val="24"/>
        </w:rPr>
      </w:pPr>
      <w:r w:rsidRPr="00D5255A">
        <w:rPr>
          <w:rFonts w:ascii="Times New Roman" w:hAnsi="Times New Roman"/>
          <w:sz w:val="24"/>
          <w:szCs w:val="24"/>
        </w:rPr>
        <w:t>The</w:t>
      </w:r>
      <w:r>
        <w:rPr>
          <w:rFonts w:ascii="Times New Roman" w:hAnsi="Times New Roman"/>
          <w:sz w:val="24"/>
          <w:szCs w:val="24"/>
        </w:rPr>
        <w:t xml:space="preserve"> variant at the</w:t>
      </w:r>
      <w:r w:rsidRPr="00D5255A">
        <w:rPr>
          <w:rFonts w:ascii="Times New Roman" w:hAnsi="Times New Roman"/>
          <w:i/>
          <w:sz w:val="24"/>
          <w:szCs w:val="24"/>
        </w:rPr>
        <w:t xml:space="preserve"> HP/HPR</w:t>
      </w:r>
      <w:r w:rsidRPr="00D5255A">
        <w:rPr>
          <w:rFonts w:ascii="Times New Roman" w:hAnsi="Times New Roman"/>
          <w:sz w:val="24"/>
          <w:szCs w:val="24"/>
        </w:rPr>
        <w:t xml:space="preserve"> locus was associated with worsening TC (</w:t>
      </w:r>
      <w:r w:rsidRPr="00D5255A">
        <w:rPr>
          <w:rFonts w:ascii="Times New Roman" w:hAnsi="Times New Roman"/>
          <w:i/>
          <w:sz w:val="24"/>
          <w:szCs w:val="24"/>
        </w:rPr>
        <w:t>P</w:t>
      </w:r>
      <w:r w:rsidRPr="00D5255A">
        <w:rPr>
          <w:rFonts w:ascii="Times New Roman" w:hAnsi="Times New Roman"/>
          <w:sz w:val="24"/>
          <w:szCs w:val="24"/>
        </w:rPr>
        <w:t>=2.3×10</w:t>
      </w:r>
      <w:r w:rsidRPr="00D5255A">
        <w:rPr>
          <w:rFonts w:ascii="Times New Roman" w:hAnsi="Times New Roman"/>
          <w:sz w:val="24"/>
          <w:szCs w:val="24"/>
          <w:vertAlign w:val="superscript"/>
        </w:rPr>
        <w:t>-4</w:t>
      </w:r>
      <w:r w:rsidRPr="00D5255A">
        <w:rPr>
          <w:rFonts w:ascii="Times New Roman" w:hAnsi="Times New Roman"/>
          <w:sz w:val="24"/>
          <w:szCs w:val="24"/>
        </w:rPr>
        <w:t>) and with CAD (</w:t>
      </w:r>
      <w:r w:rsidRPr="00D5255A">
        <w:rPr>
          <w:rFonts w:ascii="Times New Roman" w:hAnsi="Times New Roman"/>
          <w:i/>
          <w:sz w:val="24"/>
          <w:szCs w:val="24"/>
        </w:rPr>
        <w:t>P</w:t>
      </w:r>
      <w:r w:rsidRPr="00D5255A">
        <w:rPr>
          <w:rFonts w:ascii="Times New Roman" w:hAnsi="Times New Roman"/>
          <w:sz w:val="24"/>
          <w:szCs w:val="24"/>
        </w:rPr>
        <w:t>=3.5×10</w:t>
      </w:r>
      <w:r w:rsidRPr="00D5255A">
        <w:rPr>
          <w:rFonts w:ascii="Times New Roman" w:hAnsi="Times New Roman"/>
          <w:sz w:val="24"/>
          <w:szCs w:val="24"/>
          <w:vertAlign w:val="superscript"/>
        </w:rPr>
        <w:t>-5</w:t>
      </w:r>
      <w:r w:rsidRPr="00D5255A">
        <w:rPr>
          <w:rFonts w:ascii="Times New Roman" w:hAnsi="Times New Roman"/>
          <w:sz w:val="24"/>
          <w:szCs w:val="24"/>
        </w:rPr>
        <w:t xml:space="preserve">) in our analyses. </w:t>
      </w:r>
      <w:r w:rsidRPr="00D5255A">
        <w:rPr>
          <w:rFonts w:ascii="Times New Roman" w:hAnsi="Times New Roman"/>
          <w:i/>
          <w:sz w:val="24"/>
          <w:szCs w:val="24"/>
        </w:rPr>
        <w:t>HPR</w:t>
      </w:r>
      <w:r w:rsidRPr="00D5255A">
        <w:rPr>
          <w:rFonts w:ascii="Times New Roman" w:hAnsi="Times New Roman"/>
          <w:sz w:val="24"/>
          <w:szCs w:val="24"/>
        </w:rPr>
        <w:t xml:space="preserve"> is located 2.2 kb downstream of the </w:t>
      </w:r>
      <w:proofErr w:type="spellStart"/>
      <w:r w:rsidRPr="00D5255A">
        <w:rPr>
          <w:rFonts w:ascii="Times New Roman" w:hAnsi="Times New Roman"/>
          <w:i/>
          <w:sz w:val="24"/>
          <w:szCs w:val="24"/>
        </w:rPr>
        <w:t>haptoglobin</w:t>
      </w:r>
      <w:proofErr w:type="spellEnd"/>
      <w:r w:rsidRPr="00D5255A">
        <w:rPr>
          <w:rFonts w:ascii="Times New Roman" w:hAnsi="Times New Roman"/>
          <w:sz w:val="24"/>
          <w:szCs w:val="24"/>
        </w:rPr>
        <w:t xml:space="preserve"> (</w:t>
      </w:r>
      <w:r w:rsidRPr="00D5255A">
        <w:rPr>
          <w:rFonts w:ascii="Times New Roman" w:hAnsi="Times New Roman"/>
          <w:i/>
          <w:sz w:val="24"/>
          <w:szCs w:val="24"/>
        </w:rPr>
        <w:t>HP</w:t>
      </w:r>
      <w:r w:rsidRPr="00D5255A">
        <w:rPr>
          <w:rFonts w:ascii="Times New Roman" w:hAnsi="Times New Roman"/>
          <w:sz w:val="24"/>
          <w:szCs w:val="24"/>
        </w:rPr>
        <w:t xml:space="preserve">) gene and shares 91% of common DNA sequence variation with </w:t>
      </w:r>
      <w:r w:rsidRPr="00D5255A">
        <w:rPr>
          <w:rFonts w:ascii="Times New Roman" w:hAnsi="Times New Roman"/>
          <w:i/>
          <w:sz w:val="24"/>
          <w:szCs w:val="24"/>
        </w:rPr>
        <w:t>HP</w:t>
      </w:r>
      <w:r w:rsidRPr="00D5255A">
        <w:rPr>
          <w:rFonts w:ascii="Times New Roman" w:hAnsi="Times New Roman"/>
          <w:sz w:val="24"/>
          <w:szCs w:val="24"/>
        </w:rPr>
        <w:t xml:space="preserve"> gene. </w:t>
      </w:r>
      <w:r w:rsidRPr="00D5255A">
        <w:rPr>
          <w:rFonts w:ascii="Times New Roman" w:hAnsi="Times New Roman"/>
          <w:i/>
          <w:sz w:val="24"/>
          <w:szCs w:val="24"/>
        </w:rPr>
        <w:t>HPR</w:t>
      </w:r>
      <w:r w:rsidRPr="00D5255A">
        <w:rPr>
          <w:rFonts w:ascii="Times New Roman" w:hAnsi="Times New Roman"/>
          <w:sz w:val="24"/>
          <w:szCs w:val="24"/>
        </w:rPr>
        <w:t xml:space="preserve"> encodes the </w:t>
      </w:r>
      <w:proofErr w:type="spellStart"/>
      <w:r w:rsidRPr="00D5255A">
        <w:rPr>
          <w:rFonts w:ascii="Times New Roman" w:hAnsi="Times New Roman"/>
          <w:i/>
          <w:sz w:val="24"/>
          <w:szCs w:val="24"/>
        </w:rPr>
        <w:t>haptoglobin</w:t>
      </w:r>
      <w:proofErr w:type="spellEnd"/>
      <w:r w:rsidRPr="00D5255A">
        <w:rPr>
          <w:rFonts w:ascii="Times New Roman" w:hAnsi="Times New Roman"/>
          <w:i/>
          <w:sz w:val="24"/>
          <w:szCs w:val="24"/>
        </w:rPr>
        <w:t>-like protein</w:t>
      </w:r>
      <w:r w:rsidRPr="00D5255A">
        <w:rPr>
          <w:rFonts w:ascii="Times New Roman" w:hAnsi="Times New Roman"/>
          <w:sz w:val="24"/>
          <w:szCs w:val="24"/>
        </w:rPr>
        <w:t>, which binds to hemoglobin with high affinity</w:t>
      </w:r>
      <w:proofErr w:type="gramStart"/>
      <w:r w:rsidRPr="00D5255A">
        <w:rPr>
          <w:rFonts w:ascii="Times New Roman" w:hAnsi="Times New Roman"/>
          <w:sz w:val="24"/>
          <w:szCs w:val="24"/>
        </w:rPr>
        <w:t>.</w:t>
      </w:r>
      <w:r>
        <w:rPr>
          <w:rFonts w:ascii="Times New Roman" w:hAnsi="Times New Roman"/>
          <w:noProof/>
          <w:sz w:val="24"/>
          <w:szCs w:val="24"/>
        </w:rPr>
        <w:t>(</w:t>
      </w:r>
      <w:proofErr w:type="gramEnd"/>
      <w:r>
        <w:rPr>
          <w:rFonts w:ascii="Times New Roman" w:hAnsi="Times New Roman"/>
          <w:noProof/>
          <w:sz w:val="24"/>
          <w:szCs w:val="24"/>
        </w:rPr>
        <w:t>47, 48)</w:t>
      </w:r>
      <w:r w:rsidRPr="00D5255A">
        <w:rPr>
          <w:rFonts w:ascii="Times New Roman" w:hAnsi="Times New Roman"/>
          <w:sz w:val="24"/>
          <w:szCs w:val="24"/>
        </w:rPr>
        <w:t xml:space="preserve"> It is known to be associated with TC, LDL-C, </w:t>
      </w:r>
      <w:proofErr w:type="spellStart"/>
      <w:r w:rsidRPr="00D5255A">
        <w:rPr>
          <w:rFonts w:ascii="Times New Roman" w:hAnsi="Times New Roman"/>
          <w:sz w:val="24"/>
          <w:szCs w:val="24"/>
        </w:rPr>
        <w:t>haptoglobin</w:t>
      </w:r>
      <w:proofErr w:type="spellEnd"/>
      <w:r w:rsidRPr="00D5255A">
        <w:rPr>
          <w:rFonts w:ascii="Times New Roman" w:hAnsi="Times New Roman"/>
          <w:sz w:val="24"/>
          <w:szCs w:val="24"/>
        </w:rPr>
        <w:t>, liver enzymes, hemoglobin levels and red cell count in adults.</w:t>
      </w:r>
      <w:r>
        <w:rPr>
          <w:rFonts w:ascii="Times New Roman" w:hAnsi="Times New Roman"/>
          <w:noProof/>
          <w:sz w:val="24"/>
          <w:szCs w:val="24"/>
        </w:rPr>
        <w:t>(2, 3, 49, 50)</w:t>
      </w:r>
      <w:r w:rsidRPr="00D5255A">
        <w:rPr>
          <w:rFonts w:ascii="Times New Roman" w:hAnsi="Times New Roman"/>
          <w:sz w:val="24"/>
          <w:szCs w:val="24"/>
        </w:rPr>
        <w:t xml:space="preserve"> Although high blood </w:t>
      </w:r>
      <w:proofErr w:type="spellStart"/>
      <w:r w:rsidRPr="00D5255A">
        <w:rPr>
          <w:rFonts w:ascii="Times New Roman" w:hAnsi="Times New Roman"/>
          <w:sz w:val="24"/>
          <w:szCs w:val="24"/>
        </w:rPr>
        <w:t>haptoglobin</w:t>
      </w:r>
      <w:proofErr w:type="spellEnd"/>
      <w:r w:rsidRPr="00D5255A">
        <w:rPr>
          <w:rFonts w:ascii="Times New Roman" w:hAnsi="Times New Roman"/>
          <w:sz w:val="24"/>
          <w:szCs w:val="24"/>
        </w:rPr>
        <w:t xml:space="preserve"> level is a known risk factor for acute MI, carotid atherosclerosis, stroke and heart failure,</w:t>
      </w:r>
      <w:r>
        <w:rPr>
          <w:rFonts w:ascii="Times New Roman" w:hAnsi="Times New Roman"/>
          <w:noProof/>
          <w:sz w:val="24"/>
          <w:szCs w:val="24"/>
        </w:rPr>
        <w:t>(51, 52)</w:t>
      </w:r>
      <w:r w:rsidRPr="00D5255A">
        <w:rPr>
          <w:rFonts w:ascii="Times New Roman" w:hAnsi="Times New Roman"/>
          <w:sz w:val="24"/>
          <w:szCs w:val="24"/>
        </w:rPr>
        <w:t xml:space="preserve"> the </w:t>
      </w:r>
      <w:r w:rsidRPr="00D5255A">
        <w:rPr>
          <w:rFonts w:ascii="Times New Roman" w:hAnsi="Times New Roman"/>
          <w:i/>
          <w:sz w:val="24"/>
          <w:szCs w:val="24"/>
        </w:rPr>
        <w:t>HP/HPR</w:t>
      </w:r>
      <w:r w:rsidRPr="00D5255A">
        <w:rPr>
          <w:rFonts w:ascii="Times New Roman" w:hAnsi="Times New Roman"/>
          <w:sz w:val="24"/>
          <w:szCs w:val="24"/>
        </w:rPr>
        <w:t xml:space="preserve"> locus has not previously been associated with CAD to our knowledge.</w:t>
      </w:r>
    </w:p>
    <w:p w:rsidR="00210106" w:rsidRPr="00D5255A" w:rsidRDefault="00210106" w:rsidP="0056044A">
      <w:pPr>
        <w:spacing w:after="0" w:line="480" w:lineRule="auto"/>
        <w:ind w:firstLine="720"/>
        <w:jc w:val="both"/>
        <w:rPr>
          <w:rFonts w:ascii="Times New Roman" w:hAnsi="Times New Roman"/>
          <w:sz w:val="24"/>
        </w:rPr>
      </w:pPr>
      <w:r w:rsidRPr="00D5255A">
        <w:rPr>
          <w:rFonts w:ascii="Times New Roman" w:hAnsi="Times New Roman"/>
          <w:sz w:val="24"/>
        </w:rPr>
        <w:lastRenderedPageBreak/>
        <w:t>Large-scale cross-sectional meta-analyses have detected hundreds of genetic associations</w:t>
      </w:r>
      <w:proofErr w:type="gramStart"/>
      <w:r w:rsidRPr="00D5255A">
        <w:rPr>
          <w:rFonts w:ascii="Times New Roman" w:hAnsi="Times New Roman"/>
          <w:sz w:val="24"/>
        </w:rPr>
        <w:t>.</w:t>
      </w:r>
      <w:r w:rsidRPr="00D5255A">
        <w:rPr>
          <w:rFonts w:ascii="Times New Roman" w:hAnsi="Times New Roman"/>
          <w:noProof/>
          <w:sz w:val="24"/>
        </w:rPr>
        <w:t>(</w:t>
      </w:r>
      <w:proofErr w:type="gramEnd"/>
      <w:r w:rsidRPr="00D5255A">
        <w:rPr>
          <w:rFonts w:ascii="Times New Roman" w:hAnsi="Times New Roman"/>
          <w:noProof/>
          <w:sz w:val="24"/>
        </w:rPr>
        <w:t>2)</w:t>
      </w:r>
      <w:r w:rsidRPr="00D5255A">
        <w:rPr>
          <w:rFonts w:ascii="Times New Roman" w:hAnsi="Times New Roman"/>
          <w:sz w:val="24"/>
        </w:rPr>
        <w:t xml:space="preserve"> However, some time-dependent genetic association signals are likely to be hard or impossible to detect using cross-sectional data.</w:t>
      </w:r>
      <w:r w:rsidRPr="00D5255A">
        <w:rPr>
          <w:rFonts w:ascii="Times New Roman" w:hAnsi="Times New Roman"/>
          <w:noProof/>
          <w:sz w:val="24"/>
        </w:rPr>
        <w:t>(11)</w:t>
      </w:r>
      <w:r w:rsidRPr="00D5255A">
        <w:rPr>
          <w:rFonts w:ascii="Times New Roman" w:hAnsi="Times New Roman"/>
          <w:sz w:val="24"/>
        </w:rPr>
        <w:t xml:space="preserve"> In the discovery phase of this study, we utilized the MetaboChip array and selected genetic variants genome-wide </w:t>
      </w:r>
      <w:r>
        <w:rPr>
          <w:rFonts w:ascii="Times New Roman" w:hAnsi="Times New Roman"/>
          <w:sz w:val="24"/>
        </w:rPr>
        <w:t>or</w:t>
      </w:r>
      <w:r w:rsidRPr="00D5255A">
        <w:rPr>
          <w:rFonts w:ascii="Times New Roman" w:hAnsi="Times New Roman"/>
          <w:sz w:val="24"/>
        </w:rPr>
        <w:t xml:space="preserve"> sub-genome-wide significan</w:t>
      </w:r>
      <w:r>
        <w:rPr>
          <w:rFonts w:ascii="Times New Roman" w:hAnsi="Times New Roman"/>
          <w:sz w:val="24"/>
        </w:rPr>
        <w:t>t</w:t>
      </w:r>
      <w:r w:rsidRPr="00D5255A">
        <w:rPr>
          <w:rFonts w:ascii="Times New Roman" w:hAnsi="Times New Roman"/>
          <w:sz w:val="24"/>
        </w:rPr>
        <w:t xml:space="preserve"> cross-sectional lipid association signals for follow-up. We hypothesized that loci that convey time-dependent genetic effects might be hard to detect (i.e., the association </w:t>
      </w:r>
      <w:r w:rsidRPr="00D5255A">
        <w:rPr>
          <w:rFonts w:ascii="Times New Roman" w:hAnsi="Times New Roman"/>
          <w:i/>
          <w:sz w:val="24"/>
        </w:rPr>
        <w:t>P</w:t>
      </w:r>
      <w:r w:rsidRPr="00D5255A">
        <w:rPr>
          <w:rFonts w:ascii="Times New Roman" w:hAnsi="Times New Roman"/>
          <w:sz w:val="24"/>
        </w:rPr>
        <w:t xml:space="preserve"> value may </w:t>
      </w:r>
      <w:r>
        <w:rPr>
          <w:rFonts w:ascii="Times New Roman" w:hAnsi="Times New Roman"/>
          <w:sz w:val="24"/>
        </w:rPr>
        <w:t>be weak</w:t>
      </w:r>
      <w:r w:rsidRPr="00D5255A">
        <w:rPr>
          <w:rFonts w:ascii="Times New Roman" w:hAnsi="Times New Roman"/>
          <w:sz w:val="24"/>
        </w:rPr>
        <w:t xml:space="preserve">) in cross-sectional data, owing to the heterogeneous nature of these signals. By consequence, such loci may not have reached genome-wide significance in GWAS meta-analyses, but may still have been included on the MetaboChip, as the array is enriched with sub-genome-wide significant loci. Despite these advantages, </w:t>
      </w:r>
      <w:r>
        <w:rPr>
          <w:rFonts w:ascii="Times New Roman" w:hAnsi="Times New Roman"/>
          <w:sz w:val="24"/>
        </w:rPr>
        <w:t xml:space="preserve">this array is clearly not genome-wide in coverage and </w:t>
      </w:r>
      <w:r w:rsidRPr="00D5255A">
        <w:rPr>
          <w:rFonts w:ascii="Times New Roman" w:hAnsi="Times New Roman"/>
          <w:sz w:val="24"/>
        </w:rPr>
        <w:t>we may have overlooked other signals for lipid change</w:t>
      </w:r>
      <w:r>
        <w:rPr>
          <w:rFonts w:ascii="Times New Roman" w:hAnsi="Times New Roman"/>
          <w:sz w:val="24"/>
        </w:rPr>
        <w:t>;</w:t>
      </w:r>
      <w:r w:rsidRPr="00D5255A">
        <w:rPr>
          <w:rFonts w:ascii="Times New Roman" w:hAnsi="Times New Roman"/>
          <w:sz w:val="24"/>
        </w:rPr>
        <w:t xml:space="preserve"> </w:t>
      </w:r>
      <w:r>
        <w:rPr>
          <w:rFonts w:ascii="Times New Roman" w:hAnsi="Times New Roman"/>
          <w:sz w:val="24"/>
        </w:rPr>
        <w:t xml:space="preserve">hence, </w:t>
      </w:r>
      <w:r w:rsidRPr="00D5255A">
        <w:rPr>
          <w:rFonts w:ascii="Times New Roman" w:hAnsi="Times New Roman"/>
          <w:sz w:val="24"/>
        </w:rPr>
        <w:t xml:space="preserve">larger scale GWAS meta-analyses focused on long-term changes in lipid levels may yield additional signals. Future studies might also benefit on focusing on other lipids (e.g., LDL-C and HDL-C) and subfractions, which we did not have access to in the present study. It is also the case that most of </w:t>
      </w:r>
      <w:r>
        <w:rPr>
          <w:rFonts w:ascii="Times New Roman" w:hAnsi="Times New Roman"/>
          <w:sz w:val="24"/>
        </w:rPr>
        <w:t>the</w:t>
      </w:r>
      <w:r w:rsidRPr="00D5255A">
        <w:rPr>
          <w:rFonts w:ascii="Times New Roman" w:hAnsi="Times New Roman"/>
          <w:sz w:val="24"/>
        </w:rPr>
        <w:t xml:space="preserve"> top-ranking loci </w:t>
      </w:r>
      <w:r>
        <w:rPr>
          <w:rFonts w:ascii="Times New Roman" w:hAnsi="Times New Roman"/>
          <w:sz w:val="24"/>
        </w:rPr>
        <w:t>in this analysis convey</w:t>
      </w:r>
      <w:r w:rsidRPr="00D5255A">
        <w:rPr>
          <w:rFonts w:ascii="Times New Roman" w:hAnsi="Times New Roman"/>
          <w:sz w:val="24"/>
        </w:rPr>
        <w:t xml:space="preserve"> small effect</w:t>
      </w:r>
      <w:r>
        <w:rPr>
          <w:rFonts w:ascii="Times New Roman" w:hAnsi="Times New Roman"/>
          <w:sz w:val="24"/>
        </w:rPr>
        <w:t>s, consistent with previous findings on the genetics of dyslipidemia.</w:t>
      </w:r>
      <w:r>
        <w:rPr>
          <w:rFonts w:ascii="Times New Roman" w:hAnsi="Times New Roman"/>
          <w:noProof/>
          <w:sz w:val="24"/>
        </w:rPr>
        <w:t>(2, 3, 8, 53)</w:t>
      </w:r>
      <w:r>
        <w:rPr>
          <w:rFonts w:ascii="Times New Roman" w:hAnsi="Times New Roman"/>
          <w:sz w:val="24"/>
        </w:rPr>
        <w:t xml:space="preserve"> </w:t>
      </w:r>
      <w:r w:rsidRPr="00D5255A">
        <w:rPr>
          <w:rFonts w:ascii="Times New Roman" w:hAnsi="Times New Roman"/>
          <w:sz w:val="24"/>
        </w:rPr>
        <w:t>It is important to keep in mind however that variants with small effect sizes may still be physiological</w:t>
      </w:r>
      <w:r>
        <w:rPr>
          <w:rFonts w:ascii="Times New Roman" w:hAnsi="Times New Roman"/>
          <w:sz w:val="24"/>
        </w:rPr>
        <w:t>ly</w:t>
      </w:r>
      <w:r w:rsidRPr="00D5255A">
        <w:rPr>
          <w:rFonts w:ascii="Times New Roman" w:hAnsi="Times New Roman"/>
          <w:sz w:val="24"/>
        </w:rPr>
        <w:t xml:space="preserve"> relevan</w:t>
      </w:r>
      <w:r>
        <w:rPr>
          <w:rFonts w:ascii="Times New Roman" w:hAnsi="Times New Roman"/>
          <w:sz w:val="24"/>
        </w:rPr>
        <w:t>t</w:t>
      </w:r>
      <w:r w:rsidRPr="00D5255A">
        <w:rPr>
          <w:rFonts w:ascii="Times New Roman" w:hAnsi="Times New Roman"/>
          <w:sz w:val="24"/>
        </w:rPr>
        <w:t xml:space="preserve">. For example, variants at </w:t>
      </w:r>
      <w:r w:rsidRPr="00D5255A">
        <w:rPr>
          <w:rFonts w:ascii="Times New Roman" w:hAnsi="Times New Roman"/>
          <w:i/>
          <w:sz w:val="24"/>
        </w:rPr>
        <w:t>HMGCR</w:t>
      </w:r>
      <w:r w:rsidRPr="00D5255A">
        <w:rPr>
          <w:rFonts w:ascii="Times New Roman" w:hAnsi="Times New Roman"/>
          <w:sz w:val="24"/>
        </w:rPr>
        <w:t xml:space="preserve"> (encoding the HMG-CoA reductase enzyme), which plays a crucial role in cholesterol synthesis have relatively small effects on lipids</w:t>
      </w:r>
      <w:proofErr w:type="gramStart"/>
      <w:r w:rsidRPr="00D5255A">
        <w:rPr>
          <w:rFonts w:ascii="Times New Roman" w:hAnsi="Times New Roman"/>
          <w:sz w:val="24"/>
        </w:rPr>
        <w:t>,</w:t>
      </w:r>
      <w:r w:rsidRPr="00D5255A">
        <w:rPr>
          <w:rFonts w:ascii="Times New Roman" w:hAnsi="Times New Roman"/>
          <w:noProof/>
          <w:sz w:val="24"/>
        </w:rPr>
        <w:t>(</w:t>
      </w:r>
      <w:proofErr w:type="gramEnd"/>
      <w:r w:rsidRPr="00D5255A">
        <w:rPr>
          <w:rFonts w:ascii="Times New Roman" w:hAnsi="Times New Roman"/>
          <w:noProof/>
          <w:sz w:val="24"/>
        </w:rPr>
        <w:t>3)</w:t>
      </w:r>
      <w:r w:rsidRPr="00D5255A">
        <w:rPr>
          <w:rFonts w:ascii="Times New Roman" w:hAnsi="Times New Roman"/>
          <w:sz w:val="24"/>
        </w:rPr>
        <w:t xml:space="preserve"> but inhibiting the HMG-CoA reductase enzyme by statins is one of the most powerful and widely-used medical interventions with large effects.</w:t>
      </w:r>
      <w:r>
        <w:rPr>
          <w:rFonts w:ascii="Times New Roman" w:hAnsi="Times New Roman"/>
          <w:noProof/>
          <w:sz w:val="24"/>
        </w:rPr>
        <w:t>(54)</w:t>
      </w:r>
      <w:r w:rsidRPr="00D5255A">
        <w:rPr>
          <w:rFonts w:ascii="Times New Roman" w:hAnsi="Times New Roman"/>
          <w:sz w:val="24"/>
        </w:rPr>
        <w:t xml:space="preserve"> A further limitation to our study is that the meta-analysis only involves Northern European participants, so the results might not be generalizable to other ethnicities.</w:t>
      </w:r>
      <w:r>
        <w:rPr>
          <w:rFonts w:ascii="Times New Roman" w:hAnsi="Times New Roman"/>
          <w:sz w:val="24"/>
        </w:rPr>
        <w:t xml:space="preserve"> </w:t>
      </w:r>
      <w:r w:rsidRPr="00D32AAA">
        <w:rPr>
          <w:rFonts w:ascii="Times New Roman" w:hAnsi="Times New Roman"/>
          <w:sz w:val="24"/>
        </w:rPr>
        <w:t xml:space="preserve">Of note, LMMs are often utilized in prospective association studies with more than two time points. However, in this analysis only two time points were available for analysis. Thus, we assessed genetic associations using slope (lipid level change) as outcome with generalized </w:t>
      </w:r>
      <w:r w:rsidRPr="00D32AAA">
        <w:rPr>
          <w:rFonts w:ascii="Times New Roman" w:hAnsi="Times New Roman"/>
          <w:sz w:val="24"/>
        </w:rPr>
        <w:lastRenderedPageBreak/>
        <w:t>linear models, as described in the Methods. When slope is estimated from data with multiple time-points, P values for the SNPs’ main effects agree perfectly with P values for a SNP × time interaction term from LMMs</w:t>
      </w:r>
      <w:proofErr w:type="gramStart"/>
      <w:r w:rsidRPr="00D32AAA">
        <w:rPr>
          <w:rFonts w:ascii="Times New Roman" w:hAnsi="Times New Roman"/>
          <w:sz w:val="24"/>
        </w:rPr>
        <w:t>.</w:t>
      </w:r>
      <w:r>
        <w:rPr>
          <w:rFonts w:ascii="Times New Roman" w:hAnsi="Times New Roman"/>
          <w:noProof/>
          <w:sz w:val="24"/>
        </w:rPr>
        <w:t>(</w:t>
      </w:r>
      <w:proofErr w:type="gramEnd"/>
      <w:r>
        <w:rPr>
          <w:rFonts w:ascii="Times New Roman" w:hAnsi="Times New Roman"/>
          <w:noProof/>
          <w:sz w:val="24"/>
        </w:rPr>
        <w:t>55)</w:t>
      </w:r>
      <w:r>
        <w:rPr>
          <w:rFonts w:ascii="Times New Roman" w:hAnsi="Times New Roman"/>
          <w:sz w:val="24"/>
        </w:rPr>
        <w:t xml:space="preserve"> </w:t>
      </w:r>
      <w:r w:rsidRPr="00D32AAA">
        <w:rPr>
          <w:rFonts w:ascii="Times New Roman" w:hAnsi="Times New Roman"/>
          <w:sz w:val="24"/>
        </w:rPr>
        <w:t>When data at only two-time points are available, however, independently of method, one cannot accurately distinguish between measurement error and real change. Hence, the magnitude of the effect and its statistical significance may be under or over estimated. To help address these limitations we undertook replication analyses and functional annotation in independent materials.</w:t>
      </w:r>
    </w:p>
    <w:p w:rsidR="00210106" w:rsidRPr="00D5255A" w:rsidRDefault="00210106" w:rsidP="008D3F50">
      <w:pPr>
        <w:spacing w:after="0" w:line="480" w:lineRule="auto"/>
        <w:ind w:firstLine="720"/>
        <w:jc w:val="both"/>
        <w:rPr>
          <w:rFonts w:ascii="Times New Roman" w:hAnsi="Times New Roman"/>
          <w:sz w:val="24"/>
          <w:szCs w:val="24"/>
        </w:rPr>
      </w:pPr>
      <w:r w:rsidRPr="00D5255A">
        <w:rPr>
          <w:rFonts w:ascii="Times New Roman" w:hAnsi="Times New Roman"/>
          <w:sz w:val="24"/>
          <w:szCs w:val="24"/>
        </w:rPr>
        <w:t xml:space="preserve">In conclusion, we discovered and replicated associations between numerous genetic variants and long-term deteriorations in blood lipid concentrations. Through meta-analysis of data from multiple Northern European prospective cohort studies we identified </w:t>
      </w:r>
      <w:r>
        <w:rPr>
          <w:rFonts w:ascii="Times New Roman" w:hAnsi="Times New Roman"/>
          <w:sz w:val="24"/>
          <w:szCs w:val="24"/>
        </w:rPr>
        <w:t>seven</w:t>
      </w:r>
      <w:r w:rsidRPr="00D5255A">
        <w:rPr>
          <w:rFonts w:ascii="Times New Roman" w:hAnsi="Times New Roman"/>
          <w:sz w:val="24"/>
          <w:szCs w:val="24"/>
        </w:rPr>
        <w:t xml:space="preserve"> additional loci robustly associated with long-term lipid changes, </w:t>
      </w:r>
      <w:r>
        <w:rPr>
          <w:rFonts w:ascii="Times New Roman" w:hAnsi="Times New Roman"/>
          <w:sz w:val="24"/>
          <w:szCs w:val="24"/>
        </w:rPr>
        <w:t>from which</w:t>
      </w:r>
      <w:r w:rsidRPr="00D5255A">
        <w:rPr>
          <w:rFonts w:ascii="Times New Roman" w:hAnsi="Times New Roman"/>
          <w:sz w:val="24"/>
          <w:szCs w:val="24"/>
        </w:rPr>
        <w:t xml:space="preserve"> three regions </w:t>
      </w:r>
      <w:r>
        <w:rPr>
          <w:rFonts w:ascii="Times New Roman" w:hAnsi="Times New Roman"/>
          <w:sz w:val="24"/>
          <w:szCs w:val="24"/>
        </w:rPr>
        <w:t xml:space="preserve">also demonstrated suggestive evidence for association with </w:t>
      </w:r>
      <w:r w:rsidRPr="00D5255A">
        <w:rPr>
          <w:rFonts w:ascii="Times New Roman" w:hAnsi="Times New Roman"/>
          <w:sz w:val="24"/>
          <w:szCs w:val="24"/>
        </w:rPr>
        <w:t>CAD. We also demonstrate that several of these loci are likely to interfere with gene function across different tissues. Future studies will be required to determine whether interactions with environmental factors that change with age underlie these time-dependent associations.</w:t>
      </w:r>
      <w:r w:rsidRPr="00D5255A">
        <w:rPr>
          <w:rFonts w:ascii="Times New Roman" w:hAnsi="Times New Roman"/>
          <w:sz w:val="24"/>
          <w:szCs w:val="24"/>
        </w:rPr>
        <w:br w:type="page"/>
      </w:r>
    </w:p>
    <w:p w:rsidR="00210106" w:rsidRPr="00D5255A" w:rsidRDefault="00210106" w:rsidP="00D1110C">
      <w:pPr>
        <w:pStyle w:val="Heading1"/>
        <w:spacing w:before="0" w:after="0" w:line="480" w:lineRule="auto"/>
        <w:rPr>
          <w:rFonts w:ascii="Times New Roman" w:hAnsi="Times New Roman"/>
          <w:sz w:val="24"/>
          <w:szCs w:val="24"/>
        </w:rPr>
      </w:pPr>
      <w:r w:rsidRPr="00D5255A">
        <w:rPr>
          <w:rFonts w:ascii="Times New Roman" w:hAnsi="Times New Roman"/>
          <w:sz w:val="24"/>
          <w:szCs w:val="24"/>
        </w:rPr>
        <w:lastRenderedPageBreak/>
        <w:t>Acknowledgements</w:t>
      </w:r>
    </w:p>
    <w:p w:rsidR="00210106" w:rsidRPr="00D5255A" w:rsidRDefault="00210106" w:rsidP="00AC4C5A">
      <w:pPr>
        <w:spacing w:after="0" w:line="480" w:lineRule="auto"/>
        <w:ind w:firstLine="720"/>
        <w:jc w:val="both"/>
        <w:rPr>
          <w:rFonts w:ascii="Times New Roman" w:hAnsi="Times New Roman"/>
          <w:sz w:val="24"/>
          <w:szCs w:val="24"/>
        </w:rPr>
      </w:pPr>
      <w:r w:rsidRPr="00D5255A">
        <w:rPr>
          <w:rFonts w:ascii="Times New Roman" w:hAnsi="Times New Roman"/>
          <w:sz w:val="24"/>
          <w:szCs w:val="24"/>
        </w:rPr>
        <w:t xml:space="preserve">GLACIER: We thank the participants, health professionals and data managers involved in the Västerbotten Intervention Project. We are also grateful to the staff of the Northern Sweden Biobank for preparing materials and to K </w:t>
      </w:r>
      <w:proofErr w:type="spellStart"/>
      <w:r w:rsidRPr="00D5255A">
        <w:rPr>
          <w:rFonts w:ascii="Times New Roman" w:hAnsi="Times New Roman"/>
          <w:sz w:val="24"/>
          <w:szCs w:val="24"/>
        </w:rPr>
        <w:t>Enqvist</w:t>
      </w:r>
      <w:proofErr w:type="spellEnd"/>
      <w:r w:rsidRPr="00D5255A">
        <w:rPr>
          <w:rFonts w:ascii="Times New Roman" w:hAnsi="Times New Roman"/>
          <w:sz w:val="24"/>
          <w:szCs w:val="24"/>
        </w:rPr>
        <w:t xml:space="preserve"> and T Johansson (</w:t>
      </w:r>
      <w:proofErr w:type="spellStart"/>
      <w:r w:rsidRPr="00D5255A">
        <w:rPr>
          <w:rFonts w:ascii="Times New Roman" w:hAnsi="Times New Roman"/>
          <w:sz w:val="24"/>
          <w:szCs w:val="24"/>
        </w:rPr>
        <w:t>Västerbottens</w:t>
      </w:r>
      <w:proofErr w:type="spellEnd"/>
      <w:r w:rsidRPr="00D5255A">
        <w:rPr>
          <w:rFonts w:ascii="Times New Roman" w:hAnsi="Times New Roman"/>
          <w:sz w:val="24"/>
          <w:szCs w:val="24"/>
        </w:rPr>
        <w:t xml:space="preserve"> County Council, Umeå, Sweden) for DNA preparation. MDC: We thank the participants, health professionals, data managers and biobank staff involved in the Malmö Diet and Cancer Study. We also thank M </w:t>
      </w:r>
      <w:proofErr w:type="spellStart"/>
      <w:r w:rsidRPr="00D5255A">
        <w:rPr>
          <w:rFonts w:ascii="Times New Roman" w:hAnsi="Times New Roman"/>
          <w:sz w:val="24"/>
          <w:szCs w:val="24"/>
        </w:rPr>
        <w:t>Svensson</w:t>
      </w:r>
      <w:proofErr w:type="spellEnd"/>
      <w:r w:rsidRPr="00D5255A">
        <w:rPr>
          <w:rFonts w:ascii="Times New Roman" w:hAnsi="Times New Roman"/>
          <w:sz w:val="24"/>
          <w:szCs w:val="24"/>
        </w:rPr>
        <w:t xml:space="preserve"> and W </w:t>
      </w:r>
      <w:proofErr w:type="spellStart"/>
      <w:r w:rsidRPr="00D5255A">
        <w:rPr>
          <w:rFonts w:ascii="Times New Roman" w:hAnsi="Times New Roman"/>
          <w:sz w:val="24"/>
          <w:szCs w:val="24"/>
        </w:rPr>
        <w:t>Tas</w:t>
      </w:r>
      <w:proofErr w:type="spellEnd"/>
      <w:r w:rsidRPr="00D5255A">
        <w:rPr>
          <w:rFonts w:ascii="Times New Roman" w:hAnsi="Times New Roman"/>
          <w:sz w:val="24"/>
          <w:szCs w:val="24"/>
        </w:rPr>
        <w:t xml:space="preserve"> for excellent technical assistance. PIVUS/ULSAM:</w:t>
      </w:r>
      <w:r w:rsidRPr="00D5255A">
        <w:t xml:space="preserve"> </w:t>
      </w:r>
      <w:r w:rsidRPr="00D5255A">
        <w:rPr>
          <w:rFonts w:ascii="Times New Roman" w:hAnsi="Times New Roman"/>
          <w:sz w:val="24"/>
          <w:szCs w:val="24"/>
        </w:rPr>
        <w:t>Parts of the analyses were performed on resources provided by SNIC through Uppsala Multidisciplinary Center for Advanced Computational Science (UPPMAX) under Project b2011036. Genotyping was performed by the SNP&amp;SEQ Technology Platform in Uppsala (</w:t>
      </w:r>
      <w:hyperlink r:id="rId8" w:history="1">
        <w:r w:rsidRPr="00D5255A">
          <w:rPr>
            <w:rStyle w:val="Hyperlink"/>
            <w:rFonts w:ascii="Times New Roman" w:hAnsi="Times New Roman"/>
            <w:sz w:val="24"/>
            <w:szCs w:val="24"/>
          </w:rPr>
          <w:t>www.genotyping.se</w:t>
        </w:r>
      </w:hyperlink>
      <w:r w:rsidRPr="00D5255A">
        <w:rPr>
          <w:rFonts w:ascii="Times New Roman" w:hAnsi="Times New Roman"/>
          <w:sz w:val="24"/>
          <w:szCs w:val="24"/>
        </w:rPr>
        <w:t>).</w:t>
      </w:r>
      <w:r>
        <w:rPr>
          <w:rFonts w:ascii="Times New Roman" w:hAnsi="Times New Roman"/>
          <w:sz w:val="24"/>
          <w:szCs w:val="24"/>
        </w:rPr>
        <w:t xml:space="preserve"> T</w:t>
      </w:r>
      <w:r w:rsidRPr="00AC4C5A">
        <w:rPr>
          <w:rFonts w:ascii="Times New Roman" w:hAnsi="Times New Roman"/>
          <w:sz w:val="24"/>
          <w:szCs w:val="24"/>
        </w:rPr>
        <w:t>hose acknowledged have confirmed their agreement</w:t>
      </w:r>
      <w:r>
        <w:rPr>
          <w:rFonts w:ascii="Times New Roman" w:hAnsi="Times New Roman"/>
          <w:sz w:val="24"/>
          <w:szCs w:val="24"/>
        </w:rPr>
        <w:t>. TVV and PWF have checked the references for accuracy and completeness. This material has not been published elsewhere. The manuscript has been carefully edited by the authors with an excellent mastery of the English language. PWF will act as guarantor for the paper.</w:t>
      </w:r>
    </w:p>
    <w:p w:rsidR="00210106" w:rsidRPr="00D5255A" w:rsidRDefault="00210106" w:rsidP="008A6223">
      <w:pPr>
        <w:spacing w:after="0" w:line="480" w:lineRule="auto"/>
        <w:ind w:firstLine="720"/>
        <w:jc w:val="both"/>
        <w:rPr>
          <w:rFonts w:ascii="Times New Roman" w:hAnsi="Times New Roman"/>
          <w:sz w:val="24"/>
          <w:szCs w:val="24"/>
        </w:rPr>
      </w:pPr>
    </w:p>
    <w:p w:rsidR="00210106" w:rsidRPr="00D5255A" w:rsidRDefault="00210106" w:rsidP="00F74367">
      <w:pPr>
        <w:pStyle w:val="Heading1"/>
        <w:spacing w:before="0" w:after="0" w:line="480" w:lineRule="auto"/>
        <w:rPr>
          <w:rFonts w:ascii="Times New Roman" w:hAnsi="Times New Roman"/>
          <w:sz w:val="24"/>
          <w:szCs w:val="24"/>
        </w:rPr>
      </w:pPr>
      <w:r w:rsidRPr="00D5255A">
        <w:rPr>
          <w:rFonts w:ascii="Times New Roman" w:hAnsi="Times New Roman"/>
          <w:sz w:val="24"/>
          <w:szCs w:val="24"/>
        </w:rPr>
        <w:t>CONFLICT OF INTEREST STAtement</w:t>
      </w:r>
    </w:p>
    <w:p w:rsidR="00210106" w:rsidRPr="00D5255A" w:rsidRDefault="00210106" w:rsidP="00F74367">
      <w:pPr>
        <w:spacing w:after="0" w:line="480" w:lineRule="auto"/>
        <w:ind w:firstLine="720"/>
        <w:jc w:val="both"/>
        <w:rPr>
          <w:rFonts w:ascii="Times New Roman" w:hAnsi="Times New Roman"/>
          <w:sz w:val="24"/>
          <w:szCs w:val="24"/>
        </w:rPr>
      </w:pPr>
      <w:r>
        <w:rPr>
          <w:rFonts w:ascii="Times New Roman" w:hAnsi="Times New Roman"/>
          <w:sz w:val="24"/>
          <w:szCs w:val="24"/>
        </w:rPr>
        <w:t>PWF</w:t>
      </w:r>
      <w:r w:rsidRPr="005F7ED4">
        <w:rPr>
          <w:rFonts w:ascii="Times New Roman" w:hAnsi="Times New Roman"/>
          <w:sz w:val="24"/>
          <w:szCs w:val="24"/>
        </w:rPr>
        <w:t xml:space="preserve"> has been </w:t>
      </w:r>
      <w:r>
        <w:rPr>
          <w:rFonts w:ascii="Times New Roman" w:hAnsi="Times New Roman"/>
          <w:sz w:val="24"/>
          <w:szCs w:val="24"/>
        </w:rPr>
        <w:t xml:space="preserve">a </w:t>
      </w:r>
      <w:r w:rsidRPr="005F7ED4">
        <w:rPr>
          <w:rFonts w:ascii="Times New Roman" w:hAnsi="Times New Roman"/>
          <w:sz w:val="24"/>
          <w:szCs w:val="24"/>
        </w:rPr>
        <w:t>paid consultant for Eli Lilly and Sanofi Aventis and has received research support from several pharmaceutical companies as part of European Union Innovative Medicines Initiative (IMI) project</w:t>
      </w:r>
      <w:r>
        <w:rPr>
          <w:rFonts w:ascii="Times New Roman" w:hAnsi="Times New Roman"/>
          <w:sz w:val="24"/>
          <w:szCs w:val="24"/>
        </w:rPr>
        <w:t>s</w:t>
      </w:r>
      <w:r w:rsidRPr="005F7ED4">
        <w:rPr>
          <w:rFonts w:ascii="Times New Roman" w:hAnsi="Times New Roman"/>
          <w:sz w:val="24"/>
          <w:szCs w:val="24"/>
        </w:rPr>
        <w:t>.</w:t>
      </w:r>
      <w:r w:rsidRPr="00D5255A">
        <w:rPr>
          <w:rFonts w:ascii="Times New Roman" w:hAnsi="Times New Roman"/>
          <w:sz w:val="24"/>
          <w:szCs w:val="24"/>
        </w:rPr>
        <w:br w:type="page"/>
      </w:r>
    </w:p>
    <w:p w:rsidR="00210106" w:rsidRPr="00D5255A" w:rsidRDefault="00210106" w:rsidP="00F74367">
      <w:pPr>
        <w:pStyle w:val="Heading1"/>
        <w:spacing w:line="480" w:lineRule="auto"/>
        <w:rPr>
          <w:rFonts w:ascii="Times New Roman" w:hAnsi="Times New Roman"/>
          <w:sz w:val="24"/>
          <w:szCs w:val="24"/>
        </w:rPr>
      </w:pPr>
      <w:r w:rsidRPr="00D5255A">
        <w:rPr>
          <w:rFonts w:ascii="Times New Roman" w:hAnsi="Times New Roman"/>
          <w:sz w:val="24"/>
          <w:szCs w:val="24"/>
        </w:rPr>
        <w:lastRenderedPageBreak/>
        <w:t>References</w:t>
      </w:r>
    </w:p>
    <w:p w:rsidR="00210106" w:rsidRPr="00980C59" w:rsidRDefault="00210106" w:rsidP="00980C59">
      <w:pPr>
        <w:pStyle w:val="EndNoteBibliography"/>
        <w:spacing w:after="0" w:line="480" w:lineRule="auto"/>
        <w:rPr>
          <w:rFonts w:ascii="Times New Roman" w:hAnsi="Times New Roman"/>
          <w:noProof/>
          <w:sz w:val="24"/>
          <w:szCs w:val="24"/>
        </w:rPr>
      </w:pPr>
      <w:bookmarkStart w:id="1" w:name="_ENREF_1"/>
      <w:r w:rsidRPr="00980C59">
        <w:rPr>
          <w:rFonts w:ascii="Times New Roman" w:hAnsi="Times New Roman"/>
          <w:noProof/>
          <w:sz w:val="24"/>
          <w:szCs w:val="24"/>
        </w:rPr>
        <w:t>1.</w:t>
      </w:r>
      <w:r w:rsidRPr="00980C59">
        <w:rPr>
          <w:rFonts w:ascii="Times New Roman" w:hAnsi="Times New Roman"/>
          <w:noProof/>
          <w:sz w:val="24"/>
          <w:szCs w:val="24"/>
        </w:rPr>
        <w:tab/>
        <w:t>Shah S, Casas JP, Gaunt TR, Cooper J, Drenos F, Zabaneh D, et al. Influence of common genetic variation on blood lipid levels, cardiovascular risk, and coronary events in two British prospective cohort studies. European heart journal. 2013;34(13):972-81.</w:t>
      </w:r>
      <w:bookmarkEnd w:id="1"/>
    </w:p>
    <w:p w:rsidR="00210106" w:rsidRPr="00980C59" w:rsidRDefault="00210106" w:rsidP="00980C59">
      <w:pPr>
        <w:pStyle w:val="EndNoteBibliography"/>
        <w:spacing w:after="0" w:line="480" w:lineRule="auto"/>
        <w:rPr>
          <w:rFonts w:ascii="Times New Roman" w:hAnsi="Times New Roman"/>
          <w:noProof/>
          <w:sz w:val="24"/>
          <w:szCs w:val="24"/>
        </w:rPr>
      </w:pPr>
      <w:bookmarkStart w:id="2" w:name="_ENREF_2"/>
      <w:r w:rsidRPr="00980C59">
        <w:rPr>
          <w:rFonts w:ascii="Times New Roman" w:hAnsi="Times New Roman"/>
          <w:noProof/>
          <w:sz w:val="24"/>
          <w:szCs w:val="24"/>
        </w:rPr>
        <w:t>2.</w:t>
      </w:r>
      <w:r w:rsidRPr="00980C59">
        <w:rPr>
          <w:rFonts w:ascii="Times New Roman" w:hAnsi="Times New Roman"/>
          <w:noProof/>
          <w:sz w:val="24"/>
          <w:szCs w:val="24"/>
        </w:rPr>
        <w:tab/>
        <w:t>Global Lipids Genetics C, Willer CJ, Schmidt EM, Sengupta S, Peloso GM, Gustafsson S, et al. Discovery and refinement of loci associated with lipid levels. Nature genetics. 2013;45:1274-83.</w:t>
      </w:r>
      <w:bookmarkEnd w:id="2"/>
    </w:p>
    <w:p w:rsidR="00210106" w:rsidRPr="00980C59" w:rsidRDefault="00210106" w:rsidP="00980C59">
      <w:pPr>
        <w:pStyle w:val="EndNoteBibliography"/>
        <w:spacing w:after="0" w:line="480" w:lineRule="auto"/>
        <w:rPr>
          <w:rFonts w:ascii="Times New Roman" w:hAnsi="Times New Roman"/>
          <w:noProof/>
          <w:sz w:val="24"/>
          <w:szCs w:val="24"/>
        </w:rPr>
      </w:pPr>
      <w:bookmarkStart w:id="3" w:name="_ENREF_3"/>
      <w:r w:rsidRPr="00980C59">
        <w:rPr>
          <w:rFonts w:ascii="Times New Roman" w:hAnsi="Times New Roman"/>
          <w:noProof/>
          <w:sz w:val="24"/>
          <w:szCs w:val="24"/>
        </w:rPr>
        <w:t>3.</w:t>
      </w:r>
      <w:r w:rsidRPr="00980C59">
        <w:rPr>
          <w:rFonts w:ascii="Times New Roman" w:hAnsi="Times New Roman"/>
          <w:noProof/>
          <w:sz w:val="24"/>
          <w:szCs w:val="24"/>
        </w:rPr>
        <w:tab/>
        <w:t>Teslovich TM, Musunuru K, Smith AV, Edmondson AC, Stylianou IM, Koseki M, et al. Biological, clinical and population relevance of 95 loci for blood lipids. Nature. 2010;466(7307):707-13.</w:t>
      </w:r>
      <w:bookmarkEnd w:id="3"/>
    </w:p>
    <w:p w:rsidR="00210106" w:rsidRPr="00980C59" w:rsidRDefault="00210106" w:rsidP="00980C59">
      <w:pPr>
        <w:pStyle w:val="EndNoteBibliography"/>
        <w:spacing w:after="0" w:line="480" w:lineRule="auto"/>
        <w:rPr>
          <w:rFonts w:ascii="Times New Roman" w:hAnsi="Times New Roman"/>
          <w:noProof/>
          <w:sz w:val="24"/>
          <w:szCs w:val="24"/>
        </w:rPr>
      </w:pPr>
      <w:bookmarkStart w:id="4" w:name="_ENREF_4"/>
      <w:r w:rsidRPr="00980C59">
        <w:rPr>
          <w:rFonts w:ascii="Times New Roman" w:hAnsi="Times New Roman"/>
          <w:noProof/>
          <w:sz w:val="24"/>
          <w:szCs w:val="24"/>
        </w:rPr>
        <w:t>4.</w:t>
      </w:r>
      <w:r w:rsidRPr="00980C59">
        <w:rPr>
          <w:rFonts w:ascii="Times New Roman" w:hAnsi="Times New Roman"/>
          <w:noProof/>
          <w:sz w:val="24"/>
          <w:szCs w:val="24"/>
        </w:rPr>
        <w:tab/>
        <w:t>Do R, Willer CJ, Schmidt EM, Sengupta S, Gao C, Peloso GM, et al. Common variants associated with plasma triglycerides and risk for coronary artery disease. Nature genetics. 2013.</w:t>
      </w:r>
      <w:bookmarkEnd w:id="4"/>
    </w:p>
    <w:p w:rsidR="00210106" w:rsidRPr="00980C59" w:rsidRDefault="00210106" w:rsidP="00980C59">
      <w:pPr>
        <w:pStyle w:val="EndNoteBibliography"/>
        <w:spacing w:after="0" w:line="480" w:lineRule="auto"/>
        <w:rPr>
          <w:rFonts w:ascii="Times New Roman" w:hAnsi="Times New Roman"/>
          <w:noProof/>
          <w:sz w:val="24"/>
          <w:szCs w:val="24"/>
        </w:rPr>
      </w:pPr>
      <w:bookmarkStart w:id="5" w:name="_ENREF_5"/>
      <w:r w:rsidRPr="00980C59">
        <w:rPr>
          <w:rFonts w:ascii="Times New Roman" w:hAnsi="Times New Roman"/>
          <w:noProof/>
          <w:sz w:val="24"/>
          <w:szCs w:val="24"/>
        </w:rPr>
        <w:t>5.</w:t>
      </w:r>
      <w:r w:rsidRPr="00980C59">
        <w:rPr>
          <w:rFonts w:ascii="Times New Roman" w:hAnsi="Times New Roman"/>
          <w:noProof/>
          <w:sz w:val="24"/>
          <w:szCs w:val="24"/>
        </w:rPr>
        <w:tab/>
        <w:t>Consortium CAD, Deloukas P, Kanoni S, Willenborg C, Farrall M, Assimes TL, et al. Large-scale association analysis identifies new risk loci for coronary artery disease. Nature genetics. 2013;45(1):25-33.</w:t>
      </w:r>
      <w:bookmarkEnd w:id="5"/>
    </w:p>
    <w:p w:rsidR="00210106" w:rsidRPr="00980C59" w:rsidRDefault="00210106" w:rsidP="00980C59">
      <w:pPr>
        <w:pStyle w:val="EndNoteBibliography"/>
        <w:spacing w:after="0" w:line="480" w:lineRule="auto"/>
        <w:rPr>
          <w:rFonts w:ascii="Times New Roman" w:hAnsi="Times New Roman"/>
          <w:noProof/>
          <w:sz w:val="24"/>
          <w:szCs w:val="24"/>
        </w:rPr>
      </w:pPr>
      <w:bookmarkStart w:id="6" w:name="_ENREF_6"/>
      <w:r w:rsidRPr="00980C59">
        <w:rPr>
          <w:rFonts w:ascii="Times New Roman" w:hAnsi="Times New Roman"/>
          <w:noProof/>
          <w:sz w:val="24"/>
          <w:szCs w:val="24"/>
        </w:rPr>
        <w:t>6.</w:t>
      </w:r>
      <w:r w:rsidRPr="00980C59">
        <w:rPr>
          <w:rFonts w:ascii="Times New Roman" w:hAnsi="Times New Roman"/>
          <w:noProof/>
          <w:sz w:val="24"/>
          <w:szCs w:val="24"/>
        </w:rPr>
        <w:tab/>
        <w:t>Lu Y, Feskens EJ, Boer JM, Imholz S, Verschuren WM, Wijmenga C, et al. Exploring genetic determinants of plasma total cholesterol levels and their predictive value in a longitudinal study. Atherosclerosis. 2010;213(1):200-5.</w:t>
      </w:r>
      <w:bookmarkEnd w:id="6"/>
    </w:p>
    <w:p w:rsidR="00210106" w:rsidRPr="00980C59" w:rsidRDefault="00210106" w:rsidP="00980C59">
      <w:pPr>
        <w:pStyle w:val="EndNoteBibliography"/>
        <w:spacing w:after="0" w:line="480" w:lineRule="auto"/>
        <w:rPr>
          <w:rFonts w:ascii="Times New Roman" w:hAnsi="Times New Roman"/>
          <w:noProof/>
          <w:sz w:val="24"/>
          <w:szCs w:val="24"/>
        </w:rPr>
      </w:pPr>
      <w:bookmarkStart w:id="7" w:name="_ENREF_7"/>
      <w:r w:rsidRPr="00980C59">
        <w:rPr>
          <w:rFonts w:ascii="Times New Roman" w:hAnsi="Times New Roman"/>
          <w:noProof/>
          <w:sz w:val="24"/>
          <w:szCs w:val="24"/>
        </w:rPr>
        <w:t>7.</w:t>
      </w:r>
      <w:r w:rsidRPr="00980C59">
        <w:rPr>
          <w:rFonts w:ascii="Times New Roman" w:hAnsi="Times New Roman"/>
          <w:noProof/>
          <w:sz w:val="24"/>
          <w:szCs w:val="24"/>
        </w:rPr>
        <w:tab/>
        <w:t>Lutsey PL, Rasmussen-Torvik LJ, Pankow JS, Alonso A, Smolenski DJ, Tang W, et al. Relation of lipid gene scores to longitudinal trends in lipid levels and incidence of abnormal lipid levels among individuals of European ancestry: the Atherosclerosis Risk in Communities (ARIC) study. Circulation Cardiovascular genetics. 2012;5(1):73-80.</w:t>
      </w:r>
      <w:bookmarkEnd w:id="7"/>
    </w:p>
    <w:p w:rsidR="00210106" w:rsidRPr="00980C59" w:rsidRDefault="00210106" w:rsidP="00980C59">
      <w:pPr>
        <w:pStyle w:val="EndNoteBibliography"/>
        <w:spacing w:after="0" w:line="480" w:lineRule="auto"/>
        <w:rPr>
          <w:rFonts w:ascii="Times New Roman" w:hAnsi="Times New Roman"/>
          <w:noProof/>
          <w:sz w:val="24"/>
          <w:szCs w:val="24"/>
          <w:lang w:val="sv-SE"/>
        </w:rPr>
      </w:pPr>
      <w:bookmarkStart w:id="8" w:name="_ENREF_8"/>
      <w:r w:rsidRPr="00980C59">
        <w:rPr>
          <w:rFonts w:ascii="Times New Roman" w:hAnsi="Times New Roman"/>
          <w:noProof/>
          <w:sz w:val="24"/>
          <w:szCs w:val="24"/>
        </w:rPr>
        <w:lastRenderedPageBreak/>
        <w:t>8.</w:t>
      </w:r>
      <w:r w:rsidRPr="00980C59">
        <w:rPr>
          <w:rFonts w:ascii="Times New Roman" w:hAnsi="Times New Roman"/>
          <w:noProof/>
          <w:sz w:val="24"/>
          <w:szCs w:val="24"/>
        </w:rPr>
        <w:tab/>
        <w:t xml:space="preserve">Varga TV, Sonestedt E, Shungin D, Koivula RW, Hallmans G, Escher SA, et al. Genetic determinants of long-term changes in blood lipid concentrations: 10-year follow-up of the GLACIER study. </w:t>
      </w:r>
      <w:r w:rsidRPr="00980C59">
        <w:rPr>
          <w:rFonts w:ascii="Times New Roman" w:hAnsi="Times New Roman"/>
          <w:noProof/>
          <w:sz w:val="24"/>
          <w:szCs w:val="24"/>
          <w:lang w:val="sv-SE"/>
        </w:rPr>
        <w:t>PLoS genetics. 2014;10(6):e1004388.</w:t>
      </w:r>
      <w:bookmarkEnd w:id="8"/>
    </w:p>
    <w:p w:rsidR="00210106" w:rsidRPr="00980C59" w:rsidRDefault="00210106" w:rsidP="00980C59">
      <w:pPr>
        <w:pStyle w:val="EndNoteBibliography"/>
        <w:spacing w:after="0" w:line="480" w:lineRule="auto"/>
        <w:rPr>
          <w:rFonts w:ascii="Times New Roman" w:hAnsi="Times New Roman"/>
          <w:noProof/>
          <w:sz w:val="24"/>
          <w:szCs w:val="24"/>
        </w:rPr>
      </w:pPr>
      <w:bookmarkStart w:id="9" w:name="_ENREF_9"/>
      <w:r w:rsidRPr="00980C59">
        <w:rPr>
          <w:rFonts w:ascii="Times New Roman" w:hAnsi="Times New Roman"/>
          <w:noProof/>
          <w:sz w:val="24"/>
          <w:szCs w:val="24"/>
          <w:lang w:val="sv-SE"/>
        </w:rPr>
        <w:t>9.</w:t>
      </w:r>
      <w:r w:rsidRPr="00980C59">
        <w:rPr>
          <w:rFonts w:ascii="Times New Roman" w:hAnsi="Times New Roman"/>
          <w:noProof/>
          <w:sz w:val="24"/>
          <w:szCs w:val="24"/>
          <w:lang w:val="sv-SE"/>
        </w:rPr>
        <w:tab/>
        <w:t xml:space="preserve">Brouwers MC, Kono N, van Greevenbroek MM, van der Kallen CJ, Lusis AJ, de Bruin TW, et al. </w:t>
      </w:r>
      <w:r w:rsidRPr="00980C59">
        <w:rPr>
          <w:rFonts w:ascii="Times New Roman" w:hAnsi="Times New Roman"/>
          <w:noProof/>
          <w:sz w:val="24"/>
          <w:szCs w:val="24"/>
        </w:rPr>
        <w:t>Longitudinal differences in familial combined hyperlipidemia quantitative trait loci. Arteriosclerosis, thrombosis, and vascular biology. 2006;26(6):e118-9.</w:t>
      </w:r>
      <w:bookmarkEnd w:id="9"/>
    </w:p>
    <w:p w:rsidR="00210106" w:rsidRPr="00980C59" w:rsidRDefault="00210106" w:rsidP="00980C59">
      <w:pPr>
        <w:pStyle w:val="EndNoteBibliography"/>
        <w:spacing w:after="0" w:line="480" w:lineRule="auto"/>
        <w:rPr>
          <w:rFonts w:ascii="Times New Roman" w:hAnsi="Times New Roman"/>
          <w:noProof/>
          <w:sz w:val="24"/>
          <w:szCs w:val="24"/>
        </w:rPr>
      </w:pPr>
      <w:bookmarkStart w:id="10" w:name="_ENREF_10"/>
      <w:r w:rsidRPr="00980C59">
        <w:rPr>
          <w:rFonts w:ascii="Times New Roman" w:hAnsi="Times New Roman"/>
          <w:noProof/>
          <w:sz w:val="24"/>
          <w:szCs w:val="24"/>
        </w:rPr>
        <w:t>10.</w:t>
      </w:r>
      <w:r w:rsidRPr="00980C59">
        <w:rPr>
          <w:rFonts w:ascii="Times New Roman" w:hAnsi="Times New Roman"/>
          <w:noProof/>
          <w:sz w:val="24"/>
          <w:szCs w:val="24"/>
        </w:rPr>
        <w:tab/>
        <w:t>Dumitrescu L, Carty CL, Franceschini N, Hindorff LA, Cole SA, Buzkova P, et al. Post-genome-wide association study challenges for lipid traits: describing age as a modifier of gene-lipid associations in the Population Architecture using Genomics and Epidemiology (PAGE) study. Annals of human genetics. 2013;77(5):416-25.</w:t>
      </w:r>
      <w:bookmarkEnd w:id="10"/>
    </w:p>
    <w:p w:rsidR="00210106" w:rsidRPr="00980C59" w:rsidRDefault="00210106" w:rsidP="00980C59">
      <w:pPr>
        <w:pStyle w:val="EndNoteBibliography"/>
        <w:spacing w:after="0" w:line="480" w:lineRule="auto"/>
        <w:rPr>
          <w:rFonts w:ascii="Times New Roman" w:hAnsi="Times New Roman"/>
          <w:noProof/>
          <w:sz w:val="24"/>
          <w:szCs w:val="24"/>
        </w:rPr>
      </w:pPr>
      <w:bookmarkStart w:id="11" w:name="_ENREF_11"/>
      <w:r w:rsidRPr="00980C59">
        <w:rPr>
          <w:rFonts w:ascii="Times New Roman" w:hAnsi="Times New Roman"/>
          <w:noProof/>
          <w:sz w:val="24"/>
          <w:szCs w:val="24"/>
        </w:rPr>
        <w:t>11.</w:t>
      </w:r>
      <w:r w:rsidRPr="00980C59">
        <w:rPr>
          <w:rFonts w:ascii="Times New Roman" w:hAnsi="Times New Roman"/>
          <w:noProof/>
          <w:sz w:val="24"/>
          <w:szCs w:val="24"/>
        </w:rPr>
        <w:tab/>
        <w:t>Kurbasic A, Poveda A, Chen Y, Agren A, Engberg E, Hu FB, et al. Gene-Lifestyle Interactions in Complex Diseases: Design and Description of the GLACIER and VIKING Studies. Current nutrition reports. 2014;3(4):400-11.</w:t>
      </w:r>
      <w:bookmarkEnd w:id="11"/>
    </w:p>
    <w:p w:rsidR="00210106" w:rsidRPr="00980C59" w:rsidRDefault="00210106" w:rsidP="00980C59">
      <w:pPr>
        <w:pStyle w:val="EndNoteBibliography"/>
        <w:spacing w:after="0" w:line="480" w:lineRule="auto"/>
        <w:rPr>
          <w:rFonts w:ascii="Times New Roman" w:hAnsi="Times New Roman"/>
          <w:noProof/>
          <w:sz w:val="24"/>
          <w:szCs w:val="24"/>
        </w:rPr>
      </w:pPr>
      <w:bookmarkStart w:id="12" w:name="_ENREF_12"/>
      <w:r w:rsidRPr="00980C59">
        <w:rPr>
          <w:rFonts w:ascii="Times New Roman" w:hAnsi="Times New Roman"/>
          <w:noProof/>
          <w:sz w:val="24"/>
          <w:szCs w:val="24"/>
        </w:rPr>
        <w:t>12.</w:t>
      </w:r>
      <w:r w:rsidRPr="00980C59">
        <w:rPr>
          <w:rFonts w:ascii="Times New Roman" w:hAnsi="Times New Roman"/>
          <w:noProof/>
          <w:sz w:val="24"/>
          <w:szCs w:val="24"/>
        </w:rPr>
        <w:tab/>
        <w:t>Franks PW, Rolandsson O, Debenham SL, Fawcett KA, Payne F, Dina C, et al. Replication of the association between variants in WFS1 and risk of type 2 diabetes in European populations. Diabetologia. 2008;51(3):458-63.</w:t>
      </w:r>
      <w:bookmarkEnd w:id="12"/>
    </w:p>
    <w:p w:rsidR="00210106" w:rsidRPr="00980C59" w:rsidRDefault="00210106" w:rsidP="00980C59">
      <w:pPr>
        <w:pStyle w:val="EndNoteBibliography"/>
        <w:spacing w:after="0" w:line="480" w:lineRule="auto"/>
        <w:rPr>
          <w:rFonts w:ascii="Times New Roman" w:hAnsi="Times New Roman"/>
          <w:noProof/>
          <w:sz w:val="24"/>
          <w:szCs w:val="24"/>
        </w:rPr>
      </w:pPr>
      <w:bookmarkStart w:id="13" w:name="_ENREF_13"/>
      <w:r w:rsidRPr="00980C59">
        <w:rPr>
          <w:rFonts w:ascii="Times New Roman" w:hAnsi="Times New Roman"/>
          <w:noProof/>
          <w:sz w:val="24"/>
          <w:szCs w:val="24"/>
        </w:rPr>
        <w:t>13.</w:t>
      </w:r>
      <w:r w:rsidRPr="00980C59">
        <w:rPr>
          <w:rFonts w:ascii="Times New Roman" w:hAnsi="Times New Roman"/>
          <w:noProof/>
          <w:sz w:val="24"/>
          <w:szCs w:val="24"/>
        </w:rPr>
        <w:tab/>
        <w:t>Hallmans G, Agren A, Johansson G, Johansson A, Stegmayr B, Jansson JH, et al. Cardiovascular disease and diabetes in the Northern Sweden Health and Disease Study Cohort - evaluation of risk factors and their interactions. Scandinavian journal of public health Supplement. 2003;61:18-24.</w:t>
      </w:r>
      <w:bookmarkEnd w:id="13"/>
    </w:p>
    <w:p w:rsidR="00210106" w:rsidRPr="00980C59" w:rsidRDefault="00210106" w:rsidP="00980C59">
      <w:pPr>
        <w:pStyle w:val="EndNoteBibliography"/>
        <w:spacing w:after="0" w:line="480" w:lineRule="auto"/>
        <w:rPr>
          <w:rFonts w:ascii="Times New Roman" w:hAnsi="Times New Roman"/>
          <w:noProof/>
          <w:sz w:val="24"/>
          <w:szCs w:val="24"/>
        </w:rPr>
      </w:pPr>
      <w:bookmarkStart w:id="14" w:name="_ENREF_14"/>
      <w:r w:rsidRPr="00980C59">
        <w:rPr>
          <w:rFonts w:ascii="Times New Roman" w:hAnsi="Times New Roman"/>
          <w:noProof/>
          <w:sz w:val="24"/>
          <w:szCs w:val="24"/>
        </w:rPr>
        <w:t>14.</w:t>
      </w:r>
      <w:r w:rsidRPr="00980C59">
        <w:rPr>
          <w:rFonts w:ascii="Times New Roman" w:hAnsi="Times New Roman"/>
          <w:noProof/>
          <w:sz w:val="24"/>
          <w:szCs w:val="24"/>
        </w:rPr>
        <w:tab/>
        <w:t>Wu J, Province MA, Coon H, Hunt SC, Eckfeldt JH, Arnett DK, et al. An investigation of the effects of lipid-lowering medications: genome-wide linkage analysis of lipids in the HyperGEN study. BMC genetics. 2007;8:60.</w:t>
      </w:r>
      <w:bookmarkEnd w:id="14"/>
    </w:p>
    <w:p w:rsidR="00210106" w:rsidRPr="00980C59" w:rsidRDefault="00210106" w:rsidP="00980C59">
      <w:pPr>
        <w:pStyle w:val="EndNoteBibliography"/>
        <w:spacing w:after="0" w:line="480" w:lineRule="auto"/>
        <w:rPr>
          <w:rFonts w:ascii="Times New Roman" w:hAnsi="Times New Roman"/>
          <w:noProof/>
          <w:sz w:val="24"/>
          <w:szCs w:val="24"/>
        </w:rPr>
      </w:pPr>
      <w:bookmarkStart w:id="15" w:name="_ENREF_15"/>
      <w:r w:rsidRPr="00980C59">
        <w:rPr>
          <w:rFonts w:ascii="Times New Roman" w:hAnsi="Times New Roman"/>
          <w:noProof/>
          <w:sz w:val="24"/>
          <w:szCs w:val="24"/>
        </w:rPr>
        <w:t>15.</w:t>
      </w:r>
      <w:r w:rsidRPr="00980C59">
        <w:rPr>
          <w:rFonts w:ascii="Times New Roman" w:hAnsi="Times New Roman"/>
          <w:noProof/>
          <w:sz w:val="24"/>
          <w:szCs w:val="24"/>
        </w:rPr>
        <w:tab/>
        <w:t xml:space="preserve">Eliasson M, Janlert U, Jansson JH, Stegmayr B. Time trends in population cholesterol levels 1986-2004: influence of lipid-lowering drugs, obesity, smoking and </w:t>
      </w:r>
      <w:r w:rsidRPr="00980C59">
        <w:rPr>
          <w:rFonts w:ascii="Times New Roman" w:hAnsi="Times New Roman"/>
          <w:noProof/>
          <w:sz w:val="24"/>
          <w:szCs w:val="24"/>
        </w:rPr>
        <w:lastRenderedPageBreak/>
        <w:t>educational level. The northern Sweden MONICA study. Journal of internal medicine. 2006;260(6):551-9.</w:t>
      </w:r>
      <w:bookmarkEnd w:id="15"/>
    </w:p>
    <w:p w:rsidR="00210106" w:rsidRPr="00980C59" w:rsidRDefault="00210106" w:rsidP="00980C59">
      <w:pPr>
        <w:pStyle w:val="EndNoteBibliography"/>
        <w:spacing w:after="0" w:line="480" w:lineRule="auto"/>
        <w:rPr>
          <w:rFonts w:ascii="Times New Roman" w:hAnsi="Times New Roman"/>
          <w:noProof/>
          <w:sz w:val="24"/>
          <w:szCs w:val="24"/>
        </w:rPr>
      </w:pPr>
      <w:bookmarkStart w:id="16" w:name="_ENREF_16"/>
      <w:r w:rsidRPr="00980C59">
        <w:rPr>
          <w:rFonts w:ascii="Times New Roman" w:hAnsi="Times New Roman"/>
          <w:noProof/>
          <w:sz w:val="24"/>
          <w:szCs w:val="24"/>
        </w:rPr>
        <w:t>16.</w:t>
      </w:r>
      <w:r w:rsidRPr="00980C59">
        <w:rPr>
          <w:rFonts w:ascii="Times New Roman" w:hAnsi="Times New Roman"/>
          <w:noProof/>
          <w:sz w:val="24"/>
          <w:szCs w:val="24"/>
        </w:rPr>
        <w:tab/>
        <w:t>Tobin MD, Sheehan NA, Scurrah KJ, Burton PR. Adjusting for treatment effects in studies of quantitative traits: antihypertensive therapy and systolic blood pressure. Statistics in medicine. 2005;24(19):2911-35.</w:t>
      </w:r>
      <w:bookmarkEnd w:id="16"/>
    </w:p>
    <w:p w:rsidR="00210106" w:rsidRPr="00980C59" w:rsidRDefault="00210106" w:rsidP="00980C59">
      <w:pPr>
        <w:pStyle w:val="EndNoteBibliography"/>
        <w:spacing w:after="0" w:line="480" w:lineRule="auto"/>
        <w:rPr>
          <w:rFonts w:ascii="Times New Roman" w:hAnsi="Times New Roman"/>
          <w:noProof/>
          <w:sz w:val="24"/>
          <w:szCs w:val="24"/>
        </w:rPr>
      </w:pPr>
      <w:bookmarkStart w:id="17" w:name="_ENREF_17"/>
      <w:r w:rsidRPr="00980C59">
        <w:rPr>
          <w:rFonts w:ascii="Times New Roman" w:hAnsi="Times New Roman"/>
          <w:noProof/>
          <w:sz w:val="24"/>
          <w:szCs w:val="24"/>
        </w:rPr>
        <w:t>17.</w:t>
      </w:r>
      <w:r w:rsidRPr="00980C59">
        <w:rPr>
          <w:rFonts w:ascii="Times New Roman" w:hAnsi="Times New Roman"/>
          <w:noProof/>
          <w:sz w:val="24"/>
          <w:szCs w:val="24"/>
        </w:rPr>
        <w:tab/>
        <w:t>Renstrom F, Payne F, Nordstrom A, Brito EC, Rolandsson O, Hallmans G, et al. Replication and extension of genome-wide association study results for obesity in 4923 adults from northern Sweden. Human molecular genetics. 2009;18(8):1489-96.</w:t>
      </w:r>
      <w:bookmarkEnd w:id="17"/>
    </w:p>
    <w:p w:rsidR="00210106" w:rsidRPr="00980C59" w:rsidRDefault="00210106" w:rsidP="00980C59">
      <w:pPr>
        <w:pStyle w:val="EndNoteBibliography"/>
        <w:spacing w:after="0" w:line="480" w:lineRule="auto"/>
        <w:rPr>
          <w:rFonts w:ascii="Times New Roman" w:hAnsi="Times New Roman"/>
          <w:noProof/>
          <w:sz w:val="24"/>
          <w:szCs w:val="24"/>
        </w:rPr>
      </w:pPr>
      <w:bookmarkStart w:id="18" w:name="_ENREF_18"/>
      <w:r w:rsidRPr="00980C59">
        <w:rPr>
          <w:rFonts w:ascii="Times New Roman" w:hAnsi="Times New Roman"/>
          <w:noProof/>
          <w:sz w:val="24"/>
          <w:szCs w:val="24"/>
        </w:rPr>
        <w:t>18.</w:t>
      </w:r>
      <w:r w:rsidRPr="00980C59">
        <w:rPr>
          <w:rFonts w:ascii="Times New Roman" w:hAnsi="Times New Roman"/>
          <w:noProof/>
          <w:sz w:val="24"/>
          <w:szCs w:val="24"/>
        </w:rPr>
        <w:tab/>
        <w:t>Voight BF, Kang HM, Ding J, Palmer CD, Sidore C, Chines PS, et al. The metabochip, a custom genotyping array for genetic studies of metabolic, cardiovascular, and anthropometric traits. PLoS genetics. 2012;8(8):e1002793.</w:t>
      </w:r>
      <w:bookmarkEnd w:id="18"/>
    </w:p>
    <w:p w:rsidR="00210106" w:rsidRPr="00980C59" w:rsidRDefault="00210106" w:rsidP="00980C59">
      <w:pPr>
        <w:pStyle w:val="EndNoteBibliography"/>
        <w:spacing w:after="0" w:line="480" w:lineRule="auto"/>
        <w:rPr>
          <w:rFonts w:ascii="Times New Roman" w:hAnsi="Times New Roman"/>
          <w:noProof/>
          <w:sz w:val="24"/>
          <w:szCs w:val="24"/>
        </w:rPr>
      </w:pPr>
      <w:bookmarkStart w:id="19" w:name="_ENREF_19"/>
      <w:r w:rsidRPr="00980C59">
        <w:rPr>
          <w:rFonts w:ascii="Times New Roman" w:hAnsi="Times New Roman"/>
          <w:noProof/>
          <w:sz w:val="24"/>
          <w:szCs w:val="24"/>
        </w:rPr>
        <w:t>19.</w:t>
      </w:r>
      <w:r w:rsidRPr="00980C59">
        <w:rPr>
          <w:rFonts w:ascii="Times New Roman" w:hAnsi="Times New Roman"/>
          <w:noProof/>
          <w:sz w:val="24"/>
          <w:szCs w:val="24"/>
        </w:rPr>
        <w:tab/>
        <w:t>Purcell S, Neale B, Todd-Brown K, Thomas L, Ferreira MA, Bender D, et al. PLINK: a tool set for whole-genome association and population-based linkage analyses. American journal of human genetics. 2007;81(3):559-75.</w:t>
      </w:r>
      <w:bookmarkEnd w:id="19"/>
    </w:p>
    <w:p w:rsidR="00210106" w:rsidRPr="00980C59" w:rsidRDefault="00210106" w:rsidP="00980C59">
      <w:pPr>
        <w:pStyle w:val="EndNoteBibliography"/>
        <w:spacing w:after="0" w:line="480" w:lineRule="auto"/>
        <w:rPr>
          <w:rFonts w:ascii="Times New Roman" w:hAnsi="Times New Roman"/>
          <w:noProof/>
          <w:sz w:val="24"/>
          <w:szCs w:val="24"/>
        </w:rPr>
      </w:pPr>
      <w:bookmarkStart w:id="20" w:name="_ENREF_20"/>
      <w:r w:rsidRPr="00980C59">
        <w:rPr>
          <w:rFonts w:ascii="Times New Roman" w:hAnsi="Times New Roman"/>
          <w:noProof/>
          <w:sz w:val="24"/>
          <w:szCs w:val="24"/>
        </w:rPr>
        <w:t>20.</w:t>
      </w:r>
      <w:r w:rsidRPr="00980C59">
        <w:rPr>
          <w:rFonts w:ascii="Times New Roman" w:hAnsi="Times New Roman"/>
          <w:noProof/>
          <w:sz w:val="24"/>
          <w:szCs w:val="24"/>
        </w:rPr>
        <w:tab/>
        <w:t>STATA 12.1 SL, TX, USA. http://www.stata.com/.</w:t>
      </w:r>
      <w:bookmarkEnd w:id="20"/>
    </w:p>
    <w:p w:rsidR="00210106" w:rsidRPr="00980C59" w:rsidRDefault="00210106" w:rsidP="00980C59">
      <w:pPr>
        <w:pStyle w:val="EndNoteBibliography"/>
        <w:spacing w:after="0" w:line="480" w:lineRule="auto"/>
        <w:rPr>
          <w:rFonts w:ascii="Times New Roman" w:hAnsi="Times New Roman"/>
          <w:noProof/>
          <w:sz w:val="24"/>
          <w:szCs w:val="24"/>
        </w:rPr>
      </w:pPr>
      <w:bookmarkStart w:id="21" w:name="_ENREF_21"/>
      <w:r w:rsidRPr="00980C59">
        <w:rPr>
          <w:rFonts w:ascii="Times New Roman" w:hAnsi="Times New Roman"/>
          <w:noProof/>
          <w:sz w:val="24"/>
          <w:szCs w:val="24"/>
        </w:rPr>
        <w:t>21.</w:t>
      </w:r>
      <w:r w:rsidRPr="00980C59">
        <w:rPr>
          <w:rFonts w:ascii="Times New Roman" w:hAnsi="Times New Roman"/>
          <w:noProof/>
          <w:sz w:val="24"/>
          <w:szCs w:val="24"/>
        </w:rPr>
        <w:tab/>
        <w:t>Renstrom F, Shungin D, Johansson I, Investigators M, Florez JC, Hallmans G, et al. Genetic predisposition to long-term nondiabetic deteriorations in glucose homeostasis: Ten-year follow-up of the GLACIER study. Diabetes. 2011;60(1):345-54.</w:t>
      </w:r>
      <w:bookmarkEnd w:id="21"/>
    </w:p>
    <w:p w:rsidR="00210106" w:rsidRPr="00980C59" w:rsidRDefault="00210106" w:rsidP="00980C59">
      <w:pPr>
        <w:pStyle w:val="EndNoteBibliography"/>
        <w:spacing w:after="0" w:line="480" w:lineRule="auto"/>
        <w:rPr>
          <w:rFonts w:ascii="Times New Roman" w:hAnsi="Times New Roman"/>
          <w:noProof/>
          <w:sz w:val="24"/>
          <w:szCs w:val="24"/>
        </w:rPr>
      </w:pPr>
      <w:bookmarkStart w:id="22" w:name="_ENREF_22"/>
      <w:r w:rsidRPr="00980C59">
        <w:rPr>
          <w:rFonts w:ascii="Times New Roman" w:hAnsi="Times New Roman"/>
          <w:noProof/>
          <w:sz w:val="24"/>
          <w:szCs w:val="24"/>
        </w:rPr>
        <w:t>22.</w:t>
      </w:r>
      <w:r w:rsidRPr="00980C59">
        <w:rPr>
          <w:rFonts w:ascii="Times New Roman" w:hAnsi="Times New Roman"/>
          <w:noProof/>
          <w:sz w:val="24"/>
          <w:szCs w:val="24"/>
        </w:rPr>
        <w:tab/>
        <w:t>Gurka MJ, Edwards LJ, Muller KE. Avoiding bias in mixed model inference for fixed effects. Statistics in medicine. 2011;30(22):2696-707.</w:t>
      </w:r>
      <w:bookmarkEnd w:id="22"/>
    </w:p>
    <w:p w:rsidR="00210106" w:rsidRPr="00980C59" w:rsidRDefault="00210106" w:rsidP="00980C59">
      <w:pPr>
        <w:pStyle w:val="EndNoteBibliography"/>
        <w:spacing w:after="0" w:line="480" w:lineRule="auto"/>
        <w:rPr>
          <w:rFonts w:ascii="Times New Roman" w:hAnsi="Times New Roman"/>
          <w:noProof/>
          <w:sz w:val="24"/>
          <w:szCs w:val="24"/>
        </w:rPr>
      </w:pPr>
      <w:bookmarkStart w:id="23" w:name="_ENREF_23"/>
      <w:r w:rsidRPr="00980C59">
        <w:rPr>
          <w:rFonts w:ascii="Times New Roman" w:hAnsi="Times New Roman"/>
          <w:noProof/>
          <w:sz w:val="24"/>
          <w:szCs w:val="24"/>
        </w:rPr>
        <w:t>23.</w:t>
      </w:r>
      <w:r w:rsidRPr="00980C59">
        <w:rPr>
          <w:rFonts w:ascii="Times New Roman" w:hAnsi="Times New Roman"/>
          <w:noProof/>
          <w:sz w:val="24"/>
          <w:szCs w:val="24"/>
        </w:rPr>
        <w:tab/>
        <w:t>Littell RC, Pendergast J, Natarajan R. Modelling covariance structure in the analysis of repeated measures data. Statistics in medicine. 2000;19(13):1793-819.</w:t>
      </w:r>
      <w:bookmarkEnd w:id="23"/>
    </w:p>
    <w:p w:rsidR="00210106" w:rsidRPr="00980C59" w:rsidRDefault="00210106" w:rsidP="00980C59">
      <w:pPr>
        <w:pStyle w:val="EndNoteBibliography"/>
        <w:spacing w:after="0" w:line="480" w:lineRule="auto"/>
        <w:rPr>
          <w:rFonts w:ascii="Times New Roman" w:hAnsi="Times New Roman"/>
          <w:noProof/>
          <w:sz w:val="24"/>
          <w:szCs w:val="24"/>
        </w:rPr>
      </w:pPr>
      <w:bookmarkStart w:id="24" w:name="_ENREF_24"/>
      <w:r w:rsidRPr="00980C59">
        <w:rPr>
          <w:rFonts w:ascii="Times New Roman" w:hAnsi="Times New Roman"/>
          <w:noProof/>
          <w:sz w:val="24"/>
          <w:szCs w:val="24"/>
        </w:rPr>
        <w:t>24.</w:t>
      </w:r>
      <w:r w:rsidRPr="00980C59">
        <w:rPr>
          <w:rFonts w:ascii="Times New Roman" w:hAnsi="Times New Roman"/>
          <w:noProof/>
          <w:sz w:val="24"/>
          <w:szCs w:val="24"/>
        </w:rPr>
        <w:tab/>
        <w:t>Thomas G, Jacobs KB, Kraft P, Yeager M, Wacholder S, Cox DG, et al. A multistage genome-wide association study in breast cancer identifies two new risk alleles at 1p11.2 and 14q24.1 (RAD51L1). Nature genetics. 2009;41(5):579-84.</w:t>
      </w:r>
      <w:bookmarkEnd w:id="24"/>
    </w:p>
    <w:p w:rsidR="00210106" w:rsidRPr="00980C59" w:rsidRDefault="00210106" w:rsidP="00980C59">
      <w:pPr>
        <w:pStyle w:val="EndNoteBibliography"/>
        <w:spacing w:after="0" w:line="480" w:lineRule="auto"/>
        <w:rPr>
          <w:rFonts w:ascii="Times New Roman" w:hAnsi="Times New Roman"/>
          <w:noProof/>
          <w:sz w:val="24"/>
          <w:szCs w:val="24"/>
        </w:rPr>
      </w:pPr>
      <w:bookmarkStart w:id="25" w:name="_ENREF_25"/>
      <w:r w:rsidRPr="00980C59">
        <w:rPr>
          <w:rFonts w:ascii="Times New Roman" w:hAnsi="Times New Roman"/>
          <w:noProof/>
          <w:sz w:val="24"/>
          <w:szCs w:val="24"/>
        </w:rPr>
        <w:lastRenderedPageBreak/>
        <w:t>25.</w:t>
      </w:r>
      <w:r w:rsidRPr="00980C59">
        <w:rPr>
          <w:rFonts w:ascii="Times New Roman" w:hAnsi="Times New Roman"/>
          <w:noProof/>
          <w:sz w:val="24"/>
          <w:szCs w:val="24"/>
        </w:rPr>
        <w:tab/>
        <w:t>Magi R, Morris AP. GWAMA: software for genome-wide association meta-analysis. BMC bioinformatics. 2010;11:288.</w:t>
      </w:r>
      <w:bookmarkEnd w:id="25"/>
    </w:p>
    <w:p w:rsidR="00210106" w:rsidRPr="00980C59" w:rsidRDefault="00210106" w:rsidP="00980C59">
      <w:pPr>
        <w:pStyle w:val="EndNoteBibliography"/>
        <w:spacing w:after="0" w:line="480" w:lineRule="auto"/>
        <w:rPr>
          <w:rFonts w:ascii="Times New Roman" w:hAnsi="Times New Roman"/>
          <w:noProof/>
          <w:sz w:val="24"/>
          <w:szCs w:val="24"/>
        </w:rPr>
      </w:pPr>
      <w:bookmarkStart w:id="26" w:name="_ENREF_26"/>
      <w:r w:rsidRPr="00980C59">
        <w:rPr>
          <w:rFonts w:ascii="Times New Roman" w:hAnsi="Times New Roman"/>
          <w:noProof/>
          <w:sz w:val="24"/>
          <w:szCs w:val="24"/>
        </w:rPr>
        <w:t>26.</w:t>
      </w:r>
      <w:r w:rsidRPr="00980C59">
        <w:rPr>
          <w:rFonts w:ascii="Times New Roman" w:hAnsi="Times New Roman"/>
          <w:noProof/>
          <w:sz w:val="24"/>
          <w:szCs w:val="24"/>
        </w:rPr>
        <w:tab/>
        <w:t>Skol AD, Scott LJ, Abecasis GR, Boehnke M. Joint analysis is more efficient than replication-based analysis for two-stage genome-wide association studies. Nature genetics. 2006;38(2):209-13.</w:t>
      </w:r>
      <w:bookmarkEnd w:id="26"/>
    </w:p>
    <w:p w:rsidR="00210106" w:rsidRPr="00980C59" w:rsidRDefault="00210106" w:rsidP="00980C59">
      <w:pPr>
        <w:pStyle w:val="EndNoteBibliography"/>
        <w:spacing w:after="0" w:line="480" w:lineRule="auto"/>
        <w:rPr>
          <w:rFonts w:ascii="Times New Roman" w:hAnsi="Times New Roman"/>
          <w:noProof/>
          <w:sz w:val="24"/>
          <w:szCs w:val="24"/>
        </w:rPr>
      </w:pPr>
      <w:bookmarkStart w:id="27" w:name="_ENREF_27"/>
      <w:r w:rsidRPr="00980C59">
        <w:rPr>
          <w:rFonts w:ascii="Times New Roman" w:hAnsi="Times New Roman"/>
          <w:noProof/>
          <w:sz w:val="24"/>
          <w:szCs w:val="24"/>
        </w:rPr>
        <w:t>27.</w:t>
      </w:r>
      <w:r w:rsidRPr="00980C59">
        <w:rPr>
          <w:rFonts w:ascii="Times New Roman" w:hAnsi="Times New Roman"/>
          <w:noProof/>
          <w:sz w:val="24"/>
          <w:szCs w:val="24"/>
        </w:rPr>
        <w:tab/>
        <w:t>Morris AP, Voight BF, Teslovich TM, Ferreira T, Segre AV, Steinthorsdottir V, et al. Large-scale association analysis provides insights into the genetic architecture and pathophysiology of type 2 diabetes. Nature genetics. 2012;44(9):981-90.</w:t>
      </w:r>
      <w:bookmarkEnd w:id="27"/>
    </w:p>
    <w:p w:rsidR="00210106" w:rsidRPr="00980C59" w:rsidRDefault="00210106" w:rsidP="00980C59">
      <w:pPr>
        <w:pStyle w:val="EndNoteBibliography"/>
        <w:spacing w:after="0" w:line="480" w:lineRule="auto"/>
        <w:rPr>
          <w:rFonts w:ascii="Times New Roman" w:hAnsi="Times New Roman"/>
          <w:noProof/>
          <w:sz w:val="24"/>
          <w:szCs w:val="24"/>
        </w:rPr>
      </w:pPr>
      <w:bookmarkStart w:id="28" w:name="_ENREF_28"/>
      <w:r w:rsidRPr="00980C59">
        <w:rPr>
          <w:rFonts w:ascii="Times New Roman" w:hAnsi="Times New Roman"/>
          <w:noProof/>
          <w:sz w:val="24"/>
          <w:szCs w:val="24"/>
        </w:rPr>
        <w:t>28.</w:t>
      </w:r>
      <w:r w:rsidRPr="00980C59">
        <w:rPr>
          <w:rFonts w:ascii="Times New Roman" w:hAnsi="Times New Roman"/>
          <w:noProof/>
          <w:sz w:val="24"/>
          <w:szCs w:val="24"/>
        </w:rPr>
        <w:tab/>
        <w:t>International Consortium for Blood Pressure Genome-Wide Association S, Ehret GB, Munroe PB, Rice KM, Bochud M, Johnson AD, et al. Genetic variants in novel pathways influence blood pressure and cardiovascular disease risk. Nature. 2011;478(7367):103-9.</w:t>
      </w:r>
      <w:bookmarkEnd w:id="28"/>
    </w:p>
    <w:p w:rsidR="00210106" w:rsidRPr="00980C59" w:rsidRDefault="00210106" w:rsidP="00980C59">
      <w:pPr>
        <w:pStyle w:val="EndNoteBibliography"/>
        <w:spacing w:after="0" w:line="480" w:lineRule="auto"/>
        <w:rPr>
          <w:rFonts w:ascii="Times New Roman" w:hAnsi="Times New Roman"/>
          <w:noProof/>
          <w:sz w:val="24"/>
          <w:szCs w:val="24"/>
        </w:rPr>
      </w:pPr>
      <w:bookmarkStart w:id="29" w:name="_ENREF_29"/>
      <w:r w:rsidRPr="00980C59">
        <w:rPr>
          <w:rFonts w:ascii="Times New Roman" w:hAnsi="Times New Roman"/>
          <w:noProof/>
          <w:sz w:val="24"/>
          <w:szCs w:val="24"/>
        </w:rPr>
        <w:t>29.</w:t>
      </w:r>
      <w:r w:rsidRPr="00980C59">
        <w:rPr>
          <w:rFonts w:ascii="Times New Roman" w:hAnsi="Times New Roman"/>
          <w:noProof/>
          <w:sz w:val="24"/>
          <w:szCs w:val="24"/>
        </w:rPr>
        <w:tab/>
        <w:t>Cooper GM, Stone EA, Asimenos G, Program NCS, Green ED, Batzoglou S, et al. Distribution and intensity of constraint in mammalian genomic sequence. Genome research. 2005;15(7):901-13.</w:t>
      </w:r>
      <w:bookmarkEnd w:id="29"/>
    </w:p>
    <w:p w:rsidR="00210106" w:rsidRPr="00980C59" w:rsidRDefault="00210106" w:rsidP="00980C59">
      <w:pPr>
        <w:pStyle w:val="EndNoteBibliography"/>
        <w:spacing w:after="0" w:line="480" w:lineRule="auto"/>
        <w:rPr>
          <w:rFonts w:ascii="Times New Roman" w:hAnsi="Times New Roman"/>
          <w:noProof/>
          <w:sz w:val="24"/>
          <w:szCs w:val="24"/>
        </w:rPr>
      </w:pPr>
      <w:bookmarkStart w:id="30" w:name="_ENREF_30"/>
      <w:r w:rsidRPr="00980C59">
        <w:rPr>
          <w:rFonts w:ascii="Times New Roman" w:hAnsi="Times New Roman"/>
          <w:noProof/>
          <w:sz w:val="24"/>
          <w:szCs w:val="24"/>
        </w:rPr>
        <w:t>30.</w:t>
      </w:r>
      <w:r w:rsidRPr="00980C59">
        <w:rPr>
          <w:rFonts w:ascii="Times New Roman" w:hAnsi="Times New Roman"/>
          <w:noProof/>
          <w:sz w:val="24"/>
          <w:szCs w:val="24"/>
        </w:rPr>
        <w:tab/>
        <w:t>Consortium EP, Bernstein BE, Birney E, Dunham I, Green ED, Gunter C, et al. An integrated encyclopedia of DNA elements in the human genome. Nature. 2012;489(7414):57-74.</w:t>
      </w:r>
      <w:bookmarkEnd w:id="30"/>
    </w:p>
    <w:p w:rsidR="00210106" w:rsidRPr="00980C59" w:rsidRDefault="00210106" w:rsidP="00980C59">
      <w:pPr>
        <w:pStyle w:val="EndNoteBibliography"/>
        <w:spacing w:after="0" w:line="480" w:lineRule="auto"/>
        <w:rPr>
          <w:rFonts w:ascii="Times New Roman" w:hAnsi="Times New Roman"/>
          <w:noProof/>
          <w:sz w:val="24"/>
          <w:szCs w:val="24"/>
        </w:rPr>
      </w:pPr>
      <w:bookmarkStart w:id="31" w:name="_ENREF_31"/>
      <w:r w:rsidRPr="00980C59">
        <w:rPr>
          <w:rFonts w:ascii="Times New Roman" w:hAnsi="Times New Roman"/>
          <w:noProof/>
          <w:sz w:val="24"/>
          <w:szCs w:val="24"/>
        </w:rPr>
        <w:t>31.</w:t>
      </w:r>
      <w:r w:rsidRPr="00980C59">
        <w:rPr>
          <w:rFonts w:ascii="Times New Roman" w:hAnsi="Times New Roman"/>
          <w:noProof/>
          <w:sz w:val="24"/>
          <w:szCs w:val="24"/>
        </w:rPr>
        <w:tab/>
        <w:t>Ernst J, Kheradpour P, Mikkelsen TS, Shoresh N, Ward LD, Epstein CB, et al. Mapping and analysis of chromatin state dynamics in nine human cell types. Nature. 2011;473(7345):43-9.</w:t>
      </w:r>
      <w:bookmarkEnd w:id="31"/>
    </w:p>
    <w:p w:rsidR="00210106" w:rsidRPr="00980C59" w:rsidRDefault="00210106" w:rsidP="00980C59">
      <w:pPr>
        <w:pStyle w:val="EndNoteBibliography"/>
        <w:spacing w:after="0" w:line="480" w:lineRule="auto"/>
        <w:rPr>
          <w:rFonts w:ascii="Times New Roman" w:hAnsi="Times New Roman"/>
          <w:noProof/>
          <w:sz w:val="24"/>
          <w:szCs w:val="24"/>
        </w:rPr>
      </w:pPr>
      <w:bookmarkStart w:id="32" w:name="_ENREF_32"/>
      <w:r w:rsidRPr="00980C59">
        <w:rPr>
          <w:rFonts w:ascii="Times New Roman" w:hAnsi="Times New Roman"/>
          <w:noProof/>
          <w:sz w:val="24"/>
          <w:szCs w:val="24"/>
        </w:rPr>
        <w:t>32.</w:t>
      </w:r>
      <w:r w:rsidRPr="00980C59">
        <w:rPr>
          <w:rFonts w:ascii="Times New Roman" w:hAnsi="Times New Roman"/>
          <w:noProof/>
          <w:sz w:val="24"/>
          <w:szCs w:val="24"/>
        </w:rPr>
        <w:tab/>
        <w:t>Team RC. R: A Language and Environment for Statistical Computing. 2013.</w:t>
      </w:r>
      <w:bookmarkEnd w:id="32"/>
    </w:p>
    <w:p w:rsidR="00210106" w:rsidRPr="00980C59" w:rsidRDefault="00210106" w:rsidP="00980C59">
      <w:pPr>
        <w:pStyle w:val="EndNoteBibliography"/>
        <w:spacing w:after="0" w:line="480" w:lineRule="auto"/>
        <w:rPr>
          <w:rFonts w:ascii="Times New Roman" w:hAnsi="Times New Roman"/>
          <w:noProof/>
          <w:sz w:val="24"/>
          <w:szCs w:val="24"/>
        </w:rPr>
      </w:pPr>
      <w:bookmarkStart w:id="33" w:name="_ENREF_33"/>
      <w:r w:rsidRPr="00980C59">
        <w:rPr>
          <w:rFonts w:ascii="Times New Roman" w:hAnsi="Times New Roman"/>
          <w:noProof/>
          <w:sz w:val="24"/>
          <w:szCs w:val="24"/>
        </w:rPr>
        <w:t>33.</w:t>
      </w:r>
      <w:r w:rsidRPr="00980C59">
        <w:rPr>
          <w:rFonts w:ascii="Times New Roman" w:hAnsi="Times New Roman"/>
          <w:noProof/>
          <w:sz w:val="24"/>
          <w:szCs w:val="24"/>
        </w:rPr>
        <w:tab/>
        <w:t>Eichner JE, Dunn ST, Perveen G, Thompson DM, Stewart KE, Stroehla BC. Apolipoprotein E polymorphism and cardiovascular disease: a HuGE review. American journal of epidemiology. 2002;155(6):487-95.</w:t>
      </w:r>
      <w:bookmarkEnd w:id="33"/>
    </w:p>
    <w:p w:rsidR="00210106" w:rsidRPr="00980C59" w:rsidRDefault="00210106" w:rsidP="00980C59">
      <w:pPr>
        <w:pStyle w:val="EndNoteBibliography"/>
        <w:spacing w:after="0" w:line="480" w:lineRule="auto"/>
        <w:rPr>
          <w:rFonts w:ascii="Times New Roman" w:hAnsi="Times New Roman"/>
          <w:noProof/>
          <w:sz w:val="24"/>
          <w:szCs w:val="24"/>
        </w:rPr>
      </w:pPr>
      <w:bookmarkStart w:id="34" w:name="_ENREF_34"/>
      <w:r w:rsidRPr="00980C59">
        <w:rPr>
          <w:rFonts w:ascii="Times New Roman" w:hAnsi="Times New Roman"/>
          <w:noProof/>
          <w:sz w:val="24"/>
          <w:szCs w:val="24"/>
        </w:rPr>
        <w:lastRenderedPageBreak/>
        <w:t>34.</w:t>
      </w:r>
      <w:r w:rsidRPr="00980C59">
        <w:rPr>
          <w:rFonts w:ascii="Times New Roman" w:hAnsi="Times New Roman"/>
          <w:noProof/>
          <w:sz w:val="24"/>
          <w:szCs w:val="24"/>
        </w:rPr>
        <w:tab/>
        <w:t>Hauerslev S, Sveen ML, Duno M, Angelini C, Vissing J, Krag TO. Calpain 3 is important for muscle regeneration: evidence from patients with limb girdle muscular dystrophies. BMC musculoskeletal disorders. 2012;13:43.</w:t>
      </w:r>
      <w:bookmarkEnd w:id="34"/>
    </w:p>
    <w:p w:rsidR="00210106" w:rsidRPr="00980C59" w:rsidRDefault="00210106" w:rsidP="00980C59">
      <w:pPr>
        <w:pStyle w:val="EndNoteBibliography"/>
        <w:spacing w:after="0" w:line="480" w:lineRule="auto"/>
        <w:rPr>
          <w:rFonts w:ascii="Times New Roman" w:hAnsi="Times New Roman"/>
          <w:noProof/>
          <w:sz w:val="24"/>
          <w:szCs w:val="24"/>
        </w:rPr>
      </w:pPr>
      <w:bookmarkStart w:id="35" w:name="_ENREF_35"/>
      <w:r w:rsidRPr="00980C59">
        <w:rPr>
          <w:rFonts w:ascii="Times New Roman" w:hAnsi="Times New Roman"/>
          <w:noProof/>
          <w:sz w:val="24"/>
          <w:szCs w:val="24"/>
        </w:rPr>
        <w:t>35.</w:t>
      </w:r>
      <w:r w:rsidRPr="00980C59">
        <w:rPr>
          <w:rFonts w:ascii="Times New Roman" w:hAnsi="Times New Roman"/>
          <w:noProof/>
          <w:sz w:val="24"/>
          <w:szCs w:val="24"/>
        </w:rPr>
        <w:tab/>
        <w:t>Charton K, Daniele N, Vihola A, Roudaut C, Gicquel E, Monjaret F, et al. Removal of the calpain 3 protease reverses the myopathology in a mouse model for titinopathies. Human molecular genetics. 2010;19(23):4608-24.</w:t>
      </w:r>
      <w:bookmarkEnd w:id="35"/>
    </w:p>
    <w:p w:rsidR="00210106" w:rsidRPr="00980C59" w:rsidRDefault="00210106" w:rsidP="00980C59">
      <w:pPr>
        <w:pStyle w:val="EndNoteBibliography"/>
        <w:spacing w:after="0" w:line="480" w:lineRule="auto"/>
        <w:rPr>
          <w:rFonts w:ascii="Times New Roman" w:hAnsi="Times New Roman"/>
          <w:noProof/>
          <w:sz w:val="24"/>
          <w:szCs w:val="24"/>
        </w:rPr>
      </w:pPr>
      <w:bookmarkStart w:id="36" w:name="_ENREF_36"/>
      <w:r w:rsidRPr="00980C59">
        <w:rPr>
          <w:rFonts w:ascii="Times New Roman" w:hAnsi="Times New Roman"/>
          <w:noProof/>
          <w:sz w:val="24"/>
          <w:szCs w:val="24"/>
        </w:rPr>
        <w:t>36.</w:t>
      </w:r>
      <w:r w:rsidRPr="00980C59">
        <w:rPr>
          <w:rFonts w:ascii="Times New Roman" w:hAnsi="Times New Roman"/>
          <w:noProof/>
          <w:sz w:val="24"/>
          <w:szCs w:val="24"/>
        </w:rPr>
        <w:tab/>
        <w:t>Roudaut C, Le Roy F, Suel L, Poupiot J, Charton K, Bartoli M, et al. Restriction of calpain3 expression to the skeletal muscle prevents cardiac toxicity and corrects pathology in a murine model of limb-girdle muscular dystrophy. Circulation. 2013;128(10):1094-104.</w:t>
      </w:r>
      <w:bookmarkEnd w:id="36"/>
    </w:p>
    <w:p w:rsidR="00210106" w:rsidRPr="00980C59" w:rsidRDefault="00210106" w:rsidP="00980C59">
      <w:pPr>
        <w:pStyle w:val="EndNoteBibliography"/>
        <w:spacing w:after="0" w:line="480" w:lineRule="auto"/>
        <w:rPr>
          <w:rFonts w:ascii="Times New Roman" w:hAnsi="Times New Roman"/>
          <w:noProof/>
          <w:sz w:val="24"/>
          <w:szCs w:val="24"/>
        </w:rPr>
      </w:pPr>
      <w:bookmarkStart w:id="37" w:name="_ENREF_37"/>
      <w:r w:rsidRPr="00980C59">
        <w:rPr>
          <w:rFonts w:ascii="Times New Roman" w:hAnsi="Times New Roman"/>
          <w:noProof/>
          <w:sz w:val="24"/>
          <w:szCs w:val="24"/>
        </w:rPr>
        <w:t>37.</w:t>
      </w:r>
      <w:r w:rsidRPr="00980C59">
        <w:rPr>
          <w:rFonts w:ascii="Times New Roman" w:hAnsi="Times New Roman"/>
          <w:noProof/>
          <w:sz w:val="24"/>
          <w:szCs w:val="24"/>
        </w:rPr>
        <w:tab/>
        <w:t>Ojima K, Kawabata Y, Nakao H, Nakao K, Doi N, Kitamura F, et al. Dynamic distribution of muscle-specific calpain in mice has a key role in physical-stress adaptation and is impaired in muscular dystrophy. The Journal of clinical investigation. 2010;120(8):2672-83.</w:t>
      </w:r>
      <w:bookmarkEnd w:id="37"/>
    </w:p>
    <w:p w:rsidR="00210106" w:rsidRPr="00980C59" w:rsidRDefault="00210106" w:rsidP="00980C59">
      <w:pPr>
        <w:pStyle w:val="EndNoteBibliography"/>
        <w:spacing w:after="0" w:line="480" w:lineRule="auto"/>
        <w:rPr>
          <w:rFonts w:ascii="Times New Roman" w:hAnsi="Times New Roman"/>
          <w:noProof/>
          <w:sz w:val="24"/>
          <w:szCs w:val="24"/>
        </w:rPr>
      </w:pPr>
      <w:bookmarkStart w:id="38" w:name="_ENREF_38"/>
      <w:r w:rsidRPr="00980C59">
        <w:rPr>
          <w:rFonts w:ascii="Times New Roman" w:hAnsi="Times New Roman"/>
          <w:noProof/>
          <w:sz w:val="24"/>
          <w:szCs w:val="24"/>
        </w:rPr>
        <w:t>38.</w:t>
      </w:r>
      <w:r w:rsidRPr="00980C59">
        <w:rPr>
          <w:rFonts w:ascii="Times New Roman" w:hAnsi="Times New Roman"/>
          <w:noProof/>
          <w:sz w:val="24"/>
          <w:szCs w:val="24"/>
        </w:rPr>
        <w:tab/>
        <w:t>Hashiguchi S, Adachi K, Inui T, Arii Y, Kashiwagi S, Saito M, et al. [A Clinicopathological Investigation of Two Autopsy Cases of Calpainopathy (LGMD2A)]. Brain and nerve = Shinkei kenkyu no shinpo. 2014;66(9):1097-102.</w:t>
      </w:r>
      <w:bookmarkEnd w:id="38"/>
    </w:p>
    <w:p w:rsidR="00210106" w:rsidRPr="00980C59" w:rsidRDefault="00210106" w:rsidP="00980C59">
      <w:pPr>
        <w:pStyle w:val="EndNoteBibliography"/>
        <w:spacing w:after="0" w:line="480" w:lineRule="auto"/>
        <w:rPr>
          <w:rFonts w:ascii="Times New Roman" w:hAnsi="Times New Roman"/>
          <w:noProof/>
          <w:sz w:val="24"/>
          <w:szCs w:val="24"/>
          <w:lang w:val="sv-SE"/>
        </w:rPr>
      </w:pPr>
      <w:bookmarkStart w:id="39" w:name="_ENREF_39"/>
      <w:r w:rsidRPr="00980C59">
        <w:rPr>
          <w:rFonts w:ascii="Times New Roman" w:hAnsi="Times New Roman"/>
          <w:noProof/>
          <w:sz w:val="24"/>
          <w:szCs w:val="24"/>
        </w:rPr>
        <w:t>39.</w:t>
      </w:r>
      <w:r w:rsidRPr="00980C59">
        <w:rPr>
          <w:rFonts w:ascii="Times New Roman" w:hAnsi="Times New Roman"/>
          <w:noProof/>
          <w:sz w:val="24"/>
          <w:szCs w:val="24"/>
        </w:rPr>
        <w:tab/>
        <w:t xml:space="preserve">Saxena R, Hivert MF, Langenberg C, Tanaka T, Pankow JS, Vollenweider P, et al. Genetic variation in GIPR influences the glucose and insulin responses to an oral glucose challenge. </w:t>
      </w:r>
      <w:r w:rsidRPr="00980C59">
        <w:rPr>
          <w:rFonts w:ascii="Times New Roman" w:hAnsi="Times New Roman"/>
          <w:noProof/>
          <w:sz w:val="24"/>
          <w:szCs w:val="24"/>
          <w:lang w:val="sv-SE"/>
        </w:rPr>
        <w:t>Nature genetics. 2010;42(2):142-8.</w:t>
      </w:r>
      <w:bookmarkEnd w:id="39"/>
    </w:p>
    <w:p w:rsidR="00210106" w:rsidRPr="00980C59" w:rsidRDefault="00210106" w:rsidP="00980C59">
      <w:pPr>
        <w:pStyle w:val="EndNoteBibliography"/>
        <w:spacing w:after="0" w:line="480" w:lineRule="auto"/>
        <w:rPr>
          <w:rFonts w:ascii="Times New Roman" w:hAnsi="Times New Roman"/>
          <w:noProof/>
          <w:sz w:val="24"/>
          <w:szCs w:val="24"/>
        </w:rPr>
      </w:pPr>
      <w:bookmarkStart w:id="40" w:name="_ENREF_40"/>
      <w:r w:rsidRPr="00980C59">
        <w:rPr>
          <w:rFonts w:ascii="Times New Roman" w:hAnsi="Times New Roman"/>
          <w:noProof/>
          <w:sz w:val="24"/>
          <w:szCs w:val="24"/>
          <w:lang w:val="sv-SE"/>
        </w:rPr>
        <w:t>40.</w:t>
      </w:r>
      <w:r w:rsidRPr="00980C59">
        <w:rPr>
          <w:rFonts w:ascii="Times New Roman" w:hAnsi="Times New Roman"/>
          <w:noProof/>
          <w:sz w:val="24"/>
          <w:szCs w:val="24"/>
          <w:lang w:val="sv-SE"/>
        </w:rPr>
        <w:tab/>
        <w:t xml:space="preserve">Sonestedt E, Lyssenko V, Ericson U, Gullberg B, Wirfalt E, Groop L, et al. </w:t>
      </w:r>
      <w:r w:rsidRPr="00980C59">
        <w:rPr>
          <w:rFonts w:ascii="Times New Roman" w:hAnsi="Times New Roman"/>
          <w:noProof/>
          <w:sz w:val="24"/>
          <w:szCs w:val="24"/>
        </w:rPr>
        <w:t>Genetic variation in the glucose-dependent insulinotropic polypeptide receptor modifies the association between carbohydrate and fat intake and risk of type 2 diabetes in the Malmo Diet and Cancer cohort. The Journal of clinical endocrinology and metabolism. 2012;97(5):E810-8.</w:t>
      </w:r>
      <w:bookmarkEnd w:id="40"/>
    </w:p>
    <w:p w:rsidR="00210106" w:rsidRPr="00980C59" w:rsidRDefault="00210106" w:rsidP="00980C59">
      <w:pPr>
        <w:pStyle w:val="EndNoteBibliography"/>
        <w:spacing w:after="0" w:line="480" w:lineRule="auto"/>
        <w:rPr>
          <w:rFonts w:ascii="Times New Roman" w:hAnsi="Times New Roman"/>
          <w:noProof/>
          <w:sz w:val="24"/>
          <w:szCs w:val="24"/>
          <w:lang w:val="sv-SE"/>
        </w:rPr>
      </w:pPr>
      <w:bookmarkStart w:id="41" w:name="_ENREF_41"/>
      <w:r w:rsidRPr="00980C59">
        <w:rPr>
          <w:rFonts w:ascii="Times New Roman" w:hAnsi="Times New Roman"/>
          <w:noProof/>
          <w:sz w:val="24"/>
          <w:szCs w:val="24"/>
        </w:rPr>
        <w:t>41.</w:t>
      </w:r>
      <w:r w:rsidRPr="00980C59">
        <w:rPr>
          <w:rFonts w:ascii="Times New Roman" w:hAnsi="Times New Roman"/>
          <w:noProof/>
          <w:sz w:val="24"/>
          <w:szCs w:val="24"/>
        </w:rPr>
        <w:tab/>
        <w:t xml:space="preserve">Burgdorf KS, Gjesing AP, Grarup N, Justesen JM, Sandholt CH, Witte DR, et al. Association studies of novel obesity-related gene variants with quantitative metabolic </w:t>
      </w:r>
      <w:r w:rsidRPr="00980C59">
        <w:rPr>
          <w:rFonts w:ascii="Times New Roman" w:hAnsi="Times New Roman"/>
          <w:noProof/>
          <w:sz w:val="24"/>
          <w:szCs w:val="24"/>
        </w:rPr>
        <w:lastRenderedPageBreak/>
        <w:t xml:space="preserve">phenotypes in a population-based sample of 6,039 Danish individuals. </w:t>
      </w:r>
      <w:r w:rsidRPr="00980C59">
        <w:rPr>
          <w:rFonts w:ascii="Times New Roman" w:hAnsi="Times New Roman"/>
          <w:noProof/>
          <w:sz w:val="24"/>
          <w:szCs w:val="24"/>
          <w:lang w:val="sv-SE"/>
        </w:rPr>
        <w:t>Diabetologia. 2012;55(1):105-13.</w:t>
      </w:r>
      <w:bookmarkEnd w:id="41"/>
    </w:p>
    <w:p w:rsidR="00210106" w:rsidRPr="00980C59" w:rsidRDefault="00210106" w:rsidP="00980C59">
      <w:pPr>
        <w:pStyle w:val="EndNoteBibliography"/>
        <w:spacing w:after="0" w:line="480" w:lineRule="auto"/>
        <w:rPr>
          <w:rFonts w:ascii="Times New Roman" w:hAnsi="Times New Roman"/>
          <w:noProof/>
          <w:sz w:val="24"/>
          <w:szCs w:val="24"/>
        </w:rPr>
      </w:pPr>
      <w:bookmarkStart w:id="42" w:name="_ENREF_42"/>
      <w:r w:rsidRPr="00980C59">
        <w:rPr>
          <w:rFonts w:ascii="Times New Roman" w:hAnsi="Times New Roman"/>
          <w:noProof/>
          <w:sz w:val="24"/>
          <w:szCs w:val="24"/>
          <w:lang w:val="sv-SE"/>
        </w:rPr>
        <w:t>42.</w:t>
      </w:r>
      <w:r w:rsidRPr="00980C59">
        <w:rPr>
          <w:rFonts w:ascii="Times New Roman" w:hAnsi="Times New Roman"/>
          <w:noProof/>
          <w:sz w:val="24"/>
          <w:szCs w:val="24"/>
          <w:lang w:val="sv-SE"/>
        </w:rPr>
        <w:tab/>
        <w:t xml:space="preserve">Speliotes EK, Willer CJ, Berndt SI, Monda KL, Thorleifsson G, Jackson AU, et al. </w:t>
      </w:r>
      <w:r w:rsidRPr="00980C59">
        <w:rPr>
          <w:rFonts w:ascii="Times New Roman" w:hAnsi="Times New Roman"/>
          <w:noProof/>
          <w:sz w:val="24"/>
          <w:szCs w:val="24"/>
        </w:rPr>
        <w:t>Association analyses of 249,796 individuals reveal 18 new loci associated with body mass index. Nature genetics. 2010;42(11):937-48.</w:t>
      </w:r>
      <w:bookmarkEnd w:id="42"/>
    </w:p>
    <w:p w:rsidR="00210106" w:rsidRPr="00980C59" w:rsidRDefault="00210106" w:rsidP="00980C59">
      <w:pPr>
        <w:pStyle w:val="EndNoteBibliography"/>
        <w:spacing w:after="0" w:line="480" w:lineRule="auto"/>
        <w:rPr>
          <w:rFonts w:ascii="Times New Roman" w:hAnsi="Times New Roman"/>
          <w:noProof/>
          <w:sz w:val="24"/>
          <w:szCs w:val="24"/>
          <w:lang w:val="sv-SE"/>
        </w:rPr>
      </w:pPr>
      <w:bookmarkStart w:id="43" w:name="_ENREF_43"/>
      <w:r w:rsidRPr="00980C59">
        <w:rPr>
          <w:rFonts w:ascii="Times New Roman" w:hAnsi="Times New Roman"/>
          <w:noProof/>
          <w:sz w:val="24"/>
          <w:szCs w:val="24"/>
        </w:rPr>
        <w:t>43.</w:t>
      </w:r>
      <w:r w:rsidRPr="00980C59">
        <w:rPr>
          <w:rFonts w:ascii="Times New Roman" w:hAnsi="Times New Roman"/>
          <w:noProof/>
          <w:sz w:val="24"/>
          <w:szCs w:val="24"/>
        </w:rPr>
        <w:tab/>
        <w:t xml:space="preserve">Wen W, Cho YS, Zheng W, Dorajoo R, Kato N, Qi L, et al. Meta-analysis identifies common variants associated with body mass index in east Asians. </w:t>
      </w:r>
      <w:r w:rsidRPr="00980C59">
        <w:rPr>
          <w:rFonts w:ascii="Times New Roman" w:hAnsi="Times New Roman"/>
          <w:noProof/>
          <w:sz w:val="24"/>
          <w:szCs w:val="24"/>
          <w:lang w:val="sv-SE"/>
        </w:rPr>
        <w:t>Nature genetics. 2012;44(3):307-11.</w:t>
      </w:r>
      <w:bookmarkEnd w:id="43"/>
    </w:p>
    <w:p w:rsidR="00210106" w:rsidRPr="00980C59" w:rsidRDefault="00210106" w:rsidP="00980C59">
      <w:pPr>
        <w:pStyle w:val="EndNoteBibliography"/>
        <w:spacing w:after="0" w:line="480" w:lineRule="auto"/>
        <w:rPr>
          <w:rFonts w:ascii="Times New Roman" w:hAnsi="Times New Roman"/>
          <w:noProof/>
          <w:sz w:val="24"/>
          <w:szCs w:val="24"/>
        </w:rPr>
      </w:pPr>
      <w:bookmarkStart w:id="44" w:name="_ENREF_44"/>
      <w:r w:rsidRPr="00980C59">
        <w:rPr>
          <w:rFonts w:ascii="Times New Roman" w:hAnsi="Times New Roman"/>
          <w:noProof/>
          <w:sz w:val="24"/>
          <w:szCs w:val="24"/>
          <w:lang w:val="sv-SE"/>
        </w:rPr>
        <w:t>44.</w:t>
      </w:r>
      <w:r w:rsidRPr="00980C59">
        <w:rPr>
          <w:rFonts w:ascii="Times New Roman" w:hAnsi="Times New Roman"/>
          <w:noProof/>
          <w:sz w:val="24"/>
          <w:szCs w:val="24"/>
          <w:lang w:val="sv-SE"/>
        </w:rPr>
        <w:tab/>
        <w:t xml:space="preserve">Sarkar PS, Appukuttan B, Han J, Ito Y, Ai C, Tsai W, et al. </w:t>
      </w:r>
      <w:r w:rsidRPr="00980C59">
        <w:rPr>
          <w:rFonts w:ascii="Times New Roman" w:hAnsi="Times New Roman"/>
          <w:noProof/>
          <w:sz w:val="24"/>
          <w:szCs w:val="24"/>
        </w:rPr>
        <w:t>Heterozygous loss of Six5 in mice is sufficient to cause ocular cataracts. Nature genetics. 2000;25(1):110-4.</w:t>
      </w:r>
      <w:bookmarkEnd w:id="44"/>
    </w:p>
    <w:p w:rsidR="00210106" w:rsidRPr="00980C59" w:rsidRDefault="00210106" w:rsidP="00980C59">
      <w:pPr>
        <w:pStyle w:val="EndNoteBibliography"/>
        <w:spacing w:after="0" w:line="480" w:lineRule="auto"/>
        <w:rPr>
          <w:rFonts w:ascii="Times New Roman" w:hAnsi="Times New Roman"/>
          <w:noProof/>
          <w:sz w:val="24"/>
          <w:szCs w:val="24"/>
        </w:rPr>
      </w:pPr>
      <w:bookmarkStart w:id="45" w:name="_ENREF_45"/>
      <w:r w:rsidRPr="00980C59">
        <w:rPr>
          <w:rFonts w:ascii="Times New Roman" w:hAnsi="Times New Roman"/>
          <w:noProof/>
          <w:sz w:val="24"/>
          <w:szCs w:val="24"/>
        </w:rPr>
        <w:t>45.</w:t>
      </w:r>
      <w:r w:rsidRPr="00980C59">
        <w:rPr>
          <w:rFonts w:ascii="Times New Roman" w:hAnsi="Times New Roman"/>
          <w:noProof/>
          <w:sz w:val="24"/>
          <w:szCs w:val="24"/>
        </w:rPr>
        <w:tab/>
        <w:t>Fujimaki T, Kato K, Yokoi K, Oguri M, Yoshida T, Watanabe S, et al. Association of genetic variants in SEMA3F, CLEC16A, LAMA3, and PCSK2 with myocardial infarction in Japanese individuals. Atherosclerosis. 2010;210(2):468-73.</w:t>
      </w:r>
      <w:bookmarkEnd w:id="45"/>
    </w:p>
    <w:p w:rsidR="00210106" w:rsidRPr="00980C59" w:rsidRDefault="00210106" w:rsidP="00980C59">
      <w:pPr>
        <w:pStyle w:val="EndNoteBibliography"/>
        <w:spacing w:after="0" w:line="480" w:lineRule="auto"/>
        <w:rPr>
          <w:rFonts w:ascii="Times New Roman" w:hAnsi="Times New Roman"/>
          <w:noProof/>
          <w:sz w:val="24"/>
          <w:szCs w:val="24"/>
        </w:rPr>
      </w:pPr>
      <w:bookmarkStart w:id="46" w:name="_ENREF_46"/>
      <w:r w:rsidRPr="00980C59">
        <w:rPr>
          <w:rFonts w:ascii="Times New Roman" w:hAnsi="Times New Roman"/>
          <w:noProof/>
          <w:sz w:val="24"/>
          <w:szCs w:val="24"/>
        </w:rPr>
        <w:t>46.</w:t>
      </w:r>
      <w:r w:rsidRPr="00980C59">
        <w:rPr>
          <w:rFonts w:ascii="Times New Roman" w:hAnsi="Times New Roman"/>
          <w:noProof/>
          <w:sz w:val="24"/>
          <w:szCs w:val="24"/>
        </w:rPr>
        <w:tab/>
        <w:t>Wakimoto H, Maguire CT, Sherwood MC, Vargas MM, Sarkar PS, Han J, et al. Characterization of cardiac conduction system abnormalities in mice with targeted disruption of Six5 gene. Journal of interventional cardiac electrophysiology : an international journal of arrhythmias and pacing. 2002;7(2):127-35.</w:t>
      </w:r>
      <w:bookmarkEnd w:id="46"/>
    </w:p>
    <w:p w:rsidR="00210106" w:rsidRPr="00980C59" w:rsidRDefault="00210106" w:rsidP="00980C59">
      <w:pPr>
        <w:pStyle w:val="EndNoteBibliography"/>
        <w:spacing w:after="0" w:line="480" w:lineRule="auto"/>
        <w:rPr>
          <w:rFonts w:ascii="Times New Roman" w:hAnsi="Times New Roman"/>
          <w:noProof/>
          <w:sz w:val="24"/>
          <w:szCs w:val="24"/>
          <w:lang w:val="sv-SE"/>
        </w:rPr>
      </w:pPr>
      <w:bookmarkStart w:id="47" w:name="_ENREF_47"/>
      <w:r w:rsidRPr="00980C59">
        <w:rPr>
          <w:rFonts w:ascii="Times New Roman" w:hAnsi="Times New Roman"/>
          <w:noProof/>
          <w:sz w:val="24"/>
          <w:szCs w:val="24"/>
        </w:rPr>
        <w:t>47.</w:t>
      </w:r>
      <w:r w:rsidRPr="00980C59">
        <w:rPr>
          <w:rFonts w:ascii="Times New Roman" w:hAnsi="Times New Roman"/>
          <w:noProof/>
          <w:sz w:val="24"/>
          <w:szCs w:val="24"/>
        </w:rPr>
        <w:tab/>
        <w:t xml:space="preserve">Maeda N. Nucleotide sequence of the haptoglobin and haptoglobin-related gene pair. The haptoglobin-related gene contains a retrovirus-like element. The Journal of biological chemistry. </w:t>
      </w:r>
      <w:r w:rsidRPr="00980C59">
        <w:rPr>
          <w:rFonts w:ascii="Times New Roman" w:hAnsi="Times New Roman"/>
          <w:noProof/>
          <w:sz w:val="24"/>
          <w:szCs w:val="24"/>
          <w:lang w:val="sv-SE"/>
        </w:rPr>
        <w:t>1985;260(11):6698-709.</w:t>
      </w:r>
      <w:bookmarkEnd w:id="47"/>
    </w:p>
    <w:p w:rsidR="00210106" w:rsidRPr="00980C59" w:rsidRDefault="00210106" w:rsidP="00980C59">
      <w:pPr>
        <w:pStyle w:val="EndNoteBibliography"/>
        <w:spacing w:after="0" w:line="480" w:lineRule="auto"/>
        <w:rPr>
          <w:rFonts w:ascii="Times New Roman" w:hAnsi="Times New Roman"/>
          <w:noProof/>
          <w:sz w:val="24"/>
          <w:szCs w:val="24"/>
        </w:rPr>
      </w:pPr>
      <w:bookmarkStart w:id="48" w:name="_ENREF_48"/>
      <w:r w:rsidRPr="00980C59">
        <w:rPr>
          <w:rFonts w:ascii="Times New Roman" w:hAnsi="Times New Roman"/>
          <w:noProof/>
          <w:sz w:val="24"/>
          <w:szCs w:val="24"/>
          <w:lang w:val="sv-SE"/>
        </w:rPr>
        <w:t>48.</w:t>
      </w:r>
      <w:r w:rsidRPr="00980C59">
        <w:rPr>
          <w:rFonts w:ascii="Times New Roman" w:hAnsi="Times New Roman"/>
          <w:noProof/>
          <w:sz w:val="24"/>
          <w:szCs w:val="24"/>
          <w:lang w:val="sv-SE"/>
        </w:rPr>
        <w:tab/>
        <w:t xml:space="preserve">Nielsen MJ, Petersen SV, Jacobsen C, Oxvig C, Rees D, Moller HJ, et al. </w:t>
      </w:r>
      <w:r w:rsidRPr="00980C59">
        <w:rPr>
          <w:rFonts w:ascii="Times New Roman" w:hAnsi="Times New Roman"/>
          <w:noProof/>
          <w:sz w:val="24"/>
          <w:szCs w:val="24"/>
        </w:rPr>
        <w:t>Haptoglobin-related protein is a high-affinity hemoglobin-binding plasma protein. Blood. 2006;108(8):2846-9.</w:t>
      </w:r>
      <w:bookmarkEnd w:id="48"/>
    </w:p>
    <w:p w:rsidR="00210106" w:rsidRPr="00980C59" w:rsidRDefault="00210106" w:rsidP="00980C59">
      <w:pPr>
        <w:pStyle w:val="EndNoteBibliography"/>
        <w:spacing w:after="0" w:line="480" w:lineRule="auto"/>
        <w:rPr>
          <w:rFonts w:ascii="Times New Roman" w:hAnsi="Times New Roman"/>
          <w:noProof/>
          <w:sz w:val="24"/>
          <w:szCs w:val="24"/>
        </w:rPr>
      </w:pPr>
      <w:bookmarkStart w:id="49" w:name="_ENREF_49"/>
      <w:r w:rsidRPr="00980C59">
        <w:rPr>
          <w:rFonts w:ascii="Times New Roman" w:hAnsi="Times New Roman"/>
          <w:noProof/>
          <w:sz w:val="24"/>
          <w:szCs w:val="24"/>
        </w:rPr>
        <w:t>49.</w:t>
      </w:r>
      <w:r w:rsidRPr="00980C59">
        <w:rPr>
          <w:rFonts w:ascii="Times New Roman" w:hAnsi="Times New Roman"/>
          <w:noProof/>
          <w:sz w:val="24"/>
          <w:szCs w:val="24"/>
        </w:rPr>
        <w:tab/>
        <w:t>Guthrie PA, Rodriguez S, Gaunt TR, Lawlor DA, Smith GD, Day IN. Complexity of a complex trait locus: HP, HPR, haemoglobin and cholesterol. Gene. 2012;499(1):8-13.</w:t>
      </w:r>
      <w:bookmarkEnd w:id="49"/>
    </w:p>
    <w:p w:rsidR="00210106" w:rsidRPr="00980C59" w:rsidRDefault="00210106" w:rsidP="00980C59">
      <w:pPr>
        <w:pStyle w:val="EndNoteBibliography"/>
        <w:spacing w:after="0" w:line="480" w:lineRule="auto"/>
        <w:rPr>
          <w:rFonts w:ascii="Times New Roman" w:hAnsi="Times New Roman"/>
          <w:noProof/>
          <w:sz w:val="24"/>
          <w:szCs w:val="24"/>
        </w:rPr>
      </w:pPr>
      <w:bookmarkStart w:id="50" w:name="_ENREF_50"/>
      <w:r w:rsidRPr="00980C59">
        <w:rPr>
          <w:rFonts w:ascii="Times New Roman" w:hAnsi="Times New Roman"/>
          <w:noProof/>
          <w:sz w:val="24"/>
          <w:szCs w:val="24"/>
        </w:rPr>
        <w:lastRenderedPageBreak/>
        <w:t>50.</w:t>
      </w:r>
      <w:r w:rsidRPr="00980C59">
        <w:rPr>
          <w:rFonts w:ascii="Times New Roman" w:hAnsi="Times New Roman"/>
          <w:noProof/>
          <w:sz w:val="24"/>
          <w:szCs w:val="24"/>
        </w:rPr>
        <w:tab/>
        <w:t>Chambers JC, Zhang W, Sehmi J, Li X, Wass MN, Van der Harst P, et al. Genome-wide association study identifies loci influencing concentrations of liver enzymes in plasma. Nature genetics. 2011;43(11):1131-8.</w:t>
      </w:r>
      <w:bookmarkEnd w:id="50"/>
    </w:p>
    <w:p w:rsidR="00210106" w:rsidRPr="00980C59" w:rsidRDefault="00210106" w:rsidP="00980C59">
      <w:pPr>
        <w:pStyle w:val="EndNoteBibliography"/>
        <w:spacing w:after="0" w:line="480" w:lineRule="auto"/>
        <w:rPr>
          <w:rFonts w:ascii="Times New Roman" w:hAnsi="Times New Roman"/>
          <w:noProof/>
          <w:sz w:val="24"/>
          <w:szCs w:val="24"/>
        </w:rPr>
      </w:pPr>
      <w:bookmarkStart w:id="51" w:name="_ENREF_51"/>
      <w:r w:rsidRPr="00980C59">
        <w:rPr>
          <w:rFonts w:ascii="Times New Roman" w:hAnsi="Times New Roman"/>
          <w:noProof/>
          <w:sz w:val="24"/>
          <w:szCs w:val="24"/>
        </w:rPr>
        <w:t>51.</w:t>
      </w:r>
      <w:r w:rsidRPr="00980C59">
        <w:rPr>
          <w:rFonts w:ascii="Times New Roman" w:hAnsi="Times New Roman"/>
          <w:noProof/>
          <w:sz w:val="24"/>
          <w:szCs w:val="24"/>
        </w:rPr>
        <w:tab/>
        <w:t>Froguel P, Ndiaye NC, Bonnefond A, Bouatia-Naji N, Dechaume A, Siest G, et al. A genome-wide association study identifies rs2000999 as a strong genetic determinant of circulating haptoglobin levels. PloS one. 2012;7(3):e32327.</w:t>
      </w:r>
      <w:bookmarkEnd w:id="51"/>
    </w:p>
    <w:p w:rsidR="00210106" w:rsidRPr="00980C59" w:rsidRDefault="00210106" w:rsidP="00980C59">
      <w:pPr>
        <w:pStyle w:val="EndNoteBibliography"/>
        <w:spacing w:after="0" w:line="480" w:lineRule="auto"/>
        <w:rPr>
          <w:rFonts w:ascii="Times New Roman" w:hAnsi="Times New Roman"/>
          <w:noProof/>
          <w:sz w:val="24"/>
          <w:szCs w:val="24"/>
        </w:rPr>
      </w:pPr>
      <w:bookmarkStart w:id="52" w:name="_ENREF_52"/>
      <w:r w:rsidRPr="00980C59">
        <w:rPr>
          <w:rFonts w:ascii="Times New Roman" w:hAnsi="Times New Roman"/>
          <w:noProof/>
          <w:sz w:val="24"/>
          <w:szCs w:val="24"/>
        </w:rPr>
        <w:t>52.</w:t>
      </w:r>
      <w:r w:rsidRPr="00980C59">
        <w:rPr>
          <w:rFonts w:ascii="Times New Roman" w:hAnsi="Times New Roman"/>
          <w:noProof/>
          <w:sz w:val="24"/>
          <w:szCs w:val="24"/>
        </w:rPr>
        <w:tab/>
        <w:t>Holme I, Aastveit AH, Hammar N, Jungner I, Walldius G. Haptoglobin and risk of myocardial infarction, stroke, and congestive heart failure in 342,125 men and women in the Apolipoprotein MOrtality RISk study (AMORIS). Annals of medicine. 2009;41(7):522-32.</w:t>
      </w:r>
      <w:bookmarkEnd w:id="52"/>
    </w:p>
    <w:p w:rsidR="00210106" w:rsidRPr="00980C59" w:rsidRDefault="00210106" w:rsidP="00980C59">
      <w:pPr>
        <w:pStyle w:val="EndNoteBibliography"/>
        <w:spacing w:after="0" w:line="480" w:lineRule="auto"/>
        <w:rPr>
          <w:rFonts w:ascii="Times New Roman" w:hAnsi="Times New Roman"/>
          <w:noProof/>
          <w:sz w:val="24"/>
          <w:szCs w:val="24"/>
        </w:rPr>
      </w:pPr>
      <w:bookmarkStart w:id="53" w:name="_ENREF_53"/>
      <w:r w:rsidRPr="00980C59">
        <w:rPr>
          <w:rFonts w:ascii="Times New Roman" w:hAnsi="Times New Roman"/>
          <w:noProof/>
          <w:sz w:val="24"/>
          <w:szCs w:val="24"/>
        </w:rPr>
        <w:t>53.</w:t>
      </w:r>
      <w:r w:rsidRPr="00980C59">
        <w:rPr>
          <w:rFonts w:ascii="Times New Roman" w:hAnsi="Times New Roman"/>
          <w:noProof/>
          <w:sz w:val="24"/>
          <w:szCs w:val="24"/>
        </w:rPr>
        <w:tab/>
        <w:t>Chasman DI, Pare G, Mora S, Hopewell JC, Peloso G, Clarke R, et al. Forty-three loci associated with plasma lipoprotein size, concentration, and cholesterol content in genome-wide analysis. PLoS genetics. 2009;5(11):e1000730.</w:t>
      </w:r>
      <w:bookmarkEnd w:id="53"/>
    </w:p>
    <w:p w:rsidR="00210106" w:rsidRPr="00980C59" w:rsidRDefault="00210106" w:rsidP="00980C59">
      <w:pPr>
        <w:pStyle w:val="EndNoteBibliography"/>
        <w:spacing w:after="0" w:line="480" w:lineRule="auto"/>
        <w:rPr>
          <w:rFonts w:ascii="Times New Roman" w:hAnsi="Times New Roman"/>
          <w:noProof/>
          <w:sz w:val="24"/>
          <w:szCs w:val="24"/>
          <w:lang w:val="sv-SE"/>
        </w:rPr>
      </w:pPr>
      <w:bookmarkStart w:id="54" w:name="_ENREF_54"/>
      <w:r w:rsidRPr="00980C59">
        <w:rPr>
          <w:rFonts w:ascii="Times New Roman" w:hAnsi="Times New Roman"/>
          <w:noProof/>
          <w:sz w:val="24"/>
          <w:szCs w:val="24"/>
        </w:rPr>
        <w:t>54.</w:t>
      </w:r>
      <w:r w:rsidRPr="00980C59">
        <w:rPr>
          <w:rFonts w:ascii="Times New Roman" w:hAnsi="Times New Roman"/>
          <w:noProof/>
          <w:sz w:val="24"/>
          <w:szCs w:val="24"/>
        </w:rPr>
        <w:tab/>
        <w:t xml:space="preserve">Baigent C, Keech A, Kearney PM, Blackwell L, Buck G, Pollicino C, et al. Efficacy and safety of cholesterol-lowering treatment: prospective meta-analysis of data from 90,056 participants in 14 randomised trials of statins. </w:t>
      </w:r>
      <w:r w:rsidRPr="00980C59">
        <w:rPr>
          <w:rFonts w:ascii="Times New Roman" w:hAnsi="Times New Roman"/>
          <w:noProof/>
          <w:sz w:val="24"/>
          <w:szCs w:val="24"/>
          <w:lang w:val="sv-SE"/>
        </w:rPr>
        <w:t>Lancet. 2005;366(9493):1267-78.</w:t>
      </w:r>
      <w:bookmarkEnd w:id="54"/>
    </w:p>
    <w:p w:rsidR="00210106" w:rsidRPr="00980C59" w:rsidRDefault="00210106" w:rsidP="00980C59">
      <w:pPr>
        <w:pStyle w:val="EndNoteBibliography"/>
        <w:spacing w:line="480" w:lineRule="auto"/>
        <w:rPr>
          <w:rFonts w:ascii="Times New Roman" w:hAnsi="Times New Roman"/>
          <w:noProof/>
          <w:sz w:val="24"/>
          <w:szCs w:val="24"/>
        </w:rPr>
      </w:pPr>
      <w:bookmarkStart w:id="55" w:name="_ENREF_55"/>
      <w:r w:rsidRPr="00980C59">
        <w:rPr>
          <w:rFonts w:ascii="Times New Roman" w:hAnsi="Times New Roman"/>
          <w:noProof/>
          <w:sz w:val="24"/>
          <w:szCs w:val="24"/>
          <w:lang w:val="sv-SE"/>
        </w:rPr>
        <w:t>55.</w:t>
      </w:r>
      <w:r w:rsidRPr="00980C59">
        <w:rPr>
          <w:rFonts w:ascii="Times New Roman" w:hAnsi="Times New Roman"/>
          <w:noProof/>
          <w:sz w:val="24"/>
          <w:szCs w:val="24"/>
          <w:lang w:val="sv-SE"/>
        </w:rPr>
        <w:tab/>
        <w:t xml:space="preserve">Sikorska K, Rivadeneira F, Groenen PJ, Hofman A, Uitterlinden AG, Eilers PH, et al. </w:t>
      </w:r>
      <w:r w:rsidRPr="00980C59">
        <w:rPr>
          <w:rFonts w:ascii="Times New Roman" w:hAnsi="Times New Roman"/>
          <w:noProof/>
          <w:sz w:val="24"/>
          <w:szCs w:val="24"/>
        </w:rPr>
        <w:t>Fast linear mixed model computations for genome-wide association studies with longitudinal data. Statistics in medicine. 2013;32(1):165-80.</w:t>
      </w:r>
      <w:bookmarkEnd w:id="55"/>
    </w:p>
    <w:p w:rsidR="00210106" w:rsidRPr="00D5255A" w:rsidRDefault="00210106" w:rsidP="00D1110C">
      <w:pPr>
        <w:spacing w:line="480" w:lineRule="auto"/>
        <w:rPr>
          <w:rFonts w:ascii="Times New Roman" w:hAnsi="Times New Roman"/>
          <w:sz w:val="24"/>
          <w:szCs w:val="24"/>
        </w:rPr>
      </w:pPr>
    </w:p>
    <w:p w:rsidR="00210106" w:rsidRPr="00D5255A" w:rsidRDefault="00210106" w:rsidP="00F74367">
      <w:pPr>
        <w:pStyle w:val="Heading1"/>
        <w:spacing w:before="0" w:after="0" w:line="480" w:lineRule="auto"/>
        <w:rPr>
          <w:rFonts w:ascii="Times New Roman" w:hAnsi="Times New Roman"/>
          <w:sz w:val="24"/>
          <w:szCs w:val="24"/>
        </w:rPr>
      </w:pPr>
      <w:r w:rsidRPr="00D5255A">
        <w:rPr>
          <w:rFonts w:ascii="Times New Roman" w:hAnsi="Times New Roman"/>
          <w:sz w:val="24"/>
          <w:szCs w:val="24"/>
        </w:rPr>
        <w:br w:type="page"/>
      </w:r>
      <w:r w:rsidRPr="00D5255A">
        <w:rPr>
          <w:rFonts w:ascii="Times New Roman" w:hAnsi="Times New Roman"/>
          <w:sz w:val="24"/>
          <w:szCs w:val="24"/>
        </w:rPr>
        <w:lastRenderedPageBreak/>
        <w:t>LEgends to figures</w:t>
      </w:r>
    </w:p>
    <w:p w:rsidR="00210106" w:rsidRPr="00D5255A" w:rsidRDefault="00210106" w:rsidP="00F74367">
      <w:pPr>
        <w:spacing w:after="0" w:line="480" w:lineRule="auto"/>
        <w:rPr>
          <w:rFonts w:ascii="Times New Roman" w:hAnsi="Times New Roman"/>
          <w:sz w:val="24"/>
          <w:szCs w:val="24"/>
        </w:rPr>
      </w:pPr>
      <w:r w:rsidRPr="00D5255A">
        <w:rPr>
          <w:rFonts w:ascii="Times New Roman" w:hAnsi="Times New Roman"/>
          <w:sz w:val="24"/>
          <w:szCs w:val="24"/>
        </w:rPr>
        <w:t xml:space="preserve">Figure 1. </w:t>
      </w:r>
      <w:proofErr w:type="gramStart"/>
      <w:r w:rsidRPr="00D5255A">
        <w:rPr>
          <w:rFonts w:ascii="Times New Roman" w:hAnsi="Times New Roman"/>
          <w:sz w:val="24"/>
          <w:szCs w:val="24"/>
        </w:rPr>
        <w:t>title</w:t>
      </w:r>
      <w:proofErr w:type="gramEnd"/>
      <w:r w:rsidRPr="00D5255A">
        <w:rPr>
          <w:rFonts w:ascii="Times New Roman" w:hAnsi="Times New Roman"/>
          <w:sz w:val="24"/>
          <w:szCs w:val="24"/>
        </w:rPr>
        <w:t>: Project Flowchart</w:t>
      </w:r>
    </w:p>
    <w:p w:rsidR="00210106" w:rsidRPr="00D5255A" w:rsidRDefault="00210106" w:rsidP="00F74367">
      <w:pPr>
        <w:spacing w:after="0" w:line="480" w:lineRule="auto"/>
        <w:rPr>
          <w:rFonts w:ascii="Times New Roman" w:hAnsi="Times New Roman"/>
          <w:sz w:val="24"/>
          <w:szCs w:val="24"/>
        </w:rPr>
      </w:pPr>
      <w:r w:rsidRPr="00D5255A">
        <w:rPr>
          <w:rFonts w:ascii="Times New Roman" w:hAnsi="Times New Roman"/>
          <w:sz w:val="24"/>
          <w:szCs w:val="24"/>
        </w:rPr>
        <w:t>Figure 1. legend: CAD - coronary artery disease; DBP - diastolic blood pressure; N - sample size; SBP - systolic blood pressure; SNP - single nucleotide polymorphism; T2D - type 2 diabetes; TC - total cholesterol; TG - triglycerides</w:t>
      </w:r>
    </w:p>
    <w:p w:rsidR="00210106" w:rsidRPr="00D5255A" w:rsidRDefault="00210106" w:rsidP="00F74367">
      <w:pPr>
        <w:spacing w:after="0" w:line="480" w:lineRule="auto"/>
        <w:rPr>
          <w:rFonts w:ascii="Times New Roman" w:hAnsi="Times New Roman"/>
          <w:sz w:val="24"/>
          <w:szCs w:val="24"/>
        </w:rPr>
        <w:sectPr w:rsidR="00210106" w:rsidRPr="00D5255A" w:rsidSect="00B25EA8">
          <w:footerReference w:type="default" r:id="rId9"/>
          <w:pgSz w:w="11906" w:h="16838"/>
          <w:pgMar w:top="1417" w:right="1417" w:bottom="1417" w:left="1417" w:header="708" w:footer="708" w:gutter="0"/>
          <w:cols w:space="708"/>
          <w:docGrid w:linePitch="360"/>
        </w:sectPr>
      </w:pPr>
    </w:p>
    <w:p w:rsidR="00210106" w:rsidRPr="00D5255A" w:rsidRDefault="00210106" w:rsidP="00F74367">
      <w:pPr>
        <w:pStyle w:val="Heading1"/>
        <w:spacing w:line="480" w:lineRule="auto"/>
        <w:rPr>
          <w:rFonts w:ascii="Times New Roman" w:hAnsi="Times New Roman"/>
          <w:sz w:val="24"/>
          <w:szCs w:val="24"/>
        </w:rPr>
      </w:pPr>
      <w:r w:rsidRPr="00D5255A">
        <w:rPr>
          <w:rFonts w:ascii="Times New Roman" w:hAnsi="Times New Roman"/>
          <w:sz w:val="24"/>
          <w:szCs w:val="24"/>
        </w:rPr>
        <w:lastRenderedPageBreak/>
        <w:t>SUPPORTING INFORMATION CAPTIONS</w:t>
      </w:r>
    </w:p>
    <w:p w:rsidR="00210106" w:rsidRPr="00D5255A" w:rsidRDefault="00210106" w:rsidP="003154C0">
      <w:pPr>
        <w:spacing w:after="0" w:line="240" w:lineRule="auto"/>
        <w:rPr>
          <w:rFonts w:ascii="Times New Roman" w:hAnsi="Times New Roman"/>
          <w:sz w:val="24"/>
          <w:szCs w:val="24"/>
        </w:rPr>
      </w:pPr>
    </w:p>
    <w:p w:rsidR="00210106" w:rsidRDefault="00210106" w:rsidP="005E67A9">
      <w:pPr>
        <w:spacing w:after="0" w:line="480" w:lineRule="auto"/>
        <w:rPr>
          <w:rFonts w:ascii="Times New Roman" w:hAnsi="Times New Roman"/>
          <w:b/>
          <w:sz w:val="24"/>
          <w:szCs w:val="24"/>
        </w:rPr>
      </w:pPr>
      <w:r w:rsidRPr="00D5255A">
        <w:rPr>
          <w:rFonts w:ascii="Times New Roman" w:hAnsi="Times New Roman"/>
          <w:sz w:val="24"/>
          <w:szCs w:val="24"/>
        </w:rPr>
        <w:t xml:space="preserve">S1 Method. </w:t>
      </w:r>
      <w:r w:rsidRPr="00D5255A">
        <w:rPr>
          <w:rFonts w:ascii="Times New Roman" w:hAnsi="Times New Roman"/>
          <w:b/>
          <w:sz w:val="24"/>
          <w:szCs w:val="24"/>
        </w:rPr>
        <w:t>Study Participants, Clinical Measures, Genotyping and Statistical Analysis of the Replication cohorts</w:t>
      </w:r>
    </w:p>
    <w:p w:rsidR="00210106" w:rsidRPr="00D5255A" w:rsidRDefault="00210106" w:rsidP="005E67A9">
      <w:pPr>
        <w:spacing w:after="0" w:line="480" w:lineRule="auto"/>
        <w:rPr>
          <w:rFonts w:ascii="Times New Roman" w:hAnsi="Times New Roman"/>
          <w:sz w:val="24"/>
          <w:szCs w:val="24"/>
        </w:rPr>
      </w:pPr>
      <w:r>
        <w:rPr>
          <w:rFonts w:ascii="Times New Roman" w:hAnsi="Times New Roman"/>
          <w:sz w:val="24"/>
          <w:szCs w:val="24"/>
        </w:rPr>
        <w:t>S2 Method</w:t>
      </w:r>
      <w:r w:rsidRPr="003F670F">
        <w:rPr>
          <w:rFonts w:ascii="Times New Roman" w:hAnsi="Times New Roman"/>
          <w:sz w:val="24"/>
          <w:szCs w:val="24"/>
        </w:rPr>
        <w:t>.</w:t>
      </w:r>
      <w:r>
        <w:rPr>
          <w:rFonts w:ascii="Times New Roman" w:hAnsi="Times New Roman"/>
          <w:b/>
          <w:sz w:val="24"/>
          <w:szCs w:val="24"/>
        </w:rPr>
        <w:t xml:space="preserve"> </w:t>
      </w:r>
      <w:r w:rsidRPr="006C5D6B">
        <w:rPr>
          <w:rFonts w:ascii="Times New Roman" w:hAnsi="Times New Roman"/>
          <w:b/>
          <w:sz w:val="24"/>
          <w:szCs w:val="24"/>
        </w:rPr>
        <w:t>Comparison of Generalized Linear Models and Linear Mixed Models in the GLACIER Study</w:t>
      </w:r>
    </w:p>
    <w:p w:rsidR="00210106" w:rsidRPr="00D5255A" w:rsidRDefault="00210106" w:rsidP="005E67A9">
      <w:pPr>
        <w:spacing w:after="0" w:line="480" w:lineRule="auto"/>
        <w:rPr>
          <w:rFonts w:ascii="Times New Roman" w:hAnsi="Times New Roman"/>
          <w:sz w:val="24"/>
          <w:szCs w:val="24"/>
        </w:rPr>
      </w:pPr>
      <w:r w:rsidRPr="00D5255A">
        <w:rPr>
          <w:rFonts w:ascii="Times New Roman" w:hAnsi="Times New Roman"/>
          <w:sz w:val="24"/>
          <w:szCs w:val="24"/>
        </w:rPr>
        <w:t xml:space="preserve">S1 Table. </w:t>
      </w:r>
      <w:r w:rsidRPr="00D5255A">
        <w:rPr>
          <w:rFonts w:ascii="Times New Roman" w:hAnsi="Times New Roman"/>
          <w:b/>
          <w:sz w:val="24"/>
          <w:szCs w:val="24"/>
        </w:rPr>
        <w:t>Longitudinal characteristics of the GLACIER Study participants (N=3,495 for TC; N=2,211 for TG)</w:t>
      </w:r>
    </w:p>
    <w:p w:rsidR="00210106" w:rsidRPr="00D5255A" w:rsidRDefault="00210106" w:rsidP="005E67A9">
      <w:pPr>
        <w:spacing w:after="0" w:line="480" w:lineRule="auto"/>
        <w:rPr>
          <w:rFonts w:ascii="Times New Roman" w:hAnsi="Times New Roman"/>
          <w:sz w:val="24"/>
          <w:szCs w:val="24"/>
        </w:rPr>
      </w:pPr>
      <w:r w:rsidRPr="00D5255A">
        <w:rPr>
          <w:rFonts w:ascii="Times New Roman" w:hAnsi="Times New Roman"/>
          <w:sz w:val="24"/>
          <w:szCs w:val="24"/>
        </w:rPr>
        <w:t xml:space="preserve">S2 Table. </w:t>
      </w:r>
      <w:r w:rsidRPr="00D5255A">
        <w:rPr>
          <w:rFonts w:ascii="Times New Roman" w:hAnsi="Times New Roman"/>
          <w:b/>
          <w:sz w:val="24"/>
          <w:szCs w:val="24"/>
        </w:rPr>
        <w:t>Longitudinal characteristics of the MDC Study participants (N=2,943)</w:t>
      </w:r>
    </w:p>
    <w:p w:rsidR="00210106" w:rsidRPr="00D5255A" w:rsidRDefault="00210106" w:rsidP="005E67A9">
      <w:pPr>
        <w:spacing w:after="0" w:line="480" w:lineRule="auto"/>
        <w:rPr>
          <w:rFonts w:ascii="Times New Roman" w:hAnsi="Times New Roman"/>
          <w:sz w:val="24"/>
          <w:szCs w:val="24"/>
        </w:rPr>
      </w:pPr>
      <w:r w:rsidRPr="00D5255A">
        <w:rPr>
          <w:rFonts w:ascii="Times New Roman" w:hAnsi="Times New Roman"/>
          <w:sz w:val="24"/>
          <w:szCs w:val="24"/>
        </w:rPr>
        <w:t xml:space="preserve">S3 Table. </w:t>
      </w:r>
      <w:r w:rsidRPr="00D5255A">
        <w:rPr>
          <w:rFonts w:ascii="Times New Roman" w:hAnsi="Times New Roman"/>
          <w:b/>
          <w:sz w:val="24"/>
          <w:szCs w:val="24"/>
        </w:rPr>
        <w:t>Longitudinal characteristics of PIVUS Study participants (N=599)</w:t>
      </w:r>
    </w:p>
    <w:p w:rsidR="00210106" w:rsidRPr="00D5255A" w:rsidRDefault="00210106" w:rsidP="005E67A9">
      <w:pPr>
        <w:spacing w:after="0" w:line="480" w:lineRule="auto"/>
        <w:rPr>
          <w:rFonts w:ascii="Times New Roman" w:hAnsi="Times New Roman"/>
          <w:sz w:val="24"/>
          <w:szCs w:val="24"/>
        </w:rPr>
      </w:pPr>
      <w:r w:rsidRPr="00D5255A">
        <w:rPr>
          <w:rFonts w:ascii="Times New Roman" w:hAnsi="Times New Roman"/>
          <w:sz w:val="24"/>
          <w:szCs w:val="24"/>
        </w:rPr>
        <w:t xml:space="preserve">S4 Table. </w:t>
      </w:r>
      <w:r w:rsidRPr="00D5255A">
        <w:rPr>
          <w:rFonts w:ascii="Times New Roman" w:hAnsi="Times New Roman"/>
          <w:b/>
          <w:sz w:val="24"/>
          <w:szCs w:val="24"/>
        </w:rPr>
        <w:t>Longitudinal characteristics of ULSAM Study participants (N=471)</w:t>
      </w:r>
    </w:p>
    <w:p w:rsidR="00210106" w:rsidRPr="00D5255A" w:rsidRDefault="00210106" w:rsidP="005E67A9">
      <w:pPr>
        <w:spacing w:after="0" w:line="480" w:lineRule="auto"/>
        <w:rPr>
          <w:rFonts w:ascii="Times New Roman" w:hAnsi="Times New Roman"/>
          <w:sz w:val="24"/>
          <w:szCs w:val="24"/>
        </w:rPr>
      </w:pPr>
      <w:r w:rsidRPr="00D5255A">
        <w:rPr>
          <w:rFonts w:ascii="Times New Roman" w:hAnsi="Times New Roman"/>
          <w:sz w:val="24"/>
          <w:szCs w:val="24"/>
        </w:rPr>
        <w:t xml:space="preserve">S5 Table. </w:t>
      </w:r>
      <w:r w:rsidRPr="00D5255A">
        <w:rPr>
          <w:rFonts w:ascii="Times New Roman" w:hAnsi="Times New Roman"/>
          <w:b/>
          <w:sz w:val="24"/>
          <w:szCs w:val="24"/>
        </w:rPr>
        <w:t>Longitudinal characteristics of the MRC Ely Study participants (N=755)</w:t>
      </w:r>
    </w:p>
    <w:p w:rsidR="00210106" w:rsidRPr="00D5255A" w:rsidRDefault="00210106" w:rsidP="005E67A9">
      <w:pPr>
        <w:spacing w:after="0" w:line="480" w:lineRule="auto"/>
        <w:rPr>
          <w:rFonts w:ascii="Times New Roman" w:hAnsi="Times New Roman"/>
          <w:sz w:val="24"/>
          <w:szCs w:val="24"/>
        </w:rPr>
      </w:pPr>
      <w:r w:rsidRPr="00D5255A">
        <w:rPr>
          <w:rFonts w:ascii="Times New Roman" w:hAnsi="Times New Roman"/>
          <w:sz w:val="24"/>
          <w:szCs w:val="24"/>
        </w:rPr>
        <w:t xml:space="preserve">S6 Table. </w:t>
      </w:r>
      <w:r w:rsidRPr="00D5255A">
        <w:rPr>
          <w:rFonts w:ascii="Times New Roman" w:hAnsi="Times New Roman"/>
          <w:b/>
          <w:sz w:val="24"/>
          <w:szCs w:val="24"/>
        </w:rPr>
        <w:t>Longitudinal associations of MetaboChip SNPs in relation to TC changes (</w:t>
      </w:r>
      <w:r w:rsidRPr="00D5255A">
        <w:rPr>
          <w:rFonts w:ascii="Times New Roman" w:hAnsi="Times New Roman"/>
          <w:b/>
          <w:i/>
          <w:sz w:val="24"/>
          <w:szCs w:val="24"/>
        </w:rPr>
        <w:t>P</w:t>
      </w:r>
      <w:r w:rsidRPr="00D5255A">
        <w:rPr>
          <w:rFonts w:ascii="Times New Roman" w:hAnsi="Times New Roman"/>
          <w:b/>
          <w:sz w:val="24"/>
          <w:szCs w:val="24"/>
        </w:rPr>
        <w:t xml:space="preserve"> value &lt; 0.01) in the GLACIER Study (N=3,492)</w:t>
      </w:r>
    </w:p>
    <w:p w:rsidR="00210106" w:rsidRPr="00D5255A" w:rsidRDefault="00210106" w:rsidP="005E67A9">
      <w:pPr>
        <w:spacing w:after="0" w:line="480" w:lineRule="auto"/>
        <w:rPr>
          <w:rFonts w:ascii="Times New Roman" w:hAnsi="Times New Roman"/>
          <w:sz w:val="24"/>
          <w:szCs w:val="24"/>
        </w:rPr>
      </w:pPr>
      <w:r w:rsidRPr="00D5255A">
        <w:rPr>
          <w:rFonts w:ascii="Times New Roman" w:hAnsi="Times New Roman"/>
          <w:sz w:val="24"/>
          <w:szCs w:val="24"/>
        </w:rPr>
        <w:t xml:space="preserve">S7 Table. </w:t>
      </w:r>
      <w:r w:rsidRPr="00D5255A">
        <w:rPr>
          <w:rFonts w:ascii="Times New Roman" w:hAnsi="Times New Roman"/>
          <w:b/>
          <w:sz w:val="24"/>
          <w:szCs w:val="24"/>
        </w:rPr>
        <w:t>Longitudinal associations of MetaboChip SNPs in relation to TG changes (</w:t>
      </w:r>
      <w:r w:rsidRPr="00D5255A">
        <w:rPr>
          <w:rFonts w:ascii="Times New Roman" w:hAnsi="Times New Roman"/>
          <w:b/>
          <w:i/>
          <w:sz w:val="24"/>
          <w:szCs w:val="24"/>
        </w:rPr>
        <w:t>P</w:t>
      </w:r>
      <w:r w:rsidRPr="00D5255A">
        <w:rPr>
          <w:rFonts w:ascii="Times New Roman" w:hAnsi="Times New Roman"/>
          <w:b/>
          <w:sz w:val="24"/>
          <w:szCs w:val="24"/>
        </w:rPr>
        <w:t xml:space="preserve"> value &lt; 0.01) in the GLACIER Study (N=2,209)</w:t>
      </w:r>
    </w:p>
    <w:p w:rsidR="00210106" w:rsidRPr="00D5255A" w:rsidRDefault="00210106" w:rsidP="005E67A9">
      <w:pPr>
        <w:spacing w:after="0" w:line="480" w:lineRule="auto"/>
        <w:rPr>
          <w:rFonts w:ascii="Times New Roman" w:hAnsi="Times New Roman"/>
          <w:sz w:val="24"/>
          <w:szCs w:val="24"/>
        </w:rPr>
      </w:pPr>
      <w:r w:rsidRPr="00D5255A">
        <w:rPr>
          <w:rFonts w:ascii="Times New Roman" w:hAnsi="Times New Roman"/>
          <w:sz w:val="24"/>
          <w:szCs w:val="24"/>
        </w:rPr>
        <w:t xml:space="preserve">S8 Table. </w:t>
      </w:r>
      <w:r w:rsidRPr="00D5255A">
        <w:rPr>
          <w:rFonts w:ascii="Times New Roman" w:hAnsi="Times New Roman"/>
          <w:b/>
          <w:sz w:val="24"/>
          <w:szCs w:val="24"/>
        </w:rPr>
        <w:t>Lipid change associated variants after correction for multiple testing in relation to T2D in the DIAGRAM consortium (</w:t>
      </w:r>
      <w:proofErr w:type="spellStart"/>
      <w:r w:rsidRPr="00D5255A">
        <w:rPr>
          <w:rFonts w:ascii="Times New Roman" w:hAnsi="Times New Roman"/>
          <w:b/>
          <w:sz w:val="24"/>
          <w:szCs w:val="24"/>
        </w:rPr>
        <w:t>N</w:t>
      </w:r>
      <w:r w:rsidRPr="00D5255A">
        <w:rPr>
          <w:rFonts w:ascii="Times New Roman" w:hAnsi="Times New Roman"/>
          <w:b/>
          <w:sz w:val="24"/>
          <w:szCs w:val="24"/>
          <w:vertAlign w:val="subscript"/>
        </w:rPr>
        <w:t>max</w:t>
      </w:r>
      <w:proofErr w:type="spellEnd"/>
      <w:r w:rsidRPr="00D5255A">
        <w:rPr>
          <w:rFonts w:ascii="Times New Roman" w:hAnsi="Times New Roman"/>
          <w:b/>
          <w:sz w:val="24"/>
          <w:szCs w:val="24"/>
        </w:rPr>
        <w:t>=86,531)</w:t>
      </w:r>
    </w:p>
    <w:p w:rsidR="00210106" w:rsidRPr="00D5255A" w:rsidRDefault="00210106" w:rsidP="005E67A9">
      <w:pPr>
        <w:spacing w:after="0" w:line="480" w:lineRule="auto"/>
        <w:rPr>
          <w:rFonts w:ascii="Times New Roman" w:hAnsi="Times New Roman"/>
          <w:sz w:val="24"/>
          <w:szCs w:val="24"/>
        </w:rPr>
      </w:pPr>
      <w:r w:rsidRPr="00D5255A">
        <w:rPr>
          <w:rFonts w:ascii="Times New Roman" w:hAnsi="Times New Roman"/>
          <w:sz w:val="24"/>
          <w:szCs w:val="24"/>
        </w:rPr>
        <w:t xml:space="preserve">S9 Table. </w:t>
      </w:r>
      <w:r w:rsidRPr="00D5255A">
        <w:rPr>
          <w:rFonts w:ascii="Times New Roman" w:hAnsi="Times New Roman"/>
          <w:b/>
          <w:sz w:val="24"/>
          <w:szCs w:val="24"/>
        </w:rPr>
        <w:t>Lipid change associated variants after correction for multiple testing in relation to SBP and DBP in the ICBP consortium (</w:t>
      </w:r>
      <w:proofErr w:type="spellStart"/>
      <w:r w:rsidRPr="00D5255A">
        <w:rPr>
          <w:rFonts w:ascii="Times New Roman" w:hAnsi="Times New Roman"/>
          <w:b/>
          <w:sz w:val="24"/>
          <w:szCs w:val="24"/>
        </w:rPr>
        <w:t>N</w:t>
      </w:r>
      <w:r w:rsidRPr="00D5255A">
        <w:rPr>
          <w:rFonts w:ascii="Times New Roman" w:hAnsi="Times New Roman"/>
          <w:b/>
          <w:sz w:val="24"/>
          <w:szCs w:val="24"/>
          <w:vertAlign w:val="subscript"/>
        </w:rPr>
        <w:t>max</w:t>
      </w:r>
      <w:proofErr w:type="spellEnd"/>
      <w:r w:rsidRPr="00D5255A">
        <w:rPr>
          <w:rFonts w:ascii="Times New Roman" w:hAnsi="Times New Roman"/>
          <w:b/>
          <w:sz w:val="24"/>
          <w:szCs w:val="24"/>
        </w:rPr>
        <w:t>=203,056)</w:t>
      </w:r>
    </w:p>
    <w:p w:rsidR="00210106" w:rsidRPr="00802CF3" w:rsidRDefault="00210106" w:rsidP="003154C0">
      <w:pPr>
        <w:spacing w:after="0" w:line="480" w:lineRule="auto"/>
        <w:rPr>
          <w:rFonts w:ascii="Times New Roman" w:hAnsi="Times New Roman"/>
        </w:rPr>
      </w:pPr>
      <w:r w:rsidRPr="00D5255A">
        <w:rPr>
          <w:rFonts w:ascii="Times New Roman" w:hAnsi="Times New Roman"/>
          <w:sz w:val="24"/>
          <w:szCs w:val="24"/>
        </w:rPr>
        <w:t xml:space="preserve">S10 Table. </w:t>
      </w:r>
      <w:r w:rsidRPr="00D5255A">
        <w:rPr>
          <w:rFonts w:ascii="Times New Roman" w:hAnsi="Times New Roman"/>
          <w:b/>
          <w:sz w:val="24"/>
          <w:szCs w:val="24"/>
        </w:rPr>
        <w:t>Functional annotation of top ranking variants in relation to lipid changes and CAD</w:t>
      </w:r>
    </w:p>
    <w:p w:rsidR="007E2AEB" w:rsidRDefault="007E2AEB"/>
    <w:sectPr w:rsidR="007E2AEB" w:rsidSect="0047273A">
      <w:pgSz w:w="12240" w:h="15840"/>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438C" w:rsidRDefault="00B0438C">
      <w:pPr>
        <w:spacing w:after="0" w:line="240" w:lineRule="auto"/>
      </w:pPr>
      <w:r>
        <w:separator/>
      </w:r>
    </w:p>
  </w:endnote>
  <w:endnote w:type="continuationSeparator" w:id="0">
    <w:p w:rsidR="00B0438C" w:rsidRDefault="00B043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 Pro">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8566910"/>
      <w:docPartObj>
        <w:docPartGallery w:val="Page Numbers (Bottom of Page)"/>
        <w:docPartUnique/>
      </w:docPartObj>
    </w:sdtPr>
    <w:sdtEndPr>
      <w:rPr>
        <w:noProof/>
      </w:rPr>
    </w:sdtEndPr>
    <w:sdtContent>
      <w:p w:rsidR="00B7350D" w:rsidRDefault="00980C59">
        <w:pPr>
          <w:pStyle w:val="Footer"/>
          <w:jc w:val="center"/>
        </w:pPr>
        <w:r w:rsidRPr="008123E1">
          <w:rPr>
            <w:rFonts w:ascii="Times New Roman" w:hAnsi="Times New Roman"/>
          </w:rPr>
          <w:fldChar w:fldCharType="begin"/>
        </w:r>
        <w:r w:rsidRPr="008123E1">
          <w:rPr>
            <w:rFonts w:ascii="Times New Roman" w:hAnsi="Times New Roman"/>
          </w:rPr>
          <w:instrText xml:space="preserve"> PAGE   \* MERGEFORMAT </w:instrText>
        </w:r>
        <w:r w:rsidRPr="008123E1">
          <w:rPr>
            <w:rFonts w:ascii="Times New Roman" w:hAnsi="Times New Roman"/>
          </w:rPr>
          <w:fldChar w:fldCharType="separate"/>
        </w:r>
        <w:r w:rsidR="00A07DA5">
          <w:rPr>
            <w:rFonts w:ascii="Times New Roman" w:hAnsi="Times New Roman"/>
            <w:noProof/>
          </w:rPr>
          <w:t>9</w:t>
        </w:r>
        <w:r w:rsidRPr="008123E1">
          <w:rPr>
            <w:rFonts w:ascii="Times New Roman" w:hAnsi="Times New Roman"/>
            <w:noProof/>
          </w:rPr>
          <w:fldChar w:fldCharType="end"/>
        </w:r>
      </w:p>
    </w:sdtContent>
  </w:sdt>
  <w:p w:rsidR="00B7350D" w:rsidRDefault="00B043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438C" w:rsidRDefault="00B0438C">
      <w:pPr>
        <w:spacing w:after="0" w:line="240" w:lineRule="auto"/>
      </w:pPr>
      <w:r>
        <w:separator/>
      </w:r>
    </w:p>
  </w:footnote>
  <w:footnote w:type="continuationSeparator" w:id="0">
    <w:p w:rsidR="00B0438C" w:rsidRDefault="00B0438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125FB1"/>
    <w:multiLevelType w:val="hybridMultilevel"/>
    <w:tmpl w:val="8564C664"/>
    <w:lvl w:ilvl="0" w:tplc="041D0001">
      <w:start w:val="1"/>
      <w:numFmt w:val="bullet"/>
      <w:lvlText w:val=""/>
      <w:lvlJc w:val="left"/>
      <w:pPr>
        <w:ind w:left="3600" w:hanging="360"/>
      </w:pPr>
      <w:rPr>
        <w:rFonts w:ascii="Symbol" w:hAnsi="Symbol" w:hint="default"/>
      </w:rPr>
    </w:lvl>
    <w:lvl w:ilvl="1" w:tplc="041D0003" w:tentative="1">
      <w:start w:val="1"/>
      <w:numFmt w:val="bullet"/>
      <w:lvlText w:val="o"/>
      <w:lvlJc w:val="left"/>
      <w:pPr>
        <w:ind w:left="4320" w:hanging="360"/>
      </w:pPr>
      <w:rPr>
        <w:rFonts w:ascii="Courier New" w:hAnsi="Courier New" w:cs="Courier New" w:hint="default"/>
      </w:rPr>
    </w:lvl>
    <w:lvl w:ilvl="2" w:tplc="041D0005" w:tentative="1">
      <w:start w:val="1"/>
      <w:numFmt w:val="bullet"/>
      <w:lvlText w:val=""/>
      <w:lvlJc w:val="left"/>
      <w:pPr>
        <w:ind w:left="5040" w:hanging="360"/>
      </w:pPr>
      <w:rPr>
        <w:rFonts w:ascii="Wingdings" w:hAnsi="Wingdings" w:hint="default"/>
      </w:rPr>
    </w:lvl>
    <w:lvl w:ilvl="3" w:tplc="041D0001" w:tentative="1">
      <w:start w:val="1"/>
      <w:numFmt w:val="bullet"/>
      <w:lvlText w:val=""/>
      <w:lvlJc w:val="left"/>
      <w:pPr>
        <w:ind w:left="5760" w:hanging="360"/>
      </w:pPr>
      <w:rPr>
        <w:rFonts w:ascii="Symbol" w:hAnsi="Symbol" w:hint="default"/>
      </w:rPr>
    </w:lvl>
    <w:lvl w:ilvl="4" w:tplc="041D0003" w:tentative="1">
      <w:start w:val="1"/>
      <w:numFmt w:val="bullet"/>
      <w:lvlText w:val="o"/>
      <w:lvlJc w:val="left"/>
      <w:pPr>
        <w:ind w:left="6480" w:hanging="360"/>
      </w:pPr>
      <w:rPr>
        <w:rFonts w:ascii="Courier New" w:hAnsi="Courier New" w:cs="Courier New" w:hint="default"/>
      </w:rPr>
    </w:lvl>
    <w:lvl w:ilvl="5" w:tplc="041D0005" w:tentative="1">
      <w:start w:val="1"/>
      <w:numFmt w:val="bullet"/>
      <w:lvlText w:val=""/>
      <w:lvlJc w:val="left"/>
      <w:pPr>
        <w:ind w:left="7200" w:hanging="360"/>
      </w:pPr>
      <w:rPr>
        <w:rFonts w:ascii="Wingdings" w:hAnsi="Wingdings" w:hint="default"/>
      </w:rPr>
    </w:lvl>
    <w:lvl w:ilvl="6" w:tplc="041D0001" w:tentative="1">
      <w:start w:val="1"/>
      <w:numFmt w:val="bullet"/>
      <w:lvlText w:val=""/>
      <w:lvlJc w:val="left"/>
      <w:pPr>
        <w:ind w:left="7920" w:hanging="360"/>
      </w:pPr>
      <w:rPr>
        <w:rFonts w:ascii="Symbol" w:hAnsi="Symbol" w:hint="default"/>
      </w:rPr>
    </w:lvl>
    <w:lvl w:ilvl="7" w:tplc="041D0003" w:tentative="1">
      <w:start w:val="1"/>
      <w:numFmt w:val="bullet"/>
      <w:lvlText w:val="o"/>
      <w:lvlJc w:val="left"/>
      <w:pPr>
        <w:ind w:left="8640" w:hanging="360"/>
      </w:pPr>
      <w:rPr>
        <w:rFonts w:ascii="Courier New" w:hAnsi="Courier New" w:cs="Courier New" w:hint="default"/>
      </w:rPr>
    </w:lvl>
    <w:lvl w:ilvl="8" w:tplc="041D0005" w:tentative="1">
      <w:start w:val="1"/>
      <w:numFmt w:val="bullet"/>
      <w:lvlText w:val=""/>
      <w:lvlJc w:val="left"/>
      <w:pPr>
        <w:ind w:left="9360" w:hanging="360"/>
      </w:pPr>
      <w:rPr>
        <w:rFonts w:ascii="Wingdings" w:hAnsi="Wingdings" w:hint="default"/>
      </w:rPr>
    </w:lvl>
  </w:abstractNum>
  <w:abstractNum w:abstractNumId="1" w15:restartNumberingAfterBreak="0">
    <w:nsid w:val="162F2C9D"/>
    <w:multiLevelType w:val="hybridMultilevel"/>
    <w:tmpl w:val="6702246C"/>
    <w:lvl w:ilvl="0" w:tplc="80CEC31A">
      <w:start w:val="18"/>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27400A"/>
    <w:multiLevelType w:val="hybridMultilevel"/>
    <w:tmpl w:val="FE221E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67A1522"/>
    <w:multiLevelType w:val="hybridMultilevel"/>
    <w:tmpl w:val="C7D24A2C"/>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210106"/>
    <w:rsid w:val="00210106"/>
    <w:rsid w:val="007E2AEB"/>
    <w:rsid w:val="0080513D"/>
    <w:rsid w:val="00980C59"/>
    <w:rsid w:val="00A07DA5"/>
    <w:rsid w:val="00B0438C"/>
    <w:rsid w:val="00B24946"/>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E1EC75-FBD5-420B-AFD4-23151992EC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0106"/>
    <w:pPr>
      <w:spacing w:after="200" w:line="276" w:lineRule="auto"/>
    </w:pPr>
    <w:rPr>
      <w:rFonts w:ascii="Calibri" w:eastAsia="Calibri" w:hAnsi="Calibri" w:cs="Times New Roman"/>
      <w:lang w:val="en-US"/>
    </w:rPr>
  </w:style>
  <w:style w:type="paragraph" w:styleId="Heading1">
    <w:name w:val="heading 1"/>
    <w:basedOn w:val="Normal"/>
    <w:next w:val="Normal"/>
    <w:link w:val="Heading1Char"/>
    <w:uiPriority w:val="9"/>
    <w:qFormat/>
    <w:rsid w:val="00210106"/>
    <w:pPr>
      <w:keepNext/>
      <w:spacing w:before="240" w:after="60"/>
      <w:outlineLvl w:val="0"/>
    </w:pPr>
    <w:rPr>
      <w:rFonts w:ascii="Cambria" w:eastAsia="Times New Roman" w:hAnsi="Cambria"/>
      <w:b/>
      <w:bCs/>
      <w:caps/>
      <w:kern w:val="32"/>
      <w:sz w:val="32"/>
      <w:szCs w:val="32"/>
    </w:rPr>
  </w:style>
  <w:style w:type="paragraph" w:styleId="Heading2">
    <w:name w:val="heading 2"/>
    <w:basedOn w:val="Normal"/>
    <w:next w:val="Normal"/>
    <w:link w:val="Heading2Char"/>
    <w:uiPriority w:val="9"/>
    <w:unhideWhenUsed/>
    <w:qFormat/>
    <w:rsid w:val="00210106"/>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210106"/>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210106"/>
    <w:rPr>
      <w:rFonts w:ascii="Cambria" w:eastAsia="Times New Roman" w:hAnsi="Cambria" w:cs="Times New Roman"/>
      <w:b/>
      <w:bCs/>
      <w:caps/>
      <w:kern w:val="32"/>
      <w:sz w:val="32"/>
      <w:szCs w:val="32"/>
      <w:lang w:val="en-US"/>
    </w:rPr>
  </w:style>
  <w:style w:type="character" w:customStyle="1" w:styleId="Heading2Char">
    <w:name w:val="Heading 2 Char"/>
    <w:basedOn w:val="DefaultParagraphFont"/>
    <w:link w:val="Heading2"/>
    <w:uiPriority w:val="9"/>
    <w:rsid w:val="00210106"/>
    <w:rPr>
      <w:rFonts w:asciiTheme="majorHAnsi" w:eastAsiaTheme="majorEastAsia" w:hAnsiTheme="majorHAnsi" w:cstheme="majorBidi"/>
      <w:b/>
      <w:bCs/>
      <w:color w:val="5B9BD5" w:themeColor="accent1"/>
      <w:sz w:val="26"/>
      <w:szCs w:val="26"/>
      <w:lang w:val="en-US"/>
    </w:rPr>
  </w:style>
  <w:style w:type="character" w:customStyle="1" w:styleId="Heading3Char">
    <w:name w:val="Heading 3 Char"/>
    <w:basedOn w:val="DefaultParagraphFont"/>
    <w:link w:val="Heading3"/>
    <w:uiPriority w:val="9"/>
    <w:rsid w:val="00210106"/>
    <w:rPr>
      <w:rFonts w:asciiTheme="majorHAnsi" w:eastAsiaTheme="majorEastAsia" w:hAnsiTheme="majorHAnsi" w:cstheme="majorBidi"/>
      <w:b/>
      <w:bCs/>
      <w:color w:val="5B9BD5" w:themeColor="accent1"/>
      <w:lang w:val="en-US"/>
    </w:rPr>
  </w:style>
  <w:style w:type="paragraph" w:styleId="Header">
    <w:name w:val="header"/>
    <w:basedOn w:val="Normal"/>
    <w:link w:val="HeaderChar"/>
    <w:uiPriority w:val="99"/>
    <w:unhideWhenUsed/>
    <w:rsid w:val="00210106"/>
    <w:pPr>
      <w:tabs>
        <w:tab w:val="center" w:pos="4703"/>
        <w:tab w:val="right" w:pos="9406"/>
      </w:tabs>
    </w:pPr>
  </w:style>
  <w:style w:type="character" w:customStyle="1" w:styleId="HeaderChar">
    <w:name w:val="Header Char"/>
    <w:link w:val="Header"/>
    <w:uiPriority w:val="99"/>
    <w:rsid w:val="00210106"/>
    <w:rPr>
      <w:rFonts w:ascii="Calibri" w:eastAsia="Calibri" w:hAnsi="Calibri" w:cs="Times New Roman"/>
      <w:lang w:val="en-US"/>
    </w:rPr>
  </w:style>
  <w:style w:type="paragraph" w:styleId="Footer">
    <w:name w:val="footer"/>
    <w:basedOn w:val="Normal"/>
    <w:link w:val="FooterChar"/>
    <w:uiPriority w:val="99"/>
    <w:unhideWhenUsed/>
    <w:rsid w:val="00210106"/>
    <w:pPr>
      <w:tabs>
        <w:tab w:val="center" w:pos="4703"/>
        <w:tab w:val="right" w:pos="9406"/>
      </w:tabs>
    </w:pPr>
  </w:style>
  <w:style w:type="character" w:customStyle="1" w:styleId="FooterChar">
    <w:name w:val="Footer Char"/>
    <w:link w:val="Footer"/>
    <w:uiPriority w:val="99"/>
    <w:rsid w:val="00210106"/>
    <w:rPr>
      <w:rFonts w:ascii="Calibri" w:eastAsia="Calibri" w:hAnsi="Calibri" w:cs="Times New Roman"/>
      <w:lang w:val="en-US"/>
    </w:rPr>
  </w:style>
  <w:style w:type="character" w:styleId="Hyperlink">
    <w:name w:val="Hyperlink"/>
    <w:uiPriority w:val="99"/>
    <w:unhideWhenUsed/>
    <w:rsid w:val="00210106"/>
    <w:rPr>
      <w:color w:val="0000FF"/>
      <w:u w:val="single"/>
    </w:rPr>
  </w:style>
  <w:style w:type="character" w:styleId="FollowedHyperlink">
    <w:name w:val="FollowedHyperlink"/>
    <w:basedOn w:val="DefaultParagraphFont"/>
    <w:uiPriority w:val="99"/>
    <w:semiHidden/>
    <w:unhideWhenUsed/>
    <w:rsid w:val="00210106"/>
    <w:rPr>
      <w:color w:val="800080"/>
      <w:u w:val="single"/>
    </w:rPr>
  </w:style>
  <w:style w:type="paragraph" w:customStyle="1" w:styleId="font0">
    <w:name w:val="font0"/>
    <w:basedOn w:val="Normal"/>
    <w:rsid w:val="00210106"/>
    <w:pPr>
      <w:spacing w:before="100" w:beforeAutospacing="1" w:after="100" w:afterAutospacing="1" w:line="240" w:lineRule="auto"/>
    </w:pPr>
    <w:rPr>
      <w:rFonts w:eastAsia="Times New Roman"/>
      <w:color w:val="000000"/>
      <w:lang w:val="sv-SE" w:eastAsia="sv-SE"/>
    </w:rPr>
  </w:style>
  <w:style w:type="paragraph" w:customStyle="1" w:styleId="font5">
    <w:name w:val="font5"/>
    <w:basedOn w:val="Normal"/>
    <w:rsid w:val="00210106"/>
    <w:pPr>
      <w:spacing w:before="100" w:beforeAutospacing="1" w:after="100" w:afterAutospacing="1" w:line="240" w:lineRule="auto"/>
    </w:pPr>
    <w:rPr>
      <w:rFonts w:eastAsia="Times New Roman"/>
      <w:b/>
      <w:bCs/>
      <w:color w:val="000000"/>
      <w:lang w:val="sv-SE" w:eastAsia="sv-SE"/>
    </w:rPr>
  </w:style>
  <w:style w:type="paragraph" w:customStyle="1" w:styleId="font6">
    <w:name w:val="font6"/>
    <w:basedOn w:val="Normal"/>
    <w:rsid w:val="00210106"/>
    <w:pPr>
      <w:spacing w:before="100" w:beforeAutospacing="1" w:after="100" w:afterAutospacing="1" w:line="240" w:lineRule="auto"/>
    </w:pPr>
    <w:rPr>
      <w:rFonts w:eastAsia="Times New Roman"/>
      <w:lang w:val="sv-SE" w:eastAsia="sv-SE"/>
    </w:rPr>
  </w:style>
  <w:style w:type="paragraph" w:customStyle="1" w:styleId="font7">
    <w:name w:val="font7"/>
    <w:basedOn w:val="Normal"/>
    <w:rsid w:val="00210106"/>
    <w:pPr>
      <w:spacing w:before="100" w:beforeAutospacing="1" w:after="100" w:afterAutospacing="1" w:line="240" w:lineRule="auto"/>
    </w:pPr>
    <w:rPr>
      <w:rFonts w:eastAsia="Times New Roman"/>
      <w:i/>
      <w:iCs/>
      <w:color w:val="000000"/>
      <w:lang w:val="sv-SE" w:eastAsia="sv-SE"/>
    </w:rPr>
  </w:style>
  <w:style w:type="paragraph" w:customStyle="1" w:styleId="font8">
    <w:name w:val="font8"/>
    <w:basedOn w:val="Normal"/>
    <w:rsid w:val="00210106"/>
    <w:pPr>
      <w:spacing w:before="100" w:beforeAutospacing="1" w:after="100" w:afterAutospacing="1" w:line="240" w:lineRule="auto"/>
    </w:pPr>
    <w:rPr>
      <w:rFonts w:eastAsia="Times New Roman"/>
      <w:lang w:val="sv-SE" w:eastAsia="sv-SE"/>
    </w:rPr>
  </w:style>
  <w:style w:type="paragraph" w:customStyle="1" w:styleId="font9">
    <w:name w:val="font9"/>
    <w:basedOn w:val="Normal"/>
    <w:rsid w:val="00210106"/>
    <w:pPr>
      <w:spacing w:before="100" w:beforeAutospacing="1" w:after="100" w:afterAutospacing="1" w:line="240" w:lineRule="auto"/>
    </w:pPr>
    <w:rPr>
      <w:rFonts w:eastAsia="Times New Roman"/>
      <w:i/>
      <w:iCs/>
      <w:lang w:val="sv-SE" w:eastAsia="sv-SE"/>
    </w:rPr>
  </w:style>
  <w:style w:type="paragraph" w:customStyle="1" w:styleId="xl68">
    <w:name w:val="xl68"/>
    <w:basedOn w:val="Normal"/>
    <w:rsid w:val="00210106"/>
    <w:pPr>
      <w:pBdr>
        <w:bottom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val="sv-SE" w:eastAsia="sv-SE"/>
    </w:rPr>
  </w:style>
  <w:style w:type="paragraph" w:customStyle="1" w:styleId="xl69">
    <w:name w:val="xl69"/>
    <w:basedOn w:val="Normal"/>
    <w:rsid w:val="00210106"/>
    <w:pPr>
      <w:spacing w:before="100" w:beforeAutospacing="1" w:after="100" w:afterAutospacing="1" w:line="240" w:lineRule="auto"/>
    </w:pPr>
    <w:rPr>
      <w:rFonts w:ascii="Times New Roman" w:eastAsia="Times New Roman" w:hAnsi="Times New Roman"/>
      <w:sz w:val="20"/>
      <w:szCs w:val="20"/>
      <w:lang w:val="sv-SE" w:eastAsia="sv-SE"/>
    </w:rPr>
  </w:style>
  <w:style w:type="paragraph" w:customStyle="1" w:styleId="xl70">
    <w:name w:val="xl70"/>
    <w:basedOn w:val="Normal"/>
    <w:rsid w:val="00210106"/>
    <w:pPr>
      <w:pBdr>
        <w:bottom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val="sv-SE" w:eastAsia="sv-SE"/>
    </w:rPr>
  </w:style>
  <w:style w:type="paragraph" w:customStyle="1" w:styleId="xl71">
    <w:name w:val="xl71"/>
    <w:basedOn w:val="Normal"/>
    <w:rsid w:val="00210106"/>
    <w:pPr>
      <w:spacing w:before="100" w:beforeAutospacing="1" w:after="100" w:afterAutospacing="1" w:line="240" w:lineRule="auto"/>
      <w:jc w:val="center"/>
    </w:pPr>
    <w:rPr>
      <w:rFonts w:ascii="Times New Roman" w:eastAsia="Times New Roman" w:hAnsi="Times New Roman"/>
      <w:sz w:val="24"/>
      <w:szCs w:val="24"/>
      <w:lang w:val="sv-SE" w:eastAsia="sv-SE"/>
    </w:rPr>
  </w:style>
  <w:style w:type="paragraph" w:customStyle="1" w:styleId="xl72">
    <w:name w:val="xl72"/>
    <w:basedOn w:val="Normal"/>
    <w:rsid w:val="00210106"/>
    <w:pPr>
      <w:pBdr>
        <w:bottom w:val="single" w:sz="4" w:space="0" w:color="auto"/>
      </w:pBdr>
      <w:spacing w:before="100" w:beforeAutospacing="1" w:after="100" w:afterAutospacing="1" w:line="240" w:lineRule="auto"/>
    </w:pPr>
    <w:rPr>
      <w:rFonts w:ascii="Times New Roman" w:eastAsia="Times New Roman" w:hAnsi="Times New Roman"/>
      <w:sz w:val="24"/>
      <w:szCs w:val="24"/>
      <w:lang w:val="sv-SE" w:eastAsia="sv-SE"/>
    </w:rPr>
  </w:style>
  <w:style w:type="paragraph" w:customStyle="1" w:styleId="xl73">
    <w:name w:val="xl73"/>
    <w:basedOn w:val="Normal"/>
    <w:rsid w:val="00210106"/>
    <w:pPr>
      <w:spacing w:before="100" w:beforeAutospacing="1" w:after="100" w:afterAutospacing="1" w:line="240" w:lineRule="auto"/>
      <w:jc w:val="center"/>
    </w:pPr>
    <w:rPr>
      <w:rFonts w:ascii="Times New Roman" w:eastAsia="Times New Roman" w:hAnsi="Times New Roman"/>
      <w:sz w:val="20"/>
      <w:szCs w:val="20"/>
      <w:lang w:val="sv-SE" w:eastAsia="sv-SE"/>
    </w:rPr>
  </w:style>
  <w:style w:type="paragraph" w:customStyle="1" w:styleId="xl74">
    <w:name w:val="xl74"/>
    <w:basedOn w:val="Normal"/>
    <w:rsid w:val="00210106"/>
    <w:pPr>
      <w:spacing w:before="100" w:beforeAutospacing="1" w:after="100" w:afterAutospacing="1" w:line="240" w:lineRule="auto"/>
      <w:jc w:val="center"/>
    </w:pPr>
    <w:rPr>
      <w:rFonts w:ascii="Times New Roman" w:eastAsia="Times New Roman" w:hAnsi="Times New Roman"/>
      <w:sz w:val="20"/>
      <w:szCs w:val="20"/>
      <w:lang w:val="sv-SE" w:eastAsia="sv-SE"/>
    </w:rPr>
  </w:style>
  <w:style w:type="paragraph" w:customStyle="1" w:styleId="xl75">
    <w:name w:val="xl75"/>
    <w:basedOn w:val="Normal"/>
    <w:rsid w:val="00210106"/>
    <w:pPr>
      <w:spacing w:before="100" w:beforeAutospacing="1" w:after="100" w:afterAutospacing="1" w:line="240" w:lineRule="auto"/>
      <w:jc w:val="center"/>
    </w:pPr>
    <w:rPr>
      <w:rFonts w:ascii="Times New Roman" w:eastAsia="Times New Roman" w:hAnsi="Times New Roman"/>
      <w:sz w:val="24"/>
      <w:szCs w:val="24"/>
      <w:lang w:val="sv-SE" w:eastAsia="sv-SE"/>
    </w:rPr>
  </w:style>
  <w:style w:type="paragraph" w:customStyle="1" w:styleId="xl76">
    <w:name w:val="xl76"/>
    <w:basedOn w:val="Normal"/>
    <w:rsid w:val="00210106"/>
    <w:pPr>
      <w:pBdr>
        <w:bottom w:val="single" w:sz="4" w:space="0" w:color="auto"/>
      </w:pBdr>
      <w:spacing w:before="100" w:beforeAutospacing="1" w:after="100" w:afterAutospacing="1" w:line="240" w:lineRule="auto"/>
      <w:jc w:val="center"/>
      <w:textAlignment w:val="center"/>
    </w:pPr>
    <w:rPr>
      <w:rFonts w:ascii="Times New Roman" w:eastAsia="Times New Roman" w:hAnsi="Times New Roman"/>
      <w:i/>
      <w:iCs/>
      <w:sz w:val="24"/>
      <w:szCs w:val="24"/>
      <w:lang w:val="sv-SE" w:eastAsia="sv-SE"/>
    </w:rPr>
  </w:style>
  <w:style w:type="paragraph" w:customStyle="1" w:styleId="xl77">
    <w:name w:val="xl77"/>
    <w:basedOn w:val="Normal"/>
    <w:rsid w:val="00210106"/>
    <w:pPr>
      <w:pBdr>
        <w:bottom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val="sv-SE" w:eastAsia="sv-SE"/>
    </w:rPr>
  </w:style>
  <w:style w:type="paragraph" w:customStyle="1" w:styleId="xl78">
    <w:name w:val="xl78"/>
    <w:basedOn w:val="Normal"/>
    <w:rsid w:val="00210106"/>
    <w:pPr>
      <w:spacing w:before="100" w:beforeAutospacing="1" w:after="100" w:afterAutospacing="1" w:line="240" w:lineRule="auto"/>
      <w:jc w:val="center"/>
    </w:pPr>
    <w:rPr>
      <w:rFonts w:ascii="Times New Roman" w:eastAsia="Times New Roman" w:hAnsi="Times New Roman"/>
      <w:sz w:val="20"/>
      <w:szCs w:val="20"/>
      <w:lang w:val="sv-SE" w:eastAsia="sv-SE"/>
    </w:rPr>
  </w:style>
  <w:style w:type="paragraph" w:customStyle="1" w:styleId="xl79">
    <w:name w:val="xl79"/>
    <w:basedOn w:val="Normal"/>
    <w:rsid w:val="00210106"/>
    <w:pPr>
      <w:spacing w:before="100" w:beforeAutospacing="1" w:after="100" w:afterAutospacing="1" w:line="240" w:lineRule="auto"/>
      <w:jc w:val="center"/>
    </w:pPr>
    <w:rPr>
      <w:rFonts w:ascii="Times New Roman" w:eastAsia="Times New Roman" w:hAnsi="Times New Roman"/>
      <w:sz w:val="24"/>
      <w:szCs w:val="24"/>
      <w:lang w:val="sv-SE" w:eastAsia="sv-SE"/>
    </w:rPr>
  </w:style>
  <w:style w:type="paragraph" w:customStyle="1" w:styleId="xl80">
    <w:name w:val="xl80"/>
    <w:basedOn w:val="Normal"/>
    <w:rsid w:val="00210106"/>
    <w:pPr>
      <w:pBdr>
        <w:bottom w:val="single" w:sz="4" w:space="0" w:color="auto"/>
      </w:pBdr>
      <w:spacing w:before="100" w:beforeAutospacing="1" w:after="100" w:afterAutospacing="1" w:line="240" w:lineRule="auto"/>
    </w:pPr>
    <w:rPr>
      <w:rFonts w:ascii="Times New Roman" w:eastAsia="Times New Roman" w:hAnsi="Times New Roman"/>
      <w:sz w:val="20"/>
      <w:szCs w:val="20"/>
      <w:lang w:val="sv-SE" w:eastAsia="sv-SE"/>
    </w:rPr>
  </w:style>
  <w:style w:type="paragraph" w:customStyle="1" w:styleId="xl81">
    <w:name w:val="xl81"/>
    <w:basedOn w:val="Normal"/>
    <w:rsid w:val="00210106"/>
    <w:pPr>
      <w:pBdr>
        <w:bottom w:val="single" w:sz="4" w:space="0" w:color="auto"/>
      </w:pBdr>
      <w:spacing w:before="100" w:beforeAutospacing="1" w:after="100" w:afterAutospacing="1" w:line="240" w:lineRule="auto"/>
      <w:jc w:val="center"/>
    </w:pPr>
    <w:rPr>
      <w:rFonts w:ascii="Times New Roman" w:eastAsia="Times New Roman" w:hAnsi="Times New Roman"/>
      <w:sz w:val="20"/>
      <w:szCs w:val="20"/>
      <w:lang w:val="sv-SE" w:eastAsia="sv-SE"/>
    </w:rPr>
  </w:style>
  <w:style w:type="paragraph" w:customStyle="1" w:styleId="xl82">
    <w:name w:val="xl82"/>
    <w:basedOn w:val="Normal"/>
    <w:rsid w:val="00210106"/>
    <w:pPr>
      <w:pBdr>
        <w:bottom w:val="single" w:sz="4" w:space="0" w:color="auto"/>
      </w:pBdr>
      <w:spacing w:before="100" w:beforeAutospacing="1" w:after="100" w:afterAutospacing="1" w:line="240" w:lineRule="auto"/>
      <w:jc w:val="center"/>
    </w:pPr>
    <w:rPr>
      <w:rFonts w:ascii="Times New Roman" w:eastAsia="Times New Roman" w:hAnsi="Times New Roman"/>
      <w:sz w:val="20"/>
      <w:szCs w:val="20"/>
      <w:lang w:val="sv-SE" w:eastAsia="sv-SE"/>
    </w:rPr>
  </w:style>
  <w:style w:type="paragraph" w:customStyle="1" w:styleId="xl83">
    <w:name w:val="xl83"/>
    <w:basedOn w:val="Normal"/>
    <w:rsid w:val="00210106"/>
    <w:pPr>
      <w:pBdr>
        <w:bottom w:val="single" w:sz="4" w:space="0" w:color="auto"/>
      </w:pBdr>
      <w:spacing w:before="100" w:beforeAutospacing="1" w:after="100" w:afterAutospacing="1" w:line="240" w:lineRule="auto"/>
      <w:jc w:val="center"/>
    </w:pPr>
    <w:rPr>
      <w:rFonts w:ascii="Times New Roman" w:eastAsia="Times New Roman" w:hAnsi="Times New Roman"/>
      <w:sz w:val="20"/>
      <w:szCs w:val="20"/>
      <w:lang w:val="sv-SE" w:eastAsia="sv-SE"/>
    </w:rPr>
  </w:style>
  <w:style w:type="paragraph" w:customStyle="1" w:styleId="xl84">
    <w:name w:val="xl84"/>
    <w:basedOn w:val="Normal"/>
    <w:rsid w:val="00210106"/>
    <w:pPr>
      <w:pBdr>
        <w:top w:val="single" w:sz="4" w:space="0" w:color="auto"/>
      </w:pBdr>
      <w:spacing w:before="100" w:beforeAutospacing="1" w:after="100" w:afterAutospacing="1" w:line="240" w:lineRule="auto"/>
    </w:pPr>
    <w:rPr>
      <w:rFonts w:ascii="Times New Roman" w:eastAsia="Times New Roman" w:hAnsi="Times New Roman"/>
      <w:sz w:val="24"/>
      <w:szCs w:val="24"/>
      <w:lang w:val="sv-SE" w:eastAsia="sv-SE"/>
    </w:rPr>
  </w:style>
  <w:style w:type="paragraph" w:customStyle="1" w:styleId="font10">
    <w:name w:val="font10"/>
    <w:basedOn w:val="Normal"/>
    <w:rsid w:val="00210106"/>
    <w:pPr>
      <w:spacing w:before="100" w:beforeAutospacing="1" w:after="100" w:afterAutospacing="1" w:line="240" w:lineRule="auto"/>
    </w:pPr>
    <w:rPr>
      <w:rFonts w:eastAsia="Times New Roman"/>
      <w:sz w:val="20"/>
      <w:szCs w:val="20"/>
      <w:lang w:val="sv-SE" w:eastAsia="sv-SE"/>
    </w:rPr>
  </w:style>
  <w:style w:type="paragraph" w:styleId="BalloonText">
    <w:name w:val="Balloon Text"/>
    <w:basedOn w:val="Normal"/>
    <w:link w:val="BalloonTextChar"/>
    <w:uiPriority w:val="99"/>
    <w:semiHidden/>
    <w:unhideWhenUsed/>
    <w:rsid w:val="002101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0106"/>
    <w:rPr>
      <w:rFonts w:ascii="Tahoma" w:eastAsia="Calibri" w:hAnsi="Tahoma" w:cs="Tahoma"/>
      <w:sz w:val="16"/>
      <w:szCs w:val="16"/>
      <w:lang w:val="en-US"/>
    </w:rPr>
  </w:style>
  <w:style w:type="character" w:styleId="CommentReference">
    <w:name w:val="annotation reference"/>
    <w:basedOn w:val="DefaultParagraphFont"/>
    <w:uiPriority w:val="99"/>
    <w:semiHidden/>
    <w:unhideWhenUsed/>
    <w:rsid w:val="00210106"/>
    <w:rPr>
      <w:sz w:val="16"/>
      <w:szCs w:val="16"/>
    </w:rPr>
  </w:style>
  <w:style w:type="paragraph" w:styleId="CommentText">
    <w:name w:val="annotation text"/>
    <w:basedOn w:val="Normal"/>
    <w:link w:val="CommentTextChar"/>
    <w:uiPriority w:val="99"/>
    <w:semiHidden/>
    <w:unhideWhenUsed/>
    <w:rsid w:val="00210106"/>
    <w:pPr>
      <w:spacing w:line="240" w:lineRule="auto"/>
    </w:pPr>
    <w:rPr>
      <w:sz w:val="20"/>
      <w:szCs w:val="20"/>
    </w:rPr>
  </w:style>
  <w:style w:type="character" w:customStyle="1" w:styleId="CommentTextChar">
    <w:name w:val="Comment Text Char"/>
    <w:basedOn w:val="DefaultParagraphFont"/>
    <w:link w:val="CommentText"/>
    <w:uiPriority w:val="99"/>
    <w:semiHidden/>
    <w:rsid w:val="00210106"/>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210106"/>
    <w:rPr>
      <w:b/>
      <w:bCs/>
    </w:rPr>
  </w:style>
  <w:style w:type="character" w:customStyle="1" w:styleId="CommentSubjectChar">
    <w:name w:val="Comment Subject Char"/>
    <w:basedOn w:val="CommentTextChar"/>
    <w:link w:val="CommentSubject"/>
    <w:uiPriority w:val="99"/>
    <w:semiHidden/>
    <w:rsid w:val="00210106"/>
    <w:rPr>
      <w:rFonts w:ascii="Calibri" w:eastAsia="Calibri" w:hAnsi="Calibri" w:cs="Times New Roman"/>
      <w:b/>
      <w:bCs/>
      <w:sz w:val="20"/>
      <w:szCs w:val="20"/>
      <w:lang w:val="en-US"/>
    </w:rPr>
  </w:style>
  <w:style w:type="paragraph" w:customStyle="1" w:styleId="font11">
    <w:name w:val="font11"/>
    <w:basedOn w:val="Normal"/>
    <w:rsid w:val="00210106"/>
    <w:pPr>
      <w:spacing w:before="100" w:beforeAutospacing="1" w:after="100" w:afterAutospacing="1" w:line="240" w:lineRule="auto"/>
    </w:pPr>
    <w:rPr>
      <w:rFonts w:eastAsia="Times New Roman"/>
      <w:b/>
      <w:bCs/>
      <w:sz w:val="20"/>
      <w:szCs w:val="20"/>
      <w:lang w:val="sv-SE" w:eastAsia="sv-SE"/>
    </w:rPr>
  </w:style>
  <w:style w:type="paragraph" w:customStyle="1" w:styleId="font12">
    <w:name w:val="font12"/>
    <w:basedOn w:val="Normal"/>
    <w:rsid w:val="00210106"/>
    <w:pPr>
      <w:spacing w:before="100" w:beforeAutospacing="1" w:after="100" w:afterAutospacing="1" w:line="240" w:lineRule="auto"/>
    </w:pPr>
    <w:rPr>
      <w:rFonts w:eastAsia="Times New Roman"/>
      <w:sz w:val="20"/>
      <w:szCs w:val="20"/>
      <w:lang w:val="sv-SE" w:eastAsia="sv-SE"/>
    </w:rPr>
  </w:style>
  <w:style w:type="paragraph" w:customStyle="1" w:styleId="font13">
    <w:name w:val="font13"/>
    <w:basedOn w:val="Normal"/>
    <w:rsid w:val="00210106"/>
    <w:pPr>
      <w:spacing w:before="100" w:beforeAutospacing="1" w:after="100" w:afterAutospacing="1" w:line="240" w:lineRule="auto"/>
    </w:pPr>
    <w:rPr>
      <w:rFonts w:eastAsia="Times New Roman"/>
      <w:lang w:val="sv-SE" w:eastAsia="sv-SE"/>
    </w:rPr>
  </w:style>
  <w:style w:type="paragraph" w:customStyle="1" w:styleId="font14">
    <w:name w:val="font14"/>
    <w:basedOn w:val="Normal"/>
    <w:rsid w:val="00210106"/>
    <w:pPr>
      <w:spacing w:before="100" w:beforeAutospacing="1" w:after="100" w:afterAutospacing="1" w:line="240" w:lineRule="auto"/>
    </w:pPr>
    <w:rPr>
      <w:rFonts w:eastAsia="Times New Roman"/>
      <w:i/>
      <w:iCs/>
      <w:lang w:val="sv-SE" w:eastAsia="sv-SE"/>
    </w:rPr>
  </w:style>
  <w:style w:type="paragraph" w:customStyle="1" w:styleId="xl85">
    <w:name w:val="xl85"/>
    <w:basedOn w:val="Normal"/>
    <w:rsid w:val="00210106"/>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i/>
      <w:iCs/>
      <w:sz w:val="24"/>
      <w:szCs w:val="24"/>
      <w:lang w:val="sv-SE" w:eastAsia="sv-SE"/>
    </w:rPr>
  </w:style>
  <w:style w:type="paragraph" w:customStyle="1" w:styleId="xl86">
    <w:name w:val="xl86"/>
    <w:basedOn w:val="Normal"/>
    <w:rsid w:val="00210106"/>
    <w:pPr>
      <w:pBdr>
        <w:bottom w:val="single" w:sz="4" w:space="0" w:color="auto"/>
      </w:pBdr>
      <w:spacing w:before="100" w:beforeAutospacing="1" w:after="100" w:afterAutospacing="1" w:line="240" w:lineRule="auto"/>
    </w:pPr>
    <w:rPr>
      <w:rFonts w:ascii="Times New Roman" w:eastAsia="Times New Roman" w:hAnsi="Times New Roman"/>
      <w:sz w:val="20"/>
      <w:szCs w:val="20"/>
      <w:lang w:val="sv-SE" w:eastAsia="sv-SE"/>
    </w:rPr>
  </w:style>
  <w:style w:type="paragraph" w:customStyle="1" w:styleId="xl87">
    <w:name w:val="xl87"/>
    <w:basedOn w:val="Normal"/>
    <w:rsid w:val="00210106"/>
    <w:pPr>
      <w:pBdr>
        <w:bottom w:val="single" w:sz="4" w:space="0" w:color="auto"/>
      </w:pBdr>
      <w:spacing w:before="100" w:beforeAutospacing="1" w:after="100" w:afterAutospacing="1" w:line="240" w:lineRule="auto"/>
      <w:jc w:val="center"/>
    </w:pPr>
    <w:rPr>
      <w:rFonts w:ascii="Times New Roman" w:eastAsia="Times New Roman" w:hAnsi="Times New Roman"/>
      <w:sz w:val="20"/>
      <w:szCs w:val="20"/>
      <w:lang w:val="sv-SE" w:eastAsia="sv-SE"/>
    </w:rPr>
  </w:style>
  <w:style w:type="paragraph" w:customStyle="1" w:styleId="xl88">
    <w:name w:val="xl88"/>
    <w:basedOn w:val="Normal"/>
    <w:rsid w:val="00210106"/>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i/>
      <w:iCs/>
      <w:sz w:val="20"/>
      <w:szCs w:val="20"/>
      <w:lang w:val="sv-SE" w:eastAsia="sv-SE"/>
    </w:rPr>
  </w:style>
  <w:style w:type="paragraph" w:customStyle="1" w:styleId="xl89">
    <w:name w:val="xl89"/>
    <w:basedOn w:val="Normal"/>
    <w:rsid w:val="00210106"/>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sz w:val="20"/>
      <w:szCs w:val="20"/>
      <w:lang w:val="sv-SE" w:eastAsia="sv-SE"/>
    </w:rPr>
  </w:style>
  <w:style w:type="paragraph" w:customStyle="1" w:styleId="xl90">
    <w:name w:val="xl90"/>
    <w:basedOn w:val="Normal"/>
    <w:rsid w:val="00210106"/>
    <w:pPr>
      <w:spacing w:before="100" w:beforeAutospacing="1" w:after="100" w:afterAutospacing="1" w:line="240" w:lineRule="auto"/>
      <w:jc w:val="center"/>
    </w:pPr>
    <w:rPr>
      <w:rFonts w:ascii="Times New Roman" w:eastAsia="Times New Roman" w:hAnsi="Times New Roman"/>
      <w:sz w:val="24"/>
      <w:szCs w:val="24"/>
      <w:lang w:val="sv-SE" w:eastAsia="sv-SE"/>
    </w:rPr>
  </w:style>
  <w:style w:type="paragraph" w:customStyle="1" w:styleId="xl91">
    <w:name w:val="xl91"/>
    <w:basedOn w:val="Normal"/>
    <w:rsid w:val="00210106"/>
    <w:pPr>
      <w:pBdr>
        <w:bottom w:val="single" w:sz="4" w:space="0" w:color="auto"/>
      </w:pBdr>
      <w:spacing w:before="100" w:beforeAutospacing="1" w:after="100" w:afterAutospacing="1" w:line="240" w:lineRule="auto"/>
      <w:jc w:val="center"/>
    </w:pPr>
    <w:rPr>
      <w:rFonts w:ascii="Times New Roman" w:eastAsia="Times New Roman" w:hAnsi="Times New Roman"/>
      <w:sz w:val="20"/>
      <w:szCs w:val="20"/>
      <w:lang w:val="sv-SE" w:eastAsia="sv-SE"/>
    </w:rPr>
  </w:style>
  <w:style w:type="paragraph" w:customStyle="1" w:styleId="xl92">
    <w:name w:val="xl92"/>
    <w:basedOn w:val="Normal"/>
    <w:rsid w:val="00210106"/>
    <w:pPr>
      <w:pBdr>
        <w:bottom w:val="single" w:sz="4" w:space="0" w:color="auto"/>
      </w:pBdr>
      <w:spacing w:before="100" w:beforeAutospacing="1" w:after="100" w:afterAutospacing="1" w:line="240" w:lineRule="auto"/>
    </w:pPr>
    <w:rPr>
      <w:rFonts w:ascii="Times New Roman" w:eastAsia="Times New Roman" w:hAnsi="Times New Roman"/>
      <w:color w:val="000000"/>
      <w:sz w:val="20"/>
      <w:szCs w:val="20"/>
      <w:lang w:val="sv-SE" w:eastAsia="sv-SE"/>
    </w:rPr>
  </w:style>
  <w:style w:type="paragraph" w:customStyle="1" w:styleId="xl93">
    <w:name w:val="xl93"/>
    <w:basedOn w:val="Normal"/>
    <w:rsid w:val="00210106"/>
    <w:pPr>
      <w:pBdr>
        <w:bottom w:val="single" w:sz="4" w:space="0" w:color="auto"/>
      </w:pBdr>
      <w:spacing w:before="100" w:beforeAutospacing="1" w:after="100" w:afterAutospacing="1" w:line="240" w:lineRule="auto"/>
    </w:pPr>
    <w:rPr>
      <w:rFonts w:ascii="Times New Roman" w:eastAsia="Times New Roman" w:hAnsi="Times New Roman"/>
      <w:sz w:val="20"/>
      <w:szCs w:val="20"/>
      <w:lang w:val="sv-SE" w:eastAsia="sv-SE"/>
    </w:rPr>
  </w:style>
  <w:style w:type="paragraph" w:customStyle="1" w:styleId="xl94">
    <w:name w:val="xl94"/>
    <w:basedOn w:val="Normal"/>
    <w:rsid w:val="00210106"/>
    <w:pPr>
      <w:spacing w:before="100" w:beforeAutospacing="1" w:after="100" w:afterAutospacing="1" w:line="240" w:lineRule="auto"/>
    </w:pPr>
    <w:rPr>
      <w:rFonts w:ascii="Times New Roman" w:eastAsia="Times New Roman" w:hAnsi="Times New Roman"/>
      <w:sz w:val="20"/>
      <w:szCs w:val="20"/>
      <w:lang w:val="sv-SE" w:eastAsia="sv-SE"/>
    </w:rPr>
  </w:style>
  <w:style w:type="paragraph" w:styleId="EndnoteText">
    <w:name w:val="endnote text"/>
    <w:basedOn w:val="Normal"/>
    <w:link w:val="EndnoteTextChar"/>
    <w:uiPriority w:val="99"/>
    <w:semiHidden/>
    <w:unhideWhenUsed/>
    <w:rsid w:val="0021010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10106"/>
    <w:rPr>
      <w:rFonts w:ascii="Calibri" w:eastAsia="Calibri" w:hAnsi="Calibri" w:cs="Times New Roman"/>
      <w:sz w:val="20"/>
      <w:szCs w:val="20"/>
      <w:lang w:val="en-US"/>
    </w:rPr>
  </w:style>
  <w:style w:type="character" w:styleId="EndnoteReference">
    <w:name w:val="endnote reference"/>
    <w:basedOn w:val="DefaultParagraphFont"/>
    <w:uiPriority w:val="99"/>
    <w:semiHidden/>
    <w:unhideWhenUsed/>
    <w:rsid w:val="00210106"/>
    <w:rPr>
      <w:vertAlign w:val="superscript"/>
    </w:rPr>
  </w:style>
  <w:style w:type="character" w:customStyle="1" w:styleId="apple-converted-space">
    <w:name w:val="apple-converted-space"/>
    <w:basedOn w:val="DefaultParagraphFont"/>
    <w:rsid w:val="00210106"/>
  </w:style>
  <w:style w:type="paragraph" w:customStyle="1" w:styleId="Default">
    <w:name w:val="Default"/>
    <w:rsid w:val="00210106"/>
    <w:pPr>
      <w:autoSpaceDE w:val="0"/>
      <w:autoSpaceDN w:val="0"/>
      <w:adjustRightInd w:val="0"/>
      <w:spacing w:after="0" w:line="240" w:lineRule="auto"/>
    </w:pPr>
    <w:rPr>
      <w:rFonts w:ascii="Minion Pro" w:eastAsia="Calibri" w:hAnsi="Minion Pro" w:cs="Minion Pro"/>
      <w:color w:val="000000"/>
      <w:sz w:val="24"/>
      <w:szCs w:val="24"/>
    </w:rPr>
  </w:style>
  <w:style w:type="paragraph" w:customStyle="1" w:styleId="EndNoteBibliographyTitle">
    <w:name w:val="EndNote Bibliography Title"/>
    <w:basedOn w:val="Normal"/>
    <w:rsid w:val="00210106"/>
    <w:pPr>
      <w:spacing w:after="0"/>
      <w:jc w:val="center"/>
    </w:pPr>
  </w:style>
  <w:style w:type="paragraph" w:customStyle="1" w:styleId="EndNoteBibliography">
    <w:name w:val="EndNote Bibliography"/>
    <w:basedOn w:val="Normal"/>
    <w:rsid w:val="00210106"/>
    <w:pPr>
      <w:spacing w:line="240" w:lineRule="auto"/>
      <w:jc w:val="both"/>
    </w:pPr>
  </w:style>
  <w:style w:type="character" w:styleId="Emphasis">
    <w:name w:val="Emphasis"/>
    <w:basedOn w:val="DefaultParagraphFont"/>
    <w:uiPriority w:val="20"/>
    <w:qFormat/>
    <w:rsid w:val="00210106"/>
    <w:rPr>
      <w:i/>
      <w:iCs/>
    </w:rPr>
  </w:style>
  <w:style w:type="paragraph" w:styleId="Revision">
    <w:name w:val="Revision"/>
    <w:hidden/>
    <w:uiPriority w:val="99"/>
    <w:semiHidden/>
    <w:rsid w:val="00210106"/>
    <w:pPr>
      <w:spacing w:after="0" w:line="240" w:lineRule="auto"/>
    </w:pPr>
    <w:rPr>
      <w:rFonts w:ascii="Calibri" w:eastAsia="Calibri" w:hAnsi="Calibri" w:cs="Times New Roman"/>
      <w:lang w:val="en-US"/>
    </w:rPr>
  </w:style>
  <w:style w:type="paragraph" w:styleId="ListParagraph">
    <w:name w:val="List Paragraph"/>
    <w:basedOn w:val="Normal"/>
    <w:uiPriority w:val="34"/>
    <w:qFormat/>
    <w:rsid w:val="00210106"/>
    <w:pPr>
      <w:ind w:left="720"/>
      <w:contextualSpacing/>
    </w:pPr>
  </w:style>
  <w:style w:type="table" w:styleId="TableGrid">
    <w:name w:val="Table Grid"/>
    <w:basedOn w:val="TableNormal"/>
    <w:uiPriority w:val="59"/>
    <w:rsid w:val="00210106"/>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2101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enotyping.se" TargetMode="External"/><Relationship Id="rId3" Type="http://schemas.openxmlformats.org/officeDocument/2006/relationships/settings" Target="settings.xml"/><Relationship Id="rId7" Type="http://schemas.openxmlformats.org/officeDocument/2006/relationships/hyperlink" Target="mailto:Paul.Franks@med.lu.s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32</Pages>
  <Words>7903</Words>
  <Characters>41887</Characters>
  <Application>Microsoft Office Word</Application>
  <DocSecurity>0</DocSecurity>
  <Lines>349</Lines>
  <Paragraphs>99</Paragraphs>
  <ScaleCrop>false</ScaleCrop>
  <HeadingPairs>
    <vt:vector size="2" baseType="variant">
      <vt:variant>
        <vt:lpstr>Title</vt:lpstr>
      </vt:variant>
      <vt:variant>
        <vt:i4>1</vt:i4>
      </vt:variant>
    </vt:vector>
  </HeadingPairs>
  <TitlesOfParts>
    <vt:vector size="1" baseType="lpstr">
      <vt:lpstr/>
    </vt:vector>
  </TitlesOfParts>
  <Company>Lunds universitet</Company>
  <LinksUpToDate>false</LinksUpToDate>
  <CharactersWithSpaces>49691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Tibor V. Varga</dc:creator>
  <cp:keywords/>
  <dc:description/>
  <cp:lastModifiedBy>Tibor V. Varga</cp:lastModifiedBy>
  <cp:revision>4</cp:revision>
  <dcterms:created xsi:type="dcterms:W3CDTF">2016-08-02T11:22:00Z</dcterms:created>
  <dcterms:modified xsi:type="dcterms:W3CDTF">2016-08-02T11:53:00Z</dcterms:modified>
</cp:coreProperties>
</file>