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40791A" w14:textId="66FD50D1" w:rsidR="003432F5" w:rsidRDefault="003432F5" w:rsidP="003432F5">
      <w:bookmarkStart w:id="0" w:name="_GoBack"/>
      <w:bookmarkEnd w:id="0"/>
      <w:r>
        <w:rPr>
          <w:noProof/>
          <w:lang w:eastAsia="en-GB"/>
        </w:rPr>
        <w:drawing>
          <wp:inline distT="0" distB="0" distL="0" distR="0" wp14:anchorId="0A49CD84" wp14:editId="4E5FABF3">
            <wp:extent cx="6798945" cy="3657600"/>
            <wp:effectExtent l="0" t="0" r="190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r>
        <w:rPr>
          <w:noProof/>
          <w:lang w:eastAsia="en-GB"/>
        </w:rPr>
        <w:drawing>
          <wp:inline distT="0" distB="0" distL="0" distR="0" wp14:anchorId="4C430873" wp14:editId="2A4E0524">
            <wp:extent cx="6799384" cy="2102338"/>
            <wp:effectExtent l="0" t="0" r="1905" b="1270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3072B36D" w14:textId="77777777" w:rsidR="003432F5" w:rsidRDefault="003432F5" w:rsidP="003432F5"/>
    <w:p w14:paraId="3B5A17A4" w14:textId="49600940" w:rsidR="003432F5" w:rsidRDefault="003432F5" w:rsidP="003432F5">
      <w:r>
        <w:t>Supplementary Figure 1: Authors professions and affiliations. Data taken from the invitation survey prior to the Delphi surveys. Note that more than one profession could be selected or provided per respondent. Data shown as percentage of the number of authors (n=153)</w:t>
      </w:r>
    </w:p>
    <w:tbl>
      <w:tblPr>
        <w:tblStyle w:val="TableGrid"/>
        <w:tblpPr w:leftFromText="180" w:rightFromText="180" w:vertAnchor="page" w:horzAnchor="margin" w:tblpXSpec="center" w:tblpY="878"/>
        <w:tblW w:w="14879" w:type="dxa"/>
        <w:tblLayout w:type="fixed"/>
        <w:tblLook w:val="04A0" w:firstRow="1" w:lastRow="0" w:firstColumn="1" w:lastColumn="0" w:noHBand="0" w:noVBand="1"/>
      </w:tblPr>
      <w:tblGrid>
        <w:gridCol w:w="1374"/>
        <w:gridCol w:w="1374"/>
        <w:gridCol w:w="1374"/>
        <w:gridCol w:w="1375"/>
        <w:gridCol w:w="6264"/>
        <w:gridCol w:w="1842"/>
        <w:gridCol w:w="1276"/>
      </w:tblGrid>
      <w:tr w:rsidR="003432F5" w:rsidRPr="00370A77" w14:paraId="7EEA1038" w14:textId="77777777" w:rsidTr="003432F5">
        <w:trPr>
          <w:trHeight w:val="699"/>
        </w:trPr>
        <w:tc>
          <w:tcPr>
            <w:tcW w:w="1374" w:type="dxa"/>
            <w:vAlign w:val="center"/>
          </w:tcPr>
          <w:p w14:paraId="5FCD28D9" w14:textId="77777777" w:rsidR="003432F5" w:rsidRPr="00370A77" w:rsidRDefault="003432F5" w:rsidP="003432F5">
            <w:pPr>
              <w:jc w:val="center"/>
              <w:rPr>
                <w:b/>
                <w:bCs/>
                <w:color w:val="000000"/>
                <w:sz w:val="20"/>
                <w:szCs w:val="20"/>
              </w:rPr>
            </w:pPr>
            <w:r w:rsidRPr="00370A77">
              <w:rPr>
                <w:b/>
                <w:bCs/>
                <w:color w:val="000000"/>
                <w:sz w:val="20"/>
                <w:szCs w:val="20"/>
              </w:rPr>
              <w:lastRenderedPageBreak/>
              <w:t>Rounds</w:t>
            </w:r>
          </w:p>
        </w:tc>
        <w:tc>
          <w:tcPr>
            <w:tcW w:w="1374" w:type="dxa"/>
            <w:vAlign w:val="center"/>
          </w:tcPr>
          <w:p w14:paraId="5CA5064A" w14:textId="77777777" w:rsidR="003432F5" w:rsidRPr="00370A77" w:rsidRDefault="003432F5" w:rsidP="003432F5">
            <w:pPr>
              <w:jc w:val="center"/>
              <w:rPr>
                <w:b/>
                <w:bCs/>
                <w:color w:val="000000"/>
                <w:sz w:val="20"/>
                <w:szCs w:val="20"/>
              </w:rPr>
            </w:pPr>
            <w:r>
              <w:rPr>
                <w:b/>
                <w:bCs/>
                <w:color w:val="000000"/>
                <w:sz w:val="20"/>
                <w:szCs w:val="20"/>
              </w:rPr>
              <w:t>Number of Respondents</w:t>
            </w:r>
          </w:p>
        </w:tc>
        <w:tc>
          <w:tcPr>
            <w:tcW w:w="1374" w:type="dxa"/>
            <w:vAlign w:val="center"/>
          </w:tcPr>
          <w:p w14:paraId="41EF2F95" w14:textId="77777777" w:rsidR="003432F5" w:rsidRPr="00370A77" w:rsidRDefault="003432F5" w:rsidP="003432F5">
            <w:pPr>
              <w:jc w:val="center"/>
              <w:rPr>
                <w:b/>
                <w:bCs/>
                <w:color w:val="000000"/>
                <w:sz w:val="20"/>
                <w:szCs w:val="20"/>
              </w:rPr>
            </w:pPr>
            <w:r w:rsidRPr="00370A77">
              <w:rPr>
                <w:b/>
                <w:bCs/>
                <w:color w:val="000000"/>
                <w:sz w:val="20"/>
                <w:szCs w:val="20"/>
              </w:rPr>
              <w:t>Clinical</w:t>
            </w:r>
          </w:p>
        </w:tc>
        <w:tc>
          <w:tcPr>
            <w:tcW w:w="1375" w:type="dxa"/>
            <w:vAlign w:val="center"/>
          </w:tcPr>
          <w:p w14:paraId="100133C9" w14:textId="77777777" w:rsidR="003432F5" w:rsidRPr="00370A77" w:rsidRDefault="003432F5" w:rsidP="003432F5">
            <w:pPr>
              <w:jc w:val="center"/>
              <w:rPr>
                <w:b/>
                <w:bCs/>
                <w:color w:val="000000"/>
                <w:sz w:val="20"/>
                <w:szCs w:val="20"/>
              </w:rPr>
            </w:pPr>
            <w:r w:rsidRPr="00370A77">
              <w:rPr>
                <w:b/>
                <w:bCs/>
                <w:color w:val="000000"/>
                <w:sz w:val="20"/>
                <w:szCs w:val="20"/>
              </w:rPr>
              <w:t>Non-clinical</w:t>
            </w:r>
          </w:p>
        </w:tc>
        <w:tc>
          <w:tcPr>
            <w:tcW w:w="6264" w:type="dxa"/>
            <w:vAlign w:val="center"/>
          </w:tcPr>
          <w:p w14:paraId="192C5288" w14:textId="77777777" w:rsidR="003432F5" w:rsidRPr="00370A77" w:rsidRDefault="003432F5" w:rsidP="003432F5">
            <w:pPr>
              <w:jc w:val="center"/>
              <w:rPr>
                <w:b/>
                <w:bCs/>
                <w:color w:val="000000"/>
                <w:sz w:val="20"/>
                <w:szCs w:val="20"/>
              </w:rPr>
            </w:pPr>
            <w:r w:rsidRPr="00370A77">
              <w:rPr>
                <w:b/>
                <w:bCs/>
                <w:color w:val="000000"/>
                <w:sz w:val="20"/>
                <w:szCs w:val="20"/>
              </w:rPr>
              <w:t>Continent</w:t>
            </w:r>
          </w:p>
        </w:tc>
        <w:tc>
          <w:tcPr>
            <w:tcW w:w="1842" w:type="dxa"/>
            <w:vAlign w:val="center"/>
          </w:tcPr>
          <w:p w14:paraId="5466DAD6" w14:textId="77777777" w:rsidR="003432F5" w:rsidRPr="00370A77" w:rsidRDefault="003432F5" w:rsidP="003432F5">
            <w:pPr>
              <w:jc w:val="center"/>
              <w:rPr>
                <w:b/>
                <w:bCs/>
                <w:color w:val="000000"/>
                <w:sz w:val="20"/>
                <w:szCs w:val="20"/>
              </w:rPr>
            </w:pPr>
            <w:r w:rsidRPr="00370A77">
              <w:rPr>
                <w:b/>
                <w:bCs/>
                <w:color w:val="000000"/>
                <w:sz w:val="20"/>
                <w:szCs w:val="20"/>
              </w:rPr>
              <w:t>Area of interest</w:t>
            </w:r>
          </w:p>
        </w:tc>
        <w:tc>
          <w:tcPr>
            <w:tcW w:w="1276" w:type="dxa"/>
            <w:vAlign w:val="center"/>
          </w:tcPr>
          <w:p w14:paraId="08E61CC3" w14:textId="77777777" w:rsidR="003432F5" w:rsidRPr="00370A77" w:rsidRDefault="003432F5" w:rsidP="003432F5">
            <w:pPr>
              <w:jc w:val="center"/>
              <w:rPr>
                <w:b/>
                <w:bCs/>
                <w:color w:val="000000"/>
                <w:sz w:val="20"/>
                <w:szCs w:val="20"/>
              </w:rPr>
            </w:pPr>
            <w:r w:rsidRPr="00370A77">
              <w:rPr>
                <w:b/>
                <w:bCs/>
                <w:color w:val="000000"/>
                <w:sz w:val="20"/>
                <w:szCs w:val="20"/>
              </w:rPr>
              <w:t>Overlap</w:t>
            </w:r>
          </w:p>
        </w:tc>
      </w:tr>
      <w:tr w:rsidR="003432F5" w:rsidRPr="00370A77" w14:paraId="08E083E1" w14:textId="77777777" w:rsidTr="003432F5">
        <w:trPr>
          <w:trHeight w:val="1184"/>
        </w:trPr>
        <w:tc>
          <w:tcPr>
            <w:tcW w:w="1374" w:type="dxa"/>
            <w:vAlign w:val="center"/>
          </w:tcPr>
          <w:p w14:paraId="747D3B10" w14:textId="77777777" w:rsidR="003432F5" w:rsidRPr="00370A77" w:rsidRDefault="003432F5" w:rsidP="003432F5">
            <w:pPr>
              <w:jc w:val="center"/>
              <w:rPr>
                <w:color w:val="000000"/>
                <w:sz w:val="20"/>
                <w:szCs w:val="20"/>
              </w:rPr>
            </w:pPr>
            <w:r w:rsidRPr="00370A77">
              <w:rPr>
                <w:color w:val="000000"/>
                <w:sz w:val="20"/>
                <w:szCs w:val="20"/>
              </w:rPr>
              <w:t>1</w:t>
            </w:r>
          </w:p>
        </w:tc>
        <w:tc>
          <w:tcPr>
            <w:tcW w:w="1374" w:type="dxa"/>
            <w:vAlign w:val="center"/>
          </w:tcPr>
          <w:p w14:paraId="034FC56F" w14:textId="77777777" w:rsidR="003432F5" w:rsidRPr="00370A77" w:rsidRDefault="003432F5" w:rsidP="003432F5">
            <w:pPr>
              <w:jc w:val="center"/>
              <w:rPr>
                <w:color w:val="000000"/>
                <w:sz w:val="20"/>
                <w:szCs w:val="20"/>
              </w:rPr>
            </w:pPr>
            <w:r>
              <w:rPr>
                <w:color w:val="000000"/>
                <w:sz w:val="20"/>
                <w:szCs w:val="20"/>
              </w:rPr>
              <w:t>73</w:t>
            </w:r>
          </w:p>
        </w:tc>
        <w:tc>
          <w:tcPr>
            <w:tcW w:w="1374" w:type="dxa"/>
            <w:vAlign w:val="center"/>
          </w:tcPr>
          <w:p w14:paraId="2655E71A" w14:textId="77777777" w:rsidR="003432F5" w:rsidRDefault="003432F5" w:rsidP="003432F5">
            <w:pPr>
              <w:jc w:val="center"/>
              <w:rPr>
                <w:color w:val="000000"/>
                <w:sz w:val="20"/>
                <w:szCs w:val="20"/>
              </w:rPr>
            </w:pPr>
            <w:r>
              <w:rPr>
                <w:color w:val="000000"/>
                <w:sz w:val="20"/>
                <w:szCs w:val="20"/>
              </w:rPr>
              <w:t>51</w:t>
            </w:r>
          </w:p>
          <w:p w14:paraId="488F97A1" w14:textId="77777777" w:rsidR="003432F5" w:rsidRPr="00370A77" w:rsidRDefault="003432F5" w:rsidP="003432F5">
            <w:pPr>
              <w:jc w:val="center"/>
              <w:rPr>
                <w:color w:val="000000"/>
                <w:sz w:val="20"/>
                <w:szCs w:val="20"/>
              </w:rPr>
            </w:pPr>
            <w:r>
              <w:rPr>
                <w:color w:val="000000"/>
                <w:sz w:val="20"/>
                <w:szCs w:val="20"/>
              </w:rPr>
              <w:t xml:space="preserve"> </w:t>
            </w:r>
            <w:r w:rsidRPr="00370A77">
              <w:rPr>
                <w:color w:val="000000"/>
                <w:sz w:val="20"/>
                <w:szCs w:val="20"/>
              </w:rPr>
              <w:t>(7</w:t>
            </w:r>
            <w:r>
              <w:rPr>
                <w:color w:val="000000"/>
                <w:sz w:val="20"/>
                <w:szCs w:val="20"/>
              </w:rPr>
              <w:t>0</w:t>
            </w:r>
            <w:r w:rsidRPr="00370A77">
              <w:rPr>
                <w:color w:val="000000"/>
                <w:sz w:val="20"/>
                <w:szCs w:val="20"/>
              </w:rPr>
              <w:t>%)</w:t>
            </w:r>
          </w:p>
        </w:tc>
        <w:tc>
          <w:tcPr>
            <w:tcW w:w="1375" w:type="dxa"/>
            <w:vAlign w:val="center"/>
          </w:tcPr>
          <w:p w14:paraId="47B8DB65" w14:textId="77777777" w:rsidR="003432F5" w:rsidRDefault="003432F5" w:rsidP="003432F5">
            <w:pPr>
              <w:jc w:val="center"/>
              <w:rPr>
                <w:color w:val="000000"/>
                <w:sz w:val="20"/>
                <w:szCs w:val="20"/>
              </w:rPr>
            </w:pPr>
            <w:r>
              <w:rPr>
                <w:color w:val="000000"/>
                <w:sz w:val="20"/>
                <w:szCs w:val="20"/>
              </w:rPr>
              <w:t>22</w:t>
            </w:r>
          </w:p>
          <w:p w14:paraId="19C59EB7" w14:textId="77777777" w:rsidR="003432F5" w:rsidRPr="00370A77" w:rsidRDefault="003432F5" w:rsidP="003432F5">
            <w:pPr>
              <w:jc w:val="center"/>
              <w:rPr>
                <w:color w:val="000000"/>
                <w:sz w:val="20"/>
                <w:szCs w:val="20"/>
              </w:rPr>
            </w:pPr>
            <w:r>
              <w:rPr>
                <w:color w:val="000000"/>
                <w:sz w:val="20"/>
                <w:szCs w:val="20"/>
              </w:rPr>
              <w:t>(30</w:t>
            </w:r>
            <w:r w:rsidRPr="00370A77">
              <w:rPr>
                <w:color w:val="000000"/>
                <w:sz w:val="20"/>
                <w:szCs w:val="20"/>
              </w:rPr>
              <w:t>%)</w:t>
            </w:r>
          </w:p>
        </w:tc>
        <w:tc>
          <w:tcPr>
            <w:tcW w:w="6264" w:type="dxa"/>
            <w:vAlign w:val="center"/>
          </w:tcPr>
          <w:p w14:paraId="4D6690F8" w14:textId="77777777" w:rsidR="003432F5" w:rsidRPr="00370A77" w:rsidRDefault="003432F5" w:rsidP="003432F5">
            <w:pPr>
              <w:rPr>
                <w:color w:val="000000"/>
                <w:sz w:val="20"/>
                <w:szCs w:val="20"/>
              </w:rPr>
            </w:pPr>
            <w:r>
              <w:rPr>
                <w:color w:val="000000"/>
                <w:sz w:val="20"/>
                <w:szCs w:val="20"/>
              </w:rPr>
              <w:t>Africa 3%; Asia 14%; Europe 67%; North America 10%; South America 7</w:t>
            </w:r>
            <w:r w:rsidRPr="00370A77">
              <w:rPr>
                <w:color w:val="000000"/>
                <w:sz w:val="20"/>
                <w:szCs w:val="20"/>
              </w:rPr>
              <w:t>%</w:t>
            </w:r>
          </w:p>
        </w:tc>
        <w:tc>
          <w:tcPr>
            <w:tcW w:w="1842" w:type="dxa"/>
            <w:vAlign w:val="center"/>
          </w:tcPr>
          <w:p w14:paraId="72D466A9" w14:textId="77777777" w:rsidR="003432F5" w:rsidRPr="00370A77" w:rsidRDefault="003432F5" w:rsidP="003432F5">
            <w:pPr>
              <w:rPr>
                <w:color w:val="000000"/>
                <w:sz w:val="20"/>
                <w:szCs w:val="20"/>
              </w:rPr>
            </w:pPr>
            <w:r w:rsidRPr="00370A77">
              <w:rPr>
                <w:color w:val="000000"/>
                <w:sz w:val="20"/>
                <w:szCs w:val="20"/>
              </w:rPr>
              <w:t>C</w:t>
            </w:r>
            <w:r>
              <w:rPr>
                <w:color w:val="000000"/>
                <w:sz w:val="20"/>
                <w:szCs w:val="20"/>
              </w:rPr>
              <w:t>linical trials 10</w:t>
            </w:r>
            <w:r w:rsidRPr="00370A77">
              <w:rPr>
                <w:color w:val="000000"/>
                <w:sz w:val="20"/>
                <w:szCs w:val="20"/>
              </w:rPr>
              <w:t>%</w:t>
            </w:r>
          </w:p>
          <w:p w14:paraId="5973692A" w14:textId="77777777" w:rsidR="003432F5" w:rsidRPr="00370A77" w:rsidRDefault="003432F5" w:rsidP="003432F5">
            <w:pPr>
              <w:rPr>
                <w:color w:val="000000"/>
                <w:sz w:val="20"/>
                <w:szCs w:val="20"/>
              </w:rPr>
            </w:pPr>
            <w:r>
              <w:rPr>
                <w:color w:val="000000"/>
                <w:sz w:val="20"/>
                <w:szCs w:val="20"/>
              </w:rPr>
              <w:t>Diagnostics 40</w:t>
            </w:r>
            <w:r w:rsidRPr="00370A77">
              <w:rPr>
                <w:color w:val="000000"/>
                <w:sz w:val="20"/>
                <w:szCs w:val="20"/>
              </w:rPr>
              <w:t>%</w:t>
            </w:r>
          </w:p>
          <w:p w14:paraId="3B964F31" w14:textId="77777777" w:rsidR="003432F5" w:rsidRPr="00370A77" w:rsidRDefault="003432F5" w:rsidP="003432F5">
            <w:pPr>
              <w:rPr>
                <w:color w:val="000000"/>
                <w:sz w:val="20"/>
                <w:szCs w:val="20"/>
              </w:rPr>
            </w:pPr>
            <w:r>
              <w:rPr>
                <w:color w:val="000000"/>
                <w:sz w:val="20"/>
                <w:szCs w:val="20"/>
              </w:rPr>
              <w:t>Epidemiology 18</w:t>
            </w:r>
            <w:r w:rsidRPr="00370A77">
              <w:rPr>
                <w:color w:val="000000"/>
                <w:sz w:val="20"/>
                <w:szCs w:val="20"/>
              </w:rPr>
              <w:t xml:space="preserve">% </w:t>
            </w:r>
            <w:r>
              <w:rPr>
                <w:color w:val="000000"/>
                <w:sz w:val="20"/>
                <w:szCs w:val="20"/>
              </w:rPr>
              <w:t>Rehabilitation 12</w:t>
            </w:r>
            <w:r w:rsidRPr="00370A77">
              <w:rPr>
                <w:color w:val="000000"/>
                <w:sz w:val="20"/>
                <w:szCs w:val="20"/>
              </w:rPr>
              <w:t>%</w:t>
            </w:r>
          </w:p>
          <w:p w14:paraId="1068E9F7" w14:textId="77777777" w:rsidR="003432F5" w:rsidRPr="00370A77" w:rsidRDefault="003432F5" w:rsidP="003432F5">
            <w:pPr>
              <w:rPr>
                <w:color w:val="000000"/>
                <w:sz w:val="20"/>
                <w:szCs w:val="20"/>
              </w:rPr>
            </w:pPr>
            <w:r>
              <w:rPr>
                <w:color w:val="000000"/>
                <w:sz w:val="20"/>
                <w:szCs w:val="20"/>
              </w:rPr>
              <w:t>R&amp;D 21</w:t>
            </w:r>
            <w:r w:rsidRPr="00370A77">
              <w:rPr>
                <w:color w:val="000000"/>
                <w:sz w:val="20"/>
                <w:szCs w:val="20"/>
              </w:rPr>
              <w:t>%</w:t>
            </w:r>
          </w:p>
        </w:tc>
        <w:tc>
          <w:tcPr>
            <w:tcW w:w="1276" w:type="dxa"/>
            <w:vAlign w:val="center"/>
          </w:tcPr>
          <w:p w14:paraId="23E45012" w14:textId="77777777" w:rsidR="003432F5" w:rsidRPr="00370A77" w:rsidRDefault="003432F5" w:rsidP="003432F5">
            <w:pPr>
              <w:jc w:val="center"/>
              <w:rPr>
                <w:color w:val="000000"/>
                <w:sz w:val="20"/>
                <w:szCs w:val="20"/>
              </w:rPr>
            </w:pPr>
          </w:p>
        </w:tc>
      </w:tr>
      <w:tr w:rsidR="003432F5" w:rsidRPr="00370A77" w14:paraId="071A6BEE" w14:textId="77777777" w:rsidTr="003432F5">
        <w:trPr>
          <w:trHeight w:val="1301"/>
        </w:trPr>
        <w:tc>
          <w:tcPr>
            <w:tcW w:w="1374" w:type="dxa"/>
            <w:vAlign w:val="center"/>
          </w:tcPr>
          <w:p w14:paraId="28301134" w14:textId="77777777" w:rsidR="003432F5" w:rsidRPr="00370A77" w:rsidRDefault="003432F5" w:rsidP="003432F5">
            <w:pPr>
              <w:jc w:val="center"/>
              <w:rPr>
                <w:color w:val="000000"/>
                <w:sz w:val="20"/>
                <w:szCs w:val="20"/>
              </w:rPr>
            </w:pPr>
            <w:r w:rsidRPr="00370A77">
              <w:rPr>
                <w:color w:val="000000"/>
                <w:sz w:val="20"/>
                <w:szCs w:val="20"/>
              </w:rPr>
              <w:t>2</w:t>
            </w:r>
          </w:p>
        </w:tc>
        <w:tc>
          <w:tcPr>
            <w:tcW w:w="1374" w:type="dxa"/>
            <w:vAlign w:val="center"/>
          </w:tcPr>
          <w:p w14:paraId="5710AFC9" w14:textId="77777777" w:rsidR="003432F5" w:rsidRPr="00370A77" w:rsidRDefault="003432F5" w:rsidP="003432F5">
            <w:pPr>
              <w:jc w:val="center"/>
              <w:rPr>
                <w:color w:val="000000"/>
                <w:sz w:val="20"/>
                <w:szCs w:val="20"/>
              </w:rPr>
            </w:pPr>
            <w:r>
              <w:rPr>
                <w:color w:val="000000"/>
                <w:sz w:val="20"/>
                <w:szCs w:val="20"/>
              </w:rPr>
              <w:t>73</w:t>
            </w:r>
          </w:p>
        </w:tc>
        <w:tc>
          <w:tcPr>
            <w:tcW w:w="1374" w:type="dxa"/>
            <w:vAlign w:val="center"/>
          </w:tcPr>
          <w:p w14:paraId="36349F31" w14:textId="77777777" w:rsidR="003432F5" w:rsidRDefault="003432F5" w:rsidP="003432F5">
            <w:pPr>
              <w:jc w:val="center"/>
              <w:rPr>
                <w:color w:val="000000"/>
                <w:sz w:val="20"/>
                <w:szCs w:val="20"/>
              </w:rPr>
            </w:pPr>
            <w:r>
              <w:rPr>
                <w:color w:val="000000"/>
                <w:sz w:val="20"/>
                <w:szCs w:val="20"/>
              </w:rPr>
              <w:t>50</w:t>
            </w:r>
            <w:r w:rsidRPr="00370A77">
              <w:rPr>
                <w:color w:val="000000"/>
                <w:sz w:val="20"/>
                <w:szCs w:val="20"/>
              </w:rPr>
              <w:t xml:space="preserve"> </w:t>
            </w:r>
          </w:p>
          <w:p w14:paraId="1BCBE73B" w14:textId="77777777" w:rsidR="003432F5" w:rsidRPr="00370A77" w:rsidRDefault="003432F5" w:rsidP="003432F5">
            <w:pPr>
              <w:jc w:val="center"/>
              <w:rPr>
                <w:color w:val="000000"/>
                <w:sz w:val="20"/>
                <w:szCs w:val="20"/>
              </w:rPr>
            </w:pPr>
            <w:r>
              <w:rPr>
                <w:color w:val="000000"/>
                <w:sz w:val="20"/>
                <w:szCs w:val="20"/>
              </w:rPr>
              <w:t>(68</w:t>
            </w:r>
            <w:r w:rsidRPr="00370A77">
              <w:rPr>
                <w:color w:val="000000"/>
                <w:sz w:val="20"/>
                <w:szCs w:val="20"/>
              </w:rPr>
              <w:t>%)</w:t>
            </w:r>
          </w:p>
        </w:tc>
        <w:tc>
          <w:tcPr>
            <w:tcW w:w="1375" w:type="dxa"/>
            <w:vAlign w:val="center"/>
          </w:tcPr>
          <w:p w14:paraId="78728065" w14:textId="77777777" w:rsidR="003432F5" w:rsidRDefault="003432F5" w:rsidP="003432F5">
            <w:pPr>
              <w:jc w:val="center"/>
              <w:rPr>
                <w:color w:val="000000"/>
                <w:sz w:val="20"/>
                <w:szCs w:val="20"/>
              </w:rPr>
            </w:pPr>
            <w:r>
              <w:rPr>
                <w:color w:val="000000"/>
                <w:sz w:val="20"/>
                <w:szCs w:val="20"/>
              </w:rPr>
              <w:t>23</w:t>
            </w:r>
            <w:r w:rsidRPr="00370A77">
              <w:rPr>
                <w:color w:val="000000"/>
                <w:sz w:val="20"/>
                <w:szCs w:val="20"/>
              </w:rPr>
              <w:t xml:space="preserve"> </w:t>
            </w:r>
          </w:p>
          <w:p w14:paraId="5BB4AB36" w14:textId="77777777" w:rsidR="003432F5" w:rsidRPr="00370A77" w:rsidRDefault="003432F5" w:rsidP="003432F5">
            <w:pPr>
              <w:jc w:val="center"/>
              <w:rPr>
                <w:color w:val="000000"/>
                <w:sz w:val="20"/>
                <w:szCs w:val="20"/>
              </w:rPr>
            </w:pPr>
            <w:r>
              <w:rPr>
                <w:color w:val="000000"/>
                <w:sz w:val="20"/>
                <w:szCs w:val="20"/>
              </w:rPr>
              <w:t>(32</w:t>
            </w:r>
            <w:r w:rsidRPr="00370A77">
              <w:rPr>
                <w:color w:val="000000"/>
                <w:sz w:val="20"/>
                <w:szCs w:val="20"/>
              </w:rPr>
              <w:t>%)</w:t>
            </w:r>
          </w:p>
        </w:tc>
        <w:tc>
          <w:tcPr>
            <w:tcW w:w="6264" w:type="dxa"/>
            <w:vAlign w:val="center"/>
          </w:tcPr>
          <w:p w14:paraId="3D190EA9" w14:textId="77777777" w:rsidR="003432F5" w:rsidRPr="00370A77" w:rsidRDefault="003432F5" w:rsidP="003432F5">
            <w:pPr>
              <w:rPr>
                <w:color w:val="000000"/>
                <w:sz w:val="20"/>
                <w:szCs w:val="20"/>
              </w:rPr>
            </w:pPr>
            <w:r>
              <w:rPr>
                <w:color w:val="000000"/>
                <w:sz w:val="20"/>
                <w:szCs w:val="20"/>
              </w:rPr>
              <w:t>Africa 4%; Asia 10%; Europe 66%; North America 16%; South America 4</w:t>
            </w:r>
            <w:r w:rsidRPr="00370A77">
              <w:rPr>
                <w:color w:val="000000"/>
                <w:sz w:val="20"/>
                <w:szCs w:val="20"/>
              </w:rPr>
              <w:t>%</w:t>
            </w:r>
          </w:p>
        </w:tc>
        <w:tc>
          <w:tcPr>
            <w:tcW w:w="1842" w:type="dxa"/>
            <w:vAlign w:val="center"/>
          </w:tcPr>
          <w:p w14:paraId="05542D49" w14:textId="77777777" w:rsidR="003432F5" w:rsidRPr="00370A77" w:rsidRDefault="003432F5" w:rsidP="003432F5">
            <w:pPr>
              <w:rPr>
                <w:color w:val="000000"/>
                <w:sz w:val="20"/>
                <w:szCs w:val="20"/>
              </w:rPr>
            </w:pPr>
            <w:r w:rsidRPr="00370A77">
              <w:rPr>
                <w:color w:val="000000"/>
                <w:sz w:val="20"/>
                <w:szCs w:val="20"/>
              </w:rPr>
              <w:t>C</w:t>
            </w:r>
            <w:r>
              <w:rPr>
                <w:color w:val="000000"/>
                <w:sz w:val="20"/>
                <w:szCs w:val="20"/>
              </w:rPr>
              <w:t>linical trials 12</w:t>
            </w:r>
            <w:r w:rsidRPr="00370A77">
              <w:rPr>
                <w:color w:val="000000"/>
                <w:sz w:val="20"/>
                <w:szCs w:val="20"/>
              </w:rPr>
              <w:t>%</w:t>
            </w:r>
          </w:p>
          <w:p w14:paraId="0959EC5D" w14:textId="77777777" w:rsidR="003432F5" w:rsidRPr="00370A77" w:rsidRDefault="003432F5" w:rsidP="003432F5">
            <w:pPr>
              <w:rPr>
                <w:color w:val="000000"/>
                <w:sz w:val="20"/>
                <w:szCs w:val="20"/>
              </w:rPr>
            </w:pPr>
            <w:r>
              <w:rPr>
                <w:color w:val="000000"/>
                <w:sz w:val="20"/>
                <w:szCs w:val="20"/>
              </w:rPr>
              <w:t>Diagnostics 40</w:t>
            </w:r>
            <w:r w:rsidRPr="00370A77">
              <w:rPr>
                <w:color w:val="000000"/>
                <w:sz w:val="20"/>
                <w:szCs w:val="20"/>
              </w:rPr>
              <w:t>%</w:t>
            </w:r>
          </w:p>
          <w:p w14:paraId="59CD7105" w14:textId="77777777" w:rsidR="003432F5" w:rsidRPr="00370A77" w:rsidRDefault="003432F5" w:rsidP="003432F5">
            <w:pPr>
              <w:rPr>
                <w:color w:val="000000"/>
                <w:sz w:val="20"/>
                <w:szCs w:val="20"/>
              </w:rPr>
            </w:pPr>
            <w:r>
              <w:rPr>
                <w:color w:val="000000"/>
                <w:sz w:val="20"/>
                <w:szCs w:val="20"/>
              </w:rPr>
              <w:t>Epidemiology 16% Rehabilitation 11</w:t>
            </w:r>
            <w:r w:rsidRPr="00370A77">
              <w:rPr>
                <w:color w:val="000000"/>
                <w:sz w:val="20"/>
                <w:szCs w:val="20"/>
              </w:rPr>
              <w:t>%</w:t>
            </w:r>
          </w:p>
          <w:p w14:paraId="3975A05D" w14:textId="77777777" w:rsidR="003432F5" w:rsidRPr="00370A77" w:rsidRDefault="003432F5" w:rsidP="003432F5">
            <w:pPr>
              <w:rPr>
                <w:color w:val="000000"/>
                <w:sz w:val="20"/>
                <w:szCs w:val="20"/>
              </w:rPr>
            </w:pPr>
            <w:r w:rsidRPr="00370A77">
              <w:rPr>
                <w:color w:val="000000"/>
                <w:sz w:val="20"/>
                <w:szCs w:val="20"/>
              </w:rPr>
              <w:t>R&amp;D 21%</w:t>
            </w:r>
          </w:p>
        </w:tc>
        <w:tc>
          <w:tcPr>
            <w:tcW w:w="1276" w:type="dxa"/>
            <w:vAlign w:val="center"/>
          </w:tcPr>
          <w:p w14:paraId="7095D790" w14:textId="77777777" w:rsidR="003432F5" w:rsidRDefault="003432F5" w:rsidP="003432F5">
            <w:pPr>
              <w:jc w:val="center"/>
              <w:rPr>
                <w:color w:val="000000"/>
                <w:sz w:val="20"/>
                <w:szCs w:val="20"/>
              </w:rPr>
            </w:pPr>
            <w:r>
              <w:rPr>
                <w:color w:val="000000"/>
                <w:sz w:val="20"/>
                <w:szCs w:val="20"/>
              </w:rPr>
              <w:t>55</w:t>
            </w:r>
          </w:p>
          <w:p w14:paraId="3F7BAFF7" w14:textId="77777777" w:rsidR="003432F5" w:rsidRPr="00370A77" w:rsidRDefault="003432F5" w:rsidP="003432F5">
            <w:pPr>
              <w:jc w:val="center"/>
              <w:rPr>
                <w:color w:val="000000"/>
                <w:sz w:val="20"/>
                <w:szCs w:val="20"/>
              </w:rPr>
            </w:pPr>
            <w:r>
              <w:rPr>
                <w:color w:val="000000"/>
                <w:sz w:val="20"/>
                <w:szCs w:val="20"/>
              </w:rPr>
              <w:t>(75</w:t>
            </w:r>
            <w:r w:rsidRPr="00370A77">
              <w:rPr>
                <w:color w:val="000000"/>
                <w:sz w:val="20"/>
                <w:szCs w:val="20"/>
              </w:rPr>
              <w:t>%)</w:t>
            </w:r>
          </w:p>
        </w:tc>
      </w:tr>
      <w:tr w:rsidR="003432F5" w:rsidRPr="00370A77" w14:paraId="18A0148E" w14:textId="77777777" w:rsidTr="003432F5">
        <w:trPr>
          <w:trHeight w:val="1277"/>
        </w:trPr>
        <w:tc>
          <w:tcPr>
            <w:tcW w:w="1374" w:type="dxa"/>
            <w:vAlign w:val="center"/>
          </w:tcPr>
          <w:p w14:paraId="1BAB2ABB" w14:textId="77777777" w:rsidR="003432F5" w:rsidRPr="00370A77" w:rsidRDefault="003432F5" w:rsidP="003432F5">
            <w:pPr>
              <w:jc w:val="center"/>
              <w:rPr>
                <w:color w:val="000000"/>
                <w:sz w:val="20"/>
                <w:szCs w:val="20"/>
              </w:rPr>
            </w:pPr>
            <w:r w:rsidRPr="00370A77">
              <w:rPr>
                <w:color w:val="000000"/>
                <w:sz w:val="20"/>
                <w:szCs w:val="20"/>
              </w:rPr>
              <w:t>3</w:t>
            </w:r>
          </w:p>
        </w:tc>
        <w:tc>
          <w:tcPr>
            <w:tcW w:w="1374" w:type="dxa"/>
            <w:vAlign w:val="center"/>
          </w:tcPr>
          <w:p w14:paraId="1093144A" w14:textId="77777777" w:rsidR="003432F5" w:rsidRPr="00370A77" w:rsidRDefault="003432F5" w:rsidP="003432F5">
            <w:pPr>
              <w:jc w:val="center"/>
              <w:rPr>
                <w:color w:val="000000"/>
                <w:sz w:val="20"/>
                <w:szCs w:val="20"/>
              </w:rPr>
            </w:pPr>
            <w:r>
              <w:rPr>
                <w:color w:val="000000"/>
                <w:sz w:val="20"/>
                <w:szCs w:val="20"/>
              </w:rPr>
              <w:t>68</w:t>
            </w:r>
          </w:p>
        </w:tc>
        <w:tc>
          <w:tcPr>
            <w:tcW w:w="1374" w:type="dxa"/>
            <w:vAlign w:val="center"/>
          </w:tcPr>
          <w:p w14:paraId="757E11E1" w14:textId="77777777" w:rsidR="003432F5" w:rsidRDefault="003432F5" w:rsidP="003432F5">
            <w:pPr>
              <w:jc w:val="center"/>
              <w:rPr>
                <w:color w:val="000000"/>
                <w:sz w:val="20"/>
                <w:szCs w:val="20"/>
              </w:rPr>
            </w:pPr>
            <w:r>
              <w:rPr>
                <w:color w:val="000000"/>
                <w:sz w:val="20"/>
                <w:szCs w:val="20"/>
              </w:rPr>
              <w:t>44</w:t>
            </w:r>
            <w:r w:rsidRPr="00370A77">
              <w:rPr>
                <w:color w:val="000000"/>
                <w:sz w:val="20"/>
                <w:szCs w:val="20"/>
              </w:rPr>
              <w:t xml:space="preserve"> </w:t>
            </w:r>
          </w:p>
          <w:p w14:paraId="0080CB05" w14:textId="77777777" w:rsidR="003432F5" w:rsidRPr="00370A77" w:rsidRDefault="003432F5" w:rsidP="003432F5">
            <w:pPr>
              <w:jc w:val="center"/>
              <w:rPr>
                <w:color w:val="000000"/>
                <w:sz w:val="20"/>
                <w:szCs w:val="20"/>
              </w:rPr>
            </w:pPr>
            <w:r>
              <w:rPr>
                <w:color w:val="000000"/>
                <w:sz w:val="20"/>
                <w:szCs w:val="20"/>
              </w:rPr>
              <w:t>(65</w:t>
            </w:r>
            <w:r w:rsidRPr="00370A77">
              <w:rPr>
                <w:color w:val="000000"/>
                <w:sz w:val="20"/>
                <w:szCs w:val="20"/>
              </w:rPr>
              <w:t>%)</w:t>
            </w:r>
          </w:p>
        </w:tc>
        <w:tc>
          <w:tcPr>
            <w:tcW w:w="1375" w:type="dxa"/>
            <w:vAlign w:val="center"/>
          </w:tcPr>
          <w:p w14:paraId="67F9300B" w14:textId="77777777" w:rsidR="003432F5" w:rsidRDefault="003432F5" w:rsidP="003432F5">
            <w:pPr>
              <w:jc w:val="center"/>
              <w:rPr>
                <w:color w:val="000000"/>
                <w:sz w:val="20"/>
                <w:szCs w:val="20"/>
              </w:rPr>
            </w:pPr>
            <w:r>
              <w:rPr>
                <w:color w:val="000000"/>
                <w:sz w:val="20"/>
                <w:szCs w:val="20"/>
              </w:rPr>
              <w:t>24</w:t>
            </w:r>
            <w:r w:rsidRPr="00370A77">
              <w:rPr>
                <w:color w:val="000000"/>
                <w:sz w:val="20"/>
                <w:szCs w:val="20"/>
              </w:rPr>
              <w:t xml:space="preserve"> </w:t>
            </w:r>
          </w:p>
          <w:p w14:paraId="5DB4FCCC" w14:textId="77777777" w:rsidR="003432F5" w:rsidRPr="00370A77" w:rsidRDefault="003432F5" w:rsidP="003432F5">
            <w:pPr>
              <w:jc w:val="center"/>
              <w:rPr>
                <w:color w:val="000000"/>
                <w:sz w:val="20"/>
                <w:szCs w:val="20"/>
              </w:rPr>
            </w:pPr>
            <w:r>
              <w:rPr>
                <w:color w:val="000000"/>
                <w:sz w:val="20"/>
                <w:szCs w:val="20"/>
              </w:rPr>
              <w:t>(35</w:t>
            </w:r>
            <w:r w:rsidRPr="00370A77">
              <w:rPr>
                <w:color w:val="000000"/>
                <w:sz w:val="20"/>
                <w:szCs w:val="20"/>
              </w:rPr>
              <w:t>%)</w:t>
            </w:r>
          </w:p>
        </w:tc>
        <w:tc>
          <w:tcPr>
            <w:tcW w:w="6264" w:type="dxa"/>
            <w:vAlign w:val="center"/>
          </w:tcPr>
          <w:p w14:paraId="03530B82" w14:textId="77777777" w:rsidR="003432F5" w:rsidRPr="00370A77" w:rsidRDefault="003432F5" w:rsidP="003432F5">
            <w:pPr>
              <w:rPr>
                <w:color w:val="000000"/>
                <w:sz w:val="20"/>
                <w:szCs w:val="20"/>
              </w:rPr>
            </w:pPr>
            <w:r>
              <w:rPr>
                <w:color w:val="000000"/>
                <w:sz w:val="20"/>
                <w:szCs w:val="20"/>
              </w:rPr>
              <w:t>Africa 4</w:t>
            </w:r>
            <w:r w:rsidRPr="00370A77">
              <w:rPr>
                <w:color w:val="000000"/>
                <w:sz w:val="20"/>
                <w:szCs w:val="20"/>
              </w:rPr>
              <w:t xml:space="preserve">%; Asia 10%; Europe 63%; North America 18%; South America </w:t>
            </w:r>
            <w:r>
              <w:rPr>
                <w:color w:val="000000"/>
                <w:sz w:val="20"/>
                <w:szCs w:val="20"/>
              </w:rPr>
              <w:t>4</w:t>
            </w:r>
            <w:r w:rsidRPr="00370A77">
              <w:rPr>
                <w:color w:val="000000"/>
                <w:sz w:val="20"/>
                <w:szCs w:val="20"/>
              </w:rPr>
              <w:t>%</w:t>
            </w:r>
          </w:p>
        </w:tc>
        <w:tc>
          <w:tcPr>
            <w:tcW w:w="1842" w:type="dxa"/>
            <w:vAlign w:val="center"/>
          </w:tcPr>
          <w:p w14:paraId="23ED3532" w14:textId="77777777" w:rsidR="003432F5" w:rsidRPr="00370A77" w:rsidRDefault="003432F5" w:rsidP="003432F5">
            <w:pPr>
              <w:rPr>
                <w:color w:val="000000"/>
                <w:sz w:val="20"/>
                <w:szCs w:val="20"/>
              </w:rPr>
            </w:pPr>
            <w:r w:rsidRPr="00370A77">
              <w:rPr>
                <w:color w:val="000000"/>
                <w:sz w:val="20"/>
                <w:szCs w:val="20"/>
              </w:rPr>
              <w:t>Clinical trials 12%</w:t>
            </w:r>
          </w:p>
          <w:p w14:paraId="5E1E9721" w14:textId="77777777" w:rsidR="003432F5" w:rsidRPr="00370A77" w:rsidRDefault="003432F5" w:rsidP="003432F5">
            <w:pPr>
              <w:rPr>
                <w:color w:val="000000"/>
                <w:sz w:val="20"/>
                <w:szCs w:val="20"/>
              </w:rPr>
            </w:pPr>
            <w:r w:rsidRPr="00370A77">
              <w:rPr>
                <w:color w:val="000000"/>
                <w:sz w:val="20"/>
                <w:szCs w:val="20"/>
              </w:rPr>
              <w:t>Diagnostics 39%</w:t>
            </w:r>
          </w:p>
          <w:p w14:paraId="5698C745" w14:textId="77777777" w:rsidR="003432F5" w:rsidRPr="00370A77" w:rsidRDefault="003432F5" w:rsidP="003432F5">
            <w:pPr>
              <w:rPr>
                <w:color w:val="000000"/>
                <w:sz w:val="20"/>
                <w:szCs w:val="20"/>
              </w:rPr>
            </w:pPr>
            <w:r w:rsidRPr="00370A77">
              <w:rPr>
                <w:color w:val="000000"/>
                <w:sz w:val="20"/>
                <w:szCs w:val="20"/>
              </w:rPr>
              <w:t>Epidemiology 17% Rehabilitation 9%</w:t>
            </w:r>
          </w:p>
          <w:p w14:paraId="3E218CB1" w14:textId="77777777" w:rsidR="003432F5" w:rsidRPr="00370A77" w:rsidRDefault="003432F5" w:rsidP="003432F5">
            <w:pPr>
              <w:rPr>
                <w:color w:val="000000"/>
                <w:sz w:val="20"/>
                <w:szCs w:val="20"/>
              </w:rPr>
            </w:pPr>
            <w:r w:rsidRPr="00370A77">
              <w:rPr>
                <w:color w:val="000000"/>
                <w:sz w:val="20"/>
                <w:szCs w:val="20"/>
              </w:rPr>
              <w:t>R&amp;D 23%</w:t>
            </w:r>
          </w:p>
        </w:tc>
        <w:tc>
          <w:tcPr>
            <w:tcW w:w="1276" w:type="dxa"/>
            <w:vAlign w:val="center"/>
          </w:tcPr>
          <w:p w14:paraId="281F27FC" w14:textId="77777777" w:rsidR="003432F5" w:rsidRDefault="003432F5" w:rsidP="003432F5">
            <w:pPr>
              <w:jc w:val="center"/>
              <w:rPr>
                <w:color w:val="000000"/>
                <w:sz w:val="20"/>
                <w:szCs w:val="20"/>
              </w:rPr>
            </w:pPr>
            <w:r>
              <w:rPr>
                <w:color w:val="000000"/>
                <w:sz w:val="20"/>
                <w:szCs w:val="20"/>
              </w:rPr>
              <w:t xml:space="preserve">64 </w:t>
            </w:r>
          </w:p>
          <w:p w14:paraId="4E4DC58A" w14:textId="77777777" w:rsidR="003432F5" w:rsidRPr="00370A77" w:rsidRDefault="003432F5" w:rsidP="003432F5">
            <w:pPr>
              <w:jc w:val="center"/>
              <w:rPr>
                <w:color w:val="000000"/>
                <w:sz w:val="20"/>
                <w:szCs w:val="20"/>
              </w:rPr>
            </w:pPr>
            <w:r>
              <w:rPr>
                <w:color w:val="000000"/>
                <w:sz w:val="20"/>
                <w:szCs w:val="20"/>
              </w:rPr>
              <w:t>(9</w:t>
            </w:r>
            <w:r w:rsidRPr="00370A77">
              <w:rPr>
                <w:color w:val="000000"/>
                <w:sz w:val="20"/>
                <w:szCs w:val="20"/>
              </w:rPr>
              <w:t>4%</w:t>
            </w:r>
            <w:r>
              <w:rPr>
                <w:color w:val="000000"/>
                <w:sz w:val="20"/>
                <w:szCs w:val="20"/>
              </w:rPr>
              <w:t>/84%</w:t>
            </w:r>
            <w:r w:rsidRPr="00370A77">
              <w:rPr>
                <w:color w:val="000000"/>
                <w:sz w:val="20"/>
                <w:szCs w:val="20"/>
              </w:rPr>
              <w:t>)</w:t>
            </w:r>
          </w:p>
        </w:tc>
      </w:tr>
      <w:tr w:rsidR="003432F5" w:rsidRPr="00370A77" w14:paraId="0ABCA9AF" w14:textId="77777777" w:rsidTr="003432F5">
        <w:trPr>
          <w:trHeight w:val="1266"/>
        </w:trPr>
        <w:tc>
          <w:tcPr>
            <w:tcW w:w="1374" w:type="dxa"/>
            <w:vAlign w:val="center"/>
          </w:tcPr>
          <w:p w14:paraId="504141C2" w14:textId="77777777" w:rsidR="003432F5" w:rsidRPr="00370A77" w:rsidRDefault="003432F5" w:rsidP="003432F5">
            <w:pPr>
              <w:jc w:val="center"/>
              <w:rPr>
                <w:color w:val="000000"/>
                <w:sz w:val="20"/>
                <w:szCs w:val="20"/>
              </w:rPr>
            </w:pPr>
            <w:r w:rsidRPr="00370A77">
              <w:rPr>
                <w:color w:val="000000"/>
                <w:sz w:val="20"/>
                <w:szCs w:val="20"/>
              </w:rPr>
              <w:t>4</w:t>
            </w:r>
          </w:p>
        </w:tc>
        <w:tc>
          <w:tcPr>
            <w:tcW w:w="1374" w:type="dxa"/>
            <w:vAlign w:val="center"/>
          </w:tcPr>
          <w:p w14:paraId="728495D3" w14:textId="77777777" w:rsidR="003432F5" w:rsidRPr="00370A77" w:rsidRDefault="003432F5" w:rsidP="003432F5">
            <w:pPr>
              <w:jc w:val="center"/>
              <w:rPr>
                <w:color w:val="000000"/>
                <w:sz w:val="20"/>
                <w:szCs w:val="20"/>
              </w:rPr>
            </w:pPr>
            <w:r>
              <w:rPr>
                <w:color w:val="000000"/>
                <w:sz w:val="20"/>
                <w:szCs w:val="20"/>
              </w:rPr>
              <w:t>73</w:t>
            </w:r>
          </w:p>
        </w:tc>
        <w:tc>
          <w:tcPr>
            <w:tcW w:w="1374" w:type="dxa"/>
            <w:vAlign w:val="center"/>
          </w:tcPr>
          <w:p w14:paraId="6374C480" w14:textId="77777777" w:rsidR="003432F5" w:rsidRDefault="003432F5" w:rsidP="003432F5">
            <w:pPr>
              <w:jc w:val="center"/>
              <w:rPr>
                <w:color w:val="000000"/>
                <w:sz w:val="20"/>
                <w:szCs w:val="20"/>
              </w:rPr>
            </w:pPr>
            <w:r>
              <w:rPr>
                <w:color w:val="000000"/>
                <w:sz w:val="20"/>
                <w:szCs w:val="20"/>
              </w:rPr>
              <w:t>50</w:t>
            </w:r>
            <w:r w:rsidRPr="00370A77">
              <w:rPr>
                <w:color w:val="000000"/>
                <w:sz w:val="20"/>
                <w:szCs w:val="20"/>
              </w:rPr>
              <w:t xml:space="preserve"> </w:t>
            </w:r>
          </w:p>
          <w:p w14:paraId="11A33E4A" w14:textId="77777777" w:rsidR="003432F5" w:rsidRPr="00370A77" w:rsidRDefault="003432F5" w:rsidP="003432F5">
            <w:pPr>
              <w:jc w:val="center"/>
              <w:rPr>
                <w:color w:val="000000"/>
                <w:sz w:val="20"/>
                <w:szCs w:val="20"/>
              </w:rPr>
            </w:pPr>
            <w:r>
              <w:rPr>
                <w:color w:val="000000"/>
                <w:sz w:val="20"/>
                <w:szCs w:val="20"/>
              </w:rPr>
              <w:t>(68</w:t>
            </w:r>
            <w:r w:rsidRPr="00370A77">
              <w:rPr>
                <w:color w:val="000000"/>
                <w:sz w:val="20"/>
                <w:szCs w:val="20"/>
              </w:rPr>
              <w:t>%)</w:t>
            </w:r>
          </w:p>
        </w:tc>
        <w:tc>
          <w:tcPr>
            <w:tcW w:w="1375" w:type="dxa"/>
            <w:vAlign w:val="center"/>
          </w:tcPr>
          <w:p w14:paraId="3E9963EA" w14:textId="77777777" w:rsidR="003432F5" w:rsidRDefault="003432F5" w:rsidP="003432F5">
            <w:pPr>
              <w:jc w:val="center"/>
              <w:rPr>
                <w:color w:val="000000"/>
                <w:sz w:val="20"/>
                <w:szCs w:val="20"/>
              </w:rPr>
            </w:pPr>
            <w:r>
              <w:rPr>
                <w:color w:val="000000"/>
                <w:sz w:val="20"/>
                <w:szCs w:val="20"/>
              </w:rPr>
              <w:t>23</w:t>
            </w:r>
          </w:p>
          <w:p w14:paraId="1D9AE958" w14:textId="77777777" w:rsidR="003432F5" w:rsidRPr="00370A77" w:rsidRDefault="003432F5" w:rsidP="003432F5">
            <w:pPr>
              <w:jc w:val="center"/>
              <w:rPr>
                <w:color w:val="000000"/>
                <w:sz w:val="20"/>
                <w:szCs w:val="20"/>
              </w:rPr>
            </w:pPr>
            <w:r>
              <w:rPr>
                <w:color w:val="000000"/>
                <w:sz w:val="20"/>
                <w:szCs w:val="20"/>
              </w:rPr>
              <w:t>(32</w:t>
            </w:r>
            <w:r w:rsidRPr="00370A77">
              <w:rPr>
                <w:color w:val="000000"/>
                <w:sz w:val="20"/>
                <w:szCs w:val="20"/>
              </w:rPr>
              <w:t>%)</w:t>
            </w:r>
          </w:p>
        </w:tc>
        <w:tc>
          <w:tcPr>
            <w:tcW w:w="6264" w:type="dxa"/>
            <w:vAlign w:val="center"/>
          </w:tcPr>
          <w:p w14:paraId="5AF68692" w14:textId="77777777" w:rsidR="003432F5" w:rsidRPr="00370A77" w:rsidRDefault="003432F5" w:rsidP="003432F5">
            <w:pPr>
              <w:rPr>
                <w:color w:val="000000"/>
                <w:sz w:val="20"/>
                <w:szCs w:val="20"/>
              </w:rPr>
            </w:pPr>
            <w:r>
              <w:rPr>
                <w:color w:val="000000"/>
                <w:sz w:val="20"/>
                <w:szCs w:val="20"/>
              </w:rPr>
              <w:t>Africa 4</w:t>
            </w:r>
            <w:r w:rsidRPr="00370A77">
              <w:rPr>
                <w:color w:val="000000"/>
                <w:sz w:val="20"/>
                <w:szCs w:val="20"/>
              </w:rPr>
              <w:t xml:space="preserve">%; </w:t>
            </w:r>
            <w:r>
              <w:rPr>
                <w:color w:val="000000"/>
                <w:sz w:val="20"/>
                <w:szCs w:val="20"/>
              </w:rPr>
              <w:t>Asia 10%; Europe 64</w:t>
            </w:r>
            <w:r w:rsidRPr="00370A77">
              <w:rPr>
                <w:color w:val="000000"/>
                <w:sz w:val="20"/>
                <w:szCs w:val="20"/>
              </w:rPr>
              <w:t xml:space="preserve">%; North </w:t>
            </w:r>
            <w:r>
              <w:rPr>
                <w:color w:val="000000"/>
                <w:sz w:val="20"/>
                <w:szCs w:val="20"/>
              </w:rPr>
              <w:t>America 18%; South America 4</w:t>
            </w:r>
            <w:r w:rsidRPr="00370A77">
              <w:rPr>
                <w:color w:val="000000"/>
                <w:sz w:val="20"/>
                <w:szCs w:val="20"/>
              </w:rPr>
              <w:t>%</w:t>
            </w:r>
          </w:p>
        </w:tc>
        <w:tc>
          <w:tcPr>
            <w:tcW w:w="1842" w:type="dxa"/>
            <w:vAlign w:val="center"/>
          </w:tcPr>
          <w:p w14:paraId="3E957252" w14:textId="77777777" w:rsidR="003432F5" w:rsidRPr="00370A77" w:rsidRDefault="003432F5" w:rsidP="003432F5">
            <w:pPr>
              <w:rPr>
                <w:color w:val="000000"/>
                <w:sz w:val="20"/>
                <w:szCs w:val="20"/>
              </w:rPr>
            </w:pPr>
            <w:r w:rsidRPr="00370A77">
              <w:rPr>
                <w:color w:val="000000"/>
                <w:sz w:val="20"/>
                <w:szCs w:val="20"/>
              </w:rPr>
              <w:t>C</w:t>
            </w:r>
            <w:r>
              <w:rPr>
                <w:color w:val="000000"/>
                <w:sz w:val="20"/>
                <w:szCs w:val="20"/>
              </w:rPr>
              <w:t>linical trials 12</w:t>
            </w:r>
            <w:r w:rsidRPr="00370A77">
              <w:rPr>
                <w:color w:val="000000"/>
                <w:sz w:val="20"/>
                <w:szCs w:val="20"/>
              </w:rPr>
              <w:t>%</w:t>
            </w:r>
          </w:p>
          <w:p w14:paraId="064F811E" w14:textId="77777777" w:rsidR="003432F5" w:rsidRPr="00370A77" w:rsidRDefault="003432F5" w:rsidP="003432F5">
            <w:pPr>
              <w:rPr>
                <w:color w:val="000000"/>
                <w:sz w:val="20"/>
                <w:szCs w:val="20"/>
              </w:rPr>
            </w:pPr>
            <w:r>
              <w:rPr>
                <w:color w:val="000000"/>
                <w:sz w:val="20"/>
                <w:szCs w:val="20"/>
              </w:rPr>
              <w:t>Diagnostics 32</w:t>
            </w:r>
            <w:r w:rsidRPr="00370A77">
              <w:rPr>
                <w:color w:val="000000"/>
                <w:sz w:val="20"/>
                <w:szCs w:val="20"/>
              </w:rPr>
              <w:t>%</w:t>
            </w:r>
          </w:p>
          <w:p w14:paraId="331920C2" w14:textId="77777777" w:rsidR="003432F5" w:rsidRPr="00370A77" w:rsidRDefault="003432F5" w:rsidP="003432F5">
            <w:pPr>
              <w:rPr>
                <w:color w:val="000000"/>
                <w:sz w:val="20"/>
                <w:szCs w:val="20"/>
              </w:rPr>
            </w:pPr>
            <w:r>
              <w:rPr>
                <w:color w:val="000000"/>
                <w:sz w:val="20"/>
                <w:szCs w:val="20"/>
              </w:rPr>
              <w:t>Epidemiology 18% Rehabilitation 15</w:t>
            </w:r>
            <w:r w:rsidRPr="00370A77">
              <w:rPr>
                <w:color w:val="000000"/>
                <w:sz w:val="20"/>
                <w:szCs w:val="20"/>
              </w:rPr>
              <w:t>%</w:t>
            </w:r>
          </w:p>
          <w:p w14:paraId="660A898B" w14:textId="77777777" w:rsidR="003432F5" w:rsidRPr="00370A77" w:rsidRDefault="003432F5" w:rsidP="003432F5">
            <w:pPr>
              <w:rPr>
                <w:color w:val="000000"/>
                <w:sz w:val="20"/>
                <w:szCs w:val="20"/>
              </w:rPr>
            </w:pPr>
            <w:r>
              <w:rPr>
                <w:color w:val="000000"/>
                <w:sz w:val="20"/>
                <w:szCs w:val="20"/>
              </w:rPr>
              <w:t>R&amp;D 23</w:t>
            </w:r>
            <w:r w:rsidRPr="00370A77">
              <w:rPr>
                <w:color w:val="000000"/>
                <w:sz w:val="20"/>
                <w:szCs w:val="20"/>
              </w:rPr>
              <w:t>%</w:t>
            </w:r>
          </w:p>
        </w:tc>
        <w:tc>
          <w:tcPr>
            <w:tcW w:w="1276" w:type="dxa"/>
            <w:vAlign w:val="center"/>
          </w:tcPr>
          <w:p w14:paraId="3D4B75E2" w14:textId="77777777" w:rsidR="003432F5" w:rsidRDefault="003432F5" w:rsidP="003432F5">
            <w:pPr>
              <w:jc w:val="center"/>
              <w:rPr>
                <w:color w:val="000000"/>
                <w:sz w:val="20"/>
                <w:szCs w:val="20"/>
              </w:rPr>
            </w:pPr>
            <w:r>
              <w:rPr>
                <w:color w:val="000000"/>
                <w:sz w:val="20"/>
                <w:szCs w:val="20"/>
              </w:rPr>
              <w:t xml:space="preserve">67 </w:t>
            </w:r>
          </w:p>
          <w:p w14:paraId="12F63785" w14:textId="77777777" w:rsidR="003432F5" w:rsidRPr="00370A77" w:rsidRDefault="003432F5" w:rsidP="003432F5">
            <w:pPr>
              <w:jc w:val="center"/>
              <w:rPr>
                <w:color w:val="000000"/>
                <w:sz w:val="20"/>
                <w:szCs w:val="20"/>
              </w:rPr>
            </w:pPr>
            <w:r w:rsidRPr="00370A77">
              <w:rPr>
                <w:color w:val="000000"/>
                <w:sz w:val="20"/>
                <w:szCs w:val="20"/>
              </w:rPr>
              <w:t>(</w:t>
            </w:r>
            <w:r>
              <w:rPr>
                <w:color w:val="000000"/>
                <w:sz w:val="20"/>
                <w:szCs w:val="20"/>
              </w:rPr>
              <w:t>92</w:t>
            </w:r>
            <w:r w:rsidRPr="00370A77">
              <w:rPr>
                <w:color w:val="000000"/>
                <w:sz w:val="20"/>
                <w:szCs w:val="20"/>
              </w:rPr>
              <w:t>%</w:t>
            </w:r>
            <w:r>
              <w:rPr>
                <w:color w:val="000000"/>
                <w:sz w:val="20"/>
                <w:szCs w:val="20"/>
              </w:rPr>
              <w:t>/81%</w:t>
            </w:r>
            <w:r w:rsidRPr="00370A77">
              <w:rPr>
                <w:color w:val="000000"/>
                <w:sz w:val="20"/>
                <w:szCs w:val="20"/>
              </w:rPr>
              <w:t>)</w:t>
            </w:r>
          </w:p>
        </w:tc>
      </w:tr>
      <w:tr w:rsidR="003432F5" w:rsidRPr="00370A77" w14:paraId="25FD10A4" w14:textId="77777777" w:rsidTr="003432F5">
        <w:trPr>
          <w:trHeight w:val="1270"/>
        </w:trPr>
        <w:tc>
          <w:tcPr>
            <w:tcW w:w="1374" w:type="dxa"/>
            <w:vAlign w:val="center"/>
          </w:tcPr>
          <w:p w14:paraId="02C6532E" w14:textId="77777777" w:rsidR="003432F5" w:rsidRPr="00370A77" w:rsidRDefault="003432F5" w:rsidP="003432F5">
            <w:pPr>
              <w:jc w:val="center"/>
              <w:rPr>
                <w:color w:val="000000"/>
                <w:sz w:val="20"/>
                <w:szCs w:val="20"/>
              </w:rPr>
            </w:pPr>
            <w:r w:rsidRPr="00370A77">
              <w:rPr>
                <w:color w:val="000000"/>
                <w:sz w:val="20"/>
                <w:szCs w:val="20"/>
              </w:rPr>
              <w:t>5</w:t>
            </w:r>
          </w:p>
        </w:tc>
        <w:tc>
          <w:tcPr>
            <w:tcW w:w="1374" w:type="dxa"/>
            <w:vAlign w:val="center"/>
          </w:tcPr>
          <w:p w14:paraId="0D71AC75" w14:textId="77777777" w:rsidR="003432F5" w:rsidRPr="00370A77" w:rsidRDefault="003432F5" w:rsidP="003432F5">
            <w:pPr>
              <w:jc w:val="center"/>
              <w:rPr>
                <w:color w:val="000000"/>
                <w:sz w:val="20"/>
                <w:szCs w:val="20"/>
              </w:rPr>
            </w:pPr>
            <w:r>
              <w:rPr>
                <w:color w:val="000000"/>
                <w:sz w:val="20"/>
                <w:szCs w:val="20"/>
              </w:rPr>
              <w:t>65</w:t>
            </w:r>
          </w:p>
        </w:tc>
        <w:tc>
          <w:tcPr>
            <w:tcW w:w="1374" w:type="dxa"/>
            <w:vAlign w:val="center"/>
          </w:tcPr>
          <w:p w14:paraId="5CF1C671" w14:textId="77777777" w:rsidR="003432F5" w:rsidRDefault="003432F5" w:rsidP="003432F5">
            <w:pPr>
              <w:jc w:val="center"/>
              <w:rPr>
                <w:color w:val="000000"/>
                <w:sz w:val="20"/>
                <w:szCs w:val="20"/>
              </w:rPr>
            </w:pPr>
            <w:r>
              <w:rPr>
                <w:color w:val="000000"/>
                <w:sz w:val="20"/>
                <w:szCs w:val="20"/>
              </w:rPr>
              <w:t>41</w:t>
            </w:r>
            <w:r w:rsidRPr="00370A77">
              <w:rPr>
                <w:color w:val="000000"/>
                <w:sz w:val="20"/>
                <w:szCs w:val="20"/>
              </w:rPr>
              <w:t xml:space="preserve"> </w:t>
            </w:r>
          </w:p>
          <w:p w14:paraId="4256C7E6" w14:textId="77777777" w:rsidR="003432F5" w:rsidRPr="00370A77" w:rsidRDefault="003432F5" w:rsidP="003432F5">
            <w:pPr>
              <w:jc w:val="center"/>
              <w:rPr>
                <w:color w:val="000000"/>
                <w:sz w:val="20"/>
                <w:szCs w:val="20"/>
              </w:rPr>
            </w:pPr>
            <w:r>
              <w:rPr>
                <w:color w:val="000000"/>
                <w:sz w:val="20"/>
                <w:szCs w:val="20"/>
              </w:rPr>
              <w:t>(63</w:t>
            </w:r>
            <w:r w:rsidRPr="00370A77">
              <w:rPr>
                <w:color w:val="000000"/>
                <w:sz w:val="20"/>
                <w:szCs w:val="20"/>
              </w:rPr>
              <w:t>%)</w:t>
            </w:r>
          </w:p>
        </w:tc>
        <w:tc>
          <w:tcPr>
            <w:tcW w:w="1375" w:type="dxa"/>
            <w:vAlign w:val="center"/>
          </w:tcPr>
          <w:p w14:paraId="163F9D25" w14:textId="77777777" w:rsidR="003432F5" w:rsidRDefault="003432F5" w:rsidP="003432F5">
            <w:pPr>
              <w:jc w:val="center"/>
              <w:rPr>
                <w:color w:val="000000"/>
                <w:sz w:val="20"/>
                <w:szCs w:val="20"/>
              </w:rPr>
            </w:pPr>
            <w:r>
              <w:rPr>
                <w:color w:val="000000"/>
                <w:sz w:val="20"/>
                <w:szCs w:val="20"/>
              </w:rPr>
              <w:t>24</w:t>
            </w:r>
          </w:p>
          <w:p w14:paraId="217C5F12" w14:textId="77777777" w:rsidR="003432F5" w:rsidRPr="00370A77" w:rsidRDefault="003432F5" w:rsidP="003432F5">
            <w:pPr>
              <w:jc w:val="center"/>
              <w:rPr>
                <w:color w:val="000000"/>
                <w:sz w:val="20"/>
                <w:szCs w:val="20"/>
              </w:rPr>
            </w:pPr>
            <w:r>
              <w:rPr>
                <w:color w:val="000000"/>
                <w:sz w:val="20"/>
                <w:szCs w:val="20"/>
              </w:rPr>
              <w:t>(37</w:t>
            </w:r>
            <w:r w:rsidRPr="00370A77">
              <w:rPr>
                <w:color w:val="000000"/>
                <w:sz w:val="20"/>
                <w:szCs w:val="20"/>
              </w:rPr>
              <w:t>%)</w:t>
            </w:r>
          </w:p>
        </w:tc>
        <w:tc>
          <w:tcPr>
            <w:tcW w:w="6264" w:type="dxa"/>
            <w:vAlign w:val="center"/>
          </w:tcPr>
          <w:p w14:paraId="3B580C15" w14:textId="77777777" w:rsidR="003432F5" w:rsidRPr="00370A77" w:rsidRDefault="003432F5" w:rsidP="003432F5">
            <w:pPr>
              <w:rPr>
                <w:color w:val="000000"/>
                <w:sz w:val="20"/>
                <w:szCs w:val="20"/>
              </w:rPr>
            </w:pPr>
            <w:r>
              <w:rPr>
                <w:color w:val="000000"/>
                <w:sz w:val="20"/>
                <w:szCs w:val="20"/>
              </w:rPr>
              <w:t>Africa 3</w:t>
            </w:r>
            <w:r w:rsidRPr="00370A77">
              <w:rPr>
                <w:color w:val="000000"/>
                <w:sz w:val="20"/>
                <w:szCs w:val="20"/>
              </w:rPr>
              <w:t xml:space="preserve">%; </w:t>
            </w:r>
            <w:r>
              <w:rPr>
                <w:color w:val="000000"/>
                <w:sz w:val="20"/>
                <w:szCs w:val="20"/>
              </w:rPr>
              <w:t>Asia 11%; Europe 65%; North America 15%; South America 6</w:t>
            </w:r>
            <w:r w:rsidRPr="00370A77">
              <w:rPr>
                <w:color w:val="000000"/>
                <w:sz w:val="20"/>
                <w:szCs w:val="20"/>
              </w:rPr>
              <w:t>%</w:t>
            </w:r>
          </w:p>
        </w:tc>
        <w:tc>
          <w:tcPr>
            <w:tcW w:w="1842" w:type="dxa"/>
            <w:vAlign w:val="center"/>
          </w:tcPr>
          <w:p w14:paraId="3BD4539A" w14:textId="77777777" w:rsidR="003432F5" w:rsidRPr="00370A77" w:rsidRDefault="003432F5" w:rsidP="003432F5">
            <w:pPr>
              <w:rPr>
                <w:color w:val="000000"/>
                <w:sz w:val="20"/>
                <w:szCs w:val="20"/>
              </w:rPr>
            </w:pPr>
            <w:r w:rsidRPr="00370A77">
              <w:rPr>
                <w:color w:val="000000"/>
                <w:sz w:val="20"/>
                <w:szCs w:val="20"/>
              </w:rPr>
              <w:t>C</w:t>
            </w:r>
            <w:r>
              <w:rPr>
                <w:color w:val="000000"/>
                <w:sz w:val="20"/>
                <w:szCs w:val="20"/>
              </w:rPr>
              <w:t>linical trials 12</w:t>
            </w:r>
            <w:r w:rsidRPr="00370A77">
              <w:rPr>
                <w:color w:val="000000"/>
                <w:sz w:val="20"/>
                <w:szCs w:val="20"/>
              </w:rPr>
              <w:t>%</w:t>
            </w:r>
          </w:p>
          <w:p w14:paraId="5B9809D8" w14:textId="77777777" w:rsidR="003432F5" w:rsidRPr="00370A77" w:rsidRDefault="003432F5" w:rsidP="003432F5">
            <w:pPr>
              <w:rPr>
                <w:color w:val="000000"/>
                <w:sz w:val="20"/>
                <w:szCs w:val="20"/>
              </w:rPr>
            </w:pPr>
            <w:r w:rsidRPr="00370A77">
              <w:rPr>
                <w:color w:val="000000"/>
                <w:sz w:val="20"/>
                <w:szCs w:val="20"/>
              </w:rPr>
              <w:t>Diagnostics 35%</w:t>
            </w:r>
          </w:p>
          <w:p w14:paraId="72BE8792" w14:textId="77777777" w:rsidR="003432F5" w:rsidRPr="00370A77" w:rsidRDefault="003432F5" w:rsidP="003432F5">
            <w:pPr>
              <w:rPr>
                <w:color w:val="000000"/>
                <w:sz w:val="20"/>
                <w:szCs w:val="20"/>
              </w:rPr>
            </w:pPr>
            <w:r w:rsidRPr="00370A77">
              <w:rPr>
                <w:color w:val="000000"/>
                <w:sz w:val="20"/>
                <w:szCs w:val="20"/>
              </w:rPr>
              <w:t xml:space="preserve">Epidemiology </w:t>
            </w:r>
            <w:r>
              <w:rPr>
                <w:color w:val="000000"/>
                <w:sz w:val="20"/>
                <w:szCs w:val="20"/>
              </w:rPr>
              <w:t>18% Rehabilitation 12</w:t>
            </w:r>
            <w:r w:rsidRPr="00370A77">
              <w:rPr>
                <w:color w:val="000000"/>
                <w:sz w:val="20"/>
                <w:szCs w:val="20"/>
              </w:rPr>
              <w:t>%</w:t>
            </w:r>
          </w:p>
          <w:p w14:paraId="1263DFA8" w14:textId="77777777" w:rsidR="003432F5" w:rsidRPr="00370A77" w:rsidRDefault="003432F5" w:rsidP="003432F5">
            <w:pPr>
              <w:rPr>
                <w:color w:val="000000"/>
                <w:sz w:val="20"/>
                <w:szCs w:val="20"/>
              </w:rPr>
            </w:pPr>
            <w:r>
              <w:rPr>
                <w:color w:val="000000"/>
                <w:sz w:val="20"/>
                <w:szCs w:val="20"/>
              </w:rPr>
              <w:t>R&amp;D 22</w:t>
            </w:r>
            <w:r w:rsidRPr="00370A77">
              <w:rPr>
                <w:color w:val="000000"/>
                <w:sz w:val="20"/>
                <w:szCs w:val="20"/>
              </w:rPr>
              <w:t>%</w:t>
            </w:r>
          </w:p>
        </w:tc>
        <w:tc>
          <w:tcPr>
            <w:tcW w:w="1276" w:type="dxa"/>
            <w:vAlign w:val="center"/>
          </w:tcPr>
          <w:p w14:paraId="1C87EE00" w14:textId="77777777" w:rsidR="003432F5" w:rsidRDefault="003432F5" w:rsidP="003432F5">
            <w:pPr>
              <w:jc w:val="center"/>
              <w:rPr>
                <w:color w:val="000000"/>
                <w:sz w:val="20"/>
                <w:szCs w:val="20"/>
              </w:rPr>
            </w:pPr>
            <w:r>
              <w:rPr>
                <w:color w:val="000000"/>
                <w:sz w:val="20"/>
                <w:szCs w:val="20"/>
              </w:rPr>
              <w:t>63</w:t>
            </w:r>
          </w:p>
          <w:p w14:paraId="25C231CB" w14:textId="77777777" w:rsidR="003432F5" w:rsidRPr="00370A77" w:rsidRDefault="003432F5" w:rsidP="003432F5">
            <w:pPr>
              <w:jc w:val="center"/>
              <w:rPr>
                <w:color w:val="000000"/>
                <w:sz w:val="20"/>
                <w:szCs w:val="20"/>
              </w:rPr>
            </w:pPr>
            <w:r>
              <w:rPr>
                <w:color w:val="000000"/>
                <w:sz w:val="20"/>
                <w:szCs w:val="20"/>
              </w:rPr>
              <w:t xml:space="preserve"> (97</w:t>
            </w:r>
            <w:r w:rsidRPr="00370A77">
              <w:rPr>
                <w:color w:val="000000"/>
                <w:sz w:val="20"/>
                <w:szCs w:val="20"/>
              </w:rPr>
              <w:t>%</w:t>
            </w:r>
            <w:r>
              <w:rPr>
                <w:color w:val="000000"/>
                <w:sz w:val="20"/>
                <w:szCs w:val="20"/>
              </w:rPr>
              <w:t>/89%</w:t>
            </w:r>
            <w:r w:rsidRPr="00370A77">
              <w:rPr>
                <w:color w:val="000000"/>
                <w:sz w:val="20"/>
                <w:szCs w:val="20"/>
              </w:rPr>
              <w:t>)</w:t>
            </w:r>
          </w:p>
        </w:tc>
      </w:tr>
      <w:tr w:rsidR="003432F5" w:rsidRPr="00370A77" w14:paraId="6AFE5903" w14:textId="77777777" w:rsidTr="003432F5">
        <w:trPr>
          <w:trHeight w:val="1119"/>
        </w:trPr>
        <w:tc>
          <w:tcPr>
            <w:tcW w:w="1374" w:type="dxa"/>
            <w:vAlign w:val="center"/>
          </w:tcPr>
          <w:p w14:paraId="78741986" w14:textId="77777777" w:rsidR="003432F5" w:rsidRPr="00370A77" w:rsidRDefault="003432F5" w:rsidP="003432F5">
            <w:pPr>
              <w:jc w:val="center"/>
              <w:rPr>
                <w:color w:val="000000"/>
                <w:sz w:val="20"/>
                <w:szCs w:val="20"/>
              </w:rPr>
            </w:pPr>
            <w:r>
              <w:rPr>
                <w:color w:val="000000"/>
                <w:sz w:val="20"/>
                <w:szCs w:val="20"/>
              </w:rPr>
              <w:t>6</w:t>
            </w:r>
          </w:p>
        </w:tc>
        <w:tc>
          <w:tcPr>
            <w:tcW w:w="1374" w:type="dxa"/>
            <w:vAlign w:val="center"/>
          </w:tcPr>
          <w:p w14:paraId="1904217E" w14:textId="77777777" w:rsidR="003432F5" w:rsidRDefault="003432F5" w:rsidP="003432F5">
            <w:pPr>
              <w:jc w:val="center"/>
              <w:rPr>
                <w:color w:val="000000"/>
                <w:sz w:val="20"/>
                <w:szCs w:val="20"/>
              </w:rPr>
            </w:pPr>
            <w:r>
              <w:rPr>
                <w:color w:val="000000"/>
                <w:sz w:val="20"/>
                <w:szCs w:val="20"/>
              </w:rPr>
              <w:t>79</w:t>
            </w:r>
          </w:p>
        </w:tc>
        <w:tc>
          <w:tcPr>
            <w:tcW w:w="1374" w:type="dxa"/>
            <w:vAlign w:val="center"/>
          </w:tcPr>
          <w:p w14:paraId="4E85A355" w14:textId="77777777" w:rsidR="003432F5" w:rsidRDefault="003432F5" w:rsidP="003432F5">
            <w:pPr>
              <w:jc w:val="center"/>
              <w:rPr>
                <w:color w:val="000000"/>
                <w:sz w:val="20"/>
                <w:szCs w:val="20"/>
              </w:rPr>
            </w:pPr>
            <w:r>
              <w:rPr>
                <w:color w:val="000000"/>
                <w:sz w:val="20"/>
                <w:szCs w:val="20"/>
              </w:rPr>
              <w:t xml:space="preserve">59 </w:t>
            </w:r>
          </w:p>
          <w:p w14:paraId="77D7D56F" w14:textId="77777777" w:rsidR="003432F5" w:rsidRDefault="003432F5" w:rsidP="003432F5">
            <w:pPr>
              <w:jc w:val="center"/>
              <w:rPr>
                <w:color w:val="000000"/>
                <w:sz w:val="20"/>
                <w:szCs w:val="20"/>
              </w:rPr>
            </w:pPr>
            <w:r>
              <w:rPr>
                <w:color w:val="000000"/>
                <w:sz w:val="20"/>
                <w:szCs w:val="20"/>
              </w:rPr>
              <w:t>(75%)</w:t>
            </w:r>
          </w:p>
        </w:tc>
        <w:tc>
          <w:tcPr>
            <w:tcW w:w="1375" w:type="dxa"/>
            <w:vAlign w:val="center"/>
          </w:tcPr>
          <w:p w14:paraId="2E23F032" w14:textId="77777777" w:rsidR="003432F5" w:rsidRDefault="003432F5" w:rsidP="003432F5">
            <w:pPr>
              <w:jc w:val="center"/>
              <w:rPr>
                <w:color w:val="000000"/>
                <w:sz w:val="20"/>
                <w:szCs w:val="20"/>
              </w:rPr>
            </w:pPr>
            <w:r>
              <w:rPr>
                <w:color w:val="000000"/>
                <w:sz w:val="20"/>
                <w:szCs w:val="20"/>
              </w:rPr>
              <w:t>20</w:t>
            </w:r>
          </w:p>
          <w:p w14:paraId="33C28528" w14:textId="77777777" w:rsidR="003432F5" w:rsidRDefault="003432F5" w:rsidP="003432F5">
            <w:pPr>
              <w:jc w:val="center"/>
              <w:rPr>
                <w:color w:val="000000"/>
                <w:sz w:val="20"/>
                <w:szCs w:val="20"/>
              </w:rPr>
            </w:pPr>
            <w:r>
              <w:rPr>
                <w:color w:val="000000"/>
                <w:sz w:val="20"/>
                <w:szCs w:val="20"/>
              </w:rPr>
              <w:t>(25%)</w:t>
            </w:r>
          </w:p>
        </w:tc>
        <w:tc>
          <w:tcPr>
            <w:tcW w:w="6264" w:type="dxa"/>
            <w:vAlign w:val="center"/>
          </w:tcPr>
          <w:p w14:paraId="487B24F3" w14:textId="77777777" w:rsidR="003432F5" w:rsidRDefault="003432F5" w:rsidP="003432F5">
            <w:pPr>
              <w:rPr>
                <w:color w:val="000000"/>
                <w:sz w:val="20"/>
                <w:szCs w:val="20"/>
              </w:rPr>
            </w:pPr>
            <w:r>
              <w:rPr>
                <w:color w:val="000000"/>
                <w:sz w:val="20"/>
                <w:szCs w:val="20"/>
              </w:rPr>
              <w:t>Africa 3</w:t>
            </w:r>
            <w:r w:rsidRPr="00370A77">
              <w:rPr>
                <w:color w:val="000000"/>
                <w:sz w:val="20"/>
                <w:szCs w:val="20"/>
              </w:rPr>
              <w:t xml:space="preserve">%; </w:t>
            </w:r>
            <w:r>
              <w:rPr>
                <w:color w:val="000000"/>
                <w:sz w:val="20"/>
                <w:szCs w:val="20"/>
              </w:rPr>
              <w:t>Asia 9%; Europe 67%; North America 18%; South America 4</w:t>
            </w:r>
            <w:r w:rsidRPr="00370A77">
              <w:rPr>
                <w:color w:val="000000"/>
                <w:sz w:val="20"/>
                <w:szCs w:val="20"/>
              </w:rPr>
              <w:t>%</w:t>
            </w:r>
          </w:p>
        </w:tc>
        <w:tc>
          <w:tcPr>
            <w:tcW w:w="1842" w:type="dxa"/>
            <w:vAlign w:val="center"/>
          </w:tcPr>
          <w:p w14:paraId="37455AD1" w14:textId="77777777" w:rsidR="003432F5" w:rsidRPr="00370A77" w:rsidRDefault="003432F5" w:rsidP="003432F5">
            <w:pPr>
              <w:rPr>
                <w:color w:val="000000"/>
                <w:sz w:val="20"/>
                <w:szCs w:val="20"/>
              </w:rPr>
            </w:pPr>
            <w:r w:rsidRPr="00370A77">
              <w:rPr>
                <w:color w:val="000000"/>
                <w:sz w:val="20"/>
                <w:szCs w:val="20"/>
              </w:rPr>
              <w:t>C</w:t>
            </w:r>
            <w:r>
              <w:rPr>
                <w:color w:val="000000"/>
                <w:sz w:val="20"/>
                <w:szCs w:val="20"/>
              </w:rPr>
              <w:t>linical trials 11</w:t>
            </w:r>
            <w:r w:rsidRPr="00370A77">
              <w:rPr>
                <w:color w:val="000000"/>
                <w:sz w:val="20"/>
                <w:szCs w:val="20"/>
              </w:rPr>
              <w:t>%</w:t>
            </w:r>
          </w:p>
          <w:p w14:paraId="7AB9C3E9" w14:textId="77777777" w:rsidR="003432F5" w:rsidRPr="00370A77" w:rsidRDefault="003432F5" w:rsidP="003432F5">
            <w:pPr>
              <w:rPr>
                <w:color w:val="000000"/>
                <w:sz w:val="20"/>
                <w:szCs w:val="20"/>
              </w:rPr>
            </w:pPr>
            <w:r>
              <w:rPr>
                <w:color w:val="000000"/>
                <w:sz w:val="20"/>
                <w:szCs w:val="20"/>
              </w:rPr>
              <w:t>Diagnostics 39</w:t>
            </w:r>
            <w:r w:rsidRPr="00370A77">
              <w:rPr>
                <w:color w:val="000000"/>
                <w:sz w:val="20"/>
                <w:szCs w:val="20"/>
              </w:rPr>
              <w:t>%</w:t>
            </w:r>
          </w:p>
          <w:p w14:paraId="439DC67E" w14:textId="77777777" w:rsidR="003432F5" w:rsidRPr="00370A77" w:rsidRDefault="003432F5" w:rsidP="003432F5">
            <w:pPr>
              <w:rPr>
                <w:color w:val="000000"/>
                <w:sz w:val="20"/>
                <w:szCs w:val="20"/>
              </w:rPr>
            </w:pPr>
            <w:r w:rsidRPr="00370A77">
              <w:rPr>
                <w:color w:val="000000"/>
                <w:sz w:val="20"/>
                <w:szCs w:val="20"/>
              </w:rPr>
              <w:t xml:space="preserve">Epidemiology </w:t>
            </w:r>
            <w:r>
              <w:rPr>
                <w:color w:val="000000"/>
                <w:sz w:val="20"/>
                <w:szCs w:val="20"/>
              </w:rPr>
              <w:t>18% Rehabilitation 13</w:t>
            </w:r>
            <w:r w:rsidRPr="00370A77">
              <w:rPr>
                <w:color w:val="000000"/>
                <w:sz w:val="20"/>
                <w:szCs w:val="20"/>
              </w:rPr>
              <w:t>%</w:t>
            </w:r>
          </w:p>
          <w:p w14:paraId="16D4AB90" w14:textId="77777777" w:rsidR="003432F5" w:rsidRPr="00370A77" w:rsidRDefault="003432F5" w:rsidP="003432F5">
            <w:pPr>
              <w:rPr>
                <w:color w:val="000000"/>
                <w:sz w:val="20"/>
                <w:szCs w:val="20"/>
              </w:rPr>
            </w:pPr>
            <w:r>
              <w:rPr>
                <w:color w:val="000000"/>
                <w:sz w:val="20"/>
                <w:szCs w:val="20"/>
              </w:rPr>
              <w:t>R&amp;D 19</w:t>
            </w:r>
            <w:r w:rsidRPr="00370A77">
              <w:rPr>
                <w:color w:val="000000"/>
                <w:sz w:val="20"/>
                <w:szCs w:val="20"/>
              </w:rPr>
              <w:t>%</w:t>
            </w:r>
          </w:p>
        </w:tc>
        <w:tc>
          <w:tcPr>
            <w:tcW w:w="1276" w:type="dxa"/>
            <w:vAlign w:val="center"/>
          </w:tcPr>
          <w:p w14:paraId="77C67A57" w14:textId="77777777" w:rsidR="003432F5" w:rsidRDefault="003432F5" w:rsidP="003432F5">
            <w:pPr>
              <w:jc w:val="center"/>
              <w:rPr>
                <w:color w:val="000000"/>
                <w:sz w:val="20"/>
                <w:szCs w:val="20"/>
              </w:rPr>
            </w:pPr>
            <w:r>
              <w:rPr>
                <w:color w:val="000000"/>
                <w:sz w:val="20"/>
                <w:szCs w:val="20"/>
              </w:rPr>
              <w:t>71</w:t>
            </w:r>
          </w:p>
          <w:p w14:paraId="1450634E" w14:textId="77777777" w:rsidR="003432F5" w:rsidRDefault="003432F5" w:rsidP="003432F5">
            <w:pPr>
              <w:jc w:val="center"/>
              <w:rPr>
                <w:color w:val="000000"/>
                <w:sz w:val="20"/>
                <w:szCs w:val="20"/>
              </w:rPr>
            </w:pPr>
            <w:r>
              <w:rPr>
                <w:color w:val="000000"/>
                <w:sz w:val="20"/>
                <w:szCs w:val="20"/>
              </w:rPr>
              <w:t>(90%/76%)</w:t>
            </w:r>
          </w:p>
        </w:tc>
      </w:tr>
    </w:tbl>
    <w:p w14:paraId="22D5D46C" w14:textId="77777777" w:rsidR="003432F5" w:rsidRDefault="003432F5" w:rsidP="003432F5"/>
    <w:p w14:paraId="73709153" w14:textId="1B2B7CF6" w:rsidR="003432F5" w:rsidRDefault="003432F5" w:rsidP="003432F5">
      <w:r>
        <w:t>Supplementary Table 1: Participants in each Delphi round. Surveys were answered anonymously. The data presented is from participant selection of the provided ‘login’ options for each survey; whether their work is predominantly clinical or non-clinical, in which continent they reside, and selected area of interest from the five provided options. As part of the login participants also provided a memorable date and first initial. Participant overlap from any previous round/previous round only has been estimated from the login data and may therefore be higher due to login selection variance from the same participant.</w:t>
      </w:r>
    </w:p>
    <w:p w14:paraId="2827FC60" w14:textId="1A91465B" w:rsidR="001E5DEB" w:rsidRPr="004632BB" w:rsidRDefault="001E5DEB" w:rsidP="001E5DEB">
      <w:pPr>
        <w:rPr>
          <w:b/>
        </w:rPr>
      </w:pPr>
    </w:p>
    <w:tbl>
      <w:tblPr>
        <w:tblStyle w:val="TableGrid"/>
        <w:tblW w:w="12161" w:type="dxa"/>
        <w:jc w:val="center"/>
        <w:tblLook w:val="04A0" w:firstRow="1" w:lastRow="0" w:firstColumn="1" w:lastColumn="0" w:noHBand="0" w:noVBand="1"/>
      </w:tblPr>
      <w:tblGrid>
        <w:gridCol w:w="5382"/>
        <w:gridCol w:w="2259"/>
        <w:gridCol w:w="2260"/>
        <w:gridCol w:w="2260"/>
      </w:tblGrid>
      <w:tr w:rsidR="00EC3C26" w14:paraId="5FA742CA" w14:textId="77777777" w:rsidTr="009E7011">
        <w:trPr>
          <w:jc w:val="center"/>
        </w:trPr>
        <w:tc>
          <w:tcPr>
            <w:tcW w:w="5382" w:type="dxa"/>
            <w:vAlign w:val="bottom"/>
          </w:tcPr>
          <w:p w14:paraId="63B7C01F" w14:textId="39251EF4" w:rsidR="00EC3C26" w:rsidRPr="003B4393" w:rsidRDefault="00EC3C26" w:rsidP="003B4393">
            <w:pPr>
              <w:spacing w:before="100" w:beforeAutospacing="1" w:after="100" w:afterAutospacing="1" w:line="360" w:lineRule="auto"/>
              <w:rPr>
                <w:rFonts w:cstheme="minorHAnsi"/>
                <w:b/>
              </w:rPr>
            </w:pPr>
            <w:r w:rsidRPr="003B4393">
              <w:rPr>
                <w:rFonts w:ascii="Calibri" w:hAnsi="Calibri"/>
                <w:b/>
                <w:color w:val="000000"/>
              </w:rPr>
              <w:t>Criteria</w:t>
            </w:r>
          </w:p>
        </w:tc>
        <w:tc>
          <w:tcPr>
            <w:tcW w:w="2259" w:type="dxa"/>
            <w:vAlign w:val="bottom"/>
          </w:tcPr>
          <w:p w14:paraId="5CB22C64" w14:textId="784499EC" w:rsidR="00EC3C26" w:rsidRPr="003B4393" w:rsidRDefault="00EC3C26" w:rsidP="003B4393">
            <w:pPr>
              <w:spacing w:before="100" w:beforeAutospacing="1" w:after="100" w:afterAutospacing="1" w:line="360" w:lineRule="auto"/>
              <w:jc w:val="center"/>
              <w:rPr>
                <w:rFonts w:cstheme="minorHAnsi"/>
                <w:b/>
              </w:rPr>
            </w:pPr>
            <w:r w:rsidRPr="003B4393">
              <w:rPr>
                <w:rFonts w:ascii="Calibri" w:hAnsi="Calibri"/>
                <w:b/>
                <w:color w:val="000000"/>
              </w:rPr>
              <w:t>Current Use</w:t>
            </w:r>
          </w:p>
        </w:tc>
        <w:tc>
          <w:tcPr>
            <w:tcW w:w="2260" w:type="dxa"/>
            <w:vAlign w:val="bottom"/>
          </w:tcPr>
          <w:p w14:paraId="4A9ACD5C" w14:textId="7AD1F089" w:rsidR="00EC3C26" w:rsidRPr="003B4393" w:rsidRDefault="00EC3C26" w:rsidP="003B4393">
            <w:pPr>
              <w:spacing w:before="100" w:beforeAutospacing="1" w:after="100" w:afterAutospacing="1" w:line="360" w:lineRule="auto"/>
              <w:jc w:val="center"/>
              <w:rPr>
                <w:rFonts w:cstheme="minorHAnsi"/>
                <w:b/>
              </w:rPr>
            </w:pPr>
            <w:r w:rsidRPr="003B4393">
              <w:rPr>
                <w:rFonts w:ascii="Calibri" w:hAnsi="Calibri"/>
                <w:b/>
                <w:color w:val="000000"/>
              </w:rPr>
              <w:t>Ease of use</w:t>
            </w:r>
          </w:p>
        </w:tc>
        <w:tc>
          <w:tcPr>
            <w:tcW w:w="2260" w:type="dxa"/>
            <w:vAlign w:val="bottom"/>
          </w:tcPr>
          <w:p w14:paraId="3A5DF157" w14:textId="12A558A6" w:rsidR="00EC3C26" w:rsidRPr="003B4393" w:rsidRDefault="00EC3C26" w:rsidP="003B4393">
            <w:pPr>
              <w:spacing w:before="100" w:beforeAutospacing="1" w:after="100" w:afterAutospacing="1" w:line="360" w:lineRule="auto"/>
              <w:jc w:val="center"/>
              <w:rPr>
                <w:rFonts w:cstheme="minorHAnsi"/>
                <w:b/>
              </w:rPr>
            </w:pPr>
            <w:r w:rsidRPr="003B4393">
              <w:rPr>
                <w:rFonts w:ascii="Calibri" w:hAnsi="Calibri"/>
                <w:b/>
                <w:color w:val="000000"/>
              </w:rPr>
              <w:t>Usefulness</w:t>
            </w:r>
          </w:p>
        </w:tc>
      </w:tr>
      <w:tr w:rsidR="00EC3C26" w14:paraId="2948A55E" w14:textId="77777777" w:rsidTr="009E7011">
        <w:trPr>
          <w:jc w:val="center"/>
        </w:trPr>
        <w:tc>
          <w:tcPr>
            <w:tcW w:w="5382" w:type="dxa"/>
            <w:vAlign w:val="bottom"/>
          </w:tcPr>
          <w:p w14:paraId="3D7C77EB" w14:textId="6305B712" w:rsidR="00EC3C26" w:rsidRDefault="00EC3C26" w:rsidP="003B4393">
            <w:pPr>
              <w:spacing w:before="100" w:beforeAutospacing="1" w:after="100" w:afterAutospacing="1" w:line="360" w:lineRule="auto"/>
              <w:rPr>
                <w:rFonts w:cstheme="minorHAnsi"/>
              </w:rPr>
            </w:pPr>
            <w:r>
              <w:rPr>
                <w:rFonts w:ascii="Calibri" w:hAnsi="Calibri"/>
                <w:color w:val="000000"/>
              </w:rPr>
              <w:t>NINDS-AIREN (Roman et al., 1993)</w:t>
            </w:r>
          </w:p>
        </w:tc>
        <w:tc>
          <w:tcPr>
            <w:tcW w:w="2259" w:type="dxa"/>
            <w:vAlign w:val="bottom"/>
          </w:tcPr>
          <w:p w14:paraId="2EBA2A4F" w14:textId="6D4D1EC1" w:rsidR="00EC3C26" w:rsidRDefault="00EC3C26" w:rsidP="003B4393">
            <w:pPr>
              <w:spacing w:before="100" w:beforeAutospacing="1" w:after="100" w:afterAutospacing="1" w:line="360" w:lineRule="auto"/>
              <w:jc w:val="center"/>
              <w:rPr>
                <w:rFonts w:cstheme="minorHAnsi"/>
              </w:rPr>
            </w:pPr>
            <w:r>
              <w:rPr>
                <w:rFonts w:ascii="Calibri" w:hAnsi="Calibri"/>
                <w:color w:val="000000"/>
              </w:rPr>
              <w:t>59%</w:t>
            </w:r>
          </w:p>
        </w:tc>
        <w:tc>
          <w:tcPr>
            <w:tcW w:w="2260" w:type="dxa"/>
            <w:vAlign w:val="bottom"/>
          </w:tcPr>
          <w:p w14:paraId="3AAE676C" w14:textId="42A1BD90"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5. (68%)</w:t>
            </w:r>
          </w:p>
        </w:tc>
        <w:tc>
          <w:tcPr>
            <w:tcW w:w="2260" w:type="dxa"/>
            <w:vAlign w:val="bottom"/>
          </w:tcPr>
          <w:p w14:paraId="36F5D3E5" w14:textId="3C88759A" w:rsidR="00EC3C26" w:rsidRDefault="00EC3C26" w:rsidP="003B4393">
            <w:pPr>
              <w:spacing w:before="100" w:beforeAutospacing="1" w:after="100" w:afterAutospacing="1" w:line="360" w:lineRule="auto"/>
              <w:jc w:val="center"/>
              <w:rPr>
                <w:rFonts w:cstheme="minorHAnsi"/>
              </w:rPr>
            </w:pPr>
            <w:r>
              <w:rPr>
                <w:rFonts w:ascii="Calibri" w:hAnsi="Calibri"/>
                <w:color w:val="000000"/>
              </w:rPr>
              <w:t>2. (50%)</w:t>
            </w:r>
          </w:p>
        </w:tc>
      </w:tr>
      <w:tr w:rsidR="00EC3C26" w14:paraId="1EEB99E7" w14:textId="77777777" w:rsidTr="009E7011">
        <w:trPr>
          <w:jc w:val="center"/>
        </w:trPr>
        <w:tc>
          <w:tcPr>
            <w:tcW w:w="5382" w:type="dxa"/>
            <w:vAlign w:val="bottom"/>
          </w:tcPr>
          <w:p w14:paraId="12941A8F" w14:textId="4C88FFFD" w:rsidR="00EC3C26" w:rsidRDefault="00EC3C26" w:rsidP="003B4393">
            <w:pPr>
              <w:spacing w:before="100" w:beforeAutospacing="1" w:after="100" w:afterAutospacing="1" w:line="360" w:lineRule="auto"/>
              <w:rPr>
                <w:rFonts w:cstheme="minorHAnsi"/>
              </w:rPr>
            </w:pPr>
            <w:r>
              <w:rPr>
                <w:rFonts w:ascii="Calibri" w:hAnsi="Calibri"/>
                <w:color w:val="000000"/>
              </w:rPr>
              <w:t>DSM-IV (American Psychiatric Association</w:t>
            </w:r>
            <w:r w:rsidR="00E47FB0">
              <w:rPr>
                <w:rFonts w:ascii="Calibri" w:hAnsi="Calibri"/>
                <w:color w:val="000000"/>
              </w:rPr>
              <w:t>,</w:t>
            </w:r>
            <w:r>
              <w:rPr>
                <w:rFonts w:ascii="Calibri" w:hAnsi="Calibri"/>
                <w:color w:val="000000"/>
              </w:rPr>
              <w:t xml:space="preserve"> 1994)</w:t>
            </w:r>
          </w:p>
        </w:tc>
        <w:tc>
          <w:tcPr>
            <w:tcW w:w="2259" w:type="dxa"/>
            <w:vAlign w:val="bottom"/>
          </w:tcPr>
          <w:p w14:paraId="62FCC171" w14:textId="4C6CA780" w:rsidR="00EC3C26" w:rsidRDefault="00EC3C26" w:rsidP="003B4393">
            <w:pPr>
              <w:spacing w:before="100" w:beforeAutospacing="1" w:after="100" w:afterAutospacing="1" w:line="360" w:lineRule="auto"/>
              <w:jc w:val="center"/>
              <w:rPr>
                <w:rFonts w:cstheme="minorHAnsi"/>
              </w:rPr>
            </w:pPr>
            <w:r>
              <w:rPr>
                <w:rFonts w:ascii="Calibri" w:hAnsi="Calibri"/>
                <w:color w:val="000000"/>
              </w:rPr>
              <w:t>40%</w:t>
            </w:r>
          </w:p>
        </w:tc>
        <w:tc>
          <w:tcPr>
            <w:tcW w:w="2260" w:type="dxa"/>
            <w:vAlign w:val="bottom"/>
          </w:tcPr>
          <w:p w14:paraId="71731401" w14:textId="7F62AACB"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2. (74%)</w:t>
            </w:r>
          </w:p>
        </w:tc>
        <w:tc>
          <w:tcPr>
            <w:tcW w:w="2260" w:type="dxa"/>
            <w:vAlign w:val="bottom"/>
          </w:tcPr>
          <w:p w14:paraId="1595F208" w14:textId="5A147813" w:rsidR="00EC3C26" w:rsidRDefault="00EC3C26" w:rsidP="003B4393">
            <w:pPr>
              <w:spacing w:before="100" w:beforeAutospacing="1" w:after="100" w:afterAutospacing="1" w:line="360" w:lineRule="auto"/>
              <w:jc w:val="center"/>
              <w:rPr>
                <w:rFonts w:cstheme="minorHAnsi"/>
              </w:rPr>
            </w:pPr>
            <w:r>
              <w:rPr>
                <w:rFonts w:ascii="Calibri" w:hAnsi="Calibri"/>
                <w:color w:val="000000"/>
              </w:rPr>
              <w:t>5. (34%)</w:t>
            </w:r>
          </w:p>
        </w:tc>
      </w:tr>
      <w:tr w:rsidR="00EC3C26" w14:paraId="6E562410" w14:textId="77777777" w:rsidTr="009E7011">
        <w:trPr>
          <w:jc w:val="center"/>
        </w:trPr>
        <w:tc>
          <w:tcPr>
            <w:tcW w:w="5382" w:type="dxa"/>
            <w:vAlign w:val="bottom"/>
          </w:tcPr>
          <w:p w14:paraId="5B50C95B" w14:textId="603DCA40" w:rsidR="00EC3C26" w:rsidRDefault="00EC3C26" w:rsidP="003B4393">
            <w:pPr>
              <w:spacing w:before="100" w:beforeAutospacing="1" w:after="100" w:afterAutospacing="1" w:line="360" w:lineRule="auto"/>
              <w:rPr>
                <w:rFonts w:cstheme="minorHAnsi"/>
              </w:rPr>
            </w:pPr>
            <w:proofErr w:type="spellStart"/>
            <w:r>
              <w:rPr>
                <w:rFonts w:ascii="Calibri" w:hAnsi="Calibri"/>
                <w:color w:val="000000"/>
              </w:rPr>
              <w:t>Hachinski</w:t>
            </w:r>
            <w:proofErr w:type="spellEnd"/>
            <w:r>
              <w:rPr>
                <w:rFonts w:ascii="Calibri" w:hAnsi="Calibri"/>
                <w:color w:val="000000"/>
              </w:rPr>
              <w:t xml:space="preserve"> Ischemic Scale (</w:t>
            </w:r>
            <w:proofErr w:type="spellStart"/>
            <w:r>
              <w:rPr>
                <w:rFonts w:ascii="Calibri" w:hAnsi="Calibri"/>
                <w:color w:val="000000"/>
              </w:rPr>
              <w:t>Hachinski</w:t>
            </w:r>
            <w:proofErr w:type="spellEnd"/>
            <w:r>
              <w:rPr>
                <w:rFonts w:ascii="Calibri" w:hAnsi="Calibri"/>
                <w:color w:val="000000"/>
              </w:rPr>
              <w:t xml:space="preserve"> et al., 1975) </w:t>
            </w:r>
          </w:p>
        </w:tc>
        <w:tc>
          <w:tcPr>
            <w:tcW w:w="2259" w:type="dxa"/>
            <w:vAlign w:val="bottom"/>
          </w:tcPr>
          <w:p w14:paraId="4F7C039D" w14:textId="1E486FA6" w:rsidR="00EC3C26" w:rsidRDefault="00EC3C26" w:rsidP="003B4393">
            <w:pPr>
              <w:spacing w:before="100" w:beforeAutospacing="1" w:after="100" w:afterAutospacing="1" w:line="360" w:lineRule="auto"/>
              <w:jc w:val="center"/>
              <w:rPr>
                <w:rFonts w:cstheme="minorHAnsi"/>
              </w:rPr>
            </w:pPr>
            <w:r>
              <w:rPr>
                <w:rFonts w:ascii="Calibri" w:hAnsi="Calibri"/>
                <w:color w:val="000000"/>
              </w:rPr>
              <w:t>33%</w:t>
            </w:r>
          </w:p>
        </w:tc>
        <w:tc>
          <w:tcPr>
            <w:tcW w:w="2260" w:type="dxa"/>
            <w:vAlign w:val="bottom"/>
          </w:tcPr>
          <w:p w14:paraId="54CC2F87" w14:textId="5BEFFD2F"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1. (84%)</w:t>
            </w:r>
          </w:p>
        </w:tc>
        <w:tc>
          <w:tcPr>
            <w:tcW w:w="2260" w:type="dxa"/>
            <w:vAlign w:val="bottom"/>
          </w:tcPr>
          <w:p w14:paraId="63A38FED" w14:textId="0322AF3F" w:rsidR="00EC3C26" w:rsidRDefault="00EC3C26" w:rsidP="003B4393">
            <w:pPr>
              <w:spacing w:before="100" w:beforeAutospacing="1" w:after="100" w:afterAutospacing="1" w:line="360" w:lineRule="auto"/>
              <w:jc w:val="center"/>
              <w:rPr>
                <w:rFonts w:cstheme="minorHAnsi"/>
              </w:rPr>
            </w:pPr>
            <w:r>
              <w:rPr>
                <w:rFonts w:ascii="Calibri" w:hAnsi="Calibri"/>
                <w:color w:val="000000"/>
              </w:rPr>
              <w:t>8. (26%)</w:t>
            </w:r>
          </w:p>
        </w:tc>
      </w:tr>
      <w:tr w:rsidR="00EC3C26" w14:paraId="4CA0B74B" w14:textId="77777777" w:rsidTr="009E7011">
        <w:trPr>
          <w:jc w:val="center"/>
        </w:trPr>
        <w:tc>
          <w:tcPr>
            <w:tcW w:w="5382" w:type="dxa"/>
            <w:vAlign w:val="bottom"/>
          </w:tcPr>
          <w:p w14:paraId="2F7F2C6F" w14:textId="6D5F294D" w:rsidR="00EC3C26" w:rsidRDefault="00EC3C26" w:rsidP="003B4393">
            <w:pPr>
              <w:spacing w:before="100" w:beforeAutospacing="1" w:after="100" w:afterAutospacing="1" w:line="360" w:lineRule="auto"/>
              <w:rPr>
                <w:rFonts w:cstheme="minorHAnsi"/>
              </w:rPr>
            </w:pPr>
            <w:r>
              <w:rPr>
                <w:rFonts w:ascii="Calibri" w:hAnsi="Calibri"/>
                <w:color w:val="000000"/>
              </w:rPr>
              <w:t>ICD-10 (World Health Organisation 1992/93)</w:t>
            </w:r>
          </w:p>
        </w:tc>
        <w:tc>
          <w:tcPr>
            <w:tcW w:w="2259" w:type="dxa"/>
            <w:vAlign w:val="bottom"/>
          </w:tcPr>
          <w:p w14:paraId="79B25A04" w14:textId="06081538" w:rsidR="00EC3C26" w:rsidRDefault="00EC3C26" w:rsidP="003B4393">
            <w:pPr>
              <w:spacing w:before="100" w:beforeAutospacing="1" w:after="100" w:afterAutospacing="1" w:line="360" w:lineRule="auto"/>
              <w:jc w:val="center"/>
              <w:rPr>
                <w:rFonts w:cstheme="minorHAnsi"/>
              </w:rPr>
            </w:pPr>
            <w:r>
              <w:rPr>
                <w:rFonts w:ascii="Calibri" w:hAnsi="Calibri"/>
                <w:color w:val="000000"/>
              </w:rPr>
              <w:t>23%</w:t>
            </w:r>
          </w:p>
        </w:tc>
        <w:tc>
          <w:tcPr>
            <w:tcW w:w="2260" w:type="dxa"/>
            <w:vAlign w:val="bottom"/>
          </w:tcPr>
          <w:p w14:paraId="4708CE6A" w14:textId="52280D0F"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4. (69%)</w:t>
            </w:r>
          </w:p>
        </w:tc>
        <w:tc>
          <w:tcPr>
            <w:tcW w:w="2260" w:type="dxa"/>
            <w:vAlign w:val="bottom"/>
          </w:tcPr>
          <w:p w14:paraId="4A345459" w14:textId="64A9B231" w:rsidR="00EC3C26" w:rsidRDefault="00EC3C26" w:rsidP="003B4393">
            <w:pPr>
              <w:spacing w:before="100" w:beforeAutospacing="1" w:after="100" w:afterAutospacing="1" w:line="360" w:lineRule="auto"/>
              <w:jc w:val="center"/>
              <w:rPr>
                <w:rFonts w:cstheme="minorHAnsi"/>
              </w:rPr>
            </w:pPr>
            <w:r>
              <w:rPr>
                <w:rFonts w:ascii="Calibri" w:hAnsi="Calibri"/>
                <w:color w:val="000000"/>
              </w:rPr>
              <w:t>6. (28%)</w:t>
            </w:r>
          </w:p>
        </w:tc>
      </w:tr>
      <w:tr w:rsidR="00EC3C26" w14:paraId="3353E68E" w14:textId="77777777" w:rsidTr="009E7011">
        <w:trPr>
          <w:jc w:val="center"/>
        </w:trPr>
        <w:tc>
          <w:tcPr>
            <w:tcW w:w="5382" w:type="dxa"/>
            <w:vAlign w:val="bottom"/>
          </w:tcPr>
          <w:p w14:paraId="585B6B5C" w14:textId="6FE5BB4E" w:rsidR="00EC3C26" w:rsidRDefault="00EC3C26" w:rsidP="003B4393">
            <w:pPr>
              <w:spacing w:before="100" w:beforeAutospacing="1" w:after="100" w:afterAutospacing="1" w:line="360" w:lineRule="auto"/>
              <w:rPr>
                <w:rFonts w:cstheme="minorHAnsi"/>
              </w:rPr>
            </w:pPr>
            <w:r>
              <w:rPr>
                <w:rFonts w:ascii="Calibri" w:hAnsi="Calibri"/>
                <w:color w:val="000000"/>
              </w:rPr>
              <w:t xml:space="preserve">Research criteria subcortical </w:t>
            </w:r>
            <w:proofErr w:type="spellStart"/>
            <w:r>
              <w:rPr>
                <w:rFonts w:ascii="Calibri" w:hAnsi="Calibri"/>
                <w:color w:val="000000"/>
              </w:rPr>
              <w:t>VaD</w:t>
            </w:r>
            <w:proofErr w:type="spellEnd"/>
            <w:r>
              <w:rPr>
                <w:rFonts w:ascii="Calibri" w:hAnsi="Calibri"/>
                <w:color w:val="000000"/>
              </w:rPr>
              <w:t xml:space="preserve"> (</w:t>
            </w:r>
            <w:proofErr w:type="spellStart"/>
            <w:r>
              <w:rPr>
                <w:rFonts w:ascii="Calibri" w:hAnsi="Calibri"/>
                <w:color w:val="000000"/>
              </w:rPr>
              <w:t>Erkinjuntti</w:t>
            </w:r>
            <w:proofErr w:type="spellEnd"/>
            <w:r>
              <w:rPr>
                <w:rFonts w:ascii="Calibri" w:hAnsi="Calibri"/>
                <w:color w:val="000000"/>
              </w:rPr>
              <w:t xml:space="preserve"> et al., 2000)</w:t>
            </w:r>
          </w:p>
        </w:tc>
        <w:tc>
          <w:tcPr>
            <w:tcW w:w="2259" w:type="dxa"/>
            <w:vAlign w:val="bottom"/>
          </w:tcPr>
          <w:p w14:paraId="4CA491DC" w14:textId="5B4FA156" w:rsidR="00EC3C26" w:rsidRDefault="00EC3C26" w:rsidP="003B4393">
            <w:pPr>
              <w:spacing w:before="100" w:beforeAutospacing="1" w:after="100" w:afterAutospacing="1" w:line="360" w:lineRule="auto"/>
              <w:jc w:val="center"/>
              <w:rPr>
                <w:rFonts w:cstheme="minorHAnsi"/>
              </w:rPr>
            </w:pPr>
            <w:r>
              <w:rPr>
                <w:rFonts w:ascii="Calibri" w:hAnsi="Calibri"/>
                <w:color w:val="000000"/>
              </w:rPr>
              <w:t>18%</w:t>
            </w:r>
          </w:p>
        </w:tc>
        <w:tc>
          <w:tcPr>
            <w:tcW w:w="2260" w:type="dxa"/>
            <w:vAlign w:val="bottom"/>
          </w:tcPr>
          <w:p w14:paraId="31440890" w14:textId="6589C9AB"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6. (65%)</w:t>
            </w:r>
          </w:p>
        </w:tc>
        <w:tc>
          <w:tcPr>
            <w:tcW w:w="2260" w:type="dxa"/>
            <w:vAlign w:val="bottom"/>
          </w:tcPr>
          <w:p w14:paraId="607C880D" w14:textId="5D25E562" w:rsidR="00EC3C26" w:rsidRDefault="00EC3C26" w:rsidP="003B4393">
            <w:pPr>
              <w:spacing w:before="100" w:beforeAutospacing="1" w:after="100" w:afterAutospacing="1" w:line="360" w:lineRule="auto"/>
              <w:jc w:val="center"/>
              <w:rPr>
                <w:rFonts w:cstheme="minorHAnsi"/>
              </w:rPr>
            </w:pPr>
            <w:r>
              <w:rPr>
                <w:rFonts w:ascii="Calibri" w:hAnsi="Calibri"/>
                <w:color w:val="000000"/>
              </w:rPr>
              <w:t>3. (43%)</w:t>
            </w:r>
          </w:p>
        </w:tc>
      </w:tr>
      <w:tr w:rsidR="00EC3C26" w14:paraId="231553FE" w14:textId="77777777" w:rsidTr="009E7011">
        <w:trPr>
          <w:jc w:val="center"/>
        </w:trPr>
        <w:tc>
          <w:tcPr>
            <w:tcW w:w="5382" w:type="dxa"/>
            <w:vAlign w:val="bottom"/>
          </w:tcPr>
          <w:p w14:paraId="1AF5936E" w14:textId="60B47F78" w:rsidR="00EC3C26" w:rsidRDefault="00EC3C26" w:rsidP="003B4393">
            <w:pPr>
              <w:spacing w:before="100" w:beforeAutospacing="1" w:after="100" w:afterAutospacing="1" w:line="360" w:lineRule="auto"/>
              <w:rPr>
                <w:rFonts w:cstheme="minorHAnsi"/>
              </w:rPr>
            </w:pPr>
            <w:r>
              <w:rPr>
                <w:rFonts w:ascii="Calibri" w:hAnsi="Calibri"/>
                <w:color w:val="000000"/>
              </w:rPr>
              <w:t>NINDS-CSN standards (</w:t>
            </w:r>
            <w:proofErr w:type="spellStart"/>
            <w:r>
              <w:rPr>
                <w:rFonts w:ascii="Calibri" w:hAnsi="Calibri"/>
                <w:color w:val="000000"/>
              </w:rPr>
              <w:t>Hachinski</w:t>
            </w:r>
            <w:proofErr w:type="spellEnd"/>
            <w:r>
              <w:rPr>
                <w:rFonts w:ascii="Calibri" w:hAnsi="Calibri"/>
                <w:color w:val="000000"/>
              </w:rPr>
              <w:t xml:space="preserve"> et al., 2006)</w:t>
            </w:r>
          </w:p>
        </w:tc>
        <w:tc>
          <w:tcPr>
            <w:tcW w:w="2259" w:type="dxa"/>
            <w:vAlign w:val="bottom"/>
          </w:tcPr>
          <w:p w14:paraId="34C092A7" w14:textId="078B180E" w:rsidR="00EC3C26" w:rsidRDefault="00EC3C26" w:rsidP="003B4393">
            <w:pPr>
              <w:spacing w:before="100" w:beforeAutospacing="1" w:after="100" w:afterAutospacing="1" w:line="360" w:lineRule="auto"/>
              <w:jc w:val="center"/>
              <w:rPr>
                <w:rFonts w:cstheme="minorHAnsi"/>
              </w:rPr>
            </w:pPr>
            <w:r>
              <w:rPr>
                <w:rFonts w:ascii="Calibri" w:hAnsi="Calibri"/>
                <w:color w:val="000000"/>
              </w:rPr>
              <w:t>15%</w:t>
            </w:r>
          </w:p>
        </w:tc>
        <w:tc>
          <w:tcPr>
            <w:tcW w:w="2260" w:type="dxa"/>
            <w:vAlign w:val="bottom"/>
          </w:tcPr>
          <w:p w14:paraId="74127E23" w14:textId="720AA16D"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8. (61%)</w:t>
            </w:r>
          </w:p>
        </w:tc>
        <w:tc>
          <w:tcPr>
            <w:tcW w:w="2260" w:type="dxa"/>
            <w:vAlign w:val="bottom"/>
          </w:tcPr>
          <w:p w14:paraId="5AC6EBEE" w14:textId="11DDBA72" w:rsidR="00EC3C26" w:rsidRDefault="00EC3C26" w:rsidP="003B4393">
            <w:pPr>
              <w:spacing w:before="100" w:beforeAutospacing="1" w:after="100" w:afterAutospacing="1" w:line="360" w:lineRule="auto"/>
              <w:jc w:val="center"/>
              <w:rPr>
                <w:rFonts w:cstheme="minorHAnsi"/>
              </w:rPr>
            </w:pPr>
            <w:r>
              <w:rPr>
                <w:rFonts w:ascii="Calibri" w:hAnsi="Calibri"/>
                <w:color w:val="000000"/>
              </w:rPr>
              <w:t>1. (55%)</w:t>
            </w:r>
          </w:p>
        </w:tc>
      </w:tr>
      <w:tr w:rsidR="00EC3C26" w14:paraId="6F18FE57" w14:textId="77777777" w:rsidTr="009E7011">
        <w:trPr>
          <w:jc w:val="center"/>
        </w:trPr>
        <w:tc>
          <w:tcPr>
            <w:tcW w:w="5382" w:type="dxa"/>
            <w:vAlign w:val="bottom"/>
          </w:tcPr>
          <w:p w14:paraId="6E1D62F6" w14:textId="293F1CE3" w:rsidR="00EC3C26" w:rsidRDefault="00EC3C26" w:rsidP="003B4393">
            <w:pPr>
              <w:spacing w:before="100" w:beforeAutospacing="1" w:after="100" w:afterAutospacing="1" w:line="360" w:lineRule="auto"/>
              <w:rPr>
                <w:rFonts w:cstheme="minorHAnsi"/>
              </w:rPr>
            </w:pPr>
            <w:r>
              <w:rPr>
                <w:rFonts w:ascii="Calibri" w:hAnsi="Calibri"/>
                <w:color w:val="000000"/>
              </w:rPr>
              <w:t>ADDTC (Chui et al., 1992)</w:t>
            </w:r>
          </w:p>
        </w:tc>
        <w:tc>
          <w:tcPr>
            <w:tcW w:w="2259" w:type="dxa"/>
            <w:vAlign w:val="bottom"/>
          </w:tcPr>
          <w:p w14:paraId="04440CD8" w14:textId="75440368" w:rsidR="00EC3C26" w:rsidRDefault="00EC3C26" w:rsidP="003B4393">
            <w:pPr>
              <w:spacing w:before="100" w:beforeAutospacing="1" w:after="100" w:afterAutospacing="1" w:line="360" w:lineRule="auto"/>
              <w:jc w:val="center"/>
              <w:rPr>
                <w:rFonts w:cstheme="minorHAnsi"/>
              </w:rPr>
            </w:pPr>
            <w:r>
              <w:rPr>
                <w:rFonts w:ascii="Calibri" w:hAnsi="Calibri"/>
                <w:color w:val="000000"/>
              </w:rPr>
              <w:t>10%</w:t>
            </w:r>
          </w:p>
        </w:tc>
        <w:tc>
          <w:tcPr>
            <w:tcW w:w="2260" w:type="dxa"/>
            <w:vAlign w:val="bottom"/>
          </w:tcPr>
          <w:p w14:paraId="712AE191" w14:textId="4D43AFE8"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12. (45%)</w:t>
            </w:r>
          </w:p>
        </w:tc>
        <w:tc>
          <w:tcPr>
            <w:tcW w:w="2260" w:type="dxa"/>
            <w:vAlign w:val="bottom"/>
          </w:tcPr>
          <w:p w14:paraId="41AD7E94" w14:textId="5E4F56A7" w:rsidR="00EC3C26" w:rsidRDefault="00EC3C26" w:rsidP="003B4393">
            <w:pPr>
              <w:spacing w:before="100" w:beforeAutospacing="1" w:after="100" w:afterAutospacing="1" w:line="360" w:lineRule="auto"/>
              <w:jc w:val="center"/>
              <w:rPr>
                <w:rFonts w:cstheme="minorHAnsi"/>
              </w:rPr>
            </w:pPr>
            <w:r>
              <w:rPr>
                <w:rFonts w:ascii="Calibri" w:hAnsi="Calibri"/>
                <w:color w:val="000000"/>
              </w:rPr>
              <w:t>12. (22%)</w:t>
            </w:r>
          </w:p>
        </w:tc>
      </w:tr>
      <w:tr w:rsidR="00EC3C26" w14:paraId="3BDEB0F1" w14:textId="77777777" w:rsidTr="009E7011">
        <w:trPr>
          <w:jc w:val="center"/>
        </w:trPr>
        <w:tc>
          <w:tcPr>
            <w:tcW w:w="5382" w:type="dxa"/>
            <w:vAlign w:val="bottom"/>
          </w:tcPr>
          <w:p w14:paraId="264EFB3D" w14:textId="38C02C53" w:rsidR="00EC3C26" w:rsidRDefault="00EC3C26" w:rsidP="003B4393">
            <w:pPr>
              <w:spacing w:before="100" w:beforeAutospacing="1" w:after="100" w:afterAutospacing="1" w:line="360" w:lineRule="auto"/>
              <w:rPr>
                <w:rFonts w:cstheme="minorHAnsi"/>
              </w:rPr>
            </w:pPr>
            <w:r>
              <w:rPr>
                <w:rFonts w:ascii="Calibri" w:hAnsi="Calibri"/>
                <w:color w:val="000000"/>
              </w:rPr>
              <w:t>VCI-ND subtypes (Cao et al., 2010)</w:t>
            </w:r>
          </w:p>
        </w:tc>
        <w:tc>
          <w:tcPr>
            <w:tcW w:w="2259" w:type="dxa"/>
            <w:vAlign w:val="bottom"/>
          </w:tcPr>
          <w:p w14:paraId="2CE23330" w14:textId="3F714C36" w:rsidR="00EC3C26" w:rsidRDefault="00EC3C26" w:rsidP="003B4393">
            <w:pPr>
              <w:spacing w:before="100" w:beforeAutospacing="1" w:after="100" w:afterAutospacing="1" w:line="360" w:lineRule="auto"/>
              <w:jc w:val="center"/>
              <w:rPr>
                <w:rFonts w:cstheme="minorHAnsi"/>
              </w:rPr>
            </w:pPr>
            <w:r>
              <w:rPr>
                <w:rFonts w:ascii="Calibri" w:hAnsi="Calibri"/>
                <w:color w:val="000000"/>
              </w:rPr>
              <w:t>5%</w:t>
            </w:r>
          </w:p>
        </w:tc>
        <w:tc>
          <w:tcPr>
            <w:tcW w:w="2260" w:type="dxa"/>
            <w:vAlign w:val="bottom"/>
          </w:tcPr>
          <w:p w14:paraId="7EBCF53D" w14:textId="78858835"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13. (37%)</w:t>
            </w:r>
          </w:p>
        </w:tc>
        <w:tc>
          <w:tcPr>
            <w:tcW w:w="2260" w:type="dxa"/>
            <w:vAlign w:val="bottom"/>
          </w:tcPr>
          <w:p w14:paraId="7CD27B58" w14:textId="24BC3822" w:rsidR="00EC3C26" w:rsidRDefault="00EC3C26" w:rsidP="003B4393">
            <w:pPr>
              <w:spacing w:before="100" w:beforeAutospacing="1" w:after="100" w:afterAutospacing="1" w:line="360" w:lineRule="auto"/>
              <w:jc w:val="center"/>
              <w:rPr>
                <w:rFonts w:cstheme="minorHAnsi"/>
              </w:rPr>
            </w:pPr>
            <w:r>
              <w:rPr>
                <w:rFonts w:ascii="Calibri" w:hAnsi="Calibri"/>
                <w:color w:val="000000"/>
              </w:rPr>
              <w:t>4. (36%)</w:t>
            </w:r>
          </w:p>
        </w:tc>
      </w:tr>
      <w:tr w:rsidR="00EC3C26" w14:paraId="6312EB01" w14:textId="77777777" w:rsidTr="009E7011">
        <w:trPr>
          <w:jc w:val="center"/>
        </w:trPr>
        <w:tc>
          <w:tcPr>
            <w:tcW w:w="5382" w:type="dxa"/>
            <w:vAlign w:val="bottom"/>
          </w:tcPr>
          <w:p w14:paraId="5A4A5620" w14:textId="35C75C3B" w:rsidR="00EC3C26" w:rsidRDefault="00EC3C26" w:rsidP="003B4393">
            <w:pPr>
              <w:spacing w:before="100" w:beforeAutospacing="1" w:after="100" w:afterAutospacing="1" w:line="360" w:lineRule="auto"/>
              <w:rPr>
                <w:rFonts w:cstheme="minorHAnsi"/>
              </w:rPr>
            </w:pPr>
            <w:proofErr w:type="spellStart"/>
            <w:r>
              <w:rPr>
                <w:rFonts w:ascii="Calibri" w:hAnsi="Calibri"/>
                <w:color w:val="000000"/>
              </w:rPr>
              <w:t>VaD</w:t>
            </w:r>
            <w:proofErr w:type="spellEnd"/>
            <w:r>
              <w:rPr>
                <w:rFonts w:ascii="Calibri" w:hAnsi="Calibri"/>
                <w:color w:val="000000"/>
              </w:rPr>
              <w:t xml:space="preserve"> neuropathology (</w:t>
            </w:r>
            <w:proofErr w:type="spellStart"/>
            <w:r>
              <w:rPr>
                <w:rFonts w:ascii="Calibri" w:hAnsi="Calibri"/>
                <w:color w:val="000000"/>
              </w:rPr>
              <w:t>Kalaria</w:t>
            </w:r>
            <w:proofErr w:type="spellEnd"/>
            <w:r>
              <w:rPr>
                <w:rFonts w:ascii="Calibri" w:hAnsi="Calibri"/>
                <w:color w:val="000000"/>
              </w:rPr>
              <w:t xml:space="preserve"> et al., 2004)</w:t>
            </w:r>
          </w:p>
        </w:tc>
        <w:tc>
          <w:tcPr>
            <w:tcW w:w="2259" w:type="dxa"/>
            <w:vAlign w:val="bottom"/>
          </w:tcPr>
          <w:p w14:paraId="6936DCC0" w14:textId="3C2A0A64" w:rsidR="00EC3C26" w:rsidRDefault="00EC3C26" w:rsidP="003B4393">
            <w:pPr>
              <w:spacing w:before="100" w:beforeAutospacing="1" w:after="100" w:afterAutospacing="1" w:line="360" w:lineRule="auto"/>
              <w:jc w:val="center"/>
              <w:rPr>
                <w:rFonts w:cstheme="minorHAnsi"/>
              </w:rPr>
            </w:pPr>
            <w:r>
              <w:rPr>
                <w:rFonts w:ascii="Calibri" w:hAnsi="Calibri"/>
                <w:color w:val="000000"/>
              </w:rPr>
              <w:t>5%</w:t>
            </w:r>
          </w:p>
        </w:tc>
        <w:tc>
          <w:tcPr>
            <w:tcW w:w="2260" w:type="dxa"/>
            <w:vAlign w:val="bottom"/>
          </w:tcPr>
          <w:p w14:paraId="0AEEC4C6" w14:textId="1CDFB98D"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15. (29%)</w:t>
            </w:r>
          </w:p>
        </w:tc>
        <w:tc>
          <w:tcPr>
            <w:tcW w:w="2260" w:type="dxa"/>
            <w:vAlign w:val="bottom"/>
          </w:tcPr>
          <w:p w14:paraId="78BFA25D" w14:textId="604D27CF"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10. (24%)</w:t>
            </w:r>
          </w:p>
        </w:tc>
      </w:tr>
      <w:tr w:rsidR="00EC3C26" w14:paraId="79A89C24" w14:textId="77777777" w:rsidTr="009E7011">
        <w:trPr>
          <w:jc w:val="center"/>
        </w:trPr>
        <w:tc>
          <w:tcPr>
            <w:tcW w:w="5382" w:type="dxa"/>
            <w:vAlign w:val="bottom"/>
          </w:tcPr>
          <w:p w14:paraId="7F59D878" w14:textId="526BFA63" w:rsidR="00EC3C26" w:rsidRDefault="00EC3C26" w:rsidP="003B4393">
            <w:pPr>
              <w:spacing w:before="100" w:beforeAutospacing="1" w:after="100" w:afterAutospacing="1" w:line="360" w:lineRule="auto"/>
              <w:rPr>
                <w:rFonts w:cstheme="minorHAnsi"/>
              </w:rPr>
            </w:pPr>
            <w:r>
              <w:rPr>
                <w:rFonts w:ascii="Calibri" w:hAnsi="Calibri"/>
                <w:color w:val="000000"/>
              </w:rPr>
              <w:t>Mayo clinic criteria (</w:t>
            </w:r>
            <w:proofErr w:type="spellStart"/>
            <w:r>
              <w:rPr>
                <w:rFonts w:ascii="Calibri" w:hAnsi="Calibri"/>
                <w:color w:val="000000"/>
              </w:rPr>
              <w:t>Knopman</w:t>
            </w:r>
            <w:proofErr w:type="spellEnd"/>
            <w:r>
              <w:rPr>
                <w:rFonts w:ascii="Calibri" w:hAnsi="Calibri"/>
                <w:color w:val="000000"/>
              </w:rPr>
              <w:t xml:space="preserve"> et al., 2002)</w:t>
            </w:r>
          </w:p>
        </w:tc>
        <w:tc>
          <w:tcPr>
            <w:tcW w:w="2259" w:type="dxa"/>
            <w:vAlign w:val="bottom"/>
          </w:tcPr>
          <w:p w14:paraId="67CE79CD" w14:textId="13718AE0" w:rsidR="00EC3C26" w:rsidRDefault="00EC3C26" w:rsidP="003B4393">
            <w:pPr>
              <w:spacing w:before="100" w:beforeAutospacing="1" w:after="100" w:afterAutospacing="1" w:line="360" w:lineRule="auto"/>
              <w:jc w:val="center"/>
              <w:rPr>
                <w:rFonts w:cstheme="minorHAnsi"/>
              </w:rPr>
            </w:pPr>
            <w:r>
              <w:rPr>
                <w:rFonts w:ascii="Calibri" w:hAnsi="Calibri"/>
                <w:color w:val="000000"/>
              </w:rPr>
              <w:t>3%</w:t>
            </w:r>
          </w:p>
        </w:tc>
        <w:tc>
          <w:tcPr>
            <w:tcW w:w="2260" w:type="dxa"/>
            <w:vAlign w:val="bottom"/>
          </w:tcPr>
          <w:p w14:paraId="5AF4F7E4" w14:textId="05E95DDD"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3. (70%)</w:t>
            </w:r>
          </w:p>
        </w:tc>
        <w:tc>
          <w:tcPr>
            <w:tcW w:w="2260" w:type="dxa"/>
            <w:vAlign w:val="bottom"/>
          </w:tcPr>
          <w:p w14:paraId="772391A6" w14:textId="0AFD12F5"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11. (24%)</w:t>
            </w:r>
          </w:p>
        </w:tc>
      </w:tr>
      <w:tr w:rsidR="00EC3C26" w14:paraId="35BE8E0A" w14:textId="77777777" w:rsidTr="009E7011">
        <w:trPr>
          <w:jc w:val="center"/>
        </w:trPr>
        <w:tc>
          <w:tcPr>
            <w:tcW w:w="5382" w:type="dxa"/>
            <w:vAlign w:val="bottom"/>
          </w:tcPr>
          <w:p w14:paraId="05AECD85" w14:textId="303DE614" w:rsidR="00EC3C26" w:rsidRDefault="00EC3C26" w:rsidP="003B4393">
            <w:pPr>
              <w:spacing w:before="100" w:beforeAutospacing="1" w:after="100" w:afterAutospacing="1" w:line="360" w:lineRule="auto"/>
              <w:rPr>
                <w:rFonts w:cstheme="minorHAnsi"/>
              </w:rPr>
            </w:pPr>
            <w:r>
              <w:rPr>
                <w:rFonts w:ascii="Calibri" w:hAnsi="Calibri"/>
                <w:color w:val="000000"/>
              </w:rPr>
              <w:t>Diagnostic algorithm for VCI (Zhao et al., 2010)</w:t>
            </w:r>
          </w:p>
        </w:tc>
        <w:tc>
          <w:tcPr>
            <w:tcW w:w="2259" w:type="dxa"/>
            <w:vAlign w:val="bottom"/>
          </w:tcPr>
          <w:p w14:paraId="547B0FEE" w14:textId="18A99D29" w:rsidR="00EC3C26" w:rsidRDefault="00EC3C26" w:rsidP="003B4393">
            <w:pPr>
              <w:spacing w:before="100" w:beforeAutospacing="1" w:after="100" w:afterAutospacing="1" w:line="360" w:lineRule="auto"/>
              <w:jc w:val="center"/>
              <w:rPr>
                <w:rFonts w:cstheme="minorHAnsi"/>
              </w:rPr>
            </w:pPr>
            <w:r>
              <w:rPr>
                <w:rFonts w:ascii="Calibri" w:hAnsi="Calibri"/>
                <w:color w:val="000000"/>
              </w:rPr>
              <w:t>3%</w:t>
            </w:r>
          </w:p>
        </w:tc>
        <w:tc>
          <w:tcPr>
            <w:tcW w:w="2260" w:type="dxa"/>
            <w:vAlign w:val="bottom"/>
          </w:tcPr>
          <w:p w14:paraId="08497DD5" w14:textId="3DFEF587"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9. (53%)</w:t>
            </w:r>
          </w:p>
        </w:tc>
        <w:tc>
          <w:tcPr>
            <w:tcW w:w="2260" w:type="dxa"/>
            <w:vAlign w:val="bottom"/>
          </w:tcPr>
          <w:p w14:paraId="101F0B3C" w14:textId="29CD03EB"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7. (28%)</w:t>
            </w:r>
          </w:p>
        </w:tc>
      </w:tr>
      <w:tr w:rsidR="00EC3C26" w14:paraId="5CBAB8CF" w14:textId="77777777" w:rsidTr="009E7011">
        <w:trPr>
          <w:jc w:val="center"/>
        </w:trPr>
        <w:tc>
          <w:tcPr>
            <w:tcW w:w="5382" w:type="dxa"/>
            <w:vAlign w:val="bottom"/>
          </w:tcPr>
          <w:p w14:paraId="44475222" w14:textId="07AF8FC1" w:rsidR="00EC3C26" w:rsidRDefault="00EC3C26" w:rsidP="003B4393">
            <w:pPr>
              <w:spacing w:before="100" w:beforeAutospacing="1" w:after="100" w:afterAutospacing="1" w:line="360" w:lineRule="auto"/>
              <w:rPr>
                <w:rFonts w:cstheme="minorHAnsi"/>
              </w:rPr>
            </w:pPr>
            <w:r>
              <w:rPr>
                <w:rFonts w:ascii="Calibri" w:hAnsi="Calibri"/>
                <w:color w:val="000000"/>
              </w:rPr>
              <w:t>Ischemic Scale of Rosen (Rosen et al., 1980)</w:t>
            </w:r>
          </w:p>
        </w:tc>
        <w:tc>
          <w:tcPr>
            <w:tcW w:w="2259" w:type="dxa"/>
            <w:vAlign w:val="bottom"/>
          </w:tcPr>
          <w:p w14:paraId="6A5BF7DD" w14:textId="1034E80E" w:rsidR="00EC3C26" w:rsidRDefault="00EC3C26" w:rsidP="003B4393">
            <w:pPr>
              <w:spacing w:before="100" w:beforeAutospacing="1" w:after="100" w:afterAutospacing="1" w:line="360" w:lineRule="auto"/>
              <w:jc w:val="center"/>
              <w:rPr>
                <w:rFonts w:cstheme="minorHAnsi"/>
              </w:rPr>
            </w:pPr>
            <w:r>
              <w:rPr>
                <w:rFonts w:ascii="Calibri" w:hAnsi="Calibri"/>
                <w:color w:val="000000"/>
              </w:rPr>
              <w:t>3%</w:t>
            </w:r>
          </w:p>
        </w:tc>
        <w:tc>
          <w:tcPr>
            <w:tcW w:w="2260" w:type="dxa"/>
            <w:vAlign w:val="bottom"/>
          </w:tcPr>
          <w:p w14:paraId="21BECF1D" w14:textId="4DDE1FE0"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7. (63%)</w:t>
            </w:r>
          </w:p>
        </w:tc>
        <w:tc>
          <w:tcPr>
            <w:tcW w:w="2260" w:type="dxa"/>
            <w:vAlign w:val="bottom"/>
          </w:tcPr>
          <w:p w14:paraId="6540B824" w14:textId="63C246AB"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14. (10%)</w:t>
            </w:r>
          </w:p>
        </w:tc>
      </w:tr>
      <w:tr w:rsidR="00EC3C26" w14:paraId="3CC3E82C" w14:textId="77777777" w:rsidTr="009E7011">
        <w:trPr>
          <w:jc w:val="center"/>
        </w:trPr>
        <w:tc>
          <w:tcPr>
            <w:tcW w:w="5382" w:type="dxa"/>
            <w:vAlign w:val="bottom"/>
          </w:tcPr>
          <w:p w14:paraId="0D75C54F" w14:textId="4A6D65FE" w:rsidR="00EC3C26" w:rsidRDefault="00EC3C26" w:rsidP="003B4393">
            <w:pPr>
              <w:spacing w:before="100" w:beforeAutospacing="1" w:after="100" w:afterAutospacing="1" w:line="360" w:lineRule="auto"/>
              <w:rPr>
                <w:rFonts w:cstheme="minorHAnsi"/>
              </w:rPr>
            </w:pPr>
            <w:r>
              <w:rPr>
                <w:rFonts w:ascii="Calibri" w:hAnsi="Calibri"/>
                <w:color w:val="000000"/>
              </w:rPr>
              <w:t>Subcortical vascular dementia (Price et al., 2005)</w:t>
            </w:r>
          </w:p>
        </w:tc>
        <w:tc>
          <w:tcPr>
            <w:tcW w:w="2259" w:type="dxa"/>
            <w:vAlign w:val="bottom"/>
          </w:tcPr>
          <w:p w14:paraId="0250C98D" w14:textId="2D677F92" w:rsidR="00EC3C26" w:rsidRDefault="00EC3C26" w:rsidP="003B4393">
            <w:pPr>
              <w:spacing w:before="100" w:beforeAutospacing="1" w:after="100" w:afterAutospacing="1" w:line="360" w:lineRule="auto"/>
              <w:jc w:val="center"/>
              <w:rPr>
                <w:rFonts w:cstheme="minorHAnsi"/>
              </w:rPr>
            </w:pPr>
            <w:r>
              <w:rPr>
                <w:rFonts w:ascii="Calibri" w:hAnsi="Calibri"/>
                <w:color w:val="000000"/>
              </w:rPr>
              <w:t>2%</w:t>
            </w:r>
          </w:p>
        </w:tc>
        <w:tc>
          <w:tcPr>
            <w:tcW w:w="2260" w:type="dxa"/>
            <w:vAlign w:val="bottom"/>
          </w:tcPr>
          <w:p w14:paraId="46943CC2" w14:textId="5D79C36B" w:rsidR="00EC3C26" w:rsidRDefault="00EC3C26" w:rsidP="003B4393">
            <w:pPr>
              <w:spacing w:before="100" w:beforeAutospacing="1" w:after="100" w:afterAutospacing="1" w:line="360" w:lineRule="auto"/>
              <w:jc w:val="center"/>
              <w:rPr>
                <w:rFonts w:cstheme="minorHAnsi"/>
              </w:rPr>
            </w:pPr>
            <w:r>
              <w:rPr>
                <w:rFonts w:ascii="Calibri" w:hAnsi="Calibri"/>
                <w:color w:val="000000"/>
              </w:rPr>
              <w:t>14. (37%)</w:t>
            </w:r>
          </w:p>
        </w:tc>
        <w:tc>
          <w:tcPr>
            <w:tcW w:w="2260" w:type="dxa"/>
            <w:vAlign w:val="bottom"/>
          </w:tcPr>
          <w:p w14:paraId="7050CC5C" w14:textId="03AD85EE"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9. (25%)</w:t>
            </w:r>
          </w:p>
        </w:tc>
      </w:tr>
      <w:tr w:rsidR="00EC3C26" w14:paraId="566ECC4B" w14:textId="77777777" w:rsidTr="009E7011">
        <w:trPr>
          <w:jc w:val="center"/>
        </w:trPr>
        <w:tc>
          <w:tcPr>
            <w:tcW w:w="5382" w:type="dxa"/>
            <w:vAlign w:val="bottom"/>
          </w:tcPr>
          <w:p w14:paraId="199E39C7" w14:textId="3ED1582D" w:rsidR="00EC3C26" w:rsidRDefault="00EC3C26" w:rsidP="003B4393">
            <w:pPr>
              <w:spacing w:before="100" w:beforeAutospacing="1" w:after="100" w:afterAutospacing="1" w:line="360" w:lineRule="auto"/>
              <w:rPr>
                <w:rFonts w:cstheme="minorHAnsi"/>
              </w:rPr>
            </w:pPr>
            <w:r>
              <w:rPr>
                <w:rFonts w:ascii="Calibri" w:hAnsi="Calibri"/>
                <w:color w:val="000000"/>
              </w:rPr>
              <w:t>DSM-IIIR (American Psychiatric Association</w:t>
            </w:r>
            <w:r w:rsidR="00E47FB0">
              <w:rPr>
                <w:rFonts w:ascii="Calibri" w:hAnsi="Calibri"/>
                <w:color w:val="000000"/>
              </w:rPr>
              <w:t>,</w:t>
            </w:r>
            <w:r>
              <w:rPr>
                <w:rFonts w:ascii="Calibri" w:hAnsi="Calibri"/>
                <w:color w:val="000000"/>
              </w:rPr>
              <w:t xml:space="preserve"> 1987)</w:t>
            </w:r>
          </w:p>
        </w:tc>
        <w:tc>
          <w:tcPr>
            <w:tcW w:w="2259" w:type="dxa"/>
            <w:vAlign w:val="bottom"/>
          </w:tcPr>
          <w:p w14:paraId="42AEB5A1" w14:textId="7EEFA6AC" w:rsidR="00EC3C26" w:rsidRDefault="00EC3C26" w:rsidP="003B4393">
            <w:pPr>
              <w:spacing w:before="100" w:beforeAutospacing="1" w:after="100" w:afterAutospacing="1" w:line="360" w:lineRule="auto"/>
              <w:jc w:val="center"/>
              <w:rPr>
                <w:rFonts w:cstheme="minorHAnsi"/>
              </w:rPr>
            </w:pPr>
            <w:r>
              <w:rPr>
                <w:rFonts w:ascii="Calibri" w:hAnsi="Calibri"/>
                <w:color w:val="000000"/>
              </w:rPr>
              <w:t>1%</w:t>
            </w:r>
          </w:p>
        </w:tc>
        <w:tc>
          <w:tcPr>
            <w:tcW w:w="2260" w:type="dxa"/>
            <w:vAlign w:val="bottom"/>
          </w:tcPr>
          <w:p w14:paraId="5010B859" w14:textId="234AC10E"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10. (51%)</w:t>
            </w:r>
          </w:p>
        </w:tc>
        <w:tc>
          <w:tcPr>
            <w:tcW w:w="2260" w:type="dxa"/>
            <w:vAlign w:val="bottom"/>
          </w:tcPr>
          <w:p w14:paraId="437AAC91" w14:textId="32F7A3C6"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13. (11%)</w:t>
            </w:r>
          </w:p>
        </w:tc>
      </w:tr>
      <w:tr w:rsidR="00EC3C26" w14:paraId="5C2E4961" w14:textId="77777777" w:rsidTr="009E7011">
        <w:trPr>
          <w:jc w:val="center"/>
        </w:trPr>
        <w:tc>
          <w:tcPr>
            <w:tcW w:w="5382" w:type="dxa"/>
            <w:vAlign w:val="bottom"/>
          </w:tcPr>
          <w:p w14:paraId="3DFAE59E" w14:textId="00308E9E" w:rsidR="00EC3C26" w:rsidRDefault="00EC3C26" w:rsidP="003B4393">
            <w:pPr>
              <w:spacing w:before="100" w:beforeAutospacing="1" w:after="100" w:afterAutospacing="1" w:line="360" w:lineRule="auto"/>
              <w:rPr>
                <w:rFonts w:cstheme="minorHAnsi"/>
              </w:rPr>
            </w:pPr>
            <w:r>
              <w:rPr>
                <w:rFonts w:ascii="Calibri" w:hAnsi="Calibri"/>
                <w:color w:val="000000"/>
              </w:rPr>
              <w:t>DSM-III (American Psychiatric Association</w:t>
            </w:r>
            <w:r w:rsidR="00E47FB0">
              <w:rPr>
                <w:rFonts w:ascii="Calibri" w:hAnsi="Calibri"/>
                <w:color w:val="000000"/>
              </w:rPr>
              <w:t>,</w:t>
            </w:r>
            <w:r>
              <w:rPr>
                <w:rFonts w:ascii="Calibri" w:hAnsi="Calibri"/>
                <w:color w:val="000000"/>
              </w:rPr>
              <w:t xml:space="preserve"> 1980)</w:t>
            </w:r>
          </w:p>
        </w:tc>
        <w:tc>
          <w:tcPr>
            <w:tcW w:w="2259" w:type="dxa"/>
            <w:vAlign w:val="bottom"/>
          </w:tcPr>
          <w:p w14:paraId="73A04EA8" w14:textId="48E110F7" w:rsidR="00EC3C26" w:rsidRDefault="00EC3C26" w:rsidP="003B4393">
            <w:pPr>
              <w:spacing w:before="100" w:beforeAutospacing="1" w:after="100" w:afterAutospacing="1" w:line="360" w:lineRule="auto"/>
              <w:jc w:val="center"/>
              <w:rPr>
                <w:rFonts w:cstheme="minorHAnsi"/>
              </w:rPr>
            </w:pPr>
            <w:r>
              <w:rPr>
                <w:rFonts w:ascii="Calibri" w:hAnsi="Calibri"/>
                <w:color w:val="000000"/>
              </w:rPr>
              <w:t>0%</w:t>
            </w:r>
          </w:p>
        </w:tc>
        <w:tc>
          <w:tcPr>
            <w:tcW w:w="2260" w:type="dxa"/>
            <w:vAlign w:val="bottom"/>
          </w:tcPr>
          <w:p w14:paraId="559ADB8A" w14:textId="05DD001E" w:rsidR="00EC3C26" w:rsidRDefault="00EC3C26" w:rsidP="003B4393">
            <w:pPr>
              <w:spacing w:before="100" w:beforeAutospacing="1" w:after="100" w:afterAutospacing="1" w:line="360" w:lineRule="auto"/>
              <w:jc w:val="center"/>
              <w:rPr>
                <w:rFonts w:cstheme="minorHAnsi"/>
              </w:rPr>
            </w:pPr>
            <w:r>
              <w:rPr>
                <w:rFonts w:ascii="Calibri" w:hAnsi="Calibri"/>
                <w:color w:val="000000"/>
              </w:rPr>
              <w:t>11. (48%)</w:t>
            </w:r>
          </w:p>
        </w:tc>
        <w:tc>
          <w:tcPr>
            <w:tcW w:w="2260" w:type="dxa"/>
            <w:vAlign w:val="bottom"/>
          </w:tcPr>
          <w:p w14:paraId="67F67512" w14:textId="6152B221" w:rsidR="00EC3C26" w:rsidRPr="00E60CC5" w:rsidRDefault="00EC3C26" w:rsidP="003B4393">
            <w:pPr>
              <w:spacing w:before="100" w:beforeAutospacing="1" w:after="100" w:afterAutospacing="1" w:line="360" w:lineRule="auto"/>
              <w:jc w:val="center"/>
              <w:rPr>
                <w:rFonts w:cstheme="minorHAnsi"/>
              </w:rPr>
            </w:pPr>
            <w:r>
              <w:rPr>
                <w:rFonts w:ascii="Calibri" w:hAnsi="Calibri"/>
                <w:color w:val="000000"/>
              </w:rPr>
              <w:t>15. (7%)</w:t>
            </w:r>
          </w:p>
        </w:tc>
      </w:tr>
    </w:tbl>
    <w:p w14:paraId="5D4E293F" w14:textId="77777777" w:rsidR="00EC3C26" w:rsidRDefault="00EC3C26" w:rsidP="003B4393"/>
    <w:p w14:paraId="05F8162F" w14:textId="436157F7" w:rsidR="004632BB" w:rsidRDefault="003B4393" w:rsidP="004632BB">
      <w:r>
        <w:t xml:space="preserve">Supplementary table 2: </w:t>
      </w:r>
      <w:r w:rsidRPr="003B4393">
        <w:t>Summary results from Foundation round 1 regarding; current use, ease of use and usefulness of the diagnostic criteria</w:t>
      </w:r>
      <w:r>
        <w:t xml:space="preserve">. The criteria are listed in terms of most to least used at the time of survey. </w:t>
      </w:r>
      <w:r w:rsidR="00EC3C26">
        <w:t>We</w:t>
      </w:r>
      <w:r>
        <w:t xml:space="preserve"> asked participants to rate the criteria on how easy they were to use with the following options: "no longer relevant", "extremely hard", "not very easy", "relatively easy" and "very easy". For each </w:t>
      </w:r>
      <w:proofErr w:type="gramStart"/>
      <w:r>
        <w:t>criteria</w:t>
      </w:r>
      <w:proofErr w:type="gramEnd"/>
      <w:r>
        <w:t xml:space="preserve"> we combined the scores for "relatively easy" and "very easy" to give an "Easy to use" rating. We compared this rating with the total number of ratings, to provide a percentage score for "Ease of use". </w:t>
      </w:r>
      <w:r w:rsidR="00EC3C26">
        <w:t xml:space="preserve">The </w:t>
      </w:r>
      <w:r>
        <w:t xml:space="preserve">criteria are ranked </w:t>
      </w:r>
      <w:r w:rsidR="00EC3C26">
        <w:t>in order of</w:t>
      </w:r>
      <w:r>
        <w:t xml:space="preserve"> "Ease of use".</w:t>
      </w:r>
      <w:r w:rsidR="00EC3C26">
        <w:t xml:space="preserve"> P</w:t>
      </w:r>
      <w:r>
        <w:t xml:space="preserve">articipants were asked to rate the criteria in terms of usefulness for the diagnosis with the following options: "No longer relevant", "Not useful at all", "Of limited use", "Useful in most cases", "Useful in all cases". For each </w:t>
      </w:r>
      <w:proofErr w:type="gramStart"/>
      <w:r>
        <w:t>criteria</w:t>
      </w:r>
      <w:proofErr w:type="gramEnd"/>
      <w:r>
        <w:t xml:space="preserve">, we combined the ratings for "Useful in Most cases" and "Useful in all cases" to give a "Usefulness" rating. We compared this with the total response to give a percentage "Usefulness" rating. The </w:t>
      </w:r>
      <w:r w:rsidR="00EC3C26">
        <w:t>criteria are ranked</w:t>
      </w:r>
      <w:r>
        <w:t xml:space="preserve"> based on the percentage "Usefulness" rating.</w:t>
      </w:r>
      <w:r w:rsidR="00EC3C26">
        <w:t xml:space="preserve"> </w:t>
      </w:r>
      <w:r>
        <w:t xml:space="preserve">(We also offered options of "Not familiar" and "Unable to comment". These were excluded from the analysis which only includes those who </w:t>
      </w:r>
      <w:proofErr w:type="gramStart"/>
      <w:r>
        <w:t>were able to</w:t>
      </w:r>
      <w:proofErr w:type="gramEnd"/>
      <w:r>
        <w:t xml:space="preserve"> give an informed response)</w:t>
      </w:r>
    </w:p>
    <w:p w14:paraId="0AABD7BE" w14:textId="77777777" w:rsidR="00A47D47" w:rsidRDefault="00A47D47" w:rsidP="004632BB"/>
    <w:p w14:paraId="48993FFC" w14:textId="43B156F7" w:rsidR="00A70011" w:rsidRDefault="00A70011" w:rsidP="004632BB">
      <w:r>
        <w:lastRenderedPageBreak/>
        <w:t>References</w:t>
      </w:r>
      <w:r w:rsidR="006A6CFA">
        <w:t>:</w:t>
      </w:r>
    </w:p>
    <w:p w14:paraId="3D007EAA" w14:textId="1FC720FF" w:rsidR="00E47FB0" w:rsidRPr="00E47FB0" w:rsidRDefault="00A70011" w:rsidP="00E47FB0">
      <w:pPr>
        <w:pStyle w:val="EndNoteBibliography"/>
        <w:spacing w:after="0"/>
        <w:ind w:left="720" w:hanging="720"/>
      </w:pPr>
      <w:r>
        <w:fldChar w:fldCharType="begin"/>
      </w:r>
      <w:r>
        <w:instrText xml:space="preserve"> ADDIN EN.REFLIST </w:instrText>
      </w:r>
      <w:r>
        <w:fldChar w:fldCharType="separate"/>
      </w:r>
      <w:r w:rsidR="00E47FB0" w:rsidRPr="00E47FB0">
        <w:t>Roman, G.C., T.K. Tatemichi, T. Erkinjuntti, J.L. Cummings, J.C. Masdeu, J.H. Garcia, L. Amaducci, J.M. Orgogozo, A. Brun, A. Hofman, and et al. Vascular dementia: diagnostic criteria for research studies. Report of the NINDS-AIREN International Workshop. Neurology 1993; 43(2): 250-60.</w:t>
      </w:r>
    </w:p>
    <w:p w14:paraId="6D9CAAD0" w14:textId="61BFB51F" w:rsidR="00E47FB0" w:rsidRPr="00E47FB0" w:rsidRDefault="00E47FB0" w:rsidP="00E47FB0">
      <w:pPr>
        <w:pStyle w:val="EndNoteBibliography"/>
        <w:spacing w:after="0"/>
        <w:ind w:left="720" w:hanging="720"/>
      </w:pPr>
      <w:r w:rsidRPr="00E47FB0">
        <w:t>American Psychiatric Association. Diagnostic and statistical manual of mental disorders. 4th ed. 1994: Washington, DC: American Psychiatric Association.</w:t>
      </w:r>
    </w:p>
    <w:p w14:paraId="2BC0ED4A" w14:textId="1ABB7A90" w:rsidR="00E47FB0" w:rsidRPr="00E47FB0" w:rsidRDefault="00E47FB0" w:rsidP="00E47FB0">
      <w:pPr>
        <w:pStyle w:val="EndNoteBibliography"/>
        <w:spacing w:after="0"/>
        <w:ind w:left="720" w:hanging="720"/>
      </w:pPr>
      <w:r w:rsidRPr="00E47FB0">
        <w:t>Hachinski, V.C., L.D. Iliff, E. Zilhka, G.H. Du Boulay, V.L. McAllister, J. Marshall, R.W. Russell, and L. Symon. Cerebral blood flow in dementia. Arch Neurol 1975; 32(9): 632-7.</w:t>
      </w:r>
    </w:p>
    <w:p w14:paraId="3FBA7C15" w14:textId="1FAC858F" w:rsidR="00E47FB0" w:rsidRPr="00E47FB0" w:rsidRDefault="00E47FB0" w:rsidP="00E47FB0">
      <w:pPr>
        <w:pStyle w:val="EndNoteBibliography"/>
        <w:spacing w:after="0"/>
        <w:ind w:left="720" w:hanging="720"/>
      </w:pPr>
      <w:r w:rsidRPr="00E47FB0">
        <w:t xml:space="preserve">World Health Organization. Diagnostic criteria for research. The ICD-10 classification of mental and behavioural disorders. 1993, Geneva: World Health Organization </w:t>
      </w:r>
    </w:p>
    <w:p w14:paraId="14DDC0F6" w14:textId="7149129F" w:rsidR="00E47FB0" w:rsidRPr="00E47FB0" w:rsidRDefault="00E47FB0" w:rsidP="00E47FB0">
      <w:pPr>
        <w:pStyle w:val="EndNoteBibliography"/>
        <w:spacing w:after="0"/>
        <w:ind w:left="720" w:hanging="720"/>
      </w:pPr>
      <w:r w:rsidRPr="00E47FB0">
        <w:t>Erkinjuntti, T., D. Inzitari, L. Pantoni, A. Wallin, P. Scheltens, K. Rockwood, G.C. Roman, H. Chui, and D.W. Desmond. Research criteria for subcortical vascular dementia in clinical trials. J Neural Transm Suppl 2000; 59: 23-30.</w:t>
      </w:r>
    </w:p>
    <w:p w14:paraId="5CDD6F3F" w14:textId="355B3BEC" w:rsidR="00E47FB0" w:rsidRPr="00E47FB0" w:rsidRDefault="00E47FB0" w:rsidP="00E47FB0">
      <w:pPr>
        <w:pStyle w:val="EndNoteBibliography"/>
        <w:spacing w:after="0"/>
        <w:ind w:left="720" w:hanging="720"/>
      </w:pPr>
      <w:r w:rsidRPr="00E47FB0">
        <w:t>Hachinski, V., C. Iadecola, R.C. Petersen, M.M. Breteler, D.L. Nyenhuis, S.E. Black, W.J. Powers, C. DeCarli, J.G. Merino, R.N. Kalaria, H.V. Vinters, D.M. Holtzman, G.A. Rosenberg, A. Wallin, M. Dichgans, J.R. Marler, and G.G. Leblanc. National Institute of Neurological Disorders and Stroke-Canadian Stroke Network vascular cognitive impairment harmonization standards. Stroke 2006; 37(9): 2220-41.</w:t>
      </w:r>
    </w:p>
    <w:p w14:paraId="4FADF4B3" w14:textId="6E8A33A6" w:rsidR="00E47FB0" w:rsidRPr="00E47FB0" w:rsidRDefault="00E47FB0" w:rsidP="00E47FB0">
      <w:pPr>
        <w:pStyle w:val="EndNoteBibliography"/>
        <w:spacing w:after="0"/>
        <w:ind w:left="720" w:hanging="720"/>
      </w:pPr>
      <w:r w:rsidRPr="00E47FB0">
        <w:t>Chui, H.C., J.I. Victoroff, D. Margolin, W. Jagust, R. Shankle, and R. Katzman. Criteria for the diagnosis of ischemic vascular dementia proposed by the State of California Alzheimer's Disease Diagnostic and Treatment Centers. Neurology 1992; 42(3 Pt 1): 473-80.</w:t>
      </w:r>
    </w:p>
    <w:p w14:paraId="46E0AFF1" w14:textId="658C7420" w:rsidR="00E47FB0" w:rsidRPr="00E47FB0" w:rsidRDefault="00E47FB0" w:rsidP="00E47FB0">
      <w:pPr>
        <w:pStyle w:val="EndNoteBibliography"/>
        <w:spacing w:after="0"/>
        <w:ind w:left="720" w:hanging="720"/>
      </w:pPr>
      <w:r w:rsidRPr="00E47FB0">
        <w:t>Cao, X., Q. Guo, Q. Zhao, L. Jin, J. Fu, and Z. Hong. The neuropsychological characteristics and regional cerebral blood flow of vascular cognitive impairment-no dementia. Int J Geriatr Psychiatry 2010; 25(11): 1168-76.</w:t>
      </w:r>
    </w:p>
    <w:p w14:paraId="5C9A4E16" w14:textId="0E5ED3AF" w:rsidR="00E47FB0" w:rsidRPr="00E47FB0" w:rsidRDefault="00E47FB0" w:rsidP="00E47FB0">
      <w:pPr>
        <w:pStyle w:val="EndNoteBibliography"/>
        <w:spacing w:after="0"/>
        <w:ind w:left="720" w:hanging="720"/>
      </w:pPr>
      <w:r w:rsidRPr="00E47FB0">
        <w:t>Kalaria, R.N., R.A. Kenny, C.G. Ballard, R. Perry, P. Ince, and T. Polvikoski. Towards defining the neuropathological substrates of vascular dementia. J Neurol Sci 2004; 226(1-2): 75-80.</w:t>
      </w:r>
    </w:p>
    <w:p w14:paraId="286DAA3E" w14:textId="662CDD48" w:rsidR="00E47FB0" w:rsidRPr="00E47FB0" w:rsidRDefault="00E47FB0" w:rsidP="00E47FB0">
      <w:pPr>
        <w:pStyle w:val="EndNoteBibliography"/>
        <w:spacing w:after="0"/>
        <w:ind w:left="720" w:hanging="720"/>
      </w:pPr>
      <w:r w:rsidRPr="00E47FB0">
        <w:t>Knopman, D.S., W.A. Rocca, R.H. Cha, S.D. Edland, and E. Kokmen. Incidence of vascular dementia in Rochester, Minn, 1985-1989. Arch Neurol 2002; 59(10): 1605-10.</w:t>
      </w:r>
    </w:p>
    <w:p w14:paraId="41C9E1C2" w14:textId="076B7AA8" w:rsidR="00E47FB0" w:rsidRPr="00E47FB0" w:rsidRDefault="00E47FB0" w:rsidP="00E47FB0">
      <w:pPr>
        <w:pStyle w:val="EndNoteBibliography"/>
        <w:spacing w:after="0"/>
        <w:ind w:left="720" w:hanging="720"/>
      </w:pPr>
      <w:r w:rsidRPr="00E47FB0">
        <w:t>Zhao, Q.L., Y. Zhou, Y.L. Wang, K.H. Dong, and Y.J. Wang. A new diagnostic algorithm for vascular cognitive impairment: the proposed criteria and evaluation of its reliability and validity. Chin Med J (Engl) 2010; 123(3): 311-9.</w:t>
      </w:r>
    </w:p>
    <w:p w14:paraId="3D2685E1" w14:textId="3BFA0EDC" w:rsidR="00E47FB0" w:rsidRPr="00E47FB0" w:rsidRDefault="00E47FB0" w:rsidP="00E47FB0">
      <w:pPr>
        <w:pStyle w:val="EndNoteBibliography"/>
        <w:spacing w:after="0"/>
        <w:ind w:left="720" w:hanging="720"/>
      </w:pPr>
      <w:r w:rsidRPr="00E47FB0">
        <w:t>Rosen, W.G., R.D. Terry, P.A. Fuld, R. Katzman, and A. Peck. Pathological verification of ischemic score in differentiation of dementias. Ann Neurol 1980; 7(5): 486-8.</w:t>
      </w:r>
    </w:p>
    <w:p w14:paraId="18F6727E" w14:textId="442F32CB" w:rsidR="00E47FB0" w:rsidRPr="00E47FB0" w:rsidRDefault="00E47FB0" w:rsidP="00E47FB0">
      <w:pPr>
        <w:pStyle w:val="EndNoteBibliography"/>
        <w:spacing w:after="0"/>
        <w:ind w:left="720" w:hanging="720"/>
      </w:pPr>
      <w:r w:rsidRPr="00E47FB0">
        <w:t>Price, C.C., A.L. Jefferson, J.G. Merino, K.M. Heilman, and D.J. Libon. Subcortical vascular dementia: integrating neuropsychological and neuroradiologic data. Neurology 2005; 65(3): 376-82.</w:t>
      </w:r>
    </w:p>
    <w:p w14:paraId="0B581A31" w14:textId="13E4BC41" w:rsidR="00E47FB0" w:rsidRPr="00E47FB0" w:rsidRDefault="00E47FB0" w:rsidP="00E47FB0">
      <w:pPr>
        <w:pStyle w:val="EndNoteBibliography"/>
        <w:spacing w:after="0"/>
        <w:ind w:left="720" w:hanging="720"/>
      </w:pPr>
      <w:r w:rsidRPr="00E47FB0">
        <w:t>American Psychiatric Association. Diagnostic and statistical manual of mental disorders 3rd ed. (revised). 1987: American Psy</w:t>
      </w:r>
      <w:r>
        <w:t>chiatric Association, Arlington</w:t>
      </w:r>
      <w:r w:rsidRPr="00E47FB0">
        <w:t>.</w:t>
      </w:r>
    </w:p>
    <w:p w14:paraId="6DBCFB0E" w14:textId="578DB1EA" w:rsidR="00E47FB0" w:rsidRPr="00E47FB0" w:rsidRDefault="00E47FB0" w:rsidP="00E47FB0">
      <w:pPr>
        <w:pStyle w:val="EndNoteBibliography"/>
        <w:ind w:left="720" w:hanging="720"/>
      </w:pPr>
      <w:r w:rsidRPr="00E47FB0">
        <w:t>American Psychiatric Association Committee on Nomenclature and Statistics. Diagnostic and Statistical Manual of Mental Disorders (DSM-III),</w:t>
      </w:r>
      <w:r>
        <w:t xml:space="preserve"> </w:t>
      </w:r>
      <w:r w:rsidRPr="00E47FB0">
        <w:t>Third Edition. 1980: Washington, DC: Americ</w:t>
      </w:r>
      <w:r>
        <w:t>an Psychiatric Association</w:t>
      </w:r>
      <w:r w:rsidRPr="00E47FB0">
        <w:t>.</w:t>
      </w:r>
    </w:p>
    <w:p w14:paraId="12AD1C7F" w14:textId="77777777" w:rsidR="002E4F24" w:rsidRDefault="00A70011" w:rsidP="002E4F24">
      <w:r>
        <w:fldChar w:fldCharType="end"/>
      </w:r>
    </w:p>
    <w:p w14:paraId="064F2BDC" w14:textId="77777777" w:rsidR="002E4F24" w:rsidRDefault="002E4F24" w:rsidP="002E4F24">
      <w:pPr>
        <w:rPr>
          <w:color w:val="000000"/>
        </w:rPr>
      </w:pPr>
    </w:p>
    <w:p w14:paraId="3C95ACE5" w14:textId="77777777" w:rsidR="002E4F24" w:rsidRDefault="002E4F24" w:rsidP="002E4F24">
      <w:pPr>
        <w:rPr>
          <w:color w:val="000000"/>
        </w:rPr>
      </w:pPr>
    </w:p>
    <w:p w14:paraId="5DB7363F" w14:textId="77777777" w:rsidR="002E4F24" w:rsidRDefault="002E4F24" w:rsidP="002E4F24">
      <w:pPr>
        <w:rPr>
          <w:color w:val="000000"/>
        </w:rPr>
      </w:pPr>
    </w:p>
    <w:p w14:paraId="63931221" w14:textId="77777777" w:rsidR="002E4F24" w:rsidRDefault="002E4F24" w:rsidP="002E4F24">
      <w:pPr>
        <w:rPr>
          <w:color w:val="000000"/>
        </w:rPr>
      </w:pPr>
    </w:p>
    <w:p w14:paraId="45FE5263" w14:textId="48AB69D8" w:rsidR="002E4F24" w:rsidRDefault="002E4F24" w:rsidP="002E4F24">
      <w:pPr>
        <w:rPr>
          <w:color w:val="000000"/>
        </w:rPr>
      </w:pPr>
    </w:p>
    <w:p w14:paraId="7308610D" w14:textId="77777777" w:rsidR="002E4F24" w:rsidRDefault="002E4F24" w:rsidP="002E4F24">
      <w:pPr>
        <w:rPr>
          <w:color w:val="000000"/>
        </w:rPr>
      </w:pPr>
    </w:p>
    <w:p w14:paraId="5E817064" w14:textId="77777777" w:rsidR="002E4F24" w:rsidRDefault="002E4F24" w:rsidP="002E4F24">
      <w:pPr>
        <w:rPr>
          <w:color w:val="000000"/>
        </w:rPr>
      </w:pPr>
      <w:r>
        <w:rPr>
          <w:color w:val="000000"/>
        </w:rPr>
        <w:lastRenderedPageBreak/>
        <w:t>Supplementary text 1:</w:t>
      </w:r>
    </w:p>
    <w:p w14:paraId="26C1A677" w14:textId="1518CC56" w:rsidR="002E4F24" w:rsidRPr="00341DF2" w:rsidRDefault="002E4F24" w:rsidP="002E4F24">
      <w:pPr>
        <w:rPr>
          <w:color w:val="000000"/>
        </w:rPr>
      </w:pPr>
      <w:r w:rsidRPr="00341DF2">
        <w:rPr>
          <w:color w:val="000000"/>
        </w:rPr>
        <w:t xml:space="preserve">Round 3 participants were asked to agree or disagree with use of each neuropsychological test in the NINDS-CSN guidelines or provide alternatives to be used. Regarding MMSE, 71% support its use as a supplementary test </w:t>
      </w:r>
      <w:r>
        <w:rPr>
          <w:color w:val="000000"/>
        </w:rPr>
        <w:t xml:space="preserve">in the </w:t>
      </w:r>
      <w:r w:rsidR="00102890">
        <w:rPr>
          <w:color w:val="000000"/>
        </w:rPr>
        <w:t>60-minute</w:t>
      </w:r>
      <w:r>
        <w:rPr>
          <w:color w:val="000000"/>
        </w:rPr>
        <w:t xml:space="preserve"> protocol and 75% in the </w:t>
      </w:r>
      <w:r w:rsidR="00102890">
        <w:rPr>
          <w:color w:val="000000"/>
        </w:rPr>
        <w:t>30-minute</w:t>
      </w:r>
      <w:r>
        <w:rPr>
          <w:color w:val="000000"/>
        </w:rPr>
        <w:t xml:space="preserve"> protocol, with only 2 participants stating</w:t>
      </w:r>
      <w:r w:rsidRPr="00341DF2">
        <w:rPr>
          <w:color w:val="000000"/>
        </w:rPr>
        <w:t xml:space="preserve"> </w:t>
      </w:r>
      <w:proofErr w:type="spellStart"/>
      <w:r>
        <w:rPr>
          <w:color w:val="000000"/>
        </w:rPr>
        <w:t>MoCA</w:t>
      </w:r>
      <w:proofErr w:type="spellEnd"/>
      <w:r>
        <w:rPr>
          <w:color w:val="000000"/>
        </w:rPr>
        <w:t xml:space="preserve"> as an alternative. Only 23% of</w:t>
      </w:r>
      <w:r w:rsidRPr="00341DF2">
        <w:rPr>
          <w:color w:val="000000"/>
        </w:rPr>
        <w:t xml:space="preserve"> respondents stated they used the </w:t>
      </w:r>
      <w:r w:rsidR="00102890" w:rsidRPr="00341DF2">
        <w:rPr>
          <w:color w:val="000000"/>
        </w:rPr>
        <w:t>5-minute</w:t>
      </w:r>
      <w:r>
        <w:rPr>
          <w:color w:val="000000"/>
        </w:rPr>
        <w:t xml:space="preserve"> NINDS-CSN protocol. Of these, 67% stated </w:t>
      </w:r>
      <w:proofErr w:type="spellStart"/>
      <w:r w:rsidRPr="00341DF2">
        <w:rPr>
          <w:color w:val="000000"/>
        </w:rPr>
        <w:t>MoCA</w:t>
      </w:r>
      <w:proofErr w:type="spellEnd"/>
      <w:r w:rsidRPr="00341DF2">
        <w:rPr>
          <w:color w:val="000000"/>
        </w:rPr>
        <w:t xml:space="preserve"> </w:t>
      </w:r>
      <w:r>
        <w:rPr>
          <w:color w:val="000000"/>
        </w:rPr>
        <w:t>was useful on its own and 33% in conjunction with another test. In a further question “</w:t>
      </w:r>
      <w:proofErr w:type="gramStart"/>
      <w:r>
        <w:rPr>
          <w:color w:val="000000"/>
        </w:rPr>
        <w:t>i</w:t>
      </w:r>
      <w:r w:rsidRPr="00341DF2">
        <w:rPr>
          <w:color w:val="000000"/>
        </w:rPr>
        <w:t>n light of</w:t>
      </w:r>
      <w:proofErr w:type="gramEnd"/>
      <w:r w:rsidRPr="00341DF2">
        <w:rPr>
          <w:color w:val="000000"/>
        </w:rPr>
        <w:t xml:space="preserve"> various copyright issues that have emerged in recent years regarding the MMSE, has the use of MMSE at your centre been stopped?” Only 12% responded Yes and </w:t>
      </w:r>
      <w:r>
        <w:rPr>
          <w:color w:val="000000"/>
        </w:rPr>
        <w:t xml:space="preserve">all but one of these stated </w:t>
      </w:r>
      <w:proofErr w:type="spellStart"/>
      <w:r w:rsidRPr="00341DF2">
        <w:rPr>
          <w:color w:val="000000"/>
        </w:rPr>
        <w:t>MoCA</w:t>
      </w:r>
      <w:proofErr w:type="spellEnd"/>
      <w:r w:rsidRPr="00341DF2">
        <w:rPr>
          <w:color w:val="000000"/>
        </w:rPr>
        <w:t xml:space="preserve"> </w:t>
      </w:r>
      <w:r>
        <w:rPr>
          <w:color w:val="000000"/>
        </w:rPr>
        <w:t xml:space="preserve">was used </w:t>
      </w:r>
      <w:r w:rsidRPr="00341DF2">
        <w:rPr>
          <w:color w:val="000000"/>
        </w:rPr>
        <w:t xml:space="preserve">in its place. </w:t>
      </w:r>
    </w:p>
    <w:p w14:paraId="6E1BD98D" w14:textId="21561324" w:rsidR="002E4F24" w:rsidRDefault="002E4F24" w:rsidP="002E4F24">
      <w:pPr>
        <w:rPr>
          <w:color w:val="000000"/>
        </w:rPr>
      </w:pPr>
      <w:r w:rsidRPr="009B512E">
        <w:rPr>
          <w:color w:val="000000"/>
        </w:rPr>
        <w:t xml:space="preserve">In Round 6, 56% of respondents thought there were already sufficient tools available for the assessment and appropriate scoring of IADL/ADL, with the remainder of respondents supporting this </w:t>
      </w:r>
      <w:r>
        <w:rPr>
          <w:color w:val="000000"/>
        </w:rPr>
        <w:t>as</w:t>
      </w:r>
      <w:r w:rsidRPr="009B512E">
        <w:rPr>
          <w:color w:val="000000"/>
        </w:rPr>
        <w:t xml:space="preserve"> an area for further research. Those who supported current tools were asked to provide names of appropriate scales. </w:t>
      </w:r>
      <w:r w:rsidR="00735DE8">
        <w:rPr>
          <w:color w:val="000000"/>
        </w:rPr>
        <w:t>Sevent</w:t>
      </w:r>
      <w:r w:rsidRPr="009B512E">
        <w:rPr>
          <w:color w:val="000000"/>
        </w:rPr>
        <w:t>een differe</w:t>
      </w:r>
      <w:r>
        <w:rPr>
          <w:color w:val="000000"/>
        </w:rPr>
        <w:t>nt scales were suggested with</w:t>
      </w:r>
      <w:r w:rsidRPr="009B512E">
        <w:rPr>
          <w:color w:val="000000"/>
        </w:rPr>
        <w:t xml:space="preserve"> multiple respondents (&gt;2) propos</w:t>
      </w:r>
      <w:r>
        <w:rPr>
          <w:color w:val="000000"/>
        </w:rPr>
        <w:t>ing</w:t>
      </w:r>
      <w:r w:rsidRPr="009B512E">
        <w:rPr>
          <w:color w:val="000000"/>
        </w:rPr>
        <w:t xml:space="preserve">: Lawton &amp; Brody; </w:t>
      </w:r>
      <w:r w:rsidRPr="00FB48E5">
        <w:rPr>
          <w:color w:val="000000"/>
        </w:rPr>
        <w:t>Disability Assessment in Dementia</w:t>
      </w:r>
      <w:r>
        <w:rPr>
          <w:color w:val="000000"/>
        </w:rPr>
        <w:t xml:space="preserve">; </w:t>
      </w:r>
      <w:r w:rsidRPr="009B512E">
        <w:rPr>
          <w:color w:val="000000"/>
        </w:rPr>
        <w:t>B</w:t>
      </w:r>
      <w:r>
        <w:rPr>
          <w:color w:val="000000"/>
        </w:rPr>
        <w:t xml:space="preserve">ristol </w:t>
      </w:r>
      <w:r w:rsidRPr="009B512E">
        <w:rPr>
          <w:color w:val="000000"/>
        </w:rPr>
        <w:t>ADL</w:t>
      </w:r>
      <w:r>
        <w:rPr>
          <w:color w:val="000000"/>
        </w:rPr>
        <w:t xml:space="preserve">; </w:t>
      </w:r>
      <w:r w:rsidRPr="000C70D2">
        <w:rPr>
          <w:color w:val="000000"/>
        </w:rPr>
        <w:t>Barthel Activities of Daily Living (ADL) Index</w:t>
      </w:r>
      <w:r w:rsidRPr="009B512E">
        <w:rPr>
          <w:color w:val="000000"/>
        </w:rPr>
        <w:t>;</w:t>
      </w:r>
      <w:r>
        <w:rPr>
          <w:color w:val="000000"/>
        </w:rPr>
        <w:t xml:space="preserve"> </w:t>
      </w:r>
      <w:r w:rsidRPr="009B512E">
        <w:rPr>
          <w:color w:val="000000"/>
        </w:rPr>
        <w:t>Katz index</w:t>
      </w:r>
      <w:r w:rsidR="003B592D">
        <w:rPr>
          <w:color w:val="000000"/>
        </w:rPr>
        <w:t>;</w:t>
      </w:r>
      <w:r w:rsidRPr="009B512E">
        <w:rPr>
          <w:color w:val="000000"/>
        </w:rPr>
        <w:t xml:space="preserve"> </w:t>
      </w:r>
      <w:r>
        <w:rPr>
          <w:color w:val="000000"/>
        </w:rPr>
        <w:t>Everyday Cognition Scale;</w:t>
      </w:r>
      <w:r w:rsidRPr="00A06A4E">
        <w:t xml:space="preserve"> </w:t>
      </w:r>
      <w:r>
        <w:t>The Functional Independence Measure</w:t>
      </w:r>
      <w:r w:rsidRPr="009B512E">
        <w:rPr>
          <w:color w:val="000000"/>
        </w:rPr>
        <w:t xml:space="preserve"> and Functional Activities Questionnaire.</w:t>
      </w:r>
    </w:p>
    <w:p w14:paraId="259C73F3" w14:textId="7E18FE9A" w:rsidR="006A6CFA" w:rsidRDefault="006A6CFA" w:rsidP="002E4F24">
      <w:pPr>
        <w:rPr>
          <w:color w:val="000000"/>
        </w:rPr>
      </w:pPr>
    </w:p>
    <w:p w14:paraId="1FEC452C" w14:textId="1E312F2E" w:rsidR="006A6CFA" w:rsidRDefault="006A6CFA" w:rsidP="002E4F24">
      <w:r>
        <w:rPr>
          <w:color w:val="000000"/>
        </w:rPr>
        <w:t>References:</w:t>
      </w:r>
    </w:p>
    <w:p w14:paraId="07634228" w14:textId="161BE6B9" w:rsidR="006A6CFA" w:rsidRDefault="006A6CFA" w:rsidP="006A6CFA">
      <w:pPr>
        <w:spacing w:line="240" w:lineRule="auto"/>
      </w:pPr>
      <w:r>
        <w:t>Lawton MP, Brody EM. Assessment of older people: self-maintaining and instrumental activities of daily living. Gerontologist. 1969;9(3):179-86.</w:t>
      </w:r>
    </w:p>
    <w:p w14:paraId="05EDBE71" w14:textId="4C0AE882" w:rsidR="006A6CFA" w:rsidRDefault="006A6CFA" w:rsidP="006A6CFA">
      <w:pPr>
        <w:spacing w:line="240" w:lineRule="auto"/>
      </w:pPr>
      <w:r>
        <w:t xml:space="preserve">Gelinas I, Gauthier L, McIntyre M, Gauthier S. Development of a functional measure for persons with Alzheimer's disease: the disability assessment for dementia. Am J </w:t>
      </w:r>
      <w:proofErr w:type="spellStart"/>
      <w:r>
        <w:t>Occup</w:t>
      </w:r>
      <w:proofErr w:type="spellEnd"/>
      <w:r>
        <w:t xml:space="preserve"> </w:t>
      </w:r>
      <w:proofErr w:type="spellStart"/>
      <w:r>
        <w:t>Ther</w:t>
      </w:r>
      <w:proofErr w:type="spellEnd"/>
      <w:r>
        <w:t>. 1999;53(5):471-81.</w:t>
      </w:r>
    </w:p>
    <w:p w14:paraId="0CAFBA96" w14:textId="22BBECE2" w:rsidR="006A6CFA" w:rsidRDefault="006A6CFA" w:rsidP="006A6CFA">
      <w:pPr>
        <w:spacing w:line="240" w:lineRule="auto"/>
      </w:pPr>
      <w:r>
        <w:t>Bucks RS, Ashworth DL, Wilcock GK, Siegfried K. Assessment of activities of daily living in dementia: development of the Bristol Activities of Daily Living Scale. Age Ageing. 1996;25(2):113-20.</w:t>
      </w:r>
    </w:p>
    <w:p w14:paraId="4C95D58C" w14:textId="44CB9DFD" w:rsidR="006A6CFA" w:rsidRDefault="006A6CFA" w:rsidP="006A6CFA">
      <w:pPr>
        <w:spacing w:line="240" w:lineRule="auto"/>
      </w:pPr>
      <w:r>
        <w:t xml:space="preserve">Barthel Activities of Daily Living (ADL) Index. </w:t>
      </w:r>
      <w:proofErr w:type="spellStart"/>
      <w:r>
        <w:t>Occas</w:t>
      </w:r>
      <w:proofErr w:type="spellEnd"/>
      <w:r>
        <w:t xml:space="preserve"> Pap R Coll Gen </w:t>
      </w:r>
      <w:proofErr w:type="spellStart"/>
      <w:r>
        <w:t>Pract</w:t>
      </w:r>
      <w:proofErr w:type="spellEnd"/>
      <w:r>
        <w:t>. 1993(59):24.</w:t>
      </w:r>
    </w:p>
    <w:p w14:paraId="2B2E3985" w14:textId="56537C7E" w:rsidR="006A6CFA" w:rsidRDefault="006A6CFA" w:rsidP="006A6CFA">
      <w:pPr>
        <w:spacing w:line="240" w:lineRule="auto"/>
      </w:pPr>
      <w:r>
        <w:t xml:space="preserve">Katz S, Downs TD, Cash HR, </w:t>
      </w:r>
      <w:proofErr w:type="spellStart"/>
      <w:r>
        <w:t>Grotz</w:t>
      </w:r>
      <w:proofErr w:type="spellEnd"/>
      <w:r>
        <w:t xml:space="preserve"> RC. Progress in development of the index of ADL. Gerontologist. 1970;10(1):20-30.</w:t>
      </w:r>
    </w:p>
    <w:p w14:paraId="27617F1B" w14:textId="3DC96180" w:rsidR="006A6CFA" w:rsidRDefault="006A6CFA" w:rsidP="006A6CFA">
      <w:pPr>
        <w:spacing w:line="240" w:lineRule="auto"/>
      </w:pPr>
      <w:r>
        <w:t xml:space="preserve">Farias ST, </w:t>
      </w:r>
      <w:proofErr w:type="spellStart"/>
      <w:r>
        <w:t>Mungas</w:t>
      </w:r>
      <w:proofErr w:type="spellEnd"/>
      <w:r>
        <w:t xml:space="preserve"> D, Reed BR, Cahn-Weiner D, </w:t>
      </w:r>
      <w:proofErr w:type="spellStart"/>
      <w:r>
        <w:t>Jagust</w:t>
      </w:r>
      <w:proofErr w:type="spellEnd"/>
      <w:r>
        <w:t xml:space="preserve"> W, </w:t>
      </w:r>
      <w:proofErr w:type="spellStart"/>
      <w:r>
        <w:t>Baynes</w:t>
      </w:r>
      <w:proofErr w:type="spellEnd"/>
      <w:r>
        <w:t xml:space="preserve"> K, et al. The measurement of everyday cognition (</w:t>
      </w:r>
      <w:proofErr w:type="spellStart"/>
      <w:r>
        <w:t>ECog</w:t>
      </w:r>
      <w:proofErr w:type="spellEnd"/>
      <w:r>
        <w:t>): scale development and psychometric properties. Neuropsychology. 2008;22(4):531-44.</w:t>
      </w:r>
    </w:p>
    <w:p w14:paraId="7518F73D" w14:textId="47AE086C" w:rsidR="006A6CFA" w:rsidRDefault="006A6CFA" w:rsidP="006A6CFA">
      <w:pPr>
        <w:spacing w:line="240" w:lineRule="auto"/>
      </w:pPr>
      <w:r>
        <w:t xml:space="preserve">Hamilton BB, Granger CV, Sherwin FS, </w:t>
      </w:r>
      <w:proofErr w:type="spellStart"/>
      <w:r>
        <w:t>Zielezny</w:t>
      </w:r>
      <w:proofErr w:type="spellEnd"/>
      <w:r>
        <w:t xml:space="preserve"> M, </w:t>
      </w:r>
      <w:proofErr w:type="spellStart"/>
      <w:r>
        <w:t>Tashman</w:t>
      </w:r>
      <w:proofErr w:type="spellEnd"/>
      <w:r>
        <w:t xml:space="preserve"> JS. A uniform national data system for medical rehabilitation. In Fuhrer MJ (ed.) Rehabilitation </w:t>
      </w:r>
      <w:r w:rsidR="003B592D">
        <w:t>Outcomes: Analysis and Measure</w:t>
      </w:r>
      <w:r>
        <w:t>ments. Baltimore: Md. Brookes, 1987: 137-147.</w:t>
      </w:r>
    </w:p>
    <w:p w14:paraId="6255F5D7" w14:textId="5B431B84" w:rsidR="006A6CFA" w:rsidRDefault="006A6CFA" w:rsidP="006A6CFA">
      <w:pPr>
        <w:spacing w:line="240" w:lineRule="auto"/>
      </w:pPr>
      <w:r>
        <w:t xml:space="preserve">Pfeffer RI, Kurosaki TT, Harrah CH, Jr., Chance JM, </w:t>
      </w:r>
      <w:proofErr w:type="spellStart"/>
      <w:r>
        <w:t>Filos</w:t>
      </w:r>
      <w:proofErr w:type="spellEnd"/>
      <w:r>
        <w:t xml:space="preserve"> S. Measurement of functional activities in older adults in the community. J </w:t>
      </w:r>
      <w:proofErr w:type="spellStart"/>
      <w:r>
        <w:t>Gerontol</w:t>
      </w:r>
      <w:proofErr w:type="spellEnd"/>
      <w:r>
        <w:t>. 1982;37(3):323-9.</w:t>
      </w:r>
    </w:p>
    <w:p w14:paraId="43FDB90E" w14:textId="7A828426" w:rsidR="00A70011" w:rsidRDefault="00A70011" w:rsidP="006A6CFA"/>
    <w:sectPr w:rsidR="00A70011" w:rsidSect="00461D53">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altName w:val="Calibr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uthor-Da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rra9sxrns9wseepxt65evxox50azxarzfpr&quot;&gt;VICCCS diagnosis&lt;record-ids&gt;&lt;item&gt;19&lt;/item&gt;&lt;item&gt;83&lt;/item&gt;&lt;item&gt;84&lt;/item&gt;&lt;item&gt;85&lt;/item&gt;&lt;item&gt;87&lt;/item&gt;&lt;item&gt;92&lt;/item&gt;&lt;item&gt;93&lt;/item&gt;&lt;item&gt;94&lt;/item&gt;&lt;item&gt;97&lt;/item&gt;&lt;item&gt;99&lt;/item&gt;&lt;item&gt;101&lt;/item&gt;&lt;item&gt;119&lt;/item&gt;&lt;item&gt;120&lt;/item&gt;&lt;item&gt;133&lt;/item&gt;&lt;item&gt;134&lt;/item&gt;&lt;/record-ids&gt;&lt;/item&gt;&lt;/Libraries&gt;"/>
  </w:docVars>
  <w:rsids>
    <w:rsidRoot w:val="00D71E66"/>
    <w:rsid w:val="00014BAF"/>
    <w:rsid w:val="000C0C43"/>
    <w:rsid w:val="000E6253"/>
    <w:rsid w:val="00102890"/>
    <w:rsid w:val="001266F2"/>
    <w:rsid w:val="00126D9E"/>
    <w:rsid w:val="00133936"/>
    <w:rsid w:val="00147968"/>
    <w:rsid w:val="001E5DEB"/>
    <w:rsid w:val="00233FB0"/>
    <w:rsid w:val="0026765D"/>
    <w:rsid w:val="002C3DF2"/>
    <w:rsid w:val="002E4F24"/>
    <w:rsid w:val="00341DF2"/>
    <w:rsid w:val="003432F5"/>
    <w:rsid w:val="00370A77"/>
    <w:rsid w:val="00375A42"/>
    <w:rsid w:val="003804CD"/>
    <w:rsid w:val="003B4393"/>
    <w:rsid w:val="003B592D"/>
    <w:rsid w:val="003F5C0C"/>
    <w:rsid w:val="004001BE"/>
    <w:rsid w:val="004604E6"/>
    <w:rsid w:val="00461D53"/>
    <w:rsid w:val="004632BB"/>
    <w:rsid w:val="00475DD5"/>
    <w:rsid w:val="004A43EE"/>
    <w:rsid w:val="004B3B9A"/>
    <w:rsid w:val="004C6E8B"/>
    <w:rsid w:val="004F7A94"/>
    <w:rsid w:val="005D6842"/>
    <w:rsid w:val="00663C49"/>
    <w:rsid w:val="006A6CFA"/>
    <w:rsid w:val="00705235"/>
    <w:rsid w:val="00735DE8"/>
    <w:rsid w:val="00793BE8"/>
    <w:rsid w:val="007E4161"/>
    <w:rsid w:val="007F0FA9"/>
    <w:rsid w:val="007F4BD5"/>
    <w:rsid w:val="007F5076"/>
    <w:rsid w:val="00931D26"/>
    <w:rsid w:val="00996ACD"/>
    <w:rsid w:val="009E2B40"/>
    <w:rsid w:val="009E5546"/>
    <w:rsid w:val="009E7011"/>
    <w:rsid w:val="00A460C5"/>
    <w:rsid w:val="00A47D47"/>
    <w:rsid w:val="00A70011"/>
    <w:rsid w:val="00AB001A"/>
    <w:rsid w:val="00AE613A"/>
    <w:rsid w:val="00AF2101"/>
    <w:rsid w:val="00B3315D"/>
    <w:rsid w:val="00C26C5D"/>
    <w:rsid w:val="00C54683"/>
    <w:rsid w:val="00CA03A1"/>
    <w:rsid w:val="00D62DCB"/>
    <w:rsid w:val="00D71E66"/>
    <w:rsid w:val="00E4794D"/>
    <w:rsid w:val="00E47FB0"/>
    <w:rsid w:val="00E55BAF"/>
    <w:rsid w:val="00E91A3F"/>
    <w:rsid w:val="00EB4AB9"/>
    <w:rsid w:val="00EC3C26"/>
    <w:rsid w:val="00F80F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93D318"/>
  <w15:chartTrackingRefBased/>
  <w15:docId w15:val="{CA9FA204-B1CF-4FEB-B8D2-46F402BA4C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71E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604E6"/>
    <w:rPr>
      <w:sz w:val="16"/>
      <w:szCs w:val="16"/>
    </w:rPr>
  </w:style>
  <w:style w:type="paragraph" w:styleId="CommentText">
    <w:name w:val="annotation text"/>
    <w:basedOn w:val="Normal"/>
    <w:link w:val="CommentTextChar"/>
    <w:uiPriority w:val="99"/>
    <w:semiHidden/>
    <w:unhideWhenUsed/>
    <w:rsid w:val="004604E6"/>
    <w:pPr>
      <w:spacing w:line="240" w:lineRule="auto"/>
    </w:pPr>
    <w:rPr>
      <w:sz w:val="20"/>
      <w:szCs w:val="20"/>
    </w:rPr>
  </w:style>
  <w:style w:type="character" w:customStyle="1" w:styleId="CommentTextChar">
    <w:name w:val="Comment Text Char"/>
    <w:basedOn w:val="DefaultParagraphFont"/>
    <w:link w:val="CommentText"/>
    <w:uiPriority w:val="99"/>
    <w:semiHidden/>
    <w:rsid w:val="004604E6"/>
    <w:rPr>
      <w:sz w:val="20"/>
      <w:szCs w:val="20"/>
    </w:rPr>
  </w:style>
  <w:style w:type="paragraph" w:styleId="CommentSubject">
    <w:name w:val="annotation subject"/>
    <w:basedOn w:val="CommentText"/>
    <w:next w:val="CommentText"/>
    <w:link w:val="CommentSubjectChar"/>
    <w:uiPriority w:val="99"/>
    <w:semiHidden/>
    <w:unhideWhenUsed/>
    <w:rsid w:val="004604E6"/>
    <w:rPr>
      <w:b/>
      <w:bCs/>
    </w:rPr>
  </w:style>
  <w:style w:type="character" w:customStyle="1" w:styleId="CommentSubjectChar">
    <w:name w:val="Comment Subject Char"/>
    <w:basedOn w:val="CommentTextChar"/>
    <w:link w:val="CommentSubject"/>
    <w:uiPriority w:val="99"/>
    <w:semiHidden/>
    <w:rsid w:val="004604E6"/>
    <w:rPr>
      <w:b/>
      <w:bCs/>
      <w:sz w:val="20"/>
      <w:szCs w:val="20"/>
    </w:rPr>
  </w:style>
  <w:style w:type="paragraph" w:styleId="BalloonText">
    <w:name w:val="Balloon Text"/>
    <w:basedOn w:val="Normal"/>
    <w:link w:val="BalloonTextChar"/>
    <w:uiPriority w:val="99"/>
    <w:semiHidden/>
    <w:unhideWhenUsed/>
    <w:rsid w:val="004604E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604E6"/>
    <w:rPr>
      <w:rFonts w:ascii="Segoe UI" w:hAnsi="Segoe UI" w:cs="Segoe UI"/>
      <w:sz w:val="18"/>
      <w:szCs w:val="18"/>
    </w:rPr>
  </w:style>
  <w:style w:type="paragraph" w:customStyle="1" w:styleId="EndNoteBibliographyTitle">
    <w:name w:val="EndNote Bibliography Title"/>
    <w:basedOn w:val="Normal"/>
    <w:link w:val="EndNoteBibliographyTitleChar"/>
    <w:rsid w:val="00A70011"/>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A70011"/>
    <w:rPr>
      <w:rFonts w:ascii="Calibri" w:hAnsi="Calibri"/>
      <w:noProof/>
      <w:lang w:val="en-US"/>
    </w:rPr>
  </w:style>
  <w:style w:type="paragraph" w:customStyle="1" w:styleId="EndNoteBibliography">
    <w:name w:val="EndNote Bibliography"/>
    <w:basedOn w:val="Normal"/>
    <w:link w:val="EndNoteBibliographyChar"/>
    <w:rsid w:val="00A70011"/>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A70011"/>
    <w:rPr>
      <w:rFonts w:ascii="Calibri" w:hAnsi="Calibri"/>
      <w:noProof/>
      <w:lang w:val="en-US"/>
    </w:rPr>
  </w:style>
  <w:style w:type="character" w:customStyle="1" w:styleId="ref-journal">
    <w:name w:val="ref-journal"/>
    <w:basedOn w:val="DefaultParagraphFont"/>
    <w:rsid w:val="00475DD5"/>
  </w:style>
  <w:style w:type="character" w:customStyle="1" w:styleId="ref-vol">
    <w:name w:val="ref-vol"/>
    <w:basedOn w:val="DefaultParagraphFont"/>
    <w:rsid w:val="00475DD5"/>
  </w:style>
  <w:style w:type="paragraph" w:styleId="Revision">
    <w:name w:val="Revision"/>
    <w:hidden/>
    <w:uiPriority w:val="99"/>
    <w:semiHidden/>
    <w:rsid w:val="006A6CF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174455">
      <w:bodyDiv w:val="1"/>
      <w:marLeft w:val="0"/>
      <w:marRight w:val="0"/>
      <w:marTop w:val="0"/>
      <w:marBottom w:val="0"/>
      <w:divBdr>
        <w:top w:val="none" w:sz="0" w:space="0" w:color="auto"/>
        <w:left w:val="none" w:sz="0" w:space="0" w:color="auto"/>
        <w:bottom w:val="none" w:sz="0" w:space="0" w:color="auto"/>
        <w:right w:val="none" w:sz="0" w:space="0" w:color="auto"/>
      </w:divBdr>
    </w:div>
    <w:div w:id="265427128">
      <w:bodyDiv w:val="1"/>
      <w:marLeft w:val="0"/>
      <w:marRight w:val="0"/>
      <w:marTop w:val="0"/>
      <w:marBottom w:val="0"/>
      <w:divBdr>
        <w:top w:val="none" w:sz="0" w:space="0" w:color="auto"/>
        <w:left w:val="none" w:sz="0" w:space="0" w:color="auto"/>
        <w:bottom w:val="none" w:sz="0" w:space="0" w:color="auto"/>
        <w:right w:val="none" w:sz="0" w:space="0" w:color="auto"/>
      </w:divBdr>
    </w:div>
    <w:div w:id="917205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chart" Target="charts/chart2.xml"/><Relationship Id="rId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Authors</a:t>
            </a:r>
            <a:r>
              <a:rPr lang="en-US" baseline="0"/>
              <a:t> professions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Sheet1!$B$1</c:f>
              <c:strCache>
                <c:ptCount val="1"/>
                <c:pt idx="0">
                  <c:v>% of authors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Sheet1!$A$2:$A$22</c:f>
              <c:strCache>
                <c:ptCount val="21"/>
                <c:pt idx="0">
                  <c:v>Biochemist</c:v>
                </c:pt>
                <c:pt idx="1">
                  <c:v>Cell Biologist</c:v>
                </c:pt>
                <c:pt idx="2">
                  <c:v>Nurse</c:v>
                </c:pt>
                <c:pt idx="3">
                  <c:v>Neuroradiologist</c:v>
                </c:pt>
                <c:pt idx="4">
                  <c:v>Statistician</c:v>
                </c:pt>
                <c:pt idx="5">
                  <c:v>Professor of Public Health</c:v>
                </c:pt>
                <c:pt idx="6">
                  <c:v>Trialist</c:v>
                </c:pt>
                <c:pt idx="7">
                  <c:v>Neurophysiologist</c:v>
                </c:pt>
                <c:pt idx="8">
                  <c:v>Psychometrics</c:v>
                </c:pt>
                <c:pt idx="9">
                  <c:v>Neuroscientist</c:v>
                </c:pt>
                <c:pt idx="10">
                  <c:v>Pharmacologist</c:v>
                </c:pt>
                <c:pt idx="11">
                  <c:v>Neuroimager</c:v>
                </c:pt>
                <c:pt idx="12">
                  <c:v>Geneticist</c:v>
                </c:pt>
                <c:pt idx="13">
                  <c:v>Stroke Physician</c:v>
                </c:pt>
                <c:pt idx="14">
                  <c:v>Internist- specialism neurology/stroke/geriatric</c:v>
                </c:pt>
                <c:pt idx="15">
                  <c:v>Neuropathologist</c:v>
                </c:pt>
                <c:pt idx="16">
                  <c:v>Epidemiologist (clinical/molecular)</c:v>
                </c:pt>
                <c:pt idx="17">
                  <c:v>Geriatrician</c:v>
                </c:pt>
                <c:pt idx="18">
                  <c:v>Psychiatrist</c:v>
                </c:pt>
                <c:pt idx="19">
                  <c:v>Psychologist (Neuro or Clinical)</c:v>
                </c:pt>
                <c:pt idx="20">
                  <c:v>Neurologist</c:v>
                </c:pt>
              </c:strCache>
            </c:strRef>
          </c:cat>
          <c:val>
            <c:numRef>
              <c:f>Sheet1!$B$2:$B$22</c:f>
              <c:numCache>
                <c:formatCode>General</c:formatCode>
                <c:ptCount val="21"/>
                <c:pt idx="0">
                  <c:v>1</c:v>
                </c:pt>
                <c:pt idx="1">
                  <c:v>1</c:v>
                </c:pt>
                <c:pt idx="2">
                  <c:v>1</c:v>
                </c:pt>
                <c:pt idx="3">
                  <c:v>1</c:v>
                </c:pt>
                <c:pt idx="4">
                  <c:v>1</c:v>
                </c:pt>
                <c:pt idx="5">
                  <c:v>1</c:v>
                </c:pt>
                <c:pt idx="6">
                  <c:v>1</c:v>
                </c:pt>
                <c:pt idx="7">
                  <c:v>1</c:v>
                </c:pt>
                <c:pt idx="8">
                  <c:v>1</c:v>
                </c:pt>
                <c:pt idx="9">
                  <c:v>2</c:v>
                </c:pt>
                <c:pt idx="10">
                  <c:v>2</c:v>
                </c:pt>
                <c:pt idx="11">
                  <c:v>2</c:v>
                </c:pt>
                <c:pt idx="12">
                  <c:v>3</c:v>
                </c:pt>
                <c:pt idx="13">
                  <c:v>3</c:v>
                </c:pt>
                <c:pt idx="14">
                  <c:v>4</c:v>
                </c:pt>
                <c:pt idx="15">
                  <c:v>10</c:v>
                </c:pt>
                <c:pt idx="16">
                  <c:v>11</c:v>
                </c:pt>
                <c:pt idx="17">
                  <c:v>11</c:v>
                </c:pt>
                <c:pt idx="18">
                  <c:v>12</c:v>
                </c:pt>
                <c:pt idx="19">
                  <c:v>16</c:v>
                </c:pt>
                <c:pt idx="20">
                  <c:v>45</c:v>
                </c:pt>
              </c:numCache>
            </c:numRef>
          </c:val>
          <c:extLst>
            <c:ext xmlns:c16="http://schemas.microsoft.com/office/drawing/2014/chart" uri="{C3380CC4-5D6E-409C-BE32-E72D297353CC}">
              <c16:uniqueId val="{00000000-F6F5-4ADE-812F-CA6A5DBF26E5}"/>
            </c:ext>
          </c:extLst>
        </c:ser>
        <c:dLbls>
          <c:showLegendKey val="0"/>
          <c:showVal val="0"/>
          <c:showCatName val="0"/>
          <c:showSerName val="0"/>
          <c:showPercent val="0"/>
          <c:showBubbleSize val="0"/>
        </c:dLbls>
        <c:gapWidth val="182"/>
        <c:axId val="459843016"/>
        <c:axId val="460834392"/>
      </c:barChart>
      <c:catAx>
        <c:axId val="4598430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0834392"/>
        <c:crosses val="autoZero"/>
        <c:auto val="1"/>
        <c:lblAlgn val="ctr"/>
        <c:lblOffset val="100"/>
        <c:noMultiLvlLbl val="0"/>
      </c:catAx>
      <c:valAx>
        <c:axId val="460834392"/>
        <c:scaling>
          <c:orientation val="minMax"/>
        </c:scaling>
        <c:delete val="1"/>
        <c:axPos val="b"/>
        <c:numFmt formatCode="General" sourceLinked="1"/>
        <c:majorTickMark val="none"/>
        <c:minorTickMark val="none"/>
        <c:tickLblPos val="nextTo"/>
        <c:crossAx val="4598430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Author affiliations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Sheet1!$B$1</c:f>
              <c:strCache>
                <c:ptCount val="1"/>
                <c:pt idx="0">
                  <c:v>Percentage of authors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Retired clinican. Chair local stroke research network</c:v>
                </c:pt>
                <c:pt idx="1">
                  <c:v>Clinician with both university and private sector connection</c:v>
                </c:pt>
                <c:pt idx="2">
                  <c:v>Private sector researcher</c:v>
                </c:pt>
                <c:pt idx="3">
                  <c:v>Clinician + research</c:v>
                </c:pt>
                <c:pt idx="4">
                  <c:v>Private sector researcher with university connections</c:v>
                </c:pt>
                <c:pt idx="5">
                  <c:v>Academic Researcher + public sector/ clinical work</c:v>
                </c:pt>
                <c:pt idx="6">
                  <c:v>Clinician</c:v>
                </c:pt>
                <c:pt idx="7">
                  <c:v>Clinician with university connections</c:v>
                </c:pt>
                <c:pt idx="8">
                  <c:v>Academic Researcher who consults for the private sector</c:v>
                </c:pt>
                <c:pt idx="9">
                  <c:v>Academic Researcher</c:v>
                </c:pt>
              </c:strCache>
            </c:strRef>
          </c:cat>
          <c:val>
            <c:numRef>
              <c:f>Sheet1!$B$2:$B$11</c:f>
              <c:numCache>
                <c:formatCode>0</c:formatCode>
                <c:ptCount val="10"/>
                <c:pt idx="0">
                  <c:v>0.7</c:v>
                </c:pt>
                <c:pt idx="1">
                  <c:v>1.3</c:v>
                </c:pt>
                <c:pt idx="2">
                  <c:v>2</c:v>
                </c:pt>
                <c:pt idx="3">
                  <c:v>2.7</c:v>
                </c:pt>
                <c:pt idx="4">
                  <c:v>3.3</c:v>
                </c:pt>
                <c:pt idx="5">
                  <c:v>3.3</c:v>
                </c:pt>
                <c:pt idx="6">
                  <c:v>4</c:v>
                </c:pt>
                <c:pt idx="7">
                  <c:v>4.7</c:v>
                </c:pt>
                <c:pt idx="8">
                  <c:v>9.3000000000000007</c:v>
                </c:pt>
                <c:pt idx="9">
                  <c:v>68.7</c:v>
                </c:pt>
              </c:numCache>
            </c:numRef>
          </c:val>
          <c:extLst>
            <c:ext xmlns:c16="http://schemas.microsoft.com/office/drawing/2014/chart" uri="{C3380CC4-5D6E-409C-BE32-E72D297353CC}">
              <c16:uniqueId val="{00000000-966B-4080-8C3D-17BF86054347}"/>
            </c:ext>
          </c:extLst>
        </c:ser>
        <c:dLbls>
          <c:showLegendKey val="0"/>
          <c:showVal val="0"/>
          <c:showCatName val="0"/>
          <c:showSerName val="0"/>
          <c:showPercent val="0"/>
          <c:showBubbleSize val="0"/>
        </c:dLbls>
        <c:gapWidth val="182"/>
        <c:axId val="460835568"/>
        <c:axId val="460829296"/>
      </c:barChart>
      <c:catAx>
        <c:axId val="4608355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0829296"/>
        <c:crosses val="autoZero"/>
        <c:auto val="1"/>
        <c:lblAlgn val="ctr"/>
        <c:lblOffset val="100"/>
        <c:noMultiLvlLbl val="0"/>
      </c:catAx>
      <c:valAx>
        <c:axId val="460829296"/>
        <c:scaling>
          <c:orientation val="minMax"/>
        </c:scaling>
        <c:delete val="1"/>
        <c:axPos val="b"/>
        <c:numFmt formatCode="0" sourceLinked="1"/>
        <c:majorTickMark val="none"/>
        <c:minorTickMark val="none"/>
        <c:tickLblPos val="nextTo"/>
        <c:crossAx val="4608355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1566</Words>
  <Characters>8931</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Bristol</Company>
  <LinksUpToDate>false</LinksUpToDate>
  <CharactersWithSpaces>10477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OA Skrobot</dc:creator>
  <cp:keywords/>
  <dc:description/>
  <cp:lastModifiedBy>Olivia Skrobot</cp:lastModifiedBy>
  <cp:revision>3</cp:revision>
  <dcterms:created xsi:type="dcterms:W3CDTF">2017-08-31T11:11:00Z</dcterms:created>
  <dcterms:modified xsi:type="dcterms:W3CDTF">2017-08-31T11:11:00Z</dcterms:modified>
</cp:coreProperties>
</file>