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5F78" w:rsidRDefault="009C5F78" w:rsidP="009C5F78">
      <w:pPr>
        <w:spacing w:line="480" w:lineRule="auto"/>
        <w:jc w:val="left"/>
        <w:rPr>
          <w:b/>
        </w:rPr>
      </w:pPr>
      <w:bookmarkStart w:id="0" w:name="_GoBack"/>
      <w:r w:rsidRPr="00D0176D">
        <w:rPr>
          <w:b/>
        </w:rPr>
        <w:t>Cost</w:t>
      </w:r>
      <w:r>
        <w:rPr>
          <w:b/>
        </w:rPr>
        <w:t>-</w:t>
      </w:r>
      <w:r w:rsidRPr="00D0176D">
        <w:rPr>
          <w:b/>
        </w:rPr>
        <w:t>effectiveness of optimising acute stroke</w:t>
      </w:r>
      <w:r>
        <w:rPr>
          <w:b/>
        </w:rPr>
        <w:t xml:space="preserve"> care services for thrombolysis</w:t>
      </w:r>
    </w:p>
    <w:bookmarkEnd w:id="0"/>
    <w:p w:rsidR="009C5F78" w:rsidRDefault="009C5F78" w:rsidP="009C5F78">
      <w:pPr>
        <w:spacing w:line="480" w:lineRule="auto"/>
        <w:jc w:val="left"/>
      </w:pPr>
      <w:r>
        <w:t>Cover title: Cost-effectiveness of acute stroke care</w:t>
      </w:r>
    </w:p>
    <w:p w:rsidR="009C5F78" w:rsidRDefault="009C5F78" w:rsidP="009C5F78">
      <w:pPr>
        <w:spacing w:line="480" w:lineRule="auto"/>
        <w:jc w:val="left"/>
      </w:pPr>
    </w:p>
    <w:p w:rsidR="009C5F78" w:rsidRDefault="009C5F78" w:rsidP="009C5F78">
      <w:pPr>
        <w:spacing w:line="480" w:lineRule="auto"/>
        <w:jc w:val="left"/>
        <w:rPr>
          <w:b/>
        </w:rPr>
      </w:pPr>
      <w:r>
        <w:t>Maria Cristina Penaloza-Ramos, MA;</w:t>
      </w:r>
      <w:r>
        <w:rPr>
          <w:vertAlign w:val="superscript"/>
        </w:rPr>
        <w:t>1</w:t>
      </w:r>
      <w:r>
        <w:t xml:space="preserve"> James P Sheppard, </w:t>
      </w:r>
      <w:r w:rsidRPr="00091D9F">
        <w:t>PhD</w:t>
      </w:r>
      <w:r>
        <w:t>;</w:t>
      </w:r>
      <w:r w:rsidRPr="00091D9F">
        <w:rPr>
          <w:vertAlign w:val="superscript"/>
        </w:rPr>
        <w:t>2</w:t>
      </w:r>
      <w:r>
        <w:rPr>
          <w:vertAlign w:val="superscript"/>
        </w:rPr>
        <w:t>,3</w:t>
      </w:r>
      <w:r w:rsidRPr="00091D9F">
        <w:t xml:space="preserve">  Sue</w:t>
      </w:r>
      <w:r>
        <w:t xml:space="preserve"> Jowett, PhD;</w:t>
      </w:r>
      <w:r>
        <w:rPr>
          <w:vertAlign w:val="superscript"/>
        </w:rPr>
        <w:t>1</w:t>
      </w:r>
      <w:r>
        <w:t xml:space="preserve"> Pelham Barton, PhD;</w:t>
      </w:r>
      <w:r>
        <w:rPr>
          <w:vertAlign w:val="superscript"/>
        </w:rPr>
        <w:t>1</w:t>
      </w:r>
      <w:r>
        <w:t xml:space="preserve"> </w:t>
      </w:r>
      <w:r w:rsidRPr="00D10B19">
        <w:t>Jonathan Mant, MD;</w:t>
      </w:r>
      <w:r>
        <w:rPr>
          <w:vertAlign w:val="superscript"/>
        </w:rPr>
        <w:t>4</w:t>
      </w:r>
      <w:r w:rsidRPr="00D10B19">
        <w:t xml:space="preserve"> Tom Quinn, FRCN;</w:t>
      </w:r>
      <w:r>
        <w:rPr>
          <w:vertAlign w:val="superscript"/>
        </w:rPr>
        <w:t>5</w:t>
      </w:r>
      <w:r w:rsidRPr="00D10B19">
        <w:t xml:space="preserve"> Ruth M Mellor, PhD;</w:t>
      </w:r>
      <w:r>
        <w:rPr>
          <w:vertAlign w:val="superscript"/>
        </w:rPr>
        <w:t>3</w:t>
      </w:r>
      <w:r w:rsidRPr="00D10B19">
        <w:t xml:space="preserve"> Don Sims</w:t>
      </w:r>
      <w:r>
        <w:t>, MBChB</w:t>
      </w:r>
      <w:r w:rsidRPr="00D10B19">
        <w:t>;</w:t>
      </w:r>
      <w:r w:rsidRPr="00D10B19">
        <w:rPr>
          <w:vertAlign w:val="superscript"/>
        </w:rPr>
        <w:t>6</w:t>
      </w:r>
      <w:r w:rsidRPr="00D10B19">
        <w:rPr>
          <w:i/>
        </w:rPr>
        <w:t xml:space="preserve"> </w:t>
      </w:r>
      <w:r w:rsidRPr="00D10B19">
        <w:t>David Sandler,</w:t>
      </w:r>
      <w:r w:rsidRPr="000F26F1">
        <w:t xml:space="preserve"> </w:t>
      </w:r>
      <w:r>
        <w:t>MBChB;</w:t>
      </w:r>
      <w:r w:rsidRPr="00D10B19">
        <w:rPr>
          <w:vertAlign w:val="superscript"/>
        </w:rPr>
        <w:t>7</w:t>
      </w:r>
      <w:r>
        <w:rPr>
          <w:i/>
        </w:rPr>
        <w:t xml:space="preserve"> </w:t>
      </w:r>
      <w:r>
        <w:t>and Richard J McManus, FRCGP</w:t>
      </w:r>
      <w:r>
        <w:rPr>
          <w:vertAlign w:val="superscript"/>
        </w:rPr>
        <w:t>2</w:t>
      </w:r>
      <w:r>
        <w:rPr>
          <w:b/>
        </w:rPr>
        <w:t xml:space="preserve"> </w:t>
      </w:r>
      <w:r>
        <w:rPr>
          <w:rFonts w:cs="Times New Roman"/>
          <w:szCs w:val="24"/>
        </w:rPr>
        <w:t>on behalf of the BBC CLAHRC investigators*</w:t>
      </w:r>
    </w:p>
    <w:p w:rsidR="009C5F78" w:rsidRDefault="009C5F78" w:rsidP="009C5F78">
      <w:pPr>
        <w:spacing w:line="480" w:lineRule="auto"/>
        <w:jc w:val="left"/>
        <w:rPr>
          <w:rFonts w:cs="Times New Roman"/>
          <w:szCs w:val="24"/>
          <w:vertAlign w:val="superscript"/>
        </w:rPr>
      </w:pPr>
      <w:r>
        <w:rPr>
          <w:rFonts w:cs="Times New Roman"/>
          <w:szCs w:val="24"/>
          <w:vertAlign w:val="superscript"/>
        </w:rPr>
        <w:t xml:space="preserve"> </w:t>
      </w:r>
    </w:p>
    <w:p w:rsidR="009C5F78" w:rsidRDefault="009C5F78" w:rsidP="009C5F78">
      <w:pPr>
        <w:spacing w:line="480" w:lineRule="auto"/>
        <w:jc w:val="left"/>
        <w:rPr>
          <w:rFonts w:cs="Times New Roman"/>
          <w:szCs w:val="24"/>
        </w:rPr>
      </w:pPr>
      <w:r>
        <w:rPr>
          <w:rFonts w:cs="Times New Roman"/>
          <w:szCs w:val="24"/>
          <w:vertAlign w:val="superscript"/>
        </w:rPr>
        <w:t>1</w:t>
      </w:r>
      <w:r>
        <w:rPr>
          <w:rFonts w:cs="Times New Roman"/>
          <w:szCs w:val="24"/>
        </w:rPr>
        <w:t>Health Economics Unit, University of Birmingham, Edgbaston, Birmingham, B15 2TT</w:t>
      </w:r>
    </w:p>
    <w:p w:rsidR="009C5F78" w:rsidRDefault="009C5F78" w:rsidP="009C5F78">
      <w:pPr>
        <w:spacing w:line="480" w:lineRule="auto"/>
        <w:jc w:val="left"/>
        <w:rPr>
          <w:rFonts w:cs="Times New Roman"/>
          <w:szCs w:val="24"/>
        </w:rPr>
      </w:pPr>
      <w:r>
        <w:rPr>
          <w:rFonts w:cs="Times New Roman"/>
          <w:szCs w:val="24"/>
          <w:vertAlign w:val="superscript"/>
        </w:rPr>
        <w:t>2</w:t>
      </w:r>
      <w:r>
        <w:rPr>
          <w:rFonts w:cs="Times New Roman"/>
          <w:szCs w:val="24"/>
          <w:lang w:eastAsia="en-GB"/>
        </w:rPr>
        <w:t>Department of Primary Care Health Sciences, University of Oxford, Oxford, OX2 6GG</w:t>
      </w:r>
      <w:r>
        <w:rPr>
          <w:rFonts w:cs="Times New Roman"/>
          <w:szCs w:val="24"/>
        </w:rPr>
        <w:t xml:space="preserve"> </w:t>
      </w:r>
    </w:p>
    <w:p w:rsidR="009C5F78" w:rsidRDefault="009C5F78" w:rsidP="009C5F78">
      <w:pPr>
        <w:spacing w:after="120" w:line="480" w:lineRule="auto"/>
        <w:rPr>
          <w:rFonts w:cs="Times New Roman"/>
          <w:szCs w:val="24"/>
          <w:vertAlign w:val="superscript"/>
        </w:rPr>
      </w:pPr>
      <w:r>
        <w:rPr>
          <w:rFonts w:cs="Times New Roman"/>
          <w:szCs w:val="24"/>
          <w:vertAlign w:val="superscript"/>
        </w:rPr>
        <w:t>3</w:t>
      </w:r>
      <w:r>
        <w:rPr>
          <w:rFonts w:cs="Times New Roman"/>
          <w:szCs w:val="24"/>
        </w:rPr>
        <w:t xml:space="preserve">Primary Care Clinical Sciences, University of Birmingham, Edgbaston, Birmingham, B15 2TT </w:t>
      </w:r>
    </w:p>
    <w:p w:rsidR="009C5F78" w:rsidRDefault="009C5F78" w:rsidP="009C5F78">
      <w:pPr>
        <w:spacing w:after="120" w:line="480" w:lineRule="auto"/>
        <w:rPr>
          <w:rFonts w:cs="Times New Roman"/>
          <w:iCs/>
          <w:szCs w:val="24"/>
        </w:rPr>
      </w:pPr>
      <w:r>
        <w:rPr>
          <w:rFonts w:cs="Times New Roman"/>
          <w:szCs w:val="24"/>
          <w:vertAlign w:val="superscript"/>
        </w:rPr>
        <w:t>4</w:t>
      </w:r>
      <w:r>
        <w:rPr>
          <w:rFonts w:cs="Times New Roman"/>
          <w:iCs/>
          <w:szCs w:val="24"/>
        </w:rPr>
        <w:t>Primary Care Unit, University of Cambridge, Cambridge, CB2 0SR</w:t>
      </w:r>
    </w:p>
    <w:p w:rsidR="009C5F78" w:rsidRDefault="009C5F78" w:rsidP="009C5F78">
      <w:pPr>
        <w:spacing w:after="120" w:line="480" w:lineRule="auto"/>
        <w:rPr>
          <w:rFonts w:cs="Times New Roman"/>
          <w:szCs w:val="24"/>
          <w:shd w:val="clear" w:color="auto" w:fill="FFFFFF"/>
        </w:rPr>
      </w:pPr>
      <w:r>
        <w:rPr>
          <w:rFonts w:cs="Times New Roman"/>
          <w:iCs/>
          <w:szCs w:val="24"/>
          <w:vertAlign w:val="superscript"/>
        </w:rPr>
        <w:t>5</w:t>
      </w:r>
      <w:r>
        <w:rPr>
          <w:rFonts w:cs="Times New Roman"/>
          <w:iCs/>
          <w:szCs w:val="24"/>
        </w:rPr>
        <w:t xml:space="preserve">Faculty of Health and Medical Sciences, University of Surrey, </w:t>
      </w:r>
      <w:r>
        <w:rPr>
          <w:rFonts w:cs="Times New Roman"/>
          <w:szCs w:val="24"/>
          <w:shd w:val="clear" w:color="auto" w:fill="FFFFFF"/>
        </w:rPr>
        <w:t>Guildford,</w:t>
      </w:r>
      <w:r>
        <w:rPr>
          <w:rFonts w:cs="Times New Roman"/>
          <w:szCs w:val="24"/>
        </w:rPr>
        <w:t xml:space="preserve"> </w:t>
      </w:r>
      <w:r>
        <w:rPr>
          <w:rFonts w:cs="Times New Roman"/>
          <w:szCs w:val="24"/>
          <w:shd w:val="clear" w:color="auto" w:fill="FFFFFF"/>
        </w:rPr>
        <w:t>GU2 7XH</w:t>
      </w:r>
    </w:p>
    <w:p w:rsidR="009C5F78" w:rsidRDefault="009C5F78" w:rsidP="009C5F78">
      <w:pPr>
        <w:spacing w:after="120" w:line="480" w:lineRule="auto"/>
        <w:rPr>
          <w:rFonts w:cs="Times New Roman"/>
          <w:szCs w:val="24"/>
        </w:rPr>
      </w:pPr>
      <w:r>
        <w:rPr>
          <w:rFonts w:cs="Times New Roman"/>
          <w:szCs w:val="24"/>
          <w:vertAlign w:val="superscript"/>
        </w:rPr>
        <w:t>6</w:t>
      </w:r>
      <w:r>
        <w:rPr>
          <w:rFonts w:cs="Times New Roman"/>
          <w:szCs w:val="24"/>
        </w:rPr>
        <w:t>University Hospitals Birmingham NHS Foundation Trust, Birmingham, B15 2WB</w:t>
      </w:r>
    </w:p>
    <w:p w:rsidR="009C5F78" w:rsidRDefault="009C5F78" w:rsidP="009C5F78">
      <w:pPr>
        <w:spacing w:line="480" w:lineRule="auto"/>
        <w:jc w:val="left"/>
        <w:rPr>
          <w:rFonts w:cs="Times New Roman"/>
          <w:szCs w:val="24"/>
          <w:lang w:eastAsia="en-GB"/>
        </w:rPr>
      </w:pPr>
      <w:r>
        <w:rPr>
          <w:rFonts w:cs="Times New Roman"/>
          <w:szCs w:val="24"/>
          <w:vertAlign w:val="superscript"/>
        </w:rPr>
        <w:t>7</w:t>
      </w:r>
      <w:r>
        <w:rPr>
          <w:rFonts w:cs="Times New Roman"/>
          <w:szCs w:val="24"/>
        </w:rPr>
        <w:t>Heart of England NHS Foundation Trust, Birmingham, B9 5SS</w:t>
      </w:r>
    </w:p>
    <w:p w:rsidR="009C5F78" w:rsidRDefault="009C5F78" w:rsidP="009C5F78">
      <w:pPr>
        <w:spacing w:line="480" w:lineRule="auto"/>
        <w:jc w:val="left"/>
        <w:rPr>
          <w:rFonts w:cs="Times New Roman"/>
          <w:b/>
          <w:szCs w:val="24"/>
        </w:rPr>
      </w:pPr>
    </w:p>
    <w:p w:rsidR="009C5F78" w:rsidRDefault="009C5F78" w:rsidP="009C5F78">
      <w:pPr>
        <w:spacing w:line="480" w:lineRule="auto"/>
        <w:jc w:val="left"/>
        <w:rPr>
          <w:rStyle w:val="Hyperlink"/>
          <w:szCs w:val="24"/>
          <w:bdr w:val="none" w:sz="0" w:space="0" w:color="auto" w:frame="1"/>
        </w:rPr>
      </w:pPr>
      <w:r w:rsidRPr="00AA675C">
        <w:rPr>
          <w:rFonts w:cs="Times New Roman"/>
          <w:b/>
          <w:szCs w:val="24"/>
        </w:rPr>
        <w:t>Corresponding Author:</w:t>
      </w:r>
      <w:r w:rsidRPr="00AA675C">
        <w:rPr>
          <w:rFonts w:cs="Times New Roman"/>
          <w:szCs w:val="24"/>
        </w:rPr>
        <w:t xml:space="preserve"> </w:t>
      </w:r>
      <w:hyperlink r:id="rId8" w:history="1">
        <w:r w:rsidRPr="00EC429C">
          <w:rPr>
            <w:rStyle w:val="Hyperlink"/>
            <w:szCs w:val="24"/>
            <w:bdr w:val="none" w:sz="0" w:space="0" w:color="auto" w:frame="1"/>
          </w:rPr>
          <w:t>james.sheppard@phc.ox.ac.uk</w:t>
        </w:r>
      </w:hyperlink>
    </w:p>
    <w:p w:rsidR="009C5F78" w:rsidRDefault="009C5F78" w:rsidP="009C5F78">
      <w:pPr>
        <w:spacing w:line="480" w:lineRule="auto"/>
        <w:jc w:val="left"/>
        <w:rPr>
          <w:rFonts w:cs="Times New Roman"/>
          <w:color w:val="000000"/>
          <w:szCs w:val="24"/>
          <w:shd w:val="clear" w:color="auto" w:fill="FFFFFF"/>
        </w:rPr>
      </w:pPr>
      <w:r w:rsidRPr="00494AB7">
        <w:rPr>
          <w:rFonts w:cs="Times New Roman"/>
          <w:b/>
          <w:color w:val="000000"/>
          <w:szCs w:val="24"/>
          <w:shd w:val="clear" w:color="auto" w:fill="FFFFFF"/>
        </w:rPr>
        <w:t>Telephone:</w:t>
      </w:r>
      <w:r>
        <w:rPr>
          <w:rFonts w:cs="Times New Roman"/>
          <w:color w:val="000000"/>
          <w:szCs w:val="24"/>
          <w:shd w:val="clear" w:color="auto" w:fill="FFFFFF"/>
        </w:rPr>
        <w:t xml:space="preserve"> </w:t>
      </w:r>
      <w:r w:rsidR="006260B6">
        <w:rPr>
          <w:rFonts w:cs="Times New Roman"/>
          <w:color w:val="000000"/>
          <w:szCs w:val="24"/>
          <w:shd w:val="clear" w:color="auto" w:fill="FFFFFF"/>
        </w:rPr>
        <w:t>+44(0)1865 617192</w:t>
      </w:r>
    </w:p>
    <w:p w:rsidR="009C5F78" w:rsidRDefault="009C5F78" w:rsidP="009C5F78">
      <w:pPr>
        <w:spacing w:line="480" w:lineRule="auto"/>
        <w:jc w:val="left"/>
        <w:rPr>
          <w:rFonts w:cs="Times New Roman"/>
          <w:color w:val="000000"/>
          <w:szCs w:val="24"/>
          <w:shd w:val="clear" w:color="auto" w:fill="FFFFFF"/>
        </w:rPr>
      </w:pPr>
      <w:r w:rsidRPr="00494AB7">
        <w:rPr>
          <w:rFonts w:cs="Times New Roman"/>
          <w:b/>
          <w:color w:val="000000"/>
          <w:szCs w:val="24"/>
          <w:shd w:val="clear" w:color="auto" w:fill="FFFFFF"/>
        </w:rPr>
        <w:t>Fax:</w:t>
      </w:r>
      <w:r>
        <w:rPr>
          <w:rFonts w:cs="Times New Roman"/>
          <w:color w:val="000000"/>
          <w:szCs w:val="24"/>
          <w:shd w:val="clear" w:color="auto" w:fill="FFFFFF"/>
        </w:rPr>
        <w:t xml:space="preserve"> </w:t>
      </w:r>
      <w:r w:rsidR="006260B6">
        <w:rPr>
          <w:rFonts w:cs="Times New Roman"/>
          <w:color w:val="000000"/>
          <w:szCs w:val="24"/>
          <w:shd w:val="clear" w:color="auto" w:fill="FFFFFF"/>
        </w:rPr>
        <w:t>+44(0)</w:t>
      </w:r>
      <w:r w:rsidR="006260B6">
        <w:rPr>
          <w:lang w:eastAsia="en-GB"/>
        </w:rPr>
        <w:t>1865 289287</w:t>
      </w:r>
    </w:p>
    <w:p w:rsidR="006260B6" w:rsidRDefault="006260B6" w:rsidP="009C5F78">
      <w:pPr>
        <w:spacing w:line="480" w:lineRule="auto"/>
        <w:rPr>
          <w:rFonts w:cs="Times New Roman"/>
          <w:szCs w:val="24"/>
        </w:rPr>
      </w:pPr>
    </w:p>
    <w:p w:rsidR="009C5F78" w:rsidRDefault="009C5F78" w:rsidP="009C5F78">
      <w:pPr>
        <w:spacing w:line="480" w:lineRule="auto"/>
        <w:rPr>
          <w:rFonts w:cs="Times New Roman"/>
          <w:szCs w:val="24"/>
        </w:rPr>
      </w:pPr>
      <w:r w:rsidRPr="005D00FC">
        <w:rPr>
          <w:rFonts w:cs="Times New Roman"/>
          <w:szCs w:val="24"/>
        </w:rPr>
        <w:t xml:space="preserve">*Birmingham and Black Country Collaborations for Leadership in Applied Health Research and Care investigators </w:t>
      </w:r>
      <w:r w:rsidR="001E0C24">
        <w:rPr>
          <w:rFonts w:cs="Times New Roman"/>
          <w:szCs w:val="24"/>
        </w:rPr>
        <w:t>are listed in the appendix (at the end of this manuscript)</w:t>
      </w:r>
    </w:p>
    <w:p w:rsidR="009C5F78" w:rsidRPr="00494AB7" w:rsidRDefault="009C5F78" w:rsidP="009C5F78">
      <w:pPr>
        <w:spacing w:line="480" w:lineRule="auto"/>
        <w:jc w:val="left"/>
        <w:rPr>
          <w:rFonts w:cs="Times New Roman"/>
          <w:i/>
          <w:szCs w:val="24"/>
        </w:rPr>
      </w:pPr>
    </w:p>
    <w:p w:rsidR="009C5F78" w:rsidRPr="00494AB7" w:rsidRDefault="009C5F78" w:rsidP="009C5F78">
      <w:pPr>
        <w:spacing w:line="480" w:lineRule="auto"/>
        <w:jc w:val="left"/>
        <w:rPr>
          <w:rFonts w:cs="Times New Roman"/>
          <w:b/>
          <w:szCs w:val="24"/>
        </w:rPr>
      </w:pPr>
      <w:r w:rsidRPr="00494AB7">
        <w:rPr>
          <w:rFonts w:cs="Times New Roman"/>
          <w:b/>
          <w:szCs w:val="24"/>
        </w:rPr>
        <w:t>Tables:</w:t>
      </w:r>
    </w:p>
    <w:p w:rsidR="009C5F78" w:rsidRPr="00494AB7" w:rsidRDefault="009C5F78" w:rsidP="009C5F78">
      <w:pPr>
        <w:spacing w:line="480" w:lineRule="auto"/>
        <w:jc w:val="left"/>
        <w:rPr>
          <w:bCs/>
          <w:szCs w:val="24"/>
        </w:rPr>
      </w:pPr>
      <w:r w:rsidRPr="00494AB7">
        <w:rPr>
          <w:bCs/>
          <w:szCs w:val="24"/>
        </w:rPr>
        <w:t>Table 1. Change strategies in the optimisation of acute stroke care for thrombolysis</w:t>
      </w:r>
    </w:p>
    <w:p w:rsidR="009C5F78" w:rsidRPr="00494AB7" w:rsidRDefault="009C5F78" w:rsidP="009C5F78">
      <w:pPr>
        <w:spacing w:line="480" w:lineRule="auto"/>
        <w:jc w:val="left"/>
      </w:pPr>
      <w:r w:rsidRPr="00494AB7">
        <w:lastRenderedPageBreak/>
        <w:t>Table 2. Parameters used in the decision-tree model</w:t>
      </w:r>
    </w:p>
    <w:p w:rsidR="009C5F78" w:rsidRPr="00494AB7" w:rsidRDefault="009C5F78" w:rsidP="009C5F78">
      <w:pPr>
        <w:spacing w:line="480" w:lineRule="auto"/>
        <w:jc w:val="left"/>
        <w:rPr>
          <w:rFonts w:cs="Times New Roman"/>
          <w:szCs w:val="24"/>
        </w:rPr>
      </w:pPr>
      <w:r w:rsidRPr="00494AB7">
        <w:rPr>
          <w:rFonts w:cs="Times New Roman"/>
          <w:szCs w:val="24"/>
        </w:rPr>
        <w:t>Table 3. Patient characteristics in basecase</w:t>
      </w:r>
    </w:p>
    <w:p w:rsidR="009C5F78" w:rsidRPr="00494AB7" w:rsidRDefault="009C5F78" w:rsidP="009C5F78">
      <w:pPr>
        <w:spacing w:line="480" w:lineRule="auto"/>
        <w:jc w:val="left"/>
        <w:rPr>
          <w:rFonts w:cs="Times New Roman"/>
          <w:szCs w:val="24"/>
        </w:rPr>
      </w:pPr>
      <w:r w:rsidRPr="00494AB7">
        <w:rPr>
          <w:rFonts w:cs="Times New Roman"/>
          <w:szCs w:val="24"/>
        </w:rPr>
        <w:t>Table 4. Effect of change strategies on main lifetime costs and outcomes o</w:t>
      </w:r>
      <w:r>
        <w:rPr>
          <w:rFonts w:cs="Times New Roman"/>
          <w:szCs w:val="24"/>
        </w:rPr>
        <w:t>f stroke per 100,000 population</w:t>
      </w:r>
    </w:p>
    <w:p w:rsidR="009C5F78" w:rsidRPr="00494AB7" w:rsidRDefault="009C5F78" w:rsidP="009C5F78">
      <w:pPr>
        <w:spacing w:line="480" w:lineRule="auto"/>
        <w:jc w:val="left"/>
        <w:rPr>
          <w:rFonts w:cs="Times New Roman"/>
          <w:szCs w:val="24"/>
        </w:rPr>
      </w:pPr>
      <w:r w:rsidRPr="00494AB7">
        <w:rPr>
          <w:rFonts w:cs="Times New Roman"/>
          <w:szCs w:val="24"/>
        </w:rPr>
        <w:t>Table 5. Predicted use of resources per 100,000 population (per year)</w:t>
      </w:r>
    </w:p>
    <w:p w:rsidR="009C5F78" w:rsidRPr="00494AB7" w:rsidRDefault="009C5F78" w:rsidP="009C5F78">
      <w:pPr>
        <w:spacing w:line="480" w:lineRule="auto"/>
        <w:jc w:val="left"/>
        <w:rPr>
          <w:rFonts w:cs="Times New Roman"/>
          <w:b/>
          <w:szCs w:val="24"/>
        </w:rPr>
      </w:pPr>
    </w:p>
    <w:p w:rsidR="009C5F78" w:rsidRPr="00494AB7" w:rsidRDefault="009C5F78" w:rsidP="009C5F78">
      <w:pPr>
        <w:spacing w:line="480" w:lineRule="auto"/>
        <w:jc w:val="left"/>
        <w:rPr>
          <w:rFonts w:cs="Times New Roman"/>
          <w:b/>
          <w:szCs w:val="24"/>
        </w:rPr>
      </w:pPr>
      <w:r w:rsidRPr="00494AB7">
        <w:rPr>
          <w:rFonts w:cs="Times New Roman"/>
          <w:b/>
          <w:szCs w:val="24"/>
        </w:rPr>
        <w:t>Figures:</w:t>
      </w:r>
    </w:p>
    <w:p w:rsidR="009C5F78" w:rsidRPr="00494AB7" w:rsidRDefault="009C5F78" w:rsidP="009C5F78">
      <w:pPr>
        <w:spacing w:line="480" w:lineRule="auto"/>
        <w:jc w:val="left"/>
        <w:rPr>
          <w:rFonts w:cs="Times New Roman"/>
          <w:szCs w:val="24"/>
        </w:rPr>
      </w:pPr>
      <w:r w:rsidRPr="00494AB7">
        <w:rPr>
          <w:rFonts w:cs="Times New Roman"/>
          <w:szCs w:val="24"/>
        </w:rPr>
        <w:t>Figure 1. Decision-tree model structure.</w:t>
      </w:r>
    </w:p>
    <w:p w:rsidR="009C5F78" w:rsidRDefault="009C5F78" w:rsidP="009C5F78">
      <w:pPr>
        <w:spacing w:line="480" w:lineRule="auto"/>
        <w:jc w:val="left"/>
        <w:rPr>
          <w:rFonts w:cs="Times New Roman"/>
          <w:szCs w:val="24"/>
        </w:rPr>
      </w:pPr>
    </w:p>
    <w:p w:rsidR="009C5F78" w:rsidRDefault="009C5F78" w:rsidP="009C5F78">
      <w:pPr>
        <w:spacing w:line="480" w:lineRule="auto"/>
        <w:jc w:val="left"/>
      </w:pPr>
      <w:r>
        <w:rPr>
          <w:b/>
        </w:rPr>
        <w:t xml:space="preserve">Key words: </w:t>
      </w:r>
      <w:r>
        <w:t>Economic evaluation, decision model combined approach, quality adjusted life years, a</w:t>
      </w:r>
      <w:r w:rsidRPr="00D0176D">
        <w:t>lteplase,</w:t>
      </w:r>
      <w:r>
        <w:t xml:space="preserve"> service delivery, healthcare commissioning</w:t>
      </w:r>
    </w:p>
    <w:p w:rsidR="009C5F78" w:rsidRDefault="009C5F78" w:rsidP="009C5F78">
      <w:pPr>
        <w:spacing w:line="480" w:lineRule="auto"/>
        <w:jc w:val="left"/>
        <w:rPr>
          <w:b/>
        </w:rPr>
      </w:pPr>
    </w:p>
    <w:p w:rsidR="009C5F78" w:rsidRDefault="009C5F78" w:rsidP="009C5F78">
      <w:pPr>
        <w:spacing w:line="480" w:lineRule="auto"/>
        <w:jc w:val="left"/>
        <w:rPr>
          <w:b/>
        </w:rPr>
      </w:pPr>
      <w:r>
        <w:rPr>
          <w:b/>
        </w:rPr>
        <w:t>Subject codes:</w:t>
      </w:r>
    </w:p>
    <w:p w:rsidR="009C5F78" w:rsidRPr="00494AB7" w:rsidRDefault="009C5F78" w:rsidP="009C5F78">
      <w:pPr>
        <w:spacing w:line="480" w:lineRule="auto"/>
        <w:jc w:val="left"/>
        <w:rPr>
          <w:rFonts w:cs="Times New Roman"/>
          <w:b/>
          <w:szCs w:val="24"/>
        </w:rPr>
      </w:pPr>
      <w:r w:rsidRPr="00494AB7">
        <w:rPr>
          <w:rStyle w:val="Strong"/>
          <w:rFonts w:cs="Times New Roman"/>
          <w:b w:val="0"/>
          <w:color w:val="191919"/>
          <w:szCs w:val="24"/>
          <w:bdr w:val="none" w:sz="0" w:space="0" w:color="auto" w:frame="1"/>
          <w:shd w:val="clear" w:color="auto" w:fill="FFFFFF"/>
        </w:rPr>
        <w:t>[45] Acute Stroke Syndromes</w:t>
      </w:r>
    </w:p>
    <w:p w:rsidR="009C5F78" w:rsidRPr="00494AB7" w:rsidRDefault="009C5F78" w:rsidP="009C5F78">
      <w:pPr>
        <w:spacing w:line="480" w:lineRule="auto"/>
        <w:jc w:val="left"/>
        <w:rPr>
          <w:rStyle w:val="Strong"/>
          <w:rFonts w:cs="Times New Roman"/>
          <w:b w:val="0"/>
          <w:color w:val="191919"/>
          <w:szCs w:val="24"/>
          <w:bdr w:val="none" w:sz="0" w:space="0" w:color="auto" w:frame="1"/>
          <w:shd w:val="clear" w:color="auto" w:fill="FFFFFF"/>
        </w:rPr>
      </w:pPr>
      <w:r w:rsidRPr="00494AB7">
        <w:rPr>
          <w:rStyle w:val="Strong"/>
          <w:rFonts w:cs="Times New Roman"/>
          <w:b w:val="0"/>
          <w:color w:val="191919"/>
          <w:szCs w:val="24"/>
          <w:bdr w:val="none" w:sz="0" w:space="0" w:color="auto" w:frame="1"/>
          <w:shd w:val="clear" w:color="auto" w:fill="FFFFFF"/>
        </w:rPr>
        <w:t>[54] Emergency treatment of Stroke</w:t>
      </w:r>
    </w:p>
    <w:p w:rsidR="009C5F78" w:rsidRDefault="009C5F78" w:rsidP="009C5F78">
      <w:pPr>
        <w:spacing w:line="480" w:lineRule="auto"/>
        <w:jc w:val="left"/>
        <w:rPr>
          <w:rStyle w:val="Strong"/>
          <w:rFonts w:cs="Times New Roman"/>
          <w:b w:val="0"/>
          <w:color w:val="191919"/>
          <w:szCs w:val="24"/>
          <w:bdr w:val="none" w:sz="0" w:space="0" w:color="auto" w:frame="1"/>
          <w:shd w:val="clear" w:color="auto" w:fill="FFFFFF"/>
        </w:rPr>
      </w:pPr>
      <w:r w:rsidRPr="00494AB7">
        <w:rPr>
          <w:rStyle w:val="Strong"/>
          <w:rFonts w:cs="Times New Roman"/>
          <w:b w:val="0"/>
          <w:color w:val="191919"/>
          <w:szCs w:val="24"/>
          <w:bdr w:val="none" w:sz="0" w:space="0" w:color="auto" w:frame="1"/>
          <w:shd w:val="clear" w:color="auto" w:fill="FFFFFF"/>
        </w:rPr>
        <w:t>[73] Thrombolysis</w:t>
      </w:r>
    </w:p>
    <w:p w:rsidR="009C5F78" w:rsidRPr="00494AB7" w:rsidRDefault="009C5F78" w:rsidP="009C5F78">
      <w:pPr>
        <w:spacing w:line="480" w:lineRule="auto"/>
        <w:jc w:val="left"/>
        <w:rPr>
          <w:rFonts w:cs="Times New Roman"/>
          <w:b/>
          <w:szCs w:val="24"/>
        </w:rPr>
      </w:pPr>
    </w:p>
    <w:p w:rsidR="009C5F78" w:rsidRDefault="009C5F78" w:rsidP="009C5F78">
      <w:pPr>
        <w:spacing w:line="480" w:lineRule="auto"/>
        <w:jc w:val="left"/>
        <w:rPr>
          <w:rFonts w:cs="Times New Roman"/>
          <w:szCs w:val="24"/>
        </w:rPr>
      </w:pPr>
      <w:r w:rsidRPr="00C5272A">
        <w:rPr>
          <w:rFonts w:cs="Times New Roman"/>
          <w:b/>
          <w:szCs w:val="24"/>
        </w:rPr>
        <w:t>Word count:</w:t>
      </w:r>
      <w:r w:rsidRPr="00AA675C">
        <w:rPr>
          <w:rFonts w:cs="Times New Roman"/>
          <w:szCs w:val="24"/>
        </w:rPr>
        <w:t xml:space="preserve"> </w:t>
      </w:r>
      <w:r w:rsidRPr="00C849F1">
        <w:rPr>
          <w:rFonts w:cs="Times New Roman"/>
          <w:szCs w:val="24"/>
        </w:rPr>
        <w:t>7,</w:t>
      </w:r>
      <w:r w:rsidR="00843E57">
        <w:rPr>
          <w:rFonts w:cs="Times New Roman"/>
          <w:szCs w:val="24"/>
        </w:rPr>
        <w:t>3</w:t>
      </w:r>
      <w:r w:rsidR="00013615">
        <w:rPr>
          <w:rFonts w:cs="Times New Roman"/>
          <w:szCs w:val="24"/>
        </w:rPr>
        <w:t>26</w:t>
      </w:r>
    </w:p>
    <w:p w:rsidR="009C5F78" w:rsidRDefault="009C5F78" w:rsidP="009C5F78">
      <w:pPr>
        <w:spacing w:line="480" w:lineRule="auto"/>
        <w:rPr>
          <w:b/>
        </w:rPr>
      </w:pPr>
      <w:r>
        <w:rPr>
          <w:b/>
        </w:rPr>
        <w:br w:type="page"/>
      </w:r>
    </w:p>
    <w:p w:rsidR="009C5F78" w:rsidRPr="00661609" w:rsidRDefault="009C5F78" w:rsidP="009C5F78">
      <w:pPr>
        <w:spacing w:line="480" w:lineRule="auto"/>
        <w:jc w:val="left"/>
        <w:rPr>
          <w:b/>
        </w:rPr>
      </w:pPr>
      <w:r>
        <w:rPr>
          <w:b/>
        </w:rPr>
        <w:lastRenderedPageBreak/>
        <w:t>Ab</w:t>
      </w:r>
      <w:r w:rsidRPr="00661609">
        <w:rPr>
          <w:b/>
        </w:rPr>
        <w:t>stract</w:t>
      </w:r>
    </w:p>
    <w:p w:rsidR="009C5F78" w:rsidRDefault="009C5F78" w:rsidP="009C5F78">
      <w:pPr>
        <w:spacing w:line="480" w:lineRule="auto"/>
        <w:jc w:val="left"/>
      </w:pPr>
    </w:p>
    <w:p w:rsidR="009C5F78" w:rsidRPr="006848F6" w:rsidRDefault="009C5F78" w:rsidP="009C5F78">
      <w:pPr>
        <w:spacing w:line="480" w:lineRule="auto"/>
        <w:jc w:val="left"/>
        <w:rPr>
          <w:rFonts w:cs="Times New Roman"/>
          <w:szCs w:val="24"/>
        </w:rPr>
      </w:pPr>
      <w:r w:rsidRPr="006848F6">
        <w:rPr>
          <w:b/>
        </w:rPr>
        <w:t>Background and purpose:</w:t>
      </w:r>
      <w:r w:rsidRPr="006848F6">
        <w:rPr>
          <w:rFonts w:cs="Times New Roman"/>
          <w:szCs w:val="24"/>
        </w:rPr>
        <w:t xml:space="preserve"> Thrombolysis in acute stroke is effective up to 4.5 hours after symptom onset, but relies on early recognition, prompt arrival in hospital and timely brain scanning. This study aimed to e</w:t>
      </w:r>
      <w:r w:rsidRPr="006848F6">
        <w:t>stablish the cost-effectiveness of increasing thrombolysis rates through a series of hypothetical ‘change strategies’ designed to optimise the acute care pathway for stroke.</w:t>
      </w:r>
    </w:p>
    <w:p w:rsidR="009C5F78" w:rsidRPr="006848F6" w:rsidRDefault="009C5F78" w:rsidP="009C5F78">
      <w:pPr>
        <w:spacing w:line="480" w:lineRule="auto"/>
        <w:jc w:val="left"/>
      </w:pPr>
      <w:r w:rsidRPr="006848F6">
        <w:rPr>
          <w:b/>
        </w:rPr>
        <w:t>Methods</w:t>
      </w:r>
      <w:r w:rsidRPr="006848F6">
        <w:t xml:space="preserve">: A decision-tree model was constructed which relates the acute management of patients with suspected stroke from symptom onset to outcome. Current practice was modelled and compared to seven change </w:t>
      </w:r>
      <w:r w:rsidRPr="006848F6">
        <w:rPr>
          <w:szCs w:val="24"/>
        </w:rPr>
        <w:t>strategies designed to facilitate wider eligibility for thrombolysis.</w:t>
      </w:r>
      <w:r w:rsidRPr="006848F6">
        <w:t xml:space="preserve"> The model basecase consisted of data from consenting patients following the acute stroke pathway recruited in participating hospitals with data on effectiveness of treatment and costs from published sources. </w:t>
      </w:r>
    </w:p>
    <w:p w:rsidR="009C5F78" w:rsidRPr="006848F6" w:rsidRDefault="009C5F78" w:rsidP="009C5F78">
      <w:pPr>
        <w:spacing w:line="480" w:lineRule="auto"/>
        <w:jc w:val="left"/>
      </w:pPr>
      <w:r w:rsidRPr="006848F6">
        <w:rPr>
          <w:b/>
        </w:rPr>
        <w:t>Results</w:t>
      </w:r>
      <w:r w:rsidRPr="006848F6">
        <w:t xml:space="preserve">: All change strategies were cost saving whilst increasing QALYs gained. Using realistic estimates of effectiveness, the change strategy with the largest potential benefit was that of better recording of onset time, which resulted in 3.3 additional QALYs and a cost saving of USD $46,000 per 100,000 population. All strategies increased the number of thrombolysed patients but also the number requiring urgent brain imaging (by 9-21% dependent on scenario). Assuming a ‘willingness-to-pay’ of USD$30,000 per QALY gained, the potential budget available to deliver the interventions in each strategy ranged from USD$50,000 to USD$144,000. </w:t>
      </w:r>
    </w:p>
    <w:p w:rsidR="009C5F78" w:rsidRPr="006848F6" w:rsidRDefault="009C5F78" w:rsidP="009C5F78">
      <w:pPr>
        <w:spacing w:line="480" w:lineRule="auto"/>
        <w:jc w:val="left"/>
      </w:pPr>
      <w:r w:rsidRPr="006848F6">
        <w:rPr>
          <w:b/>
        </w:rPr>
        <w:t>Conclusion</w:t>
      </w:r>
      <w:r w:rsidRPr="006848F6">
        <w:t>: These results suggest that any strategy which increases thrombolysis rates will result in cost savings and improved patient quality of life. Healthcare commissioners could consider this model when planning improvements in stroke care.</w:t>
      </w:r>
    </w:p>
    <w:p w:rsidR="009C5F78" w:rsidRPr="006848F6" w:rsidRDefault="009C5F78" w:rsidP="009C5F78">
      <w:pPr>
        <w:spacing w:line="480" w:lineRule="auto"/>
        <w:jc w:val="left"/>
        <w:rPr>
          <w:b/>
        </w:rPr>
      </w:pPr>
    </w:p>
    <w:p w:rsidR="009C5F78" w:rsidRPr="006848F6" w:rsidRDefault="009C5F78" w:rsidP="009C5F78">
      <w:pPr>
        <w:spacing w:line="480" w:lineRule="auto"/>
        <w:jc w:val="left"/>
        <w:rPr>
          <w:b/>
        </w:rPr>
      </w:pPr>
      <w:r w:rsidRPr="006848F6">
        <w:rPr>
          <w:b/>
        </w:rPr>
        <w:t xml:space="preserve">Word count: </w:t>
      </w:r>
      <w:r w:rsidRPr="006848F6">
        <w:t>253</w:t>
      </w:r>
      <w:r w:rsidRPr="006848F6">
        <w:rPr>
          <w:b/>
        </w:rPr>
        <w:br w:type="page"/>
      </w:r>
    </w:p>
    <w:p w:rsidR="009C5F78" w:rsidRPr="006848F6" w:rsidRDefault="009C5F78" w:rsidP="009C5F78">
      <w:pPr>
        <w:spacing w:line="480" w:lineRule="auto"/>
        <w:jc w:val="left"/>
        <w:rPr>
          <w:b/>
        </w:rPr>
      </w:pPr>
      <w:r w:rsidRPr="006848F6">
        <w:rPr>
          <w:b/>
        </w:rPr>
        <w:lastRenderedPageBreak/>
        <w:t>Introduction</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Stroke is one of the leading causes of morbidity and mortality worldwide with an estimated 5.7 million deaths and approximately 50 million disability-adjusted life years (DALYs) lost every year.</w:t>
      </w:r>
      <w:r w:rsidRPr="006848F6">
        <w:rPr>
          <w:vertAlign w:val="superscript"/>
        </w:rPr>
        <w:t xml:space="preserve">1  </w:t>
      </w:r>
      <w:r w:rsidRPr="006848F6">
        <w:rPr>
          <w:rFonts w:cs="Times New Roman"/>
        </w:rPr>
        <w:t>T</w:t>
      </w:r>
      <w:r w:rsidRPr="006848F6">
        <w:t>he introduction of intravenous thrombolysis with alteplase for acute ischaemic stroke has resulted in markedly improved patient outcomes for those eligible to receive such treatment.</w:t>
      </w:r>
      <w:r w:rsidRPr="006848F6">
        <w:rPr>
          <w:vertAlign w:val="superscript"/>
        </w:rPr>
        <w:t>2-4</w:t>
      </w:r>
      <w:r w:rsidRPr="006848F6">
        <w:t xml:space="preserve"> </w:t>
      </w:r>
      <w:r w:rsidR="009B5004" w:rsidRPr="006848F6">
        <w:t xml:space="preserve"> </w:t>
      </w:r>
      <w:r w:rsidRPr="006848F6">
        <w:t>Such treatment is safe and effective if administered within 4.5 hours and 6</w:t>
      </w:r>
      <w:r w:rsidRPr="006848F6">
        <w:rPr>
          <w:vertAlign w:val="superscript"/>
        </w:rPr>
        <w:t>4</w:t>
      </w:r>
      <w:r w:rsidRPr="006848F6">
        <w:t xml:space="preserve"> hours post onset of symptoms (depending on age), although this benefit is reduced the later treatment is given. Successful treatment therefore depends on early recognition of symptoms, prompt arrival in hospital and timely CT scanning.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Delays at any stage of the care pathway have a major impact on the proportion of patients that receive thrombolysis.</w:t>
      </w:r>
      <w:r w:rsidRPr="006848F6">
        <w:rPr>
          <w:vertAlign w:val="superscript"/>
        </w:rPr>
        <w:t>5-7</w:t>
      </w:r>
      <w:r w:rsidRPr="006848F6">
        <w:t xml:space="preserve">  </w:t>
      </w:r>
      <w:r w:rsidRPr="006848F6">
        <w:rPr>
          <w:rFonts w:cs="Times New Roman"/>
          <w:szCs w:val="24"/>
        </w:rPr>
        <w:t xml:space="preserve"> Previous studies indicate that between 2-8% of patients receive thrombolysis</w:t>
      </w:r>
      <w:r w:rsidRPr="006848F6">
        <w:t>.</w:t>
      </w:r>
      <w:r w:rsidRPr="006848F6">
        <w:rPr>
          <w:vertAlign w:val="superscript"/>
        </w:rPr>
        <w:t>8-11</w:t>
      </w:r>
      <w:r w:rsidRPr="006848F6">
        <w:t xml:space="preserve">  Whilst efforts have been made to expedite the acute stroke care pathway,</w:t>
      </w:r>
      <w:r w:rsidRPr="006848F6">
        <w:rPr>
          <w:vertAlign w:val="superscript"/>
        </w:rPr>
        <w:t>6, 12</w:t>
      </w:r>
      <w:r w:rsidRPr="006848F6">
        <w:t xml:space="preserve"> it is unclear what effect these strategies have on patient outcomes or whether they are cost-effective.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The majority of economic evaluations of thrombolysis for acute stroke conducted previously have focused on its use compared with ‘conservative treatment’ (no thrombolysis).</w:t>
      </w:r>
      <w:r w:rsidRPr="006848F6">
        <w:rPr>
          <w:vertAlign w:val="superscript"/>
        </w:rPr>
        <w:t>13-15</w:t>
      </w:r>
      <w:r w:rsidRPr="006848F6">
        <w:t xml:space="preserve"> The aim of this study was to estimate the cost-effectiveness and potential implementation costs of a series of interventions aimed at increasing thrombolysis rates through optimisation of the care pathway for acute stroke. </w:t>
      </w:r>
    </w:p>
    <w:p w:rsidR="009C5F78" w:rsidRPr="006848F6" w:rsidRDefault="009C5F78" w:rsidP="009C5F78">
      <w:pPr>
        <w:spacing w:line="480" w:lineRule="auto"/>
        <w:jc w:val="left"/>
      </w:pPr>
    </w:p>
    <w:p w:rsidR="009C5F78" w:rsidRPr="006848F6" w:rsidRDefault="009C5F78" w:rsidP="009C5F78">
      <w:pPr>
        <w:spacing w:line="480" w:lineRule="auto"/>
        <w:jc w:val="left"/>
        <w:rPr>
          <w:rFonts w:cs="Times New Roman"/>
          <w:b/>
          <w:szCs w:val="24"/>
        </w:rPr>
      </w:pPr>
      <w:r w:rsidRPr="006848F6">
        <w:rPr>
          <w:rFonts w:cs="Times New Roman"/>
          <w:b/>
          <w:szCs w:val="24"/>
        </w:rPr>
        <w:t>Methods</w:t>
      </w:r>
    </w:p>
    <w:p w:rsidR="009C5F78" w:rsidRPr="006848F6" w:rsidRDefault="009C5F78" w:rsidP="009C5F78">
      <w:pPr>
        <w:spacing w:line="480" w:lineRule="auto"/>
        <w:jc w:val="left"/>
        <w:rPr>
          <w:rFonts w:cs="Times New Roman"/>
          <w:szCs w:val="24"/>
        </w:rPr>
      </w:pPr>
      <w:r w:rsidRPr="006848F6">
        <w:rPr>
          <w:rFonts w:cs="Times New Roman"/>
          <w:szCs w:val="24"/>
        </w:rPr>
        <w:t>An expanded methods section containing full detail of the procedures undertaken in this study is available in the online supplemental material.</w:t>
      </w:r>
    </w:p>
    <w:p w:rsidR="009C5F78" w:rsidRPr="006848F6" w:rsidRDefault="009C5F78" w:rsidP="009C5F78">
      <w:pPr>
        <w:spacing w:line="480" w:lineRule="auto"/>
        <w:jc w:val="left"/>
        <w:rPr>
          <w:rFonts w:cs="Times New Roman"/>
          <w:szCs w:val="24"/>
        </w:rPr>
      </w:pPr>
    </w:p>
    <w:p w:rsidR="009C5F78" w:rsidRPr="006848F6" w:rsidRDefault="009C5F78" w:rsidP="009C5F78">
      <w:pPr>
        <w:spacing w:line="480" w:lineRule="auto"/>
        <w:jc w:val="left"/>
        <w:rPr>
          <w:rFonts w:cs="Times New Roman"/>
          <w:i/>
          <w:szCs w:val="24"/>
        </w:rPr>
      </w:pPr>
      <w:r w:rsidRPr="006848F6">
        <w:rPr>
          <w:rFonts w:cs="Times New Roman"/>
          <w:i/>
          <w:szCs w:val="24"/>
        </w:rPr>
        <w:lastRenderedPageBreak/>
        <w:t xml:space="preserve">Type of economic evaluation </w:t>
      </w:r>
    </w:p>
    <w:p w:rsidR="009C5F78" w:rsidRPr="006848F6" w:rsidRDefault="009C5F78" w:rsidP="009C5F78">
      <w:pPr>
        <w:spacing w:line="480" w:lineRule="auto"/>
        <w:jc w:val="left"/>
      </w:pPr>
      <w:r w:rsidRPr="006848F6">
        <w:rPr>
          <w:rFonts w:cs="Times New Roman"/>
          <w:szCs w:val="24"/>
        </w:rPr>
        <w:t xml:space="preserve">A decision-tree model of the acute care pathway for stroke patients </w:t>
      </w:r>
      <w:r w:rsidRPr="006848F6">
        <w:t xml:space="preserve">(figure 1) </w:t>
      </w:r>
      <w:r w:rsidRPr="006848F6">
        <w:rPr>
          <w:rFonts w:cs="Times New Roman"/>
          <w:szCs w:val="24"/>
        </w:rPr>
        <w:t xml:space="preserve">was developed using TreeAge Pro Suite 2011 software (TreeAge Software Inc, Williamstown, MA, USA). </w:t>
      </w:r>
      <w:r w:rsidRPr="006848F6">
        <w:t xml:space="preserve">In the model, </w:t>
      </w:r>
      <w:r w:rsidRPr="006848F6">
        <w:rPr>
          <w:i/>
        </w:rPr>
        <w:t>current practice</w:t>
      </w:r>
      <w:r w:rsidRPr="006848F6" w:rsidDel="00604F73">
        <w:t xml:space="preserve"> </w:t>
      </w:r>
      <w:r w:rsidRPr="006848F6">
        <w:t>was compared to alternative management strategies (</w:t>
      </w:r>
      <w:r w:rsidRPr="006848F6">
        <w:rPr>
          <w:i/>
        </w:rPr>
        <w:t>change strategies</w:t>
      </w:r>
      <w:r w:rsidRPr="006848F6">
        <w:t>)</w:t>
      </w:r>
      <w:r w:rsidRPr="006848F6">
        <w:rPr>
          <w:i/>
        </w:rPr>
        <w:t xml:space="preserve"> </w:t>
      </w:r>
      <w:r w:rsidRPr="006848F6">
        <w:t>in order to assess the potential impact of hypothetical changes to services and/or patient behaviour on effectiveness and cost-effectiveness.</w:t>
      </w:r>
    </w:p>
    <w:p w:rsidR="009C5F78" w:rsidRPr="006848F6" w:rsidRDefault="009C5F78" w:rsidP="009C5F78">
      <w:pPr>
        <w:spacing w:line="480" w:lineRule="auto"/>
        <w:jc w:val="left"/>
        <w:rPr>
          <w:rFonts w:cs="Times New Roman"/>
          <w:szCs w:val="24"/>
        </w:rPr>
      </w:pPr>
    </w:p>
    <w:p w:rsidR="009C5F78" w:rsidRPr="006848F6" w:rsidRDefault="009C5F78" w:rsidP="009C5F78">
      <w:pPr>
        <w:spacing w:line="480" w:lineRule="auto"/>
        <w:jc w:val="left"/>
        <w:rPr>
          <w:rFonts w:cs="Times New Roman"/>
          <w:i/>
          <w:szCs w:val="24"/>
        </w:rPr>
      </w:pPr>
      <w:r w:rsidRPr="006848F6">
        <w:rPr>
          <w:rFonts w:cs="Times New Roman"/>
          <w:i/>
          <w:szCs w:val="24"/>
        </w:rPr>
        <w:t>Model perspectives</w:t>
      </w:r>
    </w:p>
    <w:p w:rsidR="009C5F78" w:rsidRPr="006848F6" w:rsidRDefault="009C5F78" w:rsidP="009C5F78">
      <w:pPr>
        <w:spacing w:line="480" w:lineRule="auto"/>
        <w:jc w:val="left"/>
      </w:pPr>
      <w:r w:rsidRPr="006848F6">
        <w:rPr>
          <w:rFonts w:cs="Times New Roman"/>
          <w:szCs w:val="24"/>
        </w:rPr>
        <w:t>The model took</w:t>
      </w:r>
      <w:r w:rsidRPr="006848F6">
        <w:t xml:space="preserve"> a National Health Service (NHS) and Personal Social Services (PSS) perspective. Thus, the costs of initial assessment and treatment in hospital were considered along with long term costs associated with increased dependency due to stroke-related disability. Lifetime costs and outcomes were estimated per 100,000 population.</w:t>
      </w:r>
    </w:p>
    <w:p w:rsidR="009C5F78" w:rsidRPr="006848F6" w:rsidRDefault="009C5F78" w:rsidP="009C5F78">
      <w:pPr>
        <w:spacing w:line="480" w:lineRule="auto"/>
        <w:jc w:val="left"/>
      </w:pPr>
      <w:r w:rsidRPr="006848F6">
        <w:t xml:space="preserve"> </w:t>
      </w:r>
    </w:p>
    <w:p w:rsidR="009C5F78" w:rsidRPr="006848F6" w:rsidRDefault="009C5F78" w:rsidP="009C5F78">
      <w:pPr>
        <w:spacing w:line="480" w:lineRule="auto"/>
        <w:jc w:val="left"/>
        <w:rPr>
          <w:i/>
        </w:rPr>
      </w:pPr>
      <w:r w:rsidRPr="006848F6">
        <w:rPr>
          <w:i/>
        </w:rPr>
        <w:t xml:space="preserve">Model pathways </w:t>
      </w:r>
    </w:p>
    <w:p w:rsidR="009C5F78" w:rsidRPr="006848F6" w:rsidRDefault="009C5F78" w:rsidP="009C5F78">
      <w:pPr>
        <w:spacing w:line="480" w:lineRule="auto"/>
        <w:jc w:val="left"/>
      </w:pPr>
      <w:r w:rsidRPr="006848F6">
        <w:t>The model was constructed to follow the care pathway of individuals presenting to hospital with a suspected stroke (figure 1). The patient characteristics (age, sex, ethnicity) and route to hospital were based on patient level data collected from participating hospitals (see below). All patients who entered the model were assumed to have been admitted via the hospital emergency department and could have arrived via the Emergency Medical Services (EMS), been referred by a general practitioner, travelled via private transport, transferred from another hospital or had a stroke as an existing inpatient. It was assumed that once in hospital, all patients with suspected stroke would receive a CT scan. Patients were dichotomised by the results of this scan (</w:t>
      </w:r>
      <w:r w:rsidRPr="006848F6">
        <w:rPr>
          <w:i/>
        </w:rPr>
        <w:t>i.e.</w:t>
      </w:r>
      <w:r w:rsidRPr="006848F6">
        <w:t xml:space="preserve"> whether they had an ischaemic or haemorrhagic stroke) and those with ischaemic stroke were considered potentially eligible for thrombolysis.</w:t>
      </w:r>
      <w:r w:rsidRPr="006848F6">
        <w:rPr>
          <w:vertAlign w:val="superscript"/>
        </w:rPr>
        <w:t>3, 16, 17</w:t>
      </w:r>
      <w:r w:rsidRPr="006848F6">
        <w:t xml:space="preserve"> Patients found not to have had a stroke were considered to be ‘stroke mimics’.  These patients were assumed not to have received thrombolysis and only costs incurred by transport and initial assessment in hospital (CT scan) were modelled. Life expectancy </w:t>
      </w:r>
      <w:r w:rsidRPr="006848F6">
        <w:lastRenderedPageBreak/>
        <w:t>and therefore the model time horizon varied depending on whether an individual had suffered a stroke or not, and following stroke whether they were dependent or independent.</w:t>
      </w:r>
      <w:r w:rsidRPr="006848F6">
        <w:rPr>
          <w:vertAlign w:val="superscript"/>
        </w:rPr>
        <w:t>18</w:t>
      </w:r>
      <w:r w:rsidRPr="006848F6">
        <w:t xml:space="preserve"> </w:t>
      </w:r>
    </w:p>
    <w:p w:rsidR="009C5F78" w:rsidRPr="006848F6" w:rsidRDefault="009C5F78" w:rsidP="009C5F78">
      <w:pPr>
        <w:spacing w:line="480" w:lineRule="auto"/>
        <w:jc w:val="left"/>
        <w:rPr>
          <w:i/>
        </w:rPr>
      </w:pPr>
    </w:p>
    <w:p w:rsidR="009C5F78" w:rsidRPr="006848F6" w:rsidRDefault="009C5F78" w:rsidP="009C5F78">
      <w:pPr>
        <w:spacing w:line="480" w:lineRule="auto"/>
        <w:jc w:val="left"/>
        <w:rPr>
          <w:i/>
        </w:rPr>
      </w:pPr>
      <w:r w:rsidRPr="006848F6">
        <w:rPr>
          <w:i/>
        </w:rPr>
        <w:t>Setting and Population</w:t>
      </w:r>
    </w:p>
    <w:p w:rsidR="009C5F78" w:rsidRPr="006848F6" w:rsidRDefault="009C5F78" w:rsidP="009C5F78">
      <w:pPr>
        <w:spacing w:line="480" w:lineRule="auto"/>
        <w:jc w:val="left"/>
      </w:pPr>
      <w:r w:rsidRPr="006848F6">
        <w:t>The model was populated with data collected in three participating Trusts, two hospitals and one ambulance service. The process of recruitment and data collection has been described in detail previously.</w:t>
      </w:r>
      <w:r w:rsidRPr="006848F6">
        <w:rPr>
          <w:vertAlign w:val="superscript"/>
        </w:rPr>
        <w:t>19</w:t>
      </w:r>
      <w:r w:rsidR="009B5004" w:rsidRPr="006848F6">
        <w:t xml:space="preserve"> </w:t>
      </w:r>
      <w:r w:rsidRPr="006848F6">
        <w:t xml:space="preserve">  The population of interest were patients admitted with stroke or stroke like symptoms during a </w:t>
      </w:r>
      <w:proofErr w:type="gramStart"/>
      <w:r w:rsidRPr="006848F6">
        <w:t>12 month</w:t>
      </w:r>
      <w:proofErr w:type="gramEnd"/>
      <w:r w:rsidRPr="006848F6">
        <w:t xml:space="preserve"> period between 01/08/2010 and 31/07/2011. Both participating hospital Trusts offered a 24 hour thrombolysis service, seven days a week, but in the case of the second Trust, this was achieved by combining an ‘in hours’ service, 9am to 5pm, Monday to Friday in the lead hospital with out-of–hours care at a separate site. The prevalence of stroke in West Midlands is estimated to be in the region of 17 per 1,000 population, </w:t>
      </w:r>
      <w:proofErr w:type="gramStart"/>
      <w:r w:rsidRPr="006848F6">
        <w:t>similar to</w:t>
      </w:r>
      <w:proofErr w:type="gramEnd"/>
      <w:r w:rsidRPr="006848F6">
        <w:t xml:space="preserve"> national rates.</w:t>
      </w:r>
      <w:r w:rsidRPr="006848F6">
        <w:rPr>
          <w:vertAlign w:val="superscript"/>
        </w:rPr>
        <w:t>20</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Participating patients were consented to allow identifiable data to be recorded and linked between that collected by Emergency Medical Services (EMS) and each hospital site. Recruitment was focused on patients attending the two main hospital sites but included those patients attending the subsidiary site ‘out of hours’ who would have presented at the lead hospital if a 24 hour service was available. These data were collected as part of an anonymised case note review and were therefore not linked to the EMS records.</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 xml:space="preserve">Change strategies </w:t>
      </w:r>
    </w:p>
    <w:p w:rsidR="009C5F78" w:rsidRPr="006848F6" w:rsidRDefault="009C5F78" w:rsidP="009C5F78">
      <w:pPr>
        <w:spacing w:line="480" w:lineRule="auto"/>
        <w:jc w:val="left"/>
      </w:pPr>
      <w:r w:rsidRPr="006848F6">
        <w:t xml:space="preserve">In order to assess the potential impact of theoretical interventions designed to reduce delay on the current thrombolysis pathway, a series of change strategies were derived from the literature (table 1). Some of these strategies, such as improving recording of onset time, or removing ineligibility of older patients for thrombolysis could be implemented straight away if found to be cost-effective. Others, such as the use of new imaging techniques to define onset time in wake-up stroke remain </w:t>
      </w:r>
      <w:r w:rsidRPr="006848F6">
        <w:lastRenderedPageBreak/>
        <w:t xml:space="preserve">theoretical and require a greater evidence base to prove effectiveness prior to implementation. However, it is still useful to know whether such strategies would be cost-effective in clinical practice, therefore justifying whether further research is worthwhile. Change strategies were implemented under two assumptions: i) perfect implementation (affecting 100% of patients), and ii) best achievable implementation, based on previous studies which have demonstrated the effectiveness of a given intervention (table 1). </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Costs</w:t>
      </w:r>
    </w:p>
    <w:p w:rsidR="009C5F78" w:rsidRPr="006848F6" w:rsidRDefault="009C5F78" w:rsidP="009C5F78">
      <w:pPr>
        <w:spacing w:line="480" w:lineRule="auto"/>
        <w:jc w:val="left"/>
      </w:pPr>
      <w:r w:rsidRPr="006848F6">
        <w:t>Resource use included costs from visits to the general practitioner, calling the EMS, transportation by the EMS, attendance at the emergency department, assessment (e.g. CT scan) and treatment (table 2). Lifetime costs for patients following stroke included acute care costs (1</w:t>
      </w:r>
      <w:r w:rsidRPr="006848F6">
        <w:rPr>
          <w:vertAlign w:val="superscript"/>
        </w:rPr>
        <w:t>st</w:t>
      </w:r>
      <w:r w:rsidRPr="006848F6">
        <w:t xml:space="preserve"> year) and costs of long-term care (thereafter until death) with different costs for independent and dependent patients. Costs were derived from a combination of standard unit costs,</w:t>
      </w:r>
      <w:r w:rsidRPr="006848F6">
        <w:rPr>
          <w:vertAlign w:val="superscript"/>
        </w:rPr>
        <w:t>30,31</w:t>
      </w:r>
      <w:r w:rsidR="009B5004" w:rsidRPr="006848F6">
        <w:t xml:space="preserve"> </w:t>
      </w:r>
      <w:r w:rsidRPr="006848F6">
        <w:t xml:space="preserve"> NHS reference costs,</w:t>
      </w:r>
      <w:r w:rsidRPr="006848F6">
        <w:rPr>
          <w:vertAlign w:val="superscript"/>
        </w:rPr>
        <w:t>27</w:t>
      </w:r>
      <w:r w:rsidRPr="006848F6">
        <w:t xml:space="preserve"> and previously published literature and models</w:t>
      </w:r>
      <w:r w:rsidRPr="006848F6">
        <w:rPr>
          <w:vertAlign w:val="superscript"/>
        </w:rPr>
        <w:t>15,32</w:t>
      </w:r>
      <w:r w:rsidRPr="006848F6">
        <w:t xml:space="preserve">  and were adjusted using the Hospital and Community Health Service index to a price year of  2010/11.</w:t>
      </w:r>
      <w:r w:rsidRPr="006848F6">
        <w:rPr>
          <w:vertAlign w:val="superscript"/>
        </w:rPr>
        <w:t>30</w:t>
      </w:r>
      <w:r w:rsidRPr="006848F6">
        <w:t xml:space="preserve"> All costs, given in Great British Pounds Sterling (GBP), were converted to US Dollars using the purchasing power parity (PPP) exchange rate 2012 = 0.681 per USD.</w:t>
      </w:r>
      <w:r w:rsidRPr="006848F6">
        <w:rPr>
          <w:vertAlign w:val="superscript"/>
        </w:rPr>
        <w:t>29</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Budget for implementation of change strategies</w:t>
      </w:r>
    </w:p>
    <w:p w:rsidR="009C5F78" w:rsidRPr="006848F6" w:rsidRDefault="009C5F78" w:rsidP="009C5F78">
      <w:pPr>
        <w:spacing w:line="480" w:lineRule="auto"/>
        <w:jc w:val="left"/>
      </w:pPr>
      <w:r w:rsidRPr="006848F6">
        <w:t xml:space="preserve">In addition to estimating the actual cost of a given intervention, we estimated the potential budget available to healthcare commissioners for implementation of a given change strategy using estimates of effectiveness from the ‘best </w:t>
      </w:r>
      <w:r w:rsidRPr="006848F6">
        <w:rPr>
          <w:rFonts w:cs="Times New Roman"/>
        </w:rPr>
        <w:t>achievable</w:t>
      </w:r>
      <w:r w:rsidRPr="006848F6">
        <w:t>’ change strategies. This budget was calculated by combining the cost savings from each change strategy with the ‘cost neutral’ budget for clinical interventions defined by the National Institute for Health and Care Excellence (NICE) as a willingness-to-pay of USS $30,000 per QALY gained.</w:t>
      </w:r>
      <w:r w:rsidR="00B84466" w:rsidRPr="006848F6">
        <w:rPr>
          <w:vertAlign w:val="superscript"/>
        </w:rPr>
        <w:t>33</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lastRenderedPageBreak/>
        <w:t>Outcome measures</w:t>
      </w:r>
    </w:p>
    <w:p w:rsidR="009C5F78" w:rsidRPr="006848F6" w:rsidRDefault="009C5F78" w:rsidP="009C5F78">
      <w:pPr>
        <w:spacing w:line="480" w:lineRule="auto"/>
        <w:jc w:val="left"/>
      </w:pPr>
      <w:r w:rsidRPr="006848F6">
        <w:t xml:space="preserve">The primary outcome measured was changes in QALYs. Utilities were assigned using estimates from the literature and </w:t>
      </w:r>
      <w:r w:rsidRPr="006848F6">
        <w:rPr>
          <w:i/>
        </w:rPr>
        <w:t>de novo</w:t>
      </w:r>
      <w:r w:rsidRPr="006848F6">
        <w:t xml:space="preserve"> data collection.</w:t>
      </w:r>
      <w:r w:rsidR="00B84466" w:rsidRPr="006848F6">
        <w:rPr>
          <w:vertAlign w:val="superscript"/>
        </w:rPr>
        <w:t>15</w:t>
      </w:r>
      <w:r w:rsidRPr="006848F6">
        <w:t xml:space="preserve"> The modified Rankin Scale (</w:t>
      </w:r>
      <w:proofErr w:type="spellStart"/>
      <w:r w:rsidRPr="006848F6">
        <w:t>mRS</w:t>
      </w:r>
      <w:proofErr w:type="spellEnd"/>
      <w:r w:rsidRPr="006848F6">
        <w:t>) was used to assess death or dependency where scores of 0-2 were classified as independent, 3-5 as dependent and 6 for death.</w:t>
      </w:r>
      <w:r w:rsidR="00B84466" w:rsidRPr="006848F6">
        <w:rPr>
          <w:vertAlign w:val="superscript"/>
        </w:rPr>
        <w:t>34</w:t>
      </w:r>
      <w:r w:rsidR="00B84466" w:rsidRPr="006848F6">
        <w:t xml:space="preserve"> </w:t>
      </w:r>
      <w:r w:rsidRPr="006848F6">
        <w:t xml:space="preserve">Published annual mortality rates in post-stroke years for each </w:t>
      </w:r>
      <w:proofErr w:type="spellStart"/>
      <w:r w:rsidRPr="006848F6">
        <w:t>mRS</w:t>
      </w:r>
      <w:proofErr w:type="spellEnd"/>
      <w:r w:rsidRPr="006848F6">
        <w:t xml:space="preserve"> level after thrombolytic therapy</w:t>
      </w:r>
      <w:r w:rsidR="00B84466" w:rsidRPr="006848F6">
        <w:t xml:space="preserve"> </w:t>
      </w:r>
      <w:r w:rsidR="00B84466" w:rsidRPr="006848F6">
        <w:rPr>
          <w:vertAlign w:val="superscript"/>
        </w:rPr>
        <w:t>28</w:t>
      </w:r>
      <w:r w:rsidR="00B84466" w:rsidRPr="006848F6">
        <w:t xml:space="preserve"> </w:t>
      </w:r>
      <w:r w:rsidRPr="006848F6">
        <w:t xml:space="preserve"> and annual mortality rates in stroke patients </w:t>
      </w:r>
      <w:r w:rsidR="00B84466" w:rsidRPr="006848F6">
        <w:rPr>
          <w:vertAlign w:val="superscript"/>
        </w:rPr>
        <w:t>35</w:t>
      </w:r>
      <w:r w:rsidR="00B84466" w:rsidRPr="006848F6">
        <w:t xml:space="preserve"> </w:t>
      </w:r>
      <w:r w:rsidRPr="006848F6">
        <w:t>were applied to adjust the Office for National Statistics’ population life expectancies  to the patients in our model.</w:t>
      </w:r>
      <w:r w:rsidR="00B84466" w:rsidRPr="006848F6">
        <w:rPr>
          <w:vertAlign w:val="superscript"/>
        </w:rPr>
        <w:t>18</w:t>
      </w:r>
      <w:r w:rsidR="009B5004" w:rsidRPr="006848F6">
        <w:t xml:space="preserve"> </w:t>
      </w:r>
      <w:r w:rsidRPr="006848F6">
        <w:t>QALYs were calculated by multiplying life expectancy by the utility associated with a given outcome; costs and outcomes were discounted at the standard annual rate of 3.5%.</w:t>
      </w:r>
      <w:r w:rsidR="00B84466" w:rsidRPr="006848F6">
        <w:rPr>
          <w:vertAlign w:val="superscript"/>
        </w:rPr>
        <w:t>33</w:t>
      </w:r>
      <w:r w:rsidR="00B84466" w:rsidRPr="006848F6">
        <w:t xml:space="preserve"> </w:t>
      </w:r>
      <w:r w:rsidRPr="006848F6">
        <w:t>Cost-effectiveness was expressed as cost per additional QALY gained.</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Sensitivity analyses</w:t>
      </w:r>
    </w:p>
    <w:p w:rsidR="009C5F78" w:rsidRPr="006848F6" w:rsidRDefault="009C5F78" w:rsidP="009C5F78">
      <w:pPr>
        <w:spacing w:line="480" w:lineRule="auto"/>
        <w:jc w:val="left"/>
      </w:pPr>
      <w:r w:rsidRPr="006848F6">
        <w:t xml:space="preserve">One-way sensitivity analyses were undertaken to reflect the uncertainty and imprecision surrounding certain costs: CT scan costs were increased by a </w:t>
      </w:r>
      <w:r w:rsidRPr="006848F6">
        <w:rPr>
          <w:rFonts w:cs="Times New Roman"/>
        </w:rPr>
        <w:t>multiple</w:t>
      </w:r>
      <w:r w:rsidRPr="006848F6">
        <w:t xml:space="preserve"> of two and four; the cost of an individual dose of alteplase was increased and decreased by 25% and 50%; and long term care costs were increased and decreased by10% and 20%. Probabilistic Sensitivity Analysis (PSA) was used to explore the implications of parameter uncertainty: parameter values were sampled from the distributions of each variable in the model (table 2). Using Monte Carlo simulation, uncertainty was propagated through the model by randomly selecting values from the distributions for each model parameter.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 xml:space="preserve">The method of recruitment utilised in the present study meant that it was possible that patients with more severe stroke may have been excluded from the sample population (because patients who were seriously ill or died in hospital could not be approached for consent). We examined the impact of this potential bias by adjusting the ratio of independent/dependent stroke patients within the </w:t>
      </w:r>
      <w:r w:rsidRPr="006848F6">
        <w:lastRenderedPageBreak/>
        <w:t xml:space="preserve">model basecase. Specifically, the impact of increasing the proportion of stroke patients with an </w:t>
      </w:r>
      <w:proofErr w:type="spellStart"/>
      <w:r w:rsidRPr="006848F6">
        <w:t>mRS</w:t>
      </w:r>
      <w:proofErr w:type="spellEnd"/>
      <w:r w:rsidRPr="006848F6">
        <w:t xml:space="preserve"> score of </w:t>
      </w:r>
      <w:r w:rsidRPr="006848F6">
        <w:rPr>
          <w:szCs w:val="24"/>
          <w:u w:val="single"/>
        </w:rPr>
        <w:t>&gt;</w:t>
      </w:r>
      <w:r w:rsidRPr="006848F6">
        <w:rPr>
          <w:szCs w:val="24"/>
        </w:rPr>
        <w:t>3</w:t>
      </w:r>
      <w:r w:rsidRPr="006848F6">
        <w:t xml:space="preserve"> (3 months after hospital discharge) by 5%, 10% and 15% was studied.</w:t>
      </w:r>
    </w:p>
    <w:p w:rsidR="009C5F78" w:rsidRPr="006848F6" w:rsidRDefault="009C5F78" w:rsidP="009C5F78">
      <w:pPr>
        <w:spacing w:line="480" w:lineRule="auto"/>
        <w:jc w:val="left"/>
        <w:rPr>
          <w:b/>
        </w:rPr>
      </w:pPr>
    </w:p>
    <w:p w:rsidR="009C5F78" w:rsidRPr="006848F6" w:rsidRDefault="009C5F78" w:rsidP="009C5F78">
      <w:pPr>
        <w:spacing w:line="480" w:lineRule="auto"/>
        <w:jc w:val="left"/>
        <w:rPr>
          <w:b/>
        </w:rPr>
      </w:pPr>
      <w:r w:rsidRPr="006848F6">
        <w:rPr>
          <w:b/>
        </w:rPr>
        <w:t>Results</w:t>
      </w:r>
    </w:p>
    <w:p w:rsidR="009C5F78" w:rsidRPr="006848F6" w:rsidRDefault="009C5F78" w:rsidP="009C5F78">
      <w:pPr>
        <w:spacing w:line="480" w:lineRule="auto"/>
        <w:jc w:val="left"/>
        <w:rPr>
          <w:i/>
        </w:rPr>
      </w:pPr>
      <w:r w:rsidRPr="006848F6">
        <w:rPr>
          <w:i/>
        </w:rPr>
        <w:t>Main results</w:t>
      </w:r>
    </w:p>
    <w:p w:rsidR="009C5F78" w:rsidRPr="006848F6" w:rsidRDefault="009C5F78" w:rsidP="009C5F78">
      <w:pPr>
        <w:spacing w:line="480" w:lineRule="auto"/>
        <w:jc w:val="left"/>
      </w:pPr>
      <w:r w:rsidRPr="006848F6">
        <w:t xml:space="preserve">A total of 488 stroke events (including 133 stroke mimics) were included in the basecase analysis (table 3). The average age of the population was 70±16 years, approximately half (49%) were female and a total of 33 patients (9%) received thrombolysis (table 3). Current practice resulted in 2,251 QALYs per 100,000 population at a cost of USD $20,813,000 (table 4). </w:t>
      </w:r>
    </w:p>
    <w:p w:rsidR="009C5F78" w:rsidRPr="006848F6" w:rsidRDefault="009C5F78" w:rsidP="009C5F78"/>
    <w:p w:rsidR="009C5F78" w:rsidRPr="006848F6" w:rsidRDefault="009C5F78" w:rsidP="009C5F78">
      <w:pPr>
        <w:spacing w:line="480" w:lineRule="auto"/>
        <w:jc w:val="left"/>
      </w:pPr>
      <w:r w:rsidRPr="006848F6">
        <w:t>All proposed change strategies reduced costs and increased QALYs and were therefore considered dominant. The theoretical change strategy with the largest cost saving was that which saw patients receive a CT scan immediately upon arrival. This resulted in 5.4 additional QALYs and reduced costs by USD $75,000 (table 4).</w:t>
      </w:r>
    </w:p>
    <w:p w:rsidR="009C5F78" w:rsidRPr="006848F6" w:rsidRDefault="009C5F78" w:rsidP="009C5F78">
      <w:pPr>
        <w:spacing w:line="480" w:lineRule="auto"/>
        <w:jc w:val="left"/>
        <w:rPr>
          <w:rFonts w:cs="Times New Roman"/>
        </w:rPr>
      </w:pPr>
    </w:p>
    <w:p w:rsidR="009C5F78" w:rsidRPr="006848F6" w:rsidRDefault="009C5F78" w:rsidP="009C5F78">
      <w:pPr>
        <w:spacing w:line="480" w:lineRule="auto"/>
        <w:jc w:val="left"/>
      </w:pPr>
      <w:r w:rsidRPr="006848F6">
        <w:rPr>
          <w:rFonts w:cs="Times New Roman"/>
        </w:rPr>
        <w:t>Taking into account the relative effectiveness of a given change strategy and considering the ‘best achievable’ strategies (t</w:t>
      </w:r>
      <w:r w:rsidRPr="006848F6">
        <w:t>able</w:t>
      </w:r>
      <w:r w:rsidRPr="006848F6">
        <w:rPr>
          <w:rFonts w:cs="Times New Roman"/>
        </w:rPr>
        <w:t xml:space="preserve"> 1), the strategy with the largest potential cost saving was that which i</w:t>
      </w:r>
      <w:r w:rsidRPr="006848F6">
        <w:t>mproved the recognition and recording of onset time</w:t>
      </w:r>
      <w:r w:rsidRPr="006848F6" w:rsidDel="0090208D">
        <w:rPr>
          <w:rFonts w:cs="Times New Roman"/>
        </w:rPr>
        <w:t xml:space="preserve"> </w:t>
      </w:r>
      <w:r w:rsidRPr="006848F6">
        <w:rPr>
          <w:rFonts w:cs="Times New Roman"/>
        </w:rPr>
        <w:t>(t</w:t>
      </w:r>
      <w:r w:rsidRPr="006848F6">
        <w:t>able</w:t>
      </w:r>
      <w:r w:rsidRPr="006848F6">
        <w:rPr>
          <w:rFonts w:cs="Times New Roman"/>
        </w:rPr>
        <w:t xml:space="preserve"> 4). This was predicted to </w:t>
      </w:r>
      <w:r w:rsidRPr="006848F6">
        <w:t xml:space="preserve">reduce costs by USD $46,000 </w:t>
      </w:r>
      <w:r w:rsidRPr="006848F6">
        <w:rPr>
          <w:rFonts w:cs="Times New Roman"/>
        </w:rPr>
        <w:t>resulting in</w:t>
      </w:r>
      <w:r w:rsidRPr="006848F6">
        <w:t xml:space="preserve"> an additional 3.3 QALYs per 100,000 population. A comparison of total cost-saving vs. total QALY gains for each strategy considered is shown in the online supplementary material (figure I; </w:t>
      </w:r>
      <w:r w:rsidRPr="006848F6">
        <w:rPr>
          <w:rFonts w:cs="Times New Roman"/>
          <w:szCs w:val="24"/>
          <w:shd w:val="clear" w:color="auto" w:fill="FFFFFF"/>
        </w:rPr>
        <w:t>http://stroke.ahajournals.org</w:t>
      </w:r>
      <w:r w:rsidRPr="006848F6">
        <w:t xml:space="preserve">). </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Resource use</w:t>
      </w:r>
    </w:p>
    <w:p w:rsidR="009C5F78" w:rsidRPr="006848F6" w:rsidRDefault="009C5F78" w:rsidP="009C5F78">
      <w:pPr>
        <w:spacing w:line="480" w:lineRule="auto"/>
        <w:jc w:val="left"/>
      </w:pPr>
      <w:r w:rsidRPr="006848F6">
        <w:t xml:space="preserve">All potential change strategies led to an increase in the number of patients receiving thrombolysis and requiring urgent scans (table 5). For example, in the best performing, best achievable strategy (improved the recognition and recording of onset time), an extra 4 patients (an increase of 21%) </w:t>
      </w:r>
      <w:r w:rsidRPr="006848F6">
        <w:lastRenderedPageBreak/>
        <w:t xml:space="preserve">received thrombolysis per 100,000 population but this required an additional 15 urgent CT scans (also an increase of 21%). </w:t>
      </w:r>
    </w:p>
    <w:p w:rsidR="009C5F78" w:rsidRPr="006848F6" w:rsidRDefault="009C5F78" w:rsidP="009C5F78">
      <w:pPr>
        <w:spacing w:line="480" w:lineRule="auto"/>
        <w:jc w:val="left"/>
        <w:rPr>
          <w:i/>
        </w:rPr>
      </w:pPr>
    </w:p>
    <w:p w:rsidR="009C5F78" w:rsidRPr="006848F6" w:rsidRDefault="009C5F78" w:rsidP="009C5F78">
      <w:pPr>
        <w:spacing w:line="480" w:lineRule="auto"/>
        <w:jc w:val="left"/>
        <w:rPr>
          <w:i/>
        </w:rPr>
      </w:pPr>
      <w:r w:rsidRPr="006848F6">
        <w:rPr>
          <w:i/>
        </w:rPr>
        <w:t>Sensitivity analysis</w:t>
      </w:r>
    </w:p>
    <w:p w:rsidR="009C5F78" w:rsidRPr="006848F6" w:rsidRDefault="009C5F78" w:rsidP="009C5F78">
      <w:pPr>
        <w:spacing w:line="480" w:lineRule="auto"/>
        <w:jc w:val="left"/>
      </w:pPr>
      <w:r w:rsidRPr="006848F6">
        <w:t xml:space="preserve">The ranking of cost-effectiveness of the change strategies did not alter under </w:t>
      </w:r>
      <w:proofErr w:type="gramStart"/>
      <w:r w:rsidRPr="006848F6">
        <w:t>one way</w:t>
      </w:r>
      <w:proofErr w:type="gramEnd"/>
      <w:r w:rsidRPr="006848F6">
        <w:t xml:space="preserve"> sensitivity analysis of: (1) long-term acute stroke costs; (2) CT scan costs; and (3) cost of thrombolysis drugs (data available from the authors). Results of the probabilistic sensitivity analysis demonstrate that for the best performing achievable change strategy (improved recognition and recording of onset time), the majority of</w:t>
      </w:r>
      <w:r w:rsidRPr="006848F6" w:rsidDel="00B544E9">
        <w:t xml:space="preserve"> </w:t>
      </w:r>
      <w:r w:rsidRPr="006848F6">
        <w:t>the 5,000 replications of cost-QALY difference pairs</w:t>
      </w:r>
      <w:r w:rsidRPr="006848F6" w:rsidDel="00B544E9">
        <w:t xml:space="preserve"> </w:t>
      </w:r>
      <w:r w:rsidRPr="006848F6">
        <w:t>run in the Monte Carlo simulation are in the South East quadrant, indicating that this change strategy is less costly and more effective (please see supplementary material, figure II</w:t>
      </w:r>
      <w:r w:rsidRPr="006848F6">
        <w:rPr>
          <w:rFonts w:cs="Times New Roman"/>
          <w:szCs w:val="24"/>
        </w:rPr>
        <w:t xml:space="preserve">; </w:t>
      </w:r>
      <w:r w:rsidRPr="006848F6">
        <w:rPr>
          <w:rFonts w:cs="Times New Roman"/>
          <w:szCs w:val="24"/>
          <w:shd w:val="clear" w:color="auto" w:fill="FFFFFF"/>
        </w:rPr>
        <w:t>http://stroke.ahajournals.org</w:t>
      </w:r>
      <w:r w:rsidRPr="006848F6">
        <w:rPr>
          <w:rFonts w:cs="Times New Roman"/>
          <w:szCs w:val="24"/>
        </w:rPr>
        <w:t>).</w:t>
      </w:r>
      <w:r w:rsidRPr="006848F6">
        <w:t xml:space="preserve">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 xml:space="preserve">We also calculated a cost-effectiveness acceptability curve for the best performing achievable strategy (improved recognition and recording of onset time) from the joint density of incremental costs and incremental QALYs (please see supplementary material, figure III; </w:t>
      </w:r>
      <w:r w:rsidRPr="006848F6">
        <w:rPr>
          <w:rFonts w:cs="Times New Roman"/>
          <w:szCs w:val="24"/>
          <w:shd w:val="clear" w:color="auto" w:fill="FFFFFF"/>
        </w:rPr>
        <w:t>http://stroke.ahajournals.org</w:t>
      </w:r>
      <w:r w:rsidRPr="006848F6">
        <w:t xml:space="preserve">). This showed that if a healthcare commissioner wished to invest only what was saved, that is a willingness-to-pay of zero, 66% of model replications indicated that an improved recognition and recording of onset time was cost-effective and where a commissioner was prepared to invest any positive sum, the likelihood of cost effectiveness was always greater than this.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 xml:space="preserve">Increasing the proportion of dependent stroke patients in the population (by 5%, 10% and 15%) did not have an appreciable effect on the results, other than to slightly improve the cost savings with negligible impact on the incremental effectiveness. For example, in the best performing achievable change strategy (improved recognition and recording of onset time), an increase in the number of dependent stroke patients in the model marginally increased the cost savings observed (USD $-144, </w:t>
      </w:r>
      <w:r w:rsidRPr="006848F6">
        <w:lastRenderedPageBreak/>
        <w:t>$-145, $-147, respectively) with minimal impact on incremental effects (0.0102, 0.0103, 0.103 QALYs, respectively).</w:t>
      </w:r>
    </w:p>
    <w:p w:rsidR="009C5F78" w:rsidRPr="006848F6" w:rsidRDefault="009C5F78" w:rsidP="009C5F78">
      <w:pPr>
        <w:spacing w:line="480" w:lineRule="auto"/>
        <w:jc w:val="left"/>
        <w:rPr>
          <w:i/>
        </w:rPr>
      </w:pPr>
    </w:p>
    <w:p w:rsidR="009C5F78" w:rsidRPr="006848F6" w:rsidRDefault="009C5F78" w:rsidP="009C5F78">
      <w:pPr>
        <w:spacing w:line="480" w:lineRule="auto"/>
        <w:jc w:val="left"/>
        <w:rPr>
          <w:i/>
        </w:rPr>
      </w:pPr>
      <w:r w:rsidRPr="006848F6">
        <w:rPr>
          <w:i/>
        </w:rPr>
        <w:t>Budget for implementation of change strategies</w:t>
      </w:r>
    </w:p>
    <w:p w:rsidR="009C5F78" w:rsidRPr="006848F6" w:rsidRDefault="009C5F78" w:rsidP="009C5F78">
      <w:pPr>
        <w:spacing w:line="480" w:lineRule="auto"/>
        <w:jc w:val="left"/>
      </w:pPr>
      <w:r w:rsidRPr="006848F6">
        <w:t xml:space="preserve">Estimates of the potential budget available to healthcare commissioners for implementation of each change strategy are provided in online supplementary material (table I; </w:t>
      </w:r>
      <w:r w:rsidRPr="006848F6">
        <w:rPr>
          <w:rFonts w:cs="Times New Roman"/>
          <w:szCs w:val="24"/>
          <w:shd w:val="clear" w:color="auto" w:fill="FFFFFF"/>
        </w:rPr>
        <w:t>http://stroke.ahajournals.org</w:t>
      </w:r>
      <w:r w:rsidRPr="006848F6">
        <w:t>). The best performing strategy (improving the recognition and recording of onset time) was estimated to save USD $46,000 per 100,000 population and lead to 3.3 additional QALYs. Therefore, any intervention which improved onset time recording could cost up to USD $46,000 per year and still be cost-saving. At a willingness-to-pay of USD $30,000 per QALY gained,</w:t>
      </w:r>
      <w:r w:rsidR="00B84466" w:rsidRPr="006848F6">
        <w:rPr>
          <w:vertAlign w:val="superscript"/>
        </w:rPr>
        <w:t>33</w:t>
      </w:r>
      <w:r w:rsidRPr="006848F6">
        <w:t xml:space="preserve"> an improvement of 3.3 QALYs would extend the potential budget for implementation to USD $98,000 (USD $30,000 × 3.3), giving a total budget of USD $144,000 (USD $46,000 + USD $98,000) per 100,000 population per year (please see supplementary material, table I; </w:t>
      </w:r>
      <w:r w:rsidRPr="006848F6">
        <w:rPr>
          <w:rFonts w:cs="Times New Roman"/>
          <w:szCs w:val="24"/>
          <w:shd w:val="clear" w:color="auto" w:fill="FFFFFF"/>
        </w:rPr>
        <w:t>http://stroke.ahajournals.org</w:t>
      </w:r>
      <w:r w:rsidRPr="006848F6">
        <w:t>).</w:t>
      </w:r>
    </w:p>
    <w:p w:rsidR="009C5F78" w:rsidRPr="006848F6" w:rsidRDefault="009C5F78" w:rsidP="009C5F78">
      <w:pPr>
        <w:spacing w:line="480" w:lineRule="auto"/>
        <w:jc w:val="left"/>
        <w:rPr>
          <w:b/>
        </w:rPr>
      </w:pPr>
      <w:r w:rsidRPr="006848F6">
        <w:t xml:space="preserve"> </w:t>
      </w:r>
    </w:p>
    <w:p w:rsidR="009C5F78" w:rsidRPr="006848F6" w:rsidRDefault="009C5F78" w:rsidP="009C5F78">
      <w:pPr>
        <w:spacing w:line="480" w:lineRule="auto"/>
        <w:jc w:val="left"/>
        <w:rPr>
          <w:b/>
        </w:rPr>
      </w:pPr>
      <w:r w:rsidRPr="006848F6">
        <w:rPr>
          <w:b/>
        </w:rPr>
        <w:t>Discussion</w:t>
      </w:r>
    </w:p>
    <w:p w:rsidR="009C5F78" w:rsidRPr="006848F6" w:rsidRDefault="009C5F78" w:rsidP="009C5F78">
      <w:pPr>
        <w:spacing w:line="480" w:lineRule="auto"/>
        <w:jc w:val="left"/>
        <w:rPr>
          <w:i/>
        </w:rPr>
      </w:pPr>
    </w:p>
    <w:p w:rsidR="009C5F78" w:rsidRPr="006848F6" w:rsidRDefault="009C5F78" w:rsidP="009C5F78">
      <w:pPr>
        <w:spacing w:line="480" w:lineRule="auto"/>
        <w:jc w:val="left"/>
        <w:rPr>
          <w:i/>
        </w:rPr>
      </w:pPr>
      <w:r w:rsidRPr="006848F6">
        <w:rPr>
          <w:i/>
        </w:rPr>
        <w:t>Main findings</w:t>
      </w:r>
    </w:p>
    <w:p w:rsidR="009C5F78" w:rsidRPr="006848F6" w:rsidRDefault="009C5F78" w:rsidP="009C5F78">
      <w:pPr>
        <w:spacing w:line="480" w:lineRule="auto"/>
        <w:jc w:val="left"/>
      </w:pPr>
      <w:r w:rsidRPr="006848F6">
        <w:t xml:space="preserve">This study demonstrates that all intervention strategies which increase thrombolysis rates in acute stroke are cost-effective due to a reduction in dependency after stroke and the subsequent reduction in long term care costs. We found that up to USD $144,000 per 100,000 population could be invested in an intervention which improves recognition and recording of onset time amongst healthcare professionals and the intervention would still be cost-effective at a willingness to pay of USD $30,000 per QALY gained. Similarly, an intervention that improved population recognition of symptoms likely to be caused by stroke and thus reduced the time to initial contact with emergency services would need national coverage and so for England and Wales or the United States </w:t>
      </w:r>
      <w:r w:rsidRPr="006848F6">
        <w:lastRenderedPageBreak/>
        <w:t>(populations 53million and 316million respectively),</w:t>
      </w:r>
      <w:r w:rsidR="00B84466" w:rsidRPr="006848F6">
        <w:rPr>
          <w:vertAlign w:val="superscript"/>
        </w:rPr>
        <w:t>37</w:t>
      </w:r>
      <w:r w:rsidR="00B84466" w:rsidRPr="006848F6">
        <w:t xml:space="preserve"> </w:t>
      </w:r>
      <w:r w:rsidRPr="006848F6">
        <w:t>the budget for a cost neutral intervention (</w:t>
      </w:r>
      <w:r w:rsidRPr="006848F6">
        <w:rPr>
          <w:i/>
        </w:rPr>
        <w:t>i.e.</w:t>
      </w:r>
      <w:r w:rsidRPr="006848F6">
        <w:t xml:space="preserve"> one where any investment was repaid by reductions in subsequent costs) would fall between USD $9million and USD $53 million and this would be predicted to gain over 600 QALYs. In reality, a combination of incremental improvements in multiple parts of the stroke pathway is likely to be the most appropriate, concentrating initially on measures in the early phases of the pathway where the most individuals have most to gain from service improvement. </w:t>
      </w:r>
    </w:p>
    <w:p w:rsidR="009C5F78" w:rsidRPr="006848F6" w:rsidRDefault="009C5F78" w:rsidP="009C5F78">
      <w:pPr>
        <w:spacing w:line="480" w:lineRule="auto"/>
        <w:jc w:val="left"/>
        <w:rPr>
          <w:i/>
        </w:rPr>
      </w:pPr>
    </w:p>
    <w:p w:rsidR="009C5F78" w:rsidRPr="006848F6" w:rsidRDefault="009C5F78" w:rsidP="009C5F78">
      <w:pPr>
        <w:spacing w:line="480" w:lineRule="auto"/>
        <w:jc w:val="left"/>
        <w:rPr>
          <w:i/>
        </w:rPr>
      </w:pPr>
      <w:r w:rsidRPr="006848F6">
        <w:rPr>
          <w:i/>
        </w:rPr>
        <w:t>Strengths and limitations</w:t>
      </w:r>
    </w:p>
    <w:p w:rsidR="009C5F78" w:rsidRPr="006848F6" w:rsidRDefault="009C5F78" w:rsidP="009C5F78">
      <w:pPr>
        <w:spacing w:line="480" w:lineRule="auto"/>
        <w:jc w:val="left"/>
      </w:pPr>
      <w:r w:rsidRPr="006848F6">
        <w:t>The model was based on a cohort of patients recruited from two urban hospital Trusts in the West Midlands, UK. This meant that pathways and proportions in the model were reflective of current clinical practice and service design in these settings but may not be representative of the UK as a whole. The relative cost-effectiveness of administering interventions for thrombolysis services provided at hospitals in a rural setting, where journey times may be longer, are likely to be different.</w:t>
      </w:r>
      <w:r w:rsidR="00B84466" w:rsidRPr="006848F6">
        <w:rPr>
          <w:vertAlign w:val="superscript"/>
        </w:rPr>
        <w:t>38</w:t>
      </w:r>
      <w:r w:rsidRPr="006848F6">
        <w:t xml:space="preserve"> Despite this, </w:t>
      </w:r>
      <w:proofErr w:type="gramStart"/>
      <w:r w:rsidRPr="006848F6">
        <w:t>all of</w:t>
      </w:r>
      <w:proofErr w:type="gramEnd"/>
      <w:r w:rsidRPr="006848F6">
        <w:t xml:space="preserve"> the change strategies examined would be relevant in a range of settings. In some units, achievement of best current practice may be challenging but these data provide an estimate of the benefits that could be accrued by such achievement. Even in high performing units providing best current practice across the stroke pathway, there was still a gap between the maximum theoretical benefit and such practice leaving room for additional quality improvement.</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Whilst we have acknowledged that thrombolysis is beneficial the sooner it is administered,</w:t>
      </w:r>
      <w:r w:rsidR="00B84466" w:rsidRPr="006848F6">
        <w:rPr>
          <w:vertAlign w:val="superscript"/>
        </w:rPr>
        <w:t>39</w:t>
      </w:r>
      <w:r w:rsidR="00B84466" w:rsidRPr="006848F6">
        <w:t xml:space="preserve"> </w:t>
      </w:r>
      <w:r w:rsidRPr="006848F6">
        <w:t xml:space="preserve"> we took a pragmatic approach for modelling, using fixed effects within a 4.5 hour time window, taken from a Cochrane Review of acute stroke care.</w:t>
      </w:r>
      <w:r w:rsidR="00B84466" w:rsidRPr="006848F6">
        <w:rPr>
          <w:vertAlign w:val="superscript"/>
        </w:rPr>
        <w:t>40</w:t>
      </w:r>
      <w:r w:rsidR="00B84466" w:rsidRPr="006848F6">
        <w:t xml:space="preserve"> </w:t>
      </w:r>
      <w:r w:rsidRPr="006848F6">
        <w:t xml:space="preserve">In reality, improvements in the timeliness of care may lead to incrementally better outcome and therefore it is possible that even greater benefit could be achieved from a given change strategy.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lastRenderedPageBreak/>
        <w:t>Information governance in the UK precludes the routine linkage of individual level data that this study depended on, hence we relied on patient consent. Subsequently, our cohort was less likely to include people with more serious stroke where consultee consent was required which would have had the effect of improving overall outcome in the basecase. Despite this, rates of thrombolysis in the included cohort were similar to those reported nationally although mortality was lower.</w:t>
      </w:r>
      <w:r w:rsidR="00B84466" w:rsidRPr="006848F6">
        <w:rPr>
          <w:vertAlign w:val="superscript"/>
        </w:rPr>
        <w:t>41</w:t>
      </w:r>
      <w:r w:rsidR="00B84466" w:rsidRPr="006848F6">
        <w:t xml:space="preserve"> </w:t>
      </w:r>
      <w:r w:rsidRPr="006848F6">
        <w:t xml:space="preserve">Furthermore, the proportion of patients dependent after hospital discharge in the present study (40%) was comparable with previous studies including the Oxford Community Stroke Project (35%) </w:t>
      </w:r>
      <w:r w:rsidR="00B84466" w:rsidRPr="006848F6">
        <w:rPr>
          <w:vertAlign w:val="superscript"/>
        </w:rPr>
        <w:t>42</w:t>
      </w:r>
      <w:r w:rsidR="00B84466" w:rsidRPr="006848F6">
        <w:t xml:space="preserve"> </w:t>
      </w:r>
      <w:r w:rsidRPr="006848F6">
        <w:t xml:space="preserve"> and the Lothian Stroke Register (35%),</w:t>
      </w:r>
      <w:r w:rsidR="00B84466" w:rsidRPr="006848F6">
        <w:rPr>
          <w:vertAlign w:val="superscript"/>
        </w:rPr>
        <w:t>42</w:t>
      </w:r>
      <w:r w:rsidR="00B84466" w:rsidRPr="006848F6">
        <w:t xml:space="preserve"> </w:t>
      </w:r>
      <w:r w:rsidRPr="006848F6">
        <w:t>suggesting our data are likely to be representative. In addition, sensitivity analysis conducted suggested that adjusting the proportion of dependent stroke patients in the model is unlikely to have a noticeable impact on the overall results of the model, other than to slightly improve the cost-effectiveness of each change strategy modelled.</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The costs of long-term care after stroke were taken from estimates in the literature.</w:t>
      </w:r>
      <w:r w:rsidR="00B84466" w:rsidRPr="006848F6">
        <w:rPr>
          <w:vertAlign w:val="superscript"/>
        </w:rPr>
        <w:t>32</w:t>
      </w:r>
      <w:r w:rsidR="00B84466" w:rsidRPr="006848F6">
        <w:t xml:space="preserve"> </w:t>
      </w:r>
      <w:r w:rsidRPr="006848F6">
        <w:t xml:space="preserve"> In reality, whilst the impact of dependence was taken into account, there is significant variation in disability suffered and therefore the nature and cost of care required.</w:t>
      </w:r>
      <w:r w:rsidR="00B84466" w:rsidRPr="006848F6">
        <w:rPr>
          <w:vertAlign w:val="superscript"/>
        </w:rPr>
        <w:t>32</w:t>
      </w:r>
      <w:r w:rsidR="00B84466" w:rsidRPr="006848F6">
        <w:t xml:space="preserve"> </w:t>
      </w:r>
      <w:r w:rsidRPr="006848F6">
        <w:t xml:space="preserve"> Once again, sensitivity analyses suggest the benefits of optimising the thrombolysis care pathway remain whatever adjustments in estimate (up or down) were made.</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Relationship with other literature</w:t>
      </w:r>
    </w:p>
    <w:p w:rsidR="009C5F78" w:rsidRPr="006848F6" w:rsidRDefault="009C5F78" w:rsidP="009C5F78">
      <w:pPr>
        <w:spacing w:line="480" w:lineRule="auto"/>
        <w:jc w:val="left"/>
        <w:rPr>
          <w:rFonts w:cs="Times New Roman"/>
          <w:szCs w:val="24"/>
          <w:shd w:val="clear" w:color="auto" w:fill="FFFFFF"/>
        </w:rPr>
      </w:pPr>
      <w:r w:rsidRPr="006848F6">
        <w:t>Most previous studies of the cost-effectiveness of thrombolysis have compared the therapy to conservative treatment (no thrombolysis).</w:t>
      </w:r>
      <w:r w:rsidR="00B84466" w:rsidRPr="006848F6">
        <w:rPr>
          <w:vertAlign w:val="superscript"/>
        </w:rPr>
        <w:t>3, 13-15</w:t>
      </w:r>
      <w:r w:rsidRPr="006848F6">
        <w:t>Whilst these studies found thrombolytic therapy to be cost effective, they are of less relevance now such treatment is established routine clinical practice. More recent economic evaluations have focused on assessing the impact of specific interventions aimed at increasing thrombolysis rates including studies</w:t>
      </w:r>
      <w:r w:rsidR="00B84466" w:rsidRPr="006848F6">
        <w:t xml:space="preserve"> </w:t>
      </w:r>
      <w:r w:rsidR="00B84466" w:rsidRPr="006848F6">
        <w:rPr>
          <w:vertAlign w:val="superscript"/>
        </w:rPr>
        <w:t>43,</w:t>
      </w:r>
      <w:proofErr w:type="gramStart"/>
      <w:r w:rsidR="00B84466" w:rsidRPr="006848F6">
        <w:rPr>
          <w:vertAlign w:val="superscript"/>
        </w:rPr>
        <w:t>44</w:t>
      </w:r>
      <w:r w:rsidR="00B406A3" w:rsidRPr="006848F6">
        <w:t xml:space="preserve"> </w:t>
      </w:r>
      <w:r w:rsidRPr="006848F6">
        <w:rPr>
          <w:rFonts w:cs="Times New Roman"/>
          <w:szCs w:val="24"/>
          <w:shd w:val="clear" w:color="auto" w:fill="FFFFFF"/>
        </w:rPr>
        <w:t xml:space="preserve"> and</w:t>
      </w:r>
      <w:proofErr w:type="gramEnd"/>
      <w:r w:rsidRPr="006848F6">
        <w:rPr>
          <w:rFonts w:cs="Times New Roman"/>
          <w:szCs w:val="24"/>
          <w:shd w:val="clear" w:color="auto" w:fill="FFFFFF"/>
        </w:rPr>
        <w:t xml:space="preserve">, like the present study, found improvements in QALYs gained with additional cost savings over a lifetime horizon. </w:t>
      </w:r>
    </w:p>
    <w:p w:rsidR="009C5F78" w:rsidRPr="006848F6" w:rsidRDefault="009C5F78" w:rsidP="009C5F78">
      <w:pPr>
        <w:spacing w:line="480" w:lineRule="auto"/>
        <w:jc w:val="left"/>
        <w:rPr>
          <w:rFonts w:cs="Times New Roman"/>
          <w:szCs w:val="24"/>
          <w:shd w:val="clear" w:color="auto" w:fill="FFFFFF"/>
        </w:rPr>
      </w:pPr>
      <w:r w:rsidRPr="006848F6">
        <w:rPr>
          <w:rFonts w:cs="Times New Roman"/>
          <w:szCs w:val="24"/>
          <w:shd w:val="clear" w:color="auto" w:fill="FFFFFF"/>
        </w:rPr>
        <w:lastRenderedPageBreak/>
        <w:t>A third modelling exercise from Northern Ireland assessed the impact of a theoretical increase in thrombolysis from 10% to 50% using data from a population where no one received thrombolysis with similarly positive results as previous work.</w:t>
      </w:r>
      <w:r w:rsidR="00B84466" w:rsidRPr="006848F6">
        <w:rPr>
          <w:rFonts w:cs="Times New Roman"/>
          <w:szCs w:val="24"/>
          <w:shd w:val="clear" w:color="auto" w:fill="FFFFFF"/>
          <w:vertAlign w:val="superscript"/>
        </w:rPr>
        <w:t>45</w:t>
      </w:r>
    </w:p>
    <w:p w:rsidR="009C5F78" w:rsidRPr="006848F6" w:rsidRDefault="009C5F78" w:rsidP="009C5F78">
      <w:pPr>
        <w:spacing w:line="480" w:lineRule="auto"/>
        <w:jc w:val="left"/>
        <w:rPr>
          <w:rFonts w:cs="Times New Roman"/>
          <w:szCs w:val="24"/>
          <w:shd w:val="clear" w:color="auto" w:fill="FFFFFF"/>
        </w:rPr>
      </w:pPr>
    </w:p>
    <w:p w:rsidR="009C5F78" w:rsidRPr="006848F6" w:rsidRDefault="009C5F78" w:rsidP="009C5F78">
      <w:pPr>
        <w:spacing w:line="480" w:lineRule="auto"/>
        <w:jc w:val="left"/>
        <w:rPr>
          <w:rFonts w:cs="Times New Roman"/>
          <w:szCs w:val="24"/>
          <w:shd w:val="clear" w:color="auto" w:fill="FFFFFF"/>
        </w:rPr>
      </w:pPr>
      <w:r w:rsidRPr="006848F6">
        <w:rPr>
          <w:rFonts w:cs="Times New Roman"/>
          <w:szCs w:val="24"/>
          <w:shd w:val="clear" w:color="auto" w:fill="FFFFFF"/>
        </w:rPr>
        <w:t xml:space="preserve">The present study differs from this previous work in evaluating a series of hypothetical change strategies across the whole acute stroke pathway based on observed “real life” data and modelling the impact of reducing barriers to thrombolysis with the aim of estimating the funding required to implement such strategies. Both the literature and the current study show cost savings for a variety of interventions and suggest that, even in a constrained financial climate, quality improvement strategies in stroke have the potential to save money. </w:t>
      </w:r>
    </w:p>
    <w:p w:rsidR="009C5F78" w:rsidRPr="006848F6" w:rsidRDefault="009C5F78" w:rsidP="009C5F78">
      <w:pPr>
        <w:spacing w:line="480" w:lineRule="auto"/>
        <w:jc w:val="left"/>
      </w:pPr>
    </w:p>
    <w:p w:rsidR="009C5F78" w:rsidRPr="006848F6" w:rsidRDefault="009C5F78" w:rsidP="009C5F78">
      <w:pPr>
        <w:spacing w:line="480" w:lineRule="auto"/>
        <w:jc w:val="left"/>
        <w:rPr>
          <w:i/>
        </w:rPr>
      </w:pPr>
      <w:r w:rsidRPr="006848F6">
        <w:rPr>
          <w:i/>
        </w:rPr>
        <w:t>Implications for clinical practice and commissioning</w:t>
      </w:r>
    </w:p>
    <w:p w:rsidR="009C5F78" w:rsidRPr="006848F6" w:rsidRDefault="009C5F78" w:rsidP="009C5F78">
      <w:pPr>
        <w:spacing w:line="480" w:lineRule="auto"/>
        <w:jc w:val="left"/>
      </w:pPr>
      <w:r w:rsidRPr="006848F6">
        <w:t xml:space="preserve">Any intervention, such as those proposed, requires consideration of the capacity of local stroke services due to the knock-on effects of increasing thrombolysis rates. Whilst the extra costs of this may be outweighed by the increased benefits in patient outcomes after stroke, the capacity of an individual hospital to cope with such a change in service provision must be considered. Similarly, removing primary care from the care pathway increases EMS utilisation and the number of ambulance journeys required by patients attending hospital (table 5). In circumstances where existing services are already stretched to capacity, implementation of change may not be straightforward. Despite this, not all change requires increased activity: all of the change strategies assessed reduced overall bed occupancy due to increased thrombolysis rates (table 5). </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 xml:space="preserve">It is also important to consider that in some instances, initial investment by one hospital Trust may not be recouped until further down the stroke pathway when the patient is under the care of a different healthcare provider. For example, ensuring that all suspected stroke patients receive an immediate CT scan upon arrival in hospital may require in-hospital reorganisation or investment in </w:t>
      </w:r>
      <w:r w:rsidRPr="006848F6">
        <w:lastRenderedPageBreak/>
        <w:t xml:space="preserve">additional scanning equipment. Our model suggests the cost savings from this investment may not be seen until after the patient is discharged from hospital and receiving care in the community. This has been noted previously </w:t>
      </w:r>
      <w:r w:rsidR="00B84466" w:rsidRPr="006848F6">
        <w:rPr>
          <w:vertAlign w:val="superscript"/>
        </w:rPr>
        <w:t>46</w:t>
      </w:r>
      <w:r w:rsidRPr="006848F6">
        <w:t xml:space="preserve"> and could discourage acute care providers from significant investment in the acute stroke pathway. Healthcare commissioners should consider funding and resources for stroke care throughout the care continuum.</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t xml:space="preserve">Could modelling potential change be used more widely? </w:t>
      </w:r>
      <w:r w:rsidRPr="006848F6">
        <w:rPr>
          <w:rFonts w:cs="Times New Roman"/>
          <w:szCs w:val="24"/>
          <w:shd w:val="clear" w:color="auto" w:fill="FFFFFF"/>
        </w:rPr>
        <w:t>The current study required significant effort in terms of data collection.</w:t>
      </w:r>
      <w:r w:rsidR="00B84466" w:rsidRPr="006848F6">
        <w:rPr>
          <w:rFonts w:cs="Times New Roman"/>
          <w:szCs w:val="24"/>
          <w:shd w:val="clear" w:color="auto" w:fill="FFFFFF"/>
          <w:vertAlign w:val="superscript"/>
        </w:rPr>
        <w:t>19</w:t>
      </w:r>
      <w:r w:rsidR="00B84466" w:rsidRPr="006848F6">
        <w:rPr>
          <w:rFonts w:cs="Times New Roman"/>
          <w:szCs w:val="24"/>
          <w:shd w:val="clear" w:color="auto" w:fill="FFFFFF"/>
        </w:rPr>
        <w:t xml:space="preserve"> </w:t>
      </w:r>
      <w:r w:rsidRPr="006848F6">
        <w:rPr>
          <w:rFonts w:cs="Times New Roman"/>
          <w:szCs w:val="24"/>
          <w:shd w:val="clear" w:color="auto" w:fill="FFFFFF"/>
        </w:rPr>
        <w:t xml:space="preserve">Assessing optimum areas for intervention in an individual organisation would ideally require real time data along the care pathway which </w:t>
      </w:r>
      <w:r w:rsidRPr="006848F6">
        <w:t>would only be possible if information systems (ideally automatically) log and assimilate data and are linked between different areas of the health service. Previous experience suggests that the IT infrastructure to support this is not easily assembled.</w:t>
      </w:r>
      <w:r w:rsidR="00B84466" w:rsidRPr="006848F6">
        <w:rPr>
          <w:vertAlign w:val="superscript"/>
        </w:rPr>
        <w:t>47</w:t>
      </w:r>
      <w:r w:rsidR="00B84466" w:rsidRPr="006848F6">
        <w:t xml:space="preserve"> </w:t>
      </w:r>
      <w:r w:rsidRPr="006848F6">
        <w:t>However, if such data were available and robust, there is potential to expand the current approach to different clinical areas, particularly where timely presentation and treatment are key, such as the acute coronary syndrome care pathway.</w:t>
      </w:r>
    </w:p>
    <w:p w:rsidR="009C5F78" w:rsidRPr="006848F6" w:rsidRDefault="009C5F78" w:rsidP="009C5F78">
      <w:pPr>
        <w:spacing w:line="480" w:lineRule="auto"/>
        <w:jc w:val="left"/>
      </w:pPr>
    </w:p>
    <w:p w:rsidR="009C5F78" w:rsidRPr="006848F6" w:rsidRDefault="009C5F78" w:rsidP="009C5F78">
      <w:pPr>
        <w:spacing w:line="480" w:lineRule="auto"/>
        <w:jc w:val="left"/>
      </w:pPr>
      <w:r w:rsidRPr="006848F6">
        <w:rPr>
          <w:i/>
        </w:rPr>
        <w:t>Conclusions</w:t>
      </w:r>
    </w:p>
    <w:p w:rsidR="009C5F78" w:rsidRPr="006848F6" w:rsidRDefault="009C5F78" w:rsidP="009C5F78">
      <w:pPr>
        <w:spacing w:line="480" w:lineRule="auto"/>
        <w:jc w:val="left"/>
      </w:pPr>
      <w:r w:rsidRPr="006848F6">
        <w:t>This study demonstrates that a variety of interventions to increase thrombolysis rates for acute stroke in clinical practice would be cost-effective, and significant investment in implementation could be quickly repaid by saving due to reduced dependency. These results can be used to guide commissioners and senior healthcare professionals in quality improvement strategies to improve thrombolysis rates such as those assessed here. Future studies should focus on evaluating these strategies as they are implemented into routine clinical practice to ensure such benefits occur, and to evaluate this approach to care planning in other acute clinical settings.</w:t>
      </w:r>
    </w:p>
    <w:p w:rsidR="009C5F78" w:rsidRPr="006848F6" w:rsidRDefault="009C5F78" w:rsidP="009C5F78">
      <w:pPr>
        <w:spacing w:line="480" w:lineRule="auto"/>
        <w:jc w:val="left"/>
      </w:pPr>
    </w:p>
    <w:p w:rsidR="009C5F78" w:rsidRPr="006848F6" w:rsidRDefault="009C5F78" w:rsidP="009C5F78">
      <w:pPr>
        <w:spacing w:line="480" w:lineRule="auto"/>
        <w:jc w:val="left"/>
        <w:rPr>
          <w:b/>
        </w:rPr>
      </w:pPr>
    </w:p>
    <w:p w:rsidR="009C5F78" w:rsidRPr="006848F6" w:rsidRDefault="009C5F78" w:rsidP="009C5F78">
      <w:pPr>
        <w:spacing w:line="480" w:lineRule="auto"/>
        <w:jc w:val="left"/>
        <w:rPr>
          <w:noProof/>
          <w:lang w:eastAsia="en-GB"/>
        </w:rPr>
      </w:pPr>
    </w:p>
    <w:p w:rsidR="009C5F78" w:rsidRPr="006848F6" w:rsidRDefault="009C5F78" w:rsidP="009C5F78">
      <w:pPr>
        <w:spacing w:line="480" w:lineRule="auto"/>
        <w:rPr>
          <w:rFonts w:cs="Times New Roman"/>
          <w:b/>
          <w:szCs w:val="24"/>
        </w:rPr>
      </w:pPr>
      <w:r w:rsidRPr="006848F6">
        <w:rPr>
          <w:rFonts w:cs="Times New Roman"/>
          <w:b/>
          <w:szCs w:val="24"/>
        </w:rPr>
        <w:lastRenderedPageBreak/>
        <w:t>Footnotes</w:t>
      </w:r>
    </w:p>
    <w:p w:rsidR="009C5F78" w:rsidRPr="006848F6" w:rsidRDefault="009C5F78" w:rsidP="009C5F78">
      <w:pPr>
        <w:pStyle w:val="NormalWeb"/>
        <w:spacing w:line="480" w:lineRule="auto"/>
        <w:textAlignment w:val="baseline"/>
      </w:pPr>
      <w:r w:rsidRPr="006848F6">
        <w:rPr>
          <w:b/>
        </w:rPr>
        <w:t>Acknowledgements:</w:t>
      </w:r>
      <w:r w:rsidRPr="006848F6">
        <w:t xml:space="preserve"> We would like to thank the staff at participating hospitals and ambulance Trust for their assistance with recruitment and data collection. Thank you to Sheila Bailey and Anita Martin for their administration support and Primary Care Clinical Research and Trials Unit for building and maintaining the study database. </w:t>
      </w:r>
    </w:p>
    <w:p w:rsidR="009C5F78" w:rsidRPr="006848F6" w:rsidRDefault="009C5F78" w:rsidP="009C5F78">
      <w:pPr>
        <w:pStyle w:val="NormalWeb"/>
        <w:spacing w:before="0" w:beforeAutospacing="0" w:after="0" w:afterAutospacing="0" w:line="480" w:lineRule="auto"/>
        <w:textAlignment w:val="baseline"/>
      </w:pPr>
      <w:r w:rsidRPr="006848F6">
        <w:rPr>
          <w:b/>
        </w:rPr>
        <w:t>Funding:</w:t>
      </w:r>
      <w:r w:rsidRPr="006848F6">
        <w:rPr>
          <w:rFonts w:ascii="Arial" w:hAnsi="Arial" w:cs="Arial"/>
          <w:sz w:val="15"/>
          <w:szCs w:val="15"/>
          <w:shd w:val="clear" w:color="auto" w:fill="FFFFFF"/>
        </w:rPr>
        <w:t xml:space="preserve"> </w:t>
      </w:r>
      <w:r w:rsidRPr="006848F6">
        <w:rPr>
          <w:shd w:val="clear" w:color="auto" w:fill="FFFFFF"/>
        </w:rPr>
        <w:t xml:space="preserve">This work was supported by the </w:t>
      </w:r>
      <w:r w:rsidRPr="006848F6">
        <w:t>National Institute for Health Research</w:t>
      </w:r>
      <w:r w:rsidRPr="006848F6">
        <w:rPr>
          <w:shd w:val="clear" w:color="auto" w:fill="FFFFFF"/>
        </w:rPr>
        <w:t xml:space="preserve"> (NIHR) as part of the </w:t>
      </w:r>
      <w:r w:rsidRPr="006848F6">
        <w:t>Collaborations for Leadership in Applied Health Research and Care (CLAHRC) programme for Birmingham and Black Country</w:t>
      </w:r>
      <w:r w:rsidRPr="006848F6">
        <w:rPr>
          <w:shd w:val="clear" w:color="auto" w:fill="FFFFFF"/>
        </w:rPr>
        <w:t xml:space="preserve">. </w:t>
      </w:r>
      <w:proofErr w:type="spellStart"/>
      <w:r w:rsidRPr="006848F6">
        <w:t>RJMcM</w:t>
      </w:r>
      <w:proofErr w:type="spellEnd"/>
      <w:r w:rsidRPr="006848F6">
        <w:t xml:space="preserve"> held a Career Development Fellowship during the study and now holds an NIHR Professorship. The views and opinions expressed are those of the authors and do not necessarily reflect those of the National Health Service (NHS), NIHR, or the Department of Health.</w:t>
      </w:r>
    </w:p>
    <w:p w:rsidR="009C5F78" w:rsidRPr="006848F6" w:rsidRDefault="009C5F78" w:rsidP="009C5F78">
      <w:pPr>
        <w:pStyle w:val="NormalWeb"/>
        <w:spacing w:before="0" w:beforeAutospacing="0" w:after="0" w:afterAutospacing="0" w:line="480" w:lineRule="auto"/>
        <w:textAlignment w:val="baseline"/>
        <w:rPr>
          <w:highlight w:val="yellow"/>
        </w:rPr>
      </w:pPr>
    </w:p>
    <w:p w:rsidR="009C5F78" w:rsidRPr="006848F6" w:rsidRDefault="009C5F78" w:rsidP="009C5F78">
      <w:pPr>
        <w:pStyle w:val="NormalWeb"/>
        <w:spacing w:before="0" w:beforeAutospacing="0" w:after="0" w:afterAutospacing="0" w:line="480" w:lineRule="auto"/>
        <w:textAlignment w:val="baseline"/>
      </w:pPr>
      <w:r w:rsidRPr="006848F6">
        <w:rPr>
          <w:b/>
        </w:rPr>
        <w:t xml:space="preserve">Disclosures: </w:t>
      </w:r>
      <w:r w:rsidRPr="006848F6">
        <w:t>None.</w:t>
      </w:r>
    </w:p>
    <w:p w:rsidR="009C5F78" w:rsidRPr="006848F6" w:rsidRDefault="009C5F78" w:rsidP="009C5F78">
      <w:pPr>
        <w:pStyle w:val="NormalWeb"/>
        <w:spacing w:before="0" w:beforeAutospacing="0" w:after="0" w:afterAutospacing="0" w:line="480" w:lineRule="auto"/>
        <w:textAlignment w:val="baseline"/>
        <w:rPr>
          <w:b/>
        </w:rPr>
      </w:pPr>
    </w:p>
    <w:p w:rsidR="009C5F78" w:rsidRPr="006848F6" w:rsidRDefault="009C5F78" w:rsidP="009C5F78">
      <w:pPr>
        <w:spacing w:line="480" w:lineRule="auto"/>
        <w:rPr>
          <w:rFonts w:eastAsiaTheme="minorEastAsia" w:cs="Times New Roman"/>
          <w:szCs w:val="24"/>
          <w:shd w:val="clear" w:color="auto" w:fill="FFFFFF"/>
          <w:lang w:eastAsia="en-GB"/>
        </w:rPr>
      </w:pPr>
      <w:r w:rsidRPr="006848F6">
        <w:rPr>
          <w:shd w:val="clear" w:color="auto" w:fill="FFFFFF"/>
        </w:rPr>
        <w:br w:type="page"/>
      </w:r>
    </w:p>
    <w:p w:rsidR="00A12E9E" w:rsidRPr="00754D5D" w:rsidRDefault="00A12E9E" w:rsidP="00A12E9E">
      <w:pPr>
        <w:pStyle w:val="Caption"/>
        <w:rPr>
          <w:rFonts w:cs="Times New Roman"/>
          <w:noProof/>
          <w:color w:val="auto"/>
          <w:sz w:val="24"/>
        </w:rPr>
      </w:pPr>
      <w:r w:rsidRPr="00754D5D">
        <w:rPr>
          <w:rFonts w:cs="Times New Roman"/>
          <w:noProof/>
          <w:color w:val="auto"/>
          <w:sz w:val="24"/>
        </w:rPr>
        <w:lastRenderedPageBreak/>
        <w:t>References</w:t>
      </w:r>
    </w:p>
    <w:p w:rsidR="00A12E9E" w:rsidRPr="00754D5D" w:rsidRDefault="00A12E9E" w:rsidP="00A12E9E">
      <w:pPr>
        <w:pStyle w:val="Caption"/>
        <w:jc w:val="center"/>
        <w:rPr>
          <w:rFonts w:cs="Times New Roman"/>
          <w:b w:val="0"/>
          <w:noProof/>
          <w:color w:val="auto"/>
          <w:sz w:val="24"/>
        </w:rPr>
      </w:pP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 </w:t>
      </w:r>
      <w:r w:rsidRPr="00754D5D">
        <w:rPr>
          <w:rFonts w:cs="Times New Roman"/>
          <w:b w:val="0"/>
          <w:noProof/>
          <w:color w:val="auto"/>
          <w:sz w:val="24"/>
        </w:rPr>
        <w:tab/>
        <w:t xml:space="preserve">Strong K, Mathers C, Bonita R. Preventing stroke: saving lives around the world.  </w:t>
      </w:r>
      <w:r w:rsidRPr="00754D5D">
        <w:rPr>
          <w:rFonts w:cs="Times New Roman"/>
          <w:b w:val="0"/>
          <w:i/>
          <w:noProof/>
          <w:color w:val="auto"/>
          <w:sz w:val="24"/>
        </w:rPr>
        <w:t>Lancet Neurology</w:t>
      </w:r>
      <w:r>
        <w:rPr>
          <w:rFonts w:cs="Times New Roman"/>
          <w:b w:val="0"/>
          <w:i/>
          <w:noProof/>
          <w:color w:val="auto"/>
          <w:sz w:val="24"/>
        </w:rPr>
        <w:t>.</w:t>
      </w:r>
      <w:r w:rsidRPr="00754D5D">
        <w:rPr>
          <w:rFonts w:cs="Times New Roman"/>
          <w:b w:val="0"/>
          <w:noProof/>
          <w:color w:val="auto"/>
          <w:sz w:val="24"/>
        </w:rPr>
        <w:t xml:space="preserve"> 2007;6:182-187.</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 </w:t>
      </w:r>
      <w:r w:rsidRPr="00754D5D">
        <w:rPr>
          <w:rFonts w:cs="Times New Roman"/>
          <w:b w:val="0"/>
          <w:noProof/>
          <w:color w:val="auto"/>
          <w:sz w:val="24"/>
        </w:rPr>
        <w:tab/>
        <w:t>The benefits and harms of intravenous thrombolysis with recombinant tissue plasminogen activator within 6 h of acute ischaemic stroke (the third international stroke trial [IST-3]): a randomised controlled trial</w:t>
      </w:r>
      <w:r>
        <w:rPr>
          <w:rFonts w:cs="Times New Roman"/>
          <w:b w:val="0"/>
          <w:noProof/>
          <w:color w:val="auto"/>
          <w:sz w:val="24"/>
        </w:rPr>
        <w:t>.</w:t>
      </w:r>
      <w:r w:rsidRPr="00754D5D">
        <w:rPr>
          <w:rFonts w:cs="Times New Roman"/>
          <w:b w:val="0"/>
          <w:noProof/>
          <w:color w:val="auto"/>
          <w:sz w:val="24"/>
        </w:rPr>
        <w:t xml:space="preserve"> </w:t>
      </w:r>
      <w:r w:rsidRPr="00754D5D">
        <w:rPr>
          <w:rFonts w:cs="Times New Roman"/>
          <w:b w:val="0"/>
          <w:i/>
          <w:noProof/>
          <w:color w:val="auto"/>
          <w:sz w:val="24"/>
        </w:rPr>
        <w:t>The Lancet</w:t>
      </w:r>
      <w:r>
        <w:rPr>
          <w:rFonts w:cs="Times New Roman"/>
          <w:b w:val="0"/>
          <w:i/>
          <w:noProof/>
          <w:color w:val="auto"/>
          <w:sz w:val="24"/>
        </w:rPr>
        <w:t>.</w:t>
      </w:r>
      <w:r w:rsidRPr="00754D5D">
        <w:rPr>
          <w:rFonts w:cs="Times New Roman"/>
          <w:b w:val="0"/>
          <w:noProof/>
          <w:color w:val="auto"/>
          <w:sz w:val="24"/>
        </w:rPr>
        <w:t xml:space="preserve"> 2012;379:2352-2363.</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 </w:t>
      </w:r>
      <w:r w:rsidRPr="00754D5D">
        <w:rPr>
          <w:rFonts w:cs="Times New Roman"/>
          <w:b w:val="0"/>
          <w:noProof/>
          <w:color w:val="auto"/>
          <w:sz w:val="24"/>
        </w:rPr>
        <w:tab/>
        <w:t xml:space="preserve">Araujo DV, Teich V, Passos RBF, Martins SCO. Analysis of the Cost-Effectiveness of Thrombolysis with Alteplase in Stroke.  </w:t>
      </w:r>
      <w:r w:rsidRPr="00754D5D">
        <w:rPr>
          <w:rFonts w:cs="Times New Roman"/>
          <w:b w:val="0"/>
          <w:i/>
          <w:noProof/>
          <w:color w:val="auto"/>
          <w:sz w:val="24"/>
        </w:rPr>
        <w:t>Arquivos Brasileiros de Cardiologia</w:t>
      </w:r>
      <w:r>
        <w:rPr>
          <w:rFonts w:cs="Times New Roman"/>
          <w:b w:val="0"/>
          <w:i/>
          <w:noProof/>
          <w:color w:val="auto"/>
          <w:sz w:val="24"/>
        </w:rPr>
        <w:t>.</w:t>
      </w:r>
      <w:r w:rsidRPr="00754D5D">
        <w:rPr>
          <w:rFonts w:cs="Times New Roman"/>
          <w:b w:val="0"/>
          <w:noProof/>
          <w:color w:val="auto"/>
          <w:sz w:val="24"/>
        </w:rPr>
        <w:t xml:space="preserve"> 2010;95:12-19.</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 </w:t>
      </w:r>
      <w:r w:rsidRPr="00754D5D">
        <w:rPr>
          <w:rFonts w:cs="Times New Roman"/>
          <w:b w:val="0"/>
          <w:noProof/>
          <w:color w:val="auto"/>
          <w:sz w:val="24"/>
        </w:rPr>
        <w:tab/>
        <w:t>Wardlaw JM, Murray V, Berge E, del Z</w:t>
      </w:r>
      <w:r>
        <w:rPr>
          <w:rFonts w:cs="Times New Roman"/>
          <w:b w:val="0"/>
          <w:noProof/>
          <w:color w:val="auto"/>
          <w:sz w:val="24"/>
        </w:rPr>
        <w:t xml:space="preserve">oppo </w:t>
      </w:r>
      <w:r w:rsidRPr="00754D5D">
        <w:rPr>
          <w:rFonts w:cs="Times New Roman"/>
          <w:b w:val="0"/>
          <w:noProof/>
          <w:color w:val="auto"/>
          <w:sz w:val="24"/>
        </w:rPr>
        <w:t xml:space="preserve">G, Sandercock P, Lindley RL, et.al. Recombinant tissue plasminogen activator for acute ischaemic stroke: an updated systematic review and meta-analysis.  </w:t>
      </w:r>
      <w:r w:rsidRPr="00517170">
        <w:rPr>
          <w:rFonts w:cs="Times New Roman"/>
          <w:b w:val="0"/>
          <w:i/>
          <w:noProof/>
          <w:color w:val="auto"/>
          <w:sz w:val="24"/>
        </w:rPr>
        <w:t>The</w:t>
      </w:r>
      <w:r>
        <w:rPr>
          <w:rFonts w:cs="Times New Roman"/>
          <w:b w:val="0"/>
          <w:noProof/>
          <w:color w:val="auto"/>
          <w:sz w:val="24"/>
        </w:rPr>
        <w:t xml:space="preserve"> </w:t>
      </w:r>
      <w:r w:rsidRPr="00754D5D">
        <w:rPr>
          <w:rFonts w:cs="Times New Roman"/>
          <w:b w:val="0"/>
          <w:i/>
          <w:noProof/>
          <w:color w:val="auto"/>
          <w:sz w:val="24"/>
        </w:rPr>
        <w:t>Lancet</w:t>
      </w:r>
      <w:r>
        <w:rPr>
          <w:rFonts w:cs="Times New Roman"/>
          <w:b w:val="0"/>
          <w:i/>
          <w:noProof/>
          <w:color w:val="auto"/>
          <w:sz w:val="24"/>
        </w:rPr>
        <w:t>.</w:t>
      </w:r>
      <w:r w:rsidRPr="00754D5D">
        <w:rPr>
          <w:rFonts w:cs="Times New Roman"/>
          <w:b w:val="0"/>
          <w:noProof/>
          <w:color w:val="auto"/>
          <w:sz w:val="24"/>
        </w:rPr>
        <w:t xml:space="preserve"> 2012;379:2364-2372.</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5. </w:t>
      </w:r>
      <w:r w:rsidRPr="00754D5D">
        <w:rPr>
          <w:rFonts w:cs="Times New Roman"/>
          <w:b w:val="0"/>
          <w:noProof/>
          <w:color w:val="auto"/>
          <w:sz w:val="24"/>
        </w:rPr>
        <w:tab/>
        <w:t xml:space="preserve">Kwan J, Hand P, Sandercock P. A systematic review of barriers to delivery of thrombolysis for acute stroke. </w:t>
      </w:r>
      <w:r w:rsidRPr="00754D5D">
        <w:rPr>
          <w:rFonts w:cs="Times New Roman"/>
          <w:b w:val="0"/>
          <w:i/>
          <w:noProof/>
          <w:color w:val="auto"/>
          <w:sz w:val="24"/>
        </w:rPr>
        <w:t>Age Ageing</w:t>
      </w:r>
      <w:r>
        <w:rPr>
          <w:rFonts w:cs="Times New Roman"/>
          <w:b w:val="0"/>
          <w:i/>
          <w:noProof/>
          <w:color w:val="auto"/>
          <w:sz w:val="24"/>
        </w:rPr>
        <w:t>.</w:t>
      </w:r>
      <w:r w:rsidRPr="00754D5D">
        <w:rPr>
          <w:rFonts w:cs="Times New Roman"/>
          <w:b w:val="0"/>
          <w:noProof/>
          <w:color w:val="auto"/>
          <w:sz w:val="24"/>
        </w:rPr>
        <w:t xml:space="preserve"> 2004;33:116-121.</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6. </w:t>
      </w:r>
      <w:r w:rsidRPr="00754D5D">
        <w:rPr>
          <w:rFonts w:cs="Times New Roman"/>
          <w:b w:val="0"/>
          <w:noProof/>
          <w:color w:val="auto"/>
          <w:sz w:val="24"/>
        </w:rPr>
        <w:tab/>
        <w:t xml:space="preserve">Lindsberg PJ, Happola O, Kallela M, Valanne L, Kuisma M, Kaste M. Door to thrombolysis: ER reorganization and reduced delays to acute stroke treatment.  </w:t>
      </w:r>
      <w:r w:rsidRPr="00754D5D">
        <w:rPr>
          <w:rFonts w:cs="Times New Roman"/>
          <w:b w:val="0"/>
          <w:i/>
          <w:noProof/>
          <w:color w:val="auto"/>
          <w:sz w:val="24"/>
        </w:rPr>
        <w:t>Neurology</w:t>
      </w:r>
      <w:r>
        <w:rPr>
          <w:rFonts w:cs="Times New Roman"/>
          <w:b w:val="0"/>
          <w:i/>
          <w:noProof/>
          <w:color w:val="auto"/>
          <w:sz w:val="24"/>
        </w:rPr>
        <w:t>.</w:t>
      </w:r>
      <w:r w:rsidRPr="00754D5D">
        <w:rPr>
          <w:rFonts w:cs="Times New Roman"/>
          <w:b w:val="0"/>
          <w:noProof/>
          <w:color w:val="auto"/>
          <w:sz w:val="24"/>
        </w:rPr>
        <w:t xml:space="preserve"> 2006;67:334-336.</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7. </w:t>
      </w:r>
      <w:r w:rsidRPr="00754D5D">
        <w:rPr>
          <w:rFonts w:cs="Times New Roman"/>
          <w:b w:val="0"/>
          <w:noProof/>
          <w:color w:val="auto"/>
          <w:sz w:val="24"/>
        </w:rPr>
        <w:tab/>
        <w:t xml:space="preserve">Nor AM, McAllister C, Louw SJ, Dyker AG, Davis M, Jenkinson D, et.al. Agreement between ambulance paramedic- and physician-recorded neurological signs with Face Arm Speech Test (FAST) in acute stroke patients. </w:t>
      </w:r>
      <w:r w:rsidRPr="00754D5D">
        <w:rPr>
          <w:rFonts w:cs="Times New Roman"/>
          <w:b w:val="0"/>
          <w:i/>
          <w:noProof/>
          <w:color w:val="auto"/>
          <w:sz w:val="24"/>
        </w:rPr>
        <w:t>Stroke</w:t>
      </w:r>
      <w:r>
        <w:rPr>
          <w:rFonts w:cs="Times New Roman"/>
          <w:b w:val="0"/>
          <w:i/>
          <w:noProof/>
          <w:color w:val="auto"/>
          <w:sz w:val="24"/>
        </w:rPr>
        <w:t>.</w:t>
      </w:r>
      <w:r w:rsidRPr="00754D5D">
        <w:rPr>
          <w:rFonts w:cs="Times New Roman"/>
          <w:b w:val="0"/>
          <w:noProof/>
          <w:color w:val="auto"/>
          <w:sz w:val="24"/>
        </w:rPr>
        <w:t xml:space="preserve"> 2004;35:1355-1359.</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8. </w:t>
      </w:r>
      <w:r w:rsidRPr="00754D5D">
        <w:rPr>
          <w:rFonts w:cs="Times New Roman"/>
          <w:b w:val="0"/>
          <w:noProof/>
          <w:color w:val="auto"/>
          <w:sz w:val="24"/>
        </w:rPr>
        <w:tab/>
        <w:t xml:space="preserve">Adeoye O, Hornung R, Khatri P, Kleindorfer D. Recombinant tissue-type plasminogen activator use for ischaemic stroke in the United States: a doubling of treatment rates over the course of 5 years. </w:t>
      </w:r>
      <w:r w:rsidRPr="00754D5D">
        <w:rPr>
          <w:rFonts w:cs="Times New Roman"/>
          <w:b w:val="0"/>
          <w:i/>
          <w:noProof/>
          <w:color w:val="auto"/>
          <w:sz w:val="24"/>
        </w:rPr>
        <w:t>Stroke</w:t>
      </w:r>
      <w:r>
        <w:rPr>
          <w:rFonts w:cs="Times New Roman"/>
          <w:b w:val="0"/>
          <w:i/>
          <w:noProof/>
          <w:color w:val="auto"/>
          <w:sz w:val="24"/>
        </w:rPr>
        <w:t>.</w:t>
      </w:r>
      <w:r w:rsidRPr="00754D5D">
        <w:rPr>
          <w:rFonts w:cs="Times New Roman"/>
          <w:b w:val="0"/>
          <w:noProof/>
          <w:color w:val="auto"/>
          <w:sz w:val="24"/>
        </w:rPr>
        <w:t xml:space="preserve"> 2011;42:1952-1955.</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9. </w:t>
      </w:r>
      <w:r w:rsidRPr="00754D5D">
        <w:rPr>
          <w:rFonts w:cs="Times New Roman"/>
          <w:b w:val="0"/>
          <w:noProof/>
          <w:color w:val="auto"/>
          <w:sz w:val="24"/>
        </w:rPr>
        <w:tab/>
        <w:t xml:space="preserve">Caplan LR. Stroke Thrombolysis: Slow Progress. </w:t>
      </w:r>
      <w:r w:rsidRPr="00754D5D">
        <w:rPr>
          <w:rFonts w:cs="Times New Roman"/>
          <w:b w:val="0"/>
          <w:i/>
          <w:noProof/>
          <w:color w:val="auto"/>
          <w:sz w:val="24"/>
        </w:rPr>
        <w:t>Journal of the American Heart Association</w:t>
      </w:r>
      <w:r>
        <w:rPr>
          <w:rFonts w:cs="Times New Roman"/>
          <w:b w:val="0"/>
          <w:i/>
          <w:noProof/>
          <w:color w:val="auto"/>
          <w:sz w:val="24"/>
        </w:rPr>
        <w:t>.</w:t>
      </w:r>
      <w:r w:rsidRPr="00754D5D">
        <w:rPr>
          <w:rFonts w:cs="Times New Roman"/>
          <w:b w:val="0"/>
          <w:noProof/>
          <w:color w:val="auto"/>
          <w:sz w:val="24"/>
        </w:rPr>
        <w:t xml:space="preserve"> 2006;114:187-190.</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10. </w:t>
      </w:r>
      <w:r w:rsidRPr="00754D5D">
        <w:rPr>
          <w:rFonts w:cs="Times New Roman"/>
          <w:b w:val="0"/>
          <w:noProof/>
          <w:color w:val="auto"/>
          <w:sz w:val="24"/>
        </w:rPr>
        <w:tab/>
        <w:t xml:space="preserve">Henssge U, Hoffman A, Kavanagh S, Roughton M, Rudd A. The National Sentinel Stroke Audit 2010. Round 7. 2011. </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11. </w:t>
      </w:r>
      <w:r w:rsidRPr="00754D5D">
        <w:rPr>
          <w:rFonts w:cs="Times New Roman"/>
          <w:b w:val="0"/>
          <w:noProof/>
          <w:color w:val="auto"/>
          <w:sz w:val="24"/>
        </w:rPr>
        <w:tab/>
        <w:t xml:space="preserve">Nakagawara J. Present state of stroke emergency in Japan. </w:t>
      </w:r>
      <w:r w:rsidRPr="00754D5D">
        <w:rPr>
          <w:rFonts w:cs="Times New Roman"/>
          <w:b w:val="0"/>
          <w:i/>
          <w:noProof/>
          <w:color w:val="auto"/>
          <w:sz w:val="24"/>
        </w:rPr>
        <w:t>Brain Nerve</w:t>
      </w:r>
      <w:r>
        <w:rPr>
          <w:rFonts w:cs="Times New Roman"/>
          <w:b w:val="0"/>
          <w:i/>
          <w:noProof/>
          <w:color w:val="auto"/>
          <w:sz w:val="24"/>
        </w:rPr>
        <w:t>.</w:t>
      </w:r>
      <w:r w:rsidRPr="00754D5D">
        <w:rPr>
          <w:rFonts w:cs="Times New Roman"/>
          <w:b w:val="0"/>
          <w:noProof/>
          <w:color w:val="auto"/>
          <w:sz w:val="24"/>
        </w:rPr>
        <w:t xml:space="preserve"> 2010;62:25-34.</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12. </w:t>
      </w:r>
      <w:r w:rsidRPr="00754D5D">
        <w:rPr>
          <w:rFonts w:cs="Times New Roman"/>
          <w:b w:val="0"/>
          <w:noProof/>
          <w:color w:val="auto"/>
          <w:sz w:val="24"/>
        </w:rPr>
        <w:tab/>
        <w:t xml:space="preserve">Nor AM, Davis J, Sen B, Shipsey D, Louw SJ, Dyker AG, et.al. The Recognition of Stroke in the Emergency Room (ROSIER) scale: development and validation of a stroke recognition instrument. </w:t>
      </w:r>
      <w:r w:rsidRPr="00754D5D">
        <w:rPr>
          <w:rFonts w:cs="Times New Roman"/>
          <w:b w:val="0"/>
          <w:i/>
          <w:noProof/>
          <w:color w:val="auto"/>
          <w:sz w:val="24"/>
        </w:rPr>
        <w:t>Lancet Neurology</w:t>
      </w:r>
      <w:r>
        <w:rPr>
          <w:rFonts w:cs="Times New Roman"/>
          <w:b w:val="0"/>
          <w:i/>
          <w:noProof/>
          <w:color w:val="auto"/>
          <w:sz w:val="24"/>
        </w:rPr>
        <w:t>.</w:t>
      </w:r>
      <w:r w:rsidRPr="00754D5D">
        <w:rPr>
          <w:rFonts w:cs="Times New Roman"/>
          <w:b w:val="0"/>
          <w:noProof/>
          <w:color w:val="auto"/>
          <w:sz w:val="24"/>
        </w:rPr>
        <w:t xml:space="preserve"> 2005;4:727-734.</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13. </w:t>
      </w:r>
      <w:r w:rsidRPr="00754D5D">
        <w:rPr>
          <w:rFonts w:cs="Times New Roman"/>
          <w:b w:val="0"/>
          <w:noProof/>
          <w:color w:val="auto"/>
          <w:sz w:val="24"/>
        </w:rPr>
        <w:tab/>
        <w:t xml:space="preserve">Ehlers L, Andersen G, Clausen LB, Bech M, Kjolby M. Cost-effectiveness of intravenous thrombolysis with alteplase within a 3-hour window after acute ischemic stroke. </w:t>
      </w:r>
      <w:r w:rsidRPr="00754D5D">
        <w:rPr>
          <w:rFonts w:cs="Times New Roman"/>
          <w:b w:val="0"/>
          <w:i/>
          <w:noProof/>
          <w:color w:val="auto"/>
          <w:sz w:val="24"/>
        </w:rPr>
        <w:t>Stroke</w:t>
      </w:r>
      <w:r>
        <w:rPr>
          <w:rFonts w:cs="Times New Roman"/>
          <w:b w:val="0"/>
          <w:i/>
          <w:noProof/>
          <w:color w:val="auto"/>
          <w:sz w:val="24"/>
        </w:rPr>
        <w:t>.</w:t>
      </w:r>
      <w:r w:rsidRPr="00754D5D">
        <w:rPr>
          <w:rFonts w:cs="Times New Roman"/>
          <w:b w:val="0"/>
          <w:noProof/>
          <w:color w:val="auto"/>
          <w:sz w:val="24"/>
        </w:rPr>
        <w:t xml:space="preserve"> 2007;38:85-89.</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14. </w:t>
      </w:r>
      <w:r w:rsidRPr="00754D5D">
        <w:rPr>
          <w:rFonts w:cs="Times New Roman"/>
          <w:b w:val="0"/>
          <w:noProof/>
          <w:color w:val="auto"/>
          <w:sz w:val="24"/>
        </w:rPr>
        <w:tab/>
        <w:t xml:space="preserve">Mar J, Begiristain JM, Arrazola A. Cost-effectiveness analysis of thrombolytic treatment for stroke. </w:t>
      </w:r>
      <w:r w:rsidRPr="00754D5D">
        <w:rPr>
          <w:rFonts w:cs="Times New Roman"/>
          <w:b w:val="0"/>
          <w:i/>
          <w:noProof/>
          <w:color w:val="auto"/>
          <w:sz w:val="24"/>
        </w:rPr>
        <w:t>Cerebrovasc.</w:t>
      </w:r>
      <w:r>
        <w:rPr>
          <w:rFonts w:cs="Times New Roman"/>
          <w:b w:val="0"/>
          <w:i/>
          <w:noProof/>
          <w:color w:val="auto"/>
          <w:sz w:val="24"/>
        </w:rPr>
        <w:t xml:space="preserve"> </w:t>
      </w:r>
      <w:r w:rsidRPr="00754D5D">
        <w:rPr>
          <w:rFonts w:cs="Times New Roman"/>
          <w:b w:val="0"/>
          <w:i/>
          <w:noProof/>
          <w:color w:val="auto"/>
          <w:sz w:val="24"/>
        </w:rPr>
        <w:t>Dis.</w:t>
      </w:r>
      <w:r w:rsidRPr="00754D5D">
        <w:rPr>
          <w:rFonts w:cs="Times New Roman"/>
          <w:b w:val="0"/>
          <w:noProof/>
          <w:color w:val="auto"/>
          <w:sz w:val="24"/>
        </w:rPr>
        <w:t xml:space="preserve"> 2005;20:193-200.</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lastRenderedPageBreak/>
        <w:tab/>
        <w:t xml:space="preserve">15. </w:t>
      </w:r>
      <w:r w:rsidRPr="00754D5D">
        <w:rPr>
          <w:rFonts w:cs="Times New Roman"/>
          <w:b w:val="0"/>
          <w:noProof/>
          <w:color w:val="auto"/>
          <w:sz w:val="24"/>
        </w:rPr>
        <w:tab/>
        <w:t xml:space="preserve">Sandercock P, Berge E, Dennis M, Forbes J, Hand P, Kwan J, et.al. Cost-effectiveness of thrombolysis with recombinant tissue plasminogen activator for acute ischemic stroke assessed by a model based on UKNHS costs. </w:t>
      </w:r>
      <w:r w:rsidRPr="00754D5D">
        <w:rPr>
          <w:rFonts w:cs="Times New Roman"/>
          <w:b w:val="0"/>
          <w:i/>
          <w:noProof/>
          <w:color w:val="auto"/>
          <w:sz w:val="24"/>
        </w:rPr>
        <w:t>Stroke</w:t>
      </w:r>
      <w:r>
        <w:rPr>
          <w:rFonts w:cs="Times New Roman"/>
          <w:b w:val="0"/>
          <w:i/>
          <w:noProof/>
          <w:color w:val="auto"/>
          <w:sz w:val="24"/>
        </w:rPr>
        <w:t>.</w:t>
      </w:r>
      <w:r w:rsidRPr="00754D5D">
        <w:rPr>
          <w:rFonts w:cs="Times New Roman"/>
          <w:b w:val="0"/>
          <w:noProof/>
          <w:color w:val="auto"/>
          <w:sz w:val="24"/>
        </w:rPr>
        <w:t xml:space="preserve"> 2004;35:1490-1497.</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16. </w:t>
      </w:r>
      <w:r w:rsidRPr="00754D5D">
        <w:rPr>
          <w:rFonts w:cs="Times New Roman"/>
          <w:b w:val="0"/>
          <w:noProof/>
          <w:color w:val="auto"/>
          <w:sz w:val="24"/>
        </w:rPr>
        <w:tab/>
        <w:t xml:space="preserve">Hajjar K, Kerr DM, Lees KR. Thrombolysis for acute ischemic stroke.  </w:t>
      </w:r>
      <w:r w:rsidRPr="00754D5D">
        <w:rPr>
          <w:rFonts w:cs="Times New Roman"/>
          <w:b w:val="0"/>
          <w:i/>
          <w:noProof/>
          <w:color w:val="auto"/>
          <w:sz w:val="24"/>
        </w:rPr>
        <w:t>Journal of Vascular Surgery</w:t>
      </w:r>
      <w:r>
        <w:rPr>
          <w:rFonts w:cs="Times New Roman"/>
          <w:b w:val="0"/>
          <w:i/>
          <w:noProof/>
          <w:color w:val="auto"/>
          <w:sz w:val="24"/>
        </w:rPr>
        <w:t>.</w:t>
      </w:r>
      <w:r w:rsidRPr="00754D5D">
        <w:rPr>
          <w:rFonts w:cs="Times New Roman"/>
          <w:b w:val="0"/>
          <w:noProof/>
          <w:color w:val="auto"/>
          <w:sz w:val="24"/>
        </w:rPr>
        <w:t xml:space="preserve"> 2011;54:901-907.</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17. </w:t>
      </w:r>
      <w:r w:rsidRPr="00754D5D">
        <w:rPr>
          <w:rFonts w:cs="Times New Roman"/>
          <w:b w:val="0"/>
          <w:noProof/>
          <w:color w:val="auto"/>
          <w:sz w:val="24"/>
        </w:rPr>
        <w:tab/>
        <w:t xml:space="preserve">Hill MD. Alteplase given 3 to 4.5 hours after stroke reduced disability and improved global outcome. </w:t>
      </w:r>
      <w:r w:rsidRPr="00754D5D">
        <w:rPr>
          <w:rFonts w:cs="Times New Roman"/>
          <w:b w:val="0"/>
          <w:i/>
          <w:noProof/>
          <w:color w:val="auto"/>
          <w:sz w:val="24"/>
        </w:rPr>
        <w:t>Annals of Internal Medicine</w:t>
      </w:r>
      <w:r>
        <w:rPr>
          <w:rFonts w:cs="Times New Roman"/>
          <w:b w:val="0"/>
          <w:i/>
          <w:noProof/>
          <w:color w:val="auto"/>
          <w:sz w:val="24"/>
        </w:rPr>
        <w:t>.</w:t>
      </w:r>
      <w:r w:rsidRPr="00754D5D">
        <w:rPr>
          <w:rFonts w:cs="Times New Roman"/>
          <w:b w:val="0"/>
          <w:noProof/>
          <w:color w:val="auto"/>
          <w:sz w:val="24"/>
        </w:rPr>
        <w:t xml:space="preserve"> 2009;150:</w:t>
      </w:r>
      <w:r>
        <w:rPr>
          <w:rFonts w:cs="Times New Roman"/>
          <w:b w:val="0"/>
          <w:noProof/>
          <w:color w:val="auto"/>
          <w:sz w:val="24"/>
        </w:rPr>
        <w:t>JC1-13.</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18. </w:t>
      </w:r>
      <w:r w:rsidRPr="00754D5D">
        <w:rPr>
          <w:rFonts w:cs="Times New Roman"/>
          <w:b w:val="0"/>
          <w:noProof/>
          <w:color w:val="auto"/>
          <w:sz w:val="24"/>
        </w:rPr>
        <w:tab/>
        <w:t>Interim Life Tables for England. Office for National Statistics</w:t>
      </w:r>
      <w:r>
        <w:rPr>
          <w:rFonts w:cs="Times New Roman"/>
          <w:b w:val="0"/>
          <w:noProof/>
          <w:color w:val="auto"/>
          <w:sz w:val="24"/>
        </w:rPr>
        <w:t xml:space="preserve"> web site</w:t>
      </w:r>
      <w:r w:rsidRPr="00754D5D">
        <w:rPr>
          <w:rFonts w:cs="Times New Roman"/>
          <w:b w:val="0"/>
          <w:noProof/>
          <w:color w:val="auto"/>
          <w:sz w:val="24"/>
        </w:rPr>
        <w:t xml:space="preserve">. </w:t>
      </w:r>
      <w:hyperlink r:id="rId9" w:history="1">
        <w:r w:rsidRPr="00754D5D">
          <w:rPr>
            <w:rStyle w:val="Hyperlink"/>
            <w:b w:val="0"/>
            <w:noProof/>
            <w:color w:val="auto"/>
            <w:sz w:val="24"/>
          </w:rPr>
          <w:t>http://www.ons.gov.uk/ons/rel/lifetables/interim-life-tables/2008-2010/index.html</w:t>
        </w:r>
      </w:hyperlink>
      <w:r w:rsidRPr="00754D5D">
        <w:rPr>
          <w:rFonts w:cs="Times New Roman"/>
          <w:b w:val="0"/>
          <w:noProof/>
          <w:color w:val="auto"/>
          <w:sz w:val="24"/>
        </w:rPr>
        <w:t xml:space="preserve"> . </w:t>
      </w:r>
      <w:r>
        <w:rPr>
          <w:rFonts w:cs="Times New Roman"/>
          <w:b w:val="0"/>
          <w:noProof/>
          <w:color w:val="auto"/>
          <w:sz w:val="24"/>
        </w:rPr>
        <w:t xml:space="preserve">Accessed 18 May </w:t>
      </w:r>
      <w:r w:rsidRPr="00754D5D">
        <w:rPr>
          <w:rFonts w:cs="Times New Roman"/>
          <w:b w:val="0"/>
          <w:noProof/>
          <w:color w:val="auto"/>
          <w:sz w:val="24"/>
        </w:rPr>
        <w:t xml:space="preserve">2011. </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19. </w:t>
      </w:r>
      <w:r w:rsidRPr="00754D5D">
        <w:rPr>
          <w:rFonts w:cs="Times New Roman"/>
          <w:b w:val="0"/>
          <w:noProof/>
          <w:color w:val="auto"/>
          <w:sz w:val="24"/>
        </w:rPr>
        <w:tab/>
        <w:t xml:space="preserve">Sheppard JP, Mellor RM, Bailey SM, Barton P, Boyal A, Greenfield S, et.al. Protocol for an observation and implementation study investigating optimisation of the management of stroke and transient ischaemic attack (TIA). </w:t>
      </w:r>
      <w:r w:rsidRPr="00754D5D">
        <w:rPr>
          <w:rFonts w:cs="Times New Roman"/>
          <w:b w:val="0"/>
          <w:i/>
          <w:noProof/>
          <w:color w:val="auto"/>
          <w:sz w:val="24"/>
        </w:rPr>
        <w:t>BMJ Open.</w:t>
      </w:r>
      <w:r w:rsidRPr="00754D5D">
        <w:rPr>
          <w:rFonts w:cs="Times New Roman"/>
          <w:b w:val="0"/>
          <w:noProof/>
          <w:color w:val="auto"/>
          <w:sz w:val="24"/>
        </w:rPr>
        <w:t xml:space="preserve"> 2012;2:1-7.</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20. </w:t>
      </w:r>
      <w:r w:rsidRPr="00754D5D">
        <w:rPr>
          <w:rFonts w:cs="Times New Roman"/>
          <w:b w:val="0"/>
          <w:noProof/>
          <w:color w:val="auto"/>
          <w:sz w:val="24"/>
        </w:rPr>
        <w:tab/>
        <w:t xml:space="preserve">Croft S, Routh K, Carter H. </w:t>
      </w:r>
      <w:r>
        <w:rPr>
          <w:rFonts w:cs="Times New Roman"/>
          <w:b w:val="0"/>
          <w:noProof/>
          <w:color w:val="auto"/>
          <w:sz w:val="24"/>
        </w:rPr>
        <w:t xml:space="preserve">Chapter nine: Stroke in the West Midlands. </w:t>
      </w:r>
      <w:r w:rsidRPr="00754D5D">
        <w:rPr>
          <w:rFonts w:cs="Times New Roman"/>
          <w:b w:val="0"/>
          <w:noProof/>
          <w:color w:val="auto"/>
          <w:sz w:val="24"/>
        </w:rPr>
        <w:t xml:space="preserve">West Midlands Key Health Data 2007/08. </w:t>
      </w:r>
      <w:r>
        <w:rPr>
          <w:rFonts w:cs="Times New Roman"/>
          <w:b w:val="0"/>
          <w:noProof/>
          <w:color w:val="auto"/>
          <w:sz w:val="24"/>
        </w:rPr>
        <w:t xml:space="preserve">University of Birmingham web site. </w:t>
      </w:r>
      <w:hyperlink r:id="rId10" w:history="1">
        <w:r w:rsidRPr="00AE3E18">
          <w:rPr>
            <w:b w:val="0"/>
            <w:color w:val="auto"/>
            <w:sz w:val="24"/>
            <w:szCs w:val="24"/>
            <w:u w:val="single"/>
          </w:rPr>
          <w:t>http://medweb4.bham.ac.uk/websites/key_health_data/2007/ch_09.htm</w:t>
        </w:r>
      </w:hyperlink>
      <w:r w:rsidRPr="00AE3E18">
        <w:rPr>
          <w:b w:val="0"/>
          <w:color w:val="auto"/>
          <w:sz w:val="24"/>
          <w:szCs w:val="24"/>
          <w:u w:val="single"/>
        </w:rPr>
        <w:t>.</w:t>
      </w:r>
      <w:r w:rsidRPr="00754D5D">
        <w:rPr>
          <w:rFonts w:cs="Times New Roman"/>
          <w:b w:val="0"/>
          <w:noProof/>
          <w:color w:val="auto"/>
          <w:sz w:val="24"/>
        </w:rPr>
        <w:t xml:space="preserve"> </w:t>
      </w:r>
      <w:r>
        <w:rPr>
          <w:rFonts w:cs="Times New Roman"/>
          <w:b w:val="0"/>
          <w:noProof/>
          <w:color w:val="auto"/>
          <w:sz w:val="24"/>
        </w:rPr>
        <w:t xml:space="preserve"> Accessed</w:t>
      </w:r>
      <w:r w:rsidRPr="00754D5D">
        <w:rPr>
          <w:rFonts w:cs="Times New Roman"/>
          <w:b w:val="0"/>
          <w:noProof/>
          <w:color w:val="auto"/>
          <w:sz w:val="24"/>
        </w:rPr>
        <w:t xml:space="preserve"> 28</w:t>
      </w:r>
      <w:r>
        <w:rPr>
          <w:rFonts w:cs="Times New Roman"/>
          <w:b w:val="0"/>
          <w:noProof/>
          <w:color w:val="auto"/>
          <w:sz w:val="24"/>
        </w:rPr>
        <w:t xml:space="preserve"> March </w:t>
      </w:r>
      <w:r w:rsidRPr="00754D5D">
        <w:rPr>
          <w:rFonts w:cs="Times New Roman"/>
          <w:b w:val="0"/>
          <w:noProof/>
          <w:color w:val="auto"/>
          <w:sz w:val="24"/>
        </w:rPr>
        <w:t>2013.</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21. </w:t>
      </w:r>
      <w:r w:rsidRPr="00754D5D">
        <w:rPr>
          <w:rFonts w:cs="Times New Roman"/>
          <w:b w:val="0"/>
          <w:noProof/>
          <w:color w:val="auto"/>
          <w:sz w:val="24"/>
        </w:rPr>
        <w:tab/>
        <w:t xml:space="preserve">Mosley I, Nicol M, Donnan G, Dewey H. Family physician decisions following stroke symptom onset and delay times to ambulance call. </w:t>
      </w:r>
      <w:r w:rsidRPr="00754D5D">
        <w:rPr>
          <w:rFonts w:cs="Times New Roman"/>
          <w:b w:val="0"/>
          <w:i/>
          <w:noProof/>
          <w:color w:val="auto"/>
          <w:sz w:val="24"/>
        </w:rPr>
        <w:t>BMC.</w:t>
      </w:r>
      <w:r>
        <w:rPr>
          <w:rFonts w:cs="Times New Roman"/>
          <w:b w:val="0"/>
          <w:i/>
          <w:noProof/>
          <w:color w:val="auto"/>
          <w:sz w:val="24"/>
        </w:rPr>
        <w:t xml:space="preserve"> </w:t>
      </w:r>
      <w:r w:rsidRPr="00754D5D">
        <w:rPr>
          <w:rFonts w:cs="Times New Roman"/>
          <w:b w:val="0"/>
          <w:i/>
          <w:noProof/>
          <w:color w:val="auto"/>
          <w:sz w:val="24"/>
        </w:rPr>
        <w:t>Fam.</w:t>
      </w:r>
      <w:r>
        <w:rPr>
          <w:rFonts w:cs="Times New Roman"/>
          <w:b w:val="0"/>
          <w:i/>
          <w:noProof/>
          <w:color w:val="auto"/>
          <w:sz w:val="24"/>
        </w:rPr>
        <w:t xml:space="preserve"> </w:t>
      </w:r>
      <w:r w:rsidRPr="00754D5D">
        <w:rPr>
          <w:rFonts w:cs="Times New Roman"/>
          <w:b w:val="0"/>
          <w:i/>
          <w:noProof/>
          <w:color w:val="auto"/>
          <w:sz w:val="24"/>
        </w:rPr>
        <w:t>Pract.</w:t>
      </w:r>
      <w:r w:rsidRPr="00754D5D">
        <w:rPr>
          <w:rFonts w:cs="Times New Roman"/>
          <w:b w:val="0"/>
          <w:noProof/>
          <w:color w:val="auto"/>
          <w:sz w:val="24"/>
        </w:rPr>
        <w:t xml:space="preserve"> 2011;12:82</w:t>
      </w:r>
      <w:r>
        <w:rPr>
          <w:rFonts w:cs="Times New Roman"/>
          <w:b w:val="0"/>
          <w:noProof/>
          <w:color w:val="auto"/>
          <w:sz w:val="24"/>
        </w:rPr>
        <w:t>.</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22. </w:t>
      </w:r>
      <w:r w:rsidRPr="00754D5D">
        <w:rPr>
          <w:rFonts w:cs="Times New Roman"/>
          <w:b w:val="0"/>
          <w:noProof/>
          <w:color w:val="auto"/>
          <w:sz w:val="24"/>
        </w:rPr>
        <w:tab/>
        <w:t xml:space="preserve">Todo K, Moriwaki H, Saito K, Tanaka M, Oe H, Naritomi H. Early CT findings in unknown-onset and wake-up strokes. </w:t>
      </w:r>
      <w:r w:rsidRPr="00754D5D">
        <w:rPr>
          <w:rFonts w:cs="Times New Roman"/>
          <w:b w:val="0"/>
          <w:i/>
          <w:noProof/>
          <w:color w:val="auto"/>
          <w:sz w:val="24"/>
        </w:rPr>
        <w:t>Cerebrovasc.</w:t>
      </w:r>
      <w:r>
        <w:rPr>
          <w:rFonts w:cs="Times New Roman"/>
          <w:b w:val="0"/>
          <w:i/>
          <w:noProof/>
          <w:color w:val="auto"/>
          <w:sz w:val="24"/>
        </w:rPr>
        <w:t xml:space="preserve"> </w:t>
      </w:r>
      <w:r w:rsidRPr="00754D5D">
        <w:rPr>
          <w:rFonts w:cs="Times New Roman"/>
          <w:b w:val="0"/>
          <w:i/>
          <w:noProof/>
          <w:color w:val="auto"/>
          <w:sz w:val="24"/>
        </w:rPr>
        <w:t>Dis.</w:t>
      </w:r>
      <w:r w:rsidRPr="00754D5D">
        <w:rPr>
          <w:rFonts w:cs="Times New Roman"/>
          <w:b w:val="0"/>
          <w:noProof/>
          <w:color w:val="auto"/>
          <w:sz w:val="24"/>
        </w:rPr>
        <w:t xml:space="preserve"> 2006;21:367-371.</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23. </w:t>
      </w:r>
      <w:r w:rsidRPr="00754D5D">
        <w:rPr>
          <w:rFonts w:cs="Times New Roman"/>
          <w:b w:val="0"/>
          <w:noProof/>
          <w:color w:val="auto"/>
          <w:sz w:val="24"/>
        </w:rPr>
        <w:tab/>
        <w:t xml:space="preserve">Iosif C, Papathanasiou M, Staboulis E, Gouliamos A. Social factors influencing hospital arrival time in acute ischemic stroke patients. </w:t>
      </w:r>
      <w:r w:rsidRPr="00754D5D">
        <w:rPr>
          <w:rFonts w:cs="Times New Roman"/>
          <w:b w:val="0"/>
          <w:i/>
          <w:noProof/>
          <w:color w:val="auto"/>
          <w:sz w:val="24"/>
        </w:rPr>
        <w:t>Neuroradiology</w:t>
      </w:r>
      <w:r>
        <w:rPr>
          <w:rFonts w:cs="Times New Roman"/>
          <w:b w:val="0"/>
          <w:i/>
          <w:noProof/>
          <w:color w:val="auto"/>
          <w:sz w:val="24"/>
        </w:rPr>
        <w:t>.</w:t>
      </w:r>
      <w:r w:rsidRPr="00754D5D">
        <w:rPr>
          <w:rFonts w:cs="Times New Roman"/>
          <w:b w:val="0"/>
          <w:noProof/>
          <w:color w:val="auto"/>
          <w:sz w:val="24"/>
        </w:rPr>
        <w:t xml:space="preserve"> </w:t>
      </w:r>
      <w:r>
        <w:rPr>
          <w:rFonts w:cs="Times New Roman"/>
          <w:b w:val="0"/>
          <w:noProof/>
          <w:color w:val="auto"/>
          <w:sz w:val="24"/>
        </w:rPr>
        <w:t>2012;</w:t>
      </w:r>
      <w:r w:rsidRPr="00754D5D">
        <w:rPr>
          <w:rFonts w:cs="Times New Roman"/>
          <w:b w:val="0"/>
          <w:noProof/>
          <w:color w:val="auto"/>
          <w:sz w:val="24"/>
        </w:rPr>
        <w:t>54:</w:t>
      </w:r>
      <w:r>
        <w:rPr>
          <w:rFonts w:cs="Times New Roman"/>
          <w:b w:val="0"/>
          <w:noProof/>
          <w:color w:val="auto"/>
          <w:sz w:val="24"/>
        </w:rPr>
        <w:t>361-7.</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24. </w:t>
      </w:r>
      <w:r w:rsidRPr="00754D5D">
        <w:rPr>
          <w:rFonts w:cs="Times New Roman"/>
          <w:b w:val="0"/>
          <w:noProof/>
          <w:color w:val="auto"/>
          <w:sz w:val="24"/>
        </w:rPr>
        <w:tab/>
        <w:t xml:space="preserve">Qureshi AI, Kirmani JF, Sayed MA, Safdar A, Ahmed S, Ferguson R, et.al. Time to hospital arrival, use of thrombolytics, and in-hospital outcomes in ischemic stroke. </w:t>
      </w:r>
      <w:r w:rsidRPr="00754D5D">
        <w:rPr>
          <w:rFonts w:cs="Times New Roman"/>
          <w:b w:val="0"/>
          <w:i/>
          <w:noProof/>
          <w:color w:val="auto"/>
          <w:sz w:val="24"/>
        </w:rPr>
        <w:t>Neurology</w:t>
      </w:r>
      <w:r>
        <w:rPr>
          <w:rFonts w:cs="Times New Roman"/>
          <w:b w:val="0"/>
          <w:i/>
          <w:noProof/>
          <w:color w:val="auto"/>
          <w:sz w:val="24"/>
        </w:rPr>
        <w:t>.</w:t>
      </w:r>
      <w:r w:rsidRPr="00754D5D">
        <w:rPr>
          <w:rFonts w:cs="Times New Roman"/>
          <w:b w:val="0"/>
          <w:noProof/>
          <w:color w:val="auto"/>
          <w:sz w:val="24"/>
        </w:rPr>
        <w:t xml:space="preserve"> 2005;64:2115-2120.</w:t>
      </w:r>
    </w:p>
    <w:p w:rsidR="00A12E9E" w:rsidRPr="004B1C51" w:rsidRDefault="00A12E9E" w:rsidP="00A12E9E">
      <w:pPr>
        <w:pStyle w:val="Caption"/>
        <w:tabs>
          <w:tab w:val="right" w:pos="360"/>
          <w:tab w:val="left" w:pos="540"/>
        </w:tabs>
        <w:spacing w:after="240"/>
        <w:ind w:left="1260" w:hanging="1260"/>
        <w:jc w:val="left"/>
        <w:rPr>
          <w:rFonts w:cs="Times New Roman"/>
          <w:b w:val="0"/>
          <w:noProof/>
          <w:color w:val="auto"/>
          <w:sz w:val="24"/>
          <w:szCs w:val="24"/>
        </w:rPr>
      </w:pPr>
      <w:r w:rsidRPr="00754D5D">
        <w:rPr>
          <w:rFonts w:cs="Times New Roman"/>
          <w:b w:val="0"/>
          <w:noProof/>
          <w:color w:val="auto"/>
          <w:sz w:val="24"/>
        </w:rPr>
        <w:tab/>
        <w:t xml:space="preserve">25. </w:t>
      </w:r>
      <w:r w:rsidRPr="00754D5D">
        <w:rPr>
          <w:rFonts w:cs="Times New Roman"/>
          <w:b w:val="0"/>
          <w:noProof/>
          <w:color w:val="auto"/>
          <w:sz w:val="24"/>
        </w:rPr>
        <w:tab/>
        <w:t xml:space="preserve">Sheppard JP, Mellor R, Greenfield S, Mant J, Sandler D, Sims D, et.al. The association between pre-hospital care and in-hospital treatment decisions in acute stroke: A cohort study. </w:t>
      </w:r>
      <w:r>
        <w:rPr>
          <w:rFonts w:cs="Times New Roman"/>
          <w:b w:val="0"/>
          <w:noProof/>
          <w:color w:val="auto"/>
          <w:sz w:val="24"/>
        </w:rPr>
        <w:t xml:space="preserve">[published online ahead of print October 7, 2013]. </w:t>
      </w:r>
      <w:r w:rsidRPr="00754D5D">
        <w:rPr>
          <w:rFonts w:cs="Times New Roman"/>
          <w:b w:val="0"/>
          <w:i/>
          <w:noProof/>
          <w:color w:val="auto"/>
          <w:sz w:val="24"/>
        </w:rPr>
        <w:t>EMJ</w:t>
      </w:r>
      <w:r>
        <w:rPr>
          <w:rFonts w:cs="Times New Roman"/>
          <w:b w:val="0"/>
          <w:i/>
          <w:noProof/>
          <w:color w:val="auto"/>
          <w:sz w:val="24"/>
        </w:rPr>
        <w:t>.</w:t>
      </w:r>
      <w:r w:rsidRPr="00754D5D">
        <w:rPr>
          <w:rFonts w:cs="Times New Roman"/>
          <w:b w:val="0"/>
          <w:noProof/>
          <w:color w:val="auto"/>
          <w:sz w:val="24"/>
        </w:rPr>
        <w:t xml:space="preserve"> 2013</w:t>
      </w:r>
      <w:r>
        <w:rPr>
          <w:rFonts w:cs="Times New Roman"/>
          <w:b w:val="0"/>
          <w:noProof/>
          <w:color w:val="auto"/>
          <w:sz w:val="24"/>
        </w:rPr>
        <w:t xml:space="preserve">. </w:t>
      </w:r>
      <w:hyperlink r:id="rId11" w:history="1">
        <w:r w:rsidRPr="004B1C51">
          <w:rPr>
            <w:rStyle w:val="Hyperlink"/>
            <w:b w:val="0"/>
            <w:color w:val="auto"/>
            <w:sz w:val="24"/>
            <w:szCs w:val="24"/>
          </w:rPr>
          <w:t>http://emj.bmj.com/content/early/2013/10/07/emermed-2013-203026.long</w:t>
        </w:r>
      </w:hyperlink>
      <w:r>
        <w:rPr>
          <w:b w:val="0"/>
          <w:color w:val="auto"/>
          <w:sz w:val="24"/>
          <w:szCs w:val="24"/>
        </w:rPr>
        <w:t>. Accessed 20 October 2013.</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26. </w:t>
      </w:r>
      <w:r w:rsidRPr="00754D5D">
        <w:rPr>
          <w:rFonts w:cs="Times New Roman"/>
          <w:b w:val="0"/>
          <w:noProof/>
          <w:color w:val="auto"/>
          <w:sz w:val="24"/>
        </w:rPr>
        <w:tab/>
        <w:t xml:space="preserve">Geffner D, Soriano C, Perez T, Vilar C, Rodriguez D. Delay in seeking treatment by patients with stroke: who decides, where they go, and how long it takes.  </w:t>
      </w:r>
      <w:r w:rsidRPr="00754D5D">
        <w:rPr>
          <w:rFonts w:cs="Times New Roman"/>
          <w:b w:val="0"/>
          <w:i/>
          <w:noProof/>
          <w:color w:val="auto"/>
          <w:sz w:val="24"/>
        </w:rPr>
        <w:t>Clin.Neurol.Neurosurg.</w:t>
      </w:r>
      <w:r w:rsidRPr="00754D5D">
        <w:rPr>
          <w:rFonts w:cs="Times New Roman"/>
          <w:b w:val="0"/>
          <w:noProof/>
          <w:color w:val="auto"/>
          <w:sz w:val="24"/>
        </w:rPr>
        <w:t xml:space="preserve"> 2012;114:21-25.</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27. </w:t>
      </w:r>
      <w:r w:rsidRPr="00754D5D">
        <w:rPr>
          <w:rFonts w:cs="Times New Roman"/>
          <w:b w:val="0"/>
          <w:noProof/>
          <w:color w:val="auto"/>
          <w:sz w:val="24"/>
        </w:rPr>
        <w:tab/>
      </w:r>
      <w:r>
        <w:rPr>
          <w:rFonts w:cs="Times New Roman"/>
          <w:b w:val="0"/>
          <w:noProof/>
          <w:color w:val="auto"/>
          <w:sz w:val="24"/>
        </w:rPr>
        <w:t xml:space="preserve">2010-11 reference costs publication. </w:t>
      </w:r>
      <w:r w:rsidRPr="00754D5D">
        <w:rPr>
          <w:rFonts w:cs="Times New Roman"/>
          <w:b w:val="0"/>
          <w:noProof/>
          <w:color w:val="auto"/>
          <w:sz w:val="24"/>
        </w:rPr>
        <w:t>Department of Health</w:t>
      </w:r>
      <w:r>
        <w:rPr>
          <w:rFonts w:cs="Times New Roman"/>
          <w:b w:val="0"/>
          <w:noProof/>
          <w:color w:val="auto"/>
          <w:sz w:val="24"/>
        </w:rPr>
        <w:t xml:space="preserve"> web site</w:t>
      </w:r>
      <w:r w:rsidRPr="00754D5D">
        <w:rPr>
          <w:rFonts w:cs="Times New Roman"/>
          <w:b w:val="0"/>
          <w:noProof/>
          <w:color w:val="auto"/>
          <w:sz w:val="24"/>
        </w:rPr>
        <w:t>.</w:t>
      </w:r>
      <w:r>
        <w:rPr>
          <w:rFonts w:cs="Times New Roman"/>
          <w:b w:val="0"/>
          <w:noProof/>
          <w:color w:val="auto"/>
          <w:sz w:val="24"/>
        </w:rPr>
        <w:t xml:space="preserve"> </w:t>
      </w:r>
      <w:hyperlink r:id="rId12" w:history="1">
        <w:r w:rsidRPr="00D54ADD">
          <w:rPr>
            <w:rStyle w:val="Hyperlink"/>
            <w:b w:val="0"/>
            <w:color w:val="auto"/>
            <w:sz w:val="24"/>
            <w:szCs w:val="24"/>
          </w:rPr>
          <w:t>https://www.gov.uk/government/publications/2010-11-reference-costs-publication</w:t>
        </w:r>
      </w:hyperlink>
      <w:r w:rsidRPr="00D54ADD">
        <w:rPr>
          <w:b w:val="0"/>
          <w:color w:val="auto"/>
          <w:sz w:val="24"/>
          <w:szCs w:val="24"/>
        </w:rPr>
        <w:t>. Accessed 17 February 2012</w:t>
      </w:r>
      <w:r w:rsidRPr="00D54ADD">
        <w:rPr>
          <w:rFonts w:cs="Times New Roman"/>
          <w:b w:val="0"/>
          <w:noProof/>
          <w:color w:val="auto"/>
          <w:sz w:val="24"/>
          <w:szCs w:val="24"/>
        </w:rPr>
        <w:t>.</w:t>
      </w:r>
      <w:r w:rsidRPr="00754D5D">
        <w:rPr>
          <w:rFonts w:cs="Times New Roman"/>
          <w:b w:val="0"/>
          <w:noProof/>
          <w:color w:val="auto"/>
          <w:sz w:val="24"/>
        </w:rPr>
        <w:t xml:space="preserve"> </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28. </w:t>
      </w:r>
      <w:r w:rsidRPr="00754D5D">
        <w:rPr>
          <w:rFonts w:cs="Times New Roman"/>
          <w:b w:val="0"/>
          <w:noProof/>
          <w:color w:val="auto"/>
          <w:sz w:val="24"/>
        </w:rPr>
        <w:tab/>
        <w:t xml:space="preserve">Hong KS, Saver JK. Years of disability-Adjusted Life Gained as a Result of Thrombolytic Therapy for Acute Ischaemic Stroke. </w:t>
      </w:r>
      <w:r w:rsidRPr="00754D5D">
        <w:rPr>
          <w:rFonts w:cs="Times New Roman"/>
          <w:b w:val="0"/>
          <w:i/>
          <w:noProof/>
          <w:color w:val="auto"/>
          <w:sz w:val="24"/>
        </w:rPr>
        <w:t>Stroke</w:t>
      </w:r>
      <w:r>
        <w:rPr>
          <w:rFonts w:cs="Times New Roman"/>
          <w:b w:val="0"/>
          <w:i/>
          <w:noProof/>
          <w:color w:val="auto"/>
          <w:sz w:val="24"/>
        </w:rPr>
        <w:t>.</w:t>
      </w:r>
      <w:r w:rsidRPr="00754D5D">
        <w:rPr>
          <w:rFonts w:cs="Times New Roman"/>
          <w:b w:val="0"/>
          <w:noProof/>
          <w:color w:val="auto"/>
          <w:sz w:val="24"/>
        </w:rPr>
        <w:t xml:space="preserve"> 2010;41:417-477.</w:t>
      </w:r>
    </w:p>
    <w:p w:rsidR="00A12E9E" w:rsidRPr="00056DCB" w:rsidRDefault="00A12E9E" w:rsidP="00A12E9E">
      <w:pPr>
        <w:pStyle w:val="Caption"/>
        <w:tabs>
          <w:tab w:val="right" w:pos="360"/>
          <w:tab w:val="left" w:pos="540"/>
        </w:tabs>
        <w:spacing w:after="240"/>
        <w:ind w:left="1260" w:hanging="1260"/>
        <w:jc w:val="left"/>
        <w:rPr>
          <w:rFonts w:cs="Times New Roman"/>
          <w:b w:val="0"/>
          <w:noProof/>
          <w:color w:val="auto"/>
          <w:sz w:val="24"/>
          <w:szCs w:val="24"/>
        </w:rPr>
      </w:pPr>
      <w:r w:rsidRPr="00754D5D">
        <w:rPr>
          <w:rFonts w:cs="Times New Roman"/>
          <w:b w:val="0"/>
          <w:noProof/>
          <w:color w:val="auto"/>
          <w:sz w:val="24"/>
        </w:rPr>
        <w:lastRenderedPageBreak/>
        <w:tab/>
        <w:t xml:space="preserve">29. </w:t>
      </w:r>
      <w:r w:rsidRPr="00754D5D">
        <w:rPr>
          <w:rFonts w:cs="Times New Roman"/>
          <w:b w:val="0"/>
          <w:noProof/>
          <w:color w:val="auto"/>
          <w:sz w:val="24"/>
        </w:rPr>
        <w:tab/>
        <w:t>Purchasing power parities for GDP</w:t>
      </w:r>
      <w:r>
        <w:rPr>
          <w:rFonts w:cs="Times New Roman"/>
          <w:b w:val="0"/>
          <w:noProof/>
          <w:color w:val="auto"/>
          <w:sz w:val="24"/>
        </w:rPr>
        <w:t>, National currency units per US dollars. OECD iLibrary web site.</w:t>
      </w:r>
      <w:r w:rsidRPr="00056DCB">
        <w:rPr>
          <w:rFonts w:cs="Times New Roman"/>
          <w:b w:val="0"/>
          <w:noProof/>
          <w:color w:val="auto"/>
          <w:sz w:val="24"/>
          <w:szCs w:val="24"/>
        </w:rPr>
        <w:t xml:space="preserve"> </w:t>
      </w:r>
      <w:hyperlink r:id="rId13" w:history="1">
        <w:r w:rsidRPr="005901E4">
          <w:rPr>
            <w:rStyle w:val="Hyperlink"/>
            <w:b w:val="0"/>
            <w:color w:val="auto"/>
            <w:sz w:val="24"/>
            <w:szCs w:val="24"/>
          </w:rPr>
          <w:t xml:space="preserve">http://www.oecd-ilibrary.org/economics/purchasing-power-parities-for-gdp-2013-1_ppp-gdp-table-2013-1-en. </w:t>
        </w:r>
        <w:r w:rsidRPr="00056DCB">
          <w:rPr>
            <w:rStyle w:val="Hyperlink"/>
            <w:b w:val="0"/>
            <w:color w:val="auto"/>
            <w:sz w:val="24"/>
            <w:szCs w:val="24"/>
          </w:rPr>
          <w:t>14 January 2013</w:t>
        </w:r>
      </w:hyperlink>
      <w:r>
        <w:rPr>
          <w:b w:val="0"/>
          <w:color w:val="auto"/>
          <w:sz w:val="24"/>
          <w:szCs w:val="24"/>
        </w:rPr>
        <w:t>. Accessed 20 October 2013.</w:t>
      </w:r>
    </w:p>
    <w:p w:rsidR="00A12E9E" w:rsidRPr="005901E4" w:rsidRDefault="00A12E9E" w:rsidP="00A12E9E">
      <w:pPr>
        <w:pStyle w:val="Caption"/>
        <w:tabs>
          <w:tab w:val="right" w:pos="360"/>
          <w:tab w:val="left" w:pos="540"/>
        </w:tabs>
        <w:spacing w:after="240"/>
        <w:ind w:left="1260" w:hanging="1260"/>
        <w:jc w:val="left"/>
        <w:rPr>
          <w:rFonts w:cs="Times New Roman"/>
          <w:b w:val="0"/>
          <w:noProof/>
          <w:color w:val="auto"/>
          <w:sz w:val="24"/>
          <w:szCs w:val="24"/>
        </w:rPr>
      </w:pPr>
      <w:r w:rsidRPr="00754D5D">
        <w:rPr>
          <w:rFonts w:cs="Times New Roman"/>
          <w:b w:val="0"/>
          <w:noProof/>
          <w:color w:val="auto"/>
          <w:sz w:val="24"/>
        </w:rPr>
        <w:tab/>
        <w:t xml:space="preserve">30. </w:t>
      </w:r>
      <w:r w:rsidRPr="00754D5D">
        <w:rPr>
          <w:rFonts w:cs="Times New Roman"/>
          <w:b w:val="0"/>
          <w:noProof/>
          <w:color w:val="auto"/>
          <w:sz w:val="24"/>
        </w:rPr>
        <w:tab/>
        <w:t xml:space="preserve">Curtis L. Unit costs in health and social care 2011.  </w:t>
      </w:r>
      <w:r w:rsidRPr="009F5E54">
        <w:rPr>
          <w:rFonts w:cs="Times New Roman"/>
          <w:b w:val="0"/>
          <w:noProof/>
          <w:color w:val="auto"/>
          <w:sz w:val="24"/>
        </w:rPr>
        <w:t>Personal Social Services Research Unit (PSSRU)</w:t>
      </w:r>
      <w:r w:rsidRPr="00754D5D">
        <w:rPr>
          <w:rFonts w:cs="Times New Roman"/>
          <w:b w:val="0"/>
          <w:noProof/>
          <w:color w:val="auto"/>
          <w:sz w:val="24"/>
        </w:rPr>
        <w:t xml:space="preserve"> </w:t>
      </w:r>
      <w:r>
        <w:rPr>
          <w:rFonts w:cs="Times New Roman"/>
          <w:b w:val="0"/>
          <w:noProof/>
          <w:color w:val="auto"/>
          <w:sz w:val="24"/>
        </w:rPr>
        <w:t xml:space="preserve">web site. </w:t>
      </w:r>
      <w:hyperlink r:id="rId14" w:history="1">
        <w:r w:rsidRPr="005901E4">
          <w:rPr>
            <w:rStyle w:val="Hyperlink"/>
            <w:b w:val="0"/>
            <w:color w:val="auto"/>
            <w:sz w:val="24"/>
            <w:szCs w:val="24"/>
          </w:rPr>
          <w:t>http://www.pssru.ac.uk/project-pages/unit-costs/2011/index.php</w:t>
        </w:r>
      </w:hyperlink>
      <w:r w:rsidRPr="005901E4">
        <w:rPr>
          <w:b w:val="0"/>
          <w:color w:val="auto"/>
          <w:sz w:val="24"/>
          <w:szCs w:val="24"/>
        </w:rPr>
        <w:t>. Accessed 18 May 2012</w:t>
      </w:r>
      <w:r>
        <w:rPr>
          <w:b w:val="0"/>
          <w:color w:val="auto"/>
          <w:sz w:val="24"/>
          <w:szCs w:val="24"/>
        </w:rPr>
        <w:t>.</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31. </w:t>
      </w:r>
      <w:r w:rsidRPr="00754D5D">
        <w:rPr>
          <w:rFonts w:cs="Times New Roman"/>
          <w:b w:val="0"/>
          <w:noProof/>
          <w:color w:val="auto"/>
          <w:sz w:val="24"/>
        </w:rPr>
        <w:tab/>
      </w:r>
      <w:r>
        <w:rPr>
          <w:rFonts w:cs="Times New Roman"/>
          <w:b w:val="0"/>
          <w:noProof/>
          <w:color w:val="auto"/>
          <w:sz w:val="24"/>
        </w:rPr>
        <w:t xml:space="preserve">British National </w:t>
      </w:r>
      <w:r w:rsidRPr="009F5E54">
        <w:rPr>
          <w:rFonts w:cs="Times New Roman"/>
          <w:b w:val="0"/>
          <w:noProof/>
          <w:color w:val="auto"/>
          <w:sz w:val="24"/>
        </w:rPr>
        <w:t>Formulary (BNF).</w:t>
      </w:r>
      <w:r w:rsidRPr="00754D5D">
        <w:rPr>
          <w:rFonts w:cs="Times New Roman"/>
          <w:b w:val="0"/>
          <w:noProof/>
          <w:color w:val="auto"/>
          <w:sz w:val="24"/>
        </w:rPr>
        <w:t xml:space="preserve"> Pharmaceutical Press</w:t>
      </w:r>
      <w:r>
        <w:rPr>
          <w:rFonts w:cs="Times New Roman"/>
          <w:b w:val="0"/>
          <w:noProof/>
          <w:color w:val="auto"/>
          <w:sz w:val="24"/>
        </w:rPr>
        <w:t xml:space="preserve"> web site.   </w:t>
      </w:r>
      <w:hyperlink r:id="rId15" w:history="1">
        <w:r w:rsidRPr="004671EF">
          <w:rPr>
            <w:rStyle w:val="Hyperlink"/>
            <w:b w:val="0"/>
            <w:color w:val="auto"/>
            <w:sz w:val="24"/>
            <w:szCs w:val="24"/>
          </w:rPr>
          <w:t>https://www.bnf.org/bnf/login.htm?uri=bnf/current/</w:t>
        </w:r>
      </w:hyperlink>
      <w:r>
        <w:t>.</w:t>
      </w:r>
      <w:r w:rsidRPr="00754D5D">
        <w:rPr>
          <w:rFonts w:cs="Times New Roman"/>
          <w:b w:val="0"/>
          <w:noProof/>
          <w:color w:val="auto"/>
          <w:sz w:val="24"/>
        </w:rPr>
        <w:t xml:space="preserve"> </w:t>
      </w:r>
      <w:r>
        <w:rPr>
          <w:rFonts w:cs="Times New Roman"/>
          <w:b w:val="0"/>
          <w:noProof/>
          <w:color w:val="auto"/>
          <w:sz w:val="24"/>
        </w:rPr>
        <w:t>Accessed May 2012.</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32. </w:t>
      </w:r>
      <w:r w:rsidRPr="00754D5D">
        <w:rPr>
          <w:rFonts w:cs="Times New Roman"/>
          <w:b w:val="0"/>
          <w:noProof/>
          <w:color w:val="auto"/>
          <w:sz w:val="24"/>
        </w:rPr>
        <w:tab/>
        <w:t xml:space="preserve">Sandercock P, Berge E, Dennis M, Forbes J, Hand P, Kwan J, et.al. A Systematic Review of the effectiveness, cost-effectiveness and barriers to implementation of thrombolytic and neuroprotective therapy for acute ischaemic stroke in the NHS. </w:t>
      </w:r>
      <w:r w:rsidRPr="00754D5D">
        <w:rPr>
          <w:rFonts w:cs="Times New Roman"/>
          <w:b w:val="0"/>
          <w:i/>
          <w:noProof/>
          <w:color w:val="auto"/>
          <w:sz w:val="24"/>
        </w:rPr>
        <w:t>Health Technology Assessment</w:t>
      </w:r>
      <w:r>
        <w:rPr>
          <w:rFonts w:cs="Times New Roman"/>
          <w:b w:val="0"/>
          <w:i/>
          <w:noProof/>
          <w:color w:val="auto"/>
          <w:sz w:val="24"/>
        </w:rPr>
        <w:t>.</w:t>
      </w:r>
      <w:r w:rsidRPr="00754D5D">
        <w:rPr>
          <w:rFonts w:cs="Times New Roman"/>
          <w:b w:val="0"/>
          <w:noProof/>
          <w:color w:val="auto"/>
          <w:sz w:val="24"/>
        </w:rPr>
        <w:t xml:space="preserve"> 2002;6:</w:t>
      </w:r>
      <w:r>
        <w:rPr>
          <w:rFonts w:cs="Times New Roman"/>
          <w:b w:val="0"/>
          <w:noProof/>
          <w:color w:val="auto"/>
          <w:sz w:val="24"/>
        </w:rPr>
        <w:t>1-112.</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33. </w:t>
      </w:r>
      <w:r w:rsidRPr="00754D5D">
        <w:rPr>
          <w:rFonts w:cs="Times New Roman"/>
          <w:b w:val="0"/>
          <w:noProof/>
          <w:color w:val="auto"/>
          <w:sz w:val="24"/>
        </w:rPr>
        <w:tab/>
        <w:t>Guide to the metho</w:t>
      </w:r>
      <w:r>
        <w:rPr>
          <w:rFonts w:cs="Times New Roman"/>
          <w:b w:val="0"/>
          <w:noProof/>
          <w:color w:val="auto"/>
          <w:sz w:val="24"/>
        </w:rPr>
        <w:t>d</w:t>
      </w:r>
      <w:r w:rsidRPr="00754D5D">
        <w:rPr>
          <w:rFonts w:cs="Times New Roman"/>
          <w:b w:val="0"/>
          <w:noProof/>
          <w:color w:val="auto"/>
          <w:sz w:val="24"/>
        </w:rPr>
        <w:t>s of technology appraisal. National Institute for Health Care and Clinical Excellence</w:t>
      </w:r>
      <w:r>
        <w:rPr>
          <w:rFonts w:cs="Times New Roman"/>
          <w:b w:val="0"/>
          <w:noProof/>
          <w:color w:val="auto"/>
          <w:sz w:val="24"/>
        </w:rPr>
        <w:t xml:space="preserve"> (NICE) web site</w:t>
      </w:r>
      <w:r w:rsidRPr="00754D5D">
        <w:rPr>
          <w:rFonts w:cs="Times New Roman"/>
          <w:b w:val="0"/>
          <w:noProof/>
          <w:color w:val="auto"/>
          <w:sz w:val="24"/>
        </w:rPr>
        <w:t xml:space="preserve">. </w:t>
      </w:r>
      <w:hyperlink r:id="rId16" w:history="1">
        <w:r w:rsidRPr="004671EF">
          <w:rPr>
            <w:rStyle w:val="Hyperlink"/>
            <w:b w:val="0"/>
            <w:color w:val="auto"/>
            <w:sz w:val="24"/>
            <w:szCs w:val="24"/>
          </w:rPr>
          <w:t>http://www.nice.org.uk/media/b52/a7/tamethodsguideupdatedjune2008.pdf</w:t>
        </w:r>
      </w:hyperlink>
      <w:r>
        <w:rPr>
          <w:b w:val="0"/>
          <w:color w:val="auto"/>
          <w:sz w:val="24"/>
          <w:szCs w:val="24"/>
        </w:rPr>
        <w:t xml:space="preserve">. June 2008. </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34. </w:t>
      </w:r>
      <w:r w:rsidRPr="00754D5D">
        <w:rPr>
          <w:rFonts w:cs="Times New Roman"/>
          <w:b w:val="0"/>
          <w:noProof/>
          <w:color w:val="auto"/>
          <w:sz w:val="24"/>
        </w:rPr>
        <w:tab/>
        <w:t xml:space="preserve">Sulter G, Steen C, De Keyser J. Use of the Barthel Index and Modified Rankin Scale in acute stroke trials. </w:t>
      </w:r>
      <w:r w:rsidRPr="00754D5D">
        <w:rPr>
          <w:rFonts w:cs="Times New Roman"/>
          <w:b w:val="0"/>
          <w:i/>
          <w:noProof/>
          <w:color w:val="auto"/>
          <w:sz w:val="24"/>
        </w:rPr>
        <w:t>Stroke</w:t>
      </w:r>
      <w:r>
        <w:rPr>
          <w:rFonts w:cs="Times New Roman"/>
          <w:b w:val="0"/>
          <w:i/>
          <w:noProof/>
          <w:color w:val="auto"/>
          <w:sz w:val="24"/>
        </w:rPr>
        <w:t>.</w:t>
      </w:r>
      <w:r w:rsidRPr="00754D5D">
        <w:rPr>
          <w:rFonts w:cs="Times New Roman"/>
          <w:b w:val="0"/>
          <w:noProof/>
          <w:color w:val="auto"/>
          <w:sz w:val="24"/>
        </w:rPr>
        <w:t xml:space="preserve"> 1999;30:1538-1541.</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35. </w:t>
      </w:r>
      <w:r w:rsidRPr="00754D5D">
        <w:rPr>
          <w:rFonts w:cs="Times New Roman"/>
          <w:b w:val="0"/>
          <w:noProof/>
          <w:color w:val="auto"/>
          <w:sz w:val="24"/>
        </w:rPr>
        <w:tab/>
        <w:t xml:space="preserve">Guilhaume C, Saragoussi D, Cochran J, Francois C, Toumi M. Modeling stroke management: a qualitative review of cost-effectiveness analyses. [Review].  </w:t>
      </w:r>
      <w:r w:rsidRPr="00754D5D">
        <w:rPr>
          <w:rFonts w:cs="Times New Roman"/>
          <w:b w:val="0"/>
          <w:i/>
          <w:noProof/>
          <w:color w:val="auto"/>
          <w:sz w:val="24"/>
        </w:rPr>
        <w:t>European Journal of Health Economics</w:t>
      </w:r>
      <w:r>
        <w:rPr>
          <w:rFonts w:cs="Times New Roman"/>
          <w:b w:val="0"/>
          <w:i/>
          <w:noProof/>
          <w:color w:val="auto"/>
          <w:sz w:val="24"/>
        </w:rPr>
        <w:t>.</w:t>
      </w:r>
      <w:r w:rsidRPr="00754D5D">
        <w:rPr>
          <w:rFonts w:cs="Times New Roman"/>
          <w:b w:val="0"/>
          <w:noProof/>
          <w:color w:val="auto"/>
          <w:sz w:val="24"/>
        </w:rPr>
        <w:t xml:space="preserve"> 2010;11:419-426.</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36. </w:t>
      </w:r>
      <w:r w:rsidRPr="00754D5D">
        <w:rPr>
          <w:rFonts w:cs="Times New Roman"/>
          <w:b w:val="0"/>
          <w:noProof/>
          <w:color w:val="auto"/>
          <w:sz w:val="24"/>
        </w:rPr>
        <w:tab/>
        <w:t xml:space="preserve">Mant J, Wade D, Winner S. Health care needs assessment: stroke.  </w:t>
      </w:r>
      <w:r w:rsidRPr="00754D5D">
        <w:rPr>
          <w:rFonts w:cs="Times New Roman"/>
          <w:b w:val="0"/>
          <w:i/>
          <w:noProof/>
          <w:color w:val="auto"/>
          <w:sz w:val="24"/>
        </w:rPr>
        <w:t>Health care needs assessment: the epidemiologically based needs assessment reviews</w:t>
      </w:r>
      <w:r>
        <w:rPr>
          <w:rFonts w:cs="Times New Roman"/>
          <w:b w:val="0"/>
          <w:i/>
          <w:noProof/>
          <w:color w:val="auto"/>
          <w:sz w:val="24"/>
        </w:rPr>
        <w:t>.</w:t>
      </w:r>
      <w:r w:rsidRPr="00754D5D">
        <w:rPr>
          <w:rFonts w:cs="Times New Roman"/>
          <w:b w:val="0"/>
          <w:noProof/>
          <w:color w:val="auto"/>
          <w:sz w:val="24"/>
        </w:rPr>
        <w:t xml:space="preserve"> 2004;First series:141-244.</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37. </w:t>
      </w:r>
      <w:r w:rsidRPr="00754D5D">
        <w:rPr>
          <w:rFonts w:cs="Times New Roman"/>
          <w:b w:val="0"/>
          <w:noProof/>
          <w:color w:val="auto"/>
          <w:sz w:val="24"/>
        </w:rPr>
        <w:tab/>
      </w:r>
      <w:r w:rsidRPr="009F5E54">
        <w:rPr>
          <w:rFonts w:cs="Times New Roman"/>
          <w:b w:val="0"/>
          <w:noProof/>
          <w:color w:val="auto"/>
          <w:sz w:val="24"/>
        </w:rPr>
        <w:t>Population and Housing Unit Estimates.</w:t>
      </w:r>
      <w:r>
        <w:rPr>
          <w:rFonts w:cs="Times New Roman"/>
          <w:b w:val="0"/>
          <w:noProof/>
          <w:color w:val="auto"/>
          <w:sz w:val="24"/>
        </w:rPr>
        <w:t xml:space="preserve"> </w:t>
      </w:r>
      <w:r w:rsidRPr="00754D5D">
        <w:rPr>
          <w:rFonts w:cs="Times New Roman"/>
          <w:b w:val="0"/>
          <w:noProof/>
          <w:color w:val="auto"/>
          <w:sz w:val="24"/>
        </w:rPr>
        <w:t>United States Census Bureau.</w:t>
      </w:r>
      <w:r>
        <w:rPr>
          <w:rFonts w:cs="Times New Roman"/>
          <w:b w:val="0"/>
          <w:noProof/>
          <w:color w:val="auto"/>
          <w:sz w:val="24"/>
        </w:rPr>
        <w:t xml:space="preserve"> US Department of Commerce web site.</w:t>
      </w:r>
      <w:r w:rsidRPr="00754D5D">
        <w:rPr>
          <w:rFonts w:cs="Times New Roman"/>
          <w:b w:val="0"/>
          <w:noProof/>
          <w:color w:val="auto"/>
          <w:sz w:val="24"/>
        </w:rPr>
        <w:t xml:space="preserve"> </w:t>
      </w:r>
      <w:hyperlink r:id="rId17" w:history="1">
        <w:r w:rsidRPr="009F5E54">
          <w:rPr>
            <w:rStyle w:val="Hyperlink"/>
            <w:b w:val="0"/>
            <w:color w:val="auto"/>
            <w:sz w:val="24"/>
            <w:szCs w:val="24"/>
          </w:rPr>
          <w:t>http://www.census.gov/popest/</w:t>
        </w:r>
      </w:hyperlink>
      <w:r w:rsidRPr="009F5E54">
        <w:rPr>
          <w:b w:val="0"/>
          <w:color w:val="auto"/>
          <w:sz w:val="24"/>
          <w:szCs w:val="24"/>
        </w:rPr>
        <w:t>.</w:t>
      </w:r>
      <w:r w:rsidRPr="00754D5D">
        <w:rPr>
          <w:rFonts w:cs="Times New Roman"/>
          <w:b w:val="0"/>
          <w:noProof/>
          <w:color w:val="auto"/>
          <w:sz w:val="24"/>
        </w:rPr>
        <w:t xml:space="preserve"> </w:t>
      </w:r>
      <w:r>
        <w:rPr>
          <w:rFonts w:cs="Times New Roman"/>
          <w:b w:val="0"/>
          <w:noProof/>
          <w:color w:val="auto"/>
          <w:sz w:val="24"/>
        </w:rPr>
        <w:t xml:space="preserve">Accessed 20 October </w:t>
      </w:r>
      <w:r w:rsidRPr="00754D5D">
        <w:rPr>
          <w:rFonts w:cs="Times New Roman"/>
          <w:b w:val="0"/>
          <w:noProof/>
          <w:color w:val="auto"/>
          <w:sz w:val="24"/>
        </w:rPr>
        <w:t>2013</w:t>
      </w:r>
      <w:r>
        <w:rPr>
          <w:rFonts w:cs="Times New Roman"/>
          <w:b w:val="0"/>
          <w:noProof/>
          <w:color w:val="auto"/>
          <w:sz w:val="24"/>
        </w:rPr>
        <w:t>.</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38. </w:t>
      </w:r>
      <w:r w:rsidRPr="00754D5D">
        <w:rPr>
          <w:rFonts w:cs="Times New Roman"/>
          <w:b w:val="0"/>
          <w:noProof/>
          <w:color w:val="auto"/>
          <w:sz w:val="24"/>
        </w:rPr>
        <w:tab/>
        <w:t xml:space="preserve">Kozera G, Chwojnicki K, Gójska-Grymajlo A, Gasecki D, Schminke U, Nyka WM. Pre-hospital delays and intravenous thrombolysis in urban and rural areas.  </w:t>
      </w:r>
      <w:r w:rsidRPr="00754D5D">
        <w:rPr>
          <w:rFonts w:cs="Times New Roman"/>
          <w:b w:val="0"/>
          <w:i/>
          <w:noProof/>
          <w:color w:val="auto"/>
          <w:sz w:val="24"/>
        </w:rPr>
        <w:t>Acta Neurol.</w:t>
      </w:r>
      <w:r>
        <w:rPr>
          <w:rFonts w:cs="Times New Roman"/>
          <w:b w:val="0"/>
          <w:i/>
          <w:noProof/>
          <w:color w:val="auto"/>
          <w:sz w:val="24"/>
        </w:rPr>
        <w:t xml:space="preserve"> </w:t>
      </w:r>
      <w:r w:rsidRPr="00754D5D">
        <w:rPr>
          <w:rFonts w:cs="Times New Roman"/>
          <w:b w:val="0"/>
          <w:i/>
          <w:noProof/>
          <w:color w:val="auto"/>
          <w:sz w:val="24"/>
        </w:rPr>
        <w:t>Scand.</w:t>
      </w:r>
      <w:r w:rsidRPr="00754D5D">
        <w:rPr>
          <w:rFonts w:cs="Times New Roman"/>
          <w:b w:val="0"/>
          <w:noProof/>
          <w:color w:val="auto"/>
          <w:sz w:val="24"/>
        </w:rPr>
        <w:t xml:space="preserve"> 2012;126:171-177.</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39. </w:t>
      </w:r>
      <w:r w:rsidRPr="00754D5D">
        <w:rPr>
          <w:rFonts w:cs="Times New Roman"/>
          <w:b w:val="0"/>
          <w:noProof/>
          <w:color w:val="auto"/>
          <w:sz w:val="24"/>
        </w:rPr>
        <w:tab/>
        <w:t xml:space="preserve">Wahlgren N, Ahmed N, Davalos A, Hacke W, Millan M, Muir K, et.al. Thrombolysis with alteplase 3-4.5 h after acute ischaemic stroke (SITS-ISTR): an observational study. </w:t>
      </w:r>
      <w:r w:rsidRPr="009F5E54">
        <w:rPr>
          <w:rFonts w:cs="Times New Roman"/>
          <w:b w:val="0"/>
          <w:i/>
          <w:noProof/>
          <w:color w:val="auto"/>
          <w:sz w:val="24"/>
        </w:rPr>
        <w:t>The</w:t>
      </w:r>
      <w:r w:rsidRPr="00754D5D">
        <w:rPr>
          <w:rFonts w:cs="Times New Roman"/>
          <w:b w:val="0"/>
          <w:noProof/>
          <w:color w:val="auto"/>
          <w:sz w:val="24"/>
        </w:rPr>
        <w:t xml:space="preserve"> </w:t>
      </w:r>
      <w:r w:rsidRPr="00754D5D">
        <w:rPr>
          <w:rFonts w:cs="Times New Roman"/>
          <w:b w:val="0"/>
          <w:i/>
          <w:noProof/>
          <w:color w:val="auto"/>
          <w:sz w:val="24"/>
        </w:rPr>
        <w:t>Lancet</w:t>
      </w:r>
      <w:r>
        <w:rPr>
          <w:rFonts w:cs="Times New Roman"/>
          <w:b w:val="0"/>
          <w:i/>
          <w:noProof/>
          <w:color w:val="auto"/>
          <w:sz w:val="24"/>
        </w:rPr>
        <w:t>.</w:t>
      </w:r>
      <w:r w:rsidRPr="00754D5D">
        <w:rPr>
          <w:rFonts w:cs="Times New Roman"/>
          <w:b w:val="0"/>
          <w:noProof/>
          <w:color w:val="auto"/>
          <w:sz w:val="24"/>
        </w:rPr>
        <w:t xml:space="preserve"> 2008;372:1303-1309.</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40. </w:t>
      </w:r>
      <w:r w:rsidRPr="00754D5D">
        <w:rPr>
          <w:rFonts w:cs="Times New Roman"/>
          <w:b w:val="0"/>
          <w:noProof/>
          <w:color w:val="auto"/>
          <w:sz w:val="24"/>
        </w:rPr>
        <w:tab/>
        <w:t xml:space="preserve">Wardlaw JM, Murray V, Berge E, del Zoppo G. Thrombolysis for acute ischaemic stroke. </w:t>
      </w:r>
      <w:r w:rsidRPr="00754D5D">
        <w:rPr>
          <w:rFonts w:cs="Times New Roman"/>
          <w:b w:val="0"/>
          <w:i/>
          <w:noProof/>
          <w:color w:val="auto"/>
          <w:sz w:val="24"/>
        </w:rPr>
        <w:t>Cochrane database of systematic reviews</w:t>
      </w:r>
      <w:r>
        <w:rPr>
          <w:rFonts w:cs="Times New Roman"/>
          <w:b w:val="0"/>
          <w:i/>
          <w:noProof/>
          <w:color w:val="auto"/>
          <w:sz w:val="24"/>
        </w:rPr>
        <w:t>.</w:t>
      </w:r>
      <w:r w:rsidRPr="00754D5D">
        <w:rPr>
          <w:rFonts w:cs="Times New Roman"/>
          <w:b w:val="0"/>
          <w:i/>
          <w:noProof/>
          <w:color w:val="auto"/>
          <w:sz w:val="24"/>
        </w:rPr>
        <w:t xml:space="preserve"> </w:t>
      </w:r>
      <w:r w:rsidRPr="008A1FFE">
        <w:rPr>
          <w:rFonts w:cs="Times New Roman"/>
          <w:b w:val="0"/>
          <w:color w:val="000000"/>
          <w:sz w:val="24"/>
          <w:szCs w:val="24"/>
          <w:shd w:val="clear" w:color="auto" w:fill="FFFFFF"/>
        </w:rPr>
        <w:t>2009 Oct</w:t>
      </w:r>
      <w:r>
        <w:rPr>
          <w:rFonts w:cs="Times New Roman"/>
          <w:b w:val="0"/>
          <w:color w:val="000000"/>
          <w:sz w:val="24"/>
          <w:szCs w:val="24"/>
          <w:shd w:val="clear" w:color="auto" w:fill="FFFFFF"/>
        </w:rPr>
        <w:t>ober</w:t>
      </w:r>
      <w:r w:rsidRPr="008A1FFE">
        <w:rPr>
          <w:rFonts w:cs="Times New Roman"/>
          <w:b w:val="0"/>
          <w:color w:val="000000"/>
          <w:sz w:val="24"/>
          <w:szCs w:val="24"/>
          <w:shd w:val="clear" w:color="auto" w:fill="FFFFFF"/>
        </w:rPr>
        <w:t xml:space="preserve"> 7;4:</w:t>
      </w:r>
      <w:r>
        <w:rPr>
          <w:rFonts w:cs="Times New Roman"/>
          <w:b w:val="0"/>
          <w:color w:val="000000"/>
          <w:sz w:val="24"/>
          <w:szCs w:val="24"/>
          <w:shd w:val="clear" w:color="auto" w:fill="FFFFFF"/>
        </w:rPr>
        <w:t xml:space="preserve"> </w:t>
      </w:r>
      <w:r w:rsidRPr="008A1FFE">
        <w:rPr>
          <w:rFonts w:cs="Times New Roman"/>
          <w:b w:val="0"/>
          <w:color w:val="000000"/>
          <w:sz w:val="24"/>
          <w:szCs w:val="24"/>
          <w:shd w:val="clear" w:color="auto" w:fill="FFFFFF"/>
        </w:rPr>
        <w:t>CD000213.</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41. </w:t>
      </w:r>
      <w:r w:rsidRPr="00754D5D">
        <w:rPr>
          <w:rFonts w:cs="Times New Roman"/>
          <w:b w:val="0"/>
          <w:noProof/>
          <w:color w:val="auto"/>
          <w:sz w:val="24"/>
        </w:rPr>
        <w:tab/>
        <w:t xml:space="preserve">Bray BD, Campbell A, Hoffman A, Tyrrell PJ, Wolfe CDA, Rudd G. Stroke thrombolysis in England: an age stratified analysis of practice and outcome.  </w:t>
      </w:r>
      <w:r w:rsidRPr="00754D5D">
        <w:rPr>
          <w:rFonts w:cs="Times New Roman"/>
          <w:b w:val="0"/>
          <w:i/>
          <w:noProof/>
          <w:color w:val="auto"/>
          <w:sz w:val="24"/>
        </w:rPr>
        <w:t>Age and Ageing</w:t>
      </w:r>
      <w:r>
        <w:rPr>
          <w:rFonts w:cs="Times New Roman"/>
          <w:b w:val="0"/>
          <w:i/>
          <w:noProof/>
          <w:color w:val="auto"/>
          <w:sz w:val="24"/>
        </w:rPr>
        <w:t>.</w:t>
      </w:r>
      <w:r w:rsidRPr="00754D5D">
        <w:rPr>
          <w:rFonts w:cs="Times New Roman"/>
          <w:b w:val="0"/>
          <w:noProof/>
          <w:color w:val="auto"/>
          <w:sz w:val="24"/>
        </w:rPr>
        <w:t xml:space="preserve"> 2012;0:1-6.</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42. </w:t>
      </w:r>
      <w:r w:rsidRPr="00754D5D">
        <w:rPr>
          <w:rFonts w:cs="Times New Roman"/>
          <w:b w:val="0"/>
          <w:noProof/>
          <w:color w:val="auto"/>
          <w:sz w:val="24"/>
        </w:rPr>
        <w:tab/>
        <w:t>Slot KB, Berge E, Dorman P, Lewis S, Dennis M, Sandercock P</w:t>
      </w:r>
      <w:r>
        <w:rPr>
          <w:rFonts w:cs="Times New Roman"/>
          <w:b w:val="0"/>
          <w:noProof/>
          <w:color w:val="auto"/>
          <w:sz w:val="24"/>
        </w:rPr>
        <w:t>.</w:t>
      </w:r>
      <w:r w:rsidRPr="00754D5D">
        <w:rPr>
          <w:rFonts w:cs="Times New Roman"/>
          <w:b w:val="0"/>
          <w:noProof/>
          <w:color w:val="auto"/>
          <w:sz w:val="24"/>
        </w:rPr>
        <w:t xml:space="preserve"> Oxfordshire Community Stroke Project tISTU, Lothian SR. Impact of functional status at six months on long term survival in patients with ischaemic stroke: prospective cohort studies. </w:t>
      </w:r>
      <w:r w:rsidRPr="00754D5D">
        <w:rPr>
          <w:rFonts w:cs="Times New Roman"/>
          <w:b w:val="0"/>
          <w:i/>
          <w:noProof/>
          <w:color w:val="auto"/>
          <w:sz w:val="24"/>
        </w:rPr>
        <w:t>BMJ</w:t>
      </w:r>
      <w:r>
        <w:rPr>
          <w:rFonts w:cs="Times New Roman"/>
          <w:b w:val="0"/>
          <w:i/>
          <w:noProof/>
          <w:color w:val="auto"/>
          <w:sz w:val="24"/>
        </w:rPr>
        <w:t>.</w:t>
      </w:r>
      <w:r w:rsidRPr="00754D5D">
        <w:rPr>
          <w:rFonts w:cs="Times New Roman"/>
          <w:b w:val="0"/>
          <w:noProof/>
          <w:color w:val="auto"/>
          <w:sz w:val="24"/>
        </w:rPr>
        <w:t xml:space="preserve"> 2008;336:376-379.</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lastRenderedPageBreak/>
        <w:tab/>
        <w:t xml:space="preserve">43. </w:t>
      </w:r>
      <w:r w:rsidRPr="00754D5D">
        <w:rPr>
          <w:rFonts w:cs="Times New Roman"/>
          <w:b w:val="0"/>
          <w:noProof/>
          <w:color w:val="auto"/>
          <w:sz w:val="24"/>
        </w:rPr>
        <w:tab/>
        <w:t xml:space="preserve">Earnshaw SR, McDade C, Chapman AM, Jackson D, Schwamm L. Economic impact of using additional diagnostic tests to better select patients with stroke for intravenous thrombolysis in the United kingdom. </w:t>
      </w:r>
      <w:r w:rsidRPr="00754D5D">
        <w:rPr>
          <w:rFonts w:cs="Times New Roman"/>
          <w:b w:val="0"/>
          <w:i/>
          <w:noProof/>
          <w:color w:val="auto"/>
          <w:sz w:val="24"/>
        </w:rPr>
        <w:t>Clin.</w:t>
      </w:r>
      <w:r>
        <w:rPr>
          <w:rFonts w:cs="Times New Roman"/>
          <w:b w:val="0"/>
          <w:i/>
          <w:noProof/>
          <w:color w:val="auto"/>
          <w:sz w:val="24"/>
        </w:rPr>
        <w:t xml:space="preserve"> </w:t>
      </w:r>
      <w:r w:rsidRPr="00754D5D">
        <w:rPr>
          <w:rFonts w:cs="Times New Roman"/>
          <w:b w:val="0"/>
          <w:i/>
          <w:noProof/>
          <w:color w:val="auto"/>
          <w:sz w:val="24"/>
        </w:rPr>
        <w:t>Ther.</w:t>
      </w:r>
      <w:r w:rsidRPr="00754D5D">
        <w:rPr>
          <w:rFonts w:cs="Times New Roman"/>
          <w:b w:val="0"/>
          <w:noProof/>
          <w:color w:val="auto"/>
          <w:sz w:val="24"/>
        </w:rPr>
        <w:t xml:space="preserve"> 2012;34:1544-1558.</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44. </w:t>
      </w:r>
      <w:r w:rsidRPr="00754D5D">
        <w:rPr>
          <w:rFonts w:cs="Times New Roman"/>
          <w:b w:val="0"/>
          <w:noProof/>
          <w:color w:val="auto"/>
          <w:sz w:val="24"/>
        </w:rPr>
        <w:tab/>
        <w:t xml:space="preserve">Dirks M, Baeten SA, Dippel DW, van Exel NJ, van Wijngaarden JD, Huijsman R, et.al. Real-life costs and effects of an implementation program to increase thrombolysis in stroke. </w:t>
      </w:r>
      <w:r w:rsidRPr="00754D5D">
        <w:rPr>
          <w:rFonts w:cs="Times New Roman"/>
          <w:b w:val="0"/>
          <w:i/>
          <w:noProof/>
          <w:color w:val="auto"/>
          <w:sz w:val="24"/>
        </w:rPr>
        <w:t>Neurology</w:t>
      </w:r>
      <w:r>
        <w:rPr>
          <w:rFonts w:cs="Times New Roman"/>
          <w:b w:val="0"/>
          <w:i/>
          <w:noProof/>
          <w:color w:val="auto"/>
          <w:sz w:val="24"/>
        </w:rPr>
        <w:t>.</w:t>
      </w:r>
      <w:r w:rsidRPr="00754D5D">
        <w:rPr>
          <w:rFonts w:cs="Times New Roman"/>
          <w:b w:val="0"/>
          <w:noProof/>
          <w:color w:val="auto"/>
          <w:sz w:val="24"/>
        </w:rPr>
        <w:t xml:space="preserve"> 2012;79:508-514.</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45. </w:t>
      </w:r>
      <w:r w:rsidRPr="00754D5D">
        <w:rPr>
          <w:rFonts w:cs="Times New Roman"/>
          <w:b w:val="0"/>
          <w:noProof/>
          <w:color w:val="auto"/>
          <w:sz w:val="24"/>
        </w:rPr>
        <w:tab/>
        <w:t>Barton M, McClean S, Gillespie J, Garg L, Wilson D, Fullerton K. Is it beneficial to increase the provision of thrombolysis?</w:t>
      </w:r>
      <w:r>
        <w:rPr>
          <w:rFonts w:cs="Times New Roman"/>
          <w:b w:val="0"/>
          <w:noProof/>
          <w:color w:val="auto"/>
          <w:sz w:val="24"/>
        </w:rPr>
        <w:t xml:space="preserve"> </w:t>
      </w:r>
      <w:r w:rsidRPr="00754D5D">
        <w:rPr>
          <w:rFonts w:cs="Times New Roman"/>
          <w:b w:val="0"/>
          <w:noProof/>
          <w:color w:val="auto"/>
          <w:sz w:val="24"/>
        </w:rPr>
        <w:t xml:space="preserve">- a discrete-event simulation model.  </w:t>
      </w:r>
      <w:r w:rsidRPr="00754D5D">
        <w:rPr>
          <w:rFonts w:cs="Times New Roman"/>
          <w:b w:val="0"/>
          <w:i/>
          <w:noProof/>
          <w:color w:val="auto"/>
          <w:sz w:val="24"/>
        </w:rPr>
        <w:t>QJM.</w:t>
      </w:r>
      <w:r w:rsidRPr="00754D5D">
        <w:rPr>
          <w:rFonts w:cs="Times New Roman"/>
          <w:b w:val="0"/>
          <w:noProof/>
          <w:color w:val="auto"/>
          <w:sz w:val="24"/>
        </w:rPr>
        <w:t xml:space="preserve"> 2012;105:665-673.</w:t>
      </w:r>
    </w:p>
    <w:p w:rsidR="00A12E9E" w:rsidRPr="00754D5D" w:rsidRDefault="00A12E9E" w:rsidP="00A12E9E">
      <w:pPr>
        <w:pStyle w:val="Caption"/>
        <w:tabs>
          <w:tab w:val="right" w:pos="360"/>
          <w:tab w:val="left" w:pos="540"/>
        </w:tabs>
        <w:spacing w:after="240"/>
        <w:ind w:left="1260" w:hanging="1260"/>
        <w:jc w:val="left"/>
        <w:rPr>
          <w:rFonts w:cs="Times New Roman"/>
          <w:b w:val="0"/>
          <w:noProof/>
          <w:color w:val="auto"/>
          <w:sz w:val="24"/>
        </w:rPr>
      </w:pPr>
      <w:r w:rsidRPr="00754D5D">
        <w:rPr>
          <w:rFonts w:cs="Times New Roman"/>
          <w:b w:val="0"/>
          <w:noProof/>
          <w:color w:val="auto"/>
          <w:sz w:val="24"/>
        </w:rPr>
        <w:tab/>
        <w:t xml:space="preserve">46. </w:t>
      </w:r>
      <w:r w:rsidRPr="00754D5D">
        <w:rPr>
          <w:rFonts w:cs="Times New Roman"/>
          <w:b w:val="0"/>
          <w:noProof/>
          <w:color w:val="auto"/>
          <w:sz w:val="24"/>
        </w:rPr>
        <w:tab/>
        <w:t xml:space="preserve">Diagnosis and intial management of acute stroke and transient ischemic attack (TIA).  </w:t>
      </w:r>
      <w:r>
        <w:rPr>
          <w:rFonts w:cs="Times New Roman"/>
          <w:b w:val="0"/>
          <w:noProof/>
          <w:color w:val="auto"/>
          <w:sz w:val="24"/>
        </w:rPr>
        <w:t xml:space="preserve">NICE clinical guideline 68. </w:t>
      </w:r>
      <w:r w:rsidRPr="00754D5D">
        <w:rPr>
          <w:rFonts w:cs="Times New Roman"/>
          <w:b w:val="0"/>
          <w:noProof/>
          <w:color w:val="auto"/>
          <w:sz w:val="24"/>
        </w:rPr>
        <w:t>National Institute for Health and Clinical Excellence (NICE)</w:t>
      </w:r>
      <w:r>
        <w:rPr>
          <w:rFonts w:cs="Times New Roman"/>
          <w:b w:val="0"/>
          <w:noProof/>
          <w:color w:val="auto"/>
          <w:sz w:val="24"/>
        </w:rPr>
        <w:t xml:space="preserve"> web site</w:t>
      </w:r>
      <w:r w:rsidRPr="00754D5D">
        <w:rPr>
          <w:rFonts w:cs="Times New Roman"/>
          <w:b w:val="0"/>
          <w:noProof/>
          <w:color w:val="auto"/>
          <w:sz w:val="24"/>
        </w:rPr>
        <w:t>.</w:t>
      </w:r>
      <w:r w:rsidRPr="00D67458">
        <w:rPr>
          <w:rFonts w:cs="Times New Roman"/>
          <w:b w:val="0"/>
          <w:noProof/>
          <w:color w:val="auto"/>
          <w:sz w:val="24"/>
          <w:szCs w:val="24"/>
        </w:rPr>
        <w:t xml:space="preserve"> </w:t>
      </w:r>
      <w:hyperlink r:id="rId18" w:history="1">
        <w:r w:rsidRPr="00D67458">
          <w:rPr>
            <w:rStyle w:val="Hyperlink"/>
            <w:b w:val="0"/>
            <w:color w:val="auto"/>
            <w:sz w:val="24"/>
            <w:szCs w:val="24"/>
          </w:rPr>
          <w:t>http://www.nice.org.uk/nicemedia/pdf/cg68niceguideline.pdf</w:t>
        </w:r>
      </w:hyperlink>
      <w:r w:rsidRPr="00D67458">
        <w:rPr>
          <w:b w:val="0"/>
          <w:color w:val="auto"/>
          <w:sz w:val="24"/>
          <w:szCs w:val="24"/>
        </w:rPr>
        <w:t>. July 2008.</w:t>
      </w:r>
    </w:p>
    <w:p w:rsidR="009C5F78" w:rsidRDefault="00A12E9E" w:rsidP="00A12E9E">
      <w:pPr>
        <w:ind w:left="720" w:hanging="720"/>
        <w:rPr>
          <w:rFonts w:cs="Times New Roman"/>
          <w:b/>
          <w:bCs/>
          <w:szCs w:val="24"/>
        </w:rPr>
      </w:pPr>
      <w:r w:rsidRPr="00754D5D">
        <w:rPr>
          <w:rFonts w:cs="Times New Roman"/>
          <w:noProof/>
        </w:rPr>
        <w:t xml:space="preserve">47. </w:t>
      </w:r>
      <w:r w:rsidRPr="00754D5D">
        <w:rPr>
          <w:rFonts w:cs="Times New Roman"/>
          <w:noProof/>
        </w:rPr>
        <w:tab/>
        <w:t xml:space="preserve">Jane H, Barnaby CR, Naomi F, Andrew H, Cristina M. Challenges to implementing the national programme for information technology (NPfIT): a qualitative study.  </w:t>
      </w:r>
      <w:r w:rsidRPr="00754D5D">
        <w:rPr>
          <w:rFonts w:cs="Times New Roman"/>
          <w:i/>
          <w:noProof/>
        </w:rPr>
        <w:t>BMJ</w:t>
      </w:r>
      <w:r>
        <w:rPr>
          <w:rFonts w:cs="Times New Roman"/>
          <w:i/>
          <w:noProof/>
        </w:rPr>
        <w:t>.</w:t>
      </w:r>
      <w:r w:rsidRPr="00754D5D">
        <w:rPr>
          <w:rFonts w:cs="Times New Roman"/>
          <w:noProof/>
        </w:rPr>
        <w:t xml:space="preserve"> 2005;331:</w:t>
      </w:r>
      <w:r>
        <w:rPr>
          <w:rFonts w:cs="Times New Roman"/>
          <w:noProof/>
        </w:rPr>
        <w:t>331.</w:t>
      </w:r>
      <w:r w:rsidR="009C5F78">
        <w:rPr>
          <w:rFonts w:cs="Times New Roman"/>
          <w:szCs w:val="24"/>
        </w:rPr>
        <w:br w:type="page"/>
      </w:r>
    </w:p>
    <w:p w:rsidR="009C5F78" w:rsidRDefault="009C5F78" w:rsidP="009C5F78">
      <w:pPr>
        <w:pStyle w:val="Caption"/>
        <w:keepNext/>
        <w:jc w:val="left"/>
        <w:rPr>
          <w:rFonts w:cs="Times New Roman"/>
          <w:color w:val="auto"/>
          <w:sz w:val="24"/>
          <w:szCs w:val="24"/>
        </w:rPr>
      </w:pPr>
      <w:r>
        <w:rPr>
          <w:rFonts w:cs="Times New Roman"/>
          <w:color w:val="auto"/>
          <w:sz w:val="24"/>
          <w:szCs w:val="24"/>
        </w:rPr>
        <w:lastRenderedPageBreak/>
        <w:t>Figure titles and legends</w:t>
      </w:r>
    </w:p>
    <w:p w:rsidR="009C5F78" w:rsidRPr="00C5272A" w:rsidRDefault="009C5F78" w:rsidP="009C5F78"/>
    <w:p w:rsidR="009C5F78" w:rsidRPr="00283A03" w:rsidRDefault="009C5F78" w:rsidP="009C5F78">
      <w:pPr>
        <w:pStyle w:val="Caption"/>
        <w:keepNext/>
        <w:jc w:val="left"/>
        <w:rPr>
          <w:rFonts w:cs="Times New Roman"/>
          <w:b w:val="0"/>
          <w:sz w:val="24"/>
          <w:szCs w:val="24"/>
        </w:rPr>
      </w:pPr>
      <w:r w:rsidRPr="00283A03">
        <w:rPr>
          <w:rFonts w:cs="Times New Roman"/>
          <w:color w:val="auto"/>
          <w:sz w:val="24"/>
          <w:szCs w:val="24"/>
        </w:rPr>
        <w:t xml:space="preserve">Figure 1. </w:t>
      </w:r>
      <w:r w:rsidRPr="00283A03">
        <w:rPr>
          <w:rFonts w:cs="Times New Roman"/>
          <w:b w:val="0"/>
          <w:color w:val="auto"/>
          <w:sz w:val="24"/>
          <w:szCs w:val="24"/>
        </w:rPr>
        <w:t>Decisio</w:t>
      </w:r>
      <w:r>
        <w:rPr>
          <w:rFonts w:cs="Times New Roman"/>
          <w:b w:val="0"/>
          <w:color w:val="auto"/>
          <w:sz w:val="24"/>
          <w:szCs w:val="24"/>
        </w:rPr>
        <w:t>n-tree model structure.</w:t>
      </w:r>
    </w:p>
    <w:p w:rsidR="004D2CAB" w:rsidRDefault="004D2CAB" w:rsidP="009C5F78">
      <w:pPr>
        <w:spacing w:line="480" w:lineRule="auto"/>
        <w:jc w:val="left"/>
        <w:rPr>
          <w:rFonts w:cs="Times New Roman"/>
          <w:szCs w:val="24"/>
        </w:rPr>
      </w:pPr>
    </w:p>
    <w:p w:rsidR="009C5F78" w:rsidRPr="00FA5570" w:rsidRDefault="009C5F78" w:rsidP="009C5F78">
      <w:pPr>
        <w:spacing w:line="480" w:lineRule="auto"/>
        <w:jc w:val="left"/>
        <w:rPr>
          <w:rFonts w:cs="Times New Roman"/>
          <w:szCs w:val="24"/>
        </w:rPr>
        <w:sectPr w:rsidR="009C5F78" w:rsidRPr="00FA5570" w:rsidSect="002D1295">
          <w:footerReference w:type="default" r:id="rId19"/>
          <w:pgSz w:w="11906" w:h="16838"/>
          <w:pgMar w:top="1134" w:right="1134" w:bottom="1134" w:left="1134" w:header="709" w:footer="709" w:gutter="0"/>
          <w:cols w:space="708"/>
          <w:docGrid w:linePitch="360"/>
        </w:sectPr>
      </w:pPr>
      <w:r w:rsidRPr="00283A03">
        <w:rPr>
          <w:rFonts w:cs="Times New Roman"/>
          <w:szCs w:val="24"/>
        </w:rPr>
        <w:t xml:space="preserve">Decision-tree model is displayed </w:t>
      </w:r>
      <w:r w:rsidR="004D2CAB">
        <w:rPr>
          <w:rFonts w:cs="Times New Roman"/>
          <w:szCs w:val="24"/>
        </w:rPr>
        <w:t>in vertical format rather than horizontal (as is the traditional format)</w:t>
      </w:r>
      <w:r w:rsidRPr="00283A03">
        <w:rPr>
          <w:rFonts w:cs="Times New Roman"/>
          <w:szCs w:val="24"/>
        </w:rPr>
        <w:t xml:space="preserve">. The model is identical at every node ending </w:t>
      </w:r>
      <w:r w:rsidR="004D2CAB">
        <w:rPr>
          <w:rFonts w:cs="Times New Roman"/>
          <w:szCs w:val="24"/>
        </w:rPr>
        <w:t>(green box with ‘+’)</w:t>
      </w:r>
      <w:r w:rsidRPr="00283A03">
        <w:rPr>
          <w:rFonts w:cs="Times New Roman"/>
          <w:szCs w:val="24"/>
        </w:rPr>
        <w:t xml:space="preserve"> </w:t>
      </w:r>
      <w:r w:rsidR="004D2CAB">
        <w:rPr>
          <w:rFonts w:cs="Times New Roman"/>
          <w:szCs w:val="24"/>
        </w:rPr>
        <w:t>with f</w:t>
      </w:r>
      <w:r w:rsidRPr="00283A03">
        <w:rPr>
          <w:rFonts w:cs="Times New Roman"/>
          <w:szCs w:val="24"/>
        </w:rPr>
        <w:t xml:space="preserve">inal outcomes (shown </w:t>
      </w:r>
      <w:r w:rsidR="004D2CAB">
        <w:rPr>
          <w:rFonts w:cs="Times New Roman"/>
          <w:szCs w:val="24"/>
        </w:rPr>
        <w:t>in green boxes at the bottom of the figure</w:t>
      </w:r>
      <w:r w:rsidRPr="00283A03">
        <w:rPr>
          <w:rFonts w:cs="Times New Roman"/>
          <w:szCs w:val="24"/>
        </w:rPr>
        <w:t xml:space="preserve">) </w:t>
      </w:r>
      <w:r w:rsidR="004D2CAB">
        <w:rPr>
          <w:rFonts w:cs="Times New Roman"/>
          <w:szCs w:val="24"/>
        </w:rPr>
        <w:t>considered to be</w:t>
      </w:r>
      <w:r w:rsidRPr="00283A03">
        <w:rPr>
          <w:rFonts w:cs="Times New Roman"/>
          <w:szCs w:val="24"/>
        </w:rPr>
        <w:t xml:space="preserve"> death, dependency </w:t>
      </w:r>
      <w:r w:rsidR="004D2CAB">
        <w:rPr>
          <w:rFonts w:cs="Times New Roman"/>
          <w:szCs w:val="24"/>
        </w:rPr>
        <w:t>or</w:t>
      </w:r>
      <w:r w:rsidRPr="00283A03">
        <w:rPr>
          <w:rFonts w:cs="Times New Roman"/>
          <w:szCs w:val="24"/>
        </w:rPr>
        <w:t xml:space="preserve"> independency.</w:t>
      </w:r>
    </w:p>
    <w:p w:rsidR="009C5F78" w:rsidRPr="00FA5570" w:rsidRDefault="009C5F78" w:rsidP="009C5F78">
      <w:pPr>
        <w:pStyle w:val="Default"/>
        <w:pageBreakBefore/>
        <w:rPr>
          <w:rFonts w:ascii="Times New Roman" w:hAnsi="Times New Roman" w:cs="Times New Roman"/>
        </w:rPr>
      </w:pPr>
      <w:r w:rsidRPr="00FA5570">
        <w:rPr>
          <w:rFonts w:ascii="Times New Roman" w:hAnsi="Times New Roman" w:cs="Times New Roman"/>
          <w:b/>
          <w:bCs/>
        </w:rPr>
        <w:lastRenderedPageBreak/>
        <w:t>Table 1. Change strategies in the optimisation of acute stroke care for thrombolysis</w:t>
      </w:r>
      <w:r w:rsidRPr="00FA5570">
        <w:rPr>
          <w:rFonts w:ascii="Times New Roman" w:hAnsi="Times New Roman" w:cs="Times New Roman"/>
        </w:rPr>
        <w:t xml:space="preserve"> </w:t>
      </w:r>
    </w:p>
    <w:tbl>
      <w:tblPr>
        <w:tblW w:w="0" w:type="auto"/>
        <w:tblBorders>
          <w:top w:val="nil"/>
          <w:left w:val="nil"/>
          <w:bottom w:val="nil"/>
          <w:right w:val="nil"/>
        </w:tblBorders>
        <w:tblLayout w:type="fixed"/>
        <w:tblLook w:val="0000" w:firstRow="0" w:lastRow="0" w:firstColumn="0" w:lastColumn="0" w:noHBand="0" w:noVBand="0"/>
      </w:tblPr>
      <w:tblGrid>
        <w:gridCol w:w="534"/>
        <w:gridCol w:w="4252"/>
        <w:gridCol w:w="6095"/>
        <w:gridCol w:w="2410"/>
        <w:gridCol w:w="2268"/>
      </w:tblGrid>
      <w:tr w:rsidR="009C5F78" w:rsidTr="009C5F78">
        <w:trPr>
          <w:trHeight w:val="843"/>
        </w:trPr>
        <w:tc>
          <w:tcPr>
            <w:tcW w:w="534" w:type="dxa"/>
            <w:tcBorders>
              <w:top w:val="single" w:sz="4" w:space="0" w:color="auto"/>
              <w:bottom w:val="single" w:sz="4" w:space="0" w:color="auto"/>
            </w:tcBorders>
          </w:tcPr>
          <w:p w:rsidR="009C5F78" w:rsidRDefault="009C5F78" w:rsidP="009C5F78">
            <w:pPr>
              <w:pStyle w:val="Default"/>
              <w:rPr>
                <w:sz w:val="16"/>
                <w:szCs w:val="16"/>
              </w:rPr>
            </w:pPr>
            <w:r>
              <w:rPr>
                <w:sz w:val="16"/>
                <w:szCs w:val="16"/>
              </w:rPr>
              <w:t xml:space="preserve">No. </w:t>
            </w:r>
          </w:p>
        </w:tc>
        <w:tc>
          <w:tcPr>
            <w:tcW w:w="4252" w:type="dxa"/>
            <w:tcBorders>
              <w:top w:val="single" w:sz="4" w:space="0" w:color="auto"/>
              <w:bottom w:val="single" w:sz="4" w:space="0" w:color="auto"/>
            </w:tcBorders>
          </w:tcPr>
          <w:p w:rsidR="009C5F78" w:rsidRDefault="009C5F78" w:rsidP="009C5F78">
            <w:pPr>
              <w:pStyle w:val="Default"/>
              <w:rPr>
                <w:sz w:val="16"/>
                <w:szCs w:val="16"/>
              </w:rPr>
            </w:pPr>
            <w:r>
              <w:rPr>
                <w:sz w:val="16"/>
                <w:szCs w:val="16"/>
              </w:rPr>
              <w:t xml:space="preserve">Area for improvement based on baseline data (n=355)  </w:t>
            </w:r>
          </w:p>
        </w:tc>
        <w:tc>
          <w:tcPr>
            <w:tcW w:w="6095" w:type="dxa"/>
            <w:tcBorders>
              <w:top w:val="single" w:sz="4" w:space="0" w:color="auto"/>
              <w:bottom w:val="single" w:sz="4" w:space="0" w:color="auto"/>
            </w:tcBorders>
          </w:tcPr>
          <w:p w:rsidR="009C5F78" w:rsidRDefault="009C5F78" w:rsidP="009C5F78">
            <w:pPr>
              <w:pStyle w:val="Default"/>
              <w:rPr>
                <w:sz w:val="16"/>
                <w:szCs w:val="16"/>
              </w:rPr>
            </w:pPr>
            <w:r>
              <w:rPr>
                <w:sz w:val="16"/>
                <w:szCs w:val="16"/>
              </w:rPr>
              <w:t xml:space="preserve">Change strategy with reference to literature where achieved.  (Estimates noted) </w:t>
            </w:r>
          </w:p>
        </w:tc>
        <w:tc>
          <w:tcPr>
            <w:tcW w:w="2410" w:type="dxa"/>
            <w:tcBorders>
              <w:top w:val="single" w:sz="4" w:space="0" w:color="auto"/>
              <w:bottom w:val="single" w:sz="4" w:space="0" w:color="auto"/>
            </w:tcBorders>
          </w:tcPr>
          <w:p w:rsidR="009C5F78" w:rsidRDefault="009C5F78" w:rsidP="009C5F78">
            <w:pPr>
              <w:pStyle w:val="Default"/>
              <w:rPr>
                <w:sz w:val="16"/>
                <w:szCs w:val="16"/>
              </w:rPr>
            </w:pPr>
            <w:r>
              <w:rPr>
                <w:sz w:val="16"/>
                <w:szCs w:val="16"/>
              </w:rPr>
              <w:t xml:space="preserve">Maximum theoretical number of patients benefiting from removal of block in pathway n(%) – or theoretical change strategies (n=355) </w:t>
            </w:r>
          </w:p>
        </w:tc>
        <w:tc>
          <w:tcPr>
            <w:tcW w:w="2268" w:type="dxa"/>
            <w:tcBorders>
              <w:top w:val="single" w:sz="4" w:space="0" w:color="auto"/>
              <w:bottom w:val="single" w:sz="4" w:space="0" w:color="auto"/>
            </w:tcBorders>
          </w:tcPr>
          <w:p w:rsidR="009C5F78" w:rsidRDefault="009C5F78" w:rsidP="009C5F78">
            <w:pPr>
              <w:pStyle w:val="Default"/>
              <w:rPr>
                <w:sz w:val="16"/>
                <w:szCs w:val="16"/>
              </w:rPr>
            </w:pPr>
            <w:r>
              <w:rPr>
                <w:sz w:val="16"/>
                <w:szCs w:val="16"/>
              </w:rPr>
              <w:t xml:space="preserve">Predicted maximum benefit based on that previously recorded in the literature or estimated n(%) – or achievable change strategies </w:t>
            </w:r>
          </w:p>
        </w:tc>
      </w:tr>
      <w:tr w:rsidR="009C5F78" w:rsidTr="009C5F78">
        <w:trPr>
          <w:trHeight w:val="566"/>
        </w:trPr>
        <w:tc>
          <w:tcPr>
            <w:tcW w:w="534" w:type="dxa"/>
            <w:tcBorders>
              <w:top w:val="single" w:sz="4" w:space="0" w:color="auto"/>
              <w:bottom w:val="nil"/>
            </w:tcBorders>
          </w:tcPr>
          <w:p w:rsidR="009C5F78" w:rsidRDefault="009C5F78" w:rsidP="009C5F78">
            <w:pPr>
              <w:pStyle w:val="Default"/>
              <w:rPr>
                <w:sz w:val="16"/>
                <w:szCs w:val="16"/>
              </w:rPr>
            </w:pPr>
            <w:r>
              <w:rPr>
                <w:sz w:val="16"/>
                <w:szCs w:val="16"/>
              </w:rPr>
              <w:t xml:space="preserve">1.        </w:t>
            </w:r>
          </w:p>
        </w:tc>
        <w:tc>
          <w:tcPr>
            <w:tcW w:w="4252" w:type="dxa"/>
            <w:tcBorders>
              <w:top w:val="single" w:sz="4" w:space="0" w:color="auto"/>
              <w:bottom w:val="nil"/>
            </w:tcBorders>
          </w:tcPr>
          <w:p w:rsidR="009C5F78" w:rsidRDefault="009C5F78" w:rsidP="009C5F78">
            <w:pPr>
              <w:pStyle w:val="Default"/>
              <w:rPr>
                <w:sz w:val="16"/>
                <w:szCs w:val="16"/>
              </w:rPr>
            </w:pPr>
            <w:r>
              <w:rPr>
                <w:b/>
                <w:bCs/>
                <w:sz w:val="16"/>
                <w:szCs w:val="16"/>
              </w:rPr>
              <w:t xml:space="preserve">Timely referral: </w:t>
            </w:r>
          </w:p>
          <w:p w:rsidR="009C5F78" w:rsidRDefault="009C5F78" w:rsidP="009C5F78">
            <w:pPr>
              <w:pStyle w:val="Default"/>
              <w:rPr>
                <w:b/>
                <w:bCs/>
                <w:sz w:val="16"/>
                <w:szCs w:val="16"/>
              </w:rPr>
            </w:pPr>
            <w:r>
              <w:rPr>
                <w:sz w:val="16"/>
                <w:szCs w:val="16"/>
              </w:rPr>
              <w:t>16% of patients contacted General Practitioner following onset of stroke and arrival in hospital was delayed compared to those who called the emergency services.</w:t>
            </w:r>
            <w:r>
              <w:rPr>
                <w:b/>
                <w:bCs/>
                <w:sz w:val="16"/>
                <w:szCs w:val="16"/>
              </w:rPr>
              <w:t xml:space="preserve"> </w:t>
            </w:r>
          </w:p>
          <w:p w:rsidR="009C5F78" w:rsidRPr="00754D5D" w:rsidRDefault="009C5F78" w:rsidP="009C5F78">
            <w:pPr>
              <w:pStyle w:val="Default"/>
              <w:rPr>
                <w:b/>
                <w:bCs/>
                <w:sz w:val="16"/>
                <w:szCs w:val="16"/>
              </w:rPr>
            </w:pPr>
          </w:p>
        </w:tc>
        <w:tc>
          <w:tcPr>
            <w:tcW w:w="6095" w:type="dxa"/>
            <w:tcBorders>
              <w:top w:val="single" w:sz="4" w:space="0" w:color="auto"/>
              <w:bottom w:val="nil"/>
            </w:tcBorders>
          </w:tcPr>
          <w:p w:rsidR="009C5F78" w:rsidRDefault="009C5F78" w:rsidP="009C5F78">
            <w:pPr>
              <w:pStyle w:val="Default"/>
              <w:rPr>
                <w:sz w:val="16"/>
                <w:szCs w:val="16"/>
              </w:rPr>
            </w:pPr>
            <w:r>
              <w:rPr>
                <w:b/>
                <w:bCs/>
                <w:sz w:val="16"/>
                <w:szCs w:val="16"/>
              </w:rPr>
              <w:t xml:space="preserve">Divert GP calls to ambulance service </w:t>
            </w:r>
          </w:p>
          <w:p w:rsidR="009C5F78" w:rsidRDefault="009C5F78" w:rsidP="009C5F78">
            <w:pPr>
              <w:pStyle w:val="Default"/>
              <w:rPr>
                <w:sz w:val="16"/>
                <w:szCs w:val="16"/>
              </w:rPr>
            </w:pPr>
            <w:r>
              <w:rPr>
                <w:sz w:val="16"/>
                <w:szCs w:val="16"/>
              </w:rPr>
              <w:t>General practice staff are trained to better recognise stroke, resulting in patients who initially contact their General Practitioner being referred immediately to hospital. Up to 64% immediately referred to EMS</w:t>
            </w:r>
            <w:r w:rsidR="00807D9B">
              <w:rPr>
                <w:sz w:val="16"/>
                <w:szCs w:val="16"/>
              </w:rPr>
              <w:t xml:space="preserve"> </w:t>
            </w:r>
            <w:r w:rsidR="00807D9B" w:rsidRPr="00807D9B">
              <w:rPr>
                <w:sz w:val="16"/>
                <w:szCs w:val="16"/>
                <w:vertAlign w:val="superscript"/>
              </w:rPr>
              <w:t>21</w:t>
            </w:r>
          </w:p>
        </w:tc>
        <w:tc>
          <w:tcPr>
            <w:tcW w:w="2410" w:type="dxa"/>
            <w:tcBorders>
              <w:top w:val="single" w:sz="4" w:space="0" w:color="auto"/>
              <w:bottom w:val="nil"/>
            </w:tcBorders>
          </w:tcPr>
          <w:p w:rsidR="009C5F78" w:rsidRDefault="009C5F78" w:rsidP="009C5F78">
            <w:pPr>
              <w:pStyle w:val="Default"/>
              <w:rPr>
                <w:sz w:val="16"/>
                <w:szCs w:val="16"/>
              </w:rPr>
            </w:pPr>
            <w:r>
              <w:rPr>
                <w:sz w:val="16"/>
                <w:szCs w:val="16"/>
              </w:rPr>
              <w:t xml:space="preserve"> </w:t>
            </w:r>
          </w:p>
          <w:p w:rsidR="009C5F78" w:rsidRDefault="009C5F78" w:rsidP="009C5F78">
            <w:pPr>
              <w:pStyle w:val="Default"/>
              <w:rPr>
                <w:sz w:val="16"/>
                <w:szCs w:val="16"/>
              </w:rPr>
            </w:pPr>
            <w:r>
              <w:rPr>
                <w:sz w:val="16"/>
                <w:szCs w:val="16"/>
              </w:rPr>
              <w:t xml:space="preserve">57 patients (100%) </w:t>
            </w:r>
          </w:p>
        </w:tc>
        <w:tc>
          <w:tcPr>
            <w:tcW w:w="2268" w:type="dxa"/>
            <w:tcBorders>
              <w:top w:val="single" w:sz="4" w:space="0" w:color="auto"/>
              <w:bottom w:val="nil"/>
            </w:tcBorders>
          </w:tcPr>
          <w:p w:rsidR="009C5F78" w:rsidRDefault="009C5F78" w:rsidP="009C5F78">
            <w:pPr>
              <w:pStyle w:val="Default"/>
              <w:rPr>
                <w:sz w:val="16"/>
                <w:szCs w:val="16"/>
              </w:rPr>
            </w:pPr>
          </w:p>
          <w:p w:rsidR="009C5F78" w:rsidRDefault="009C5F78" w:rsidP="009C5F78">
            <w:pPr>
              <w:pStyle w:val="Default"/>
              <w:rPr>
                <w:sz w:val="16"/>
                <w:szCs w:val="16"/>
              </w:rPr>
            </w:pPr>
            <w:r>
              <w:rPr>
                <w:sz w:val="16"/>
                <w:szCs w:val="16"/>
              </w:rPr>
              <w:t xml:space="preserve">36 patients (64%) </w:t>
            </w:r>
          </w:p>
        </w:tc>
      </w:tr>
      <w:tr w:rsidR="009C5F78" w:rsidTr="009C5F78">
        <w:trPr>
          <w:trHeight w:val="833"/>
        </w:trPr>
        <w:tc>
          <w:tcPr>
            <w:tcW w:w="534" w:type="dxa"/>
            <w:tcBorders>
              <w:top w:val="nil"/>
              <w:bottom w:val="nil"/>
            </w:tcBorders>
          </w:tcPr>
          <w:p w:rsidR="009C5F78" w:rsidRDefault="009C5F78" w:rsidP="009C5F78">
            <w:pPr>
              <w:pStyle w:val="Default"/>
              <w:rPr>
                <w:sz w:val="16"/>
                <w:szCs w:val="16"/>
              </w:rPr>
            </w:pPr>
            <w:r>
              <w:rPr>
                <w:sz w:val="16"/>
                <w:szCs w:val="16"/>
              </w:rPr>
              <w:t xml:space="preserve">2.        </w:t>
            </w:r>
          </w:p>
        </w:tc>
        <w:tc>
          <w:tcPr>
            <w:tcW w:w="4252" w:type="dxa"/>
            <w:tcBorders>
              <w:top w:val="nil"/>
              <w:bottom w:val="nil"/>
            </w:tcBorders>
          </w:tcPr>
          <w:p w:rsidR="009C5F78" w:rsidRDefault="009C5F78" w:rsidP="009C5F78">
            <w:pPr>
              <w:pStyle w:val="Default"/>
              <w:rPr>
                <w:sz w:val="16"/>
                <w:szCs w:val="16"/>
              </w:rPr>
            </w:pPr>
            <w:r>
              <w:rPr>
                <w:b/>
                <w:bCs/>
                <w:sz w:val="16"/>
                <w:szCs w:val="16"/>
              </w:rPr>
              <w:t>Wake-up strokes</w:t>
            </w:r>
            <w:r>
              <w:rPr>
                <w:sz w:val="16"/>
                <w:szCs w:val="16"/>
              </w:rPr>
              <w:t xml:space="preserve">: </w:t>
            </w:r>
          </w:p>
          <w:p w:rsidR="009C5F78" w:rsidRDefault="009C5F78" w:rsidP="009C5F78">
            <w:pPr>
              <w:pStyle w:val="Default"/>
              <w:rPr>
                <w:sz w:val="16"/>
                <w:szCs w:val="16"/>
              </w:rPr>
            </w:pPr>
            <w:r>
              <w:rPr>
                <w:sz w:val="16"/>
                <w:szCs w:val="16"/>
              </w:rPr>
              <w:t xml:space="preserve">According to previous research, approximately 16% (range 8-27%) of all stroke patients suffer symptom onset upon waking. Currently, these patients are ineligible for thrombolysis due to unknown onset time. </w:t>
            </w:r>
          </w:p>
          <w:p w:rsidR="009C5F78" w:rsidRDefault="009C5F78" w:rsidP="009C5F78">
            <w:pPr>
              <w:pStyle w:val="Default"/>
              <w:rPr>
                <w:sz w:val="16"/>
                <w:szCs w:val="16"/>
              </w:rPr>
            </w:pPr>
            <w:r>
              <w:rPr>
                <w:b/>
                <w:bCs/>
                <w:i/>
                <w:iCs/>
                <w:sz w:val="16"/>
                <w:szCs w:val="16"/>
              </w:rPr>
              <w:t xml:space="preserve"> </w:t>
            </w:r>
          </w:p>
        </w:tc>
        <w:tc>
          <w:tcPr>
            <w:tcW w:w="6095" w:type="dxa"/>
            <w:tcBorders>
              <w:top w:val="nil"/>
              <w:bottom w:val="nil"/>
            </w:tcBorders>
          </w:tcPr>
          <w:p w:rsidR="009C5F78" w:rsidRPr="00A53FA9" w:rsidRDefault="009C5F78" w:rsidP="009C5F78">
            <w:pPr>
              <w:pStyle w:val="Default"/>
              <w:rPr>
                <w:color w:val="auto"/>
                <w:sz w:val="16"/>
                <w:szCs w:val="16"/>
              </w:rPr>
            </w:pPr>
            <w:r w:rsidRPr="00A53FA9">
              <w:rPr>
                <w:b/>
                <w:bCs/>
                <w:color w:val="auto"/>
                <w:sz w:val="16"/>
                <w:szCs w:val="16"/>
              </w:rPr>
              <w:t xml:space="preserve">Use imaging to estimate onset time for wake up strokes </w:t>
            </w:r>
          </w:p>
          <w:p w:rsidR="009C5F78" w:rsidRPr="00A53FA9" w:rsidRDefault="009C5F78" w:rsidP="009C5F78">
            <w:pPr>
              <w:pStyle w:val="Default"/>
              <w:rPr>
                <w:color w:val="auto"/>
                <w:sz w:val="16"/>
                <w:szCs w:val="16"/>
              </w:rPr>
            </w:pPr>
            <w:r w:rsidRPr="00A53FA9">
              <w:rPr>
                <w:color w:val="auto"/>
                <w:sz w:val="16"/>
                <w:szCs w:val="16"/>
              </w:rPr>
              <w:t>If new imaging techniques (which are currently in development) are introduced which make it possible to estimate onset time in wake-up stroke, it may be possible to increase the number of patients eligible for thrombolysis.</w:t>
            </w:r>
            <w:r w:rsidR="00807D9B" w:rsidRPr="00A53FA9">
              <w:rPr>
                <w:color w:val="auto"/>
                <w:sz w:val="16"/>
                <w:szCs w:val="16"/>
                <w:vertAlign w:val="superscript"/>
              </w:rPr>
              <w:t>22</w:t>
            </w:r>
          </w:p>
          <w:p w:rsidR="009C5F78" w:rsidRPr="00A53FA9" w:rsidRDefault="009C5F78" w:rsidP="009C5F78">
            <w:pPr>
              <w:pStyle w:val="Default"/>
              <w:rPr>
                <w:color w:val="auto"/>
                <w:sz w:val="16"/>
                <w:szCs w:val="16"/>
              </w:rPr>
            </w:pPr>
            <w:r w:rsidRPr="00A53FA9">
              <w:rPr>
                <w:color w:val="auto"/>
                <w:sz w:val="16"/>
                <w:szCs w:val="16"/>
              </w:rPr>
              <w:t xml:space="preserve">Estimate that up to 80% have onset estimable with new imaging. </w:t>
            </w:r>
          </w:p>
        </w:tc>
        <w:tc>
          <w:tcPr>
            <w:tcW w:w="2410" w:type="dxa"/>
            <w:tcBorders>
              <w:top w:val="nil"/>
              <w:bottom w:val="nil"/>
            </w:tcBorders>
          </w:tcPr>
          <w:p w:rsidR="009C5F78" w:rsidRDefault="009C5F78" w:rsidP="009C5F78">
            <w:pPr>
              <w:pStyle w:val="Default"/>
              <w:rPr>
                <w:sz w:val="16"/>
                <w:szCs w:val="16"/>
              </w:rPr>
            </w:pPr>
            <w:r>
              <w:rPr>
                <w:sz w:val="16"/>
                <w:szCs w:val="16"/>
              </w:rPr>
              <w:t xml:space="preserve"> </w:t>
            </w:r>
          </w:p>
          <w:p w:rsidR="009C5F78" w:rsidRDefault="009C5F78" w:rsidP="009C5F78">
            <w:pPr>
              <w:pStyle w:val="Default"/>
              <w:rPr>
                <w:sz w:val="16"/>
                <w:szCs w:val="16"/>
              </w:rPr>
            </w:pPr>
            <w:r>
              <w:rPr>
                <w:sz w:val="16"/>
                <w:szCs w:val="16"/>
              </w:rPr>
              <w:t xml:space="preserve">57 patients (100%) </w:t>
            </w:r>
          </w:p>
        </w:tc>
        <w:tc>
          <w:tcPr>
            <w:tcW w:w="2268" w:type="dxa"/>
            <w:tcBorders>
              <w:top w:val="nil"/>
              <w:bottom w:val="nil"/>
            </w:tcBorders>
          </w:tcPr>
          <w:p w:rsidR="009C5F78" w:rsidRDefault="009C5F78" w:rsidP="009C5F78">
            <w:pPr>
              <w:pStyle w:val="Default"/>
              <w:rPr>
                <w:sz w:val="16"/>
                <w:szCs w:val="16"/>
              </w:rPr>
            </w:pPr>
          </w:p>
          <w:p w:rsidR="009C5F78" w:rsidRDefault="009C5F78" w:rsidP="009C5F78">
            <w:pPr>
              <w:pStyle w:val="Default"/>
              <w:rPr>
                <w:sz w:val="16"/>
                <w:szCs w:val="16"/>
              </w:rPr>
            </w:pPr>
            <w:r>
              <w:rPr>
                <w:sz w:val="16"/>
                <w:szCs w:val="16"/>
              </w:rPr>
              <w:t xml:space="preserve">45 patients (80%) </w:t>
            </w:r>
          </w:p>
        </w:tc>
      </w:tr>
      <w:tr w:rsidR="009C5F78" w:rsidTr="009C5F78">
        <w:trPr>
          <w:trHeight w:val="833"/>
        </w:trPr>
        <w:tc>
          <w:tcPr>
            <w:tcW w:w="534" w:type="dxa"/>
            <w:tcBorders>
              <w:top w:val="nil"/>
              <w:bottom w:val="nil"/>
            </w:tcBorders>
          </w:tcPr>
          <w:p w:rsidR="009C5F78" w:rsidRDefault="009C5F78" w:rsidP="009C5F78">
            <w:pPr>
              <w:pStyle w:val="Default"/>
              <w:rPr>
                <w:sz w:val="16"/>
                <w:szCs w:val="16"/>
              </w:rPr>
            </w:pPr>
            <w:r>
              <w:rPr>
                <w:sz w:val="16"/>
                <w:szCs w:val="16"/>
              </w:rPr>
              <w:t xml:space="preserve">3.        </w:t>
            </w:r>
          </w:p>
        </w:tc>
        <w:tc>
          <w:tcPr>
            <w:tcW w:w="4252" w:type="dxa"/>
            <w:tcBorders>
              <w:top w:val="nil"/>
              <w:bottom w:val="nil"/>
            </w:tcBorders>
          </w:tcPr>
          <w:p w:rsidR="009C5F78" w:rsidRDefault="009C5F78" w:rsidP="009C5F78">
            <w:pPr>
              <w:pStyle w:val="Default"/>
              <w:rPr>
                <w:sz w:val="16"/>
                <w:szCs w:val="16"/>
              </w:rPr>
            </w:pPr>
            <w:r>
              <w:rPr>
                <w:b/>
                <w:bCs/>
                <w:sz w:val="16"/>
                <w:szCs w:val="16"/>
              </w:rPr>
              <w:t>Unknown onset time in stroke</w:t>
            </w:r>
            <w:r>
              <w:rPr>
                <w:sz w:val="16"/>
                <w:szCs w:val="16"/>
              </w:rPr>
              <w:t xml:space="preserve">: </w:t>
            </w:r>
          </w:p>
          <w:p w:rsidR="009C5F78" w:rsidRDefault="009C5F78" w:rsidP="009C5F78">
            <w:pPr>
              <w:pStyle w:val="Default"/>
              <w:rPr>
                <w:sz w:val="16"/>
                <w:szCs w:val="16"/>
              </w:rPr>
            </w:pPr>
            <w:r>
              <w:rPr>
                <w:sz w:val="16"/>
                <w:szCs w:val="16"/>
              </w:rPr>
              <w:t xml:space="preserve">Symptom onset time was unknown in 37% of stroke patients presenting in hospital. Approximately 22% (57% of those with unknown onset) do </w:t>
            </w:r>
            <w:r>
              <w:rPr>
                <w:b/>
                <w:bCs/>
                <w:sz w:val="16"/>
                <w:szCs w:val="16"/>
              </w:rPr>
              <w:t>not</w:t>
            </w:r>
            <w:r>
              <w:rPr>
                <w:sz w:val="16"/>
                <w:szCs w:val="16"/>
              </w:rPr>
              <w:t xml:space="preserve"> have wake-up stroke. These patients are ineligible for thrombolysis. </w:t>
            </w:r>
          </w:p>
          <w:p w:rsidR="009C5F78" w:rsidRDefault="009C5F78" w:rsidP="009C5F78">
            <w:pPr>
              <w:pStyle w:val="Default"/>
              <w:rPr>
                <w:sz w:val="16"/>
                <w:szCs w:val="16"/>
              </w:rPr>
            </w:pPr>
            <w:r>
              <w:rPr>
                <w:b/>
                <w:bCs/>
                <w:sz w:val="16"/>
                <w:szCs w:val="16"/>
              </w:rPr>
              <w:t xml:space="preserve"> </w:t>
            </w:r>
          </w:p>
        </w:tc>
        <w:tc>
          <w:tcPr>
            <w:tcW w:w="6095" w:type="dxa"/>
            <w:tcBorders>
              <w:top w:val="nil"/>
              <w:bottom w:val="nil"/>
            </w:tcBorders>
          </w:tcPr>
          <w:p w:rsidR="009C5F78" w:rsidRPr="00A53FA9" w:rsidRDefault="009C5F78" w:rsidP="009C5F78">
            <w:pPr>
              <w:pStyle w:val="Default"/>
              <w:rPr>
                <w:color w:val="auto"/>
                <w:sz w:val="16"/>
                <w:szCs w:val="16"/>
              </w:rPr>
            </w:pPr>
            <w:r w:rsidRPr="00A53FA9">
              <w:rPr>
                <w:b/>
                <w:bCs/>
                <w:color w:val="auto"/>
                <w:sz w:val="16"/>
                <w:szCs w:val="16"/>
              </w:rPr>
              <w:t xml:space="preserve">Improve recognition and recording of onset time </w:t>
            </w:r>
          </w:p>
          <w:p w:rsidR="009C5F78" w:rsidRPr="00A53FA9" w:rsidRDefault="009C5F78" w:rsidP="009C5F78">
            <w:pPr>
              <w:pStyle w:val="Default"/>
              <w:rPr>
                <w:color w:val="auto"/>
                <w:sz w:val="16"/>
                <w:szCs w:val="16"/>
              </w:rPr>
            </w:pPr>
            <w:r w:rsidRPr="00A53FA9">
              <w:rPr>
                <w:color w:val="auto"/>
                <w:sz w:val="16"/>
                <w:szCs w:val="16"/>
              </w:rPr>
              <w:t>Media campaigns improve public awareness of the importance of noting onset time in stroke. Additional training of healthcare professionals, particularly of EMS staff in a pre hospital setting, facilitates better recognition and recording of onset time in patient medical notes. 92% known onset time once wake up stroke excluded.</w:t>
            </w:r>
            <w:r w:rsidR="00807D9B" w:rsidRPr="00A53FA9">
              <w:rPr>
                <w:color w:val="auto"/>
                <w:sz w:val="16"/>
                <w:szCs w:val="16"/>
                <w:vertAlign w:val="superscript"/>
              </w:rPr>
              <w:t>10, 23-25</w:t>
            </w:r>
          </w:p>
        </w:tc>
        <w:tc>
          <w:tcPr>
            <w:tcW w:w="2410" w:type="dxa"/>
            <w:tcBorders>
              <w:top w:val="nil"/>
              <w:bottom w:val="nil"/>
            </w:tcBorders>
          </w:tcPr>
          <w:p w:rsidR="009C5F78" w:rsidRDefault="009C5F78" w:rsidP="009C5F78">
            <w:pPr>
              <w:pStyle w:val="Default"/>
              <w:rPr>
                <w:sz w:val="16"/>
                <w:szCs w:val="16"/>
              </w:rPr>
            </w:pPr>
            <w:r>
              <w:rPr>
                <w:sz w:val="16"/>
                <w:szCs w:val="16"/>
              </w:rPr>
              <w:t xml:space="preserve"> </w:t>
            </w:r>
          </w:p>
          <w:p w:rsidR="009C5F78" w:rsidRDefault="009C5F78" w:rsidP="009C5F78">
            <w:pPr>
              <w:pStyle w:val="Default"/>
              <w:rPr>
                <w:sz w:val="16"/>
                <w:szCs w:val="16"/>
              </w:rPr>
            </w:pPr>
            <w:r>
              <w:rPr>
                <w:sz w:val="16"/>
                <w:szCs w:val="16"/>
              </w:rPr>
              <w:t xml:space="preserve">77 patients (100%) </w:t>
            </w:r>
          </w:p>
        </w:tc>
        <w:tc>
          <w:tcPr>
            <w:tcW w:w="2268" w:type="dxa"/>
            <w:tcBorders>
              <w:top w:val="nil"/>
              <w:bottom w:val="nil"/>
            </w:tcBorders>
          </w:tcPr>
          <w:p w:rsidR="009C5F78" w:rsidRDefault="009C5F78" w:rsidP="009C5F78">
            <w:pPr>
              <w:pStyle w:val="Default"/>
              <w:rPr>
                <w:sz w:val="16"/>
                <w:szCs w:val="16"/>
              </w:rPr>
            </w:pPr>
          </w:p>
          <w:p w:rsidR="009C5F78" w:rsidRDefault="009C5F78" w:rsidP="009C5F78">
            <w:pPr>
              <w:pStyle w:val="Default"/>
              <w:rPr>
                <w:sz w:val="16"/>
                <w:szCs w:val="16"/>
              </w:rPr>
            </w:pPr>
            <w:r>
              <w:rPr>
                <w:sz w:val="16"/>
                <w:szCs w:val="16"/>
              </w:rPr>
              <w:t xml:space="preserve">49 patients (64%) </w:t>
            </w:r>
          </w:p>
        </w:tc>
      </w:tr>
      <w:tr w:rsidR="009C5F78" w:rsidTr="009C5F78">
        <w:trPr>
          <w:trHeight w:val="1201"/>
        </w:trPr>
        <w:tc>
          <w:tcPr>
            <w:tcW w:w="534" w:type="dxa"/>
            <w:tcBorders>
              <w:top w:val="nil"/>
              <w:bottom w:val="nil"/>
            </w:tcBorders>
          </w:tcPr>
          <w:p w:rsidR="009C5F78" w:rsidRDefault="009C5F78" w:rsidP="009C5F78">
            <w:pPr>
              <w:pStyle w:val="Default"/>
              <w:rPr>
                <w:sz w:val="16"/>
                <w:szCs w:val="16"/>
              </w:rPr>
            </w:pPr>
            <w:r>
              <w:rPr>
                <w:sz w:val="16"/>
                <w:szCs w:val="16"/>
              </w:rPr>
              <w:t xml:space="preserve">4.        </w:t>
            </w:r>
          </w:p>
        </w:tc>
        <w:tc>
          <w:tcPr>
            <w:tcW w:w="4252" w:type="dxa"/>
            <w:tcBorders>
              <w:top w:val="nil"/>
              <w:bottom w:val="nil"/>
            </w:tcBorders>
          </w:tcPr>
          <w:p w:rsidR="009C5F78" w:rsidRDefault="009C5F78" w:rsidP="009C5F78">
            <w:pPr>
              <w:pStyle w:val="Default"/>
              <w:rPr>
                <w:sz w:val="16"/>
                <w:szCs w:val="16"/>
              </w:rPr>
            </w:pPr>
            <w:r>
              <w:rPr>
                <w:b/>
                <w:bCs/>
                <w:sz w:val="16"/>
                <w:szCs w:val="16"/>
              </w:rPr>
              <w:t xml:space="preserve">Patient delay from onset of symptoms to contact with emergency services: </w:t>
            </w:r>
          </w:p>
          <w:p w:rsidR="009C5F78" w:rsidRDefault="009C5F78" w:rsidP="009C5F78">
            <w:pPr>
              <w:pStyle w:val="Default"/>
              <w:rPr>
                <w:sz w:val="16"/>
                <w:szCs w:val="16"/>
              </w:rPr>
            </w:pPr>
            <w:r>
              <w:rPr>
                <w:sz w:val="16"/>
                <w:szCs w:val="16"/>
              </w:rPr>
              <w:t xml:space="preserve">Approximately 15% of stroke patients had a known onset time but arrived in hospital greater than 4.5 hours after symptom onset. This was often caused by a delay in contacting medical services due to lack of awareness of stroke as an emergency or failure to identify stroke symptoms. </w:t>
            </w:r>
          </w:p>
          <w:p w:rsidR="009C5F78" w:rsidRDefault="009C5F78" w:rsidP="009C5F78">
            <w:pPr>
              <w:pStyle w:val="Default"/>
              <w:rPr>
                <w:sz w:val="16"/>
                <w:szCs w:val="16"/>
              </w:rPr>
            </w:pPr>
          </w:p>
        </w:tc>
        <w:tc>
          <w:tcPr>
            <w:tcW w:w="6095" w:type="dxa"/>
            <w:tcBorders>
              <w:top w:val="nil"/>
              <w:bottom w:val="nil"/>
            </w:tcBorders>
          </w:tcPr>
          <w:p w:rsidR="009C5F78" w:rsidRDefault="009C5F78" w:rsidP="009C5F78">
            <w:pPr>
              <w:pStyle w:val="Default"/>
              <w:rPr>
                <w:sz w:val="16"/>
                <w:szCs w:val="16"/>
              </w:rPr>
            </w:pPr>
            <w:r>
              <w:rPr>
                <w:b/>
                <w:bCs/>
                <w:sz w:val="16"/>
                <w:szCs w:val="16"/>
              </w:rPr>
              <w:t xml:space="preserve">Reduce time to call emergency services  </w:t>
            </w:r>
          </w:p>
          <w:p w:rsidR="009C5F78" w:rsidRDefault="009C5F78" w:rsidP="009C5F78">
            <w:pPr>
              <w:pStyle w:val="Default"/>
              <w:rPr>
                <w:sz w:val="16"/>
                <w:szCs w:val="16"/>
              </w:rPr>
            </w:pPr>
            <w:r>
              <w:rPr>
                <w:sz w:val="16"/>
                <w:szCs w:val="16"/>
              </w:rPr>
              <w:t xml:space="preserve">Better public awareness of stroke through a series of educational interventions result in an increase in the proportion of patients contacting emergency services immediately after the onset of stroke symptoms. </w:t>
            </w:r>
          </w:p>
          <w:p w:rsidR="009C5F78" w:rsidRDefault="009C5F78" w:rsidP="009C5F78">
            <w:pPr>
              <w:pStyle w:val="Default"/>
              <w:rPr>
                <w:sz w:val="16"/>
                <w:szCs w:val="16"/>
              </w:rPr>
            </w:pPr>
            <w:r>
              <w:rPr>
                <w:sz w:val="16"/>
                <w:szCs w:val="16"/>
              </w:rPr>
              <w:t>Estimate additional 25% of those arriving outside 4.5 hours now arrive within 4.5 hours.</w:t>
            </w:r>
            <w:r w:rsidR="00807D9B" w:rsidRPr="00807D9B">
              <w:rPr>
                <w:sz w:val="16"/>
                <w:szCs w:val="16"/>
                <w:vertAlign w:val="superscript"/>
              </w:rPr>
              <w:t>26</w:t>
            </w:r>
          </w:p>
        </w:tc>
        <w:tc>
          <w:tcPr>
            <w:tcW w:w="2410" w:type="dxa"/>
            <w:tcBorders>
              <w:top w:val="nil"/>
              <w:bottom w:val="nil"/>
            </w:tcBorders>
          </w:tcPr>
          <w:p w:rsidR="009C5F78" w:rsidRDefault="009C5F78" w:rsidP="009C5F78">
            <w:pPr>
              <w:pStyle w:val="Default"/>
              <w:rPr>
                <w:sz w:val="16"/>
                <w:szCs w:val="16"/>
              </w:rPr>
            </w:pPr>
            <w:r>
              <w:rPr>
                <w:sz w:val="16"/>
                <w:szCs w:val="16"/>
              </w:rPr>
              <w:t xml:space="preserve"> </w:t>
            </w:r>
          </w:p>
          <w:p w:rsidR="009C5F78" w:rsidRDefault="009C5F78" w:rsidP="009C5F78">
            <w:pPr>
              <w:pStyle w:val="Default"/>
              <w:rPr>
                <w:sz w:val="16"/>
                <w:szCs w:val="16"/>
              </w:rPr>
            </w:pPr>
            <w:r>
              <w:rPr>
                <w:sz w:val="16"/>
                <w:szCs w:val="16"/>
              </w:rPr>
              <w:t xml:space="preserve">54 patients (100%) </w:t>
            </w:r>
          </w:p>
        </w:tc>
        <w:tc>
          <w:tcPr>
            <w:tcW w:w="2268" w:type="dxa"/>
            <w:tcBorders>
              <w:top w:val="nil"/>
              <w:bottom w:val="nil"/>
            </w:tcBorders>
          </w:tcPr>
          <w:p w:rsidR="009C5F78" w:rsidRDefault="009C5F78" w:rsidP="009C5F78">
            <w:pPr>
              <w:pStyle w:val="Default"/>
              <w:rPr>
                <w:sz w:val="16"/>
                <w:szCs w:val="16"/>
              </w:rPr>
            </w:pPr>
          </w:p>
          <w:p w:rsidR="009C5F78" w:rsidRDefault="009C5F78" w:rsidP="009C5F78">
            <w:pPr>
              <w:pStyle w:val="Default"/>
              <w:rPr>
                <w:sz w:val="16"/>
                <w:szCs w:val="16"/>
              </w:rPr>
            </w:pPr>
            <w:r>
              <w:rPr>
                <w:sz w:val="16"/>
                <w:szCs w:val="16"/>
              </w:rPr>
              <w:t xml:space="preserve"> 14 patients (25%) </w:t>
            </w:r>
          </w:p>
        </w:tc>
      </w:tr>
      <w:tr w:rsidR="009C5F78" w:rsidTr="009C5F78">
        <w:trPr>
          <w:trHeight w:val="648"/>
        </w:trPr>
        <w:tc>
          <w:tcPr>
            <w:tcW w:w="534" w:type="dxa"/>
            <w:tcBorders>
              <w:top w:val="nil"/>
              <w:bottom w:val="nil"/>
            </w:tcBorders>
          </w:tcPr>
          <w:p w:rsidR="009C5F78" w:rsidRDefault="009C5F78" w:rsidP="009C5F78">
            <w:pPr>
              <w:pStyle w:val="Default"/>
              <w:rPr>
                <w:sz w:val="16"/>
                <w:szCs w:val="16"/>
              </w:rPr>
            </w:pPr>
            <w:r>
              <w:rPr>
                <w:sz w:val="16"/>
                <w:szCs w:val="16"/>
              </w:rPr>
              <w:t xml:space="preserve">5.        </w:t>
            </w:r>
          </w:p>
        </w:tc>
        <w:tc>
          <w:tcPr>
            <w:tcW w:w="4252" w:type="dxa"/>
            <w:tcBorders>
              <w:top w:val="nil"/>
              <w:bottom w:val="nil"/>
            </w:tcBorders>
          </w:tcPr>
          <w:p w:rsidR="009C5F78" w:rsidRDefault="009C5F78" w:rsidP="009C5F78">
            <w:pPr>
              <w:pStyle w:val="Default"/>
              <w:rPr>
                <w:sz w:val="16"/>
                <w:szCs w:val="16"/>
              </w:rPr>
            </w:pPr>
            <w:r>
              <w:rPr>
                <w:b/>
                <w:bCs/>
                <w:sz w:val="16"/>
                <w:szCs w:val="16"/>
              </w:rPr>
              <w:t xml:space="preserve">Timely CT scan </w:t>
            </w:r>
          </w:p>
          <w:p w:rsidR="009C5F78" w:rsidRDefault="009C5F78" w:rsidP="009C5F78">
            <w:pPr>
              <w:pStyle w:val="Default"/>
              <w:rPr>
                <w:sz w:val="16"/>
                <w:szCs w:val="16"/>
              </w:rPr>
            </w:pPr>
            <w:r>
              <w:rPr>
                <w:sz w:val="16"/>
                <w:szCs w:val="16"/>
              </w:rPr>
              <w:t xml:space="preserve">14% of patients who arrived in hospital within 4.5 hours of symptom onset did not receive an immediate CT scan within the time window for thrombolysis. </w:t>
            </w:r>
          </w:p>
          <w:p w:rsidR="009C5F78" w:rsidRDefault="009C5F78" w:rsidP="009C5F78">
            <w:pPr>
              <w:pStyle w:val="Default"/>
              <w:rPr>
                <w:sz w:val="16"/>
                <w:szCs w:val="16"/>
              </w:rPr>
            </w:pPr>
            <w:r>
              <w:rPr>
                <w:b/>
                <w:bCs/>
                <w:sz w:val="16"/>
                <w:szCs w:val="16"/>
              </w:rPr>
              <w:t xml:space="preserve"> </w:t>
            </w:r>
          </w:p>
        </w:tc>
        <w:tc>
          <w:tcPr>
            <w:tcW w:w="6095" w:type="dxa"/>
            <w:tcBorders>
              <w:top w:val="nil"/>
              <w:bottom w:val="nil"/>
            </w:tcBorders>
          </w:tcPr>
          <w:p w:rsidR="009C5F78" w:rsidRDefault="009C5F78" w:rsidP="009C5F78">
            <w:pPr>
              <w:pStyle w:val="Default"/>
              <w:rPr>
                <w:sz w:val="16"/>
                <w:szCs w:val="16"/>
              </w:rPr>
            </w:pPr>
            <w:r>
              <w:rPr>
                <w:b/>
                <w:bCs/>
                <w:sz w:val="16"/>
                <w:szCs w:val="16"/>
              </w:rPr>
              <w:t xml:space="preserve">Ensure all who present with stroke receive immediate CT scan </w:t>
            </w:r>
          </w:p>
          <w:p w:rsidR="009C5F78" w:rsidRDefault="009C5F78" w:rsidP="009C5F78">
            <w:pPr>
              <w:pStyle w:val="Default"/>
              <w:rPr>
                <w:sz w:val="16"/>
                <w:szCs w:val="16"/>
              </w:rPr>
            </w:pPr>
            <w:r>
              <w:rPr>
                <w:sz w:val="16"/>
                <w:szCs w:val="16"/>
              </w:rPr>
              <w:t xml:space="preserve">In-hospital stroke services are reorganised to ensure patients with stroke receive a timely CT scan (e.g. CT scanner moved closer to the emergency department ward). </w:t>
            </w:r>
          </w:p>
          <w:p w:rsidR="009C5F78" w:rsidRDefault="009C5F78" w:rsidP="009C5F78">
            <w:pPr>
              <w:pStyle w:val="Default"/>
              <w:rPr>
                <w:sz w:val="16"/>
                <w:szCs w:val="16"/>
              </w:rPr>
            </w:pPr>
            <w:r>
              <w:rPr>
                <w:sz w:val="16"/>
                <w:szCs w:val="16"/>
              </w:rPr>
              <w:t>Reduce time to CT scan by an hour.</w:t>
            </w:r>
            <w:r w:rsidR="00807D9B" w:rsidRPr="00807D9B">
              <w:rPr>
                <w:sz w:val="16"/>
                <w:szCs w:val="16"/>
                <w:vertAlign w:val="superscript"/>
              </w:rPr>
              <w:t>5</w:t>
            </w:r>
          </w:p>
        </w:tc>
        <w:tc>
          <w:tcPr>
            <w:tcW w:w="2410" w:type="dxa"/>
            <w:tcBorders>
              <w:top w:val="nil"/>
              <w:bottom w:val="nil"/>
            </w:tcBorders>
          </w:tcPr>
          <w:p w:rsidR="009C5F78" w:rsidRDefault="009C5F78" w:rsidP="009C5F78">
            <w:pPr>
              <w:pStyle w:val="Default"/>
              <w:rPr>
                <w:sz w:val="16"/>
                <w:szCs w:val="16"/>
              </w:rPr>
            </w:pPr>
            <w:r>
              <w:rPr>
                <w:sz w:val="16"/>
                <w:szCs w:val="16"/>
              </w:rPr>
              <w:t xml:space="preserve">51 patients (100%) </w:t>
            </w:r>
          </w:p>
        </w:tc>
        <w:tc>
          <w:tcPr>
            <w:tcW w:w="2268" w:type="dxa"/>
            <w:tcBorders>
              <w:top w:val="nil"/>
              <w:bottom w:val="nil"/>
            </w:tcBorders>
          </w:tcPr>
          <w:p w:rsidR="009C5F78" w:rsidRDefault="009C5F78" w:rsidP="009C5F78">
            <w:pPr>
              <w:pStyle w:val="Default"/>
              <w:rPr>
                <w:sz w:val="16"/>
                <w:szCs w:val="16"/>
              </w:rPr>
            </w:pPr>
            <w:r>
              <w:rPr>
                <w:sz w:val="16"/>
                <w:szCs w:val="16"/>
              </w:rPr>
              <w:t xml:space="preserve">13 patients (25%) </w:t>
            </w:r>
          </w:p>
        </w:tc>
      </w:tr>
      <w:tr w:rsidR="009C5F78" w:rsidTr="009C5F78">
        <w:trPr>
          <w:trHeight w:val="833"/>
        </w:trPr>
        <w:tc>
          <w:tcPr>
            <w:tcW w:w="534" w:type="dxa"/>
            <w:tcBorders>
              <w:top w:val="nil"/>
              <w:bottom w:val="nil"/>
            </w:tcBorders>
          </w:tcPr>
          <w:p w:rsidR="009C5F78" w:rsidRDefault="009C5F78" w:rsidP="009C5F78">
            <w:pPr>
              <w:pStyle w:val="Default"/>
              <w:rPr>
                <w:sz w:val="16"/>
                <w:szCs w:val="16"/>
              </w:rPr>
            </w:pPr>
            <w:r>
              <w:rPr>
                <w:sz w:val="16"/>
                <w:szCs w:val="16"/>
              </w:rPr>
              <w:t xml:space="preserve">6.        </w:t>
            </w:r>
          </w:p>
        </w:tc>
        <w:tc>
          <w:tcPr>
            <w:tcW w:w="4252" w:type="dxa"/>
            <w:tcBorders>
              <w:top w:val="nil"/>
              <w:bottom w:val="nil"/>
            </w:tcBorders>
          </w:tcPr>
          <w:p w:rsidR="009C5F78" w:rsidRDefault="009C5F78" w:rsidP="009C5F78">
            <w:pPr>
              <w:pStyle w:val="Default"/>
              <w:rPr>
                <w:sz w:val="16"/>
                <w:szCs w:val="16"/>
              </w:rPr>
            </w:pPr>
            <w:r>
              <w:rPr>
                <w:b/>
                <w:bCs/>
                <w:sz w:val="16"/>
                <w:szCs w:val="16"/>
              </w:rPr>
              <w:t xml:space="preserve">FAST Acute care pathway*: </w:t>
            </w:r>
          </w:p>
          <w:p w:rsidR="009C5F78" w:rsidRDefault="009C5F78" w:rsidP="009C5F78">
            <w:pPr>
              <w:pStyle w:val="Default"/>
              <w:rPr>
                <w:sz w:val="16"/>
                <w:szCs w:val="16"/>
              </w:rPr>
            </w:pPr>
            <w:r>
              <w:rPr>
                <w:sz w:val="16"/>
                <w:szCs w:val="16"/>
              </w:rPr>
              <w:t xml:space="preserve">22% of patients travelling via ambulance and who received a FAST check (or 14% of total patients travelling via ambulance) were Face Arm Speech Test negative and did not have urgent CT scan. </w:t>
            </w:r>
          </w:p>
          <w:p w:rsidR="009C5F78" w:rsidRDefault="009C5F78" w:rsidP="009C5F78">
            <w:pPr>
              <w:pStyle w:val="Default"/>
              <w:rPr>
                <w:sz w:val="16"/>
                <w:szCs w:val="16"/>
              </w:rPr>
            </w:pPr>
            <w:r>
              <w:rPr>
                <w:sz w:val="16"/>
                <w:szCs w:val="16"/>
              </w:rPr>
              <w:t xml:space="preserve"> </w:t>
            </w:r>
          </w:p>
        </w:tc>
        <w:tc>
          <w:tcPr>
            <w:tcW w:w="6095" w:type="dxa"/>
            <w:tcBorders>
              <w:top w:val="nil"/>
              <w:bottom w:val="nil"/>
            </w:tcBorders>
          </w:tcPr>
          <w:p w:rsidR="009C5F78" w:rsidRDefault="009C5F78" w:rsidP="009C5F78">
            <w:pPr>
              <w:pStyle w:val="Default"/>
              <w:rPr>
                <w:sz w:val="16"/>
                <w:szCs w:val="16"/>
              </w:rPr>
            </w:pPr>
            <w:r>
              <w:rPr>
                <w:b/>
                <w:bCs/>
                <w:sz w:val="16"/>
                <w:szCs w:val="16"/>
              </w:rPr>
              <w:t xml:space="preserve">Better stroke recognition tools </w:t>
            </w:r>
          </w:p>
          <w:p w:rsidR="009C5F78" w:rsidRDefault="009C5F78" w:rsidP="009C5F78">
            <w:pPr>
              <w:pStyle w:val="Default"/>
              <w:rPr>
                <w:sz w:val="16"/>
                <w:szCs w:val="16"/>
              </w:rPr>
            </w:pPr>
            <w:r>
              <w:rPr>
                <w:sz w:val="16"/>
                <w:szCs w:val="16"/>
              </w:rPr>
              <w:t xml:space="preserve">New stroke recognition tools are introduced which ensure FAST negative stroke patients are recognised by emergency services as having stroke. </w:t>
            </w:r>
          </w:p>
          <w:p w:rsidR="009C5F78" w:rsidRDefault="009C5F78" w:rsidP="009C5F78">
            <w:pPr>
              <w:pStyle w:val="Default"/>
              <w:rPr>
                <w:sz w:val="16"/>
                <w:szCs w:val="16"/>
              </w:rPr>
            </w:pPr>
            <w:r>
              <w:rPr>
                <w:sz w:val="16"/>
                <w:szCs w:val="16"/>
              </w:rPr>
              <w:t xml:space="preserve">Use ROSIER score with sensitivity 93% vs. 79% for FAST in the present study. </w:t>
            </w:r>
            <w:r w:rsidR="00807D9B" w:rsidRPr="00807D9B">
              <w:rPr>
                <w:sz w:val="16"/>
                <w:szCs w:val="16"/>
                <w:vertAlign w:val="superscript"/>
              </w:rPr>
              <w:t>25</w:t>
            </w:r>
          </w:p>
        </w:tc>
        <w:tc>
          <w:tcPr>
            <w:tcW w:w="2410" w:type="dxa"/>
            <w:tcBorders>
              <w:top w:val="nil"/>
              <w:bottom w:val="nil"/>
            </w:tcBorders>
          </w:tcPr>
          <w:p w:rsidR="009C5F78" w:rsidRDefault="009C5F78" w:rsidP="009C5F78">
            <w:pPr>
              <w:pStyle w:val="Default"/>
              <w:rPr>
                <w:sz w:val="16"/>
                <w:szCs w:val="16"/>
              </w:rPr>
            </w:pPr>
            <w:r>
              <w:rPr>
                <w:sz w:val="16"/>
                <w:szCs w:val="16"/>
              </w:rPr>
              <w:t xml:space="preserve"> </w:t>
            </w:r>
          </w:p>
          <w:p w:rsidR="009C5F78" w:rsidRDefault="009C5F78" w:rsidP="009C5F78">
            <w:pPr>
              <w:pStyle w:val="Default"/>
              <w:rPr>
                <w:sz w:val="16"/>
                <w:szCs w:val="16"/>
              </w:rPr>
            </w:pPr>
            <w:r>
              <w:rPr>
                <w:sz w:val="16"/>
                <w:szCs w:val="16"/>
              </w:rPr>
              <w:t xml:space="preserve">51 patients (100%) </w:t>
            </w:r>
          </w:p>
        </w:tc>
        <w:tc>
          <w:tcPr>
            <w:tcW w:w="2268" w:type="dxa"/>
            <w:tcBorders>
              <w:top w:val="nil"/>
              <w:bottom w:val="nil"/>
            </w:tcBorders>
          </w:tcPr>
          <w:p w:rsidR="009C5F78" w:rsidRDefault="009C5F78" w:rsidP="009C5F78">
            <w:pPr>
              <w:pStyle w:val="Default"/>
              <w:rPr>
                <w:sz w:val="16"/>
                <w:szCs w:val="16"/>
              </w:rPr>
            </w:pPr>
            <w:r>
              <w:rPr>
                <w:sz w:val="16"/>
                <w:szCs w:val="16"/>
              </w:rPr>
              <w:t xml:space="preserve"> </w:t>
            </w:r>
          </w:p>
          <w:p w:rsidR="009C5F78" w:rsidRDefault="009C5F78" w:rsidP="009C5F78">
            <w:pPr>
              <w:pStyle w:val="Default"/>
              <w:rPr>
                <w:sz w:val="16"/>
                <w:szCs w:val="16"/>
              </w:rPr>
            </w:pPr>
            <w:r>
              <w:rPr>
                <w:sz w:val="16"/>
                <w:szCs w:val="16"/>
              </w:rPr>
              <w:t xml:space="preserve">35 patients (68%) </w:t>
            </w:r>
          </w:p>
        </w:tc>
      </w:tr>
      <w:tr w:rsidR="009C5F78" w:rsidTr="009C5F78">
        <w:trPr>
          <w:trHeight w:val="833"/>
        </w:trPr>
        <w:tc>
          <w:tcPr>
            <w:tcW w:w="534" w:type="dxa"/>
            <w:tcBorders>
              <w:top w:val="nil"/>
              <w:left w:val="nil"/>
              <w:bottom w:val="single" w:sz="4" w:space="0" w:color="auto"/>
            </w:tcBorders>
          </w:tcPr>
          <w:p w:rsidR="009C5F78" w:rsidRDefault="009C5F78" w:rsidP="009C5F78">
            <w:pPr>
              <w:pStyle w:val="Default"/>
              <w:rPr>
                <w:sz w:val="16"/>
                <w:szCs w:val="16"/>
              </w:rPr>
            </w:pPr>
            <w:r>
              <w:rPr>
                <w:sz w:val="16"/>
                <w:szCs w:val="16"/>
              </w:rPr>
              <w:t xml:space="preserve">7.        </w:t>
            </w:r>
          </w:p>
        </w:tc>
        <w:tc>
          <w:tcPr>
            <w:tcW w:w="4252" w:type="dxa"/>
            <w:tcBorders>
              <w:top w:val="nil"/>
              <w:bottom w:val="single" w:sz="4" w:space="0" w:color="auto"/>
            </w:tcBorders>
          </w:tcPr>
          <w:p w:rsidR="009C5F78" w:rsidRPr="002634F3" w:rsidRDefault="009C5F78" w:rsidP="009C5F78">
            <w:pPr>
              <w:pStyle w:val="Default"/>
              <w:rPr>
                <w:b/>
                <w:bCs/>
                <w:sz w:val="16"/>
                <w:szCs w:val="16"/>
              </w:rPr>
            </w:pPr>
            <w:r w:rsidRPr="002634F3">
              <w:rPr>
                <w:b/>
                <w:bCs/>
                <w:sz w:val="16"/>
                <w:szCs w:val="16"/>
              </w:rPr>
              <w:t xml:space="preserve">Thrombolysis for &gt;85  years old:† </w:t>
            </w:r>
          </w:p>
          <w:p w:rsidR="009C5F78" w:rsidRPr="00D75C04" w:rsidRDefault="009C5F78" w:rsidP="009C5F78">
            <w:pPr>
              <w:pStyle w:val="Default"/>
              <w:rPr>
                <w:bCs/>
                <w:sz w:val="16"/>
                <w:szCs w:val="16"/>
              </w:rPr>
            </w:pPr>
            <w:r w:rsidRPr="00D75C04">
              <w:rPr>
                <w:bCs/>
                <w:sz w:val="16"/>
                <w:szCs w:val="16"/>
              </w:rPr>
              <w:t xml:space="preserve">6% of stroke patients older than 85 years old were scanned within 4.5 hours. †Current licensing makes these patients ineligible for thrombolysis. </w:t>
            </w:r>
          </w:p>
          <w:p w:rsidR="009C5F78" w:rsidRPr="00D75C04" w:rsidRDefault="009C5F78" w:rsidP="009C5F78">
            <w:pPr>
              <w:pStyle w:val="Default"/>
              <w:rPr>
                <w:bCs/>
                <w:sz w:val="16"/>
                <w:szCs w:val="16"/>
              </w:rPr>
            </w:pPr>
            <w:r w:rsidRPr="00D75C04">
              <w:rPr>
                <w:bCs/>
                <w:sz w:val="16"/>
                <w:szCs w:val="16"/>
              </w:rPr>
              <w:t xml:space="preserve"> </w:t>
            </w:r>
          </w:p>
        </w:tc>
        <w:tc>
          <w:tcPr>
            <w:tcW w:w="6095" w:type="dxa"/>
            <w:tcBorders>
              <w:top w:val="nil"/>
              <w:bottom w:val="single" w:sz="4" w:space="0" w:color="auto"/>
            </w:tcBorders>
          </w:tcPr>
          <w:p w:rsidR="009C5F78" w:rsidRPr="002634F3" w:rsidRDefault="009C5F78" w:rsidP="009C5F78">
            <w:pPr>
              <w:pStyle w:val="Default"/>
              <w:rPr>
                <w:b/>
                <w:bCs/>
                <w:sz w:val="16"/>
                <w:szCs w:val="16"/>
              </w:rPr>
            </w:pPr>
            <w:r w:rsidRPr="002634F3">
              <w:rPr>
                <w:b/>
                <w:bCs/>
                <w:sz w:val="16"/>
                <w:szCs w:val="16"/>
              </w:rPr>
              <w:t xml:space="preserve">Extend thrombolysis eligibility to over 85s </w:t>
            </w:r>
          </w:p>
          <w:p w:rsidR="009C5F78" w:rsidRPr="00D75C04" w:rsidRDefault="009C5F78" w:rsidP="009C5F78">
            <w:pPr>
              <w:pStyle w:val="Default"/>
              <w:rPr>
                <w:bCs/>
                <w:sz w:val="16"/>
                <w:szCs w:val="16"/>
              </w:rPr>
            </w:pPr>
            <w:r w:rsidRPr="00D75C04">
              <w:rPr>
                <w:bCs/>
                <w:sz w:val="16"/>
                <w:szCs w:val="16"/>
              </w:rPr>
              <w:t>New evidence from the International Stroke Trial [IST-3] suggests that patients over the age of 80 could benefit from thrombolysis up to 4.5 hours after symptom onset.</w:t>
            </w:r>
            <w:r w:rsidR="00807D9B" w:rsidRPr="00807D9B">
              <w:rPr>
                <w:bCs/>
                <w:sz w:val="16"/>
                <w:szCs w:val="16"/>
                <w:vertAlign w:val="superscript"/>
              </w:rPr>
              <w:t>2, 27</w:t>
            </w:r>
            <w:r w:rsidRPr="00D75C04">
              <w:rPr>
                <w:bCs/>
                <w:sz w:val="16"/>
                <w:szCs w:val="16"/>
              </w:rPr>
              <w:t xml:space="preserve"> </w:t>
            </w:r>
          </w:p>
          <w:p w:rsidR="009C5F78" w:rsidRPr="00D75C04" w:rsidRDefault="009C5F78" w:rsidP="009C5F78">
            <w:pPr>
              <w:pStyle w:val="Default"/>
              <w:rPr>
                <w:bCs/>
                <w:sz w:val="16"/>
                <w:szCs w:val="16"/>
              </w:rPr>
            </w:pPr>
            <w:r w:rsidRPr="00D75C04">
              <w:rPr>
                <w:bCs/>
                <w:sz w:val="16"/>
                <w:szCs w:val="16"/>
              </w:rPr>
              <w:t xml:space="preserve">Assume same proportion of those over 85 who get scan within 4.5 hours receive thrombolysis.  </w:t>
            </w:r>
          </w:p>
        </w:tc>
        <w:tc>
          <w:tcPr>
            <w:tcW w:w="2410" w:type="dxa"/>
            <w:tcBorders>
              <w:top w:val="nil"/>
              <w:bottom w:val="single" w:sz="4" w:space="0" w:color="auto"/>
            </w:tcBorders>
          </w:tcPr>
          <w:p w:rsidR="009C5F78" w:rsidRPr="00D75C04" w:rsidRDefault="009C5F78" w:rsidP="009C5F78">
            <w:pPr>
              <w:pStyle w:val="Default"/>
              <w:rPr>
                <w:sz w:val="16"/>
                <w:szCs w:val="16"/>
              </w:rPr>
            </w:pPr>
            <w:r w:rsidRPr="00D75C04">
              <w:rPr>
                <w:sz w:val="16"/>
                <w:szCs w:val="16"/>
              </w:rPr>
              <w:t xml:space="preserve"> </w:t>
            </w:r>
          </w:p>
          <w:p w:rsidR="009C5F78" w:rsidRPr="00D75C04" w:rsidRDefault="009C5F78" w:rsidP="009C5F78">
            <w:pPr>
              <w:pStyle w:val="Default"/>
              <w:rPr>
                <w:sz w:val="16"/>
                <w:szCs w:val="16"/>
              </w:rPr>
            </w:pPr>
            <w:r w:rsidRPr="00D75C04">
              <w:rPr>
                <w:sz w:val="16"/>
                <w:szCs w:val="16"/>
              </w:rPr>
              <w:t xml:space="preserve">19 patients (100%) </w:t>
            </w:r>
          </w:p>
        </w:tc>
        <w:tc>
          <w:tcPr>
            <w:tcW w:w="2268" w:type="dxa"/>
            <w:tcBorders>
              <w:top w:val="nil"/>
              <w:bottom w:val="single" w:sz="4" w:space="0" w:color="auto"/>
              <w:right w:val="nil"/>
            </w:tcBorders>
          </w:tcPr>
          <w:p w:rsidR="009C5F78" w:rsidRDefault="009C5F78" w:rsidP="009C5F78">
            <w:pPr>
              <w:pStyle w:val="Default"/>
              <w:rPr>
                <w:sz w:val="16"/>
                <w:szCs w:val="16"/>
              </w:rPr>
            </w:pPr>
          </w:p>
          <w:p w:rsidR="009C5F78" w:rsidRPr="00D75C04" w:rsidRDefault="009C5F78" w:rsidP="009C5F78">
            <w:pPr>
              <w:pStyle w:val="Default"/>
            </w:pPr>
            <w:r>
              <w:rPr>
                <w:sz w:val="16"/>
                <w:szCs w:val="16"/>
              </w:rPr>
              <w:t>1</w:t>
            </w:r>
            <w:r w:rsidRPr="002634F3">
              <w:rPr>
                <w:sz w:val="16"/>
                <w:szCs w:val="16"/>
              </w:rPr>
              <w:t>9 patients (100%)</w:t>
            </w:r>
            <w:r w:rsidRPr="00D75C04">
              <w:t xml:space="preserve"> </w:t>
            </w:r>
          </w:p>
        </w:tc>
      </w:tr>
    </w:tbl>
    <w:p w:rsidR="009C5F78" w:rsidRPr="00FA5570" w:rsidRDefault="009C5F78" w:rsidP="009C5F78">
      <w:pPr>
        <w:spacing w:line="240" w:lineRule="auto"/>
        <w:jc w:val="left"/>
        <w:rPr>
          <w:sz w:val="18"/>
          <w:szCs w:val="18"/>
        </w:rPr>
      </w:pPr>
      <w:r w:rsidRPr="00FA5570">
        <w:rPr>
          <w:sz w:val="18"/>
          <w:szCs w:val="18"/>
        </w:rPr>
        <w:t>*Data not available from ‘out of hours’ case note review (65 patients) †In the present CLAHRC cohort, patients up to 85 years were thrombolysed. Please note, current guidance indicates that thrombolysis should be administered with caution in the over 80s from 3 to 4.5 hours from symptoms onset.</w:t>
      </w:r>
    </w:p>
    <w:p w:rsidR="009C5F78" w:rsidRPr="004143F2" w:rsidRDefault="009C5F78" w:rsidP="009C5F78">
      <w:pPr>
        <w:spacing w:line="240" w:lineRule="auto"/>
        <w:jc w:val="left"/>
        <w:rPr>
          <w:sz w:val="20"/>
          <w:szCs w:val="20"/>
        </w:rPr>
        <w:sectPr w:rsidR="009C5F78" w:rsidRPr="004143F2" w:rsidSect="002D1295">
          <w:pgSz w:w="16838" w:h="11906" w:orient="landscape"/>
          <w:pgMar w:top="720" w:right="720" w:bottom="720" w:left="720" w:header="709" w:footer="709" w:gutter="0"/>
          <w:cols w:space="708"/>
          <w:docGrid w:linePitch="360"/>
        </w:sectPr>
      </w:pPr>
    </w:p>
    <w:p w:rsidR="009C5F78" w:rsidRDefault="009C5F78" w:rsidP="009C5F78">
      <w:pPr>
        <w:spacing w:line="240" w:lineRule="auto"/>
        <w:jc w:val="left"/>
        <w:rPr>
          <w:b/>
        </w:rPr>
      </w:pPr>
      <w:r w:rsidRPr="004D7CAC">
        <w:rPr>
          <w:b/>
        </w:rPr>
        <w:lastRenderedPageBreak/>
        <w:t xml:space="preserve">Table </w:t>
      </w:r>
      <w:r>
        <w:rPr>
          <w:b/>
        </w:rPr>
        <w:t>2</w:t>
      </w:r>
      <w:r w:rsidRPr="004D7CAC">
        <w:rPr>
          <w:b/>
        </w:rPr>
        <w:t>. Parameters used in the decision-tree model</w:t>
      </w:r>
    </w:p>
    <w:tbl>
      <w:tblPr>
        <w:tblW w:w="9654" w:type="dxa"/>
        <w:tblInd w:w="93" w:type="dxa"/>
        <w:tblLook w:val="04A0" w:firstRow="1" w:lastRow="0" w:firstColumn="1" w:lastColumn="0" w:noHBand="0" w:noVBand="1"/>
      </w:tblPr>
      <w:tblGrid>
        <w:gridCol w:w="5118"/>
        <w:gridCol w:w="1134"/>
        <w:gridCol w:w="1010"/>
        <w:gridCol w:w="2392"/>
      </w:tblGrid>
      <w:tr w:rsidR="009C5F78" w:rsidRPr="004D7CAC" w:rsidTr="009C5F78">
        <w:trPr>
          <w:trHeight w:val="113"/>
        </w:trPr>
        <w:tc>
          <w:tcPr>
            <w:tcW w:w="5118" w:type="dxa"/>
            <w:tcBorders>
              <w:top w:val="single" w:sz="8" w:space="0" w:color="auto"/>
              <w:left w:val="single" w:sz="8" w:space="0" w:color="FFFFFF"/>
              <w:bottom w:val="single" w:sz="8" w:space="0" w:color="auto"/>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Parameter</w:t>
            </w:r>
          </w:p>
        </w:tc>
        <w:tc>
          <w:tcPr>
            <w:tcW w:w="1134" w:type="dxa"/>
            <w:tcBorders>
              <w:top w:val="single" w:sz="8" w:space="0" w:color="auto"/>
              <w:left w:val="nil"/>
              <w:bottom w:val="single" w:sz="8" w:space="0" w:color="auto"/>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xml:space="preserve">Value </w:t>
            </w:r>
          </w:p>
        </w:tc>
        <w:tc>
          <w:tcPr>
            <w:tcW w:w="1010" w:type="dxa"/>
            <w:tcBorders>
              <w:top w:val="single" w:sz="8" w:space="0" w:color="auto"/>
              <w:left w:val="nil"/>
              <w:bottom w:val="single" w:sz="8" w:space="0" w:color="auto"/>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Distribution</w:t>
            </w:r>
          </w:p>
        </w:tc>
        <w:tc>
          <w:tcPr>
            <w:tcW w:w="2392" w:type="dxa"/>
            <w:tcBorders>
              <w:top w:val="single" w:sz="8" w:space="0" w:color="auto"/>
              <w:left w:val="nil"/>
              <w:bottom w:val="single" w:sz="8" w:space="0" w:color="auto"/>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Source</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before="120"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Percentage of patients with symptoms who have suffered a "true" stroke and…</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contact ambulance services (999)</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67%</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contact their GP surgery first</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16%</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make their own way to the hospital</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11%</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are already inpatients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5%</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are referred/transferred</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1%</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Percentage of patients with symptoms who have suffered a stroke, contact 999 services and</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get to A&amp;E within 4.5h (hours) of stroke onset</w:t>
            </w:r>
          </w:p>
        </w:tc>
        <w:tc>
          <w:tcPr>
            <w:tcW w:w="1134" w:type="dxa"/>
            <w:tcBorders>
              <w:top w:val="nil"/>
              <w:left w:val="nil"/>
              <w:bottom w:val="single" w:sz="8" w:space="0" w:color="FFFFFF"/>
              <w:right w:val="single" w:sz="8" w:space="0" w:color="FFFFFF"/>
            </w:tcBorders>
            <w:shd w:val="clear" w:color="auto" w:fill="auto"/>
            <w:noWrap/>
            <w:vAlign w:val="bottom"/>
            <w:hideMark/>
          </w:tcPr>
          <w:p w:rsidR="009C5F78" w:rsidRPr="00523F10" w:rsidRDefault="009C5F78" w:rsidP="009C5F78">
            <w:pPr>
              <w:spacing w:line="240" w:lineRule="auto"/>
              <w:rPr>
                <w:rFonts w:asciiTheme="minorHAnsi" w:hAnsiTheme="minorHAnsi"/>
                <w:color w:val="000000"/>
                <w:sz w:val="14"/>
                <w:szCs w:val="14"/>
              </w:rPr>
            </w:pPr>
            <w:r w:rsidRPr="00523F10">
              <w:rPr>
                <w:rFonts w:asciiTheme="minorHAnsi" w:hAnsiTheme="minorHAnsi"/>
                <w:color w:val="000000"/>
                <w:sz w:val="14"/>
                <w:szCs w:val="14"/>
              </w:rPr>
              <w:t>53.4%</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get a CT scan and results within 4.5h of stroke onset </w:t>
            </w:r>
          </w:p>
        </w:tc>
        <w:tc>
          <w:tcPr>
            <w:tcW w:w="1134" w:type="dxa"/>
            <w:tcBorders>
              <w:top w:val="nil"/>
              <w:left w:val="nil"/>
              <w:bottom w:val="single" w:sz="8" w:space="0" w:color="FFFFFF"/>
              <w:right w:val="single" w:sz="8" w:space="0" w:color="FFFFFF"/>
            </w:tcBorders>
            <w:shd w:val="clear" w:color="auto" w:fill="auto"/>
            <w:noWrap/>
            <w:vAlign w:val="bottom"/>
            <w:hideMark/>
          </w:tcPr>
          <w:p w:rsidR="009C5F78" w:rsidRPr="00523F10" w:rsidRDefault="009C5F78" w:rsidP="009C5F78">
            <w:pPr>
              <w:spacing w:line="240" w:lineRule="auto"/>
              <w:rPr>
                <w:rFonts w:asciiTheme="minorHAnsi" w:hAnsiTheme="minorHAnsi"/>
                <w:color w:val="000000"/>
                <w:sz w:val="14"/>
                <w:szCs w:val="14"/>
              </w:rPr>
            </w:pPr>
            <w:r w:rsidRPr="00523F10">
              <w:rPr>
                <w:rFonts w:asciiTheme="minorHAnsi" w:hAnsiTheme="minorHAnsi"/>
                <w:color w:val="000000"/>
                <w:sz w:val="14"/>
                <w:szCs w:val="14"/>
              </w:rPr>
              <w:t>39.8%</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are suitable for thrombolysis (ischaemic stroke and younger than 85 </w:t>
            </w:r>
          </w:p>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years) </w:t>
            </w:r>
          </w:p>
        </w:tc>
        <w:tc>
          <w:tcPr>
            <w:tcW w:w="1134" w:type="dxa"/>
            <w:tcBorders>
              <w:top w:val="nil"/>
              <w:left w:val="nil"/>
              <w:bottom w:val="single" w:sz="8" w:space="0" w:color="FFFFFF"/>
              <w:right w:val="single" w:sz="8" w:space="0" w:color="FFFFFF"/>
            </w:tcBorders>
            <w:shd w:val="clear" w:color="auto" w:fill="auto"/>
            <w:noWrap/>
            <w:vAlign w:val="bottom"/>
            <w:hideMark/>
          </w:tcPr>
          <w:p w:rsidR="009C5F78" w:rsidRPr="00523F10" w:rsidRDefault="009C5F78" w:rsidP="009C5F78">
            <w:pPr>
              <w:spacing w:line="240" w:lineRule="auto"/>
              <w:rPr>
                <w:rFonts w:asciiTheme="minorHAnsi" w:hAnsiTheme="minorHAnsi"/>
                <w:color w:val="000000"/>
                <w:sz w:val="14"/>
                <w:szCs w:val="14"/>
              </w:rPr>
            </w:pPr>
            <w:r w:rsidRPr="00523F10">
              <w:rPr>
                <w:rFonts w:asciiTheme="minorHAnsi" w:hAnsiTheme="minorHAnsi"/>
                <w:color w:val="000000"/>
                <w:sz w:val="14"/>
                <w:szCs w:val="14"/>
              </w:rPr>
              <w:t>30.1%</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have an ischaemic stroke and receive thrombolysis</w:t>
            </w:r>
          </w:p>
        </w:tc>
        <w:tc>
          <w:tcPr>
            <w:tcW w:w="1134" w:type="dxa"/>
            <w:tcBorders>
              <w:top w:val="nil"/>
              <w:left w:val="nil"/>
              <w:bottom w:val="single" w:sz="8" w:space="0" w:color="FFFFFF"/>
              <w:right w:val="single" w:sz="8" w:space="0" w:color="FFFFFF"/>
            </w:tcBorders>
            <w:shd w:val="clear" w:color="auto" w:fill="auto"/>
            <w:noWrap/>
            <w:vAlign w:val="bottom"/>
            <w:hideMark/>
          </w:tcPr>
          <w:p w:rsidR="009C5F78" w:rsidRPr="00523F10" w:rsidRDefault="009C5F78" w:rsidP="009C5F78">
            <w:pPr>
              <w:spacing w:line="240" w:lineRule="auto"/>
              <w:rPr>
                <w:rFonts w:asciiTheme="minorHAnsi" w:hAnsiTheme="minorHAnsi"/>
                <w:color w:val="000000"/>
                <w:sz w:val="14"/>
                <w:szCs w:val="14"/>
              </w:rPr>
            </w:pPr>
            <w:r w:rsidRPr="00523F10">
              <w:rPr>
                <w:rFonts w:asciiTheme="minorHAnsi" w:hAnsiTheme="minorHAnsi"/>
                <w:color w:val="000000"/>
                <w:sz w:val="14"/>
                <w:szCs w:val="14"/>
              </w:rPr>
              <w:t>12.7%</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For all stroke patients, percentage of…</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ischaemic stroke in all stroke patients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89%</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ischaemic stroke patients arriving within 4.5h of stroke onset</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42%</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death* after stroke due to a haemorrhagic stroke </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19%</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death</w:t>
            </w:r>
            <w:r w:rsidRPr="00523F10">
              <w:rPr>
                <w:rFonts w:asciiTheme="minorHAnsi" w:hAnsiTheme="minorHAnsi"/>
                <w:bCs/>
                <w:sz w:val="16"/>
                <w:szCs w:val="16"/>
              </w:rPr>
              <w:t></w:t>
            </w:r>
            <w:r w:rsidRPr="00523F10">
              <w:rPr>
                <w:rFonts w:asciiTheme="minorHAnsi" w:eastAsia="Times New Roman" w:hAnsiTheme="minorHAnsi" w:cs="Calibri"/>
                <w:color w:val="000000"/>
                <w:sz w:val="16"/>
                <w:szCs w:val="16"/>
                <w:lang w:eastAsia="en-GB"/>
              </w:rPr>
              <w:t xml:space="preserve">  after stroke due to ischaemic stroke </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19%</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death</w:t>
            </w:r>
            <w:r w:rsidRPr="00523F10">
              <w:rPr>
                <w:rFonts w:asciiTheme="minorHAnsi" w:hAnsiTheme="minorHAnsi"/>
                <w:bCs/>
                <w:sz w:val="16"/>
                <w:szCs w:val="16"/>
              </w:rPr>
              <w:t></w:t>
            </w:r>
            <w:r w:rsidRPr="00523F10">
              <w:rPr>
                <w:rFonts w:asciiTheme="minorHAnsi" w:eastAsia="Times New Roman" w:hAnsiTheme="minorHAnsi" w:cs="Calibri"/>
                <w:color w:val="000000"/>
                <w:sz w:val="16"/>
                <w:szCs w:val="16"/>
                <w:lang w:eastAsia="en-GB"/>
              </w:rPr>
              <w:t xml:space="preserve">  after an ischaemic stroke and thrombolysis treatment </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15%</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likelihood of being dependent/disabled after an ischaemic stroke </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35%</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Bamford (1990)</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Patients with true stroke symptoms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Percentage with no prior contraindications for thrombolysis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95%</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Patient level data</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color w:val="000000"/>
                <w:sz w:val="16"/>
                <w:szCs w:val="16"/>
                <w:lang w:eastAsia="en-GB"/>
              </w:rPr>
            </w:pPr>
            <w:r w:rsidRPr="00523F10">
              <w:rPr>
                <w:rFonts w:asciiTheme="minorHAnsi" w:eastAsia="Times New Roman" w:hAnsiTheme="minorHAnsi" w:cs="Calibri"/>
                <w:b/>
                <w:color w:val="000000"/>
                <w:sz w:val="16"/>
                <w:szCs w:val="16"/>
                <w:lang w:eastAsia="en-GB"/>
              </w:rPr>
              <w:t>Effectiveness of thrombolysis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Decrease in dependency after stroke due to thrombolysis treatment</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0.67</w:t>
            </w:r>
            <w:r>
              <w:rPr>
                <w:rFonts w:ascii="Trebuchet MS" w:hAnsi="Trebuchet MS"/>
                <w:color w:val="808080"/>
                <w:sz w:val="11"/>
                <w:szCs w:val="11"/>
              </w:rPr>
              <w:t xml:space="preserve"> </w:t>
            </w:r>
            <w:r w:rsidRPr="001B3071">
              <w:rPr>
                <w:szCs w:val="24"/>
              </w:rPr>
              <w:t>†</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Log normal</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Cochrane Review (2009)</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Life expectancy (in years)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74 year old female with no history of stroke</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9.9</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Pr>
                <w:rFonts w:asciiTheme="minorHAnsi" w:eastAsia="Times New Roman" w:hAnsiTheme="minorHAnsi" w:cs="Calibri"/>
                <w:color w:val="000000"/>
                <w:sz w:val="16"/>
                <w:szCs w:val="16"/>
                <w:lang w:eastAsia="en-GB"/>
              </w:rPr>
              <w:t xml:space="preserve">Adjusted </w:t>
            </w:r>
            <w:r w:rsidRPr="00523F10">
              <w:rPr>
                <w:rFonts w:asciiTheme="minorHAnsi" w:eastAsia="Times New Roman" w:hAnsiTheme="minorHAnsi" w:cs="Calibri"/>
                <w:color w:val="000000"/>
                <w:sz w:val="16"/>
                <w:szCs w:val="16"/>
                <w:lang w:eastAsia="en-GB"/>
              </w:rPr>
              <w:t>ONS, Life tables</w:t>
            </w:r>
            <w:r w:rsidRPr="00D86148">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69 year old male with no history of stroke</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10.8</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Pr>
                <w:rFonts w:asciiTheme="minorHAnsi" w:eastAsia="Times New Roman" w:hAnsiTheme="minorHAnsi" w:cs="Calibri"/>
                <w:color w:val="000000"/>
                <w:sz w:val="16"/>
                <w:szCs w:val="16"/>
                <w:lang w:eastAsia="en-GB"/>
              </w:rPr>
              <w:t xml:space="preserve">Adjusted </w:t>
            </w:r>
            <w:r w:rsidRPr="00523F10">
              <w:rPr>
                <w:rFonts w:asciiTheme="minorHAnsi" w:eastAsia="Times New Roman" w:hAnsiTheme="minorHAnsi" w:cs="Calibri"/>
                <w:color w:val="000000"/>
                <w:sz w:val="16"/>
                <w:szCs w:val="16"/>
                <w:lang w:eastAsia="en-GB"/>
              </w:rPr>
              <w:t>ONS, Life tables</w:t>
            </w:r>
            <w:r w:rsidRPr="00D86148">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74 year old independent female with history of stroke </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9.6</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Pr>
                <w:rFonts w:asciiTheme="minorHAnsi" w:eastAsia="Times New Roman" w:hAnsiTheme="minorHAnsi" w:cs="Calibri"/>
                <w:color w:val="000000"/>
                <w:sz w:val="16"/>
                <w:szCs w:val="16"/>
                <w:lang w:eastAsia="en-GB"/>
              </w:rPr>
              <w:t xml:space="preserve">Adjusted </w:t>
            </w:r>
            <w:r w:rsidRPr="00523F10">
              <w:rPr>
                <w:rFonts w:asciiTheme="minorHAnsi" w:eastAsia="Times New Roman" w:hAnsiTheme="minorHAnsi" w:cs="Calibri"/>
                <w:color w:val="000000"/>
                <w:sz w:val="16"/>
                <w:szCs w:val="16"/>
                <w:lang w:eastAsia="en-GB"/>
              </w:rPr>
              <w:t>ONS, Life tables</w:t>
            </w:r>
            <w:r w:rsidRPr="00D86148">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69 year old independent male with history of stroke</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10.5</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Pr>
                <w:rFonts w:asciiTheme="minorHAnsi" w:eastAsia="Times New Roman" w:hAnsiTheme="minorHAnsi" w:cs="Calibri"/>
                <w:color w:val="000000"/>
                <w:sz w:val="16"/>
                <w:szCs w:val="16"/>
                <w:lang w:eastAsia="en-GB"/>
              </w:rPr>
              <w:t xml:space="preserve">Adjusted </w:t>
            </w:r>
            <w:r w:rsidRPr="00523F10">
              <w:rPr>
                <w:rFonts w:asciiTheme="minorHAnsi" w:eastAsia="Times New Roman" w:hAnsiTheme="minorHAnsi" w:cs="Calibri"/>
                <w:color w:val="000000"/>
                <w:sz w:val="16"/>
                <w:szCs w:val="16"/>
                <w:lang w:eastAsia="en-GB"/>
              </w:rPr>
              <w:t>ONS, Life tables</w:t>
            </w:r>
            <w:r w:rsidRPr="00D86148">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74 year old dependent female with history of stroke </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  8.7</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Pr>
                <w:rFonts w:asciiTheme="minorHAnsi" w:eastAsia="Times New Roman" w:hAnsiTheme="minorHAnsi" w:cs="Calibri"/>
                <w:color w:val="000000"/>
                <w:sz w:val="16"/>
                <w:szCs w:val="16"/>
                <w:lang w:eastAsia="en-GB"/>
              </w:rPr>
              <w:t xml:space="preserve">Adjusted </w:t>
            </w:r>
            <w:r w:rsidRPr="00523F10">
              <w:rPr>
                <w:rFonts w:asciiTheme="minorHAnsi" w:eastAsia="Times New Roman" w:hAnsiTheme="minorHAnsi" w:cs="Calibri"/>
                <w:color w:val="000000"/>
                <w:sz w:val="16"/>
                <w:szCs w:val="16"/>
                <w:lang w:eastAsia="en-GB"/>
              </w:rPr>
              <w:t>ONS, Life tables</w:t>
            </w:r>
            <w:r w:rsidRPr="00D86148">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69 year old dependent male with history of stroke</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10.0</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Pr>
                <w:rFonts w:asciiTheme="minorHAnsi" w:eastAsia="Times New Roman" w:hAnsiTheme="minorHAnsi" w:cs="Calibri"/>
                <w:color w:val="000000"/>
                <w:sz w:val="16"/>
                <w:szCs w:val="16"/>
                <w:lang w:eastAsia="en-GB"/>
              </w:rPr>
              <w:t xml:space="preserve">Adjusted </w:t>
            </w:r>
            <w:r w:rsidRPr="00523F10">
              <w:rPr>
                <w:rFonts w:asciiTheme="minorHAnsi" w:eastAsia="Times New Roman" w:hAnsiTheme="minorHAnsi" w:cs="Calibri"/>
                <w:color w:val="000000"/>
                <w:sz w:val="16"/>
                <w:szCs w:val="16"/>
                <w:lang w:eastAsia="en-GB"/>
              </w:rPr>
              <w:t>ONS, Life tables</w:t>
            </w:r>
            <w:r w:rsidRPr="00D86148">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Utility score</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Dependent stroke patient</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0.38</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(2004)</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Independent stroke patient</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0.74</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Beta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(2004)</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Unit costs</w:t>
            </w:r>
          </w:p>
        </w:tc>
        <w:tc>
          <w:tcPr>
            <w:tcW w:w="1134"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hideMark/>
          </w:tcPr>
          <w:p w:rsidR="009C5F78" w:rsidRPr="00523F10" w:rsidRDefault="009C5F78" w:rsidP="009C5F78">
            <w:pPr>
              <w:spacing w:line="240" w:lineRule="auto"/>
              <w:jc w:val="left"/>
              <w:rPr>
                <w:rFonts w:asciiTheme="minorHAnsi" w:eastAsia="Times New Roman" w:hAnsiTheme="minorHAnsi" w:cs="Calibri"/>
                <w:b/>
                <w:bCs/>
                <w:color w:val="000000"/>
                <w:sz w:val="16"/>
                <w:szCs w:val="16"/>
                <w:lang w:eastAsia="en-GB"/>
              </w:rPr>
            </w:pPr>
            <w:r w:rsidRPr="00523F10">
              <w:rPr>
                <w:rFonts w:asciiTheme="minorHAnsi" w:eastAsia="Times New Roman" w:hAnsiTheme="minorHAnsi" w:cs="Calibri"/>
                <w:b/>
                <w:bCs/>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xml:space="preserve">GP home visit </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$120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PSSRU 2011</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GP phone call</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$22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PSSRU 2011</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GP surgery visit</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$37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PSSRU 2011</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Transportation by ambulance including paramedics</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$369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NHS Reference Costs 2010/11</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Attending A&amp;E leading to admission</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$348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NHS Reference Costs 2010/11</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CT scan</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$140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NHS Reference Costs 2010/11</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Thrombolysis (drug only)</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$1,057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9C6C83">
              <w:rPr>
                <w:rFonts w:asciiTheme="minorHAnsi" w:hAnsiTheme="minorHAnsi"/>
                <w:color w:val="000000"/>
                <w:sz w:val="16"/>
              </w:rPr>
              <w:t>BNF September 2011</w:t>
            </w:r>
            <w:r>
              <w:rPr>
                <w:rFonts w:ascii="Trebuchet MS" w:hAnsi="Trebuchet MS"/>
                <w:color w:val="808080"/>
                <w:sz w:val="16"/>
                <w:szCs w:val="16"/>
              </w:rPr>
              <w: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b/>
                <w:i/>
                <w:iCs/>
                <w:color w:val="000000"/>
                <w:sz w:val="16"/>
                <w:szCs w:val="16"/>
                <w:lang w:eastAsia="en-GB"/>
              </w:rPr>
            </w:pPr>
            <w:r w:rsidRPr="00523F10">
              <w:rPr>
                <w:rFonts w:asciiTheme="minorHAnsi" w:eastAsia="Times New Roman" w:hAnsiTheme="minorHAnsi" w:cs="Calibri"/>
                <w:b/>
                <w:i/>
                <w:iCs/>
                <w:color w:val="000000"/>
                <w:sz w:val="16"/>
                <w:szCs w:val="16"/>
                <w:lang w:eastAsia="en-GB"/>
              </w:rPr>
              <w:t>Stroke costs (per year)</w:t>
            </w:r>
            <w:r>
              <w:rPr>
                <w:rFonts w:ascii="Trebuchet MS" w:hAnsi="Trebuchet MS"/>
                <w:color w:val="808080"/>
                <w:sz w:val="11"/>
                <w:szCs w:val="11"/>
              </w:rPr>
              <w:t xml:space="preserve"> </w:t>
            </w:r>
            <w:r w:rsidRPr="00D86148">
              <w:rPr>
                <w:rFonts w:ascii="Trebuchet MS" w:hAnsi="Trebuchet MS"/>
                <w:color w:val="808080"/>
                <w:sz w:val="16"/>
                <w:szCs w:val="16"/>
              </w:rPr>
              <w:t>¶</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 </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Independent acute stroke</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$6,021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Gamma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(2002) HTA Report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Dependent acute stroke</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$21,931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Gamma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(2002) HTA Report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Long-term independent stroke</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$1,969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Gamma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(2002) HTA Report</w:t>
            </w:r>
          </w:p>
        </w:tc>
      </w:tr>
      <w:tr w:rsidR="009C5F78" w:rsidRPr="004D7CAC" w:rsidTr="009C5F78">
        <w:trPr>
          <w:trHeight w:val="113"/>
        </w:trPr>
        <w:tc>
          <w:tcPr>
            <w:tcW w:w="5118" w:type="dxa"/>
            <w:tcBorders>
              <w:top w:val="nil"/>
              <w:left w:val="single" w:sz="8" w:space="0" w:color="FFFFFF"/>
              <w:bottom w:val="single" w:sz="8" w:space="0" w:color="FFFFFF"/>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Long-term dependent stroke</w:t>
            </w:r>
          </w:p>
        </w:tc>
        <w:tc>
          <w:tcPr>
            <w:tcW w:w="1134" w:type="dxa"/>
            <w:tcBorders>
              <w:top w:val="nil"/>
              <w:left w:val="nil"/>
              <w:bottom w:val="single" w:sz="8" w:space="0" w:color="FFFFFF"/>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$25,919 </w:t>
            </w:r>
          </w:p>
        </w:tc>
        <w:tc>
          <w:tcPr>
            <w:tcW w:w="1010"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Gamma</w:t>
            </w:r>
          </w:p>
        </w:tc>
        <w:tc>
          <w:tcPr>
            <w:tcW w:w="2392" w:type="dxa"/>
            <w:tcBorders>
              <w:top w:val="nil"/>
              <w:left w:val="nil"/>
              <w:bottom w:val="single" w:sz="8" w:space="0" w:color="FFFFFF"/>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(2002) HTA Report</w:t>
            </w:r>
          </w:p>
        </w:tc>
      </w:tr>
      <w:tr w:rsidR="009C5F78" w:rsidRPr="004D7CAC" w:rsidTr="009C5F78">
        <w:trPr>
          <w:trHeight w:val="113"/>
        </w:trPr>
        <w:tc>
          <w:tcPr>
            <w:tcW w:w="5118" w:type="dxa"/>
            <w:tcBorders>
              <w:top w:val="nil"/>
              <w:left w:val="single" w:sz="8" w:space="0" w:color="FFFFFF"/>
              <w:bottom w:val="single" w:sz="8" w:space="0" w:color="auto"/>
              <w:right w:val="single" w:sz="8" w:space="0" w:color="FFFFFF"/>
            </w:tcBorders>
            <w:shd w:val="clear" w:color="auto" w:fill="auto"/>
            <w:noWrap/>
            <w:hideMark/>
          </w:tcPr>
          <w:p w:rsidR="009C5F78" w:rsidRPr="00523F10" w:rsidRDefault="009C5F78" w:rsidP="009C5F78">
            <w:pPr>
              <w:spacing w:line="240" w:lineRule="auto"/>
              <w:ind w:firstLineChars="200" w:firstLine="320"/>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Fatal stroke</w:t>
            </w:r>
          </w:p>
        </w:tc>
        <w:tc>
          <w:tcPr>
            <w:tcW w:w="1134" w:type="dxa"/>
            <w:tcBorders>
              <w:top w:val="nil"/>
              <w:left w:val="nil"/>
              <w:bottom w:val="single" w:sz="8" w:space="0" w:color="auto"/>
              <w:right w:val="single" w:sz="8" w:space="0" w:color="FFFFFF"/>
            </w:tcBorders>
            <w:shd w:val="clear" w:color="auto" w:fill="auto"/>
            <w:noWrap/>
            <w:hideMark/>
          </w:tcPr>
          <w:p w:rsidR="009C5F78" w:rsidRDefault="009C5F78" w:rsidP="009C5F78">
            <w:pPr>
              <w:jc w:val="left"/>
              <w:rPr>
                <w:rFonts w:ascii="Calibri" w:hAnsi="Calibri" w:cs="Arial"/>
                <w:color w:val="000000"/>
                <w:sz w:val="16"/>
                <w:szCs w:val="16"/>
              </w:rPr>
            </w:pPr>
            <w:r>
              <w:rPr>
                <w:rFonts w:ascii="Calibri" w:hAnsi="Calibri" w:cs="Arial"/>
                <w:color w:val="000000"/>
                <w:sz w:val="16"/>
                <w:szCs w:val="16"/>
              </w:rPr>
              <w:t xml:space="preserve">$14,191 </w:t>
            </w:r>
          </w:p>
        </w:tc>
        <w:tc>
          <w:tcPr>
            <w:tcW w:w="1010" w:type="dxa"/>
            <w:tcBorders>
              <w:top w:val="nil"/>
              <w:left w:val="nil"/>
              <w:bottom w:val="single" w:sz="8" w:space="0" w:color="auto"/>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r w:rsidRPr="00523F10">
              <w:rPr>
                <w:rFonts w:asciiTheme="minorHAnsi" w:eastAsia="Times New Roman" w:hAnsiTheme="minorHAnsi" w:cs="Calibri"/>
                <w:color w:val="000000"/>
                <w:sz w:val="16"/>
                <w:szCs w:val="16"/>
                <w:lang w:eastAsia="en-GB"/>
              </w:rPr>
              <w:t>Gamma</w:t>
            </w:r>
          </w:p>
        </w:tc>
        <w:tc>
          <w:tcPr>
            <w:tcW w:w="2392" w:type="dxa"/>
            <w:tcBorders>
              <w:top w:val="nil"/>
              <w:left w:val="nil"/>
              <w:bottom w:val="single" w:sz="8" w:space="0" w:color="auto"/>
              <w:right w:val="single" w:sz="8" w:space="0" w:color="FFFFFF"/>
            </w:tcBorders>
            <w:shd w:val="clear" w:color="auto" w:fill="auto"/>
            <w:noWrap/>
            <w:hideMark/>
          </w:tcPr>
          <w:p w:rsidR="009C5F78" w:rsidRPr="00523F10" w:rsidRDefault="009C5F78" w:rsidP="009C5F78">
            <w:pPr>
              <w:spacing w:line="240" w:lineRule="auto"/>
              <w:jc w:val="left"/>
              <w:rPr>
                <w:rFonts w:asciiTheme="minorHAnsi" w:eastAsia="Times New Roman" w:hAnsiTheme="minorHAnsi" w:cs="Calibri"/>
                <w:color w:val="000000"/>
                <w:sz w:val="16"/>
                <w:szCs w:val="16"/>
                <w:lang w:eastAsia="en-GB"/>
              </w:rPr>
            </w:pPr>
            <w:proofErr w:type="spellStart"/>
            <w:r w:rsidRPr="00523F10">
              <w:rPr>
                <w:rFonts w:asciiTheme="minorHAnsi" w:eastAsia="Times New Roman" w:hAnsiTheme="minorHAnsi" w:cs="Calibri"/>
                <w:color w:val="000000"/>
                <w:sz w:val="16"/>
                <w:szCs w:val="16"/>
                <w:lang w:eastAsia="en-GB"/>
              </w:rPr>
              <w:t>Sandercock</w:t>
            </w:r>
            <w:proofErr w:type="spellEnd"/>
            <w:r w:rsidRPr="00523F10">
              <w:rPr>
                <w:rFonts w:asciiTheme="minorHAnsi" w:eastAsia="Times New Roman" w:hAnsiTheme="minorHAnsi" w:cs="Calibri"/>
                <w:color w:val="000000"/>
                <w:sz w:val="16"/>
                <w:szCs w:val="16"/>
                <w:lang w:eastAsia="en-GB"/>
              </w:rPr>
              <w:t xml:space="preserve"> (2002) HTA Report</w:t>
            </w:r>
          </w:p>
        </w:tc>
      </w:tr>
    </w:tbl>
    <w:p w:rsidR="009C5F78" w:rsidRPr="00584237" w:rsidRDefault="009C5F78" w:rsidP="009C5F78">
      <w:pPr>
        <w:spacing w:line="240" w:lineRule="auto"/>
        <w:jc w:val="left"/>
        <w:rPr>
          <w:sz w:val="20"/>
          <w:szCs w:val="20"/>
        </w:rPr>
      </w:pPr>
      <w:r w:rsidRPr="00584237">
        <w:rPr>
          <w:sz w:val="20"/>
          <w:szCs w:val="20"/>
        </w:rPr>
        <w:t>* Death within one year of stroke</w:t>
      </w:r>
    </w:p>
    <w:p w:rsidR="009C5F78" w:rsidRDefault="009C5F78" w:rsidP="009C5F78">
      <w:pPr>
        <w:spacing w:line="240" w:lineRule="auto"/>
        <w:jc w:val="left"/>
        <w:rPr>
          <w:sz w:val="20"/>
          <w:szCs w:val="20"/>
        </w:rPr>
      </w:pPr>
      <w:r w:rsidRPr="001B3071">
        <w:rPr>
          <w:szCs w:val="24"/>
        </w:rPr>
        <w:t>†</w:t>
      </w:r>
      <w:r w:rsidRPr="00D86148">
        <w:rPr>
          <w:rFonts w:ascii="Trebuchet MS" w:hAnsi="Trebuchet MS"/>
          <w:color w:val="808080"/>
          <w:sz w:val="16"/>
          <w:szCs w:val="16"/>
        </w:rPr>
        <w:t xml:space="preserve"> </w:t>
      </w:r>
      <w:r w:rsidRPr="00584237">
        <w:rPr>
          <w:sz w:val="20"/>
          <w:szCs w:val="20"/>
        </w:rPr>
        <w:t>Odds ratio (95% Confidence intervals 0.61 to 0.75)</w:t>
      </w:r>
    </w:p>
    <w:p w:rsidR="009C5F78" w:rsidRPr="00584237" w:rsidRDefault="009C5F78" w:rsidP="009C5F78">
      <w:pPr>
        <w:spacing w:line="240" w:lineRule="auto"/>
        <w:jc w:val="left"/>
        <w:rPr>
          <w:sz w:val="20"/>
          <w:szCs w:val="20"/>
        </w:rPr>
      </w:pPr>
      <w:r w:rsidRPr="00764D58">
        <w:rPr>
          <w:rFonts w:ascii="Trebuchet MS" w:hAnsi="Trebuchet MS"/>
          <w:color w:val="808080"/>
          <w:szCs w:val="24"/>
        </w:rPr>
        <w:t>§</w:t>
      </w:r>
      <w:r w:rsidRPr="00764D58">
        <w:rPr>
          <w:szCs w:val="24"/>
        </w:rPr>
        <w:t xml:space="preserve"> </w:t>
      </w:r>
      <w:r w:rsidRPr="00584237">
        <w:rPr>
          <w:sz w:val="20"/>
          <w:szCs w:val="20"/>
        </w:rPr>
        <w:t xml:space="preserve">Office for National Statistics (ONS); </w:t>
      </w:r>
      <w:r>
        <w:rPr>
          <w:sz w:val="20"/>
          <w:szCs w:val="20"/>
        </w:rPr>
        <w:t xml:space="preserve">adjusted by mortality rates in post stroke years for each </w:t>
      </w:r>
      <w:proofErr w:type="spellStart"/>
      <w:r>
        <w:rPr>
          <w:sz w:val="20"/>
          <w:szCs w:val="20"/>
        </w:rPr>
        <w:t>mRS</w:t>
      </w:r>
      <w:proofErr w:type="spellEnd"/>
      <w:r>
        <w:rPr>
          <w:sz w:val="20"/>
          <w:szCs w:val="20"/>
        </w:rPr>
        <w:t xml:space="preserve"> level using published data</w:t>
      </w:r>
      <w:r w:rsidR="00807D9B">
        <w:rPr>
          <w:sz w:val="20"/>
          <w:szCs w:val="20"/>
        </w:rPr>
        <w:t xml:space="preserve"> </w:t>
      </w:r>
      <w:r w:rsidR="00807D9B" w:rsidRPr="00807D9B">
        <w:rPr>
          <w:sz w:val="20"/>
          <w:szCs w:val="20"/>
          <w:vertAlign w:val="superscript"/>
        </w:rPr>
        <w:t>28</w:t>
      </w:r>
    </w:p>
    <w:p w:rsidR="009C5F78" w:rsidRPr="00584237" w:rsidRDefault="009C5F78" w:rsidP="009C5F78">
      <w:pPr>
        <w:spacing w:line="240" w:lineRule="auto"/>
        <w:jc w:val="left"/>
        <w:rPr>
          <w:sz w:val="20"/>
          <w:szCs w:val="20"/>
        </w:rPr>
      </w:pPr>
      <w:r>
        <w:rPr>
          <w:rFonts w:ascii="Trebuchet MS" w:hAnsi="Trebuchet MS"/>
          <w:color w:val="808080"/>
          <w:szCs w:val="24"/>
        </w:rPr>
        <w:t>**</w:t>
      </w:r>
      <w:r w:rsidRPr="009C6C83">
        <w:rPr>
          <w:sz w:val="20"/>
          <w:szCs w:val="20"/>
        </w:rPr>
        <w:t>BNF, March 2011. Cost refers to intravenous administration over 60 minutes, 900 micrograms/kg (max 90 mg); initial 10% of dose by intravenous injection (with diluents), remainder by intravenous infusion (with diluents, transfer device and infusion bag)</w:t>
      </w:r>
    </w:p>
    <w:p w:rsidR="009C5F78" w:rsidRDefault="009C5F78" w:rsidP="009C5F78">
      <w:pPr>
        <w:spacing w:line="240" w:lineRule="auto"/>
        <w:jc w:val="left"/>
        <w:rPr>
          <w:sz w:val="20"/>
          <w:szCs w:val="20"/>
        </w:rPr>
      </w:pPr>
      <w:r w:rsidRPr="00764D58">
        <w:rPr>
          <w:rFonts w:ascii="Trebuchet MS" w:hAnsi="Trebuchet MS"/>
          <w:color w:val="808080"/>
          <w:szCs w:val="24"/>
        </w:rPr>
        <w:t>¶</w:t>
      </w:r>
      <w:r>
        <w:rPr>
          <w:rFonts w:ascii="Trebuchet MS" w:hAnsi="Trebuchet MS"/>
          <w:color w:val="808080"/>
          <w:sz w:val="16"/>
          <w:szCs w:val="16"/>
        </w:rPr>
        <w:t xml:space="preserve"> </w:t>
      </w:r>
      <w:r w:rsidRPr="00584237">
        <w:rPr>
          <w:sz w:val="20"/>
          <w:szCs w:val="20"/>
        </w:rPr>
        <w:t>All figures have been adjusted using the Hospital and Community Health Service (HCHS) pay and price Index 2010/11</w:t>
      </w:r>
    </w:p>
    <w:p w:rsidR="009C5F78" w:rsidRPr="00584237" w:rsidRDefault="009C5F78" w:rsidP="009C5F78">
      <w:pPr>
        <w:spacing w:line="240" w:lineRule="auto"/>
        <w:jc w:val="left"/>
        <w:rPr>
          <w:sz w:val="20"/>
          <w:szCs w:val="20"/>
        </w:rPr>
      </w:pPr>
      <w:r>
        <w:rPr>
          <w:sz w:val="20"/>
          <w:szCs w:val="20"/>
        </w:rPr>
        <w:t>NOTE: all figures</w:t>
      </w:r>
      <w:r w:rsidRPr="00584237">
        <w:rPr>
          <w:sz w:val="20"/>
          <w:szCs w:val="20"/>
        </w:rPr>
        <w:t xml:space="preserve"> </w:t>
      </w:r>
      <w:r w:rsidRPr="00EF3F69">
        <w:rPr>
          <w:sz w:val="20"/>
          <w:szCs w:val="20"/>
        </w:rPr>
        <w:t>were converted to US Dollars using the purchasing power parity (PPP) exchange rate 2012 = 0.681 per USD.</w:t>
      </w:r>
      <w:r w:rsidR="00807D9B" w:rsidRPr="00807D9B">
        <w:rPr>
          <w:sz w:val="20"/>
          <w:szCs w:val="20"/>
          <w:vertAlign w:val="superscript"/>
        </w:rPr>
        <w:t>29</w:t>
      </w:r>
    </w:p>
    <w:p w:rsidR="009C5F78" w:rsidRPr="001B3071" w:rsidRDefault="009C5F78" w:rsidP="009C5F78">
      <w:pPr>
        <w:spacing w:line="240" w:lineRule="auto"/>
        <w:jc w:val="left"/>
        <w:rPr>
          <w:rFonts w:cs="Times New Roman"/>
          <w:b/>
          <w:szCs w:val="24"/>
        </w:rPr>
      </w:pPr>
      <w:r w:rsidRPr="001B3071">
        <w:rPr>
          <w:rFonts w:cs="Times New Roman"/>
          <w:b/>
          <w:szCs w:val="24"/>
        </w:rPr>
        <w:lastRenderedPageBreak/>
        <w:t>Table 3. Patient characteristics in basecase</w:t>
      </w:r>
    </w:p>
    <w:tbl>
      <w:tblPr>
        <w:tblStyle w:val="LightShading1"/>
        <w:tblW w:w="8800" w:type="dxa"/>
        <w:tblBorders>
          <w:top w:val="single" w:sz="4" w:space="0" w:color="auto"/>
          <w:bottom w:val="single" w:sz="4" w:space="0" w:color="auto"/>
        </w:tblBorders>
        <w:tblLook w:val="04A0" w:firstRow="1" w:lastRow="0" w:firstColumn="1" w:lastColumn="0" w:noHBand="0" w:noVBand="1"/>
      </w:tblPr>
      <w:tblGrid>
        <w:gridCol w:w="4077"/>
        <w:gridCol w:w="1548"/>
        <w:gridCol w:w="1512"/>
        <w:gridCol w:w="1663"/>
      </w:tblGrid>
      <w:tr w:rsidR="009C5F78" w:rsidRPr="001B3071" w:rsidTr="009C5F78">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left w:val="none" w:sz="0" w:space="0" w:color="auto"/>
              <w:bottom w:val="single" w:sz="4" w:space="0" w:color="auto"/>
              <w:right w:val="none" w:sz="0" w:space="0" w:color="auto"/>
            </w:tcBorders>
            <w:shd w:val="clear" w:color="auto" w:fill="auto"/>
            <w:noWrap/>
            <w:hideMark/>
          </w:tcPr>
          <w:p w:rsidR="009C5F78" w:rsidRPr="001B3071" w:rsidRDefault="009C5F78" w:rsidP="009C5F78">
            <w:pPr>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C</w:t>
            </w:r>
            <w:r w:rsidRPr="001B3071">
              <w:rPr>
                <w:rFonts w:ascii="Times New Roman" w:eastAsia="Times New Roman" w:hAnsi="Times New Roman" w:cs="Times New Roman"/>
                <w:color w:val="000000"/>
                <w:sz w:val="24"/>
                <w:szCs w:val="24"/>
                <w:lang w:eastAsia="en-GB"/>
              </w:rPr>
              <w:t>haracteristics</w:t>
            </w:r>
          </w:p>
        </w:tc>
        <w:tc>
          <w:tcPr>
            <w:tcW w:w="1548"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P</w:t>
            </w:r>
            <w:r w:rsidRPr="001B3071">
              <w:rPr>
                <w:rFonts w:ascii="Times New Roman" w:eastAsia="Times New Roman" w:hAnsi="Times New Roman" w:cs="Times New Roman"/>
                <w:color w:val="000000"/>
                <w:sz w:val="24"/>
                <w:szCs w:val="24"/>
                <w:lang w:eastAsia="en-GB"/>
              </w:rPr>
              <w:t xml:space="preserve">opulation                                                                         </w:t>
            </w:r>
          </w:p>
        </w:tc>
        <w:tc>
          <w:tcPr>
            <w:tcW w:w="1512"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S</w:t>
            </w:r>
            <w:r w:rsidRPr="001B3071">
              <w:rPr>
                <w:rFonts w:ascii="Times New Roman" w:eastAsia="Times New Roman" w:hAnsi="Times New Roman" w:cs="Times New Roman"/>
                <w:color w:val="000000"/>
                <w:sz w:val="24"/>
                <w:szCs w:val="24"/>
                <w:lang w:eastAsia="en-GB"/>
              </w:rPr>
              <w:t xml:space="preserve">troke </w:t>
            </w:r>
          </w:p>
        </w:tc>
        <w:tc>
          <w:tcPr>
            <w:tcW w:w="1663"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S</w:t>
            </w:r>
            <w:r w:rsidRPr="001B3071">
              <w:rPr>
                <w:rFonts w:ascii="Times New Roman" w:eastAsia="Times New Roman" w:hAnsi="Times New Roman" w:cs="Times New Roman"/>
                <w:color w:val="000000"/>
                <w:sz w:val="24"/>
                <w:szCs w:val="24"/>
                <w:lang w:eastAsia="en-GB"/>
              </w:rPr>
              <w:t xml:space="preserve">troke mimic </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sidRPr="007D4B06">
              <w:rPr>
                <w:rFonts w:ascii="Times New Roman" w:eastAsia="Times New Roman" w:hAnsi="Times New Roman" w:cs="Times New Roman"/>
                <w:b w:val="0"/>
                <w:color w:val="000000"/>
                <w:sz w:val="24"/>
                <w:szCs w:val="24"/>
                <w:lang w:eastAsia="en-GB"/>
              </w:rPr>
              <w:t>Total (% of total)</w:t>
            </w:r>
          </w:p>
        </w:tc>
        <w:tc>
          <w:tcPr>
            <w:tcW w:w="1548" w:type="dxa"/>
            <w:tcBorders>
              <w:top w:val="single" w:sz="4" w:space="0" w:color="auto"/>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488(100%)</w:t>
            </w:r>
          </w:p>
        </w:tc>
        <w:tc>
          <w:tcPr>
            <w:tcW w:w="1512" w:type="dxa"/>
            <w:tcBorders>
              <w:top w:val="single" w:sz="4" w:space="0" w:color="auto"/>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355(73%)</w:t>
            </w:r>
          </w:p>
        </w:tc>
        <w:tc>
          <w:tcPr>
            <w:tcW w:w="1663" w:type="dxa"/>
            <w:tcBorders>
              <w:top w:val="single" w:sz="4" w:space="0" w:color="auto"/>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133(27%)</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sidRPr="007D4B06">
              <w:rPr>
                <w:rFonts w:ascii="Times New Roman" w:eastAsia="Times New Roman" w:hAnsi="Times New Roman" w:cs="Times New Roman"/>
                <w:b w:val="0"/>
                <w:color w:val="000000"/>
                <w:sz w:val="24"/>
                <w:szCs w:val="24"/>
                <w:lang w:eastAsia="en-GB"/>
              </w:rPr>
              <w:t xml:space="preserve">Age (years; mean ± </w:t>
            </w:r>
            <w:r>
              <w:rPr>
                <w:rFonts w:ascii="Times New Roman" w:eastAsia="Times New Roman" w:hAnsi="Times New Roman" w:cs="Times New Roman"/>
                <w:b w:val="0"/>
                <w:color w:val="000000"/>
                <w:sz w:val="24"/>
                <w:szCs w:val="24"/>
                <w:lang w:eastAsia="en-GB"/>
              </w:rPr>
              <w:t>SD</w:t>
            </w:r>
            <w:r w:rsidRPr="007D4B06">
              <w:rPr>
                <w:rFonts w:ascii="Times New Roman" w:eastAsia="Times New Roman" w:hAnsi="Times New Roman" w:cs="Times New Roman"/>
                <w:b w:val="0"/>
                <w:color w:val="000000"/>
                <w:sz w:val="24"/>
                <w:szCs w:val="24"/>
                <w:lang w:eastAsia="en-GB"/>
              </w:rPr>
              <w:t>)</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70±16</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72±15</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66±17</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Pr>
                <w:rFonts w:ascii="Times New Roman" w:eastAsia="Times New Roman" w:hAnsi="Times New Roman" w:cs="Times New Roman"/>
                <w:b w:val="0"/>
                <w:color w:val="000000"/>
                <w:sz w:val="24"/>
                <w:szCs w:val="24"/>
                <w:lang w:eastAsia="en-GB"/>
              </w:rPr>
              <w:t>&gt;</w:t>
            </w:r>
            <w:r w:rsidRPr="007D4B06">
              <w:rPr>
                <w:rFonts w:ascii="Times New Roman" w:eastAsia="Times New Roman" w:hAnsi="Times New Roman" w:cs="Times New Roman"/>
                <w:b w:val="0"/>
                <w:color w:val="000000"/>
                <w:sz w:val="24"/>
                <w:szCs w:val="24"/>
                <w:lang w:eastAsia="en-GB"/>
              </w:rPr>
              <w:t>80 years</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156(32%)</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121(34%)</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35(26%)</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sidRPr="007D4B06">
              <w:rPr>
                <w:rFonts w:ascii="Times New Roman" w:eastAsia="Times New Roman" w:hAnsi="Times New Roman" w:cs="Times New Roman"/>
                <w:b w:val="0"/>
                <w:color w:val="000000"/>
                <w:sz w:val="24"/>
                <w:szCs w:val="24"/>
                <w:lang w:eastAsia="en-GB"/>
              </w:rPr>
              <w:t>Sex (% female)</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240(49%)</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169(48%)</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71(53%)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sidRPr="007D4B06">
              <w:rPr>
                <w:rFonts w:ascii="Times New Roman" w:eastAsia="Times New Roman" w:hAnsi="Times New Roman" w:cs="Times New Roman"/>
                <w:b w:val="0"/>
                <w:color w:val="000000"/>
                <w:sz w:val="24"/>
                <w:szCs w:val="24"/>
                <w:lang w:eastAsia="en-GB"/>
              </w:rPr>
              <w:t>Hospital</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sidRPr="007D4B06">
              <w:rPr>
                <w:rFonts w:ascii="Times New Roman" w:eastAsia="Times New Roman" w:hAnsi="Times New Roman" w:cs="Times New Roman"/>
                <w:b w:val="0"/>
                <w:color w:val="000000"/>
                <w:sz w:val="24"/>
                <w:szCs w:val="24"/>
                <w:lang w:eastAsia="en-GB"/>
              </w:rPr>
              <w:t xml:space="preserve">    Trust 1</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232(48%)</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135(38%)</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97(73%)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bCs w:val="0"/>
                <w:color w:val="000000"/>
                <w:sz w:val="24"/>
                <w:szCs w:val="24"/>
                <w:lang w:eastAsia="en-GB"/>
              </w:rPr>
            </w:pPr>
            <w:r w:rsidRPr="007D4B06">
              <w:rPr>
                <w:rFonts w:ascii="Times New Roman" w:eastAsia="Times New Roman" w:hAnsi="Times New Roman" w:cs="Times New Roman"/>
                <w:b w:val="0"/>
                <w:color w:val="000000"/>
                <w:sz w:val="24"/>
                <w:szCs w:val="24"/>
                <w:lang w:eastAsia="en-GB"/>
              </w:rPr>
              <w:t xml:space="preserve">    Trust 2</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177(36%)</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146(41%)</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31(23%)</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sz w:val="24"/>
                <w:szCs w:val="24"/>
                <w:lang w:eastAsia="en-GB"/>
              </w:rPr>
            </w:pPr>
            <w:r w:rsidRPr="007D4B06">
              <w:rPr>
                <w:rFonts w:ascii="Times New Roman" w:eastAsia="Times New Roman" w:hAnsi="Times New Roman" w:cs="Times New Roman"/>
                <w:b w:val="0"/>
                <w:color w:val="000000"/>
                <w:sz w:val="24"/>
                <w:szCs w:val="24"/>
                <w:lang w:eastAsia="en-GB"/>
              </w:rPr>
              <w:t xml:space="preserve">    Out of hours (Trust 2)</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79(16%)</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74(21%)</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4(3%)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Ethnicity</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White</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381(78%)</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284(80%)</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97(73%)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Black</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14(3%)</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9(3%)</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5(4%)</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South Asian</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38(8%)</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28(8%)</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10(8%)</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Other</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18(4%)</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14(4%)</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4(3%)</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Not stated</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37(8%)</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20(6%)</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17(13%)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Route to hospital</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w:t>
            </w:r>
            <w:r>
              <w:rPr>
                <w:rFonts w:ascii="Times New Roman" w:eastAsia="Times New Roman" w:hAnsi="Times New Roman" w:cs="Times New Roman"/>
                <w:b w:val="0"/>
                <w:color w:val="000000"/>
                <w:sz w:val="24"/>
                <w:szCs w:val="24"/>
                <w:lang w:eastAsia="en-GB"/>
              </w:rPr>
              <w:t>E</w:t>
            </w:r>
            <w:r w:rsidRPr="007D4B06">
              <w:rPr>
                <w:rFonts w:ascii="Times New Roman" w:eastAsia="Times New Roman" w:hAnsi="Times New Roman" w:cs="Times New Roman"/>
                <w:b w:val="0"/>
                <w:color w:val="000000"/>
                <w:sz w:val="24"/>
                <w:szCs w:val="24"/>
                <w:lang w:eastAsia="en-GB"/>
              </w:rPr>
              <w:t>mergency services</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313(64%)</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236(66%)</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77(58%)</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Referred </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80(16%)</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57(16%)</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23(17%)</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Made own way</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71(15%)</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40(11%)</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31(23%)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 xml:space="preserve">    </w:t>
            </w:r>
            <w:r>
              <w:rPr>
                <w:rFonts w:ascii="Times New Roman" w:eastAsia="Times New Roman" w:hAnsi="Times New Roman" w:cs="Times New Roman"/>
                <w:b w:val="0"/>
                <w:color w:val="000000"/>
                <w:sz w:val="24"/>
                <w:szCs w:val="24"/>
                <w:lang w:eastAsia="en-GB"/>
              </w:rPr>
              <w:t>I</w:t>
            </w:r>
            <w:r w:rsidRPr="007D4B06">
              <w:rPr>
                <w:rFonts w:ascii="Times New Roman" w:eastAsia="Times New Roman" w:hAnsi="Times New Roman" w:cs="Times New Roman"/>
                <w:b w:val="0"/>
                <w:color w:val="000000"/>
                <w:sz w:val="24"/>
                <w:szCs w:val="24"/>
                <w:lang w:eastAsia="en-GB"/>
              </w:rPr>
              <w:t xml:space="preserve">npatient </w:t>
            </w:r>
          </w:p>
        </w:tc>
        <w:tc>
          <w:tcPr>
            <w:tcW w:w="1548" w:type="dxa"/>
            <w:tcBorders>
              <w:left w:val="none" w:sz="0" w:space="0" w:color="auto"/>
              <w:right w:val="none" w:sz="0" w:space="0" w:color="auto"/>
            </w:tcBorders>
            <w:shd w:val="clear" w:color="auto" w:fill="auto"/>
            <w:noWrap/>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24(5%)</w:t>
            </w:r>
          </w:p>
        </w:tc>
        <w:tc>
          <w:tcPr>
            <w:tcW w:w="1512" w:type="dxa"/>
            <w:tcBorders>
              <w:left w:val="none" w:sz="0" w:space="0" w:color="auto"/>
              <w:right w:val="none" w:sz="0" w:space="0" w:color="auto"/>
            </w:tcBorders>
            <w:shd w:val="clear" w:color="auto" w:fill="auto"/>
            <w:noWrap/>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21(6%)</w:t>
            </w:r>
          </w:p>
        </w:tc>
        <w:tc>
          <w:tcPr>
            <w:tcW w:w="1663" w:type="dxa"/>
            <w:tcBorders>
              <w:left w:val="none" w:sz="0" w:space="0" w:color="auto"/>
              <w:right w:val="none" w:sz="0" w:space="0" w:color="auto"/>
            </w:tcBorders>
            <w:shd w:val="clear" w:color="auto" w:fill="auto"/>
            <w:noWrap/>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2(2%)</w:t>
            </w:r>
          </w:p>
        </w:tc>
      </w:tr>
      <w:tr w:rsidR="009C5F78" w:rsidRPr="001B3071" w:rsidTr="009C5F78">
        <w:trPr>
          <w:trHeight w:val="270"/>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Known onset of time</w:t>
            </w:r>
          </w:p>
        </w:tc>
        <w:tc>
          <w:tcPr>
            <w:tcW w:w="1548"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221(45%)</w:t>
            </w:r>
          </w:p>
        </w:tc>
        <w:tc>
          <w:tcPr>
            <w:tcW w:w="1512"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221(62%)</w:t>
            </w:r>
          </w:p>
        </w:tc>
        <w:tc>
          <w:tcPr>
            <w:tcW w:w="1663" w:type="dxa"/>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n/a</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sz w:val="24"/>
                <w:szCs w:val="24"/>
                <w:lang w:eastAsia="en-GB"/>
              </w:rPr>
            </w:pPr>
            <w:r w:rsidRPr="007D4B06">
              <w:rPr>
                <w:rFonts w:ascii="Times New Roman" w:eastAsia="Times New Roman" w:hAnsi="Times New Roman" w:cs="Times New Roman"/>
                <w:b w:val="0"/>
                <w:color w:val="000000"/>
                <w:sz w:val="24"/>
                <w:szCs w:val="24"/>
                <w:lang w:eastAsia="en-GB"/>
              </w:rPr>
              <w:t>Thrombolysed</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33(7%)</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33(9%)</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n/a</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4077" w:type="dxa"/>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Pr>
                <w:rFonts w:ascii="Times New Roman" w:eastAsia="Times New Roman" w:hAnsi="Times New Roman" w:cs="Times New Roman"/>
                <w:b w:val="0"/>
                <w:color w:val="000000"/>
                <w:sz w:val="24"/>
                <w:szCs w:val="24"/>
                <w:lang w:eastAsia="en-GB"/>
              </w:rPr>
              <w:t xml:space="preserve">Days </w:t>
            </w:r>
            <w:r w:rsidRPr="007D4B06">
              <w:rPr>
                <w:rFonts w:ascii="Times New Roman" w:eastAsia="Times New Roman" w:hAnsi="Times New Roman" w:cs="Times New Roman"/>
                <w:b w:val="0"/>
                <w:color w:val="000000"/>
                <w:sz w:val="24"/>
                <w:szCs w:val="24"/>
                <w:lang w:eastAsia="en-GB"/>
              </w:rPr>
              <w:t>in hospital(median, inter-quartile range)</w:t>
            </w:r>
          </w:p>
        </w:tc>
        <w:tc>
          <w:tcPr>
            <w:tcW w:w="1548" w:type="dxa"/>
            <w:shd w:val="clear" w:color="auto" w:fill="auto"/>
            <w:noWrap/>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8(4,17)</w:t>
            </w:r>
          </w:p>
        </w:tc>
        <w:tc>
          <w:tcPr>
            <w:tcW w:w="1512" w:type="dxa"/>
            <w:shd w:val="clear" w:color="auto" w:fill="auto"/>
            <w:noWrap/>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8(4,17)</w:t>
            </w:r>
          </w:p>
        </w:tc>
        <w:tc>
          <w:tcPr>
            <w:tcW w:w="1663" w:type="dxa"/>
            <w:shd w:val="clear" w:color="auto" w:fill="auto"/>
            <w:noWrap/>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n/a</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tcBorders>
              <w:left w:val="none" w:sz="0" w:space="0" w:color="auto"/>
              <w:right w:val="none" w:sz="0" w:space="0" w:color="auto"/>
            </w:tcBorders>
            <w:shd w:val="clear" w:color="auto" w:fill="auto"/>
            <w:noWrap/>
            <w:hideMark/>
          </w:tcPr>
          <w:p w:rsidR="009C5F78" w:rsidRPr="007D4B06" w:rsidRDefault="009C5F78" w:rsidP="009C5F78">
            <w:pPr>
              <w:rPr>
                <w:rFonts w:ascii="Times New Roman" w:eastAsia="Times New Roman" w:hAnsi="Times New Roman" w:cs="Times New Roman"/>
                <w:b w:val="0"/>
                <w:color w:val="000000"/>
                <w:kern w:val="36"/>
                <w:sz w:val="24"/>
                <w:szCs w:val="24"/>
                <w:lang w:eastAsia="en-GB"/>
              </w:rPr>
            </w:pPr>
            <w:r w:rsidRPr="007D4B06">
              <w:rPr>
                <w:rFonts w:ascii="Times New Roman" w:eastAsia="Times New Roman" w:hAnsi="Times New Roman" w:cs="Times New Roman"/>
                <w:b w:val="0"/>
                <w:color w:val="000000"/>
                <w:sz w:val="24"/>
                <w:szCs w:val="24"/>
                <w:lang w:eastAsia="en-GB"/>
              </w:rPr>
              <w:t>Died in hospital</w:t>
            </w:r>
          </w:p>
        </w:tc>
        <w:tc>
          <w:tcPr>
            <w:tcW w:w="1548"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73(15%)</w:t>
            </w:r>
          </w:p>
        </w:tc>
        <w:tc>
          <w:tcPr>
            <w:tcW w:w="1512"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68(19%)</w:t>
            </w:r>
          </w:p>
        </w:tc>
        <w:tc>
          <w:tcPr>
            <w:tcW w:w="1663" w:type="dxa"/>
            <w:tcBorders>
              <w:left w:val="none" w:sz="0" w:space="0" w:color="auto"/>
              <w:right w:val="none" w:sz="0" w:space="0" w:color="auto"/>
            </w:tcBorders>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1B3071">
              <w:rPr>
                <w:rFonts w:ascii="Times New Roman" w:eastAsia="Times New Roman" w:hAnsi="Times New Roman" w:cs="Times New Roman"/>
                <w:color w:val="000000"/>
                <w:sz w:val="24"/>
                <w:szCs w:val="24"/>
                <w:lang w:eastAsia="en-GB"/>
              </w:rPr>
              <w:t>5(4%)</w:t>
            </w:r>
          </w:p>
        </w:tc>
      </w:tr>
    </w:tbl>
    <w:p w:rsidR="009C5F78" w:rsidRPr="00584237" w:rsidRDefault="009C5F78" w:rsidP="009C5F78">
      <w:pPr>
        <w:spacing w:line="240" w:lineRule="auto"/>
        <w:jc w:val="left"/>
        <w:rPr>
          <w:sz w:val="20"/>
          <w:szCs w:val="20"/>
        </w:rPr>
      </w:pPr>
      <w:r w:rsidRPr="001B3071">
        <w:rPr>
          <w:rFonts w:cs="Times New Roman"/>
          <w:szCs w:val="24"/>
        </w:rPr>
        <w:t xml:space="preserve">Source: patient level data </w:t>
      </w:r>
      <w:r>
        <w:br w:type="page"/>
      </w:r>
    </w:p>
    <w:p w:rsidR="009C5F78" w:rsidRDefault="009C5F78" w:rsidP="009C5F78">
      <w:pPr>
        <w:spacing w:line="240" w:lineRule="auto"/>
        <w:jc w:val="left"/>
        <w:rPr>
          <w:b/>
        </w:rPr>
        <w:sectPr w:rsidR="009C5F78" w:rsidSect="002D1295">
          <w:pgSz w:w="11906" w:h="16838"/>
          <w:pgMar w:top="1134" w:right="1134" w:bottom="1134" w:left="1134" w:header="709" w:footer="709" w:gutter="0"/>
          <w:cols w:space="708"/>
          <w:docGrid w:linePitch="360"/>
        </w:sectPr>
      </w:pPr>
    </w:p>
    <w:p w:rsidR="009C5F78" w:rsidRPr="001B3071" w:rsidRDefault="009C5F78" w:rsidP="009C5F78">
      <w:pPr>
        <w:spacing w:line="240" w:lineRule="auto"/>
        <w:jc w:val="left"/>
        <w:rPr>
          <w:rFonts w:cs="Times New Roman"/>
          <w:b/>
          <w:szCs w:val="24"/>
        </w:rPr>
      </w:pPr>
      <w:r w:rsidRPr="001B3071">
        <w:rPr>
          <w:rFonts w:cs="Times New Roman"/>
          <w:b/>
          <w:szCs w:val="24"/>
        </w:rPr>
        <w:lastRenderedPageBreak/>
        <w:t>Table 4. Effect of change strategies on main lifetime costs and outcomes of stroke per 100,000 population†</w:t>
      </w:r>
    </w:p>
    <w:tbl>
      <w:tblPr>
        <w:tblStyle w:val="LightShading1"/>
        <w:tblW w:w="14757" w:type="dxa"/>
        <w:tblBorders>
          <w:top w:val="single" w:sz="4" w:space="0" w:color="auto"/>
          <w:bottom w:val="single" w:sz="4" w:space="0" w:color="auto"/>
        </w:tblBorders>
        <w:tblLayout w:type="fixed"/>
        <w:tblLook w:val="04A0" w:firstRow="1" w:lastRow="0" w:firstColumn="1" w:lastColumn="0" w:noHBand="0" w:noVBand="1"/>
      </w:tblPr>
      <w:tblGrid>
        <w:gridCol w:w="2802"/>
        <w:gridCol w:w="1560"/>
        <w:gridCol w:w="1370"/>
        <w:gridCol w:w="1606"/>
        <w:gridCol w:w="1370"/>
        <w:gridCol w:w="1560"/>
        <w:gridCol w:w="1464"/>
        <w:gridCol w:w="1560"/>
        <w:gridCol w:w="1465"/>
      </w:tblGrid>
      <w:tr w:rsidR="009C5F78" w:rsidRPr="001B3071" w:rsidTr="009C5F78">
        <w:trPr>
          <w:cnfStyle w:val="100000000000" w:firstRow="1" w:lastRow="0" w:firstColumn="0" w:lastColumn="0" w:oddVBand="0" w:evenVBand="0" w:oddHBand="0" w:evenHBand="0" w:firstRowFirstColumn="0" w:firstRowLastColumn="0" w:lastRowFirstColumn="0" w:lastRowLastColumn="0"/>
          <w:trHeight w:val="852"/>
        </w:trPr>
        <w:tc>
          <w:tcPr>
            <w:cnfStyle w:val="001000000000" w:firstRow="0" w:lastRow="0" w:firstColumn="1" w:lastColumn="0" w:oddVBand="0" w:evenVBand="0" w:oddHBand="0" w:evenHBand="0" w:firstRowFirstColumn="0" w:firstRowLastColumn="0" w:lastRowFirstColumn="0" w:lastRowLastColumn="0"/>
            <w:tcW w:w="2802" w:type="dxa"/>
            <w:vMerge w:val="restart"/>
            <w:tcBorders>
              <w:top w:val="single" w:sz="4" w:space="0" w:color="auto"/>
              <w:left w:val="none" w:sz="0" w:space="0" w:color="auto"/>
              <w:bottom w:val="single" w:sz="4" w:space="0" w:color="auto"/>
              <w:right w:val="none" w:sz="0" w:space="0" w:color="auto"/>
            </w:tcBorders>
            <w:shd w:val="clear" w:color="auto" w:fill="auto"/>
            <w:noWrap/>
          </w:tcPr>
          <w:p w:rsidR="009C5F78" w:rsidRPr="001B3071" w:rsidRDefault="009C5F78" w:rsidP="009C5F78">
            <w:pPr>
              <w:rPr>
                <w:rFonts w:ascii="Times New Roman" w:eastAsia="Times New Roman" w:hAnsi="Times New Roman" w:cs="Times New Roman"/>
                <w:iCs/>
                <w:color w:val="000000"/>
                <w:sz w:val="24"/>
                <w:szCs w:val="24"/>
                <w:lang w:eastAsia="en-GB"/>
              </w:rPr>
            </w:pPr>
          </w:p>
          <w:p w:rsidR="009C5F78" w:rsidRPr="001B3071" w:rsidRDefault="009C5F78" w:rsidP="009C5F78">
            <w:pPr>
              <w:rPr>
                <w:rFonts w:ascii="Times New Roman" w:eastAsia="Times New Roman" w:hAnsi="Times New Roman" w:cs="Times New Roman"/>
                <w:iCs/>
                <w:color w:val="000000"/>
                <w:sz w:val="24"/>
                <w:szCs w:val="24"/>
                <w:lang w:eastAsia="en-GB"/>
              </w:rPr>
            </w:pPr>
          </w:p>
          <w:p w:rsidR="009C5F78" w:rsidRPr="001B3071" w:rsidRDefault="009C5F78" w:rsidP="009C5F78">
            <w:pPr>
              <w:rPr>
                <w:rFonts w:ascii="Times New Roman" w:eastAsia="Times New Roman" w:hAnsi="Times New Roman" w:cs="Times New Roman"/>
                <w:b w:val="0"/>
                <w:iCs/>
                <w:color w:val="000000"/>
                <w:kern w:val="36"/>
                <w:sz w:val="24"/>
                <w:szCs w:val="24"/>
                <w:lang w:eastAsia="en-GB"/>
              </w:rPr>
            </w:pPr>
            <w:r w:rsidRPr="001B3071">
              <w:rPr>
                <w:rFonts w:ascii="Times New Roman" w:eastAsia="Times New Roman" w:hAnsi="Times New Roman" w:cs="Times New Roman"/>
                <w:b w:val="0"/>
                <w:iCs/>
                <w:color w:val="000000"/>
                <w:sz w:val="24"/>
                <w:szCs w:val="24"/>
                <w:lang w:eastAsia="en-GB"/>
              </w:rPr>
              <w:t>Change strategies*</w:t>
            </w:r>
          </w:p>
        </w:tc>
        <w:tc>
          <w:tcPr>
            <w:tcW w:w="5906" w:type="dxa"/>
            <w:gridSpan w:val="4"/>
            <w:tcBorders>
              <w:top w:val="single" w:sz="4" w:space="0" w:color="auto"/>
              <w:left w:val="none" w:sz="0" w:space="0" w:color="auto"/>
              <w:bottom w:val="single" w:sz="4" w:space="0" w:color="auto"/>
              <w:right w:val="none" w:sz="0" w:space="0" w:color="auto"/>
            </w:tcBorders>
            <w:shd w:val="clear" w:color="auto" w:fill="auto"/>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000000"/>
                <w:sz w:val="24"/>
                <w:szCs w:val="24"/>
                <w:lang w:eastAsia="en-GB"/>
              </w:rPr>
            </w:pPr>
            <w:r>
              <w:rPr>
                <w:rFonts w:ascii="Times New Roman" w:hAnsi="Times New Roman" w:cs="Times New Roman"/>
                <w:color w:val="000000"/>
                <w:sz w:val="24"/>
                <w:szCs w:val="24"/>
              </w:rPr>
              <w:t>T</w:t>
            </w:r>
            <w:r w:rsidRPr="001B3071">
              <w:rPr>
                <w:rFonts w:ascii="Times New Roman" w:hAnsi="Times New Roman" w:cs="Times New Roman"/>
                <w:color w:val="000000"/>
                <w:sz w:val="24"/>
                <w:szCs w:val="24"/>
              </w:rPr>
              <w:t>heoretical change strategy</w:t>
            </w:r>
          </w:p>
        </w:tc>
        <w:tc>
          <w:tcPr>
            <w:tcW w:w="6049" w:type="dxa"/>
            <w:gridSpan w:val="4"/>
            <w:tcBorders>
              <w:top w:val="single" w:sz="4" w:space="0" w:color="auto"/>
              <w:left w:val="none" w:sz="0" w:space="0" w:color="auto"/>
              <w:bottom w:val="single" w:sz="4" w:space="0" w:color="auto"/>
              <w:right w:val="none" w:sz="0" w:space="0" w:color="auto"/>
            </w:tcBorders>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000000"/>
                <w:sz w:val="24"/>
                <w:szCs w:val="24"/>
                <w:lang w:eastAsia="en-GB"/>
              </w:rPr>
            </w:pPr>
            <w:r>
              <w:rPr>
                <w:rFonts w:ascii="Times New Roman" w:hAnsi="Times New Roman" w:cs="Times New Roman"/>
                <w:color w:val="000000"/>
                <w:sz w:val="24"/>
                <w:szCs w:val="24"/>
              </w:rPr>
              <w:t>A</w:t>
            </w:r>
            <w:r w:rsidRPr="001B3071">
              <w:rPr>
                <w:rFonts w:ascii="Times New Roman" w:hAnsi="Times New Roman" w:cs="Times New Roman"/>
                <w:color w:val="000000"/>
                <w:sz w:val="24"/>
                <w:szCs w:val="24"/>
              </w:rPr>
              <w:t>chievable change strategy</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802" w:type="dxa"/>
            <w:vMerge/>
            <w:tcBorders>
              <w:top w:val="single" w:sz="4" w:space="0" w:color="auto"/>
              <w:left w:val="none" w:sz="0" w:space="0" w:color="auto"/>
              <w:bottom w:val="single" w:sz="4" w:space="0" w:color="auto"/>
              <w:right w:val="none" w:sz="0" w:space="0" w:color="auto"/>
            </w:tcBorders>
            <w:shd w:val="clear" w:color="auto" w:fill="auto"/>
            <w:noWrap/>
            <w:hideMark/>
          </w:tcPr>
          <w:p w:rsidR="009C5F78" w:rsidRPr="001B3071" w:rsidRDefault="009C5F78" w:rsidP="009C5F78">
            <w:pPr>
              <w:rPr>
                <w:rFonts w:ascii="Times New Roman" w:eastAsia="Times New Roman" w:hAnsi="Times New Roman" w:cs="Times New Roman"/>
                <w:b w:val="0"/>
                <w:bCs w:val="0"/>
                <w:iCs/>
                <w:color w:val="000000"/>
                <w:sz w:val="24"/>
                <w:szCs w:val="24"/>
                <w:lang w:eastAsia="en-GB"/>
              </w:rPr>
            </w:pPr>
          </w:p>
        </w:tc>
        <w:tc>
          <w:tcPr>
            <w:tcW w:w="1560"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iCs/>
                <w:color w:val="000000"/>
                <w:sz w:val="24"/>
                <w:szCs w:val="24"/>
                <w:lang w:eastAsia="en-GB"/>
              </w:rPr>
            </w:pPr>
            <w:r w:rsidRPr="001B3071">
              <w:rPr>
                <w:rFonts w:ascii="Times New Roman" w:eastAsia="Times New Roman" w:hAnsi="Times New Roman" w:cs="Times New Roman"/>
                <w:bCs/>
                <w:iCs/>
                <w:color w:val="000000"/>
                <w:sz w:val="24"/>
                <w:szCs w:val="24"/>
                <w:lang w:eastAsia="en-GB"/>
              </w:rPr>
              <w:t>Costs</w:t>
            </w:r>
          </w:p>
        </w:tc>
        <w:tc>
          <w:tcPr>
            <w:tcW w:w="1370"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iCs/>
                <w:color w:val="000000"/>
                <w:sz w:val="24"/>
                <w:szCs w:val="24"/>
                <w:lang w:eastAsia="en-GB"/>
              </w:rPr>
            </w:pPr>
            <w:r w:rsidRPr="001B3071">
              <w:rPr>
                <w:rFonts w:ascii="Times New Roman" w:eastAsia="Times New Roman" w:hAnsi="Times New Roman" w:cs="Times New Roman"/>
                <w:iCs/>
                <w:color w:val="000000"/>
                <w:sz w:val="24"/>
                <w:szCs w:val="24"/>
                <w:lang w:eastAsia="en-GB"/>
              </w:rPr>
              <w:t xml:space="preserve">Incremental cost </w:t>
            </w:r>
          </w:p>
        </w:tc>
        <w:tc>
          <w:tcPr>
            <w:tcW w:w="1606"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iCs/>
                <w:color w:val="000000"/>
                <w:sz w:val="24"/>
                <w:szCs w:val="24"/>
                <w:lang w:eastAsia="en-GB"/>
              </w:rPr>
            </w:pPr>
            <w:r w:rsidRPr="001B3071">
              <w:rPr>
                <w:rFonts w:ascii="Times New Roman" w:eastAsia="Times New Roman" w:hAnsi="Times New Roman" w:cs="Times New Roman"/>
                <w:iCs/>
                <w:color w:val="000000"/>
                <w:sz w:val="24"/>
                <w:szCs w:val="24"/>
                <w:lang w:eastAsia="en-GB"/>
              </w:rPr>
              <w:t xml:space="preserve">Effectiveness </w:t>
            </w:r>
            <w:r w:rsidRPr="001B3071">
              <w:rPr>
                <w:rFonts w:ascii="Times New Roman" w:eastAsia="Times New Roman" w:hAnsi="Times New Roman" w:cs="Times New Roman"/>
                <w:iCs/>
                <w:color w:val="000000"/>
                <w:sz w:val="24"/>
                <w:szCs w:val="24"/>
                <w:lang w:eastAsia="en-GB"/>
              </w:rPr>
              <w:br/>
              <w:t>(QALYs)</w:t>
            </w:r>
          </w:p>
        </w:tc>
        <w:tc>
          <w:tcPr>
            <w:tcW w:w="1370" w:type="dxa"/>
            <w:tcBorders>
              <w:top w:val="single" w:sz="4" w:space="0" w:color="auto"/>
              <w:left w:val="none" w:sz="0" w:space="0" w:color="auto"/>
              <w:bottom w:val="single" w:sz="4" w:space="0" w:color="auto"/>
              <w:right w:val="none" w:sz="0" w:space="0" w:color="auto"/>
            </w:tcBorders>
            <w:shd w:val="clear" w:color="auto" w:fill="auto"/>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iCs/>
                <w:color w:val="000000"/>
                <w:sz w:val="24"/>
                <w:szCs w:val="24"/>
                <w:lang w:eastAsia="en-GB"/>
              </w:rPr>
            </w:pPr>
            <w:r w:rsidRPr="001B3071">
              <w:rPr>
                <w:rFonts w:ascii="Times New Roman" w:hAnsi="Times New Roman" w:cs="Times New Roman"/>
                <w:color w:val="000000"/>
                <w:sz w:val="24"/>
                <w:szCs w:val="24"/>
              </w:rPr>
              <w:t>Incremental</w:t>
            </w:r>
            <w:r w:rsidRPr="001B3071">
              <w:rPr>
                <w:rFonts w:ascii="Times New Roman" w:eastAsia="Times New Roman" w:hAnsi="Times New Roman" w:cs="Times New Roman"/>
                <w:iCs/>
                <w:color w:val="000000"/>
                <w:sz w:val="24"/>
                <w:szCs w:val="24"/>
                <w:lang w:eastAsia="en-GB"/>
              </w:rPr>
              <w:t xml:space="preserve"> effect (QALYs)</w:t>
            </w:r>
          </w:p>
        </w:tc>
        <w:tc>
          <w:tcPr>
            <w:tcW w:w="1560" w:type="dxa"/>
            <w:tcBorders>
              <w:top w:val="single" w:sz="4" w:space="0" w:color="auto"/>
              <w:left w:val="none" w:sz="0" w:space="0" w:color="auto"/>
              <w:bottom w:val="single" w:sz="4" w:space="0" w:color="auto"/>
              <w:right w:val="none" w:sz="0" w:space="0" w:color="auto"/>
            </w:tcBorders>
            <w:shd w:val="clear" w:color="auto" w:fill="auto"/>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iCs/>
                <w:color w:val="000000"/>
                <w:sz w:val="24"/>
                <w:szCs w:val="24"/>
                <w:lang w:eastAsia="en-GB"/>
              </w:rPr>
            </w:pPr>
            <w:r w:rsidRPr="001B3071">
              <w:rPr>
                <w:rFonts w:ascii="Times New Roman" w:eastAsia="Times New Roman" w:hAnsi="Times New Roman" w:cs="Times New Roman"/>
                <w:bCs/>
                <w:iCs/>
                <w:color w:val="000000"/>
                <w:sz w:val="24"/>
                <w:szCs w:val="24"/>
                <w:lang w:eastAsia="en-GB"/>
              </w:rPr>
              <w:t xml:space="preserve">Costs </w:t>
            </w:r>
          </w:p>
        </w:tc>
        <w:tc>
          <w:tcPr>
            <w:tcW w:w="1464" w:type="dxa"/>
            <w:tcBorders>
              <w:top w:val="single" w:sz="4" w:space="0" w:color="auto"/>
              <w:left w:val="none" w:sz="0" w:space="0" w:color="auto"/>
              <w:bottom w:val="single" w:sz="4" w:space="0" w:color="auto"/>
              <w:right w:val="none" w:sz="0" w:space="0" w:color="auto"/>
            </w:tcBorders>
            <w:shd w:val="clear" w:color="auto" w:fill="auto"/>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iCs/>
                <w:color w:val="000000"/>
                <w:sz w:val="24"/>
                <w:szCs w:val="24"/>
                <w:lang w:eastAsia="en-GB"/>
              </w:rPr>
            </w:pPr>
            <w:r w:rsidRPr="001B3071">
              <w:rPr>
                <w:rFonts w:ascii="Times New Roman" w:eastAsia="Times New Roman" w:hAnsi="Times New Roman" w:cs="Times New Roman"/>
                <w:iCs/>
                <w:color w:val="000000"/>
                <w:sz w:val="24"/>
                <w:szCs w:val="24"/>
                <w:lang w:eastAsia="en-GB"/>
              </w:rPr>
              <w:t xml:space="preserve">Incremental cost </w:t>
            </w:r>
          </w:p>
        </w:tc>
        <w:tc>
          <w:tcPr>
            <w:tcW w:w="1560" w:type="dxa"/>
            <w:tcBorders>
              <w:top w:val="single" w:sz="4" w:space="0" w:color="auto"/>
              <w:left w:val="none" w:sz="0" w:space="0" w:color="auto"/>
              <w:bottom w:val="single" w:sz="4" w:space="0" w:color="auto"/>
              <w:right w:val="none" w:sz="0" w:space="0" w:color="auto"/>
            </w:tcBorders>
            <w:shd w:val="clear" w:color="auto" w:fill="auto"/>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iCs/>
                <w:color w:val="000000"/>
                <w:sz w:val="24"/>
                <w:szCs w:val="24"/>
                <w:lang w:eastAsia="en-GB"/>
              </w:rPr>
            </w:pPr>
            <w:r w:rsidRPr="001B3071">
              <w:rPr>
                <w:rFonts w:ascii="Times New Roman" w:eastAsia="Times New Roman" w:hAnsi="Times New Roman" w:cs="Times New Roman"/>
                <w:iCs/>
                <w:color w:val="000000"/>
                <w:sz w:val="24"/>
                <w:szCs w:val="24"/>
                <w:lang w:eastAsia="en-GB"/>
              </w:rPr>
              <w:t xml:space="preserve">Effectiveness </w:t>
            </w:r>
            <w:r w:rsidRPr="001B3071">
              <w:rPr>
                <w:rFonts w:ascii="Times New Roman" w:eastAsia="Times New Roman" w:hAnsi="Times New Roman" w:cs="Times New Roman"/>
                <w:iCs/>
                <w:color w:val="000000"/>
                <w:sz w:val="24"/>
                <w:szCs w:val="24"/>
                <w:lang w:eastAsia="en-GB"/>
              </w:rPr>
              <w:br/>
              <w:t>(QALYs)</w:t>
            </w:r>
          </w:p>
        </w:tc>
        <w:tc>
          <w:tcPr>
            <w:tcW w:w="1465" w:type="dxa"/>
            <w:tcBorders>
              <w:top w:val="single" w:sz="4" w:space="0" w:color="auto"/>
              <w:left w:val="none" w:sz="0" w:space="0" w:color="auto"/>
              <w:bottom w:val="single" w:sz="4" w:space="0" w:color="auto"/>
              <w:right w:val="none" w:sz="0" w:space="0" w:color="auto"/>
            </w:tcBorders>
            <w:shd w:val="clear" w:color="auto" w:fill="auto"/>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iCs/>
                <w:color w:val="000000"/>
                <w:sz w:val="24"/>
                <w:szCs w:val="24"/>
                <w:lang w:eastAsia="en-GB"/>
              </w:rPr>
            </w:pPr>
            <w:r w:rsidRPr="001B3071">
              <w:rPr>
                <w:rFonts w:ascii="Times New Roman" w:eastAsia="Times New Roman" w:hAnsi="Times New Roman" w:cs="Times New Roman"/>
                <w:iCs/>
                <w:color w:val="000000"/>
                <w:sz w:val="24"/>
                <w:szCs w:val="24"/>
                <w:lang w:eastAsia="en-GB"/>
              </w:rPr>
              <w:t>Incremental effect (QALYs)</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single" w:sz="4" w:space="0" w:color="auto"/>
              <w:bottom w:val="nil"/>
            </w:tcBorders>
            <w:shd w:val="clear" w:color="auto" w:fill="auto"/>
            <w:noWrap/>
            <w:vAlign w:val="center"/>
            <w:hideMark/>
          </w:tcPr>
          <w:p w:rsidR="009C5F78" w:rsidRPr="00754D5D" w:rsidRDefault="009C5F78" w:rsidP="009C5F78">
            <w:pPr>
              <w:spacing w:after="240"/>
              <w:rPr>
                <w:rFonts w:ascii="Times New Roman" w:eastAsia="Times New Roman" w:hAnsi="Times New Roman" w:cs="Times New Roman"/>
                <w:iCs/>
                <w:color w:val="000000"/>
                <w:sz w:val="24"/>
                <w:szCs w:val="24"/>
                <w:lang w:eastAsia="en-GB"/>
              </w:rPr>
            </w:pPr>
            <w:r w:rsidRPr="00754D5D">
              <w:rPr>
                <w:rFonts w:ascii="Times New Roman" w:eastAsia="Times New Roman" w:hAnsi="Times New Roman" w:cs="Times New Roman"/>
                <w:iCs/>
                <w:color w:val="000000"/>
                <w:sz w:val="24"/>
                <w:szCs w:val="24"/>
                <w:lang w:eastAsia="en-GB"/>
              </w:rPr>
              <w:t>Current practice</w:t>
            </w:r>
          </w:p>
        </w:tc>
        <w:tc>
          <w:tcPr>
            <w:tcW w:w="1560" w:type="dxa"/>
            <w:tcBorders>
              <w:top w:val="single" w:sz="4" w:space="0" w:color="auto"/>
              <w:bottom w:val="nil"/>
            </w:tcBorders>
            <w:shd w:val="clear" w:color="auto" w:fill="auto"/>
            <w:noWrap/>
            <w:hideMark/>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$20,813,510 </w:t>
            </w:r>
          </w:p>
        </w:tc>
        <w:tc>
          <w:tcPr>
            <w:tcW w:w="1370" w:type="dxa"/>
            <w:tcBorders>
              <w:top w:val="single" w:sz="4" w:space="0" w:color="auto"/>
              <w:bottom w:val="nil"/>
            </w:tcBorders>
            <w:shd w:val="clear" w:color="auto" w:fill="auto"/>
            <w:noWrap/>
            <w:hideMark/>
          </w:tcPr>
          <w:p w:rsidR="009C5F78" w:rsidRPr="00754D5D" w:rsidRDefault="009C5F78" w:rsidP="009C5F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606" w:type="dxa"/>
            <w:tcBorders>
              <w:top w:val="single" w:sz="4" w:space="0" w:color="auto"/>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sz w:val="24"/>
                <w:szCs w:val="24"/>
              </w:rPr>
              <w:t>2251.08</w:t>
            </w:r>
          </w:p>
        </w:tc>
        <w:tc>
          <w:tcPr>
            <w:tcW w:w="1370" w:type="dxa"/>
            <w:tcBorders>
              <w:top w:val="single" w:sz="4" w:space="0" w:color="auto"/>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000000"/>
                <w:sz w:val="24"/>
                <w:szCs w:val="24"/>
                <w:lang w:eastAsia="en-GB"/>
              </w:rPr>
            </w:pPr>
          </w:p>
        </w:tc>
        <w:tc>
          <w:tcPr>
            <w:tcW w:w="1560" w:type="dxa"/>
            <w:tcBorders>
              <w:top w:val="single" w:sz="4" w:space="0" w:color="auto"/>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sz w:val="24"/>
                <w:szCs w:val="24"/>
              </w:rPr>
            </w:pPr>
            <w:r w:rsidRPr="00A53FA9">
              <w:rPr>
                <w:rFonts w:ascii="Times New Roman" w:hAnsi="Times New Roman" w:cs="Times New Roman"/>
                <w:bCs/>
                <w:color w:val="000000"/>
                <w:sz w:val="24"/>
                <w:szCs w:val="24"/>
              </w:rPr>
              <w:t xml:space="preserve">$20,813,510 </w:t>
            </w:r>
          </w:p>
        </w:tc>
        <w:tc>
          <w:tcPr>
            <w:tcW w:w="1464" w:type="dxa"/>
            <w:tcBorders>
              <w:top w:val="single" w:sz="4" w:space="0" w:color="auto"/>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sz w:val="24"/>
                <w:szCs w:val="24"/>
              </w:rPr>
            </w:pPr>
          </w:p>
        </w:tc>
        <w:tc>
          <w:tcPr>
            <w:tcW w:w="1560" w:type="dxa"/>
            <w:tcBorders>
              <w:top w:val="single" w:sz="4" w:space="0" w:color="auto"/>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000000"/>
                <w:sz w:val="24"/>
                <w:szCs w:val="24"/>
                <w:lang w:eastAsia="en-GB"/>
              </w:rPr>
            </w:pPr>
            <w:r w:rsidRPr="00A53FA9">
              <w:rPr>
                <w:rFonts w:ascii="Times New Roman" w:hAnsi="Times New Roman" w:cs="Times New Roman"/>
                <w:sz w:val="24"/>
                <w:szCs w:val="24"/>
              </w:rPr>
              <w:t>2251.08</w:t>
            </w:r>
          </w:p>
        </w:tc>
        <w:tc>
          <w:tcPr>
            <w:tcW w:w="1465" w:type="dxa"/>
            <w:tcBorders>
              <w:top w:val="single" w:sz="4" w:space="0" w:color="auto"/>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iCs/>
                <w:color w:val="000000"/>
                <w:sz w:val="24"/>
                <w:szCs w:val="24"/>
                <w:lang w:eastAsia="en-GB"/>
              </w:rPr>
            </w:pP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left w:val="none" w:sz="0" w:space="0" w:color="auto"/>
              <w:bottom w:val="nil"/>
              <w:right w:val="none" w:sz="0" w:space="0" w:color="auto"/>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1. </w:t>
            </w:r>
            <w:r w:rsidRPr="00754D5D">
              <w:rPr>
                <w:rFonts w:ascii="Times New Roman" w:hAnsi="Times New Roman" w:cs="Times New Roman"/>
                <w:b w:val="0"/>
                <w:color w:val="000000"/>
                <w:sz w:val="24"/>
                <w:szCs w:val="24"/>
              </w:rPr>
              <w:t>Divert GP calls to ambulance service</w:t>
            </w:r>
          </w:p>
        </w:tc>
        <w:tc>
          <w:tcPr>
            <w:tcW w:w="1560" w:type="dxa"/>
            <w:tcBorders>
              <w:top w:val="nil"/>
              <w:left w:val="none" w:sz="0" w:space="0" w:color="auto"/>
              <w:bottom w:val="nil"/>
              <w:right w:val="none" w:sz="0" w:space="0" w:color="auto"/>
            </w:tcBorders>
            <w:shd w:val="clear" w:color="auto" w:fill="auto"/>
            <w:noWrap/>
            <w:hideMark/>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$20,763,583 </w:t>
            </w:r>
          </w:p>
        </w:tc>
        <w:tc>
          <w:tcPr>
            <w:tcW w:w="1370"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-$49,927 </w:t>
            </w:r>
          </w:p>
        </w:tc>
        <w:tc>
          <w:tcPr>
            <w:tcW w:w="1606"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2254.59</w:t>
            </w:r>
          </w:p>
        </w:tc>
        <w:tc>
          <w:tcPr>
            <w:tcW w:w="1370"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3.52</w:t>
            </w:r>
          </w:p>
        </w:tc>
        <w:tc>
          <w:tcPr>
            <w:tcW w:w="1560" w:type="dxa"/>
            <w:tcBorders>
              <w:top w:val="nil"/>
              <w:left w:val="none" w:sz="0" w:space="0" w:color="auto"/>
              <w:bottom w:val="nil"/>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$20,781,204 </w:t>
            </w:r>
          </w:p>
        </w:tc>
        <w:tc>
          <w:tcPr>
            <w:tcW w:w="1464" w:type="dxa"/>
            <w:tcBorders>
              <w:top w:val="nil"/>
              <w:left w:val="none" w:sz="0" w:space="0" w:color="auto"/>
              <w:bottom w:val="nil"/>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-$32,305 </w:t>
            </w:r>
          </w:p>
        </w:tc>
        <w:tc>
          <w:tcPr>
            <w:tcW w:w="1560" w:type="dxa"/>
            <w:tcBorders>
              <w:top w:val="nil"/>
              <w:left w:val="none" w:sz="0" w:space="0" w:color="auto"/>
              <w:bottom w:val="nil"/>
              <w:right w:val="none" w:sz="0" w:space="0" w:color="auto"/>
            </w:tcBorders>
            <w:shd w:val="clear" w:color="auto" w:fill="auto"/>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2253.34</w:t>
            </w:r>
          </w:p>
        </w:tc>
        <w:tc>
          <w:tcPr>
            <w:tcW w:w="1465" w:type="dxa"/>
            <w:tcBorders>
              <w:top w:val="nil"/>
              <w:left w:val="none" w:sz="0" w:space="0" w:color="auto"/>
              <w:bottom w:val="nil"/>
              <w:right w:val="none" w:sz="0" w:space="0" w:color="auto"/>
            </w:tcBorders>
            <w:shd w:val="clear" w:color="auto" w:fill="auto"/>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2.26</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bottom w:val="nil"/>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2. </w:t>
            </w:r>
            <w:r w:rsidRPr="00754D5D">
              <w:rPr>
                <w:rFonts w:ascii="Times New Roman" w:hAnsi="Times New Roman" w:cs="Times New Roman"/>
                <w:b w:val="0"/>
                <w:color w:val="000000"/>
                <w:sz w:val="24"/>
                <w:szCs w:val="24"/>
              </w:rPr>
              <w:t>Use imaging to estimate onset time for wake up strokes</w:t>
            </w:r>
          </w:p>
        </w:tc>
        <w:tc>
          <w:tcPr>
            <w:tcW w:w="1560" w:type="dxa"/>
            <w:tcBorders>
              <w:top w:val="nil"/>
              <w:bottom w:val="nil"/>
            </w:tcBorders>
            <w:shd w:val="clear" w:color="auto" w:fill="auto"/>
            <w:noWrap/>
            <w:hideMark/>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$20,762,115 </w:t>
            </w:r>
          </w:p>
        </w:tc>
        <w:tc>
          <w:tcPr>
            <w:tcW w:w="1370"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-$51,395 </w:t>
            </w:r>
          </w:p>
        </w:tc>
        <w:tc>
          <w:tcPr>
            <w:tcW w:w="1606"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2254.86</w:t>
            </w:r>
          </w:p>
        </w:tc>
        <w:tc>
          <w:tcPr>
            <w:tcW w:w="1370"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3.78</w:t>
            </w:r>
          </w:p>
        </w:tc>
        <w:tc>
          <w:tcPr>
            <w:tcW w:w="1560" w:type="dxa"/>
            <w:tcBorders>
              <w:top w:val="nil"/>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$20,770,925 </w:t>
            </w:r>
          </w:p>
        </w:tc>
        <w:tc>
          <w:tcPr>
            <w:tcW w:w="1464" w:type="dxa"/>
            <w:tcBorders>
              <w:top w:val="nil"/>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-$42,584 </w:t>
            </w:r>
          </w:p>
        </w:tc>
        <w:tc>
          <w:tcPr>
            <w:tcW w:w="1560" w:type="dxa"/>
            <w:tcBorders>
              <w:top w:val="nil"/>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2254.12</w:t>
            </w:r>
          </w:p>
        </w:tc>
        <w:tc>
          <w:tcPr>
            <w:tcW w:w="1465" w:type="dxa"/>
            <w:tcBorders>
              <w:top w:val="nil"/>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3.05</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left w:val="none" w:sz="0" w:space="0" w:color="auto"/>
              <w:bottom w:val="nil"/>
              <w:right w:val="none" w:sz="0" w:space="0" w:color="auto"/>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3. </w:t>
            </w:r>
            <w:r w:rsidRPr="00754D5D">
              <w:rPr>
                <w:rFonts w:ascii="Times New Roman" w:hAnsi="Times New Roman" w:cs="Times New Roman"/>
                <w:b w:val="0"/>
                <w:color w:val="000000"/>
                <w:sz w:val="24"/>
                <w:szCs w:val="24"/>
              </w:rPr>
              <w:t>Improve recognition and recording of onset time</w:t>
            </w:r>
          </w:p>
        </w:tc>
        <w:tc>
          <w:tcPr>
            <w:tcW w:w="1560" w:type="dxa"/>
            <w:tcBorders>
              <w:top w:val="nil"/>
              <w:left w:val="none" w:sz="0" w:space="0" w:color="auto"/>
              <w:bottom w:val="nil"/>
              <w:right w:val="none" w:sz="0" w:space="0" w:color="auto"/>
            </w:tcBorders>
            <w:shd w:val="clear" w:color="auto" w:fill="auto"/>
            <w:noWrap/>
            <w:hideMark/>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$20,760,646 </w:t>
            </w:r>
          </w:p>
        </w:tc>
        <w:tc>
          <w:tcPr>
            <w:tcW w:w="1370"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-$52,863 </w:t>
            </w:r>
          </w:p>
        </w:tc>
        <w:tc>
          <w:tcPr>
            <w:tcW w:w="1606"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2255.00</w:t>
            </w:r>
          </w:p>
        </w:tc>
        <w:tc>
          <w:tcPr>
            <w:tcW w:w="1370"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3.92</w:t>
            </w:r>
          </w:p>
        </w:tc>
        <w:tc>
          <w:tcPr>
            <w:tcW w:w="1560" w:type="dxa"/>
            <w:tcBorders>
              <w:top w:val="nil"/>
              <w:left w:val="none" w:sz="0" w:space="0" w:color="auto"/>
              <w:bottom w:val="nil"/>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$20,767,988 </w:t>
            </w:r>
          </w:p>
        </w:tc>
        <w:tc>
          <w:tcPr>
            <w:tcW w:w="1464" w:type="dxa"/>
            <w:tcBorders>
              <w:top w:val="nil"/>
              <w:left w:val="none" w:sz="0" w:space="0" w:color="auto"/>
              <w:bottom w:val="nil"/>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-$45,521 </w:t>
            </w:r>
          </w:p>
        </w:tc>
        <w:tc>
          <w:tcPr>
            <w:tcW w:w="1560" w:type="dxa"/>
            <w:tcBorders>
              <w:top w:val="nil"/>
              <w:left w:val="none" w:sz="0" w:space="0" w:color="auto"/>
              <w:bottom w:val="nil"/>
              <w:right w:val="none" w:sz="0" w:space="0" w:color="auto"/>
            </w:tcBorders>
            <w:shd w:val="clear" w:color="auto" w:fill="auto"/>
          </w:tcPr>
          <w:p w:rsidR="009C5F78" w:rsidRPr="00754D5D" w:rsidRDefault="009C5F78" w:rsidP="009C5F78">
            <w:pPr>
              <w:keepNext/>
              <w:keepLines/>
              <w:jc w:val="center"/>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2254.36</w:t>
            </w:r>
          </w:p>
        </w:tc>
        <w:tc>
          <w:tcPr>
            <w:tcW w:w="1465" w:type="dxa"/>
            <w:tcBorders>
              <w:top w:val="nil"/>
              <w:left w:val="none" w:sz="0" w:space="0" w:color="auto"/>
              <w:bottom w:val="nil"/>
              <w:right w:val="none" w:sz="0" w:space="0" w:color="auto"/>
            </w:tcBorders>
            <w:shd w:val="clear" w:color="auto" w:fill="auto"/>
          </w:tcPr>
          <w:p w:rsidR="009C5F78" w:rsidRPr="00754D5D" w:rsidRDefault="009C5F78" w:rsidP="009C5F78">
            <w:pPr>
              <w:keepNext/>
              <w:keepLines/>
              <w:jc w:val="center"/>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3.28</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bottom w:val="nil"/>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4. </w:t>
            </w:r>
            <w:r w:rsidRPr="00754D5D">
              <w:rPr>
                <w:rFonts w:ascii="Times New Roman" w:hAnsi="Times New Roman" w:cs="Times New Roman"/>
                <w:b w:val="0"/>
                <w:color w:val="000000"/>
                <w:sz w:val="24"/>
                <w:szCs w:val="24"/>
              </w:rPr>
              <w:t xml:space="preserve">Reduce time to call emergency services </w:t>
            </w:r>
          </w:p>
        </w:tc>
        <w:tc>
          <w:tcPr>
            <w:tcW w:w="1560" w:type="dxa"/>
            <w:tcBorders>
              <w:top w:val="nil"/>
              <w:bottom w:val="nil"/>
            </w:tcBorders>
            <w:shd w:val="clear" w:color="auto" w:fill="auto"/>
            <w:noWrap/>
            <w:hideMark/>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$20,744,493 </w:t>
            </w:r>
          </w:p>
        </w:tc>
        <w:tc>
          <w:tcPr>
            <w:tcW w:w="1370"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-$69,016 </w:t>
            </w:r>
          </w:p>
        </w:tc>
        <w:tc>
          <w:tcPr>
            <w:tcW w:w="1606"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2256.05</w:t>
            </w:r>
          </w:p>
        </w:tc>
        <w:tc>
          <w:tcPr>
            <w:tcW w:w="1370"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4.97</w:t>
            </w:r>
          </w:p>
        </w:tc>
        <w:tc>
          <w:tcPr>
            <w:tcW w:w="1560" w:type="dxa"/>
            <w:tcBorders>
              <w:top w:val="nil"/>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$20,797,357 </w:t>
            </w:r>
          </w:p>
        </w:tc>
        <w:tc>
          <w:tcPr>
            <w:tcW w:w="1464" w:type="dxa"/>
            <w:tcBorders>
              <w:top w:val="nil"/>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-$16,153 </w:t>
            </w:r>
          </w:p>
        </w:tc>
        <w:tc>
          <w:tcPr>
            <w:tcW w:w="1560" w:type="dxa"/>
            <w:tcBorders>
              <w:top w:val="nil"/>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2252.21</w:t>
            </w:r>
          </w:p>
        </w:tc>
        <w:tc>
          <w:tcPr>
            <w:tcW w:w="1465" w:type="dxa"/>
            <w:tcBorders>
              <w:top w:val="nil"/>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1.14</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left w:val="none" w:sz="0" w:space="0" w:color="auto"/>
              <w:bottom w:val="nil"/>
              <w:right w:val="none" w:sz="0" w:space="0" w:color="auto"/>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5. </w:t>
            </w:r>
            <w:r w:rsidRPr="00754D5D">
              <w:rPr>
                <w:rFonts w:ascii="Times New Roman" w:hAnsi="Times New Roman" w:cs="Times New Roman"/>
                <w:b w:val="0"/>
                <w:sz w:val="24"/>
                <w:szCs w:val="24"/>
              </w:rPr>
              <w:t>Ensure all who present with stroke receive immediate CT scan</w:t>
            </w:r>
          </w:p>
        </w:tc>
        <w:tc>
          <w:tcPr>
            <w:tcW w:w="1560" w:type="dxa"/>
            <w:tcBorders>
              <w:top w:val="nil"/>
              <w:left w:val="none" w:sz="0" w:space="0" w:color="auto"/>
              <w:bottom w:val="nil"/>
              <w:right w:val="none" w:sz="0" w:space="0" w:color="auto"/>
            </w:tcBorders>
            <w:shd w:val="clear" w:color="auto" w:fill="auto"/>
            <w:noWrap/>
            <w:hideMark/>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$20,738,620 </w:t>
            </w:r>
          </w:p>
        </w:tc>
        <w:tc>
          <w:tcPr>
            <w:tcW w:w="1370"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-$74,890 </w:t>
            </w:r>
          </w:p>
        </w:tc>
        <w:tc>
          <w:tcPr>
            <w:tcW w:w="1606"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2256.48</w:t>
            </w:r>
          </w:p>
        </w:tc>
        <w:tc>
          <w:tcPr>
            <w:tcW w:w="1370" w:type="dxa"/>
            <w:tcBorders>
              <w:top w:val="nil"/>
              <w:left w:val="none" w:sz="0" w:space="0" w:color="auto"/>
              <w:bottom w:val="nil"/>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5.41</w:t>
            </w:r>
          </w:p>
        </w:tc>
        <w:tc>
          <w:tcPr>
            <w:tcW w:w="1560" w:type="dxa"/>
            <w:tcBorders>
              <w:top w:val="nil"/>
              <w:left w:val="none" w:sz="0" w:space="0" w:color="auto"/>
              <w:bottom w:val="nil"/>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$20,788,546 </w:t>
            </w:r>
          </w:p>
        </w:tc>
        <w:tc>
          <w:tcPr>
            <w:tcW w:w="1464" w:type="dxa"/>
            <w:tcBorders>
              <w:top w:val="nil"/>
              <w:left w:val="none" w:sz="0" w:space="0" w:color="auto"/>
              <w:bottom w:val="nil"/>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-$24,963 </w:t>
            </w:r>
          </w:p>
        </w:tc>
        <w:tc>
          <w:tcPr>
            <w:tcW w:w="1560" w:type="dxa"/>
            <w:tcBorders>
              <w:top w:val="nil"/>
              <w:left w:val="none" w:sz="0" w:space="0" w:color="auto"/>
              <w:bottom w:val="nil"/>
              <w:right w:val="none" w:sz="0" w:space="0" w:color="auto"/>
            </w:tcBorders>
            <w:shd w:val="clear" w:color="auto" w:fill="auto"/>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2252.88</w:t>
            </w:r>
          </w:p>
        </w:tc>
        <w:tc>
          <w:tcPr>
            <w:tcW w:w="1465" w:type="dxa"/>
            <w:tcBorders>
              <w:top w:val="nil"/>
              <w:left w:val="none" w:sz="0" w:space="0" w:color="auto"/>
              <w:bottom w:val="nil"/>
              <w:right w:val="none" w:sz="0" w:space="0" w:color="auto"/>
            </w:tcBorders>
            <w:shd w:val="clear" w:color="auto" w:fill="auto"/>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1.81</w:t>
            </w:r>
          </w:p>
        </w:tc>
      </w:tr>
      <w:tr w:rsidR="009C5F78" w:rsidRPr="001B3071" w:rsidTr="009C5F78">
        <w:trPr>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bottom w:val="nil"/>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6. </w:t>
            </w:r>
            <w:r w:rsidRPr="00754D5D">
              <w:rPr>
                <w:rFonts w:ascii="Times New Roman" w:hAnsi="Times New Roman" w:cs="Times New Roman"/>
                <w:b w:val="0"/>
                <w:sz w:val="24"/>
                <w:szCs w:val="24"/>
              </w:rPr>
              <w:t>Better stroke recognition tools</w:t>
            </w:r>
          </w:p>
        </w:tc>
        <w:tc>
          <w:tcPr>
            <w:tcW w:w="1560" w:type="dxa"/>
            <w:tcBorders>
              <w:top w:val="nil"/>
              <w:bottom w:val="nil"/>
            </w:tcBorders>
            <w:shd w:val="clear" w:color="auto" w:fill="auto"/>
            <w:noWrap/>
            <w:hideMark/>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$20,756,241 </w:t>
            </w:r>
          </w:p>
        </w:tc>
        <w:tc>
          <w:tcPr>
            <w:tcW w:w="1370"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-$57,269 </w:t>
            </w:r>
          </w:p>
        </w:tc>
        <w:tc>
          <w:tcPr>
            <w:tcW w:w="1606"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2255.22</w:t>
            </w:r>
          </w:p>
        </w:tc>
        <w:tc>
          <w:tcPr>
            <w:tcW w:w="1370" w:type="dxa"/>
            <w:tcBorders>
              <w:top w:val="nil"/>
              <w:bottom w:val="nil"/>
            </w:tcBorders>
            <w:shd w:val="clear" w:color="auto" w:fill="auto"/>
            <w:noWrap/>
            <w:hideMark/>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4.14</w:t>
            </w:r>
          </w:p>
        </w:tc>
        <w:tc>
          <w:tcPr>
            <w:tcW w:w="1560" w:type="dxa"/>
            <w:tcBorders>
              <w:top w:val="nil"/>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$20,773,862 </w:t>
            </w:r>
          </w:p>
        </w:tc>
        <w:tc>
          <w:tcPr>
            <w:tcW w:w="1464" w:type="dxa"/>
            <w:tcBorders>
              <w:top w:val="nil"/>
              <w:bottom w:val="nil"/>
            </w:tcBorders>
            <w:shd w:val="clear" w:color="auto" w:fill="auto"/>
          </w:tcPr>
          <w:p w:rsidR="009C5F78" w:rsidRPr="00A53FA9"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-$39,648 </w:t>
            </w:r>
          </w:p>
        </w:tc>
        <w:tc>
          <w:tcPr>
            <w:tcW w:w="1560" w:type="dxa"/>
            <w:tcBorders>
              <w:top w:val="nil"/>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2253.88</w:t>
            </w:r>
          </w:p>
        </w:tc>
        <w:tc>
          <w:tcPr>
            <w:tcW w:w="1465" w:type="dxa"/>
            <w:tcBorders>
              <w:top w:val="nil"/>
              <w:bottom w:val="nil"/>
            </w:tcBorders>
            <w:shd w:val="clear" w:color="auto" w:fill="auto"/>
          </w:tcPr>
          <w:p w:rsidR="009C5F78" w:rsidRPr="00754D5D"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2.81</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802" w:type="dxa"/>
            <w:tcBorders>
              <w:top w:val="nil"/>
              <w:left w:val="none" w:sz="0" w:space="0" w:color="auto"/>
              <w:bottom w:val="single" w:sz="4" w:space="0" w:color="auto"/>
              <w:right w:val="none" w:sz="0" w:space="0" w:color="auto"/>
            </w:tcBorders>
            <w:shd w:val="clear" w:color="auto" w:fill="auto"/>
            <w:noWrap/>
            <w:vAlign w:val="center"/>
            <w:hideMark/>
          </w:tcPr>
          <w:p w:rsidR="009C5F78" w:rsidRPr="00754D5D" w:rsidRDefault="009C5F78" w:rsidP="009C5F78">
            <w:pPr>
              <w:spacing w:after="120"/>
              <w:rPr>
                <w:rFonts w:ascii="Times New Roman" w:eastAsia="Times New Roman" w:hAnsi="Times New Roman" w:cs="Times New Roman"/>
                <w:b w:val="0"/>
                <w:iCs/>
                <w:color w:val="000000"/>
                <w:sz w:val="24"/>
                <w:szCs w:val="24"/>
                <w:lang w:eastAsia="en-GB"/>
              </w:rPr>
            </w:pPr>
            <w:r w:rsidRPr="00754D5D">
              <w:rPr>
                <w:rFonts w:ascii="Times New Roman" w:eastAsia="Times New Roman" w:hAnsi="Times New Roman" w:cs="Times New Roman"/>
                <w:b w:val="0"/>
                <w:iCs/>
                <w:color w:val="000000"/>
                <w:sz w:val="24"/>
                <w:szCs w:val="24"/>
                <w:lang w:eastAsia="en-GB"/>
              </w:rPr>
              <w:t xml:space="preserve">7. </w:t>
            </w:r>
            <w:r w:rsidRPr="00754D5D">
              <w:rPr>
                <w:rFonts w:ascii="Times New Roman" w:hAnsi="Times New Roman" w:cs="Times New Roman"/>
                <w:b w:val="0"/>
                <w:sz w:val="24"/>
                <w:szCs w:val="24"/>
              </w:rPr>
              <w:t>Extend thrombolysis eligibility to over 85s</w:t>
            </w:r>
          </w:p>
        </w:tc>
        <w:tc>
          <w:tcPr>
            <w:tcW w:w="1560" w:type="dxa"/>
            <w:tcBorders>
              <w:top w:val="nil"/>
              <w:left w:val="none" w:sz="0" w:space="0" w:color="auto"/>
              <w:bottom w:val="single" w:sz="4" w:space="0" w:color="auto"/>
              <w:right w:val="none" w:sz="0" w:space="0" w:color="auto"/>
            </w:tcBorders>
            <w:shd w:val="clear" w:color="auto" w:fill="auto"/>
            <w:noWrap/>
            <w:hideMark/>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sz w:val="24"/>
                <w:szCs w:val="24"/>
              </w:rPr>
            </w:pPr>
            <w:r w:rsidRPr="00754D5D">
              <w:rPr>
                <w:rFonts w:ascii="Times New Roman" w:hAnsi="Times New Roman" w:cs="Times New Roman"/>
                <w:bCs/>
                <w:color w:val="000000"/>
                <w:sz w:val="24"/>
                <w:szCs w:val="24"/>
              </w:rPr>
              <w:t xml:space="preserve">$20,775,330 </w:t>
            </w:r>
          </w:p>
        </w:tc>
        <w:tc>
          <w:tcPr>
            <w:tcW w:w="1370" w:type="dxa"/>
            <w:tcBorders>
              <w:top w:val="nil"/>
              <w:left w:val="none" w:sz="0" w:space="0" w:color="auto"/>
              <w:bottom w:val="single" w:sz="4" w:space="0" w:color="auto"/>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-$38,179 </w:t>
            </w:r>
          </w:p>
        </w:tc>
        <w:tc>
          <w:tcPr>
            <w:tcW w:w="1606" w:type="dxa"/>
            <w:tcBorders>
              <w:top w:val="nil"/>
              <w:left w:val="none" w:sz="0" w:space="0" w:color="auto"/>
              <w:bottom w:val="single" w:sz="4" w:space="0" w:color="auto"/>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2253.85</w:t>
            </w:r>
          </w:p>
        </w:tc>
        <w:tc>
          <w:tcPr>
            <w:tcW w:w="1370" w:type="dxa"/>
            <w:tcBorders>
              <w:top w:val="nil"/>
              <w:left w:val="none" w:sz="0" w:space="0" w:color="auto"/>
              <w:bottom w:val="single" w:sz="4" w:space="0" w:color="auto"/>
              <w:right w:val="none" w:sz="0" w:space="0" w:color="auto"/>
            </w:tcBorders>
            <w:shd w:val="clear" w:color="auto" w:fill="auto"/>
            <w:noWrap/>
            <w:hideMark/>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2.77</w:t>
            </w:r>
          </w:p>
        </w:tc>
        <w:tc>
          <w:tcPr>
            <w:tcW w:w="1560" w:type="dxa"/>
            <w:tcBorders>
              <w:top w:val="nil"/>
              <w:left w:val="none" w:sz="0" w:space="0" w:color="auto"/>
              <w:bottom w:val="single" w:sz="4" w:space="0" w:color="auto"/>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4"/>
                <w:szCs w:val="24"/>
              </w:rPr>
            </w:pPr>
            <w:r w:rsidRPr="00A53FA9">
              <w:rPr>
                <w:rFonts w:ascii="Times New Roman" w:hAnsi="Times New Roman" w:cs="Times New Roman"/>
                <w:bCs/>
                <w:color w:val="auto"/>
                <w:sz w:val="24"/>
                <w:szCs w:val="24"/>
              </w:rPr>
              <w:t xml:space="preserve">$20,775,330 </w:t>
            </w:r>
          </w:p>
        </w:tc>
        <w:tc>
          <w:tcPr>
            <w:tcW w:w="1464" w:type="dxa"/>
            <w:tcBorders>
              <w:top w:val="nil"/>
              <w:left w:val="none" w:sz="0" w:space="0" w:color="auto"/>
              <w:bottom w:val="single" w:sz="4" w:space="0" w:color="auto"/>
              <w:right w:val="none" w:sz="0" w:space="0" w:color="auto"/>
            </w:tcBorders>
            <w:shd w:val="clear" w:color="auto" w:fill="auto"/>
          </w:tcPr>
          <w:p w:rsidR="009C5F78" w:rsidRPr="00A53FA9"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color w:val="auto"/>
                <w:sz w:val="24"/>
                <w:szCs w:val="24"/>
              </w:rPr>
              <w:t xml:space="preserve">-$38,179 </w:t>
            </w:r>
          </w:p>
        </w:tc>
        <w:tc>
          <w:tcPr>
            <w:tcW w:w="1560" w:type="dxa"/>
            <w:tcBorders>
              <w:top w:val="nil"/>
              <w:left w:val="none" w:sz="0" w:space="0" w:color="auto"/>
              <w:bottom w:val="single" w:sz="4" w:space="0" w:color="auto"/>
              <w:right w:val="none" w:sz="0" w:space="0" w:color="auto"/>
            </w:tcBorders>
            <w:shd w:val="clear" w:color="auto" w:fill="auto"/>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2253.85</w:t>
            </w:r>
          </w:p>
        </w:tc>
        <w:tc>
          <w:tcPr>
            <w:tcW w:w="1465" w:type="dxa"/>
            <w:tcBorders>
              <w:top w:val="nil"/>
              <w:left w:val="none" w:sz="0" w:space="0" w:color="auto"/>
              <w:bottom w:val="single" w:sz="4" w:space="0" w:color="auto"/>
              <w:right w:val="none" w:sz="0" w:space="0" w:color="auto"/>
            </w:tcBorders>
            <w:shd w:val="clear" w:color="auto" w:fill="auto"/>
          </w:tcPr>
          <w:p w:rsidR="009C5F78" w:rsidRPr="00754D5D"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54D5D">
              <w:rPr>
                <w:rFonts w:ascii="Times New Roman" w:hAnsi="Times New Roman" w:cs="Times New Roman"/>
                <w:sz w:val="24"/>
                <w:szCs w:val="24"/>
              </w:rPr>
              <w:t>2.77</w:t>
            </w:r>
          </w:p>
        </w:tc>
      </w:tr>
    </w:tbl>
    <w:p w:rsidR="009C5F78" w:rsidRPr="001B3071" w:rsidRDefault="009C5F78" w:rsidP="009C5F78">
      <w:pPr>
        <w:spacing w:line="240" w:lineRule="auto"/>
        <w:jc w:val="left"/>
        <w:rPr>
          <w:rFonts w:cs="Times New Roman"/>
          <w:szCs w:val="24"/>
        </w:rPr>
      </w:pPr>
      <w:r w:rsidRPr="001B3071">
        <w:rPr>
          <w:rFonts w:cs="Times New Roman"/>
          <w:szCs w:val="24"/>
        </w:rPr>
        <w:t>†Assumes 221 patients will suffer an ischaemic stroke and 99 a stroke mimic, per 100,000 population, per year.</w:t>
      </w:r>
      <w:r w:rsidR="00807D9B" w:rsidRPr="00807D9B">
        <w:rPr>
          <w:rFonts w:cs="Times New Roman"/>
          <w:szCs w:val="24"/>
          <w:vertAlign w:val="superscript"/>
        </w:rPr>
        <w:t>36</w:t>
      </w:r>
    </w:p>
    <w:p w:rsidR="009C5F78" w:rsidRDefault="009C5F78" w:rsidP="009C5F78">
      <w:pPr>
        <w:spacing w:line="240" w:lineRule="auto"/>
        <w:jc w:val="left"/>
        <w:rPr>
          <w:rFonts w:cs="Times New Roman"/>
          <w:b/>
          <w:szCs w:val="24"/>
        </w:rPr>
      </w:pPr>
      <w:r w:rsidRPr="001B3071">
        <w:rPr>
          <w:rFonts w:cs="Times New Roman"/>
          <w:szCs w:val="24"/>
        </w:rPr>
        <w:t>*</w:t>
      </w:r>
      <w:r>
        <w:rPr>
          <w:rFonts w:cs="Times New Roman"/>
          <w:szCs w:val="24"/>
        </w:rPr>
        <w:t>D</w:t>
      </w:r>
      <w:r w:rsidRPr="001B3071">
        <w:rPr>
          <w:rFonts w:cs="Times New Roman"/>
          <w:szCs w:val="24"/>
        </w:rPr>
        <w:t>efined in table 2</w:t>
      </w:r>
      <w:r>
        <w:rPr>
          <w:rFonts w:cs="Times New Roman"/>
          <w:szCs w:val="24"/>
        </w:rPr>
        <w:t xml:space="preserve">. </w:t>
      </w:r>
      <w:r w:rsidRPr="001B3071">
        <w:rPr>
          <w:rFonts w:cs="Times New Roman"/>
          <w:szCs w:val="24"/>
        </w:rPr>
        <w:t>Note: incremental results (cost or QALYs) are measured against current practice only</w:t>
      </w:r>
    </w:p>
    <w:p w:rsidR="009C5F78" w:rsidRDefault="009C5F78" w:rsidP="009C5F78">
      <w:pPr>
        <w:rPr>
          <w:rFonts w:cs="Times New Roman"/>
          <w:b/>
          <w:szCs w:val="24"/>
        </w:rPr>
      </w:pPr>
      <w:r>
        <w:rPr>
          <w:rFonts w:cs="Times New Roman"/>
          <w:b/>
          <w:szCs w:val="24"/>
        </w:rPr>
        <w:br w:type="page"/>
      </w:r>
    </w:p>
    <w:p w:rsidR="009C5F78" w:rsidRPr="001B3071" w:rsidRDefault="009C5F78" w:rsidP="009C5F78">
      <w:pPr>
        <w:spacing w:line="240" w:lineRule="auto"/>
        <w:jc w:val="left"/>
        <w:rPr>
          <w:rFonts w:cs="Times New Roman"/>
          <w:b/>
          <w:szCs w:val="24"/>
        </w:rPr>
      </w:pPr>
      <w:r w:rsidRPr="001B3071">
        <w:rPr>
          <w:rFonts w:cs="Times New Roman"/>
          <w:b/>
          <w:szCs w:val="24"/>
        </w:rPr>
        <w:lastRenderedPageBreak/>
        <w:t xml:space="preserve">Table 5. Predicted </w:t>
      </w:r>
      <w:r>
        <w:rPr>
          <w:rFonts w:cs="Times New Roman"/>
          <w:b/>
          <w:szCs w:val="24"/>
        </w:rPr>
        <w:t>use of resources</w:t>
      </w:r>
      <w:r w:rsidRPr="001B3071">
        <w:rPr>
          <w:rFonts w:cs="Times New Roman"/>
          <w:b/>
          <w:szCs w:val="24"/>
        </w:rPr>
        <w:t xml:space="preserve"> per 100,000 population (per year)</w:t>
      </w:r>
      <w:r>
        <w:rPr>
          <w:rFonts w:cs="Times New Roman"/>
          <w:b/>
          <w:szCs w:val="24"/>
        </w:rPr>
        <w:t>*</w:t>
      </w:r>
      <w:r w:rsidRPr="001B3071">
        <w:rPr>
          <w:rFonts w:cs="Times New Roman"/>
          <w:b/>
          <w:szCs w:val="24"/>
        </w:rPr>
        <w:t xml:space="preserve"> </w:t>
      </w:r>
    </w:p>
    <w:tbl>
      <w:tblPr>
        <w:tblStyle w:val="LightShading2"/>
        <w:tblW w:w="5000" w:type="pct"/>
        <w:tblLook w:val="04A0" w:firstRow="1" w:lastRow="0" w:firstColumn="1" w:lastColumn="0" w:noHBand="0" w:noVBand="1"/>
      </w:tblPr>
      <w:tblGrid>
        <w:gridCol w:w="5555"/>
        <w:gridCol w:w="1873"/>
        <w:gridCol w:w="1840"/>
        <w:gridCol w:w="1840"/>
        <w:gridCol w:w="1839"/>
        <w:gridCol w:w="1839"/>
      </w:tblGrid>
      <w:tr w:rsidR="009C5F78" w:rsidRPr="001B3071" w:rsidTr="009C5F78">
        <w:trPr>
          <w:cnfStyle w:val="100000000000" w:firstRow="1" w:lastRow="0" w:firstColumn="0" w:lastColumn="0" w:oddVBand="0" w:evenVBand="0" w:oddHBand="0" w:evenHBand="0" w:firstRowFirstColumn="0" w:firstRowLastColumn="0" w:lastRowFirstColumn="0" w:lastRowLastColumn="0"/>
          <w:trHeight w:val="837"/>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color w:val="000000"/>
                <w:sz w:val="24"/>
                <w:szCs w:val="24"/>
                <w:lang w:eastAsia="en-GB"/>
              </w:rPr>
            </w:pPr>
          </w:p>
          <w:p w:rsidR="009C5F78" w:rsidRPr="001B3071" w:rsidRDefault="009C5F78" w:rsidP="009C5F78">
            <w:pPr>
              <w:rPr>
                <w:rFonts w:ascii="Times New Roman" w:eastAsia="Times New Roman" w:hAnsi="Times New Roman" w:cs="Times New Roman"/>
                <w:b w:val="0"/>
                <w:bCs w:val="0"/>
                <w:color w:val="000000"/>
                <w:sz w:val="24"/>
                <w:szCs w:val="24"/>
                <w:lang w:eastAsia="en-GB"/>
              </w:rPr>
            </w:pPr>
            <w:r w:rsidRPr="001B3071">
              <w:rPr>
                <w:rFonts w:ascii="Times New Roman" w:eastAsia="Times New Roman" w:hAnsi="Times New Roman" w:cs="Times New Roman"/>
                <w:b w:val="0"/>
                <w:color w:val="000000"/>
                <w:sz w:val="24"/>
                <w:szCs w:val="24"/>
                <w:lang w:eastAsia="en-GB"/>
              </w:rPr>
              <w:t>Change strategies</w:t>
            </w:r>
            <w:r w:rsidRPr="001B3071">
              <w:rPr>
                <w:rFonts w:ascii="Times New Roman" w:hAnsi="Times New Roman" w:cs="Times New Roman"/>
                <w:b w:val="0"/>
                <w:sz w:val="24"/>
                <w:szCs w:val="24"/>
              </w:rPr>
              <w:t>†</w:t>
            </w:r>
          </w:p>
        </w:tc>
        <w:tc>
          <w:tcPr>
            <w:tcW w:w="633" w:type="pct"/>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T</w:t>
            </w:r>
            <w:r w:rsidRPr="001B3071">
              <w:rPr>
                <w:rFonts w:ascii="Times New Roman" w:hAnsi="Times New Roman" w:cs="Times New Roman"/>
                <w:b w:val="0"/>
                <w:bCs w:val="0"/>
                <w:sz w:val="24"/>
                <w:szCs w:val="24"/>
              </w:rPr>
              <w:t>hrombolysed patients</w:t>
            </w:r>
          </w:p>
        </w:tc>
        <w:tc>
          <w:tcPr>
            <w:tcW w:w="622" w:type="pct"/>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Urgent</w:t>
            </w:r>
            <w:r w:rsidRPr="001B3071">
              <w:rPr>
                <w:rFonts w:ascii="Times New Roman" w:hAnsi="Times New Roman" w:cs="Times New Roman"/>
                <w:b w:val="0"/>
                <w:bCs w:val="0"/>
                <w:sz w:val="24"/>
                <w:szCs w:val="24"/>
              </w:rPr>
              <w:t xml:space="preserve"> scans &lt;4.5h </w:t>
            </w:r>
            <w:r w:rsidRPr="00764D58">
              <w:rPr>
                <w:rFonts w:ascii="Trebuchet MS" w:hAnsi="Trebuchet MS"/>
                <w:color w:val="808080"/>
                <w:sz w:val="24"/>
                <w:szCs w:val="24"/>
              </w:rPr>
              <w:t>§</w:t>
            </w:r>
          </w:p>
        </w:tc>
        <w:tc>
          <w:tcPr>
            <w:tcW w:w="622" w:type="pct"/>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E</w:t>
            </w:r>
            <w:r w:rsidRPr="001B3071">
              <w:rPr>
                <w:rFonts w:ascii="Times New Roman" w:hAnsi="Times New Roman" w:cs="Times New Roman"/>
                <w:b w:val="0"/>
                <w:bCs w:val="0"/>
                <w:sz w:val="24"/>
                <w:szCs w:val="24"/>
              </w:rPr>
              <w:t>mergency ambulances</w:t>
            </w:r>
          </w:p>
        </w:tc>
        <w:tc>
          <w:tcPr>
            <w:tcW w:w="622" w:type="pct"/>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I</w:t>
            </w:r>
            <w:r w:rsidRPr="001B3071">
              <w:rPr>
                <w:rFonts w:ascii="Times New Roman" w:hAnsi="Times New Roman" w:cs="Times New Roman"/>
                <w:b w:val="0"/>
                <w:bCs w:val="0"/>
                <w:sz w:val="24"/>
                <w:szCs w:val="24"/>
              </w:rPr>
              <w:t>ndependent</w:t>
            </w:r>
            <w:r>
              <w:rPr>
                <w:rFonts w:ascii="Trebuchet MS" w:hAnsi="Trebuchet MS"/>
                <w:color w:val="808080"/>
                <w:sz w:val="16"/>
                <w:szCs w:val="16"/>
              </w:rPr>
              <w:t xml:space="preserve">** </w:t>
            </w:r>
            <w:r w:rsidRPr="001B3071">
              <w:rPr>
                <w:rFonts w:ascii="Times New Roman" w:hAnsi="Times New Roman" w:cs="Times New Roman"/>
                <w:b w:val="0"/>
                <w:bCs w:val="0"/>
                <w:sz w:val="24"/>
                <w:szCs w:val="24"/>
              </w:rPr>
              <w:t xml:space="preserve">patients </w:t>
            </w:r>
          </w:p>
        </w:tc>
        <w:tc>
          <w:tcPr>
            <w:tcW w:w="622" w:type="pct"/>
            <w:shd w:val="clear" w:color="auto" w:fill="auto"/>
            <w:hideMark/>
          </w:tcPr>
          <w:p w:rsidR="009C5F78" w:rsidRPr="001B3071" w:rsidRDefault="009C5F78" w:rsidP="009C5F7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R</w:t>
            </w:r>
            <w:r w:rsidRPr="001B3071">
              <w:rPr>
                <w:rFonts w:ascii="Times New Roman" w:hAnsi="Times New Roman" w:cs="Times New Roman"/>
                <w:b w:val="0"/>
                <w:bCs w:val="0"/>
                <w:sz w:val="24"/>
                <w:szCs w:val="24"/>
              </w:rPr>
              <w:t xml:space="preserve">eduction in 'length of stay' </w:t>
            </w:r>
            <w:r w:rsidRPr="00764D58">
              <w:rPr>
                <w:rFonts w:ascii="Trebuchet MS" w:hAnsi="Trebuchet MS"/>
                <w:color w:val="808080"/>
                <w:sz w:val="24"/>
                <w:szCs w:val="24"/>
              </w:rPr>
              <w:t>¶</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878" w:type="pct"/>
            <w:tcBorders>
              <w:top w:val="single" w:sz="8" w:space="0" w:color="000000" w:themeColor="text1"/>
              <w:bottom w:val="single" w:sz="4" w:space="0" w:color="auto"/>
            </w:tcBorders>
            <w:shd w:val="clear" w:color="auto" w:fill="auto"/>
            <w:noWrap/>
            <w:hideMark/>
          </w:tcPr>
          <w:p w:rsidR="009C5F78" w:rsidRPr="001B3071" w:rsidRDefault="009C5F78" w:rsidP="009C5F78">
            <w:pPr>
              <w:rPr>
                <w:rFonts w:ascii="Times New Roman" w:eastAsia="Times New Roman" w:hAnsi="Times New Roman" w:cs="Times New Roman"/>
                <w:color w:val="000000"/>
                <w:sz w:val="24"/>
                <w:szCs w:val="24"/>
                <w:lang w:eastAsia="en-GB"/>
              </w:rPr>
            </w:pPr>
          </w:p>
        </w:tc>
        <w:tc>
          <w:tcPr>
            <w:tcW w:w="633" w:type="pct"/>
            <w:tcBorders>
              <w:top w:val="single" w:sz="8" w:space="0" w:color="000000" w:themeColor="text1"/>
              <w:bottom w:val="single" w:sz="4" w:space="0" w:color="auto"/>
            </w:tcBorders>
            <w:shd w:val="clear" w:color="auto" w:fill="auto"/>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1B3071">
              <w:rPr>
                <w:rFonts w:ascii="Times New Roman" w:hAnsi="Times New Roman" w:cs="Times New Roman"/>
                <w:bCs/>
                <w:sz w:val="24"/>
                <w:szCs w:val="24"/>
              </w:rPr>
              <w:t>N (% additional)</w:t>
            </w:r>
          </w:p>
        </w:tc>
        <w:tc>
          <w:tcPr>
            <w:tcW w:w="622" w:type="pct"/>
            <w:tcBorders>
              <w:top w:val="single" w:sz="8" w:space="0" w:color="000000" w:themeColor="text1"/>
              <w:bottom w:val="single" w:sz="4" w:space="0" w:color="auto"/>
            </w:tcBorders>
            <w:shd w:val="clear" w:color="auto" w:fill="auto"/>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1B3071">
              <w:rPr>
                <w:rFonts w:ascii="Times New Roman" w:hAnsi="Times New Roman" w:cs="Times New Roman"/>
                <w:bCs/>
                <w:sz w:val="24"/>
                <w:szCs w:val="24"/>
              </w:rPr>
              <w:t>N (% additional)</w:t>
            </w:r>
          </w:p>
        </w:tc>
        <w:tc>
          <w:tcPr>
            <w:tcW w:w="622" w:type="pct"/>
            <w:tcBorders>
              <w:top w:val="single" w:sz="8" w:space="0" w:color="000000" w:themeColor="text1"/>
              <w:bottom w:val="single" w:sz="4" w:space="0" w:color="auto"/>
            </w:tcBorders>
            <w:shd w:val="clear" w:color="auto" w:fill="auto"/>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1B3071">
              <w:rPr>
                <w:rFonts w:ascii="Times New Roman" w:hAnsi="Times New Roman" w:cs="Times New Roman"/>
                <w:bCs/>
                <w:sz w:val="24"/>
                <w:szCs w:val="24"/>
              </w:rPr>
              <w:t>N (% additional)</w:t>
            </w:r>
          </w:p>
        </w:tc>
        <w:tc>
          <w:tcPr>
            <w:tcW w:w="622" w:type="pct"/>
            <w:tcBorders>
              <w:top w:val="single" w:sz="8" w:space="0" w:color="000000" w:themeColor="text1"/>
              <w:bottom w:val="single" w:sz="4" w:space="0" w:color="auto"/>
            </w:tcBorders>
            <w:shd w:val="clear" w:color="auto" w:fill="auto"/>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1B3071">
              <w:rPr>
                <w:rFonts w:ascii="Times New Roman" w:hAnsi="Times New Roman" w:cs="Times New Roman"/>
                <w:bCs/>
                <w:sz w:val="24"/>
                <w:szCs w:val="24"/>
              </w:rPr>
              <w:t>N (% additional)</w:t>
            </w:r>
          </w:p>
        </w:tc>
        <w:tc>
          <w:tcPr>
            <w:tcW w:w="622" w:type="pct"/>
            <w:tcBorders>
              <w:top w:val="single" w:sz="8" w:space="0" w:color="000000" w:themeColor="text1"/>
              <w:bottom w:val="single" w:sz="4" w:space="0" w:color="auto"/>
            </w:tcBorders>
            <w:shd w:val="clear" w:color="auto" w:fill="auto"/>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1B3071">
              <w:rPr>
                <w:rFonts w:ascii="Times New Roman" w:hAnsi="Times New Roman" w:cs="Times New Roman"/>
                <w:bCs/>
                <w:sz w:val="24"/>
                <w:szCs w:val="24"/>
              </w:rPr>
              <w:t>No. days</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1878" w:type="pct"/>
            <w:tcBorders>
              <w:top w:val="single" w:sz="4" w:space="0" w:color="auto"/>
            </w:tcBorders>
            <w:shd w:val="clear" w:color="auto" w:fill="auto"/>
            <w:noWrap/>
            <w:vAlign w:val="center"/>
            <w:hideMark/>
          </w:tcPr>
          <w:p w:rsidR="009C5F78" w:rsidRPr="00A53FA9" w:rsidRDefault="009C5F78" w:rsidP="009C5F78">
            <w:pPr>
              <w:rPr>
                <w:rFonts w:ascii="Times New Roman" w:eastAsia="Times New Roman" w:hAnsi="Times New Roman" w:cs="Times New Roman"/>
                <w:b w:val="0"/>
                <w:bCs w:val="0"/>
                <w:color w:val="000000"/>
                <w:sz w:val="24"/>
                <w:szCs w:val="24"/>
                <w:lang w:eastAsia="en-GB"/>
              </w:rPr>
            </w:pPr>
            <w:r w:rsidRPr="00A53FA9">
              <w:rPr>
                <w:rFonts w:ascii="Times New Roman" w:eastAsia="Times New Roman" w:hAnsi="Times New Roman" w:cs="Times New Roman"/>
                <w:b w:val="0"/>
                <w:color w:val="000000"/>
                <w:sz w:val="24"/>
                <w:szCs w:val="24"/>
                <w:lang w:eastAsia="en-GB"/>
              </w:rPr>
              <w:t>Current practice</w:t>
            </w:r>
          </w:p>
        </w:tc>
        <w:tc>
          <w:tcPr>
            <w:tcW w:w="633" w:type="pct"/>
            <w:tcBorders>
              <w:top w:val="single" w:sz="4" w:space="0" w:color="auto"/>
            </w:tcBorders>
            <w:shd w:val="clear" w:color="auto" w:fill="auto"/>
            <w:noWrap/>
            <w:vAlign w:val="center"/>
            <w:hideMark/>
          </w:tcPr>
          <w:p w:rsidR="009C5F78" w:rsidRPr="00A53FA9" w:rsidRDefault="009C5F78" w:rsidP="00A53FA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sz w:val="24"/>
                <w:szCs w:val="24"/>
              </w:rPr>
              <w:t>21</w:t>
            </w:r>
          </w:p>
        </w:tc>
        <w:tc>
          <w:tcPr>
            <w:tcW w:w="622" w:type="pct"/>
            <w:tcBorders>
              <w:top w:val="single" w:sz="4" w:space="0" w:color="auto"/>
            </w:tcBorders>
            <w:shd w:val="clear" w:color="auto" w:fill="auto"/>
            <w:noWrap/>
            <w:vAlign w:val="center"/>
            <w:hideMark/>
          </w:tcPr>
          <w:p w:rsidR="009C5F78" w:rsidRPr="00A53FA9" w:rsidRDefault="009C5F78" w:rsidP="00A53FA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sz w:val="24"/>
                <w:szCs w:val="24"/>
              </w:rPr>
              <w:t>72</w:t>
            </w:r>
          </w:p>
        </w:tc>
        <w:tc>
          <w:tcPr>
            <w:tcW w:w="622" w:type="pct"/>
            <w:tcBorders>
              <w:top w:val="single" w:sz="4" w:space="0" w:color="auto"/>
            </w:tcBorders>
            <w:shd w:val="clear" w:color="auto" w:fill="auto"/>
            <w:noWrap/>
            <w:vAlign w:val="center"/>
            <w:hideMark/>
          </w:tcPr>
          <w:p w:rsidR="009C5F78" w:rsidRPr="00A53FA9" w:rsidRDefault="009C5F78" w:rsidP="00A53FA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53FA9">
              <w:rPr>
                <w:rFonts w:ascii="Times New Roman" w:hAnsi="Times New Roman" w:cs="Times New Roman"/>
                <w:sz w:val="24"/>
                <w:szCs w:val="24"/>
              </w:rPr>
              <w:t>148</w:t>
            </w:r>
          </w:p>
        </w:tc>
        <w:tc>
          <w:tcPr>
            <w:tcW w:w="622" w:type="pct"/>
            <w:tcBorders>
              <w:top w:val="single" w:sz="4" w:space="0" w:color="auto"/>
            </w:tcBorders>
            <w:shd w:val="clear" w:color="auto" w:fill="auto"/>
            <w:noWrap/>
            <w:vAlign w:val="center"/>
            <w:hideMark/>
          </w:tcPr>
          <w:p w:rsidR="009C5F78" w:rsidRPr="00A53FA9" w:rsidRDefault="00A53FA9" w:rsidP="00A53FA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sz w:val="24"/>
                <w:szCs w:val="24"/>
              </w:rPr>
              <w:t>14</w:t>
            </w:r>
          </w:p>
        </w:tc>
        <w:tc>
          <w:tcPr>
            <w:tcW w:w="622" w:type="pct"/>
            <w:tcBorders>
              <w:top w:val="single" w:sz="4" w:space="0" w:color="auto"/>
            </w:tcBorders>
            <w:shd w:val="clear" w:color="auto" w:fill="auto"/>
            <w:noWrap/>
            <w:vAlign w:val="center"/>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B3071">
              <w:rPr>
                <w:rFonts w:ascii="Times New Roman" w:hAnsi="Times New Roman" w:cs="Times New Roman"/>
                <w:b/>
                <w:sz w:val="24"/>
                <w:szCs w:val="24"/>
              </w:rPr>
              <w:t>-</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b w:val="0"/>
                <w:bCs w:val="0"/>
                <w:i/>
                <w:iCs/>
                <w:color w:val="000000"/>
                <w:sz w:val="24"/>
                <w:szCs w:val="24"/>
                <w:lang w:eastAsia="en-GB"/>
              </w:rPr>
            </w:pPr>
            <w:r w:rsidRPr="001B3071">
              <w:rPr>
                <w:rFonts w:ascii="Times New Roman" w:eastAsia="Times New Roman" w:hAnsi="Times New Roman" w:cs="Times New Roman"/>
                <w:b w:val="0"/>
                <w:iCs/>
                <w:color w:val="000000"/>
                <w:sz w:val="24"/>
                <w:szCs w:val="24"/>
                <w:lang w:eastAsia="en-GB"/>
              </w:rPr>
              <w:t>1. Timely referral (No GP referrals)</w:t>
            </w:r>
          </w:p>
        </w:tc>
        <w:tc>
          <w:tcPr>
            <w:tcW w:w="633"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24(16.0)</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79( 9.5)</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170(15.2)</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16(13.6)</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5</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b w:val="0"/>
                <w:bCs w:val="0"/>
                <w:i/>
                <w:iCs/>
                <w:color w:val="000000"/>
                <w:sz w:val="24"/>
                <w:szCs w:val="24"/>
                <w:lang w:eastAsia="en-GB"/>
              </w:rPr>
            </w:pPr>
            <w:r w:rsidRPr="001B3071">
              <w:rPr>
                <w:rFonts w:ascii="Times New Roman" w:eastAsia="Times New Roman" w:hAnsi="Times New Roman" w:cs="Times New Roman"/>
                <w:b w:val="0"/>
                <w:iCs/>
                <w:color w:val="000000"/>
                <w:sz w:val="24"/>
                <w:szCs w:val="24"/>
                <w:lang w:eastAsia="en-GB"/>
              </w:rPr>
              <w:t>2. Wake-up strokes</w:t>
            </w:r>
          </w:p>
        </w:tc>
        <w:tc>
          <w:tcPr>
            <w:tcW w:w="633"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24(16.0)</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87(20.5)</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148( 0.0)</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16(13.6)</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6</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b w:val="0"/>
                <w:bCs w:val="0"/>
                <w:i/>
                <w:iCs/>
                <w:color w:val="000000"/>
                <w:sz w:val="24"/>
                <w:szCs w:val="24"/>
                <w:lang w:eastAsia="en-GB"/>
              </w:rPr>
            </w:pPr>
            <w:r w:rsidRPr="001B3071">
              <w:rPr>
                <w:rFonts w:ascii="Times New Roman" w:eastAsia="Times New Roman" w:hAnsi="Times New Roman" w:cs="Times New Roman"/>
                <w:b w:val="0"/>
                <w:iCs/>
                <w:color w:val="000000"/>
                <w:sz w:val="24"/>
                <w:szCs w:val="24"/>
                <w:lang w:eastAsia="en-GB"/>
              </w:rPr>
              <w:t>3. Onset time in stroke: non wake-up strokes</w:t>
            </w:r>
          </w:p>
        </w:tc>
        <w:tc>
          <w:tcPr>
            <w:tcW w:w="633"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25(21.2)</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87(20.5)</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148( 0.0)</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16(13.6)</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7</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b w:val="0"/>
                <w:bCs w:val="0"/>
                <w:i/>
                <w:iCs/>
                <w:color w:val="000000"/>
                <w:sz w:val="24"/>
                <w:szCs w:val="24"/>
                <w:lang w:eastAsia="en-GB"/>
              </w:rPr>
            </w:pPr>
            <w:r w:rsidRPr="001B3071">
              <w:rPr>
                <w:rFonts w:ascii="Times New Roman" w:eastAsia="Times New Roman" w:hAnsi="Times New Roman" w:cs="Times New Roman"/>
                <w:b w:val="0"/>
                <w:iCs/>
                <w:color w:val="000000"/>
                <w:sz w:val="24"/>
                <w:szCs w:val="24"/>
                <w:lang w:eastAsia="en-GB"/>
              </w:rPr>
              <w:t>4. No delays in contact with emergency services</w:t>
            </w:r>
          </w:p>
        </w:tc>
        <w:tc>
          <w:tcPr>
            <w:tcW w:w="633"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22( 9.1)</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78( 8.6)</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148( 0.0)</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14( 4.5)</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3</w:t>
            </w:r>
          </w:p>
        </w:tc>
      </w:tr>
      <w:tr w:rsidR="009C5F78" w:rsidRPr="001B3071" w:rsidTr="009C5F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b w:val="0"/>
                <w:bCs w:val="0"/>
                <w:i/>
                <w:iCs/>
                <w:color w:val="000000"/>
                <w:sz w:val="24"/>
                <w:szCs w:val="24"/>
                <w:lang w:eastAsia="en-GB"/>
              </w:rPr>
            </w:pPr>
            <w:r w:rsidRPr="001B3071">
              <w:rPr>
                <w:rFonts w:ascii="Times New Roman" w:eastAsia="Times New Roman" w:hAnsi="Times New Roman" w:cs="Times New Roman"/>
                <w:b w:val="0"/>
                <w:iCs/>
                <w:color w:val="000000"/>
                <w:sz w:val="24"/>
                <w:szCs w:val="24"/>
                <w:lang w:eastAsia="en-GB"/>
              </w:rPr>
              <w:t>5. Timely CT scan upon arrival in hospital</w:t>
            </w:r>
          </w:p>
        </w:tc>
        <w:tc>
          <w:tcPr>
            <w:tcW w:w="633"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23(12.1)</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80(11.2)</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148( 0.0)</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14( 4.5)</w:t>
            </w:r>
          </w:p>
        </w:tc>
        <w:tc>
          <w:tcPr>
            <w:tcW w:w="622" w:type="pct"/>
            <w:shd w:val="clear" w:color="auto" w:fill="auto"/>
            <w:noWrap/>
            <w:vAlign w:val="bottom"/>
            <w:hideMark/>
          </w:tcPr>
          <w:p w:rsidR="009C5F78" w:rsidRPr="001B3071" w:rsidRDefault="009C5F78" w:rsidP="009C5F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4</w:t>
            </w:r>
          </w:p>
        </w:tc>
      </w:tr>
      <w:tr w:rsidR="009C5F78" w:rsidRPr="001B3071" w:rsidTr="009C5F78">
        <w:trPr>
          <w:trHeight w:val="300"/>
        </w:trPr>
        <w:tc>
          <w:tcPr>
            <w:cnfStyle w:val="001000000000" w:firstRow="0" w:lastRow="0" w:firstColumn="1" w:lastColumn="0" w:oddVBand="0" w:evenVBand="0" w:oddHBand="0" w:evenHBand="0" w:firstRowFirstColumn="0" w:firstRowLastColumn="0" w:lastRowFirstColumn="0" w:lastRowLastColumn="0"/>
            <w:tcW w:w="1878" w:type="pct"/>
            <w:shd w:val="clear" w:color="auto" w:fill="auto"/>
            <w:noWrap/>
            <w:hideMark/>
          </w:tcPr>
          <w:p w:rsidR="009C5F78" w:rsidRPr="001B3071" w:rsidRDefault="009C5F78" w:rsidP="009C5F78">
            <w:pPr>
              <w:rPr>
                <w:rFonts w:ascii="Times New Roman" w:eastAsia="Times New Roman" w:hAnsi="Times New Roman" w:cs="Times New Roman"/>
                <w:b w:val="0"/>
                <w:bCs w:val="0"/>
                <w:i/>
                <w:iCs/>
                <w:color w:val="000000"/>
                <w:sz w:val="24"/>
                <w:szCs w:val="24"/>
                <w:lang w:eastAsia="en-GB"/>
              </w:rPr>
            </w:pPr>
            <w:r w:rsidRPr="001B3071">
              <w:rPr>
                <w:rFonts w:ascii="Times New Roman" w:eastAsia="Times New Roman" w:hAnsi="Times New Roman" w:cs="Times New Roman"/>
                <w:b w:val="0"/>
                <w:iCs/>
                <w:color w:val="000000"/>
                <w:sz w:val="24"/>
                <w:szCs w:val="24"/>
                <w:lang w:eastAsia="en-GB"/>
              </w:rPr>
              <w:t>6. FAST negative stroke patients recognised</w:t>
            </w:r>
          </w:p>
        </w:tc>
        <w:tc>
          <w:tcPr>
            <w:tcW w:w="633"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24(16.0)</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85(17.2)</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148( 0.0)</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16(13.6)</w:t>
            </w:r>
          </w:p>
        </w:tc>
        <w:tc>
          <w:tcPr>
            <w:tcW w:w="622" w:type="pct"/>
            <w:shd w:val="clear" w:color="auto" w:fill="auto"/>
            <w:noWrap/>
            <w:vAlign w:val="bottom"/>
            <w:hideMark/>
          </w:tcPr>
          <w:p w:rsidR="009C5F78" w:rsidRPr="001B3071" w:rsidRDefault="009C5F78" w:rsidP="009C5F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B3071">
              <w:rPr>
                <w:rFonts w:ascii="Times New Roman" w:hAnsi="Times New Roman" w:cs="Times New Roman"/>
                <w:sz w:val="24"/>
                <w:szCs w:val="24"/>
              </w:rPr>
              <w:t>6</w:t>
            </w:r>
          </w:p>
        </w:tc>
      </w:tr>
    </w:tbl>
    <w:p w:rsidR="009C5F78" w:rsidRPr="001B3071" w:rsidRDefault="009C5F78" w:rsidP="009C5F78">
      <w:pPr>
        <w:spacing w:line="240" w:lineRule="auto"/>
        <w:jc w:val="left"/>
        <w:rPr>
          <w:rFonts w:cs="Times New Roman"/>
          <w:szCs w:val="24"/>
        </w:rPr>
      </w:pPr>
      <w:r w:rsidRPr="001B3071">
        <w:rPr>
          <w:rFonts w:cs="Times New Roman"/>
          <w:szCs w:val="24"/>
        </w:rPr>
        <w:t>*</w:t>
      </w:r>
      <w:r>
        <w:rPr>
          <w:rFonts w:cs="Times New Roman"/>
          <w:szCs w:val="24"/>
        </w:rPr>
        <w:t xml:space="preserve"> </w:t>
      </w:r>
      <w:r w:rsidRPr="001B3071">
        <w:rPr>
          <w:rFonts w:cs="Times New Roman"/>
          <w:szCs w:val="24"/>
        </w:rPr>
        <w:t>Assumes 221 patients will suffer an ischaemic stroke and 99 a stroke mimic, per 100,000 population, per year.</w:t>
      </w:r>
      <w:r w:rsidR="00807D9B" w:rsidRPr="00807D9B">
        <w:rPr>
          <w:rFonts w:cs="Times New Roman"/>
          <w:szCs w:val="24"/>
          <w:vertAlign w:val="superscript"/>
        </w:rPr>
        <w:t>36</w:t>
      </w:r>
      <w:r w:rsidR="00807D9B">
        <w:rPr>
          <w:rFonts w:cs="Times New Roman"/>
          <w:szCs w:val="24"/>
        </w:rPr>
        <w:t xml:space="preserve"> </w:t>
      </w:r>
    </w:p>
    <w:p w:rsidR="009C5F78" w:rsidRPr="001B3071" w:rsidRDefault="009C5F78" w:rsidP="009C5F78">
      <w:pPr>
        <w:spacing w:line="240" w:lineRule="auto"/>
        <w:jc w:val="left"/>
        <w:rPr>
          <w:rFonts w:cs="Times New Roman"/>
          <w:szCs w:val="24"/>
        </w:rPr>
      </w:pPr>
      <w:r w:rsidRPr="001B3071">
        <w:rPr>
          <w:rFonts w:cs="Times New Roman"/>
          <w:szCs w:val="24"/>
        </w:rPr>
        <w:t xml:space="preserve">† </w:t>
      </w:r>
      <w:r>
        <w:rPr>
          <w:rFonts w:cs="Times New Roman"/>
          <w:szCs w:val="24"/>
        </w:rPr>
        <w:t>D</w:t>
      </w:r>
      <w:r w:rsidRPr="001B3071">
        <w:rPr>
          <w:rFonts w:cs="Times New Roman"/>
          <w:szCs w:val="24"/>
        </w:rPr>
        <w:t>efined in table 2</w:t>
      </w:r>
    </w:p>
    <w:p w:rsidR="009C5F78" w:rsidRPr="001B3071" w:rsidRDefault="009C5F78" w:rsidP="009C5F78">
      <w:pPr>
        <w:spacing w:line="240" w:lineRule="auto"/>
        <w:jc w:val="left"/>
        <w:rPr>
          <w:rFonts w:cs="Times New Roman"/>
          <w:szCs w:val="24"/>
        </w:rPr>
      </w:pPr>
      <w:r w:rsidRPr="00764D58">
        <w:rPr>
          <w:rFonts w:ascii="Trebuchet MS" w:hAnsi="Trebuchet MS"/>
          <w:color w:val="808080"/>
          <w:szCs w:val="24"/>
        </w:rPr>
        <w:t>§</w:t>
      </w:r>
      <w:r>
        <w:rPr>
          <w:rFonts w:ascii="Trebuchet MS" w:hAnsi="Trebuchet MS"/>
          <w:color w:val="808080"/>
          <w:szCs w:val="24"/>
        </w:rPr>
        <w:t xml:space="preserve"> </w:t>
      </w:r>
      <w:r>
        <w:rPr>
          <w:rFonts w:cs="Times New Roman"/>
          <w:szCs w:val="24"/>
        </w:rPr>
        <w:t>A s</w:t>
      </w:r>
      <w:r w:rsidRPr="001B3071">
        <w:rPr>
          <w:rFonts w:cs="Times New Roman"/>
          <w:szCs w:val="24"/>
        </w:rPr>
        <w:t>can taken within 4.5 hours of onset of symptoms</w:t>
      </w:r>
    </w:p>
    <w:p w:rsidR="009C5F78" w:rsidRPr="001B3071" w:rsidRDefault="009C5F78" w:rsidP="009C5F78">
      <w:pPr>
        <w:spacing w:line="240" w:lineRule="auto"/>
        <w:jc w:val="left"/>
        <w:rPr>
          <w:rFonts w:cs="Times New Roman"/>
          <w:szCs w:val="24"/>
        </w:rPr>
      </w:pPr>
      <w:r>
        <w:rPr>
          <w:rFonts w:ascii="Trebuchet MS" w:hAnsi="Trebuchet MS"/>
          <w:color w:val="808080"/>
          <w:szCs w:val="24"/>
        </w:rPr>
        <w:t xml:space="preserve">** </w:t>
      </w:r>
      <w:r>
        <w:rPr>
          <w:rFonts w:cs="Times New Roman"/>
          <w:szCs w:val="24"/>
        </w:rPr>
        <w:t>O</w:t>
      </w:r>
      <w:r w:rsidRPr="001B3071">
        <w:rPr>
          <w:rFonts w:cs="Times New Roman"/>
          <w:szCs w:val="24"/>
        </w:rPr>
        <w:t>ut of those who were thrombolysed</w:t>
      </w:r>
    </w:p>
    <w:p w:rsidR="009C5F78" w:rsidRPr="001B3071" w:rsidRDefault="009C5F78" w:rsidP="009C5F78">
      <w:pPr>
        <w:spacing w:line="240" w:lineRule="auto"/>
        <w:jc w:val="left"/>
        <w:rPr>
          <w:rFonts w:cs="Times New Roman"/>
          <w:szCs w:val="24"/>
        </w:rPr>
      </w:pPr>
      <w:proofErr w:type="gramStart"/>
      <w:r w:rsidRPr="00764D58">
        <w:rPr>
          <w:rFonts w:ascii="Trebuchet MS" w:hAnsi="Trebuchet MS"/>
          <w:color w:val="808080"/>
          <w:szCs w:val="24"/>
        </w:rPr>
        <w:t>¶</w:t>
      </w:r>
      <w:r>
        <w:rPr>
          <w:rFonts w:ascii="Trebuchet MS" w:hAnsi="Trebuchet MS"/>
          <w:color w:val="808080"/>
          <w:sz w:val="16"/>
          <w:szCs w:val="16"/>
        </w:rPr>
        <w:t xml:space="preserve">  </w:t>
      </w:r>
      <w:r>
        <w:rPr>
          <w:rFonts w:cs="Times New Roman"/>
          <w:szCs w:val="24"/>
        </w:rPr>
        <w:t>A</w:t>
      </w:r>
      <w:proofErr w:type="gramEnd"/>
      <w:r w:rsidRPr="001B3071">
        <w:rPr>
          <w:rFonts w:cs="Times New Roman"/>
          <w:szCs w:val="24"/>
        </w:rPr>
        <w:t xml:space="preserve"> non-thrombolysed patient spends, on average, 1.62 extra days in hospital if compared with a thrombolysed patient</w:t>
      </w:r>
    </w:p>
    <w:p w:rsidR="009C5F78" w:rsidRDefault="009C5F78" w:rsidP="009C5F78">
      <w:pPr>
        <w:spacing w:line="240" w:lineRule="auto"/>
        <w:jc w:val="left"/>
        <w:rPr>
          <w:rFonts w:cs="Times New Roman"/>
          <w:szCs w:val="24"/>
        </w:rPr>
      </w:pPr>
      <w:r w:rsidRPr="001B3071">
        <w:rPr>
          <w:rFonts w:cs="Times New Roman"/>
          <w:szCs w:val="24"/>
        </w:rPr>
        <w:t>Note: (% additional) have been rounded</w:t>
      </w:r>
    </w:p>
    <w:p w:rsidR="009C5F78" w:rsidRDefault="009C5F78" w:rsidP="009C5F78">
      <w:pPr>
        <w:spacing w:line="240" w:lineRule="auto"/>
        <w:jc w:val="left"/>
        <w:rPr>
          <w:rFonts w:cs="Times New Roman"/>
          <w:szCs w:val="24"/>
        </w:rPr>
      </w:pPr>
    </w:p>
    <w:p w:rsidR="001E0C24" w:rsidRDefault="001E0C24">
      <w:pPr>
        <w:rPr>
          <w:szCs w:val="24"/>
        </w:rPr>
      </w:pPr>
      <w:r>
        <w:rPr>
          <w:szCs w:val="24"/>
        </w:rPr>
        <w:br w:type="page"/>
      </w:r>
    </w:p>
    <w:p w:rsidR="001E0C24" w:rsidRDefault="001E0C24" w:rsidP="009C5F78">
      <w:pPr>
        <w:rPr>
          <w:b/>
          <w:szCs w:val="24"/>
        </w:rPr>
        <w:sectPr w:rsidR="001E0C24" w:rsidSect="00C5272A">
          <w:headerReference w:type="default" r:id="rId20"/>
          <w:footerReference w:type="default" r:id="rId21"/>
          <w:pgSz w:w="16838" w:h="11906" w:orient="landscape"/>
          <w:pgMar w:top="1134" w:right="1134" w:bottom="1134" w:left="1134" w:header="709" w:footer="709" w:gutter="0"/>
          <w:cols w:space="708"/>
          <w:docGrid w:linePitch="360"/>
        </w:sectPr>
      </w:pPr>
    </w:p>
    <w:p w:rsidR="002D3758" w:rsidRPr="001E0C24" w:rsidRDefault="001E0C24" w:rsidP="009C5F78">
      <w:pPr>
        <w:rPr>
          <w:b/>
          <w:szCs w:val="24"/>
        </w:rPr>
      </w:pPr>
      <w:r w:rsidRPr="001E0C24">
        <w:rPr>
          <w:b/>
          <w:szCs w:val="24"/>
        </w:rPr>
        <w:lastRenderedPageBreak/>
        <w:t>Appendix</w:t>
      </w:r>
    </w:p>
    <w:p w:rsidR="001E0C24" w:rsidRDefault="001E0C24" w:rsidP="009C5F78">
      <w:pPr>
        <w:rPr>
          <w:szCs w:val="24"/>
        </w:rPr>
      </w:pPr>
    </w:p>
    <w:p w:rsidR="001E0C24" w:rsidRDefault="001E0C24" w:rsidP="001E0C24">
      <w:pPr>
        <w:spacing w:line="480" w:lineRule="auto"/>
        <w:rPr>
          <w:rFonts w:cs="Times New Roman"/>
          <w:szCs w:val="24"/>
        </w:rPr>
      </w:pPr>
      <w:r w:rsidRPr="005D00FC">
        <w:rPr>
          <w:rFonts w:cs="Times New Roman"/>
          <w:szCs w:val="24"/>
        </w:rPr>
        <w:t xml:space="preserve">Birmingham and Black Country Collaborations for Leadership in Applied Health Research and Care investigators </w:t>
      </w:r>
      <w:r>
        <w:rPr>
          <w:rFonts w:cs="Times New Roman"/>
          <w:szCs w:val="24"/>
        </w:rPr>
        <w:t>include:</w:t>
      </w:r>
    </w:p>
    <w:p w:rsidR="001E0C24" w:rsidRPr="005D00FC" w:rsidRDefault="001E0C24" w:rsidP="001E0C24">
      <w:pPr>
        <w:spacing w:line="480" w:lineRule="auto"/>
        <w:rPr>
          <w:rFonts w:cs="Times New Roman"/>
          <w:szCs w:val="24"/>
        </w:rPr>
      </w:pPr>
      <w:r w:rsidRPr="005D00FC">
        <w:rPr>
          <w:rFonts w:cs="Times New Roman"/>
          <w:szCs w:val="24"/>
        </w:rPr>
        <w:t>Peter Carr, Heart of England NHS Foundation Trust</w:t>
      </w:r>
    </w:p>
    <w:p w:rsidR="001E0C24" w:rsidRDefault="001E0C24" w:rsidP="001E0C24">
      <w:pPr>
        <w:spacing w:line="480" w:lineRule="auto"/>
        <w:rPr>
          <w:rFonts w:cs="Times New Roman"/>
          <w:szCs w:val="24"/>
        </w:rPr>
      </w:pPr>
      <w:r>
        <w:rPr>
          <w:rFonts w:cs="Times New Roman"/>
          <w:szCs w:val="24"/>
        </w:rPr>
        <w:t>Sheila Greenfield, Primary Care Clinical Sciences, University of Birmingham</w:t>
      </w:r>
    </w:p>
    <w:p w:rsidR="001E0C24" w:rsidRPr="005D00FC" w:rsidRDefault="001E0C24" w:rsidP="001E0C24">
      <w:pPr>
        <w:spacing w:line="480" w:lineRule="auto"/>
        <w:rPr>
          <w:rFonts w:cs="Times New Roman"/>
          <w:szCs w:val="24"/>
        </w:rPr>
      </w:pPr>
      <w:proofErr w:type="spellStart"/>
      <w:r w:rsidRPr="005D00FC">
        <w:rPr>
          <w:rFonts w:cs="Times New Roman"/>
          <w:szCs w:val="24"/>
        </w:rPr>
        <w:t>Brin</w:t>
      </w:r>
      <w:proofErr w:type="spellEnd"/>
      <w:r w:rsidRPr="005D00FC">
        <w:rPr>
          <w:rFonts w:cs="Times New Roman"/>
          <w:szCs w:val="24"/>
        </w:rPr>
        <w:t xml:space="preserve"> Helliwell, Lay member of Steering Group</w:t>
      </w:r>
    </w:p>
    <w:p w:rsidR="001E0C24" w:rsidRPr="005D00FC" w:rsidRDefault="001E0C24" w:rsidP="001E0C24">
      <w:pPr>
        <w:spacing w:line="480" w:lineRule="auto"/>
        <w:rPr>
          <w:rFonts w:cs="Times New Roman"/>
          <w:szCs w:val="24"/>
        </w:rPr>
      </w:pPr>
      <w:r w:rsidRPr="005D00FC">
        <w:rPr>
          <w:rFonts w:cs="Times New Roman"/>
          <w:szCs w:val="24"/>
        </w:rPr>
        <w:t xml:space="preserve">Cristina </w:t>
      </w:r>
      <w:proofErr w:type="spellStart"/>
      <w:r w:rsidRPr="005D00FC">
        <w:rPr>
          <w:rFonts w:cs="Times New Roman"/>
          <w:szCs w:val="24"/>
        </w:rPr>
        <w:t>Nand</w:t>
      </w:r>
      <w:proofErr w:type="spellEnd"/>
      <w:r w:rsidRPr="005D00FC">
        <w:rPr>
          <w:rFonts w:cs="Times New Roman"/>
          <w:szCs w:val="24"/>
        </w:rPr>
        <w:t>, Lay member of Steering Group</w:t>
      </w:r>
    </w:p>
    <w:p w:rsidR="001E0C24" w:rsidRPr="005D00FC" w:rsidRDefault="001E0C24" w:rsidP="001E0C24">
      <w:pPr>
        <w:spacing w:line="480" w:lineRule="auto"/>
        <w:rPr>
          <w:rFonts w:cs="Times New Roman"/>
          <w:szCs w:val="24"/>
        </w:rPr>
      </w:pPr>
      <w:smartTag w:uri="urn:schemas-microsoft-com:office:smarttags" w:element="PersonName">
        <w:r w:rsidRPr="005D00FC">
          <w:rPr>
            <w:rFonts w:cs="Times New Roman"/>
            <w:szCs w:val="24"/>
          </w:rPr>
          <w:t>Norman Phillips</w:t>
        </w:r>
      </w:smartTag>
      <w:r w:rsidRPr="005D00FC">
        <w:rPr>
          <w:rFonts w:cs="Times New Roman"/>
          <w:szCs w:val="24"/>
        </w:rPr>
        <w:t>, Lay member of Steering Group</w:t>
      </w:r>
    </w:p>
    <w:p w:rsidR="001E0C24" w:rsidRDefault="001E0C24" w:rsidP="001E0C24">
      <w:pPr>
        <w:spacing w:line="480" w:lineRule="auto"/>
        <w:rPr>
          <w:rFonts w:cs="Times New Roman"/>
          <w:szCs w:val="24"/>
        </w:rPr>
      </w:pPr>
      <w:r w:rsidRPr="005D00FC">
        <w:rPr>
          <w:rFonts w:cs="Times New Roman"/>
          <w:szCs w:val="24"/>
        </w:rPr>
        <w:t>Rob Scott, Birmingham and Midland Eye Centre</w:t>
      </w:r>
    </w:p>
    <w:p w:rsidR="001E0C24" w:rsidRDefault="001E0C24" w:rsidP="001E0C24">
      <w:pPr>
        <w:spacing w:line="480" w:lineRule="auto"/>
        <w:rPr>
          <w:rFonts w:cs="Times New Roman"/>
          <w:szCs w:val="24"/>
        </w:rPr>
      </w:pPr>
      <w:r>
        <w:rPr>
          <w:rFonts w:cs="Times New Roman"/>
          <w:szCs w:val="24"/>
        </w:rPr>
        <w:t>Satinder Singh, Primary Care Clinical Sciences, University of Birmingham</w:t>
      </w:r>
    </w:p>
    <w:p w:rsidR="001E0C24" w:rsidRDefault="001E0C24" w:rsidP="001E0C24">
      <w:pPr>
        <w:spacing w:line="480" w:lineRule="auto"/>
        <w:rPr>
          <w:rFonts w:cs="Times New Roman"/>
          <w:szCs w:val="24"/>
        </w:rPr>
      </w:pPr>
      <w:r>
        <w:rPr>
          <w:rFonts w:cs="Times New Roman"/>
          <w:szCs w:val="24"/>
        </w:rPr>
        <w:t>Matthew Ward, West Midlands Ambulance Service NHS Trust</w:t>
      </w:r>
    </w:p>
    <w:p w:rsidR="001E0C24" w:rsidRPr="009C5F78" w:rsidRDefault="001E0C24" w:rsidP="009C5F78">
      <w:pPr>
        <w:rPr>
          <w:szCs w:val="24"/>
        </w:rPr>
      </w:pPr>
    </w:p>
    <w:sectPr w:rsidR="001E0C24" w:rsidRPr="009C5F78" w:rsidSect="001E0C2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4982" w:rsidRDefault="005C4982" w:rsidP="00B04F17">
      <w:pPr>
        <w:spacing w:line="240" w:lineRule="auto"/>
      </w:pPr>
      <w:r>
        <w:separator/>
      </w:r>
    </w:p>
  </w:endnote>
  <w:endnote w:type="continuationSeparator" w:id="0">
    <w:p w:rsidR="005C4982" w:rsidRDefault="005C4982" w:rsidP="00B04F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378809"/>
      <w:docPartObj>
        <w:docPartGallery w:val="Page Numbers (Bottom of Page)"/>
        <w:docPartUnique/>
      </w:docPartObj>
    </w:sdtPr>
    <w:sdtEndPr/>
    <w:sdtContent>
      <w:p w:rsidR="006260B6" w:rsidRDefault="006260B6">
        <w:pPr>
          <w:pStyle w:val="Footer"/>
          <w:jc w:val="right"/>
        </w:pPr>
        <w:r>
          <w:fldChar w:fldCharType="begin"/>
        </w:r>
        <w:r>
          <w:instrText xml:space="preserve"> PAGE   \* MERGEFORMAT </w:instrText>
        </w:r>
        <w:r>
          <w:fldChar w:fldCharType="separate"/>
        </w:r>
        <w:r w:rsidR="00680556">
          <w:rPr>
            <w:noProof/>
          </w:rPr>
          <w:t>2</w:t>
        </w:r>
        <w:r>
          <w:rPr>
            <w:noProof/>
          </w:rPr>
          <w:fldChar w:fldCharType="end"/>
        </w:r>
      </w:p>
    </w:sdtContent>
  </w:sdt>
  <w:p w:rsidR="006260B6" w:rsidRDefault="006260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60B6" w:rsidRDefault="006260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4982" w:rsidRDefault="005C4982" w:rsidP="00B04F17">
      <w:pPr>
        <w:spacing w:line="240" w:lineRule="auto"/>
      </w:pPr>
      <w:r>
        <w:separator/>
      </w:r>
    </w:p>
  </w:footnote>
  <w:footnote w:type="continuationSeparator" w:id="0">
    <w:p w:rsidR="005C4982" w:rsidRDefault="005C4982" w:rsidP="00B04F1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60B6" w:rsidRDefault="006260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77373"/>
    <w:multiLevelType w:val="hybridMultilevel"/>
    <w:tmpl w:val="8FAE9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9F3A59"/>
    <w:multiLevelType w:val="hybridMultilevel"/>
    <w:tmpl w:val="6352A6B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4901576"/>
    <w:multiLevelType w:val="hybridMultilevel"/>
    <w:tmpl w:val="1610C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0355A9"/>
    <w:multiLevelType w:val="hybridMultilevel"/>
    <w:tmpl w:val="790E9430"/>
    <w:lvl w:ilvl="0" w:tplc="C9D46DE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9C6C4B"/>
    <w:multiLevelType w:val="hybridMultilevel"/>
    <w:tmpl w:val="6A76A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2A236A"/>
    <w:multiLevelType w:val="hybridMultilevel"/>
    <w:tmpl w:val="5FE2CE1C"/>
    <w:lvl w:ilvl="0" w:tplc="176262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944638"/>
    <w:multiLevelType w:val="hybridMultilevel"/>
    <w:tmpl w:val="15AE1BB4"/>
    <w:lvl w:ilvl="0" w:tplc="F6AE2E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2B73A9"/>
    <w:multiLevelType w:val="hybridMultilevel"/>
    <w:tmpl w:val="F716A5C4"/>
    <w:lvl w:ilvl="0" w:tplc="40D0DF8E">
      <w:start w:val="1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8047C4"/>
    <w:multiLevelType w:val="hybridMultilevel"/>
    <w:tmpl w:val="CB4E0D16"/>
    <w:lvl w:ilvl="0" w:tplc="8A08B628">
      <w:start w:val="1"/>
      <w:numFmt w:val="decimal"/>
      <w:lvlText w:val="%1."/>
      <w:lvlJc w:val="left"/>
      <w:pPr>
        <w:ind w:left="648" w:hanging="600"/>
      </w:pPr>
      <w:rPr>
        <w:rFonts w:hint="default"/>
      </w:rPr>
    </w:lvl>
    <w:lvl w:ilvl="1" w:tplc="08090019" w:tentative="1">
      <w:start w:val="1"/>
      <w:numFmt w:val="lowerLetter"/>
      <w:lvlText w:val="%2."/>
      <w:lvlJc w:val="left"/>
      <w:pPr>
        <w:ind w:left="1128" w:hanging="360"/>
      </w:pPr>
    </w:lvl>
    <w:lvl w:ilvl="2" w:tplc="0809001B" w:tentative="1">
      <w:start w:val="1"/>
      <w:numFmt w:val="lowerRoman"/>
      <w:lvlText w:val="%3."/>
      <w:lvlJc w:val="right"/>
      <w:pPr>
        <w:ind w:left="1848" w:hanging="180"/>
      </w:pPr>
    </w:lvl>
    <w:lvl w:ilvl="3" w:tplc="0809000F" w:tentative="1">
      <w:start w:val="1"/>
      <w:numFmt w:val="decimal"/>
      <w:lvlText w:val="%4."/>
      <w:lvlJc w:val="left"/>
      <w:pPr>
        <w:ind w:left="2568" w:hanging="360"/>
      </w:pPr>
    </w:lvl>
    <w:lvl w:ilvl="4" w:tplc="08090019" w:tentative="1">
      <w:start w:val="1"/>
      <w:numFmt w:val="lowerLetter"/>
      <w:lvlText w:val="%5."/>
      <w:lvlJc w:val="left"/>
      <w:pPr>
        <w:ind w:left="3288" w:hanging="360"/>
      </w:pPr>
    </w:lvl>
    <w:lvl w:ilvl="5" w:tplc="0809001B" w:tentative="1">
      <w:start w:val="1"/>
      <w:numFmt w:val="lowerRoman"/>
      <w:lvlText w:val="%6."/>
      <w:lvlJc w:val="right"/>
      <w:pPr>
        <w:ind w:left="4008" w:hanging="180"/>
      </w:pPr>
    </w:lvl>
    <w:lvl w:ilvl="6" w:tplc="0809000F" w:tentative="1">
      <w:start w:val="1"/>
      <w:numFmt w:val="decimal"/>
      <w:lvlText w:val="%7."/>
      <w:lvlJc w:val="left"/>
      <w:pPr>
        <w:ind w:left="4728" w:hanging="360"/>
      </w:pPr>
    </w:lvl>
    <w:lvl w:ilvl="7" w:tplc="08090019" w:tentative="1">
      <w:start w:val="1"/>
      <w:numFmt w:val="lowerLetter"/>
      <w:lvlText w:val="%8."/>
      <w:lvlJc w:val="left"/>
      <w:pPr>
        <w:ind w:left="5448" w:hanging="360"/>
      </w:pPr>
    </w:lvl>
    <w:lvl w:ilvl="8" w:tplc="0809001B" w:tentative="1">
      <w:start w:val="1"/>
      <w:numFmt w:val="lowerRoman"/>
      <w:lvlText w:val="%9."/>
      <w:lvlJc w:val="right"/>
      <w:pPr>
        <w:ind w:left="6168" w:hanging="180"/>
      </w:pPr>
    </w:lvl>
  </w:abstractNum>
  <w:abstractNum w:abstractNumId="9" w15:restartNumberingAfterBreak="0">
    <w:nsid w:val="3C972976"/>
    <w:multiLevelType w:val="hybridMultilevel"/>
    <w:tmpl w:val="C8E0F39A"/>
    <w:lvl w:ilvl="0" w:tplc="1BE6C73C">
      <w:start w:val="1"/>
      <w:numFmt w:val="decimal"/>
      <w:lvlText w:val="(%1)"/>
      <w:lvlJc w:val="left"/>
      <w:pPr>
        <w:ind w:left="720" w:hanging="360"/>
      </w:pPr>
      <w:rPr>
        <w:rFonts w:hint="default"/>
        <w:color w:val="000000" w:themeColor="text1"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58515A"/>
    <w:multiLevelType w:val="hybridMultilevel"/>
    <w:tmpl w:val="5FDE3A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FF241B"/>
    <w:multiLevelType w:val="hybridMultilevel"/>
    <w:tmpl w:val="72E06FD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5A273A1"/>
    <w:multiLevelType w:val="hybridMultilevel"/>
    <w:tmpl w:val="87EC1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FD0EC0"/>
    <w:multiLevelType w:val="hybridMultilevel"/>
    <w:tmpl w:val="223CB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F910629"/>
    <w:multiLevelType w:val="hybridMultilevel"/>
    <w:tmpl w:val="11566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0B4F15"/>
    <w:multiLevelType w:val="multilevel"/>
    <w:tmpl w:val="5B0A1D66"/>
    <w:lvl w:ilvl="0">
      <w:start w:val="1"/>
      <w:numFmt w:val="decimal"/>
      <w:lvlText w:val="(%1"/>
      <w:lvlJc w:val="left"/>
      <w:pPr>
        <w:ind w:left="520" w:hanging="520"/>
      </w:pPr>
      <w:rPr>
        <w:rFonts w:hint="default"/>
      </w:rPr>
    </w:lvl>
    <w:lvl w:ilvl="1">
      <w:start w:val="6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FC10CD3"/>
    <w:multiLevelType w:val="hybridMultilevel"/>
    <w:tmpl w:val="3A3A28BE"/>
    <w:lvl w:ilvl="0" w:tplc="FDC65DDC">
      <w:start w:val="7"/>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EE73D58"/>
    <w:multiLevelType w:val="hybridMultilevel"/>
    <w:tmpl w:val="64849F1C"/>
    <w:lvl w:ilvl="0" w:tplc="1ED409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1"/>
  </w:num>
  <w:num w:numId="3">
    <w:abstractNumId w:val="3"/>
  </w:num>
  <w:num w:numId="4">
    <w:abstractNumId w:val="17"/>
  </w:num>
  <w:num w:numId="5">
    <w:abstractNumId w:val="5"/>
  </w:num>
  <w:num w:numId="6">
    <w:abstractNumId w:val="6"/>
  </w:num>
  <w:num w:numId="7">
    <w:abstractNumId w:val="13"/>
  </w:num>
  <w:num w:numId="8">
    <w:abstractNumId w:val="8"/>
  </w:num>
  <w:num w:numId="9">
    <w:abstractNumId w:val="16"/>
  </w:num>
  <w:num w:numId="10">
    <w:abstractNumId w:val="7"/>
  </w:num>
  <w:num w:numId="11">
    <w:abstractNumId w:val="2"/>
  </w:num>
  <w:num w:numId="12">
    <w:abstractNumId w:val="0"/>
  </w:num>
  <w:num w:numId="13">
    <w:abstractNumId w:val="14"/>
  </w:num>
  <w:num w:numId="14">
    <w:abstractNumId w:val="4"/>
  </w:num>
  <w:num w:numId="15">
    <w:abstractNumId w:val="12"/>
  </w:num>
  <w:num w:numId="16">
    <w:abstractNumId w:val="10"/>
  </w:num>
  <w:num w:numId="17">
    <w:abstractNumId w:val="15"/>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REFMGR.InstantFormat" w:val="&lt;ENInstantFormat&gt;&lt;Enabled&gt;0&lt;/Enabled&gt;&lt;ScanUnformatted&gt;1&lt;/ScanUnformatted&gt;&lt;ScanChanges&gt;1&lt;/ScanChanges&gt;&lt;/ENInstantFormat&gt;"/>
    <w:docVar w:name="REFMGR.Layout" w:val="&lt;ENLayout&gt;&lt;Style&gt;British Medical Journal RM (formal)&lt;/Style&gt;&lt;LeftDelim&gt;{&lt;/LeftDelim&gt;&lt;RightDelim&gt;}&lt;/RightDelim&gt;&lt;FontName&gt;Times New Roman&lt;/FontName&gt;&lt;FontSize&gt;12&lt;/FontSize&gt;&lt;ReflistTitle&gt;Reference List&lt;/ReflistTitle&gt;&lt;StartingRefnum&gt;1&lt;/StartingRefnum&gt;&lt;FirstLineIndent&gt;0&lt;/FirstLineIndent&gt;&lt;HangingIndent&gt;72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stroke_oct2012&lt;/item&gt;&lt;/Libraries&gt;&lt;/ENLibraries&gt;"/>
  </w:docVars>
  <w:rsids>
    <w:rsidRoot w:val="00A33F05"/>
    <w:rsid w:val="00011B0F"/>
    <w:rsid w:val="000125F0"/>
    <w:rsid w:val="00013615"/>
    <w:rsid w:val="00016AF5"/>
    <w:rsid w:val="000256B0"/>
    <w:rsid w:val="00031538"/>
    <w:rsid w:val="0003305C"/>
    <w:rsid w:val="00042F38"/>
    <w:rsid w:val="00051270"/>
    <w:rsid w:val="00056662"/>
    <w:rsid w:val="00063DBD"/>
    <w:rsid w:val="0009451D"/>
    <w:rsid w:val="00095E85"/>
    <w:rsid w:val="000976BF"/>
    <w:rsid w:val="000A6984"/>
    <w:rsid w:val="000C56CD"/>
    <w:rsid w:val="000D0487"/>
    <w:rsid w:val="000E2AC8"/>
    <w:rsid w:val="000F26F1"/>
    <w:rsid w:val="000F29BF"/>
    <w:rsid w:val="000F7CC9"/>
    <w:rsid w:val="000F7EC4"/>
    <w:rsid w:val="0010083D"/>
    <w:rsid w:val="001057A4"/>
    <w:rsid w:val="0013014F"/>
    <w:rsid w:val="00132DA5"/>
    <w:rsid w:val="00134FA8"/>
    <w:rsid w:val="00135EA9"/>
    <w:rsid w:val="00143433"/>
    <w:rsid w:val="001467AF"/>
    <w:rsid w:val="0014730A"/>
    <w:rsid w:val="00156455"/>
    <w:rsid w:val="00177FEF"/>
    <w:rsid w:val="001832D1"/>
    <w:rsid w:val="00185801"/>
    <w:rsid w:val="00186822"/>
    <w:rsid w:val="00191E12"/>
    <w:rsid w:val="001A47DC"/>
    <w:rsid w:val="001A73C5"/>
    <w:rsid w:val="001A7702"/>
    <w:rsid w:val="001B29A3"/>
    <w:rsid w:val="001B3071"/>
    <w:rsid w:val="001B5E71"/>
    <w:rsid w:val="001C4AC8"/>
    <w:rsid w:val="001E0C24"/>
    <w:rsid w:val="001E5288"/>
    <w:rsid w:val="001E7469"/>
    <w:rsid w:val="001E7677"/>
    <w:rsid w:val="001F19D8"/>
    <w:rsid w:val="001F5F32"/>
    <w:rsid w:val="00210FF5"/>
    <w:rsid w:val="0021606A"/>
    <w:rsid w:val="00220441"/>
    <w:rsid w:val="00220E22"/>
    <w:rsid w:val="00232699"/>
    <w:rsid w:val="002368DC"/>
    <w:rsid w:val="00240441"/>
    <w:rsid w:val="002634F3"/>
    <w:rsid w:val="0029604F"/>
    <w:rsid w:val="00296C1F"/>
    <w:rsid w:val="002A77D6"/>
    <w:rsid w:val="002B7A34"/>
    <w:rsid w:val="002C03F7"/>
    <w:rsid w:val="002C131B"/>
    <w:rsid w:val="002D0352"/>
    <w:rsid w:val="002D1295"/>
    <w:rsid w:val="002D1400"/>
    <w:rsid w:val="002D3450"/>
    <w:rsid w:val="002D3758"/>
    <w:rsid w:val="002E307E"/>
    <w:rsid w:val="002E5935"/>
    <w:rsid w:val="002F31AC"/>
    <w:rsid w:val="003052A6"/>
    <w:rsid w:val="00313001"/>
    <w:rsid w:val="00314E24"/>
    <w:rsid w:val="00317793"/>
    <w:rsid w:val="00327CB4"/>
    <w:rsid w:val="00341107"/>
    <w:rsid w:val="0034186E"/>
    <w:rsid w:val="00347661"/>
    <w:rsid w:val="003656BA"/>
    <w:rsid w:val="003661C8"/>
    <w:rsid w:val="00372499"/>
    <w:rsid w:val="003737A8"/>
    <w:rsid w:val="00373FD6"/>
    <w:rsid w:val="0038196C"/>
    <w:rsid w:val="00382C5C"/>
    <w:rsid w:val="003940D7"/>
    <w:rsid w:val="00395362"/>
    <w:rsid w:val="00396C9A"/>
    <w:rsid w:val="003D66D1"/>
    <w:rsid w:val="00404351"/>
    <w:rsid w:val="0040664C"/>
    <w:rsid w:val="00444DCC"/>
    <w:rsid w:val="00451F64"/>
    <w:rsid w:val="004558A7"/>
    <w:rsid w:val="00456727"/>
    <w:rsid w:val="00462084"/>
    <w:rsid w:val="00464340"/>
    <w:rsid w:val="00467C86"/>
    <w:rsid w:val="00476AB6"/>
    <w:rsid w:val="00490F83"/>
    <w:rsid w:val="00491352"/>
    <w:rsid w:val="00491D09"/>
    <w:rsid w:val="00494AB7"/>
    <w:rsid w:val="004C7211"/>
    <w:rsid w:val="004D2CAB"/>
    <w:rsid w:val="004E11B0"/>
    <w:rsid w:val="00503D98"/>
    <w:rsid w:val="0052129F"/>
    <w:rsid w:val="0052151A"/>
    <w:rsid w:val="00522137"/>
    <w:rsid w:val="00523F10"/>
    <w:rsid w:val="0052772E"/>
    <w:rsid w:val="00532AC0"/>
    <w:rsid w:val="005346CC"/>
    <w:rsid w:val="005403C8"/>
    <w:rsid w:val="00541712"/>
    <w:rsid w:val="005455DB"/>
    <w:rsid w:val="00562F1F"/>
    <w:rsid w:val="00562F9F"/>
    <w:rsid w:val="0057291A"/>
    <w:rsid w:val="00582E8A"/>
    <w:rsid w:val="005838ED"/>
    <w:rsid w:val="00584237"/>
    <w:rsid w:val="00585D5F"/>
    <w:rsid w:val="00593BC3"/>
    <w:rsid w:val="0059755C"/>
    <w:rsid w:val="005A36C3"/>
    <w:rsid w:val="005A7DBB"/>
    <w:rsid w:val="005B6BC1"/>
    <w:rsid w:val="005B7D0E"/>
    <w:rsid w:val="005C4982"/>
    <w:rsid w:val="005E15C0"/>
    <w:rsid w:val="005F29BE"/>
    <w:rsid w:val="005F7FF2"/>
    <w:rsid w:val="00607D8C"/>
    <w:rsid w:val="006129D5"/>
    <w:rsid w:val="00616A33"/>
    <w:rsid w:val="006254C4"/>
    <w:rsid w:val="006260B6"/>
    <w:rsid w:val="00630FCA"/>
    <w:rsid w:val="00634707"/>
    <w:rsid w:val="00647782"/>
    <w:rsid w:val="00650A36"/>
    <w:rsid w:val="00660A6B"/>
    <w:rsid w:val="00663BAA"/>
    <w:rsid w:val="006653E9"/>
    <w:rsid w:val="00672E42"/>
    <w:rsid w:val="00680556"/>
    <w:rsid w:val="00682C6C"/>
    <w:rsid w:val="006848F6"/>
    <w:rsid w:val="00690508"/>
    <w:rsid w:val="0069676C"/>
    <w:rsid w:val="00696A59"/>
    <w:rsid w:val="006B6523"/>
    <w:rsid w:val="006C57A0"/>
    <w:rsid w:val="006D3F5A"/>
    <w:rsid w:val="006D64BD"/>
    <w:rsid w:val="006E2713"/>
    <w:rsid w:val="006E67C4"/>
    <w:rsid w:val="006F028E"/>
    <w:rsid w:val="006F50CA"/>
    <w:rsid w:val="00701683"/>
    <w:rsid w:val="00701A2A"/>
    <w:rsid w:val="00701CA6"/>
    <w:rsid w:val="00723191"/>
    <w:rsid w:val="0072778D"/>
    <w:rsid w:val="007401AA"/>
    <w:rsid w:val="00754512"/>
    <w:rsid w:val="00754D5D"/>
    <w:rsid w:val="00764D58"/>
    <w:rsid w:val="007773B7"/>
    <w:rsid w:val="00777B47"/>
    <w:rsid w:val="007960A4"/>
    <w:rsid w:val="007A6F33"/>
    <w:rsid w:val="007B2398"/>
    <w:rsid w:val="007B4A05"/>
    <w:rsid w:val="007B7C36"/>
    <w:rsid w:val="007C06E4"/>
    <w:rsid w:val="007C10EC"/>
    <w:rsid w:val="007D454C"/>
    <w:rsid w:val="007D4B06"/>
    <w:rsid w:val="007F4CE2"/>
    <w:rsid w:val="007F63BA"/>
    <w:rsid w:val="0080048D"/>
    <w:rsid w:val="00804A00"/>
    <w:rsid w:val="00807D9B"/>
    <w:rsid w:val="00814EF4"/>
    <w:rsid w:val="00816B6F"/>
    <w:rsid w:val="00817EEE"/>
    <w:rsid w:val="0082343B"/>
    <w:rsid w:val="00826A11"/>
    <w:rsid w:val="008325A2"/>
    <w:rsid w:val="00843E57"/>
    <w:rsid w:val="008542BB"/>
    <w:rsid w:val="00862C12"/>
    <w:rsid w:val="00863E47"/>
    <w:rsid w:val="008926BF"/>
    <w:rsid w:val="008A227A"/>
    <w:rsid w:val="008A7F21"/>
    <w:rsid w:val="008B5E96"/>
    <w:rsid w:val="008B7AB6"/>
    <w:rsid w:val="008B7E7B"/>
    <w:rsid w:val="008C1946"/>
    <w:rsid w:val="008C76F8"/>
    <w:rsid w:val="008D0F01"/>
    <w:rsid w:val="008D5FCF"/>
    <w:rsid w:val="008D79D1"/>
    <w:rsid w:val="008E3891"/>
    <w:rsid w:val="008F318B"/>
    <w:rsid w:val="008F7295"/>
    <w:rsid w:val="00921CC9"/>
    <w:rsid w:val="00924E95"/>
    <w:rsid w:val="00933DA8"/>
    <w:rsid w:val="009353DD"/>
    <w:rsid w:val="009447FB"/>
    <w:rsid w:val="00947704"/>
    <w:rsid w:val="00960FAF"/>
    <w:rsid w:val="00966418"/>
    <w:rsid w:val="009705C5"/>
    <w:rsid w:val="00975ADE"/>
    <w:rsid w:val="0098386E"/>
    <w:rsid w:val="0098597E"/>
    <w:rsid w:val="009A0A17"/>
    <w:rsid w:val="009A115B"/>
    <w:rsid w:val="009A3093"/>
    <w:rsid w:val="009A4828"/>
    <w:rsid w:val="009B5004"/>
    <w:rsid w:val="009C5F78"/>
    <w:rsid w:val="009C6C83"/>
    <w:rsid w:val="009D19EF"/>
    <w:rsid w:val="009D46B1"/>
    <w:rsid w:val="009D52FF"/>
    <w:rsid w:val="009F6740"/>
    <w:rsid w:val="00A01B42"/>
    <w:rsid w:val="00A070F6"/>
    <w:rsid w:val="00A12E9E"/>
    <w:rsid w:val="00A31179"/>
    <w:rsid w:val="00A31C6E"/>
    <w:rsid w:val="00A33F05"/>
    <w:rsid w:val="00A53366"/>
    <w:rsid w:val="00A53FA9"/>
    <w:rsid w:val="00A5496D"/>
    <w:rsid w:val="00A62DB3"/>
    <w:rsid w:val="00A64005"/>
    <w:rsid w:val="00A71436"/>
    <w:rsid w:val="00A76D9F"/>
    <w:rsid w:val="00A80288"/>
    <w:rsid w:val="00A80352"/>
    <w:rsid w:val="00A85F3B"/>
    <w:rsid w:val="00A957A4"/>
    <w:rsid w:val="00AC0805"/>
    <w:rsid w:val="00AC4C8A"/>
    <w:rsid w:val="00AE3800"/>
    <w:rsid w:val="00AE3DCD"/>
    <w:rsid w:val="00AE4E64"/>
    <w:rsid w:val="00AE4F2C"/>
    <w:rsid w:val="00AE4F64"/>
    <w:rsid w:val="00AF3526"/>
    <w:rsid w:val="00AF452C"/>
    <w:rsid w:val="00B0053C"/>
    <w:rsid w:val="00B02049"/>
    <w:rsid w:val="00B04F17"/>
    <w:rsid w:val="00B12ECD"/>
    <w:rsid w:val="00B13B9D"/>
    <w:rsid w:val="00B218D6"/>
    <w:rsid w:val="00B35389"/>
    <w:rsid w:val="00B406A3"/>
    <w:rsid w:val="00B4116C"/>
    <w:rsid w:val="00B5291E"/>
    <w:rsid w:val="00B579BC"/>
    <w:rsid w:val="00B670ED"/>
    <w:rsid w:val="00B7158B"/>
    <w:rsid w:val="00B7516A"/>
    <w:rsid w:val="00B757D8"/>
    <w:rsid w:val="00B84466"/>
    <w:rsid w:val="00B87028"/>
    <w:rsid w:val="00BA7193"/>
    <w:rsid w:val="00BB346E"/>
    <w:rsid w:val="00BB5B90"/>
    <w:rsid w:val="00BB7BB3"/>
    <w:rsid w:val="00BC509B"/>
    <w:rsid w:val="00BD2A7A"/>
    <w:rsid w:val="00BD7202"/>
    <w:rsid w:val="00BE2373"/>
    <w:rsid w:val="00BF100A"/>
    <w:rsid w:val="00BF7A6A"/>
    <w:rsid w:val="00C30C96"/>
    <w:rsid w:val="00C465FF"/>
    <w:rsid w:val="00C5272A"/>
    <w:rsid w:val="00C55001"/>
    <w:rsid w:val="00C6013B"/>
    <w:rsid w:val="00C601C7"/>
    <w:rsid w:val="00C603BE"/>
    <w:rsid w:val="00C65C0B"/>
    <w:rsid w:val="00C771C8"/>
    <w:rsid w:val="00C77E81"/>
    <w:rsid w:val="00C849F1"/>
    <w:rsid w:val="00C900BB"/>
    <w:rsid w:val="00CA1B59"/>
    <w:rsid w:val="00CA6A6F"/>
    <w:rsid w:val="00CD45B0"/>
    <w:rsid w:val="00CE07C0"/>
    <w:rsid w:val="00CE1BC1"/>
    <w:rsid w:val="00CF019B"/>
    <w:rsid w:val="00CF0C85"/>
    <w:rsid w:val="00CF1164"/>
    <w:rsid w:val="00CF20F3"/>
    <w:rsid w:val="00D00AD3"/>
    <w:rsid w:val="00D013C2"/>
    <w:rsid w:val="00D10B19"/>
    <w:rsid w:val="00D3498E"/>
    <w:rsid w:val="00D40959"/>
    <w:rsid w:val="00D42641"/>
    <w:rsid w:val="00D4645A"/>
    <w:rsid w:val="00D62422"/>
    <w:rsid w:val="00D6576B"/>
    <w:rsid w:val="00D71B99"/>
    <w:rsid w:val="00D75C04"/>
    <w:rsid w:val="00D86148"/>
    <w:rsid w:val="00D92FBA"/>
    <w:rsid w:val="00D94FB0"/>
    <w:rsid w:val="00D97A65"/>
    <w:rsid w:val="00DA36FE"/>
    <w:rsid w:val="00DA7B0F"/>
    <w:rsid w:val="00DB16B2"/>
    <w:rsid w:val="00DB2289"/>
    <w:rsid w:val="00DB761F"/>
    <w:rsid w:val="00DC0328"/>
    <w:rsid w:val="00DD5F04"/>
    <w:rsid w:val="00DE5672"/>
    <w:rsid w:val="00DE7213"/>
    <w:rsid w:val="00DE7259"/>
    <w:rsid w:val="00E05707"/>
    <w:rsid w:val="00E121A4"/>
    <w:rsid w:val="00E14FCA"/>
    <w:rsid w:val="00E23D74"/>
    <w:rsid w:val="00E25867"/>
    <w:rsid w:val="00E42454"/>
    <w:rsid w:val="00E50A78"/>
    <w:rsid w:val="00E53D71"/>
    <w:rsid w:val="00E82C25"/>
    <w:rsid w:val="00E860D8"/>
    <w:rsid w:val="00EA7359"/>
    <w:rsid w:val="00EB045B"/>
    <w:rsid w:val="00EB5325"/>
    <w:rsid w:val="00ED47A9"/>
    <w:rsid w:val="00ED6652"/>
    <w:rsid w:val="00ED7CF8"/>
    <w:rsid w:val="00EE45ED"/>
    <w:rsid w:val="00EF0F53"/>
    <w:rsid w:val="00EF3F69"/>
    <w:rsid w:val="00F014D2"/>
    <w:rsid w:val="00F15A15"/>
    <w:rsid w:val="00F24013"/>
    <w:rsid w:val="00F30432"/>
    <w:rsid w:val="00F30A68"/>
    <w:rsid w:val="00F41499"/>
    <w:rsid w:val="00F42EC0"/>
    <w:rsid w:val="00F60D5B"/>
    <w:rsid w:val="00F641A1"/>
    <w:rsid w:val="00F757BB"/>
    <w:rsid w:val="00F85B08"/>
    <w:rsid w:val="00F93ABE"/>
    <w:rsid w:val="00F95E3B"/>
    <w:rsid w:val="00FA5570"/>
    <w:rsid w:val="00FA5C04"/>
    <w:rsid w:val="00FA5D9E"/>
    <w:rsid w:val="00FB2F32"/>
    <w:rsid w:val="00FB3DD8"/>
    <w:rsid w:val="00FC059E"/>
    <w:rsid w:val="00FD03A9"/>
    <w:rsid w:val="00FD0846"/>
    <w:rsid w:val="00FD09AB"/>
    <w:rsid w:val="00FD359F"/>
    <w:rsid w:val="00FD590F"/>
    <w:rsid w:val="00FF3A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D0301E7B-945F-41FA-A8B3-CBE66B7D0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GB" w:eastAsia="en-US" w:bidi="ar-SA"/>
      </w:rPr>
    </w:rPrDefault>
    <w:pPrDefault>
      <w:pPr>
        <w:spacing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757BB"/>
  </w:style>
  <w:style w:type="paragraph" w:styleId="Heading1">
    <w:name w:val="heading 1"/>
    <w:basedOn w:val="Normal"/>
    <w:link w:val="Heading1Char"/>
    <w:uiPriority w:val="9"/>
    <w:qFormat/>
    <w:rsid w:val="00A33F05"/>
    <w:pPr>
      <w:spacing w:before="100" w:beforeAutospacing="1" w:after="100" w:afterAutospacing="1" w:line="240" w:lineRule="auto"/>
      <w:jc w:val="left"/>
      <w:outlineLvl w:val="0"/>
    </w:pPr>
    <w:rPr>
      <w:rFonts w:eastAsia="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0F29BF"/>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3F05"/>
    <w:rPr>
      <w:rFonts w:eastAsia="Times New Roman" w:cs="Times New Roman"/>
      <w:b/>
      <w:bCs/>
      <w:kern w:val="36"/>
      <w:sz w:val="48"/>
      <w:szCs w:val="48"/>
      <w:lang w:eastAsia="en-GB"/>
    </w:rPr>
  </w:style>
  <w:style w:type="paragraph" w:styleId="BalloonText">
    <w:name w:val="Balloon Text"/>
    <w:basedOn w:val="Normal"/>
    <w:link w:val="BalloonTextChar"/>
    <w:uiPriority w:val="99"/>
    <w:semiHidden/>
    <w:unhideWhenUsed/>
    <w:rsid w:val="00A33F0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3F05"/>
    <w:rPr>
      <w:rFonts w:ascii="Tahoma" w:hAnsi="Tahoma" w:cs="Tahoma"/>
      <w:sz w:val="16"/>
      <w:szCs w:val="16"/>
    </w:rPr>
  </w:style>
  <w:style w:type="paragraph" w:styleId="ListParagraph">
    <w:name w:val="List Paragraph"/>
    <w:basedOn w:val="Normal"/>
    <w:uiPriority w:val="34"/>
    <w:qFormat/>
    <w:rsid w:val="00A33F05"/>
    <w:pPr>
      <w:ind w:left="720"/>
      <w:contextualSpacing/>
    </w:pPr>
  </w:style>
  <w:style w:type="character" w:styleId="Hyperlink">
    <w:name w:val="Hyperlink"/>
    <w:basedOn w:val="DefaultParagraphFont"/>
    <w:uiPriority w:val="99"/>
    <w:unhideWhenUsed/>
    <w:rsid w:val="00A33F05"/>
    <w:rPr>
      <w:color w:val="0000FF" w:themeColor="hyperlink"/>
      <w:u w:val="single"/>
    </w:rPr>
  </w:style>
  <w:style w:type="paragraph" w:styleId="Caption">
    <w:name w:val="caption"/>
    <w:basedOn w:val="Normal"/>
    <w:next w:val="Normal"/>
    <w:uiPriority w:val="35"/>
    <w:unhideWhenUsed/>
    <w:qFormat/>
    <w:rsid w:val="00A33F05"/>
    <w:pPr>
      <w:spacing w:after="200" w:line="240" w:lineRule="auto"/>
    </w:pPr>
    <w:rPr>
      <w:b/>
      <w:bCs/>
      <w:color w:val="4F81BD" w:themeColor="accent1"/>
      <w:sz w:val="18"/>
      <w:szCs w:val="18"/>
    </w:rPr>
  </w:style>
  <w:style w:type="table" w:styleId="TableSimple1">
    <w:name w:val="Table Simple 1"/>
    <w:basedOn w:val="TableNormal"/>
    <w:uiPriority w:val="99"/>
    <w:semiHidden/>
    <w:unhideWhenUsed/>
    <w:rsid w:val="00A33F05"/>
    <w:rPr>
      <w:rFonts w:asciiTheme="minorHAnsi" w:hAnsiTheme="minorHAnsi"/>
      <w:sz w:val="22"/>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CommentReference">
    <w:name w:val="annotation reference"/>
    <w:basedOn w:val="DefaultParagraphFont"/>
    <w:uiPriority w:val="99"/>
    <w:semiHidden/>
    <w:unhideWhenUsed/>
    <w:rsid w:val="00A33F05"/>
    <w:rPr>
      <w:sz w:val="16"/>
      <w:szCs w:val="16"/>
    </w:rPr>
  </w:style>
  <w:style w:type="paragraph" w:styleId="CommentText">
    <w:name w:val="annotation text"/>
    <w:basedOn w:val="Normal"/>
    <w:link w:val="CommentTextChar"/>
    <w:uiPriority w:val="99"/>
    <w:unhideWhenUsed/>
    <w:rsid w:val="00A33F05"/>
    <w:pPr>
      <w:spacing w:line="240" w:lineRule="auto"/>
    </w:pPr>
    <w:rPr>
      <w:sz w:val="20"/>
      <w:szCs w:val="20"/>
    </w:rPr>
  </w:style>
  <w:style w:type="character" w:customStyle="1" w:styleId="CommentTextChar">
    <w:name w:val="Comment Text Char"/>
    <w:basedOn w:val="DefaultParagraphFont"/>
    <w:link w:val="CommentText"/>
    <w:uiPriority w:val="99"/>
    <w:rsid w:val="00A33F05"/>
    <w:rPr>
      <w:sz w:val="20"/>
      <w:szCs w:val="20"/>
    </w:rPr>
  </w:style>
  <w:style w:type="character" w:customStyle="1" w:styleId="CommentSubjectChar">
    <w:name w:val="Comment Subject Char"/>
    <w:basedOn w:val="CommentTextChar"/>
    <w:link w:val="CommentSubject"/>
    <w:uiPriority w:val="99"/>
    <w:semiHidden/>
    <w:rsid w:val="00A33F05"/>
    <w:rPr>
      <w:b/>
      <w:bCs/>
      <w:sz w:val="20"/>
      <w:szCs w:val="20"/>
    </w:rPr>
  </w:style>
  <w:style w:type="paragraph" w:styleId="CommentSubject">
    <w:name w:val="annotation subject"/>
    <w:basedOn w:val="CommentText"/>
    <w:next w:val="CommentText"/>
    <w:link w:val="CommentSubjectChar"/>
    <w:uiPriority w:val="99"/>
    <w:semiHidden/>
    <w:unhideWhenUsed/>
    <w:rsid w:val="00A33F05"/>
    <w:rPr>
      <w:b/>
      <w:bCs/>
    </w:rPr>
  </w:style>
  <w:style w:type="paragraph" w:styleId="Title">
    <w:name w:val="Title"/>
    <w:basedOn w:val="Normal"/>
    <w:next w:val="Normal"/>
    <w:link w:val="TitleChar"/>
    <w:uiPriority w:val="10"/>
    <w:qFormat/>
    <w:rsid w:val="00A33F0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33F05"/>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59"/>
    <w:rsid w:val="00A33F05"/>
    <w:pPr>
      <w:spacing w:line="240" w:lineRule="auto"/>
      <w:jc w:val="left"/>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m-addr">
    <w:name w:val="em-addr"/>
    <w:basedOn w:val="DefaultParagraphFont"/>
    <w:uiPriority w:val="99"/>
    <w:rsid w:val="00A33F05"/>
    <w:rPr>
      <w:rFonts w:cs="Times New Roman"/>
    </w:rPr>
  </w:style>
  <w:style w:type="table" w:customStyle="1" w:styleId="LightShading1">
    <w:name w:val="Light Shading1"/>
    <w:basedOn w:val="TableNormal"/>
    <w:uiPriority w:val="60"/>
    <w:rsid w:val="00A33F05"/>
    <w:pPr>
      <w:spacing w:line="240" w:lineRule="auto"/>
      <w:jc w:val="left"/>
    </w:pPr>
    <w:rPr>
      <w:rFonts w:asciiTheme="minorHAnsi" w:hAnsiTheme="minorHAnsi"/>
      <w:color w:val="000000" w:themeColor="text1" w:themeShade="BF"/>
      <w:sz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A33F05"/>
    <w:pPr>
      <w:spacing w:line="240" w:lineRule="auto"/>
      <w:jc w:val="left"/>
    </w:pPr>
    <w:rPr>
      <w:rFonts w:asciiTheme="minorHAnsi" w:hAnsiTheme="minorHAnsi"/>
      <w:color w:val="000000" w:themeColor="text1" w:themeShade="BF"/>
      <w:sz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DefaultParagraphFont"/>
    <w:rsid w:val="00A33F05"/>
  </w:style>
  <w:style w:type="paragraph" w:customStyle="1" w:styleId="Default">
    <w:name w:val="Default"/>
    <w:rsid w:val="00A33F05"/>
    <w:pPr>
      <w:autoSpaceDE w:val="0"/>
      <w:autoSpaceDN w:val="0"/>
      <w:adjustRightInd w:val="0"/>
      <w:spacing w:line="240" w:lineRule="auto"/>
      <w:jc w:val="left"/>
    </w:pPr>
    <w:rPr>
      <w:rFonts w:ascii="Calibri" w:hAnsi="Calibri" w:cs="Calibri"/>
      <w:color w:val="000000"/>
      <w:szCs w:val="24"/>
    </w:rPr>
  </w:style>
  <w:style w:type="paragraph" w:styleId="Header">
    <w:name w:val="header"/>
    <w:basedOn w:val="Normal"/>
    <w:link w:val="HeaderChar"/>
    <w:uiPriority w:val="99"/>
    <w:semiHidden/>
    <w:unhideWhenUsed/>
    <w:rsid w:val="00A33F05"/>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A33F05"/>
  </w:style>
  <w:style w:type="paragraph" w:styleId="Footer">
    <w:name w:val="footer"/>
    <w:basedOn w:val="Normal"/>
    <w:link w:val="FooterChar"/>
    <w:uiPriority w:val="99"/>
    <w:unhideWhenUsed/>
    <w:rsid w:val="00A33F05"/>
    <w:pPr>
      <w:tabs>
        <w:tab w:val="center" w:pos="4513"/>
        <w:tab w:val="right" w:pos="9026"/>
      </w:tabs>
      <w:spacing w:line="240" w:lineRule="auto"/>
    </w:pPr>
  </w:style>
  <w:style w:type="character" w:customStyle="1" w:styleId="FooterChar">
    <w:name w:val="Footer Char"/>
    <w:basedOn w:val="DefaultParagraphFont"/>
    <w:link w:val="Footer"/>
    <w:uiPriority w:val="99"/>
    <w:rsid w:val="00A33F05"/>
  </w:style>
  <w:style w:type="character" w:customStyle="1" w:styleId="highlight">
    <w:name w:val="highlight"/>
    <w:basedOn w:val="DefaultParagraphFont"/>
    <w:rsid w:val="00A33F05"/>
  </w:style>
  <w:style w:type="table" w:customStyle="1" w:styleId="Style1">
    <w:name w:val="Style1"/>
    <w:basedOn w:val="TableSimple1"/>
    <w:uiPriority w:val="99"/>
    <w:qFormat/>
    <w:rsid w:val="00F757BB"/>
    <w:pPr>
      <w:spacing w:line="240" w:lineRule="auto"/>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Revision">
    <w:name w:val="Revision"/>
    <w:hidden/>
    <w:uiPriority w:val="99"/>
    <w:semiHidden/>
    <w:rsid w:val="00F757BB"/>
    <w:pPr>
      <w:spacing w:line="240" w:lineRule="auto"/>
      <w:jc w:val="left"/>
    </w:pPr>
  </w:style>
  <w:style w:type="paragraph" w:styleId="NormalWeb">
    <w:name w:val="Normal (Web)"/>
    <w:basedOn w:val="Normal"/>
    <w:uiPriority w:val="99"/>
    <w:semiHidden/>
    <w:unhideWhenUsed/>
    <w:rsid w:val="00F757BB"/>
    <w:pPr>
      <w:spacing w:before="100" w:beforeAutospacing="1" w:after="100" w:afterAutospacing="1" w:line="240" w:lineRule="auto"/>
      <w:jc w:val="left"/>
    </w:pPr>
    <w:rPr>
      <w:rFonts w:eastAsiaTheme="minorEastAsia" w:cs="Times New Roman"/>
      <w:szCs w:val="24"/>
      <w:lang w:eastAsia="en-GB"/>
    </w:rPr>
  </w:style>
  <w:style w:type="character" w:customStyle="1" w:styleId="Heading2Char">
    <w:name w:val="Heading 2 Char"/>
    <w:basedOn w:val="DefaultParagraphFont"/>
    <w:link w:val="Heading2"/>
    <w:uiPriority w:val="9"/>
    <w:semiHidden/>
    <w:rsid w:val="000F29BF"/>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494A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81864">
      <w:bodyDiv w:val="1"/>
      <w:marLeft w:val="0"/>
      <w:marRight w:val="0"/>
      <w:marTop w:val="0"/>
      <w:marBottom w:val="0"/>
      <w:divBdr>
        <w:top w:val="none" w:sz="0" w:space="0" w:color="auto"/>
        <w:left w:val="none" w:sz="0" w:space="0" w:color="auto"/>
        <w:bottom w:val="none" w:sz="0" w:space="0" w:color="auto"/>
        <w:right w:val="none" w:sz="0" w:space="0" w:color="auto"/>
      </w:divBdr>
    </w:div>
    <w:div w:id="98723125">
      <w:bodyDiv w:val="1"/>
      <w:marLeft w:val="0"/>
      <w:marRight w:val="0"/>
      <w:marTop w:val="0"/>
      <w:marBottom w:val="0"/>
      <w:divBdr>
        <w:top w:val="none" w:sz="0" w:space="0" w:color="auto"/>
        <w:left w:val="none" w:sz="0" w:space="0" w:color="auto"/>
        <w:bottom w:val="none" w:sz="0" w:space="0" w:color="auto"/>
        <w:right w:val="none" w:sz="0" w:space="0" w:color="auto"/>
      </w:divBdr>
    </w:div>
    <w:div w:id="808281307">
      <w:bodyDiv w:val="1"/>
      <w:marLeft w:val="0"/>
      <w:marRight w:val="0"/>
      <w:marTop w:val="0"/>
      <w:marBottom w:val="0"/>
      <w:divBdr>
        <w:top w:val="none" w:sz="0" w:space="0" w:color="auto"/>
        <w:left w:val="none" w:sz="0" w:space="0" w:color="auto"/>
        <w:bottom w:val="none" w:sz="0" w:space="0" w:color="auto"/>
        <w:right w:val="none" w:sz="0" w:space="0" w:color="auto"/>
      </w:divBdr>
    </w:div>
    <w:div w:id="987323026">
      <w:bodyDiv w:val="1"/>
      <w:marLeft w:val="0"/>
      <w:marRight w:val="0"/>
      <w:marTop w:val="0"/>
      <w:marBottom w:val="0"/>
      <w:divBdr>
        <w:top w:val="none" w:sz="0" w:space="0" w:color="auto"/>
        <w:left w:val="none" w:sz="0" w:space="0" w:color="auto"/>
        <w:bottom w:val="none" w:sz="0" w:space="0" w:color="auto"/>
        <w:right w:val="none" w:sz="0" w:space="0" w:color="auto"/>
      </w:divBdr>
    </w:div>
    <w:div w:id="1089813212">
      <w:bodyDiv w:val="1"/>
      <w:marLeft w:val="0"/>
      <w:marRight w:val="0"/>
      <w:marTop w:val="0"/>
      <w:marBottom w:val="0"/>
      <w:divBdr>
        <w:top w:val="none" w:sz="0" w:space="0" w:color="auto"/>
        <w:left w:val="none" w:sz="0" w:space="0" w:color="auto"/>
        <w:bottom w:val="none" w:sz="0" w:space="0" w:color="auto"/>
        <w:right w:val="none" w:sz="0" w:space="0" w:color="auto"/>
      </w:divBdr>
    </w:div>
    <w:div w:id="1301307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ames.sheppard@phc.ox.ac.uk" TargetMode="External"/><Relationship Id="rId13" Type="http://schemas.openxmlformats.org/officeDocument/2006/relationships/hyperlink" Target="http://www.oecd-ilibrary.org/economics/purchasing-power-parities-for-gdp-2013-1_ppp-gdp-table-2013-1-en.%2014%20January%202013" TargetMode="External"/><Relationship Id="rId18" Type="http://schemas.openxmlformats.org/officeDocument/2006/relationships/hyperlink" Target="http://www.nice.org.uk/nicemedia/pdf/cg68niceguideline.pdf"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gov.uk/government/publications/2010-11-reference-costs-publication" TargetMode="External"/><Relationship Id="rId17" Type="http://schemas.openxmlformats.org/officeDocument/2006/relationships/hyperlink" Target="http://www.census.gov/popest/" TargetMode="External"/><Relationship Id="rId2" Type="http://schemas.openxmlformats.org/officeDocument/2006/relationships/numbering" Target="numbering.xml"/><Relationship Id="rId16" Type="http://schemas.openxmlformats.org/officeDocument/2006/relationships/hyperlink" Target="http://www.nice.org.uk/media/b52/a7/tamethodsguideupdatedjune2008.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mj.bmj.com/content/early/2013/10/07/emermed-2013-203026.long" TargetMode="External"/><Relationship Id="rId5" Type="http://schemas.openxmlformats.org/officeDocument/2006/relationships/webSettings" Target="webSettings.xml"/><Relationship Id="rId15" Type="http://schemas.openxmlformats.org/officeDocument/2006/relationships/hyperlink" Target="https://www.bnf.org/bnf/login.htm?uri=bnf/current/" TargetMode="External"/><Relationship Id="rId23" Type="http://schemas.openxmlformats.org/officeDocument/2006/relationships/theme" Target="theme/theme1.xml"/><Relationship Id="rId10" Type="http://schemas.openxmlformats.org/officeDocument/2006/relationships/hyperlink" Target="http://medweb4.bham.ac.uk/websites/key_health_data/2007/ch_09.ht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ons.gov.uk/ons/rel/lifetables/interim-life-tables/2008-2010/index.html" TargetMode="External"/><Relationship Id="rId14" Type="http://schemas.openxmlformats.org/officeDocument/2006/relationships/hyperlink" Target="http://www.pssru.ac.uk/project-pages/unit-costs/2011/index.php"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F25817-76D5-4845-95BD-D2C689C7F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7653</Words>
  <Characters>43626</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51177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sheppajp</dc:creator>
  <cp:lastModifiedBy>Stevie Mordey</cp:lastModifiedBy>
  <cp:revision>2</cp:revision>
  <cp:lastPrinted>2013-11-20T14:50:00Z</cp:lastPrinted>
  <dcterms:created xsi:type="dcterms:W3CDTF">2018-09-05T09:40:00Z</dcterms:created>
  <dcterms:modified xsi:type="dcterms:W3CDTF">2018-09-05T09:40:00Z</dcterms:modified>
</cp:coreProperties>
</file>