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2335" w:rsidRPr="00C3416D" w:rsidRDefault="00C62335" w:rsidP="00B9694E">
      <w:pPr>
        <w:pStyle w:val="Title"/>
        <w:spacing w:line="360" w:lineRule="auto"/>
        <w:jc w:val="center"/>
        <w:rPr>
          <w:rFonts w:ascii="Times New Roman" w:hAnsi="Times New Roman" w:cs="Times New Roman"/>
          <w:smallCaps/>
          <w:sz w:val="40"/>
          <w:szCs w:val="40"/>
        </w:rPr>
      </w:pPr>
      <w:r w:rsidRPr="00C3416D">
        <w:rPr>
          <w:rFonts w:ascii="Times New Roman" w:hAnsi="Times New Roman" w:cs="Times New Roman"/>
          <w:smallCaps/>
          <w:sz w:val="40"/>
          <w:szCs w:val="40"/>
        </w:rPr>
        <w:t>The Impact of the 1932 General Tariff: A Difference-in-Difference Approach</w:t>
      </w:r>
      <w:r w:rsidR="003E12AA">
        <w:rPr>
          <w:rStyle w:val="FootnoteReference"/>
          <w:rFonts w:ascii="Times New Roman" w:hAnsi="Times New Roman" w:cs="Times New Roman"/>
          <w:smallCaps/>
          <w:sz w:val="40"/>
          <w:szCs w:val="40"/>
        </w:rPr>
        <w:footnoteReference w:customMarkFollows="1" w:id="1"/>
        <w:t>*</w:t>
      </w:r>
    </w:p>
    <w:p w:rsidR="00C62335" w:rsidRPr="00C3416D" w:rsidRDefault="00C62335" w:rsidP="00B9694E">
      <w:pPr>
        <w:spacing w:line="360" w:lineRule="auto"/>
        <w:jc w:val="center"/>
        <w:rPr>
          <w:rFonts w:ascii="Times New Roman" w:hAnsi="Times New Roman" w:cs="Times New Roman"/>
          <w:i/>
        </w:rPr>
      </w:pPr>
      <w:r w:rsidRPr="00C3416D">
        <w:rPr>
          <w:rFonts w:ascii="Times New Roman" w:hAnsi="Times New Roman" w:cs="Times New Roman"/>
        </w:rPr>
        <w:t>Simon P. Lloyd</w:t>
      </w:r>
      <w:r w:rsidRPr="00C3416D">
        <w:rPr>
          <w:rFonts w:ascii="Times New Roman" w:hAnsi="Times New Roman" w:cs="Times New Roman"/>
        </w:rPr>
        <w:br/>
      </w:r>
      <w:r w:rsidR="005477D3">
        <w:rPr>
          <w:rFonts w:ascii="Times New Roman" w:hAnsi="Times New Roman" w:cs="Times New Roman"/>
          <w:i/>
        </w:rPr>
        <w:t>International Directorate, Bank of England</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Solomos Solomou</w:t>
      </w:r>
      <w:r w:rsidRPr="00C3416D">
        <w:rPr>
          <w:rFonts w:ascii="Times New Roman" w:hAnsi="Times New Roman" w:cs="Times New Roman"/>
        </w:rPr>
        <w:br/>
      </w:r>
      <w:r w:rsidRPr="00C3416D">
        <w:rPr>
          <w:rFonts w:ascii="Times New Roman" w:hAnsi="Times New Roman" w:cs="Times New Roman"/>
          <w:i/>
        </w:rPr>
        <w:t>Faculty of Economics &amp; Peterhouse, University of Cambridge</w:t>
      </w:r>
    </w:p>
    <w:p w:rsidR="00C62335" w:rsidRPr="00C3416D" w:rsidRDefault="004D2C17" w:rsidP="00B9694E">
      <w:pPr>
        <w:spacing w:line="360" w:lineRule="auto"/>
        <w:jc w:val="center"/>
        <w:rPr>
          <w:rFonts w:ascii="Times New Roman" w:hAnsi="Times New Roman" w:cs="Times New Roman"/>
        </w:rPr>
      </w:pPr>
      <w:r>
        <w:rPr>
          <w:rFonts w:ascii="Times New Roman" w:hAnsi="Times New Roman" w:cs="Times New Roman"/>
        </w:rPr>
        <w:t>17</w:t>
      </w:r>
      <w:r w:rsidR="003E12AA">
        <w:rPr>
          <w:rFonts w:ascii="Times New Roman" w:hAnsi="Times New Roman" w:cs="Times New Roman"/>
          <w:vertAlign w:val="superscript"/>
        </w:rPr>
        <w:t xml:space="preserve">th </w:t>
      </w:r>
      <w:r>
        <w:rPr>
          <w:rFonts w:ascii="Times New Roman" w:hAnsi="Times New Roman" w:cs="Times New Roman"/>
        </w:rPr>
        <w:t>January</w:t>
      </w:r>
      <w:r w:rsidR="007D5E0C">
        <w:rPr>
          <w:rFonts w:ascii="Times New Roman" w:hAnsi="Times New Roman" w:cs="Times New Roman"/>
        </w:rPr>
        <w:t>,</w:t>
      </w:r>
      <w:r w:rsidR="00F5371A">
        <w:rPr>
          <w:rFonts w:ascii="Times New Roman" w:hAnsi="Times New Roman" w:cs="Times New Roman"/>
        </w:rPr>
        <w:t xml:space="preserve"> 201</w:t>
      </w:r>
      <w:r>
        <w:rPr>
          <w:rFonts w:ascii="Times New Roman" w:hAnsi="Times New Roman" w:cs="Times New Roman"/>
        </w:rPr>
        <w:t>9</w:t>
      </w:r>
    </w:p>
    <w:p w:rsidR="00C62335" w:rsidRPr="00C3416D" w:rsidRDefault="00C62335" w:rsidP="00B9694E">
      <w:pPr>
        <w:spacing w:line="360" w:lineRule="auto"/>
        <w:jc w:val="center"/>
        <w:rPr>
          <w:rFonts w:ascii="Times New Roman" w:hAnsi="Times New Roman" w:cs="Times New Roman"/>
          <w:b/>
        </w:rPr>
      </w:pPr>
    </w:p>
    <w:p w:rsidR="00C62335" w:rsidRPr="00C3416D" w:rsidRDefault="00C62335" w:rsidP="00B9694E">
      <w:pPr>
        <w:spacing w:line="360" w:lineRule="auto"/>
        <w:jc w:val="center"/>
        <w:rPr>
          <w:rFonts w:ascii="Times New Roman" w:hAnsi="Times New Roman" w:cs="Times New Roman"/>
          <w:b/>
        </w:rPr>
      </w:pPr>
      <w:r w:rsidRPr="00C3416D">
        <w:rPr>
          <w:rFonts w:ascii="Times New Roman" w:hAnsi="Times New Roman" w:cs="Times New Roman"/>
          <w:b/>
        </w:rPr>
        <w:t>Abstract</w:t>
      </w:r>
    </w:p>
    <w:p w:rsidR="00C62335" w:rsidRPr="00C3416D" w:rsidRDefault="00C62335" w:rsidP="00B9694E">
      <w:pPr>
        <w:spacing w:line="360" w:lineRule="auto"/>
        <w:ind w:left="1134" w:right="1088"/>
        <w:jc w:val="both"/>
        <w:rPr>
          <w:rFonts w:ascii="Times New Roman" w:hAnsi="Times New Roman" w:cs="Times New Roman"/>
        </w:rPr>
      </w:pPr>
      <w:r w:rsidRPr="00C3416D">
        <w:rPr>
          <w:rFonts w:ascii="Times New Roman" w:hAnsi="Times New Roman" w:cs="Times New Roman"/>
        </w:rPr>
        <w:t xml:space="preserve">We evaluate the effect of the </w:t>
      </w:r>
      <w:r>
        <w:rPr>
          <w:rFonts w:ascii="Times New Roman" w:hAnsi="Times New Roman" w:cs="Times New Roman"/>
        </w:rPr>
        <w:t xml:space="preserve">1932 </w:t>
      </w:r>
      <w:r w:rsidRPr="00C3416D">
        <w:rPr>
          <w:rFonts w:ascii="Times New Roman" w:hAnsi="Times New Roman" w:cs="Times New Roman"/>
        </w:rPr>
        <w:t>British General Tariff on</w:t>
      </w:r>
      <w:r w:rsidR="00F27020">
        <w:rPr>
          <w:rFonts w:ascii="Times New Roman" w:hAnsi="Times New Roman" w:cs="Times New Roman"/>
        </w:rPr>
        <w:t xml:space="preserve"> the</w:t>
      </w:r>
      <w:r w:rsidRPr="00C3416D">
        <w:rPr>
          <w:rFonts w:ascii="Times New Roman" w:hAnsi="Times New Roman" w:cs="Times New Roman"/>
        </w:rPr>
        <w:t xml:space="preserve"> output, labour productivity and employment growth</w:t>
      </w:r>
      <w:r w:rsidR="00F27020">
        <w:rPr>
          <w:rFonts w:ascii="Times New Roman" w:hAnsi="Times New Roman" w:cs="Times New Roman"/>
        </w:rPr>
        <w:t xml:space="preserve"> of British industries</w:t>
      </w:r>
      <w:r w:rsidRPr="00C3416D">
        <w:rPr>
          <w:rFonts w:ascii="Times New Roman" w:hAnsi="Times New Roman" w:cs="Times New Roman"/>
        </w:rPr>
        <w:t>. We provide a</w:t>
      </w:r>
      <w:r>
        <w:rPr>
          <w:rFonts w:ascii="Times New Roman" w:hAnsi="Times New Roman" w:cs="Times New Roman"/>
        </w:rPr>
        <w:t xml:space="preserve"> new disaggregated data set that matches </w:t>
      </w:r>
      <w:r w:rsidRPr="00C3416D">
        <w:rPr>
          <w:rFonts w:ascii="Times New Roman" w:hAnsi="Times New Roman" w:cs="Times New Roman"/>
        </w:rPr>
        <w:t>industry-level Census of Production data with industry-specific tariff rates to accurately isolate treatment and control groups and estimate the effect of the General Tariff</w:t>
      </w:r>
      <w:r>
        <w:rPr>
          <w:rFonts w:ascii="Times New Roman" w:hAnsi="Times New Roman" w:cs="Times New Roman"/>
        </w:rPr>
        <w:t xml:space="preserve"> using difference-in-difference regressions</w:t>
      </w:r>
      <w:r w:rsidRPr="00C3416D">
        <w:rPr>
          <w:rFonts w:ascii="Times New Roman" w:hAnsi="Times New Roman" w:cs="Times New Roman"/>
        </w:rPr>
        <w:t>. We evaluate a two-group comparison, between newly and non-newly protected industries, and a three-group comparison, between non-newly protected industries and newly protected industries further divided into those given a baseline 10 percent tariff rate and those given additional tariffs. In the two-group comparison, we identify a tariff effect that is large and stat</w:t>
      </w:r>
      <w:r>
        <w:rPr>
          <w:rFonts w:ascii="Times New Roman" w:hAnsi="Times New Roman" w:cs="Times New Roman"/>
        </w:rPr>
        <w:t xml:space="preserve">istically significant on output and productivity. </w:t>
      </w:r>
      <w:r w:rsidRPr="00C3416D">
        <w:rPr>
          <w:rFonts w:ascii="Times New Roman" w:hAnsi="Times New Roman" w:cs="Times New Roman"/>
        </w:rPr>
        <w:t>In the three-group comparison, we show that the positive output and productivity effects of the tariff arise from the additional tariff protection, over and above the 10 percent level.</w:t>
      </w:r>
      <w:r>
        <w:rPr>
          <w:rFonts w:ascii="Times New Roman" w:hAnsi="Times New Roman" w:cs="Times New Roman"/>
        </w:rPr>
        <w:t xml:space="preserve"> These effects are observed over the periods 1930-35 and 1930-48, suggesting both short-run and medium-term effects on output and productivity of UK industries</w:t>
      </w:r>
      <w:r w:rsidR="008B5C7F">
        <w:rPr>
          <w:rFonts w:ascii="Times New Roman" w:hAnsi="Times New Roman" w:cs="Times New Roman"/>
        </w:rPr>
        <w:t xml:space="preserve"> protected by the 1932 General tariff</w:t>
      </w:r>
      <w:r>
        <w:rPr>
          <w:rFonts w:ascii="Times New Roman" w:hAnsi="Times New Roman" w:cs="Times New Roman"/>
        </w:rPr>
        <w:t xml:space="preserve">. </w:t>
      </w:r>
    </w:p>
    <w:p w:rsidR="00C62335" w:rsidRPr="00C3416D" w:rsidRDefault="00C62335" w:rsidP="00B9694E">
      <w:pPr>
        <w:spacing w:line="360" w:lineRule="auto"/>
        <w:jc w:val="both"/>
        <w:rPr>
          <w:rFonts w:ascii="Times New Roman" w:hAnsi="Times New Roman" w:cs="Times New Roman"/>
        </w:rPr>
      </w:pPr>
    </w:p>
    <w:p w:rsidR="00C62335" w:rsidRPr="00C3416D" w:rsidRDefault="00C62335" w:rsidP="00B9694E">
      <w:pPr>
        <w:spacing w:line="360" w:lineRule="auto"/>
        <w:jc w:val="both"/>
        <w:rPr>
          <w:rFonts w:ascii="Times New Roman" w:hAnsi="Times New Roman" w:cs="Times New Roman"/>
        </w:rPr>
      </w:pPr>
      <w:r w:rsidRPr="00C3416D">
        <w:rPr>
          <w:rFonts w:ascii="Times New Roman" w:hAnsi="Times New Roman" w:cs="Times New Roman"/>
          <w:b/>
        </w:rPr>
        <w:t>JEL Codes:</w:t>
      </w:r>
      <w:r w:rsidRPr="00C3416D">
        <w:rPr>
          <w:rFonts w:ascii="Times New Roman" w:hAnsi="Times New Roman" w:cs="Times New Roman"/>
        </w:rPr>
        <w:t xml:space="preserve"> F13, N64.</w:t>
      </w:r>
    </w:p>
    <w:p w:rsidR="00C62335" w:rsidRPr="00C3416D" w:rsidRDefault="00C62335" w:rsidP="00B9694E">
      <w:pPr>
        <w:spacing w:line="360" w:lineRule="auto"/>
        <w:jc w:val="both"/>
        <w:rPr>
          <w:rFonts w:ascii="Times New Roman" w:hAnsi="Times New Roman" w:cs="Times New Roman"/>
        </w:rPr>
      </w:pPr>
      <w:r w:rsidRPr="00C3416D">
        <w:rPr>
          <w:rFonts w:ascii="Times New Roman" w:hAnsi="Times New Roman" w:cs="Times New Roman"/>
          <w:b/>
        </w:rPr>
        <w:t xml:space="preserve">Key Words: </w:t>
      </w:r>
      <w:r w:rsidRPr="00C3416D">
        <w:rPr>
          <w:rFonts w:ascii="Times New Roman" w:hAnsi="Times New Roman" w:cs="Times New Roman"/>
        </w:rPr>
        <w:t>Trade Policy, General Tariff, Difference-in-Difference.</w:t>
      </w:r>
    </w:p>
    <w:p w:rsidR="00565F25" w:rsidRDefault="00565F25" w:rsidP="00B9694E">
      <w:pPr>
        <w:spacing w:after="0" w:line="360" w:lineRule="auto"/>
        <w:jc w:val="both"/>
        <w:rPr>
          <w:rFonts w:ascii="Times New Roman" w:hAnsi="Times New Roman" w:cs="Times New Roman"/>
          <w:b/>
        </w:rPr>
      </w:pPr>
    </w:p>
    <w:p w:rsidR="00C62335" w:rsidRPr="00C3416D" w:rsidRDefault="00C62335" w:rsidP="00B9694E">
      <w:pPr>
        <w:spacing w:after="0" w:line="360" w:lineRule="auto"/>
        <w:jc w:val="both"/>
        <w:rPr>
          <w:rFonts w:ascii="Times New Roman" w:hAnsi="Times New Roman" w:cs="Times New Roman"/>
          <w:b/>
        </w:rPr>
      </w:pPr>
      <w:r w:rsidRPr="00C3416D">
        <w:rPr>
          <w:rFonts w:ascii="Times New Roman" w:hAnsi="Times New Roman" w:cs="Times New Roman"/>
          <w:b/>
        </w:rPr>
        <w:lastRenderedPageBreak/>
        <w:t>1</w:t>
      </w:r>
      <w:r w:rsidRPr="00C3416D">
        <w:rPr>
          <w:rFonts w:ascii="Times New Roman" w:hAnsi="Times New Roman" w:cs="Times New Roman"/>
          <w:b/>
        </w:rPr>
        <w:tab/>
        <w:t>Introduction</w:t>
      </w:r>
    </w:p>
    <w:p w:rsidR="00C62335" w:rsidRPr="00C3416D" w:rsidRDefault="00C62335" w:rsidP="00B9694E">
      <w:pPr>
        <w:spacing w:after="0" w:line="360" w:lineRule="auto"/>
        <w:ind w:firstLine="567"/>
        <w:jc w:val="both"/>
        <w:rPr>
          <w:rFonts w:ascii="Times New Roman" w:hAnsi="Times New Roman" w:cs="Times New Roman"/>
          <w:spacing w:val="-3"/>
        </w:rPr>
      </w:pPr>
      <w:r w:rsidRPr="00C3416D">
        <w:rPr>
          <w:rFonts w:ascii="Times New Roman" w:hAnsi="Times New Roman" w:cs="Times New Roman"/>
          <w:spacing w:val="-3"/>
        </w:rPr>
        <w:t>In February 1932 the UK imposed the General Tariff.</w:t>
      </w:r>
      <w:r>
        <w:rPr>
          <w:rFonts w:ascii="Times New Roman" w:hAnsi="Times New Roman" w:cs="Times New Roman"/>
          <w:spacing w:val="-3"/>
        </w:rPr>
        <w:t xml:space="preserve"> This </w:t>
      </w:r>
      <w:r w:rsidR="00F27020">
        <w:rPr>
          <w:rFonts w:ascii="Times New Roman" w:hAnsi="Times New Roman" w:cs="Times New Roman"/>
          <w:spacing w:val="-3"/>
        </w:rPr>
        <w:t>represented</w:t>
      </w:r>
      <w:r>
        <w:rPr>
          <w:rFonts w:ascii="Times New Roman" w:hAnsi="Times New Roman" w:cs="Times New Roman"/>
          <w:spacing w:val="-3"/>
        </w:rPr>
        <w:t xml:space="preserve"> a 10 percent </w:t>
      </w:r>
      <w:r>
        <w:rPr>
          <w:rFonts w:ascii="Times New Roman" w:hAnsi="Times New Roman" w:cs="Times New Roman"/>
          <w:i/>
          <w:spacing w:val="-3"/>
        </w:rPr>
        <w:t xml:space="preserve">ad valorem </w:t>
      </w:r>
      <w:r>
        <w:rPr>
          <w:rFonts w:ascii="Times New Roman" w:hAnsi="Times New Roman" w:cs="Times New Roman"/>
          <w:spacing w:val="-3"/>
        </w:rPr>
        <w:t xml:space="preserve">tariff for British industries, although some industries received additional duties, on the recommendation of the Import Duties Advisory Committee (IDAC), while others were exempt or received protection during the 1920s. </w:t>
      </w:r>
      <w:r w:rsidRPr="00C3416D">
        <w:rPr>
          <w:rFonts w:ascii="Times New Roman" w:hAnsi="Times New Roman" w:cs="Times New Roman"/>
          <w:spacing w:val="-3"/>
        </w:rPr>
        <w:t xml:space="preserve">To evaluate the </w:t>
      </w:r>
      <w:r w:rsidR="008B5C7F">
        <w:rPr>
          <w:rFonts w:ascii="Times New Roman" w:hAnsi="Times New Roman" w:cs="Times New Roman"/>
          <w:spacing w:val="-3"/>
        </w:rPr>
        <w:t>impacts</w:t>
      </w:r>
      <w:r w:rsidR="008B5C7F" w:rsidRPr="00C3416D">
        <w:rPr>
          <w:rFonts w:ascii="Times New Roman" w:hAnsi="Times New Roman" w:cs="Times New Roman"/>
          <w:spacing w:val="-3"/>
        </w:rPr>
        <w:t xml:space="preserve"> </w:t>
      </w:r>
      <w:r w:rsidRPr="00C3416D">
        <w:rPr>
          <w:rFonts w:ascii="Times New Roman" w:hAnsi="Times New Roman" w:cs="Times New Roman"/>
          <w:spacing w:val="-3"/>
        </w:rPr>
        <w:t>of this measure we explore the follo</w:t>
      </w:r>
      <w:r>
        <w:rPr>
          <w:rFonts w:ascii="Times New Roman" w:hAnsi="Times New Roman" w:cs="Times New Roman"/>
          <w:spacing w:val="-3"/>
        </w:rPr>
        <w:t xml:space="preserve">wing questions: were the ‘newly </w:t>
      </w:r>
      <w:r w:rsidRPr="00C3416D">
        <w:rPr>
          <w:rFonts w:ascii="Times New Roman" w:hAnsi="Times New Roman" w:cs="Times New Roman"/>
          <w:spacing w:val="-3"/>
        </w:rPr>
        <w:t xml:space="preserve">protected’ industries covered by the 1932 legislation stimulated by the </w:t>
      </w:r>
      <w:r>
        <w:rPr>
          <w:rFonts w:ascii="Times New Roman" w:hAnsi="Times New Roman" w:cs="Times New Roman"/>
          <w:spacing w:val="-3"/>
        </w:rPr>
        <w:t>tariff</w:t>
      </w:r>
      <w:r w:rsidRPr="00C3416D">
        <w:rPr>
          <w:rFonts w:ascii="Times New Roman" w:hAnsi="Times New Roman" w:cs="Times New Roman"/>
          <w:spacing w:val="-3"/>
        </w:rPr>
        <w:t xml:space="preserve"> over the cyclical recovery of the 1930s, improving their standing relative to the non-newly protected and already protected in</w:t>
      </w:r>
      <w:r>
        <w:rPr>
          <w:rFonts w:ascii="Times New Roman" w:hAnsi="Times New Roman" w:cs="Times New Roman"/>
          <w:spacing w:val="-3"/>
        </w:rPr>
        <w:t>dustries; can we identify short</w:t>
      </w:r>
      <w:r w:rsidRPr="00C3416D">
        <w:rPr>
          <w:rFonts w:ascii="Times New Roman" w:hAnsi="Times New Roman" w:cs="Times New Roman"/>
          <w:spacing w:val="-3"/>
        </w:rPr>
        <w:t xml:space="preserve"> and </w:t>
      </w:r>
      <w:r>
        <w:rPr>
          <w:rFonts w:ascii="Times New Roman" w:hAnsi="Times New Roman" w:cs="Times New Roman"/>
          <w:spacing w:val="-3"/>
        </w:rPr>
        <w:t>medium</w:t>
      </w:r>
      <w:r w:rsidRPr="00C3416D">
        <w:rPr>
          <w:rFonts w:ascii="Times New Roman" w:hAnsi="Times New Roman" w:cs="Times New Roman"/>
          <w:spacing w:val="-3"/>
        </w:rPr>
        <w:t>-</w:t>
      </w:r>
      <w:r>
        <w:rPr>
          <w:rFonts w:ascii="Times New Roman" w:hAnsi="Times New Roman" w:cs="Times New Roman"/>
          <w:spacing w:val="-3"/>
        </w:rPr>
        <w:t>term</w:t>
      </w:r>
      <w:r w:rsidRPr="00C3416D">
        <w:rPr>
          <w:rFonts w:ascii="Times New Roman" w:hAnsi="Times New Roman" w:cs="Times New Roman"/>
          <w:spacing w:val="-3"/>
        </w:rPr>
        <w:t xml:space="preserve"> effects </w:t>
      </w:r>
      <w:r>
        <w:rPr>
          <w:rFonts w:ascii="Times New Roman" w:hAnsi="Times New Roman" w:cs="Times New Roman"/>
          <w:spacing w:val="-3"/>
        </w:rPr>
        <w:t>from the General Tariff?</w:t>
      </w:r>
    </w:p>
    <w:p w:rsidR="00C62335" w:rsidRPr="00C3416D" w:rsidRDefault="00C62335" w:rsidP="00B9694E">
      <w:pPr>
        <w:spacing w:after="0" w:line="360" w:lineRule="auto"/>
        <w:ind w:firstLine="567"/>
        <w:jc w:val="both"/>
        <w:rPr>
          <w:rFonts w:ascii="Times New Roman" w:hAnsi="Times New Roman" w:cs="Times New Roman"/>
          <w:spacing w:val="-3"/>
        </w:rPr>
      </w:pPr>
      <w:r w:rsidRPr="00C3416D">
        <w:rPr>
          <w:rFonts w:ascii="Times New Roman" w:hAnsi="Times New Roman" w:cs="Times New Roman"/>
          <w:spacing w:val="-3"/>
        </w:rPr>
        <w:t>One of the first quantitative studies to evaluate this effect is Richardson (1967) who concluded that</w:t>
      </w:r>
      <w:r>
        <w:rPr>
          <w:rFonts w:ascii="Times New Roman" w:hAnsi="Times New Roman" w:cs="Times New Roman"/>
          <w:spacing w:val="-3"/>
        </w:rPr>
        <w:t xml:space="preserve"> “</w:t>
      </w:r>
      <w:r w:rsidRPr="002517B1">
        <w:rPr>
          <w:rFonts w:ascii="Times New Roman" w:hAnsi="Times New Roman" w:cs="Times New Roman"/>
          <w:spacing w:val="-3"/>
        </w:rPr>
        <w:t>the tariff had little effect on the growth of newly protected industries between 1930 and 1935.</w:t>
      </w:r>
      <w:r>
        <w:rPr>
          <w:rFonts w:ascii="Times New Roman" w:hAnsi="Times New Roman" w:cs="Times New Roman"/>
          <w:spacing w:val="-3"/>
        </w:rPr>
        <w:t>”</w:t>
      </w:r>
      <w:r w:rsidRPr="00C3416D">
        <w:rPr>
          <w:rFonts w:ascii="Times New Roman" w:hAnsi="Times New Roman" w:cs="Times New Roman"/>
          <w:spacing w:val="-3"/>
        </w:rPr>
        <w:t xml:space="preserve"> This conclusion was based on Richardson’s evaluation of the effects of protection on output, employment, labour productivity and trade in the newly protected industries of 1932 relative to non-newly protected industries, comparing the</w:t>
      </w:r>
      <w:r>
        <w:rPr>
          <w:rFonts w:ascii="Times New Roman" w:hAnsi="Times New Roman" w:cs="Times New Roman"/>
          <w:spacing w:val="-3"/>
        </w:rPr>
        <w:t xml:space="preserve"> </w:t>
      </w:r>
      <w:r w:rsidRPr="00C3416D">
        <w:rPr>
          <w:rFonts w:ascii="Times New Roman" w:hAnsi="Times New Roman" w:cs="Times New Roman"/>
          <w:spacing w:val="-3"/>
        </w:rPr>
        <w:t xml:space="preserve">benchmark years 1930 and 1935 using the Censuses of Production data.  Having observed that, between 1930 and 1935, the fall in imports in newly protected industries was less than the fall in imports of other industries, Richardson argues for a non-tariff explanation for the healthy performance of the newly protected industries – recovery in the newly protected sector was thus seen as reflecting general economic recovery in the 1930s.  </w:t>
      </w:r>
    </w:p>
    <w:p w:rsidR="00C62335" w:rsidRPr="00C3416D" w:rsidRDefault="00C62335" w:rsidP="00B9694E">
      <w:pPr>
        <w:tabs>
          <w:tab w:val="left" w:pos="-720"/>
        </w:tabs>
        <w:suppressAutoHyphens/>
        <w:spacing w:after="0" w:line="360" w:lineRule="auto"/>
        <w:ind w:firstLine="567"/>
        <w:jc w:val="both"/>
        <w:rPr>
          <w:rFonts w:ascii="Times New Roman" w:hAnsi="Times New Roman" w:cs="Times New Roman"/>
          <w:spacing w:val="-3"/>
        </w:rPr>
      </w:pPr>
      <w:r w:rsidRPr="00C3416D">
        <w:rPr>
          <w:rFonts w:ascii="Times New Roman" w:hAnsi="Times New Roman" w:cs="Times New Roman"/>
          <w:spacing w:val="-3"/>
        </w:rPr>
        <w:tab/>
        <w:t xml:space="preserve">A major weakness in Richardson’s analysis is the implicit assumption that the newly protected and other industries shared similar initial conditions in 1930.  There is no attempt to compare the economic performance of the newly protected and other industries over a longer period that would allow </w:t>
      </w:r>
      <w:r>
        <w:rPr>
          <w:rFonts w:ascii="Times New Roman" w:hAnsi="Times New Roman" w:cs="Times New Roman"/>
          <w:spacing w:val="-3"/>
        </w:rPr>
        <w:t xml:space="preserve">testing of </w:t>
      </w:r>
      <w:r w:rsidRPr="00C3416D">
        <w:rPr>
          <w:rFonts w:ascii="Times New Roman" w:hAnsi="Times New Roman" w:cs="Times New Roman"/>
          <w:spacing w:val="-3"/>
        </w:rPr>
        <w:t xml:space="preserve">this assumption.  The initial conditions in the 1920s will be unimportant only if industries were comparable in economic performance and shared similar characteristics.  We know this was not the case.  </w:t>
      </w:r>
      <w:r w:rsidR="00413455">
        <w:rPr>
          <w:rFonts w:ascii="Times New Roman" w:hAnsi="Times New Roman" w:cs="Times New Roman"/>
          <w:spacing w:val="-3"/>
        </w:rPr>
        <w:t>W</w:t>
      </w:r>
      <w:r w:rsidRPr="00C3416D">
        <w:rPr>
          <w:rFonts w:ascii="Times New Roman" w:hAnsi="Times New Roman" w:cs="Times New Roman"/>
          <w:spacing w:val="-3"/>
        </w:rPr>
        <w:t xml:space="preserve">e </w:t>
      </w:r>
      <w:r w:rsidR="00B86878">
        <w:rPr>
          <w:rFonts w:ascii="Times New Roman" w:hAnsi="Times New Roman" w:cs="Times New Roman"/>
          <w:spacing w:val="-3"/>
        </w:rPr>
        <w:t>apply a difference-in-difference approach,</w:t>
      </w:r>
      <w:r w:rsidR="00B86878" w:rsidRPr="00C3416D">
        <w:rPr>
          <w:rFonts w:ascii="Times New Roman" w:hAnsi="Times New Roman" w:cs="Times New Roman"/>
          <w:spacing w:val="-3"/>
        </w:rPr>
        <w:t xml:space="preserve"> </w:t>
      </w:r>
      <w:r w:rsidR="00B86878">
        <w:rPr>
          <w:rFonts w:ascii="Times New Roman" w:hAnsi="Times New Roman" w:cs="Times New Roman"/>
          <w:spacing w:val="-3"/>
        </w:rPr>
        <w:t xml:space="preserve">using </w:t>
      </w:r>
      <w:r w:rsidRPr="00C3416D">
        <w:rPr>
          <w:rFonts w:ascii="Times New Roman" w:hAnsi="Times New Roman" w:cs="Times New Roman"/>
          <w:spacing w:val="-3"/>
        </w:rPr>
        <w:t xml:space="preserve">more information </w:t>
      </w:r>
      <w:r w:rsidR="00B86878">
        <w:rPr>
          <w:rFonts w:ascii="Times New Roman" w:hAnsi="Times New Roman" w:cs="Times New Roman"/>
          <w:spacing w:val="-3"/>
        </w:rPr>
        <w:t>about</w:t>
      </w:r>
      <w:r w:rsidR="00B86878" w:rsidRPr="00C3416D">
        <w:rPr>
          <w:rFonts w:ascii="Times New Roman" w:hAnsi="Times New Roman" w:cs="Times New Roman"/>
          <w:spacing w:val="-3"/>
        </w:rPr>
        <w:t xml:space="preserve"> </w:t>
      </w:r>
      <w:r w:rsidRPr="00C3416D">
        <w:rPr>
          <w:rFonts w:ascii="Times New Roman" w:hAnsi="Times New Roman" w:cs="Times New Roman"/>
          <w:spacing w:val="-3"/>
        </w:rPr>
        <w:t xml:space="preserve">the </w:t>
      </w:r>
      <w:r w:rsidR="00B86878">
        <w:rPr>
          <w:rFonts w:ascii="Times New Roman" w:hAnsi="Times New Roman" w:cs="Times New Roman"/>
          <w:spacing w:val="-3"/>
        </w:rPr>
        <w:t>economic performance</w:t>
      </w:r>
      <w:r w:rsidRPr="00C3416D">
        <w:rPr>
          <w:rFonts w:ascii="Times New Roman" w:hAnsi="Times New Roman" w:cs="Times New Roman"/>
          <w:spacing w:val="-3"/>
        </w:rPr>
        <w:t xml:space="preserve"> of the two groups of industries in the pre-protection period</w:t>
      </w:r>
      <w:r w:rsidR="00B86878">
        <w:rPr>
          <w:rFonts w:ascii="Times New Roman" w:hAnsi="Times New Roman" w:cs="Times New Roman"/>
          <w:spacing w:val="-3"/>
        </w:rPr>
        <w:t xml:space="preserve"> as well as additional control variables to account for </w:t>
      </w:r>
      <w:r w:rsidR="00AB5924">
        <w:rPr>
          <w:rFonts w:ascii="Times New Roman" w:hAnsi="Times New Roman" w:cs="Times New Roman"/>
          <w:spacing w:val="-3"/>
        </w:rPr>
        <w:t xml:space="preserve">differences in </w:t>
      </w:r>
      <w:r w:rsidR="00B86878">
        <w:rPr>
          <w:rFonts w:ascii="Times New Roman" w:hAnsi="Times New Roman" w:cs="Times New Roman"/>
          <w:spacing w:val="-3"/>
        </w:rPr>
        <w:t>the characteristics of industries over and above their growth</w:t>
      </w:r>
      <w:r w:rsidR="00AB5924">
        <w:rPr>
          <w:rFonts w:ascii="Times New Roman" w:hAnsi="Times New Roman" w:cs="Times New Roman"/>
          <w:spacing w:val="-3"/>
        </w:rPr>
        <w:t xml:space="preserve"> profiles</w:t>
      </w:r>
      <w:r w:rsidRPr="00C3416D">
        <w:rPr>
          <w:rFonts w:ascii="Times New Roman" w:hAnsi="Times New Roman" w:cs="Times New Roman"/>
          <w:spacing w:val="-3"/>
        </w:rPr>
        <w:t xml:space="preserve">.  </w:t>
      </w:r>
    </w:p>
    <w:p w:rsidR="00C62335" w:rsidRPr="00C3416D" w:rsidRDefault="00C62335" w:rsidP="00B9694E">
      <w:pPr>
        <w:tabs>
          <w:tab w:val="left" w:pos="-720"/>
        </w:tabs>
        <w:suppressAutoHyphens/>
        <w:spacing w:after="0" w:line="360" w:lineRule="auto"/>
        <w:ind w:firstLine="567"/>
        <w:jc w:val="both"/>
        <w:rPr>
          <w:rFonts w:ascii="Times New Roman" w:hAnsi="Times New Roman" w:cs="Times New Roman"/>
          <w:spacing w:val="-3"/>
        </w:rPr>
      </w:pPr>
      <w:r w:rsidRPr="00C3416D">
        <w:rPr>
          <w:rFonts w:ascii="Times New Roman" w:hAnsi="Times New Roman" w:cs="Times New Roman"/>
          <w:spacing w:val="-3"/>
        </w:rPr>
        <w:tab/>
      </w:r>
      <w:r w:rsidR="00B86878">
        <w:rPr>
          <w:rFonts w:ascii="Times New Roman" w:hAnsi="Times New Roman" w:cs="Times New Roman"/>
          <w:spacing w:val="-3"/>
        </w:rPr>
        <w:t xml:space="preserve">The difference-in-difference approach builds on </w:t>
      </w:r>
      <w:r w:rsidRPr="00C3416D">
        <w:rPr>
          <w:rFonts w:ascii="Times New Roman" w:hAnsi="Times New Roman" w:cs="Times New Roman"/>
          <w:spacing w:val="-3"/>
        </w:rPr>
        <w:t xml:space="preserve">Kitson and Solomou (1990) </w:t>
      </w:r>
      <w:r w:rsidR="00B86878">
        <w:rPr>
          <w:rFonts w:ascii="Times New Roman" w:hAnsi="Times New Roman" w:cs="Times New Roman"/>
          <w:spacing w:val="-3"/>
        </w:rPr>
        <w:t xml:space="preserve">who </w:t>
      </w:r>
      <w:r w:rsidRPr="00C3416D">
        <w:rPr>
          <w:rFonts w:ascii="Times New Roman" w:hAnsi="Times New Roman" w:cs="Times New Roman"/>
          <w:spacing w:val="-3"/>
        </w:rPr>
        <w:t>used the data contained in the</w:t>
      </w:r>
      <w:r>
        <w:rPr>
          <w:rFonts w:ascii="Times New Roman" w:hAnsi="Times New Roman" w:cs="Times New Roman"/>
          <w:spacing w:val="-3"/>
        </w:rPr>
        <w:t xml:space="preserve"> 1924, 1930 and 1935</w:t>
      </w:r>
      <w:r w:rsidRPr="00C3416D">
        <w:rPr>
          <w:rFonts w:ascii="Times New Roman" w:hAnsi="Times New Roman" w:cs="Times New Roman"/>
          <w:spacing w:val="-3"/>
        </w:rPr>
        <w:t xml:space="preserve"> Censuses of Production to distinguish the inter-period performance of the newly protected industries of 1932 relative to other industries, comparing the 1924-30 and 1930-35</w:t>
      </w:r>
      <w:r>
        <w:rPr>
          <w:rFonts w:ascii="Times New Roman" w:hAnsi="Times New Roman" w:cs="Times New Roman"/>
          <w:spacing w:val="-3"/>
        </w:rPr>
        <w:t xml:space="preserve"> periods</w:t>
      </w:r>
      <w:r w:rsidRPr="00C3416D">
        <w:rPr>
          <w:rFonts w:ascii="Times New Roman" w:hAnsi="Times New Roman" w:cs="Times New Roman"/>
          <w:spacing w:val="-3"/>
        </w:rPr>
        <w:t xml:space="preserve">.  Thus, the inter-period difference in performance between 1924-30 and 1930-35 is used to identify the effects of protection on different industries.  In order to test whether industry growth was stimulated by tariffs, Kitson and Solomou (1990) considered the output and productivity growth performance of the newly protected industries relative to non-newly protected industries. Output growth in the newly protected group of 1932 was stagnant </w:t>
      </w:r>
      <w:r>
        <w:rPr>
          <w:rFonts w:ascii="Times New Roman" w:hAnsi="Times New Roman" w:cs="Times New Roman"/>
          <w:spacing w:val="-3"/>
        </w:rPr>
        <w:t>in</w:t>
      </w:r>
      <w:r w:rsidRPr="00C3416D">
        <w:rPr>
          <w:rFonts w:ascii="Times New Roman" w:hAnsi="Times New Roman" w:cs="Times New Roman"/>
          <w:spacing w:val="-3"/>
        </w:rPr>
        <w:t xml:space="preserve"> 1924-30, whilst the non-newly protected sector saw a weighted mean growth of 2.7 percent per annum. However, during 1930-35 there </w:t>
      </w:r>
      <w:r>
        <w:rPr>
          <w:rFonts w:ascii="Times New Roman" w:hAnsi="Times New Roman" w:cs="Times New Roman"/>
          <w:spacing w:val="-3"/>
        </w:rPr>
        <w:t>was</w:t>
      </w:r>
      <w:r w:rsidRPr="00C3416D">
        <w:rPr>
          <w:rFonts w:ascii="Times New Roman" w:hAnsi="Times New Roman" w:cs="Times New Roman"/>
          <w:spacing w:val="-3"/>
        </w:rPr>
        <w:t xml:space="preserve"> a substantial turnaround as the newly protected group grew at 3.8 percent per annum whilst the other industries grew at 2.3 percent per annum. Kitson and Solomou (1990, p. 111) reported a number of significance tests suggesting that the improved output and productivity performance of the newly-protected sector during the 1930s was statistically significant, whilst there was no effect on the non-newly-protected industries.</w:t>
      </w:r>
    </w:p>
    <w:p w:rsidR="00C62335" w:rsidRPr="00C3416D" w:rsidRDefault="00C62335" w:rsidP="00B9694E">
      <w:pPr>
        <w:tabs>
          <w:tab w:val="left" w:pos="-720"/>
        </w:tabs>
        <w:suppressAutoHyphens/>
        <w:spacing w:after="0" w:line="360" w:lineRule="auto"/>
        <w:ind w:firstLine="567"/>
        <w:jc w:val="both"/>
        <w:rPr>
          <w:rFonts w:ascii="Times New Roman" w:hAnsi="Times New Roman" w:cs="Times New Roman"/>
          <w:spacing w:val="-3"/>
        </w:rPr>
      </w:pPr>
      <w:r w:rsidRPr="00C3416D">
        <w:rPr>
          <w:rFonts w:ascii="Times New Roman" w:hAnsi="Times New Roman" w:cs="Times New Roman"/>
          <w:spacing w:val="-3"/>
        </w:rPr>
        <w:tab/>
        <w:t xml:space="preserve">Broadberry and Crafts (2011) and Crafts (2012) </w:t>
      </w:r>
      <w:r w:rsidR="00B86878">
        <w:rPr>
          <w:rFonts w:ascii="Times New Roman" w:hAnsi="Times New Roman" w:cs="Times New Roman"/>
          <w:spacing w:val="-3"/>
        </w:rPr>
        <w:t xml:space="preserve">were the first to </w:t>
      </w:r>
      <w:r>
        <w:rPr>
          <w:rFonts w:ascii="Times New Roman" w:hAnsi="Times New Roman" w:cs="Times New Roman"/>
          <w:spacing w:val="-3"/>
        </w:rPr>
        <w:t xml:space="preserve">estimate </w:t>
      </w:r>
      <w:r w:rsidRPr="00C3416D">
        <w:rPr>
          <w:rFonts w:ascii="Times New Roman" w:hAnsi="Times New Roman" w:cs="Times New Roman"/>
          <w:spacing w:val="-3"/>
        </w:rPr>
        <w:t xml:space="preserve">difference-in-difference </w:t>
      </w:r>
      <w:r>
        <w:rPr>
          <w:rFonts w:ascii="Times New Roman" w:hAnsi="Times New Roman" w:cs="Times New Roman"/>
          <w:spacing w:val="-3"/>
        </w:rPr>
        <w:t xml:space="preserve">regressions </w:t>
      </w:r>
      <w:r w:rsidRPr="00C3416D">
        <w:rPr>
          <w:rFonts w:ascii="Times New Roman" w:hAnsi="Times New Roman" w:cs="Times New Roman"/>
          <w:spacing w:val="-3"/>
        </w:rPr>
        <w:t xml:space="preserve">to evaluate the labour productivity effects of the General Tariff on British industries, introducing two innovations: first, the application of the difference-in-difference model adds a formal econometric panel data </w:t>
      </w:r>
      <w:r>
        <w:rPr>
          <w:rFonts w:ascii="Times New Roman" w:hAnsi="Times New Roman" w:cs="Times New Roman"/>
          <w:spacing w:val="-3"/>
        </w:rPr>
        <w:t>framework</w:t>
      </w:r>
      <w:r>
        <w:rPr>
          <w:rStyle w:val="FootnoteReference"/>
          <w:rFonts w:ascii="Times New Roman" w:hAnsi="Times New Roman" w:cs="Times New Roman"/>
          <w:spacing w:val="-3"/>
        </w:rPr>
        <w:footnoteReference w:id="2"/>
      </w:r>
      <w:r w:rsidRPr="00C3416D">
        <w:rPr>
          <w:rFonts w:ascii="Times New Roman" w:hAnsi="Times New Roman" w:cs="Times New Roman"/>
          <w:spacing w:val="-3"/>
        </w:rPr>
        <w:t xml:space="preserve"> to the tests undertaken by Kitson and Solomou (1990); second, as noted above, the </w:t>
      </w:r>
      <w:r>
        <w:rPr>
          <w:rFonts w:ascii="Times New Roman" w:hAnsi="Times New Roman" w:cs="Times New Roman"/>
          <w:spacing w:val="-3"/>
        </w:rPr>
        <w:t>IDAC</w:t>
      </w:r>
      <w:r w:rsidRPr="00C3416D">
        <w:rPr>
          <w:rFonts w:ascii="Times New Roman" w:hAnsi="Times New Roman" w:cs="Times New Roman"/>
          <w:spacing w:val="-3"/>
        </w:rPr>
        <w:t xml:space="preserve"> implemented a system of additional duties, </w:t>
      </w:r>
      <w:r>
        <w:rPr>
          <w:rFonts w:ascii="Times New Roman" w:hAnsi="Times New Roman" w:cs="Times New Roman"/>
          <w:spacing w:val="-3"/>
        </w:rPr>
        <w:t xml:space="preserve">in excess of 10 percent </w:t>
      </w:r>
      <w:r>
        <w:rPr>
          <w:rFonts w:ascii="Times New Roman" w:hAnsi="Times New Roman" w:cs="Times New Roman"/>
          <w:i/>
          <w:spacing w:val="-3"/>
        </w:rPr>
        <w:t>ad valorem</w:t>
      </w:r>
      <w:r>
        <w:rPr>
          <w:rFonts w:ascii="Times New Roman" w:hAnsi="Times New Roman" w:cs="Times New Roman"/>
          <w:spacing w:val="-3"/>
        </w:rPr>
        <w:t>,</w:t>
      </w:r>
      <w:r>
        <w:rPr>
          <w:rFonts w:ascii="Times New Roman" w:hAnsi="Times New Roman" w:cs="Times New Roman"/>
          <w:i/>
          <w:spacing w:val="-3"/>
        </w:rPr>
        <w:t xml:space="preserve"> </w:t>
      </w:r>
      <w:r w:rsidRPr="00C3416D">
        <w:rPr>
          <w:rFonts w:ascii="Times New Roman" w:hAnsi="Times New Roman" w:cs="Times New Roman"/>
          <w:spacing w:val="-3"/>
        </w:rPr>
        <w:t xml:space="preserve">allowing us to compare three groups of industries instead of two. Broadberry and Crafts chose to compare early protected industries with the newly-protected group further divided into two sub-groups, the baseline group of industries given 0-10 percent </w:t>
      </w:r>
      <w:r w:rsidRPr="00C3416D">
        <w:rPr>
          <w:rFonts w:ascii="Times New Roman" w:hAnsi="Times New Roman" w:cs="Times New Roman"/>
          <w:i/>
          <w:spacing w:val="-3"/>
        </w:rPr>
        <w:t>ad valorem</w:t>
      </w:r>
      <w:r w:rsidRPr="00C3416D">
        <w:rPr>
          <w:rFonts w:ascii="Times New Roman" w:hAnsi="Times New Roman" w:cs="Times New Roman"/>
          <w:spacing w:val="-3"/>
        </w:rPr>
        <w:t xml:space="preserve"> tariff protection in the 1930s and those industries given additional duties </w:t>
      </w:r>
      <w:r>
        <w:rPr>
          <w:rFonts w:ascii="Times New Roman" w:hAnsi="Times New Roman" w:cs="Times New Roman"/>
          <w:spacing w:val="-3"/>
        </w:rPr>
        <w:t>on the recommendation of</w:t>
      </w:r>
      <w:r w:rsidRPr="00C3416D">
        <w:rPr>
          <w:rFonts w:ascii="Times New Roman" w:hAnsi="Times New Roman" w:cs="Times New Roman"/>
          <w:spacing w:val="-3"/>
        </w:rPr>
        <w:t xml:space="preserve"> the IDAC.</w:t>
      </w:r>
      <w:r>
        <w:rPr>
          <w:rStyle w:val="FootnoteReference"/>
          <w:rFonts w:ascii="Times New Roman" w:hAnsi="Times New Roman" w:cs="Times New Roman"/>
          <w:spacing w:val="-3"/>
        </w:rPr>
        <w:footnoteReference w:id="3"/>
      </w:r>
      <w:r w:rsidRPr="00C3416D">
        <w:rPr>
          <w:rFonts w:ascii="Times New Roman" w:hAnsi="Times New Roman" w:cs="Times New Roman"/>
          <w:spacing w:val="-3"/>
        </w:rPr>
        <w:t xml:space="preserve"> The Broadberry and Crafts results suggest that, whilst the effect of the tariff on productivity growth is estimated to be positive, the coefficient is statistically insignificant, negating the results </w:t>
      </w:r>
      <w:r>
        <w:rPr>
          <w:rFonts w:ascii="Times New Roman" w:hAnsi="Times New Roman" w:cs="Times New Roman"/>
          <w:spacing w:val="-3"/>
        </w:rPr>
        <w:t xml:space="preserve">on labour productivity </w:t>
      </w:r>
      <w:r w:rsidRPr="00C3416D">
        <w:rPr>
          <w:rFonts w:ascii="Times New Roman" w:hAnsi="Times New Roman" w:cs="Times New Roman"/>
          <w:spacing w:val="-3"/>
        </w:rPr>
        <w:t xml:space="preserve">identified by Kitson and Solomou. </w:t>
      </w:r>
    </w:p>
    <w:p w:rsidR="00C62335" w:rsidRDefault="00C62335" w:rsidP="00B9694E">
      <w:pPr>
        <w:spacing w:after="0" w:line="360" w:lineRule="auto"/>
        <w:ind w:firstLine="567"/>
        <w:jc w:val="both"/>
        <w:rPr>
          <w:rFonts w:ascii="Times New Roman" w:hAnsi="Times New Roman" w:cs="Times New Roman"/>
          <w:spacing w:val="-3"/>
        </w:rPr>
      </w:pPr>
      <w:r w:rsidRPr="00C3416D">
        <w:rPr>
          <w:rFonts w:ascii="Times New Roman" w:hAnsi="Times New Roman" w:cs="Times New Roman"/>
          <w:spacing w:val="-3"/>
        </w:rPr>
        <w:tab/>
        <w:t xml:space="preserve">The current paper evaluates the Broadberry and Crafts results. Two avenues of research are pursued: first, we place the Kitson and Solomou results within a difference-in-difference </w:t>
      </w:r>
      <w:r>
        <w:rPr>
          <w:rFonts w:ascii="Times New Roman" w:hAnsi="Times New Roman" w:cs="Times New Roman"/>
          <w:spacing w:val="-3"/>
        </w:rPr>
        <w:t xml:space="preserve">framework using the two-group </w:t>
      </w:r>
      <w:r w:rsidRPr="00C3416D">
        <w:rPr>
          <w:rFonts w:ascii="Times New Roman" w:hAnsi="Times New Roman" w:cs="Times New Roman"/>
          <w:spacing w:val="-3"/>
        </w:rPr>
        <w:t xml:space="preserve">comparison between the </w:t>
      </w:r>
      <w:r w:rsidRPr="00C3416D">
        <w:rPr>
          <w:rFonts w:ascii="Times New Roman" w:hAnsi="Times New Roman" w:cs="Times New Roman"/>
          <w:i/>
          <w:spacing w:val="-3"/>
        </w:rPr>
        <w:t>newly protected</w:t>
      </w:r>
      <w:r w:rsidRPr="00C3416D">
        <w:rPr>
          <w:rFonts w:ascii="Times New Roman" w:hAnsi="Times New Roman" w:cs="Times New Roman"/>
          <w:spacing w:val="-3"/>
        </w:rPr>
        <w:t xml:space="preserve"> industries and the </w:t>
      </w:r>
      <w:r w:rsidRPr="00C3416D">
        <w:rPr>
          <w:rFonts w:ascii="Times New Roman" w:hAnsi="Times New Roman" w:cs="Times New Roman"/>
          <w:i/>
          <w:spacing w:val="-3"/>
        </w:rPr>
        <w:t>non-newly protected</w:t>
      </w:r>
      <w:r w:rsidRPr="00C3416D">
        <w:rPr>
          <w:rFonts w:ascii="Times New Roman" w:hAnsi="Times New Roman" w:cs="Times New Roman"/>
          <w:spacing w:val="-3"/>
        </w:rPr>
        <w:t xml:space="preserve"> industries; secondly, we make </w:t>
      </w:r>
      <w:r>
        <w:rPr>
          <w:rFonts w:ascii="Times New Roman" w:hAnsi="Times New Roman" w:cs="Times New Roman"/>
          <w:spacing w:val="-3"/>
        </w:rPr>
        <w:t xml:space="preserve">the </w:t>
      </w:r>
      <w:r w:rsidRPr="00C3416D">
        <w:rPr>
          <w:rFonts w:ascii="Times New Roman" w:hAnsi="Times New Roman" w:cs="Times New Roman"/>
          <w:spacing w:val="-3"/>
        </w:rPr>
        <w:t>Kitson and Solomou data set comparable to Broadberry and Crafts by distinguishing the additional duties from the baseline 10 percent protected industries. In constructing our data set we identified two substantive problems with the Broadberry and Crafts study. First,</w:t>
      </w:r>
      <w:r>
        <w:rPr>
          <w:rFonts w:ascii="Times New Roman" w:hAnsi="Times New Roman" w:cs="Times New Roman"/>
          <w:spacing w:val="-3"/>
        </w:rPr>
        <w:t xml:space="preserve"> as noted above,</w:t>
      </w:r>
      <w:r w:rsidRPr="00C3416D">
        <w:rPr>
          <w:rFonts w:ascii="Times New Roman" w:hAnsi="Times New Roman" w:cs="Times New Roman"/>
          <w:spacing w:val="-3"/>
        </w:rPr>
        <w:t xml:space="preserve"> there are problems with the implementation of the difference-in-difference method, which mean that the treatment and control groups have not been clearly distinguished. Second, a reading of the tariff regulations of the period, and the decisions on additional duties, has highlighted a significant number of classification differences with Broadberry and Crafts that affect evalua</w:t>
      </w:r>
      <w:r>
        <w:rPr>
          <w:rFonts w:ascii="Times New Roman" w:hAnsi="Times New Roman" w:cs="Times New Roman"/>
          <w:spacing w:val="-3"/>
        </w:rPr>
        <w:t>tion of the General Tariff. W</w:t>
      </w:r>
      <w:r w:rsidRPr="00C3416D">
        <w:rPr>
          <w:rFonts w:ascii="Times New Roman" w:hAnsi="Times New Roman" w:cs="Times New Roman"/>
          <w:spacing w:val="-3"/>
        </w:rPr>
        <w:t>e provide a detailed description of a new data set of the tariff protection received by each of the industries in our sa</w:t>
      </w:r>
      <w:r>
        <w:rPr>
          <w:rFonts w:ascii="Times New Roman" w:hAnsi="Times New Roman" w:cs="Times New Roman"/>
          <w:spacing w:val="-3"/>
        </w:rPr>
        <w:t xml:space="preserve">mple </w:t>
      </w:r>
      <w:r>
        <w:rPr>
          <w:rFonts w:ascii="Times New Roman" w:hAnsi="Times New Roman" w:cs="Times New Roman"/>
        </w:rPr>
        <w:t>drawing upon contemporary tariff information from a variety of sources, including: IDAC (1932a, 1932b), CET (1935), NIESR (1943), Hutchinson (1965) and various HMRC reports. We present the detailed tariff classification and list of sources in Appendix A of the</w:t>
      </w:r>
      <w:r w:rsidRPr="00C3416D">
        <w:rPr>
          <w:rFonts w:ascii="Times New Roman" w:hAnsi="Times New Roman" w:cs="Times New Roman"/>
          <w:spacing w:val="-3"/>
        </w:rPr>
        <w:t xml:space="preserve"> Suppl</w:t>
      </w:r>
      <w:r>
        <w:rPr>
          <w:rFonts w:ascii="Times New Roman" w:hAnsi="Times New Roman" w:cs="Times New Roman"/>
          <w:spacing w:val="-3"/>
        </w:rPr>
        <w:t>ementary material to this paper</w:t>
      </w:r>
      <w:r w:rsidR="007D5E0C">
        <w:rPr>
          <w:rFonts w:ascii="Times New Roman" w:hAnsi="Times New Roman" w:cs="Times New Roman"/>
          <w:spacing w:val="-3"/>
        </w:rPr>
        <w:t xml:space="preserve"> as a resource for future research</w:t>
      </w:r>
      <w:r>
        <w:rPr>
          <w:rFonts w:ascii="Times New Roman" w:hAnsi="Times New Roman" w:cs="Times New Roman"/>
          <w:spacing w:val="-3"/>
        </w:rPr>
        <w:t>.</w:t>
      </w:r>
    </w:p>
    <w:p w:rsidR="000F078E" w:rsidRPr="000F078E" w:rsidRDefault="003F2397" w:rsidP="00B9694E">
      <w:pPr>
        <w:spacing w:after="0" w:line="360" w:lineRule="auto"/>
        <w:ind w:firstLine="567"/>
        <w:jc w:val="both"/>
        <w:rPr>
          <w:rFonts w:ascii="Times New Roman" w:hAnsi="Times New Roman" w:cs="Times New Roman"/>
          <w:spacing w:val="-3"/>
        </w:rPr>
      </w:pPr>
      <w:r>
        <w:rPr>
          <w:rFonts w:ascii="Times New Roman" w:hAnsi="Times New Roman" w:cs="Times New Roman"/>
          <w:spacing w:val="-3"/>
        </w:rPr>
        <w:tab/>
      </w:r>
      <w:r w:rsidR="000F078E">
        <w:rPr>
          <w:rFonts w:ascii="Times New Roman" w:hAnsi="Times New Roman" w:cs="Times New Roman"/>
          <w:spacing w:val="-3"/>
        </w:rPr>
        <w:t xml:space="preserve">Our paper provides valuable micro-level evidence on the effects of tariffs on UK manufacturing industries in the interwar period. We find that manufacturing industries who were protected by the General Tariff benefited in the 1930s relative to </w:t>
      </w:r>
      <w:r w:rsidR="00767645">
        <w:rPr>
          <w:rFonts w:ascii="Times New Roman" w:hAnsi="Times New Roman" w:cs="Times New Roman"/>
          <w:spacing w:val="-3"/>
        </w:rPr>
        <w:t>non</w:t>
      </w:r>
      <w:r w:rsidR="000F078E">
        <w:rPr>
          <w:rFonts w:ascii="Times New Roman" w:hAnsi="Times New Roman" w:cs="Times New Roman"/>
          <w:spacing w:val="-3"/>
        </w:rPr>
        <w:t>-</w:t>
      </w:r>
      <w:r w:rsidR="00767645">
        <w:rPr>
          <w:rFonts w:ascii="Times New Roman" w:hAnsi="Times New Roman" w:cs="Times New Roman"/>
          <w:spacing w:val="-3"/>
        </w:rPr>
        <w:t xml:space="preserve">newly </w:t>
      </w:r>
      <w:r w:rsidR="000F078E">
        <w:rPr>
          <w:rFonts w:ascii="Times New Roman" w:hAnsi="Times New Roman" w:cs="Times New Roman"/>
          <w:spacing w:val="-3"/>
        </w:rPr>
        <w:t xml:space="preserve">protected industries. Our results complement recent work by De Bromhead </w:t>
      </w:r>
      <w:r w:rsidR="000F078E">
        <w:rPr>
          <w:rFonts w:ascii="Times New Roman" w:hAnsi="Times New Roman" w:cs="Times New Roman"/>
          <w:i/>
          <w:spacing w:val="-3"/>
        </w:rPr>
        <w:t>et al</w:t>
      </w:r>
      <w:r w:rsidR="000F078E">
        <w:rPr>
          <w:rFonts w:ascii="Times New Roman" w:hAnsi="Times New Roman" w:cs="Times New Roman"/>
          <w:spacing w:val="-3"/>
        </w:rPr>
        <w:t>. (2017), who find that UK tariffs led to reduced multilateral trade in the 1930s, with a shift towards Imperial imports.</w:t>
      </w:r>
      <w:r w:rsidR="001A1E29">
        <w:rPr>
          <w:rFonts w:ascii="Times New Roman" w:hAnsi="Times New Roman" w:cs="Times New Roman"/>
          <w:spacing w:val="-3"/>
        </w:rPr>
        <w:t xml:space="preserve"> </w:t>
      </w:r>
    </w:p>
    <w:p w:rsidR="004F399F" w:rsidRDefault="003C782D" w:rsidP="00B9694E">
      <w:pPr>
        <w:spacing w:after="0" w:line="360" w:lineRule="auto"/>
        <w:ind w:firstLine="567"/>
        <w:jc w:val="both"/>
        <w:rPr>
          <w:rFonts w:ascii="Times New Roman" w:hAnsi="Times New Roman" w:cs="Times New Roman"/>
          <w:spacing w:val="-3"/>
        </w:rPr>
      </w:pPr>
      <w:r>
        <w:rPr>
          <w:rFonts w:ascii="Times New Roman" w:hAnsi="Times New Roman" w:cs="Times New Roman"/>
          <w:spacing w:val="-3"/>
        </w:rPr>
        <w:t>Although our micro-level evidence is focused on partial equilibrium tariff effects for UK manufacturing industries and does not provide direct evidence regarding the macroeconomic effects of the tariff, o</w:t>
      </w:r>
      <w:r w:rsidR="003F2397">
        <w:rPr>
          <w:rFonts w:ascii="Times New Roman" w:hAnsi="Times New Roman" w:cs="Times New Roman"/>
          <w:spacing w:val="-3"/>
        </w:rPr>
        <w:t xml:space="preserve">ur </w:t>
      </w:r>
      <w:r w:rsidR="00A37D2B">
        <w:rPr>
          <w:rFonts w:ascii="Times New Roman" w:hAnsi="Times New Roman" w:cs="Times New Roman"/>
          <w:spacing w:val="-3"/>
        </w:rPr>
        <w:t xml:space="preserve">work is related to </w:t>
      </w:r>
      <w:r>
        <w:rPr>
          <w:rFonts w:ascii="Times New Roman" w:hAnsi="Times New Roman" w:cs="Times New Roman"/>
          <w:spacing w:val="-3"/>
        </w:rPr>
        <w:t>the</w:t>
      </w:r>
      <w:r w:rsidR="00A37D2B">
        <w:rPr>
          <w:rFonts w:ascii="Times New Roman" w:hAnsi="Times New Roman" w:cs="Times New Roman"/>
          <w:spacing w:val="-3"/>
        </w:rPr>
        <w:t xml:space="preserve"> broader literature studying the relationship between tariffs and growth from a macroeconomic perspective</w:t>
      </w:r>
      <w:r>
        <w:rPr>
          <w:rFonts w:ascii="Times New Roman" w:hAnsi="Times New Roman" w:cs="Times New Roman"/>
          <w:spacing w:val="-3"/>
        </w:rPr>
        <w:t xml:space="preserve"> where diametrically opposing views on the effectiveness of trade policies are common—from both a theoretical and empirical standpoint</w:t>
      </w:r>
      <w:r w:rsidR="00A37D2B">
        <w:rPr>
          <w:rFonts w:ascii="Times New Roman" w:hAnsi="Times New Roman" w:cs="Times New Roman"/>
          <w:spacing w:val="-3"/>
        </w:rPr>
        <w:t>.</w:t>
      </w:r>
      <w:r w:rsidR="00767645">
        <w:rPr>
          <w:rStyle w:val="FootnoteReference"/>
          <w:rFonts w:ascii="Times New Roman" w:hAnsi="Times New Roman" w:cs="Times New Roman"/>
          <w:spacing w:val="-3"/>
        </w:rPr>
        <w:footnoteReference w:id="4"/>
      </w:r>
      <w:r w:rsidR="00A37D2B">
        <w:rPr>
          <w:rFonts w:ascii="Times New Roman" w:hAnsi="Times New Roman" w:cs="Times New Roman"/>
          <w:spacing w:val="-3"/>
        </w:rPr>
        <w:t xml:space="preserve"> </w:t>
      </w:r>
      <w:r>
        <w:rPr>
          <w:rFonts w:ascii="Times New Roman" w:hAnsi="Times New Roman" w:cs="Times New Roman"/>
          <w:spacing w:val="-3"/>
        </w:rPr>
        <w:t>Economic theory is ambiguous about the relationship between trade policy and growth. On the one hand, tariffs can harm growth by increasing import prices</w:t>
      </w:r>
      <w:r w:rsidR="004F399F">
        <w:rPr>
          <w:rFonts w:ascii="Times New Roman" w:hAnsi="Times New Roman" w:cs="Times New Roman"/>
          <w:spacing w:val="-3"/>
        </w:rPr>
        <w:t>, curtailing competition</w:t>
      </w:r>
      <w:r>
        <w:rPr>
          <w:rFonts w:ascii="Times New Roman" w:hAnsi="Times New Roman" w:cs="Times New Roman"/>
          <w:spacing w:val="-3"/>
        </w:rPr>
        <w:t xml:space="preserve"> and preventing the exploitation of comparative advantage. On the other hand, temporary tariff protection can potentially benefit infant industries (Williamson, 1990) and boost growth by aiding the discovery of dynamic comparative advantages</w:t>
      </w:r>
      <w:r w:rsidR="004F399F">
        <w:rPr>
          <w:rFonts w:ascii="Times New Roman" w:hAnsi="Times New Roman" w:cs="Times New Roman"/>
          <w:spacing w:val="-3"/>
        </w:rPr>
        <w:t xml:space="preserve"> (Rodríguez and Rodrik, 2000).</w:t>
      </w:r>
    </w:p>
    <w:p w:rsidR="007568A0" w:rsidRDefault="004F399F" w:rsidP="004F399F">
      <w:pPr>
        <w:spacing w:after="0" w:line="360" w:lineRule="auto"/>
        <w:ind w:firstLine="720"/>
        <w:jc w:val="both"/>
        <w:rPr>
          <w:rFonts w:ascii="Times New Roman" w:hAnsi="Times New Roman" w:cs="Times New Roman"/>
          <w:spacing w:val="-3"/>
        </w:rPr>
      </w:pPr>
      <w:r>
        <w:rPr>
          <w:rFonts w:ascii="Times New Roman" w:hAnsi="Times New Roman" w:cs="Times New Roman"/>
          <w:spacing w:val="-3"/>
        </w:rPr>
        <w:t xml:space="preserve">Similar divergence exists in the conclusions of empirical research. </w:t>
      </w:r>
      <w:r w:rsidR="00EC1F3E">
        <w:rPr>
          <w:rFonts w:ascii="Times New Roman" w:hAnsi="Times New Roman" w:cs="Times New Roman"/>
          <w:spacing w:val="-3"/>
        </w:rPr>
        <w:t>For example, O’Rourke (2000) finds a significantly positive correlation between tariffs and growth in the late-19</w:t>
      </w:r>
      <w:r w:rsidR="00EC1F3E" w:rsidRPr="00EC1F3E">
        <w:rPr>
          <w:rFonts w:ascii="Times New Roman" w:hAnsi="Times New Roman" w:cs="Times New Roman"/>
          <w:spacing w:val="-3"/>
          <w:vertAlign w:val="superscript"/>
        </w:rPr>
        <w:t>th</w:t>
      </w:r>
      <w:r w:rsidR="00EC1F3E">
        <w:rPr>
          <w:rFonts w:ascii="Times New Roman" w:hAnsi="Times New Roman" w:cs="Times New Roman"/>
          <w:spacing w:val="-3"/>
        </w:rPr>
        <w:t xml:space="preserve"> century for a panel of ten countries.</w:t>
      </w:r>
      <w:r w:rsidR="003F2397">
        <w:rPr>
          <w:rFonts w:ascii="Times New Roman" w:hAnsi="Times New Roman" w:cs="Times New Roman"/>
          <w:spacing w:val="-3"/>
        </w:rPr>
        <w:t xml:space="preserve"> </w:t>
      </w:r>
      <w:r w:rsidR="00EC1F3E">
        <w:rPr>
          <w:rFonts w:ascii="Times New Roman" w:hAnsi="Times New Roman" w:cs="Times New Roman"/>
          <w:spacing w:val="-3"/>
        </w:rPr>
        <w:t>U</w:t>
      </w:r>
      <w:r w:rsidR="003F2397">
        <w:rPr>
          <w:rFonts w:ascii="Times New Roman" w:hAnsi="Times New Roman" w:cs="Times New Roman"/>
          <w:spacing w:val="-3"/>
        </w:rPr>
        <w:t>s</w:t>
      </w:r>
      <w:r w:rsidR="00EC1F3E">
        <w:rPr>
          <w:rFonts w:ascii="Times New Roman" w:hAnsi="Times New Roman" w:cs="Times New Roman"/>
          <w:spacing w:val="-3"/>
        </w:rPr>
        <w:t>ing</w:t>
      </w:r>
      <w:r w:rsidR="003F2397">
        <w:rPr>
          <w:rFonts w:ascii="Times New Roman" w:hAnsi="Times New Roman" w:cs="Times New Roman"/>
          <w:spacing w:val="-3"/>
        </w:rPr>
        <w:t xml:space="preserve"> data </w:t>
      </w:r>
      <w:r w:rsidR="00EC1F3E">
        <w:rPr>
          <w:rFonts w:ascii="Times New Roman" w:hAnsi="Times New Roman" w:cs="Times New Roman"/>
          <w:spacing w:val="-3"/>
        </w:rPr>
        <w:t xml:space="preserve">for </w:t>
      </w:r>
      <w:r w:rsidR="003F2397">
        <w:rPr>
          <w:rFonts w:ascii="Times New Roman" w:hAnsi="Times New Roman" w:cs="Times New Roman"/>
          <w:spacing w:val="-3"/>
        </w:rPr>
        <w:t>22 countries over the period 1920-40</w:t>
      </w:r>
      <w:r w:rsidR="00EC1F3E">
        <w:rPr>
          <w:rFonts w:ascii="Times New Roman" w:hAnsi="Times New Roman" w:cs="Times New Roman"/>
          <w:spacing w:val="-3"/>
        </w:rPr>
        <w:t>, Vamvakidis (2002) concludes</w:t>
      </w:r>
      <w:r w:rsidR="003F2397">
        <w:rPr>
          <w:rFonts w:ascii="Times New Roman" w:hAnsi="Times New Roman" w:cs="Times New Roman"/>
          <w:spacing w:val="-3"/>
        </w:rPr>
        <w:t xml:space="preserve"> that, controlling for other determinants of economic growth, tariffs provided a positive and statistically significant growth effect. Clemens and Williamson (2004) studied the interwar period within the context of the “tariff-growth paradox”. They found that in the pre-1914 period, tariffs were positively related to economic growth, in contrast to the post-WWII period where much of the evidence points to a negative relationship. The interwar period is then viewed as a transition period between the two regimes. Using a panel study of 35 countries over the period 1919-38, they find there is no evidence of a statistically significant negative relationship. Focusing specifically on the 1930s, they find that </w:t>
      </w:r>
      <w:r w:rsidR="009B36AE">
        <w:rPr>
          <w:rFonts w:ascii="Times New Roman" w:hAnsi="Times New Roman" w:cs="Times New Roman"/>
          <w:spacing w:val="-3"/>
        </w:rPr>
        <w:t xml:space="preserve">the </w:t>
      </w:r>
      <w:r w:rsidR="003F2397">
        <w:rPr>
          <w:rFonts w:ascii="Times New Roman" w:hAnsi="Times New Roman" w:cs="Times New Roman"/>
          <w:spacing w:val="-3"/>
        </w:rPr>
        <w:t xml:space="preserve">four </w:t>
      </w:r>
      <w:r w:rsidR="009B36AE">
        <w:rPr>
          <w:rFonts w:ascii="Times New Roman" w:hAnsi="Times New Roman" w:cs="Times New Roman"/>
          <w:spacing w:val="-3"/>
        </w:rPr>
        <w:t xml:space="preserve">core </w:t>
      </w:r>
      <w:r w:rsidR="003F2397">
        <w:rPr>
          <w:rFonts w:ascii="Times New Roman" w:hAnsi="Times New Roman" w:cs="Times New Roman"/>
          <w:spacing w:val="-3"/>
        </w:rPr>
        <w:t>economies—Britain, France, Germany and the USA—benefited from significant positive tariff effects during the cyclical recovery period after 1932. In contrast, using a panel data set of 16 OECD countries, Madsen (2009) tests the relationship between trade openness (using tariff rates as a proxy variable) and economic growth, reporting a significant negative effect from tariffs on economic growth in the interwar period. The differing results suggest the presence of significant heterogeneity across countries</w:t>
      </w:r>
      <w:r w:rsidR="00EC1F3E">
        <w:rPr>
          <w:rFonts w:ascii="Times New Roman" w:hAnsi="Times New Roman" w:cs="Times New Roman"/>
          <w:spacing w:val="-3"/>
        </w:rPr>
        <w:t xml:space="preserve"> and over time</w:t>
      </w:r>
      <w:r w:rsidR="003F2397">
        <w:rPr>
          <w:rFonts w:ascii="Times New Roman" w:hAnsi="Times New Roman" w:cs="Times New Roman"/>
          <w:spacing w:val="-3"/>
        </w:rPr>
        <w:t>. We seek to add value to this debate by clarifying the evidence at the national level</w:t>
      </w:r>
      <w:r w:rsidR="001A1E29">
        <w:rPr>
          <w:rFonts w:ascii="Times New Roman" w:hAnsi="Times New Roman" w:cs="Times New Roman"/>
          <w:spacing w:val="-3"/>
        </w:rPr>
        <w:t xml:space="preserve"> using micro-level data</w:t>
      </w:r>
      <w:r w:rsidR="003F2397">
        <w:rPr>
          <w:rFonts w:ascii="Times New Roman" w:hAnsi="Times New Roman" w:cs="Times New Roman"/>
          <w:spacing w:val="-3"/>
        </w:rPr>
        <w:t xml:space="preserve"> </w:t>
      </w:r>
      <w:r w:rsidR="001A1E29">
        <w:rPr>
          <w:rFonts w:ascii="Times New Roman" w:hAnsi="Times New Roman" w:cs="Times New Roman"/>
          <w:spacing w:val="-3"/>
        </w:rPr>
        <w:t>for UK manufacturing industries</w:t>
      </w:r>
      <w:r w:rsidR="00EC1F3E">
        <w:rPr>
          <w:rFonts w:ascii="Times New Roman" w:hAnsi="Times New Roman" w:cs="Times New Roman"/>
          <w:spacing w:val="-3"/>
        </w:rPr>
        <w:t xml:space="preserve"> during the interwar period</w:t>
      </w:r>
      <w:r w:rsidR="000F078E">
        <w:rPr>
          <w:rFonts w:ascii="Times New Roman" w:hAnsi="Times New Roman" w:cs="Times New Roman"/>
          <w:spacing w:val="-3"/>
        </w:rPr>
        <w:t>.</w:t>
      </w:r>
    </w:p>
    <w:p w:rsidR="00C62335" w:rsidRDefault="00F478AC" w:rsidP="00B9694E">
      <w:pPr>
        <w:spacing w:after="0" w:line="360" w:lineRule="auto"/>
        <w:ind w:firstLine="567"/>
        <w:jc w:val="both"/>
        <w:rPr>
          <w:rFonts w:ascii="Times New Roman" w:hAnsi="Times New Roman" w:cs="Times New Roman"/>
          <w:iCs/>
        </w:rPr>
      </w:pPr>
      <w:r>
        <w:rPr>
          <w:rFonts w:ascii="Times New Roman" w:hAnsi="Times New Roman" w:cs="Times New Roman"/>
          <w:iCs/>
        </w:rPr>
        <w:tab/>
        <w:t>The remainder of the paper proceeds as follows. Section 2 describes our updated and extended industry-level classification of tariff rates in the 1930s. Section 3 presents the empirical strategy and results. Section 4 concludes.</w:t>
      </w:r>
    </w:p>
    <w:p w:rsidR="007D5E0C" w:rsidRPr="00C3416D" w:rsidRDefault="007D5E0C" w:rsidP="00B9694E">
      <w:pPr>
        <w:spacing w:after="0" w:line="360" w:lineRule="auto"/>
        <w:ind w:firstLine="567"/>
        <w:jc w:val="both"/>
        <w:rPr>
          <w:rFonts w:ascii="Times New Roman" w:hAnsi="Times New Roman" w:cs="Times New Roman"/>
        </w:rPr>
      </w:pPr>
    </w:p>
    <w:p w:rsidR="00B9694E" w:rsidRDefault="00B9694E">
      <w:pPr>
        <w:rPr>
          <w:rFonts w:ascii="Times New Roman" w:hAnsi="Times New Roman" w:cs="Times New Roman"/>
          <w:b/>
        </w:rPr>
      </w:pPr>
      <w:r>
        <w:rPr>
          <w:rFonts w:ascii="Times New Roman" w:hAnsi="Times New Roman" w:cs="Times New Roman"/>
          <w:b/>
        </w:rPr>
        <w:br w:type="page"/>
      </w:r>
    </w:p>
    <w:p w:rsidR="00C62335" w:rsidRPr="00C3416D" w:rsidRDefault="00C62335" w:rsidP="00B9694E">
      <w:pPr>
        <w:spacing w:after="0" w:line="360" w:lineRule="auto"/>
        <w:jc w:val="both"/>
        <w:rPr>
          <w:rFonts w:ascii="Times New Roman" w:hAnsi="Times New Roman" w:cs="Times New Roman"/>
          <w:b/>
        </w:rPr>
      </w:pPr>
      <w:r w:rsidRPr="00C3416D">
        <w:rPr>
          <w:rFonts w:ascii="Times New Roman" w:hAnsi="Times New Roman" w:cs="Times New Roman"/>
          <w:b/>
        </w:rPr>
        <w:t>2</w:t>
      </w:r>
      <w:r w:rsidRPr="00C3416D">
        <w:rPr>
          <w:rFonts w:ascii="Times New Roman" w:hAnsi="Times New Roman" w:cs="Times New Roman"/>
          <w:b/>
        </w:rPr>
        <w:tab/>
        <w:t>Industry Tariff Classification</w:t>
      </w:r>
    </w:p>
    <w:p w:rsidR="00C62335" w:rsidRDefault="00C62335" w:rsidP="00B9694E">
      <w:pPr>
        <w:spacing w:after="0" w:line="360" w:lineRule="auto"/>
        <w:ind w:firstLine="567"/>
        <w:jc w:val="both"/>
        <w:rPr>
          <w:rFonts w:ascii="Times New Roman" w:hAnsi="Times New Roman" w:cs="Times New Roman"/>
          <w:spacing w:val="-3"/>
        </w:rPr>
      </w:pPr>
      <w:r>
        <w:rPr>
          <w:rFonts w:ascii="Times New Roman" w:hAnsi="Times New Roman" w:cs="Times New Roman"/>
          <w:spacing w:val="-3"/>
        </w:rPr>
        <w:t xml:space="preserve">The General Tariff imposed a </w:t>
      </w:r>
      <w:r w:rsidRPr="00C3416D">
        <w:rPr>
          <w:rFonts w:ascii="Times New Roman" w:hAnsi="Times New Roman" w:cs="Times New Roman"/>
          <w:spacing w:val="-3"/>
        </w:rPr>
        <w:t xml:space="preserve">10 percent </w:t>
      </w:r>
      <w:r w:rsidRPr="00C3416D">
        <w:rPr>
          <w:rFonts w:ascii="Times New Roman" w:hAnsi="Times New Roman" w:cs="Times New Roman"/>
          <w:i/>
          <w:spacing w:val="-3"/>
        </w:rPr>
        <w:t xml:space="preserve">ad valorem </w:t>
      </w:r>
      <w:r w:rsidRPr="00C3416D">
        <w:rPr>
          <w:rFonts w:ascii="Times New Roman" w:hAnsi="Times New Roman" w:cs="Times New Roman"/>
          <w:spacing w:val="-3"/>
        </w:rPr>
        <w:t>tariff rate</w:t>
      </w:r>
      <w:r w:rsidRPr="00C3416D">
        <w:rPr>
          <w:rFonts w:ascii="Times New Roman" w:hAnsi="Times New Roman" w:cs="Times New Roman"/>
          <w:i/>
          <w:spacing w:val="-3"/>
        </w:rPr>
        <w:t xml:space="preserve"> </w:t>
      </w:r>
      <w:r w:rsidRPr="00C3416D">
        <w:rPr>
          <w:rFonts w:ascii="Times New Roman" w:hAnsi="Times New Roman" w:cs="Times New Roman"/>
          <w:spacing w:val="-3"/>
        </w:rPr>
        <w:t xml:space="preserve">for British industries, although some industries were exempt (such as some food products and paper) and a number of industries were already protected in the 1920s. The legislation also established the Import Duties Advisory Committee (IDAC) with the powers of recommending </w:t>
      </w:r>
      <w:r w:rsidRPr="00C3416D">
        <w:rPr>
          <w:rFonts w:ascii="Times New Roman" w:hAnsi="Times New Roman" w:cs="Times New Roman"/>
          <w:i/>
          <w:spacing w:val="-3"/>
        </w:rPr>
        <w:t>additional duties</w:t>
      </w:r>
      <w:r w:rsidRPr="00C3416D">
        <w:rPr>
          <w:rFonts w:ascii="Times New Roman" w:hAnsi="Times New Roman" w:cs="Times New Roman"/>
          <w:spacing w:val="-3"/>
        </w:rPr>
        <w:t xml:space="preserve"> for industries making a case in the national interest. This meant that the average tariff rate gradually moved towards the 20 percent level</w:t>
      </w:r>
      <w:r>
        <w:rPr>
          <w:rFonts w:ascii="Times New Roman" w:hAnsi="Times New Roman" w:cs="Times New Roman"/>
          <w:spacing w:val="-3"/>
        </w:rPr>
        <w:t>.</w:t>
      </w:r>
      <w:r>
        <w:rPr>
          <w:rStyle w:val="FootnoteReference"/>
          <w:rFonts w:ascii="Times New Roman" w:hAnsi="Times New Roman" w:cs="Times New Roman"/>
          <w:spacing w:val="-3"/>
        </w:rPr>
        <w:footnoteReference w:id="5"/>
      </w:r>
    </w:p>
    <w:p w:rsidR="00C62335" w:rsidRPr="00C3416D" w:rsidRDefault="00C62335" w:rsidP="00B9694E">
      <w:pPr>
        <w:spacing w:after="0" w:line="360" w:lineRule="auto"/>
        <w:ind w:firstLine="567"/>
        <w:jc w:val="both"/>
        <w:rPr>
          <w:rFonts w:ascii="Times New Roman" w:hAnsi="Times New Roman" w:cs="Times New Roman"/>
        </w:rPr>
      </w:pPr>
      <w:r w:rsidRPr="00C3416D">
        <w:rPr>
          <w:rFonts w:ascii="Times New Roman" w:hAnsi="Times New Roman" w:cs="Times New Roman"/>
        </w:rPr>
        <w:t xml:space="preserve">The General Tariff set out to protect most industries that were not already protected by earlier legislation. These formed the bulk of UK industries, including most textiles, clothing, iron and steel, the engineering trades and non-ferrous metals.  Appendix </w:t>
      </w:r>
      <w:r>
        <w:rPr>
          <w:rFonts w:ascii="Times New Roman" w:hAnsi="Times New Roman" w:cs="Times New Roman"/>
        </w:rPr>
        <w:t xml:space="preserve">A </w:t>
      </w:r>
      <w:r w:rsidRPr="00C3416D">
        <w:rPr>
          <w:rFonts w:ascii="Times New Roman" w:hAnsi="Times New Roman" w:cs="Times New Roman"/>
        </w:rPr>
        <w:t>shows that the early protected sector</w:t>
      </w:r>
      <w:r>
        <w:rPr>
          <w:rFonts w:ascii="Times New Roman" w:hAnsi="Times New Roman" w:cs="Times New Roman"/>
        </w:rPr>
        <w:t xml:space="preserve">s were </w:t>
      </w:r>
      <w:r w:rsidRPr="00C3416D">
        <w:rPr>
          <w:rFonts w:ascii="Times New Roman" w:hAnsi="Times New Roman" w:cs="Times New Roman"/>
        </w:rPr>
        <w:t xml:space="preserve">mainly covered by the McKenna Duties (1915) and the </w:t>
      </w:r>
      <w:r w:rsidRPr="00C3416D">
        <w:rPr>
          <w:rFonts w:ascii="Times New Roman" w:hAnsi="Times New Roman" w:cs="Times New Roman"/>
          <w:bCs/>
        </w:rPr>
        <w:t xml:space="preserve">Safeguarding of Industries Act </w:t>
      </w:r>
      <w:r w:rsidRPr="00C3416D">
        <w:rPr>
          <w:rFonts w:ascii="Times New Roman" w:hAnsi="Times New Roman" w:cs="Times New Roman"/>
        </w:rPr>
        <w:t xml:space="preserve">(1921). Most </w:t>
      </w:r>
      <w:r>
        <w:rPr>
          <w:rFonts w:ascii="Times New Roman" w:hAnsi="Times New Roman" w:cs="Times New Roman"/>
        </w:rPr>
        <w:t xml:space="preserve">early </w:t>
      </w:r>
      <w:r w:rsidRPr="00C3416D">
        <w:rPr>
          <w:rFonts w:ascii="Times New Roman" w:hAnsi="Times New Roman" w:cs="Times New Roman"/>
        </w:rPr>
        <w:t>protected industries were new industries</w:t>
      </w:r>
      <w:r>
        <w:rPr>
          <w:rFonts w:ascii="Times New Roman" w:hAnsi="Times New Roman" w:cs="Times New Roman"/>
        </w:rPr>
        <w:t>,</w:t>
      </w:r>
      <w:r w:rsidRPr="00C3416D">
        <w:rPr>
          <w:rFonts w:ascii="Times New Roman" w:hAnsi="Times New Roman" w:cs="Times New Roman"/>
        </w:rPr>
        <w:t xml:space="preserve"> such as motor</w:t>
      </w:r>
      <w:r>
        <w:rPr>
          <w:rFonts w:ascii="Times New Roman" w:hAnsi="Times New Roman" w:cs="Times New Roman"/>
        </w:rPr>
        <w:t>,</w:t>
      </w:r>
      <w:r w:rsidRPr="00C3416D">
        <w:rPr>
          <w:rFonts w:ascii="Times New Roman" w:hAnsi="Times New Roman" w:cs="Times New Roman"/>
        </w:rPr>
        <w:t xml:space="preserve"> cycle and chemicals</w:t>
      </w:r>
      <w:r>
        <w:rPr>
          <w:rFonts w:ascii="Times New Roman" w:hAnsi="Times New Roman" w:cs="Times New Roman"/>
        </w:rPr>
        <w:t>,</w:t>
      </w:r>
      <w:r w:rsidRPr="00C3416D">
        <w:rPr>
          <w:rFonts w:ascii="Times New Roman" w:hAnsi="Times New Roman" w:cs="Times New Roman"/>
        </w:rPr>
        <w:t xml:space="preserve"> and formed a relatively small share of the industrial sector as a whole. However, the early protected industries were not all new industries. For example, the Silk Duties (1925) were imposed on silk and artificial silk for revenue purposes and a customs duty was imposed on Hydrocarbon oils (1928).</w:t>
      </w:r>
    </w:p>
    <w:p w:rsidR="004B452B" w:rsidRDefault="00C62335" w:rsidP="004B452B">
      <w:pPr>
        <w:spacing w:after="0" w:line="360" w:lineRule="auto"/>
        <w:ind w:firstLine="567"/>
        <w:jc w:val="both"/>
        <w:rPr>
          <w:rFonts w:ascii="Times New Roman" w:hAnsi="Times New Roman" w:cs="Times New Roman"/>
        </w:rPr>
      </w:pPr>
      <w:r w:rsidRPr="00C3416D">
        <w:rPr>
          <w:rFonts w:ascii="Times New Roman" w:hAnsi="Times New Roman" w:cs="Times New Roman"/>
        </w:rPr>
        <w:t>Leak (1937) sho</w:t>
      </w:r>
      <w:r>
        <w:rPr>
          <w:rFonts w:ascii="Times New Roman" w:hAnsi="Times New Roman" w:cs="Times New Roman"/>
        </w:rPr>
        <w:t>ws that by 1934 only 28.1 per</w:t>
      </w:r>
      <w:r w:rsidRPr="00C3416D">
        <w:rPr>
          <w:rFonts w:ascii="Times New Roman" w:hAnsi="Times New Roman" w:cs="Times New Roman"/>
        </w:rPr>
        <w:t>cent of imp</w:t>
      </w:r>
      <w:r>
        <w:rPr>
          <w:rFonts w:ascii="Times New Roman" w:hAnsi="Times New Roman" w:cs="Times New Roman"/>
        </w:rPr>
        <w:t>orts were subject to the 10 per</w:t>
      </w:r>
      <w:r w:rsidRPr="00C3416D">
        <w:rPr>
          <w:rFonts w:ascii="Times New Roman" w:hAnsi="Times New Roman" w:cs="Times New Roman"/>
        </w:rPr>
        <w:t>cent tariff rate; most industries were given additional duties, w</w:t>
      </w:r>
      <w:r>
        <w:rPr>
          <w:rFonts w:ascii="Times New Roman" w:hAnsi="Times New Roman" w:cs="Times New Roman"/>
        </w:rPr>
        <w:t>ith the modal duty being 20 per</w:t>
      </w:r>
      <w:r w:rsidRPr="00C3416D">
        <w:rPr>
          <w:rFonts w:ascii="Times New Roman" w:hAnsi="Times New Roman" w:cs="Times New Roman"/>
        </w:rPr>
        <w:t>cent. Hence, the IDAC played a key role in determining UK trade policy in the 1930s. The Committee’s terms of reference were to balance national interest with that of the interests of consumers and producers. The Committee saw its aim as implementing a “scientific tariff” to achieve this bal</w:t>
      </w:r>
      <w:r>
        <w:rPr>
          <w:rFonts w:ascii="Times New Roman" w:hAnsi="Times New Roman" w:cs="Times New Roman"/>
        </w:rPr>
        <w:t>a</w:t>
      </w:r>
      <w:r w:rsidRPr="00C3416D">
        <w:rPr>
          <w:rFonts w:ascii="Times New Roman" w:hAnsi="Times New Roman" w:cs="Times New Roman"/>
        </w:rPr>
        <w:t>nce. In a study of the decision making process of the IDAC</w:t>
      </w:r>
      <w:r>
        <w:rPr>
          <w:rFonts w:ascii="Times New Roman" w:hAnsi="Times New Roman" w:cs="Times New Roman"/>
        </w:rPr>
        <w:t>,</w:t>
      </w:r>
      <w:r w:rsidRPr="00C3416D">
        <w:rPr>
          <w:rFonts w:ascii="Times New Roman" w:hAnsi="Times New Roman" w:cs="Times New Roman"/>
        </w:rPr>
        <w:t xml:space="preserve"> Mitchell (</w:t>
      </w:r>
      <w:r w:rsidR="00EF03C9">
        <w:rPr>
          <w:rFonts w:ascii="Times New Roman" w:hAnsi="Times New Roman" w:cs="Times New Roman"/>
        </w:rPr>
        <w:t>2005</w:t>
      </w:r>
      <w:r w:rsidRPr="00C3416D">
        <w:rPr>
          <w:rFonts w:ascii="Times New Roman" w:hAnsi="Times New Roman" w:cs="Times New Roman"/>
        </w:rPr>
        <w:t xml:space="preserve">) shows that in proposing additional tariffs the IDAC considered a range of factors, including the level of import penetration, the level of efficiency in the industry, infant industry aspects, anti-dumping responses, employment effects and regional location. </w:t>
      </w:r>
      <w:r w:rsidR="004B452B">
        <w:rPr>
          <w:rFonts w:ascii="Times New Roman" w:hAnsi="Times New Roman" w:cs="Times New Roman"/>
        </w:rPr>
        <w:t>Importantly for our identification, Mitchell (</w:t>
      </w:r>
      <w:r w:rsidR="00EF03C9">
        <w:rPr>
          <w:rFonts w:ascii="Times New Roman" w:hAnsi="Times New Roman" w:cs="Times New Roman"/>
        </w:rPr>
        <w:t>2005</w:t>
      </w:r>
      <w:r w:rsidR="004B452B">
        <w:rPr>
          <w:rFonts w:ascii="Times New Roman" w:hAnsi="Times New Roman" w:cs="Times New Roman"/>
        </w:rPr>
        <w:t>) concludes that business had a limited ability to influence the setting of additional tariffs via the IDAC. In part, this was because business lobbies were poorly organised and unable to put forward a coherent case before the Committee.</w:t>
      </w:r>
      <w:r w:rsidR="004B452B">
        <w:rPr>
          <w:rStyle w:val="FootnoteReference"/>
          <w:rFonts w:ascii="Times New Roman" w:hAnsi="Times New Roman" w:cs="Times New Roman"/>
        </w:rPr>
        <w:footnoteReference w:id="6"/>
      </w:r>
      <w:r w:rsidR="004B452B">
        <w:rPr>
          <w:rFonts w:ascii="Times New Roman" w:hAnsi="Times New Roman" w:cs="Times New Roman"/>
        </w:rPr>
        <w:t xml:space="preserve"> </w:t>
      </w:r>
      <w:r w:rsidR="00823C52">
        <w:rPr>
          <w:rFonts w:ascii="Times New Roman" w:hAnsi="Times New Roman" w:cs="Times New Roman"/>
        </w:rPr>
        <w:t>In addition, Mitchell (</w:t>
      </w:r>
      <w:r w:rsidR="00EF03C9">
        <w:rPr>
          <w:rFonts w:ascii="Times New Roman" w:hAnsi="Times New Roman" w:cs="Times New Roman"/>
        </w:rPr>
        <w:t>2005</w:t>
      </w:r>
      <w:r w:rsidR="00823C52">
        <w:rPr>
          <w:rFonts w:ascii="Times New Roman" w:hAnsi="Times New Roman" w:cs="Times New Roman"/>
        </w:rPr>
        <w:t xml:space="preserve">) notes that the IDAC worked to strict guidelines for the eligibility for additional tariffs. If the Committee were not convinced the criteria for additional tariffs were met, businesses could do little to convince them otherwise, and “the Committee rebuffed persistent claims” (Mitchell, </w:t>
      </w:r>
      <w:r w:rsidR="00EF03C9">
        <w:rPr>
          <w:rFonts w:ascii="Times New Roman" w:hAnsi="Times New Roman" w:cs="Times New Roman"/>
        </w:rPr>
        <w:t>2005</w:t>
      </w:r>
      <w:r w:rsidR="00823C52">
        <w:rPr>
          <w:rFonts w:ascii="Times New Roman" w:hAnsi="Times New Roman" w:cs="Times New Roman"/>
        </w:rPr>
        <w:t xml:space="preserve">, p. 36). Reflecting this, there was no clear relationship between industry concentration and tariff protection (Capie, 1983). Industries with the most market power were not necessarily able to attain the highest rents associated with additional tariffs. </w:t>
      </w:r>
      <w:r w:rsidRPr="00C3416D">
        <w:rPr>
          <w:rFonts w:ascii="Times New Roman" w:hAnsi="Times New Roman" w:cs="Times New Roman"/>
        </w:rPr>
        <w:t xml:space="preserve"> </w:t>
      </w:r>
    </w:p>
    <w:p w:rsidR="00C62335" w:rsidRDefault="00C62335" w:rsidP="00B9694E">
      <w:pPr>
        <w:spacing w:after="0" w:line="360" w:lineRule="auto"/>
        <w:ind w:firstLine="567"/>
        <w:jc w:val="both"/>
        <w:rPr>
          <w:rFonts w:ascii="Times New Roman" w:hAnsi="Times New Roman" w:cs="Times New Roman"/>
        </w:rPr>
      </w:pPr>
      <w:r w:rsidRPr="00C3416D">
        <w:rPr>
          <w:rFonts w:ascii="Times New Roman" w:hAnsi="Times New Roman" w:cs="Times New Roman"/>
        </w:rPr>
        <w:t>Here</w:t>
      </w:r>
      <w:r>
        <w:rPr>
          <w:rFonts w:ascii="Times New Roman" w:hAnsi="Times New Roman" w:cs="Times New Roman"/>
        </w:rPr>
        <w:t>,</w:t>
      </w:r>
      <w:r w:rsidRPr="00C3416D">
        <w:rPr>
          <w:rFonts w:ascii="Times New Roman" w:hAnsi="Times New Roman" w:cs="Times New Roman"/>
        </w:rPr>
        <w:t xml:space="preserve"> we evaluate the </w:t>
      </w:r>
      <w:r>
        <w:rPr>
          <w:rFonts w:ascii="Times New Roman" w:hAnsi="Times New Roman" w:cs="Times New Roman"/>
        </w:rPr>
        <w:t xml:space="preserve">broader </w:t>
      </w:r>
      <w:r w:rsidRPr="00C3416D">
        <w:rPr>
          <w:rFonts w:ascii="Times New Roman" w:hAnsi="Times New Roman" w:cs="Times New Roman"/>
        </w:rPr>
        <w:t xml:space="preserve">statistical evidence on the outcomes of these policies on industry output, productivity </w:t>
      </w:r>
      <w:r>
        <w:rPr>
          <w:rFonts w:ascii="Times New Roman" w:hAnsi="Times New Roman" w:cs="Times New Roman"/>
        </w:rPr>
        <w:t>and employment</w:t>
      </w:r>
      <w:r w:rsidRPr="00C3416D">
        <w:rPr>
          <w:rFonts w:ascii="Times New Roman" w:hAnsi="Times New Roman" w:cs="Times New Roman"/>
        </w:rPr>
        <w:t>.</w:t>
      </w:r>
      <w:r>
        <w:rPr>
          <w:rFonts w:ascii="Times New Roman" w:hAnsi="Times New Roman" w:cs="Times New Roman"/>
        </w:rPr>
        <w:t xml:space="preserve"> To do this, we use industry-level data from the 1924, 1930 and 1935 Censuses of Production, considering growth rates across two time periods (1924-30 and 1930-35).</w:t>
      </w:r>
      <w:r>
        <w:rPr>
          <w:rStyle w:val="FootnoteReference"/>
          <w:rFonts w:ascii="Times New Roman" w:hAnsi="Times New Roman" w:cs="Times New Roman"/>
        </w:rPr>
        <w:footnoteReference w:id="7"/>
      </w:r>
      <w:r>
        <w:rPr>
          <w:rFonts w:ascii="Times New Roman" w:hAnsi="Times New Roman" w:cs="Times New Roman"/>
        </w:rPr>
        <w:t xml:space="preserve">  We also use the data from the 1948 Census of Production to build a picture of the medium-term effects of the General tariff by comparing the 1924-30 and 1930-48 periods. We classify the industries into three groups based on the tariff protection they received. The control group of </w:t>
      </w:r>
      <w:r>
        <w:rPr>
          <w:rFonts w:ascii="Times New Roman" w:hAnsi="Times New Roman" w:cs="Times New Roman"/>
          <w:i/>
        </w:rPr>
        <w:t>non-newly protected</w:t>
      </w:r>
      <w:r>
        <w:rPr>
          <w:rFonts w:ascii="Times New Roman" w:hAnsi="Times New Roman" w:cs="Times New Roman"/>
        </w:rPr>
        <w:t xml:space="preserve"> industries is not exposed to the General Tariff in either time period. The second and third groups include </w:t>
      </w:r>
      <w:r>
        <w:rPr>
          <w:rFonts w:ascii="Times New Roman" w:hAnsi="Times New Roman" w:cs="Times New Roman"/>
          <w:i/>
        </w:rPr>
        <w:t>newly protected</w:t>
      </w:r>
      <w:r>
        <w:rPr>
          <w:rFonts w:ascii="Times New Roman" w:hAnsi="Times New Roman" w:cs="Times New Roman"/>
        </w:rPr>
        <w:t xml:space="preserve"> industries, subject to the treatment – the 1932 General Tariff – in the second time period, but not the first. The newly protected industries are divided into: (i) industries protected at the 10 percent </w:t>
      </w:r>
      <w:r>
        <w:rPr>
          <w:rFonts w:ascii="Times New Roman" w:hAnsi="Times New Roman" w:cs="Times New Roman"/>
          <w:i/>
        </w:rPr>
        <w:t>ad valorem</w:t>
      </w:r>
      <w:r>
        <w:rPr>
          <w:rFonts w:ascii="Times New Roman" w:hAnsi="Times New Roman" w:cs="Times New Roman"/>
        </w:rPr>
        <w:t xml:space="preserve"> rate; and (ii) industries with additional rates of protection in excess of 10 percent. To attain accurate estimates of the difference-in-difference coefficients, it is important that industries are correctly assigned to the ‘true’ treatment and control groups. Misspecification of these groups will create bias in the OLS estimates.</w:t>
      </w:r>
    </w:p>
    <w:p w:rsidR="00C62335" w:rsidRPr="00EA19CB" w:rsidRDefault="007D5E0C" w:rsidP="00B9694E">
      <w:pPr>
        <w:spacing w:after="0" w:line="360" w:lineRule="auto"/>
        <w:ind w:firstLine="567"/>
        <w:jc w:val="both"/>
        <w:rPr>
          <w:rFonts w:ascii="Times New Roman" w:hAnsi="Times New Roman" w:cs="Times New Roman"/>
        </w:rPr>
      </w:pPr>
      <w:r>
        <w:rPr>
          <w:rFonts w:ascii="Times New Roman" w:hAnsi="Times New Roman" w:cs="Times New Roman"/>
        </w:rPr>
        <w:t xml:space="preserve">There are </w:t>
      </w:r>
      <w:r w:rsidR="00C62335">
        <w:rPr>
          <w:rFonts w:ascii="Times New Roman" w:hAnsi="Times New Roman" w:cs="Times New Roman"/>
        </w:rPr>
        <w:t>three key refinements to our classification relative to Broadberry and Crafts (2011). First, by using all the data from the Censuses of Production, we have increased the number of industries in our sample by 19, from 90 in Broadberry and Crafts to 109 in this study. Secondly, Broadberry and Crafts have misclassified the tariff rates on a number of industries (including, for example, jute, bottling, seed crushing, leather tanning, leather goods, paper, fancy goods and building materials). Finally, the 0-10 percent classification group used by Broadberry and Crafts needs to be corrected to separate out the unprotected industries, which faced zero tariff protection (control), from industries protected at the 10 percent rate (treatment). The 0-10 percent group in Broadberry and Crafts includes 33 industries (out of their 90 industries), one third of which should be classified as non-newly protected, potentially creating a significant bias in the identification of treatment and control groups.</w:t>
      </w:r>
    </w:p>
    <w:p w:rsidR="00C62335" w:rsidRPr="00C3416D" w:rsidRDefault="00C62335" w:rsidP="00B9694E">
      <w:pPr>
        <w:spacing w:after="0" w:line="360" w:lineRule="auto"/>
        <w:jc w:val="both"/>
        <w:rPr>
          <w:rFonts w:ascii="Times New Roman" w:hAnsi="Times New Roman" w:cs="Times New Roman"/>
          <w:b/>
        </w:rPr>
      </w:pPr>
    </w:p>
    <w:p w:rsidR="00C62335" w:rsidRPr="00C3416D" w:rsidRDefault="00C62335" w:rsidP="00B9694E">
      <w:pPr>
        <w:spacing w:after="0" w:line="360" w:lineRule="auto"/>
        <w:jc w:val="both"/>
        <w:rPr>
          <w:rFonts w:ascii="Times New Roman" w:hAnsi="Times New Roman" w:cs="Times New Roman"/>
          <w:b/>
        </w:rPr>
      </w:pPr>
      <w:r w:rsidRPr="00C3416D">
        <w:rPr>
          <w:rFonts w:ascii="Times New Roman" w:hAnsi="Times New Roman" w:cs="Times New Roman"/>
          <w:b/>
        </w:rPr>
        <w:t xml:space="preserve">3 </w:t>
      </w:r>
      <w:r w:rsidRPr="00C3416D">
        <w:rPr>
          <w:rFonts w:ascii="Times New Roman" w:hAnsi="Times New Roman" w:cs="Times New Roman"/>
          <w:b/>
        </w:rPr>
        <w:tab/>
        <w:t>Empirical Results</w:t>
      </w:r>
    </w:p>
    <w:p w:rsidR="00C62335" w:rsidRPr="00C3416D" w:rsidRDefault="00C62335" w:rsidP="00B9694E">
      <w:pPr>
        <w:spacing w:after="0" w:line="360" w:lineRule="auto"/>
        <w:jc w:val="both"/>
        <w:rPr>
          <w:rFonts w:ascii="Times New Roman" w:hAnsi="Times New Roman" w:cs="Times New Roman"/>
        </w:rPr>
      </w:pPr>
      <w:r w:rsidRPr="00C3416D">
        <w:rPr>
          <w:rFonts w:ascii="Times New Roman" w:hAnsi="Times New Roman" w:cs="Times New Roman"/>
          <w:b/>
        </w:rPr>
        <w:t>3.1</w:t>
      </w:r>
      <w:r w:rsidRPr="00C3416D">
        <w:rPr>
          <w:rFonts w:ascii="Times New Roman" w:hAnsi="Times New Roman" w:cs="Times New Roman"/>
          <w:b/>
        </w:rPr>
        <w:tab/>
        <w:t>Two-Group Classification</w:t>
      </w:r>
    </w:p>
    <w:p w:rsidR="00C62335" w:rsidRPr="00B1247A" w:rsidRDefault="00C62335" w:rsidP="00B9694E">
      <w:pPr>
        <w:spacing w:after="0" w:line="360" w:lineRule="auto"/>
        <w:ind w:firstLine="567"/>
        <w:jc w:val="both"/>
        <w:rPr>
          <w:rFonts w:ascii="Times New Roman" w:hAnsi="Times New Roman" w:cs="Times New Roman"/>
        </w:rPr>
      </w:pPr>
      <w:r w:rsidRPr="00B1247A">
        <w:rPr>
          <w:rFonts w:ascii="Times New Roman" w:hAnsi="Times New Roman" w:cs="Times New Roman"/>
        </w:rPr>
        <w:t>We follow Broadberry and Crafts</w:t>
      </w:r>
      <w:r>
        <w:rPr>
          <w:rFonts w:ascii="Times New Roman" w:hAnsi="Times New Roman" w:cs="Times New Roman"/>
        </w:rPr>
        <w:t xml:space="preserve"> (2011)</w:t>
      </w:r>
      <w:r w:rsidRPr="00B1247A">
        <w:rPr>
          <w:rFonts w:ascii="Times New Roman" w:hAnsi="Times New Roman" w:cs="Times New Roman"/>
        </w:rPr>
        <w:t xml:space="preserve"> in using </w:t>
      </w:r>
      <w:r>
        <w:rPr>
          <w:rFonts w:ascii="Times New Roman" w:hAnsi="Times New Roman" w:cs="Times New Roman"/>
        </w:rPr>
        <w:t xml:space="preserve">the </w:t>
      </w:r>
      <w:r w:rsidRPr="00B1247A">
        <w:rPr>
          <w:rFonts w:ascii="Times New Roman" w:hAnsi="Times New Roman" w:cs="Times New Roman"/>
        </w:rPr>
        <w:t xml:space="preserve">difference-in-difference methodology to evaluate the effects of the General Tariff. We first estimate the impact of the 1932 General Tariff using a two-group classification of industries and data for two time periods (1924-30 and 1930-35). This represents an extension of the Kitson and Solomou (1990) methodology to a </w:t>
      </w:r>
      <w:r w:rsidR="007D5E0C" w:rsidRPr="00C3416D">
        <w:rPr>
          <w:rFonts w:ascii="Times New Roman" w:hAnsi="Times New Roman" w:cs="Times New Roman"/>
        </w:rPr>
        <w:t>difference-in-difference</w:t>
      </w:r>
      <w:r w:rsidR="007D5E0C">
        <w:rPr>
          <w:rFonts w:ascii="Times New Roman" w:hAnsi="Times New Roman" w:cs="Times New Roman"/>
        </w:rPr>
        <w:t xml:space="preserve"> </w:t>
      </w:r>
      <w:r w:rsidRPr="00B1247A">
        <w:rPr>
          <w:rFonts w:ascii="Times New Roman" w:hAnsi="Times New Roman" w:cs="Times New Roman"/>
        </w:rPr>
        <w:t xml:space="preserve">regression framework. All regressions are estimated using OLS, and robust standard errors are reported. As explained above, the control group includes the </w:t>
      </w:r>
      <w:r w:rsidRPr="00B1247A">
        <w:rPr>
          <w:rFonts w:ascii="Times New Roman" w:hAnsi="Times New Roman" w:cs="Times New Roman"/>
          <w:i/>
        </w:rPr>
        <w:t xml:space="preserve">non-newly protected </w:t>
      </w:r>
      <w:r w:rsidRPr="00B1247A">
        <w:rPr>
          <w:rFonts w:ascii="Times New Roman" w:hAnsi="Times New Roman" w:cs="Times New Roman"/>
        </w:rPr>
        <w:t>industries, a group which includes both industries that were protected early in the 1920s and industries that did not receive protection in the interwar period.</w:t>
      </w:r>
      <w:r w:rsidRPr="00B1247A">
        <w:rPr>
          <w:rStyle w:val="FootnoteReference"/>
          <w:rFonts w:ascii="Times New Roman" w:hAnsi="Times New Roman" w:cs="Times New Roman"/>
        </w:rPr>
        <w:footnoteReference w:id="8"/>
      </w:r>
      <w:r w:rsidRPr="00B1247A">
        <w:rPr>
          <w:rFonts w:ascii="Times New Roman" w:hAnsi="Times New Roman" w:cs="Times New Roman"/>
        </w:rPr>
        <w:t xml:space="preserve"> There are no industries in our sample that received protection prior to the 1932 General Tariff, but not after. For the two-group classification, the treatment group includes </w:t>
      </w:r>
      <w:r w:rsidRPr="00B1247A">
        <w:rPr>
          <w:rFonts w:ascii="Times New Roman" w:hAnsi="Times New Roman" w:cs="Times New Roman"/>
          <w:i/>
        </w:rPr>
        <w:t xml:space="preserve">newly protected </w:t>
      </w:r>
      <w:r w:rsidRPr="00B1247A">
        <w:rPr>
          <w:rFonts w:ascii="Times New Roman" w:hAnsi="Times New Roman" w:cs="Times New Roman"/>
        </w:rPr>
        <w:t xml:space="preserve">industries, and does not distinguish between industries protected at the 10 percent rate or those with additional duties. By controlling for differences between the control and treatment groups before the policy change, the difference-in-difference </w:t>
      </w:r>
      <w:r>
        <w:rPr>
          <w:rFonts w:ascii="Times New Roman" w:hAnsi="Times New Roman" w:cs="Times New Roman"/>
        </w:rPr>
        <w:t>regressions directly address</w:t>
      </w:r>
      <w:r w:rsidRPr="00B1247A">
        <w:rPr>
          <w:rFonts w:ascii="Times New Roman" w:hAnsi="Times New Roman" w:cs="Times New Roman"/>
        </w:rPr>
        <w:t xml:space="preserve"> the problems with Richardson’s (1967) analysis.</w:t>
      </w:r>
    </w:p>
    <w:p w:rsidR="00C62335" w:rsidRPr="00B1247A" w:rsidRDefault="00C62335" w:rsidP="00B9694E">
      <w:pPr>
        <w:spacing w:after="0" w:line="360" w:lineRule="auto"/>
        <w:ind w:firstLine="567"/>
        <w:jc w:val="both"/>
        <w:rPr>
          <w:rFonts w:ascii="Times New Roman" w:hAnsi="Times New Roman" w:cs="Times New Roman"/>
        </w:rPr>
      </w:pPr>
      <w:r w:rsidRPr="00B1247A">
        <w:rPr>
          <w:rFonts w:ascii="Times New Roman" w:hAnsi="Times New Roman" w:cs="Times New Roman"/>
        </w:rPr>
        <w:t>The two-group difference-in-difference model is given by the following equation:</w:t>
      </w:r>
    </w:p>
    <w:p w:rsidR="00C62335" w:rsidRPr="00B1247A" w:rsidRDefault="00C62335" w:rsidP="00B9694E">
      <w:pPr>
        <w:spacing w:after="0" w:line="360" w:lineRule="auto"/>
        <w:ind w:firstLine="567"/>
        <w:jc w:val="both"/>
        <w:rPr>
          <w:rFonts w:ascii="Times New Roman" w:hAnsi="Times New Roman" w:cs="Times New Roman"/>
        </w:rPr>
      </w:pPr>
      <m:oMathPara>
        <m:oMath>
          <m:r>
            <m:rPr>
              <m:sty m:val="p"/>
            </m:rP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i,t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1</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+βnewpr</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i</m:t>
              </m:r>
            </m:sub>
          </m:sSub>
          <m:r>
            <w:rPr>
              <w:rFonts w:ascii="Cambria Math" w:hAnsi="Cambria Math" w:cs="Times New Roman"/>
            </w:rPr>
            <m:t>+δ</m:t>
          </m:r>
          <m:d>
            <m:dPr>
              <m:ctrlPr>
                <w:rPr>
                  <w:rFonts w:ascii="Cambria Math" w:hAnsi="Cambria Math" w:cs="Times New Roman"/>
                  <w:i/>
                </w:rPr>
              </m:ctrlPr>
            </m:dPr>
            <m:e>
              <m:r>
                <w:rPr>
                  <w:rFonts w:ascii="Cambria Math" w:hAnsi="Cambria Math" w:cs="Times New Roman"/>
                </w:rPr>
                <m:t>newpr</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i</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i,t</m:t>
              </m:r>
            </m:sub>
          </m:sSub>
        </m:oMath>
      </m:oMathPara>
    </w:p>
    <w:p w:rsidR="00765BC3" w:rsidRDefault="00C62335" w:rsidP="00B9694E">
      <w:pPr>
        <w:spacing w:after="0" w:line="360" w:lineRule="auto"/>
        <w:jc w:val="both"/>
        <w:rPr>
          <w:rFonts w:ascii="Times New Roman" w:hAnsi="Times New Roman" w:cs="Times New Roman"/>
        </w:rPr>
      </w:pPr>
      <w:r w:rsidRPr="00C3416D">
        <w:rPr>
          <w:rFonts w:ascii="Times New Roman" w:hAnsi="Times New Roman" w:cs="Times New Roman"/>
        </w:rPr>
        <w:t xml:space="preserve">where </w:t>
      </w:r>
      <m:oMath>
        <m:r>
          <w:rPr>
            <w:rFonts w:ascii="Cambria Math" w:hAnsi="Cambria Math" w:cs="Times New Roman"/>
          </w:rPr>
          <m:t>i=1,2,…,N</m:t>
        </m:r>
      </m:oMath>
      <w:r w:rsidRPr="00C3416D">
        <w:rPr>
          <w:rFonts w:ascii="Times New Roman" w:hAnsi="Times New Roman" w:cs="Times New Roman"/>
        </w:rPr>
        <w:t xml:space="preserve"> is an index denoting the </w:t>
      </w:r>
      <m:oMath>
        <m:r>
          <w:rPr>
            <w:rFonts w:ascii="Cambria Math" w:hAnsi="Cambria Math" w:cs="Times New Roman"/>
          </w:rPr>
          <m:t>N</m:t>
        </m:r>
      </m:oMath>
      <w:r w:rsidRPr="00C3416D">
        <w:rPr>
          <w:rFonts w:ascii="Times New Roman" w:hAnsi="Times New Roman" w:cs="Times New Roman"/>
        </w:rPr>
        <w:t xml:space="preserve"> industries in our sample and </w:t>
      </w:r>
      <m:oMath>
        <m:r>
          <w:rPr>
            <w:rFonts w:ascii="Cambria Math" w:hAnsi="Cambria Math" w:cs="Times New Roman"/>
          </w:rPr>
          <m:t>t=1,2</m:t>
        </m:r>
      </m:oMath>
      <w:r w:rsidRPr="00C3416D">
        <w:rPr>
          <w:rFonts w:ascii="Times New Roman" w:hAnsi="Times New Roman" w:cs="Times New Roman"/>
        </w:rPr>
        <w:t xml:space="preserve"> is an index denoting the two time periods, 1924-30 and 1930-35 respectively. The dependent variable </w:t>
      </w:r>
      <m:oMath>
        <m:r>
          <m:rPr>
            <m:sty m:val="p"/>
          </m:rP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i,t</m:t>
            </m:r>
          </m:sub>
        </m:sSub>
      </m:oMath>
      <w:r w:rsidRPr="00C3416D">
        <w:rPr>
          <w:rFonts w:ascii="Times New Roman" w:hAnsi="Times New Roman" w:cs="Times New Roman"/>
        </w:rPr>
        <w:t xml:space="preserve"> represents the annualised growth rate of real net output, productivity – measured as real net output per worker – or employment for industry </w:t>
      </w:r>
      <m:oMath>
        <m:r>
          <w:rPr>
            <w:rFonts w:ascii="Cambria Math" w:hAnsi="Cambria Math" w:cs="Times New Roman"/>
          </w:rPr>
          <m:t>i</m:t>
        </m:r>
      </m:oMath>
      <w:r w:rsidRPr="00C3416D">
        <w:rPr>
          <w:rFonts w:ascii="Times New Roman" w:hAnsi="Times New Roman" w:cs="Times New Roman"/>
        </w:rPr>
        <w:t xml:space="preserve"> during time </w:t>
      </w:r>
      <w:r w:rsidR="007D5E0C" w:rsidRPr="00C3416D">
        <w:rPr>
          <w:rFonts w:ascii="Times New Roman" w:hAnsi="Times New Roman" w:cs="Times New Roman"/>
        </w:rPr>
        <w:t>period</w:t>
      </w:r>
      <w:r w:rsidR="00EE5A83">
        <w:rPr>
          <w:rFonts w:ascii="Times New Roman" w:hAnsi="Times New Roman" w:cs="Times New Roman"/>
        </w:rPr>
        <w:t xml:space="preserve"> </w:t>
      </w:r>
      <m:oMath>
        <m:r>
          <w:rPr>
            <w:rFonts w:ascii="Cambria Math" w:hAnsi="Cambria Math" w:cs="Times New Roman"/>
          </w:rPr>
          <m:t>t</m:t>
        </m:r>
      </m:oMath>
      <w:r w:rsidRPr="00C3416D">
        <w:rPr>
          <w:rFonts w:ascii="Times New Roman" w:hAnsi="Times New Roman" w:cs="Times New Roman"/>
        </w:rPr>
        <w:t xml:space="preserve">. The time-invariant explanatory variable </w:t>
      </w:r>
      <m:oMath>
        <m:r>
          <w:rPr>
            <w:rFonts w:ascii="Cambria Math" w:hAnsi="Cambria Math" w:cs="Times New Roman"/>
          </w:rPr>
          <m:t>newpr</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i</m:t>
            </m:r>
          </m:sub>
        </m:sSub>
      </m:oMath>
      <w:r w:rsidRPr="00C3416D">
        <w:rPr>
          <w:rFonts w:ascii="Times New Roman" w:hAnsi="Times New Roman" w:cs="Times New Roman"/>
        </w:rPr>
        <w:t xml:space="preserve"> is a dummy variable set equal to unity if industry </w:t>
      </w:r>
      <m:oMath>
        <m:r>
          <w:rPr>
            <w:rFonts w:ascii="Cambria Math" w:hAnsi="Cambria Math" w:cs="Times New Roman"/>
          </w:rPr>
          <m:t>i</m:t>
        </m:r>
      </m:oMath>
      <w:r w:rsidRPr="00C3416D">
        <w:rPr>
          <w:rFonts w:ascii="Times New Roman" w:hAnsi="Times New Roman" w:cs="Times New Roman"/>
        </w:rPr>
        <w:t xml:space="preserve"> was newly</w:t>
      </w:r>
      <w:r>
        <w:rPr>
          <w:rFonts w:ascii="Times New Roman" w:hAnsi="Times New Roman" w:cs="Times New Roman"/>
        </w:rPr>
        <w:t xml:space="preserve"> protected, and zero otherwise. </w:t>
      </w:r>
      <w:r w:rsidRPr="00C3416D">
        <w:rPr>
          <w:rFonts w:ascii="Times New Roman" w:hAnsi="Times New Roman" w:cs="Times New Roman"/>
        </w:rPr>
        <w:t xml:space="preserve">The industry-invariant explanatory variable </w:t>
      </w:r>
      <m:oMath>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oMath>
      <w:r w:rsidRPr="00C3416D">
        <w:rPr>
          <w:rFonts w:ascii="Times New Roman" w:hAnsi="Times New Roman" w:cs="Times New Roman"/>
        </w:rPr>
        <w:t xml:space="preserve"> is a time dummy variable set equal to unity for observations in the second time period, 1930-35, and zero otherwise.</w:t>
      </w:r>
      <w:r>
        <w:rPr>
          <w:rFonts w:ascii="Times New Roman" w:hAnsi="Times New Roman" w:cs="Times New Roman"/>
        </w:rPr>
        <w:t xml:space="preserve"> </w:t>
      </w:r>
    </w:p>
    <w:p w:rsidR="00765BC3" w:rsidRDefault="00765BC3" w:rsidP="00B9694E">
      <w:pPr>
        <w:spacing w:after="0" w:line="360" w:lineRule="auto"/>
        <w:ind w:firstLine="567"/>
        <w:jc w:val="both"/>
        <w:rPr>
          <w:rFonts w:ascii="Times New Roman" w:hAnsi="Times New Roman" w:cs="Times New Roman"/>
        </w:rPr>
      </w:pPr>
      <w:r>
        <w:rPr>
          <w:rFonts w:ascii="Times New Roman" w:hAnsi="Times New Roman" w:cs="Times New Roman"/>
        </w:rPr>
        <w:t xml:space="preserve">Given these definitions, the parameters in the above equation have the following meaning. The intercept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0</m:t>
            </m:r>
          </m:sub>
        </m:sSub>
      </m:oMath>
      <w:r>
        <w:rPr>
          <w:rFonts w:ascii="Times New Roman" w:hAnsi="Times New Roman" w:cs="Times New Roman"/>
        </w:rPr>
        <w:t xml:space="preserve"> captures the average annual output, productivity or employment growth of non-newly protected industries in 1924-30. The time dummy coefficient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1</m:t>
            </m:r>
          </m:sub>
        </m:sSub>
      </m:oMath>
      <w:r>
        <w:rPr>
          <w:rFonts w:ascii="Times New Roman" w:hAnsi="Times New Roman" w:cs="Times New Roman"/>
        </w:rPr>
        <w:t xml:space="preserve"> captures the average additional annual output, productivity or employment growth for non-newly protected industries in 1930-35 in excess of their 1924-30 growth. Therefore, the sum of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0</m:t>
            </m:r>
          </m:sub>
        </m:sSub>
      </m:oMath>
      <w:r>
        <w:rPr>
          <w:rFonts w:ascii="Times New Roman" w:hAnsi="Times New Roman" w:cs="Times New Roman"/>
        </w:rPr>
        <w:t xml:space="preserve"> and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1</m:t>
            </m:r>
          </m:sub>
        </m:sSub>
      </m:oMath>
      <w:r>
        <w:rPr>
          <w:rFonts w:ascii="Times New Roman" w:hAnsi="Times New Roman" w:cs="Times New Roman"/>
        </w:rPr>
        <w:t xml:space="preserve"> equals the total average annual output, productivity or employment growth for non-newly protected industries between 1930 and 1935. Similarly, the sum of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0</m:t>
            </m:r>
          </m:sub>
        </m:sSub>
      </m:oMath>
      <w:r>
        <w:rPr>
          <w:rFonts w:ascii="Times New Roman" w:hAnsi="Times New Roman" w:cs="Times New Roman"/>
        </w:rPr>
        <w:t xml:space="preserve"> and  </w:t>
      </w:r>
      <m:oMath>
        <m:r>
          <w:rPr>
            <w:rFonts w:ascii="Cambria Math" w:hAnsi="Cambria Math" w:cs="Times New Roman"/>
          </w:rPr>
          <m:t>β</m:t>
        </m:r>
      </m:oMath>
      <w:r>
        <w:rPr>
          <w:rFonts w:ascii="Times New Roman" w:hAnsi="Times New Roman" w:cs="Times New Roman"/>
        </w:rPr>
        <w:t xml:space="preserve"> is equal to the average annual output, productivity or employment growth for newly protected industries in 1924-30, such that </w:t>
      </w:r>
      <m:oMath>
        <m:r>
          <w:rPr>
            <w:rFonts w:ascii="Cambria Math" w:hAnsi="Cambria Math" w:cs="Times New Roman"/>
          </w:rPr>
          <m:t>β</m:t>
        </m:r>
      </m:oMath>
      <w:r>
        <w:rPr>
          <w:rFonts w:ascii="Times New Roman" w:hAnsi="Times New Roman" w:cs="Times New Roman"/>
        </w:rPr>
        <w:t xml:space="preserve"> captures the differential growth rates of newly and non-newly protected industries over the first time period.</w:t>
      </w:r>
    </w:p>
    <w:p w:rsidR="00765BC3" w:rsidRDefault="00C62335" w:rsidP="00B9694E">
      <w:pPr>
        <w:spacing w:after="0" w:line="360" w:lineRule="auto"/>
        <w:ind w:firstLine="567"/>
        <w:jc w:val="both"/>
        <w:rPr>
          <w:rFonts w:ascii="Times New Roman" w:hAnsi="Times New Roman" w:cs="Times New Roman"/>
        </w:rPr>
      </w:pPr>
      <w:r w:rsidRPr="00C3416D">
        <w:rPr>
          <w:rFonts w:ascii="Times New Roman" w:hAnsi="Times New Roman" w:cs="Times New Roman"/>
        </w:rPr>
        <w:t xml:space="preserve">The difference-in-difference coefficient </w:t>
      </w:r>
      <m:oMath>
        <m:r>
          <w:rPr>
            <w:rFonts w:ascii="Cambria Math" w:hAnsi="Cambria Math" w:cs="Times New Roman"/>
          </w:rPr>
          <m:t>δ</m:t>
        </m:r>
      </m:oMath>
      <w:r w:rsidRPr="00C3416D">
        <w:rPr>
          <w:rFonts w:ascii="Times New Roman" w:hAnsi="Times New Roman" w:cs="Times New Roman"/>
        </w:rPr>
        <w:t xml:space="preserve"> is of principal interest, measuring the average increase in annual real output, productivity or employment growth from 1924-30 to 1930-35 for the newly protected industries conditional on the change in growth for the non-newly protected industries. The inclusion of the time dummy </w:t>
      </w:r>
      <m:oMath>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oMath>
      <w:r w:rsidRPr="00C3416D">
        <w:rPr>
          <w:rFonts w:ascii="Times New Roman" w:hAnsi="Times New Roman" w:cs="Times New Roman"/>
        </w:rPr>
        <w:t xml:space="preserve"> </w:t>
      </w:r>
      <w:r>
        <w:rPr>
          <w:rFonts w:ascii="Times New Roman" w:hAnsi="Times New Roman" w:cs="Times New Roman"/>
        </w:rPr>
        <w:t xml:space="preserve">controls for </w:t>
      </w:r>
      <w:r w:rsidRPr="00C3416D">
        <w:rPr>
          <w:rFonts w:ascii="Times New Roman" w:hAnsi="Times New Roman" w:cs="Times New Roman"/>
        </w:rPr>
        <w:t>time fixed effects – factors that are constant across industries, but vary across time</w:t>
      </w:r>
      <w:r>
        <w:rPr>
          <w:rFonts w:ascii="Times New Roman" w:hAnsi="Times New Roman" w:cs="Times New Roman"/>
        </w:rPr>
        <w:t>, such as the prevailing macroeconomic environment</w:t>
      </w:r>
      <w:r w:rsidRPr="00C3416D">
        <w:rPr>
          <w:rFonts w:ascii="Times New Roman" w:hAnsi="Times New Roman" w:cs="Times New Roman"/>
        </w:rPr>
        <w:t xml:space="preserve"> – and the inclusion of the industry dummy </w:t>
      </w:r>
      <m:oMath>
        <m:r>
          <w:rPr>
            <w:rFonts w:ascii="Cambria Math" w:hAnsi="Cambria Math" w:cs="Times New Roman"/>
          </w:rPr>
          <m:t>newpr</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i</m:t>
            </m:r>
          </m:sub>
        </m:sSub>
      </m:oMath>
      <w:r w:rsidRPr="00C3416D">
        <w:rPr>
          <w:rFonts w:ascii="Times New Roman" w:hAnsi="Times New Roman" w:cs="Times New Roman"/>
        </w:rPr>
        <w:t xml:space="preserve"> accounts for industry</w:t>
      </w:r>
      <w:r>
        <w:rPr>
          <w:rFonts w:ascii="Times New Roman" w:hAnsi="Times New Roman" w:cs="Times New Roman"/>
        </w:rPr>
        <w:t>-group</w:t>
      </w:r>
      <w:r w:rsidRPr="00C3416D">
        <w:rPr>
          <w:rFonts w:ascii="Times New Roman" w:hAnsi="Times New Roman" w:cs="Times New Roman"/>
        </w:rPr>
        <w:t xml:space="preserve"> fixed effects – factors that are constant over time, but specific to each group</w:t>
      </w:r>
      <w:r>
        <w:rPr>
          <w:rFonts w:ascii="Times New Roman" w:hAnsi="Times New Roman" w:cs="Times New Roman"/>
        </w:rPr>
        <w:t xml:space="preserve"> of industries, such as pre-tariff initial conditions for industry groups</w:t>
      </w:r>
      <w:r w:rsidRPr="00C3416D">
        <w:rPr>
          <w:rFonts w:ascii="Times New Roman" w:hAnsi="Times New Roman" w:cs="Times New Roman"/>
        </w:rPr>
        <w:t>.</w:t>
      </w:r>
      <w:r w:rsidR="00765BC3">
        <w:rPr>
          <w:rFonts w:ascii="Times New Roman" w:hAnsi="Times New Roman" w:cs="Times New Roman"/>
        </w:rPr>
        <w:t xml:space="preserve"> Therefore, the difference-in-difference estimator captures the treatment effect of the tariff on newly protected industries: the increase in annual output, productivity or employment growth for newly protected industries once the average growth increase of non-newly protected industries over the same period has been accounted for. This expression formalises this:</w:t>
      </w:r>
    </w:p>
    <w:p w:rsidR="00765BC3" w:rsidRPr="00395951" w:rsidRDefault="009B36AE" w:rsidP="00B9694E">
      <w:pPr>
        <w:spacing w:after="0" w:line="360" w:lineRule="auto"/>
        <w:ind w:firstLine="567"/>
        <w:jc w:val="both"/>
        <w:rPr>
          <w:rFonts w:cs="Times New Roman"/>
        </w:rPr>
      </w:pPr>
      <m:oMathPara>
        <m:oMath>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1</m:t>
              </m:r>
            </m:sub>
          </m:sSub>
          <m:r>
            <w:rPr>
              <w:rFonts w:ascii="Cambria Math" w:hAnsi="Cambria Math" w:cs="Times New Roman"/>
            </w:rPr>
            <m:t>=</m:t>
          </m:r>
          <m:d>
            <m:dPr>
              <m:ctrlPr>
                <w:rPr>
                  <w:rFonts w:ascii="Cambria Math" w:hAnsi="Cambria Math" w:cs="Times New Roman"/>
                  <w:i/>
                </w:rPr>
              </m:ctrlPr>
            </m:dPr>
            <m:e>
              <m:r>
                <w:rPr>
                  <w:rFonts w:ascii="Cambria Math" w:hAnsi="Cambria Math" w:cs="Times New Roman"/>
                </w:rPr>
                <m:t>E</m:t>
              </m:r>
              <m:d>
                <m:dPr>
                  <m:begChr m:val="["/>
                  <m:endChr m:val="]"/>
                  <m:ctrlPr>
                    <w:rPr>
                      <w:rFonts w:ascii="Cambria Math" w:hAnsi="Cambria Math" w:cs="Times New Roman"/>
                      <w:i/>
                    </w:rPr>
                  </m:ctrlPr>
                </m:dPr>
                <m:e>
                  <m:r>
                    <m:rPr>
                      <m:sty m:val="p"/>
                    </m:rP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i,t</m:t>
                      </m:r>
                    </m:sub>
                  </m:sSub>
                  <m:r>
                    <w:rPr>
                      <w:rFonts w:ascii="Cambria Math" w:hAnsi="Cambria Math" w:cs="Times New Roman"/>
                    </w:rPr>
                    <m:t>|newpr</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i</m:t>
                      </m:r>
                    </m:sub>
                  </m:sSub>
                  <m:r>
                    <w:rPr>
                      <w:rFonts w:ascii="Cambria Math" w:hAnsi="Cambria Math" w:cs="Times New Roman"/>
                    </w:rPr>
                    <m:t>=1,y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=1</m:t>
                  </m:r>
                </m:e>
              </m:d>
              <m:r>
                <w:rPr>
                  <w:rFonts w:ascii="Cambria Math" w:hAnsi="Cambria Math" w:cs="Times New Roman"/>
                </w:rPr>
                <m:t>-E</m:t>
              </m:r>
              <m:d>
                <m:dPr>
                  <m:begChr m:val="["/>
                  <m:endChr m:val="]"/>
                  <m:ctrlPr>
                    <w:rPr>
                      <w:rFonts w:ascii="Cambria Math" w:hAnsi="Cambria Math" w:cs="Times New Roman"/>
                      <w:i/>
                    </w:rPr>
                  </m:ctrlPr>
                </m:dPr>
                <m:e>
                  <m:sSub>
                    <m:sSubPr>
                      <m:ctrlPr>
                        <w:rPr>
                          <w:rFonts w:ascii="Cambria Math" w:hAnsi="Cambria Math" w:cs="Times New Roman"/>
                          <w:i/>
                        </w:rPr>
                      </m:ctrlPr>
                    </m:sSubPr>
                    <m:e>
                      <m:r>
                        <m:rPr>
                          <m:sty m:val="p"/>
                        </m:rPr>
                        <w:rPr>
                          <w:rFonts w:ascii="Cambria Math" w:hAnsi="Cambria Math" w:cs="Times New Roman"/>
                        </w:rPr>
                        <m:t>Δ</m:t>
                      </m:r>
                      <m:r>
                        <w:rPr>
                          <w:rFonts w:ascii="Cambria Math" w:hAnsi="Cambria Math" w:cs="Times New Roman"/>
                        </w:rPr>
                        <m:t>y</m:t>
                      </m:r>
                    </m:e>
                    <m:sub>
                      <m:r>
                        <w:rPr>
                          <w:rFonts w:ascii="Cambria Math" w:hAnsi="Cambria Math" w:cs="Times New Roman"/>
                        </w:rPr>
                        <m:t>i,t</m:t>
                      </m:r>
                    </m:sub>
                  </m:sSub>
                  <m:r>
                    <w:rPr>
                      <w:rFonts w:ascii="Cambria Math" w:hAnsi="Cambria Math" w:cs="Times New Roman"/>
                    </w:rPr>
                    <m:t>|newpr</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i</m:t>
                      </m:r>
                    </m:sub>
                  </m:sSub>
                  <m:r>
                    <w:rPr>
                      <w:rFonts w:ascii="Cambria Math" w:hAnsi="Cambria Math" w:cs="Times New Roman"/>
                    </w:rPr>
                    <m:t>=1,y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=0</m:t>
                  </m:r>
                </m:e>
              </m:d>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E</m:t>
              </m:r>
              <m:d>
                <m:dPr>
                  <m:begChr m:val="["/>
                  <m:endChr m:val="]"/>
                  <m:ctrlPr>
                    <w:rPr>
                      <w:rFonts w:ascii="Cambria Math" w:hAnsi="Cambria Math" w:cs="Times New Roman"/>
                      <w:i/>
                    </w:rPr>
                  </m:ctrlPr>
                </m:dPr>
                <m:e>
                  <m:sSub>
                    <m:sSubPr>
                      <m:ctrlPr>
                        <w:rPr>
                          <w:rFonts w:ascii="Cambria Math" w:hAnsi="Cambria Math" w:cs="Times New Roman"/>
                          <w:i/>
                        </w:rPr>
                      </m:ctrlPr>
                    </m:sSubPr>
                    <m:e>
                      <m:r>
                        <m:rPr>
                          <m:sty m:val="p"/>
                        </m:rPr>
                        <w:rPr>
                          <w:rFonts w:ascii="Cambria Math" w:hAnsi="Cambria Math" w:cs="Times New Roman"/>
                        </w:rPr>
                        <m:t>Δ</m:t>
                      </m:r>
                      <m:r>
                        <w:rPr>
                          <w:rFonts w:ascii="Cambria Math" w:hAnsi="Cambria Math" w:cs="Times New Roman"/>
                        </w:rPr>
                        <m:t>y</m:t>
                      </m:r>
                    </m:e>
                    <m:sub>
                      <m:r>
                        <w:rPr>
                          <w:rFonts w:ascii="Cambria Math" w:hAnsi="Cambria Math" w:cs="Times New Roman"/>
                        </w:rPr>
                        <m:t>i,t</m:t>
                      </m:r>
                    </m:sub>
                  </m:sSub>
                  <m:r>
                    <w:rPr>
                      <w:rFonts w:ascii="Cambria Math" w:hAnsi="Cambria Math" w:cs="Times New Roman"/>
                    </w:rPr>
                    <m:t>|newpr</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i</m:t>
                      </m:r>
                    </m:sub>
                  </m:sSub>
                  <m:r>
                    <w:rPr>
                      <w:rFonts w:ascii="Cambria Math" w:hAnsi="Cambria Math" w:cs="Times New Roman"/>
                    </w:rPr>
                    <m:t>=0,y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=1</m:t>
                  </m:r>
                </m:e>
              </m:d>
              <m:r>
                <w:rPr>
                  <w:rFonts w:ascii="Cambria Math" w:hAnsi="Cambria Math" w:cs="Times New Roman"/>
                </w:rPr>
                <m:t>-E</m:t>
              </m:r>
              <m:d>
                <m:dPr>
                  <m:begChr m:val="["/>
                  <m:endChr m:val="]"/>
                  <m:ctrlPr>
                    <w:rPr>
                      <w:rFonts w:ascii="Cambria Math" w:hAnsi="Cambria Math" w:cs="Times New Roman"/>
                      <w:i/>
                    </w:rPr>
                  </m:ctrlPr>
                </m:dPr>
                <m:e>
                  <m:sSub>
                    <m:sSubPr>
                      <m:ctrlPr>
                        <w:rPr>
                          <w:rFonts w:ascii="Cambria Math" w:hAnsi="Cambria Math" w:cs="Times New Roman"/>
                          <w:i/>
                        </w:rPr>
                      </m:ctrlPr>
                    </m:sSubPr>
                    <m:e>
                      <m:r>
                        <m:rPr>
                          <m:sty m:val="p"/>
                        </m:rPr>
                        <w:rPr>
                          <w:rFonts w:ascii="Cambria Math" w:hAnsi="Cambria Math" w:cs="Times New Roman"/>
                        </w:rPr>
                        <m:t>Δ</m:t>
                      </m:r>
                      <m:r>
                        <w:rPr>
                          <w:rFonts w:ascii="Cambria Math" w:hAnsi="Cambria Math" w:cs="Times New Roman"/>
                        </w:rPr>
                        <m:t>y</m:t>
                      </m:r>
                    </m:e>
                    <m:sub>
                      <m:r>
                        <w:rPr>
                          <w:rFonts w:ascii="Cambria Math" w:hAnsi="Cambria Math" w:cs="Times New Roman"/>
                        </w:rPr>
                        <m:t>i,t</m:t>
                      </m:r>
                    </m:sub>
                  </m:sSub>
                  <m:r>
                    <w:rPr>
                      <w:rFonts w:ascii="Cambria Math" w:hAnsi="Cambria Math" w:cs="Times New Roman"/>
                    </w:rPr>
                    <m:t>|newpr</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i</m:t>
                      </m:r>
                    </m:sub>
                  </m:sSub>
                  <m:r>
                    <w:rPr>
                      <w:rFonts w:ascii="Cambria Math" w:hAnsi="Cambria Math" w:cs="Times New Roman"/>
                    </w:rPr>
                    <m:t>=0,y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=0</m:t>
                  </m:r>
                </m:e>
              </m:d>
            </m:e>
          </m:d>
        </m:oMath>
      </m:oMathPara>
    </w:p>
    <w:p w:rsidR="00765BC3" w:rsidRDefault="00765BC3" w:rsidP="00B9694E">
      <w:pPr>
        <w:spacing w:after="0" w:line="360" w:lineRule="auto"/>
        <w:jc w:val="both"/>
        <w:rPr>
          <w:rFonts w:ascii="Times New Roman" w:hAnsi="Times New Roman" w:cs="Times New Roman"/>
        </w:rPr>
      </w:pPr>
      <w:r w:rsidRPr="00395951">
        <w:rPr>
          <w:rFonts w:ascii="Times New Roman" w:hAnsi="Times New Roman" w:cs="Times New Roman"/>
        </w:rPr>
        <w:t xml:space="preserve">where </w:t>
      </w:r>
      <m:oMath>
        <m:r>
          <w:rPr>
            <w:rFonts w:ascii="Cambria Math" w:hAnsi="Cambria Math" w:cs="Times New Roman"/>
          </w:rPr>
          <m:t>E</m:t>
        </m:r>
      </m:oMath>
      <w:r w:rsidRPr="00395951">
        <w:rPr>
          <w:rFonts w:ascii="Times New Roman" w:hAnsi="Times New Roman" w:cs="Times New Roman"/>
        </w:rPr>
        <w:t xml:space="preserve"> represents the (conditional) expectations operator.</w:t>
      </w:r>
    </w:p>
    <w:p w:rsidR="00765BC3" w:rsidRDefault="00765BC3" w:rsidP="00B9694E">
      <w:pPr>
        <w:spacing w:after="0" w:line="360" w:lineRule="auto"/>
        <w:ind w:firstLine="567"/>
        <w:jc w:val="both"/>
        <w:rPr>
          <w:rFonts w:ascii="Times New Roman" w:hAnsi="Times New Roman" w:cs="Times New Roman"/>
        </w:rPr>
      </w:pPr>
      <w:r>
        <w:rPr>
          <w:rFonts w:ascii="Times New Roman" w:hAnsi="Times New Roman" w:cs="Times New Roman"/>
        </w:rPr>
        <w:t>Figures 1 and 2 graphically illustrate the logic underlying the difference-in-difference methodology using the tariff classification details in section 2 and Appendix A.</w:t>
      </w:r>
      <w:r w:rsidR="00EE5A83">
        <w:rPr>
          <w:rStyle w:val="FootnoteReference"/>
          <w:rFonts w:ascii="Times New Roman" w:hAnsi="Times New Roman" w:cs="Times New Roman"/>
        </w:rPr>
        <w:footnoteReference w:id="9"/>
      </w:r>
      <w:r>
        <w:rPr>
          <w:rFonts w:ascii="Times New Roman" w:hAnsi="Times New Roman" w:cs="Times New Roman"/>
        </w:rPr>
        <w:t xml:space="preserve"> The plots present industry-by-industry annual growth rates of (net) output and labour productivity respectively. In both figures, the horizontal axis plots the average annual growth rate of the variable of interest in 1924-30, while the vertical axis plots the average annual growth rate in 1930-35. The solid line depicts the </w:t>
      </w:r>
      <w:r w:rsidR="00F80D93">
        <w:rPr>
          <w:rFonts w:ascii="Times New Roman" w:hAnsi="Times New Roman" w:cs="Times New Roman"/>
        </w:rPr>
        <w:t>45-degree</w:t>
      </w:r>
      <w:r>
        <w:rPr>
          <w:rFonts w:ascii="Times New Roman" w:hAnsi="Times New Roman" w:cs="Times New Roman"/>
        </w:rPr>
        <w:t xml:space="preserve"> ray of constant industry growth rates in the two periods. Observations that lie above the </w:t>
      </w:r>
      <w:r w:rsidR="00F80D93">
        <w:rPr>
          <w:rFonts w:ascii="Times New Roman" w:hAnsi="Times New Roman" w:cs="Times New Roman"/>
        </w:rPr>
        <w:t>45-degree</w:t>
      </w:r>
      <w:r>
        <w:rPr>
          <w:rFonts w:ascii="Times New Roman" w:hAnsi="Times New Roman" w:cs="Times New Roman"/>
        </w:rPr>
        <w:t xml:space="preserve"> ray indicate that an industry grew faster in 1930-35 period than in the first, and </w:t>
      </w:r>
      <w:r>
        <w:rPr>
          <w:rFonts w:ascii="Times New Roman" w:hAnsi="Times New Roman" w:cs="Times New Roman"/>
          <w:i/>
        </w:rPr>
        <w:t>vice-versa</w:t>
      </w:r>
      <w:r>
        <w:rPr>
          <w:rFonts w:ascii="Times New Roman" w:hAnsi="Times New Roman" w:cs="Times New Roman"/>
        </w:rPr>
        <w:t xml:space="preserve"> for observations that lie below.</w:t>
      </w:r>
      <w:r w:rsidR="00813E52">
        <w:rPr>
          <w:rFonts w:ascii="Times New Roman" w:hAnsi="Times New Roman" w:cs="Times New Roman"/>
        </w:rPr>
        <w:t xml:space="preserve"> I</w:t>
      </w:r>
      <w:r>
        <w:rPr>
          <w:rFonts w:ascii="Times New Roman" w:hAnsi="Times New Roman" w:cs="Times New Roman"/>
        </w:rPr>
        <w:t>n Figur</w:t>
      </w:r>
      <w:r w:rsidR="00813E52">
        <w:rPr>
          <w:rFonts w:ascii="Times New Roman" w:hAnsi="Times New Roman" w:cs="Times New Roman"/>
        </w:rPr>
        <w:t xml:space="preserve">e </w:t>
      </w:r>
      <w:r>
        <w:rPr>
          <w:rFonts w:ascii="Times New Roman" w:hAnsi="Times New Roman" w:cs="Times New Roman"/>
        </w:rPr>
        <w:t xml:space="preserve">1, </w:t>
      </w:r>
      <w:r w:rsidR="00813E52">
        <w:rPr>
          <w:rFonts w:ascii="Times New Roman" w:hAnsi="Times New Roman" w:cs="Times New Roman"/>
        </w:rPr>
        <w:t>plotting</w:t>
      </w:r>
      <w:r>
        <w:rPr>
          <w:rFonts w:ascii="Times New Roman" w:hAnsi="Times New Roman" w:cs="Times New Roman"/>
        </w:rPr>
        <w:t xml:space="preserve"> annual output growth, the proportion of newly protected industries (indicated by a red cross) lying above the </w:t>
      </w:r>
      <w:r w:rsidR="00F80D93">
        <w:rPr>
          <w:rFonts w:ascii="Times New Roman" w:hAnsi="Times New Roman" w:cs="Times New Roman"/>
        </w:rPr>
        <w:t>45-degree</w:t>
      </w:r>
      <w:r>
        <w:rPr>
          <w:rFonts w:ascii="Times New Roman" w:hAnsi="Times New Roman" w:cs="Times New Roman"/>
        </w:rPr>
        <w:t xml:space="preserve"> ray clearly exceeds the proportion lying below. That is, the number of newly protected industries that experienced faster annual output growth between 1930 and 1935 exceeds the number that grew faster between 1924 and 1930. In contrast, growth of non-newly protected industries (indicated by a blue circle) is more diverse, with many industries both above and below the </w:t>
      </w:r>
      <w:r w:rsidR="00F80D93">
        <w:rPr>
          <w:rFonts w:ascii="Times New Roman" w:hAnsi="Times New Roman" w:cs="Times New Roman"/>
        </w:rPr>
        <w:t>45-degree</w:t>
      </w:r>
      <w:r>
        <w:rPr>
          <w:rFonts w:ascii="Times New Roman" w:hAnsi="Times New Roman" w:cs="Times New Roman"/>
        </w:rPr>
        <w:t xml:space="preserve"> ray. That is, relative to the non-newly protected control group, a greater proportion of newly protected treated industries grew faster in the period in which they </w:t>
      </w:r>
      <w:r w:rsidR="00813E52">
        <w:rPr>
          <w:rFonts w:ascii="Times New Roman" w:hAnsi="Times New Roman" w:cs="Times New Roman"/>
        </w:rPr>
        <w:t xml:space="preserve">received the treatment. Figure </w:t>
      </w:r>
      <w:r>
        <w:rPr>
          <w:rFonts w:ascii="Times New Roman" w:hAnsi="Times New Roman" w:cs="Times New Roman"/>
        </w:rPr>
        <w:t>2 presents the comparable industry-by-industry productivity growth figures for the same two-group classification. Although the patterns</w:t>
      </w:r>
      <w:r w:rsidR="00813E52">
        <w:rPr>
          <w:rFonts w:ascii="Times New Roman" w:hAnsi="Times New Roman" w:cs="Times New Roman"/>
        </w:rPr>
        <w:t xml:space="preserve"> are not as stark as in Figure </w:t>
      </w:r>
      <w:r>
        <w:rPr>
          <w:rFonts w:ascii="Times New Roman" w:hAnsi="Times New Roman" w:cs="Times New Roman"/>
        </w:rPr>
        <w:t>1, both figures provide illustrative evidence that the General Tariff may have had expansionary effects on treated industries during the 1930-35 period, a result that is confirmed by the difference-in-difference regression results.</w:t>
      </w:r>
    </w:p>
    <w:p w:rsidR="00765BC3" w:rsidRDefault="00813E52" w:rsidP="00B9694E">
      <w:pPr>
        <w:spacing w:line="360" w:lineRule="auto"/>
        <w:jc w:val="both"/>
        <w:rPr>
          <w:rFonts w:ascii="Times New Roman" w:hAnsi="Times New Roman" w:cs="Times New Roman"/>
          <w:b/>
        </w:rPr>
      </w:pPr>
      <w:r>
        <w:rPr>
          <w:rFonts w:ascii="Times New Roman" w:hAnsi="Times New Roman" w:cs="Times New Roman"/>
          <w:b/>
        </w:rPr>
        <w:t xml:space="preserve">Figure </w:t>
      </w:r>
      <w:r w:rsidR="00765BC3">
        <w:rPr>
          <w:rFonts w:ascii="Times New Roman" w:hAnsi="Times New Roman" w:cs="Times New Roman"/>
          <w:b/>
        </w:rPr>
        <w:t>1: Output Growth across Industries, 1924-30 and 1930-35</w:t>
      </w:r>
    </w:p>
    <w:p w:rsidR="00765BC3" w:rsidRDefault="00765BC3" w:rsidP="00B9694E">
      <w:pPr>
        <w:spacing w:line="360" w:lineRule="auto"/>
        <w:jc w:val="center"/>
        <w:rPr>
          <w:rFonts w:ascii="Times New Roman" w:hAnsi="Times New Roman" w:cs="Times New Roman"/>
          <w:b/>
        </w:rPr>
      </w:pPr>
      <w:r>
        <w:rPr>
          <w:rFonts w:ascii="Times New Roman" w:hAnsi="Times New Roman" w:cs="Times New Roman"/>
          <w:b/>
          <w:noProof/>
          <w:lang w:eastAsia="en-GB"/>
        </w:rPr>
        <w:drawing>
          <wp:inline distT="0" distB="0" distL="0" distR="0" wp14:anchorId="27E33442" wp14:editId="5258A1D1">
            <wp:extent cx="4387698" cy="31908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put_2Group_Scatter.png"/>
                    <pic:cNvPicPr/>
                  </pic:nvPicPr>
                  <pic:blipFill>
                    <a:blip r:embed="rId8">
                      <a:extLst>
                        <a:ext uri="{28A0092B-C50C-407E-A947-70E740481C1C}">
                          <a14:useLocalDpi xmlns:a14="http://schemas.microsoft.com/office/drawing/2010/main" val="0"/>
                        </a:ext>
                      </a:extLst>
                    </a:blip>
                    <a:stretch>
                      <a:fillRect/>
                    </a:stretch>
                  </pic:blipFill>
                  <pic:spPr>
                    <a:xfrm>
                      <a:off x="0" y="0"/>
                      <a:ext cx="4388472" cy="3191438"/>
                    </a:xfrm>
                    <a:prstGeom prst="rect">
                      <a:avLst/>
                    </a:prstGeom>
                  </pic:spPr>
                </pic:pic>
              </a:graphicData>
            </a:graphic>
          </wp:inline>
        </w:drawing>
      </w:r>
    </w:p>
    <w:p w:rsidR="00765BC3" w:rsidRDefault="00765BC3" w:rsidP="00B9694E">
      <w:pPr>
        <w:spacing w:after="0" w:line="360" w:lineRule="auto"/>
        <w:jc w:val="both"/>
        <w:rPr>
          <w:rFonts w:ascii="Times New Roman" w:hAnsi="Times New Roman" w:cs="Times New Roman"/>
          <w:sz w:val="18"/>
          <w:szCs w:val="18"/>
        </w:rPr>
      </w:pPr>
      <w:r>
        <w:rPr>
          <w:rFonts w:ascii="Times New Roman" w:hAnsi="Times New Roman" w:cs="Times New Roman"/>
          <w:i/>
          <w:sz w:val="18"/>
          <w:szCs w:val="18"/>
        </w:rPr>
        <w:t>Note:</w:t>
      </w:r>
      <w:r>
        <w:rPr>
          <w:rFonts w:ascii="Times New Roman" w:hAnsi="Times New Roman" w:cs="Times New Roman"/>
          <w:sz w:val="18"/>
          <w:szCs w:val="18"/>
        </w:rPr>
        <w:t xml:space="preserve"> Plot of industry-by-industry annual net output growth in the two periods – 1924-30 (horizontal axis) and 1930-35 (vertical axis). The groups are formed using the two-group classification detailed in appendix A.</w:t>
      </w:r>
    </w:p>
    <w:p w:rsidR="00765BC3" w:rsidRDefault="00765BC3" w:rsidP="00B9694E">
      <w:pPr>
        <w:spacing w:line="360" w:lineRule="auto"/>
        <w:rPr>
          <w:rFonts w:ascii="Times New Roman" w:hAnsi="Times New Roman" w:cs="Times New Roman"/>
          <w:b/>
        </w:rPr>
      </w:pPr>
      <w:r>
        <w:rPr>
          <w:rFonts w:ascii="Times New Roman" w:hAnsi="Times New Roman" w:cs="Times New Roman"/>
          <w:b/>
        </w:rPr>
        <w:t>Figure 2: Productivity Growth across Industries, 1924-30 and 1930-35</w:t>
      </w:r>
    </w:p>
    <w:p w:rsidR="00765BC3" w:rsidRDefault="00765BC3" w:rsidP="00B9694E">
      <w:pPr>
        <w:spacing w:line="360" w:lineRule="auto"/>
        <w:jc w:val="center"/>
        <w:rPr>
          <w:rFonts w:ascii="Times New Roman" w:hAnsi="Times New Roman" w:cs="Times New Roman"/>
        </w:rPr>
      </w:pPr>
      <w:r>
        <w:rPr>
          <w:rFonts w:ascii="Times New Roman" w:hAnsi="Times New Roman" w:cs="Times New Roman"/>
          <w:noProof/>
          <w:lang w:eastAsia="en-GB"/>
        </w:rPr>
        <w:drawing>
          <wp:inline distT="0" distB="0" distL="0" distR="0" wp14:anchorId="2D44A099" wp14:editId="3CD1E6F9">
            <wp:extent cx="4335307" cy="3152775"/>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ductivity_2Group_Scatter.png"/>
                    <pic:cNvPicPr/>
                  </pic:nvPicPr>
                  <pic:blipFill>
                    <a:blip r:embed="rId9">
                      <a:extLst>
                        <a:ext uri="{28A0092B-C50C-407E-A947-70E740481C1C}">
                          <a14:useLocalDpi xmlns:a14="http://schemas.microsoft.com/office/drawing/2010/main" val="0"/>
                        </a:ext>
                      </a:extLst>
                    </a:blip>
                    <a:stretch>
                      <a:fillRect/>
                    </a:stretch>
                  </pic:blipFill>
                  <pic:spPr>
                    <a:xfrm>
                      <a:off x="0" y="0"/>
                      <a:ext cx="4333673" cy="3151587"/>
                    </a:xfrm>
                    <a:prstGeom prst="rect">
                      <a:avLst/>
                    </a:prstGeom>
                  </pic:spPr>
                </pic:pic>
              </a:graphicData>
            </a:graphic>
          </wp:inline>
        </w:drawing>
      </w:r>
    </w:p>
    <w:p w:rsidR="00C62335" w:rsidRPr="00347625" w:rsidRDefault="00765BC3" w:rsidP="00B9694E">
      <w:pPr>
        <w:spacing w:after="0" w:line="360" w:lineRule="auto"/>
        <w:jc w:val="both"/>
        <w:rPr>
          <w:rFonts w:ascii="Times New Roman" w:hAnsi="Times New Roman" w:cs="Times New Roman"/>
          <w:sz w:val="18"/>
          <w:szCs w:val="18"/>
        </w:rPr>
      </w:pPr>
      <w:r>
        <w:rPr>
          <w:rFonts w:ascii="Times New Roman" w:hAnsi="Times New Roman" w:cs="Times New Roman"/>
          <w:i/>
          <w:sz w:val="18"/>
          <w:szCs w:val="18"/>
        </w:rPr>
        <w:t>Note:</w:t>
      </w:r>
      <w:r>
        <w:rPr>
          <w:rFonts w:ascii="Times New Roman" w:hAnsi="Times New Roman" w:cs="Times New Roman"/>
          <w:sz w:val="18"/>
          <w:szCs w:val="18"/>
        </w:rPr>
        <w:t xml:space="preserve"> Plot of industry-by-industry annual net output </w:t>
      </w:r>
      <w:r w:rsidR="00B9694E">
        <w:rPr>
          <w:rFonts w:ascii="Times New Roman" w:hAnsi="Times New Roman" w:cs="Times New Roman"/>
          <w:sz w:val="18"/>
          <w:szCs w:val="18"/>
        </w:rPr>
        <w:t>per worker</w:t>
      </w:r>
      <w:r>
        <w:rPr>
          <w:rFonts w:ascii="Times New Roman" w:hAnsi="Times New Roman" w:cs="Times New Roman"/>
          <w:sz w:val="18"/>
          <w:szCs w:val="18"/>
        </w:rPr>
        <w:t xml:space="preserve"> growth in the two periods – 1924-30 (horizontal axis) and 1930-35 (vertical axis). The groups are formed using the two-group classification detailed in appendix A.</w:t>
      </w:r>
    </w:p>
    <w:p w:rsidR="00B9694E" w:rsidRDefault="00B9694E" w:rsidP="00B9694E">
      <w:pPr>
        <w:spacing w:after="0" w:line="360" w:lineRule="auto"/>
        <w:ind w:firstLine="567"/>
        <w:jc w:val="both"/>
        <w:rPr>
          <w:rFonts w:ascii="Times New Roman" w:hAnsi="Times New Roman" w:cs="Times New Roman"/>
        </w:rPr>
      </w:pPr>
    </w:p>
    <w:p w:rsidR="00C62335" w:rsidRPr="00B1247A" w:rsidRDefault="00C62335" w:rsidP="00B9694E">
      <w:pPr>
        <w:spacing w:after="0" w:line="360" w:lineRule="auto"/>
        <w:ind w:firstLine="567"/>
        <w:jc w:val="both"/>
        <w:rPr>
          <w:rFonts w:ascii="Times New Roman" w:hAnsi="Times New Roman" w:cs="Times New Roman"/>
        </w:rPr>
      </w:pPr>
      <w:r w:rsidRPr="00B1247A">
        <w:rPr>
          <w:rFonts w:ascii="Times New Roman" w:hAnsi="Times New Roman" w:cs="Times New Roman"/>
        </w:rPr>
        <w:t xml:space="preserve">Table 1 reports </w:t>
      </w:r>
      <w:r w:rsidR="00813E52">
        <w:rPr>
          <w:rFonts w:ascii="Times New Roman" w:hAnsi="Times New Roman" w:cs="Times New Roman"/>
        </w:rPr>
        <w:t xml:space="preserve">formal econometric </w:t>
      </w:r>
      <w:r w:rsidRPr="00B1247A">
        <w:rPr>
          <w:rFonts w:ascii="Times New Roman" w:hAnsi="Times New Roman" w:cs="Times New Roman"/>
        </w:rPr>
        <w:t>results for average annual real output, productivity and employment growth using the two-group classification</w:t>
      </w:r>
      <w:r w:rsidR="00813E52">
        <w:rPr>
          <w:rFonts w:ascii="Times New Roman" w:hAnsi="Times New Roman" w:cs="Times New Roman"/>
        </w:rPr>
        <w:t xml:space="preserve">, confirming the visual inspection of </w:t>
      </w:r>
      <w:r w:rsidR="00F80D93">
        <w:rPr>
          <w:rFonts w:ascii="Times New Roman" w:hAnsi="Times New Roman" w:cs="Times New Roman"/>
        </w:rPr>
        <w:t>F</w:t>
      </w:r>
      <w:r w:rsidR="00813E52">
        <w:rPr>
          <w:rFonts w:ascii="Times New Roman" w:hAnsi="Times New Roman" w:cs="Times New Roman"/>
        </w:rPr>
        <w:t xml:space="preserve">igures 1 </w:t>
      </w:r>
      <w:r w:rsidR="00F80D93">
        <w:rPr>
          <w:rFonts w:ascii="Times New Roman" w:hAnsi="Times New Roman" w:cs="Times New Roman"/>
        </w:rPr>
        <w:t>a</w:t>
      </w:r>
      <w:r w:rsidR="00813E52">
        <w:rPr>
          <w:rFonts w:ascii="Times New Roman" w:hAnsi="Times New Roman" w:cs="Times New Roman"/>
        </w:rPr>
        <w:t>nd 2</w:t>
      </w:r>
      <w:r w:rsidRPr="00B1247A">
        <w:rPr>
          <w:rFonts w:ascii="Times New Roman" w:hAnsi="Times New Roman" w:cs="Times New Roman"/>
        </w:rPr>
        <w:t xml:space="preserve">. In column (1), we estimate that the average annual output growth for non-newly protected industries in 1930-35 was not significantly different to 1924-30. </w:t>
      </w:r>
      <w:r>
        <w:rPr>
          <w:rFonts w:ascii="Times New Roman" w:hAnsi="Times New Roman" w:cs="Times New Roman"/>
        </w:rPr>
        <w:t>T</w:t>
      </w:r>
      <w:r w:rsidRPr="00B1247A">
        <w:rPr>
          <w:rFonts w:ascii="Times New Roman" w:hAnsi="Times New Roman" w:cs="Times New Roman"/>
        </w:rPr>
        <w:t>he results highlight the importance of accounting for initial conditions; we find that between 1924 and 1930 the average annual output growth for newly protected industries was 2.82 percent</w:t>
      </w:r>
      <w:r>
        <w:rPr>
          <w:rFonts w:ascii="Times New Roman" w:hAnsi="Times New Roman" w:cs="Times New Roman"/>
        </w:rPr>
        <w:t>age points</w:t>
      </w:r>
      <w:r w:rsidRPr="00B1247A">
        <w:rPr>
          <w:rFonts w:ascii="Times New Roman" w:hAnsi="Times New Roman" w:cs="Times New Roman"/>
        </w:rPr>
        <w:t xml:space="preserve"> lower than for the non-newly protected </w:t>
      </w:r>
      <w:r>
        <w:rPr>
          <w:rFonts w:ascii="Times New Roman" w:hAnsi="Times New Roman" w:cs="Times New Roman"/>
        </w:rPr>
        <w:t xml:space="preserve">industries over the same period, </w:t>
      </w:r>
      <w:r w:rsidRPr="00B1247A">
        <w:rPr>
          <w:rFonts w:ascii="Times New Roman" w:hAnsi="Times New Roman" w:cs="Times New Roman"/>
        </w:rPr>
        <w:t>significant at the 5 percent level. Notably, the difference-in-difference coefficient indicates that the tariff had an expansionary treatment effect of 4.07 percent</w:t>
      </w:r>
      <w:r>
        <w:rPr>
          <w:rFonts w:ascii="Times New Roman" w:hAnsi="Times New Roman" w:cs="Times New Roman"/>
        </w:rPr>
        <w:t>age points</w:t>
      </w:r>
      <w:r w:rsidRPr="00B1247A">
        <w:rPr>
          <w:rFonts w:ascii="Times New Roman" w:hAnsi="Times New Roman" w:cs="Times New Roman"/>
        </w:rPr>
        <w:t xml:space="preserve"> per annum on treated industries, significant at the 5 percent level. </w:t>
      </w:r>
      <w:r w:rsidR="00F80D93">
        <w:rPr>
          <w:rFonts w:ascii="Times New Roman" w:hAnsi="Times New Roman" w:cs="Times New Roman"/>
        </w:rPr>
        <w:t xml:space="preserve">The size of this treatment effect more than offset the </w:t>
      </w:r>
      <w:r w:rsidRPr="00B1247A">
        <w:rPr>
          <w:rFonts w:ascii="Times New Roman" w:hAnsi="Times New Roman" w:cs="Times New Roman"/>
        </w:rPr>
        <w:t>output growth shortfall of newly protected industries in 1924-30.</w:t>
      </w:r>
    </w:p>
    <w:p w:rsidR="00C62335" w:rsidRDefault="00C62335" w:rsidP="00B9694E">
      <w:pPr>
        <w:spacing w:after="0" w:line="360" w:lineRule="auto"/>
        <w:ind w:firstLine="567"/>
        <w:jc w:val="both"/>
        <w:rPr>
          <w:rFonts w:ascii="Times New Roman" w:hAnsi="Times New Roman" w:cs="Times New Roman"/>
        </w:rPr>
      </w:pPr>
      <w:r w:rsidRPr="00277BA1">
        <w:rPr>
          <w:rFonts w:ascii="Times New Roman" w:hAnsi="Times New Roman" w:cs="Times New Roman"/>
        </w:rPr>
        <w:t xml:space="preserve">In column (2), we estimate that the tariff also had an expansionary effect on the </w:t>
      </w:r>
      <w:r>
        <w:rPr>
          <w:rFonts w:ascii="Times New Roman" w:hAnsi="Times New Roman" w:cs="Times New Roman"/>
        </w:rPr>
        <w:t xml:space="preserve">labour </w:t>
      </w:r>
      <w:r w:rsidRPr="00277BA1">
        <w:rPr>
          <w:rFonts w:ascii="Times New Roman" w:hAnsi="Times New Roman" w:cs="Times New Roman"/>
        </w:rPr>
        <w:t>productivity growth of newly protected industries. I</w:t>
      </w:r>
      <w:r w:rsidRPr="00B1247A">
        <w:rPr>
          <w:rFonts w:ascii="Times New Roman" w:hAnsi="Times New Roman" w:cs="Times New Roman"/>
        </w:rPr>
        <w:t>n 1924-30, the productivity of non-newly protected industries grew a 3.01 percent per annum, a figure that did not significantly change in 1930-35. Productivity growth of the newly protect</w:t>
      </w:r>
      <w:r>
        <w:rPr>
          <w:rFonts w:ascii="Times New Roman" w:hAnsi="Times New Roman" w:cs="Times New Roman"/>
        </w:rPr>
        <w:t>ed</w:t>
      </w:r>
      <w:r w:rsidRPr="00B1247A">
        <w:rPr>
          <w:rFonts w:ascii="Times New Roman" w:hAnsi="Times New Roman" w:cs="Times New Roman"/>
        </w:rPr>
        <w:t xml:space="preserve"> industries was 1.46 percent</w:t>
      </w:r>
      <w:r>
        <w:rPr>
          <w:rFonts w:ascii="Times New Roman" w:hAnsi="Times New Roman" w:cs="Times New Roman"/>
        </w:rPr>
        <w:t>age points</w:t>
      </w:r>
      <w:r w:rsidRPr="00B1247A">
        <w:rPr>
          <w:rFonts w:ascii="Times New Roman" w:hAnsi="Times New Roman" w:cs="Times New Roman"/>
        </w:rPr>
        <w:t xml:space="preserve"> per annum less than their non-newly protected counterparts in 1924-30. The difference-in-difference coefficient indicates that, between 1930 and 1935, the tariff had an expansionary impact on productivity growth of 2.16 percent</w:t>
      </w:r>
      <w:r>
        <w:rPr>
          <w:rFonts w:ascii="Times New Roman" w:hAnsi="Times New Roman" w:cs="Times New Roman"/>
        </w:rPr>
        <w:t>age points</w:t>
      </w:r>
      <w:r w:rsidRPr="00B1247A">
        <w:rPr>
          <w:rFonts w:ascii="Times New Roman" w:hAnsi="Times New Roman" w:cs="Times New Roman"/>
        </w:rPr>
        <w:t xml:space="preserve"> per annum, more than reversing the relative productivity growth shortfall in the earlier period, significant at the 10 percent </w:t>
      </w:r>
      <w:r w:rsidR="007D5E0C">
        <w:rPr>
          <w:rFonts w:ascii="Times New Roman" w:hAnsi="Times New Roman" w:cs="Times New Roman"/>
        </w:rPr>
        <w:t xml:space="preserve">significance </w:t>
      </w:r>
      <w:r w:rsidRPr="00B1247A">
        <w:rPr>
          <w:rFonts w:ascii="Times New Roman" w:hAnsi="Times New Roman" w:cs="Times New Roman"/>
        </w:rPr>
        <w:t>level.</w:t>
      </w:r>
    </w:p>
    <w:p w:rsidR="007D5E0C" w:rsidRDefault="00C62335" w:rsidP="00B9694E">
      <w:pPr>
        <w:spacing w:after="0" w:line="360" w:lineRule="auto"/>
        <w:ind w:firstLine="567"/>
        <w:jc w:val="both"/>
        <w:rPr>
          <w:rFonts w:ascii="Times New Roman" w:hAnsi="Times New Roman" w:cs="Times New Roman"/>
        </w:rPr>
      </w:pPr>
      <w:r w:rsidRPr="00C3416D">
        <w:rPr>
          <w:rFonts w:ascii="Times New Roman" w:hAnsi="Times New Roman" w:cs="Times New Roman"/>
        </w:rPr>
        <w:t>In column (3), we estimate the two-group classification with annual employment growth as the dependent variable. We do not find that the General Tariff had a significant treatment effect on the employment growth of newly protected industries in 1930-35.</w:t>
      </w:r>
    </w:p>
    <w:p w:rsidR="00F80D93" w:rsidRDefault="00F80D93" w:rsidP="00B9694E">
      <w:pPr>
        <w:spacing w:after="0" w:line="360" w:lineRule="auto"/>
        <w:ind w:firstLine="567"/>
        <w:jc w:val="both"/>
        <w:rPr>
          <w:rFonts w:ascii="Times New Roman" w:hAnsi="Times New Roman" w:cs="Times New Roman"/>
        </w:rPr>
      </w:pPr>
      <w:r>
        <w:rPr>
          <w:rFonts w:ascii="Times New Roman" w:hAnsi="Times New Roman" w:cs="Times New Roman"/>
        </w:rPr>
        <w:t xml:space="preserve">Taken together, the </w:t>
      </w:r>
      <w:r w:rsidR="00084356">
        <w:rPr>
          <w:rFonts w:ascii="Times New Roman" w:hAnsi="Times New Roman" w:cs="Times New Roman"/>
        </w:rPr>
        <w:t xml:space="preserve">differing significance of </w:t>
      </w:r>
      <w:r>
        <w:rPr>
          <w:rFonts w:ascii="Times New Roman" w:hAnsi="Times New Roman" w:cs="Times New Roman"/>
        </w:rPr>
        <w:t>treatment effects for productivity and employment growth identified in columns (2) and (3), indicate</w:t>
      </w:r>
      <w:r w:rsidR="00084356">
        <w:rPr>
          <w:rFonts w:ascii="Times New Roman" w:hAnsi="Times New Roman" w:cs="Times New Roman"/>
        </w:rPr>
        <w:t>s</w:t>
      </w:r>
      <w:r>
        <w:rPr>
          <w:rFonts w:ascii="Times New Roman" w:hAnsi="Times New Roman" w:cs="Times New Roman"/>
        </w:rPr>
        <w:t xml:space="preserve"> that </w:t>
      </w:r>
      <w:r w:rsidR="00084356">
        <w:rPr>
          <w:rFonts w:ascii="Times New Roman" w:hAnsi="Times New Roman" w:cs="Times New Roman"/>
        </w:rPr>
        <w:t>the net output of newly protected industries predominantly increased because of productivity improvements rather than shifts in employment demand/supply</w:t>
      </w:r>
      <w:r>
        <w:rPr>
          <w:rFonts w:ascii="Times New Roman" w:hAnsi="Times New Roman" w:cs="Times New Roman"/>
        </w:rPr>
        <w:t>.</w:t>
      </w:r>
    </w:p>
    <w:p w:rsidR="00C62335" w:rsidRPr="00B1247A" w:rsidRDefault="00C62335" w:rsidP="00B9694E">
      <w:pPr>
        <w:spacing w:after="0" w:line="360" w:lineRule="auto"/>
        <w:ind w:firstLine="567"/>
        <w:jc w:val="both"/>
        <w:rPr>
          <w:rFonts w:ascii="Times New Roman" w:hAnsi="Times New Roman" w:cs="Times New Roman"/>
        </w:rPr>
      </w:pPr>
    </w:p>
    <w:p w:rsidR="00C62335" w:rsidRPr="00C3416D" w:rsidRDefault="00C62335" w:rsidP="00B9694E">
      <w:pPr>
        <w:spacing w:line="360" w:lineRule="auto"/>
        <w:jc w:val="both"/>
        <w:rPr>
          <w:rFonts w:ascii="Times New Roman" w:hAnsi="Times New Roman" w:cs="Times New Roman"/>
        </w:rPr>
      </w:pPr>
      <w:r w:rsidRPr="00C3416D">
        <w:rPr>
          <w:rFonts w:ascii="Times New Roman" w:hAnsi="Times New Roman" w:cs="Times New Roman"/>
          <w:b/>
        </w:rPr>
        <w:t>Table 1: Difference-in-Difference Results for the Two-Group Classification</w:t>
      </w:r>
    </w:p>
    <w:tbl>
      <w:tblPr>
        <w:tblStyle w:val="TableGrid"/>
        <w:tblW w:w="8472" w:type="dxa"/>
        <w:tblLook w:val="04A0" w:firstRow="1" w:lastRow="0" w:firstColumn="1" w:lastColumn="0" w:noHBand="0" w:noVBand="1"/>
      </w:tblPr>
      <w:tblGrid>
        <w:gridCol w:w="3369"/>
        <w:gridCol w:w="1701"/>
        <w:gridCol w:w="1701"/>
        <w:gridCol w:w="1701"/>
      </w:tblGrid>
      <w:tr w:rsidR="00C62335" w:rsidRPr="00C3416D" w:rsidTr="00CD1883">
        <w:tc>
          <w:tcPr>
            <w:tcW w:w="3369" w:type="dxa"/>
            <w:tcBorders>
              <w:top w:val="single" w:sz="12" w:space="0" w:color="auto"/>
              <w:left w:val="single" w:sz="4" w:space="0" w:color="FFFFFF" w:themeColor="background1"/>
              <w:right w:val="single" w:sz="4" w:space="0" w:color="FFFFFF" w:themeColor="background1"/>
            </w:tcBorders>
          </w:tcPr>
          <w:p w:rsidR="00C62335" w:rsidRPr="00C3416D" w:rsidRDefault="00C62335" w:rsidP="00B9694E">
            <w:pPr>
              <w:spacing w:line="360" w:lineRule="auto"/>
              <w:jc w:val="both"/>
              <w:rPr>
                <w:rFonts w:ascii="Times New Roman" w:hAnsi="Times New Roman" w:cs="Times New Roman"/>
              </w:rPr>
            </w:pPr>
          </w:p>
        </w:tc>
        <w:tc>
          <w:tcPr>
            <w:tcW w:w="1701" w:type="dxa"/>
            <w:tcBorders>
              <w:top w:val="single" w:sz="12" w:space="0" w:color="auto"/>
              <w:left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(1)</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Net Output Growth</w:t>
            </w:r>
          </w:p>
        </w:tc>
        <w:tc>
          <w:tcPr>
            <w:tcW w:w="1701" w:type="dxa"/>
            <w:tcBorders>
              <w:top w:val="single" w:sz="12" w:space="0" w:color="auto"/>
              <w:left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(2)</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 xml:space="preserve">Net Output </w:t>
            </w:r>
            <w:r w:rsidR="00B9694E">
              <w:rPr>
                <w:rFonts w:ascii="Times New Roman" w:hAnsi="Times New Roman" w:cs="Times New Roman"/>
              </w:rPr>
              <w:t>per worker</w:t>
            </w:r>
            <w:r w:rsidRPr="00C3416D">
              <w:rPr>
                <w:rFonts w:ascii="Times New Roman" w:hAnsi="Times New Roman" w:cs="Times New Roman"/>
              </w:rPr>
              <w:t xml:space="preserve"> Growth</w:t>
            </w:r>
          </w:p>
        </w:tc>
        <w:tc>
          <w:tcPr>
            <w:tcW w:w="1701" w:type="dxa"/>
            <w:tcBorders>
              <w:top w:val="single" w:sz="12" w:space="0" w:color="auto"/>
              <w:left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(3)</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Employment Growth</w:t>
            </w:r>
          </w:p>
        </w:tc>
      </w:tr>
      <w:tr w:rsidR="00C62335" w:rsidRPr="00C3416D" w:rsidTr="00CD1883">
        <w:tc>
          <w:tcPr>
            <w:tcW w:w="3369" w:type="dxa"/>
            <w:tcBorders>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rPr>
                <w:rFonts w:ascii="Times New Roman" w:hAnsi="Times New Roman" w:cs="Times New Roman"/>
              </w:rPr>
            </w:pPr>
            <w:r w:rsidRPr="00C3416D">
              <w:rPr>
                <w:rFonts w:ascii="Times New Roman" w:hAnsi="Times New Roman" w:cs="Times New Roman"/>
              </w:rPr>
              <w:t xml:space="preserve">D-in-D for Newly Protected Industries, </w:t>
            </w:r>
            <m:oMath>
              <m:acc>
                <m:accPr>
                  <m:ctrlPr>
                    <w:rPr>
                      <w:rFonts w:ascii="Cambria Math" w:hAnsi="Cambria Math" w:cs="Times New Roman"/>
                      <w:i/>
                    </w:rPr>
                  </m:ctrlPr>
                </m:accPr>
                <m:e>
                  <m:r>
                    <w:rPr>
                      <w:rFonts w:ascii="Cambria Math" w:hAnsi="Cambria Math" w:cs="Times New Roman"/>
                    </w:rPr>
                    <m:t>δ</m:t>
                  </m:r>
                </m:e>
              </m:acc>
            </m:oMath>
          </w:p>
        </w:tc>
        <w:tc>
          <w:tcPr>
            <w:tcW w:w="1701" w:type="dxa"/>
            <w:tcBorders>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4.066**</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(1.783)</w:t>
            </w:r>
          </w:p>
        </w:tc>
        <w:tc>
          <w:tcPr>
            <w:tcW w:w="1701" w:type="dxa"/>
            <w:tcBorders>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2.161*</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(1.131)</w:t>
            </w:r>
          </w:p>
        </w:tc>
        <w:tc>
          <w:tcPr>
            <w:tcW w:w="1701" w:type="dxa"/>
            <w:tcBorders>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1.841</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(1.124)</w:t>
            </w:r>
          </w:p>
        </w:tc>
      </w:tr>
      <w:tr w:rsidR="00C62335" w:rsidRPr="00C3416D" w:rsidTr="00CD1883">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rPr>
                <w:rFonts w:ascii="Times New Roman" w:hAnsi="Times New Roman" w:cs="Times New Roman"/>
              </w:rPr>
            </w:pPr>
            <w:r w:rsidRPr="00C3416D">
              <w:rPr>
                <w:rFonts w:ascii="Times New Roman" w:hAnsi="Times New Roman" w:cs="Times New Roman"/>
              </w:rPr>
              <w:t xml:space="preserve">Dummy Variable for Newly Protected Industries, </w:t>
            </w:r>
            <m:oMath>
              <m:acc>
                <m:accPr>
                  <m:ctrlPr>
                    <w:rPr>
                      <w:rFonts w:ascii="Cambria Math" w:hAnsi="Cambria Math" w:cs="Times New Roman"/>
                      <w:i/>
                    </w:rPr>
                  </m:ctrlPr>
                </m:accPr>
                <m:e>
                  <m:r>
                    <w:rPr>
                      <w:rFonts w:ascii="Cambria Math" w:hAnsi="Cambria Math" w:cs="Times New Roman"/>
                    </w:rPr>
                    <m:t>β</m:t>
                  </m:r>
                </m:e>
              </m:acc>
            </m:oMath>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-2.822**</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(1.087)</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-1.459*</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(0.800)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-1.298*</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(0.698)</w:t>
            </w:r>
          </w:p>
        </w:tc>
      </w:tr>
      <w:tr w:rsidR="00C62335" w:rsidRPr="00C3416D" w:rsidTr="00CD1883">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rPr>
                <w:rFonts w:ascii="Times New Roman" w:hAnsi="Times New Roman" w:cs="Times New Roman"/>
              </w:rPr>
            </w:pPr>
            <w:r w:rsidRPr="00C3416D">
              <w:rPr>
                <w:rFonts w:ascii="Times New Roman" w:hAnsi="Times New Roman" w:cs="Times New Roman"/>
              </w:rPr>
              <w:t xml:space="preserve">Dummy Variable for 1930-35,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α</m:t>
                      </m:r>
                    </m:e>
                  </m:acc>
                </m:e>
                <m:sub>
                  <m:r>
                    <w:rPr>
                      <w:rFonts w:ascii="Cambria Math" w:hAnsi="Cambria Math" w:cs="Times New Roman"/>
                    </w:rPr>
                    <m:t>1</m:t>
                  </m:r>
                </m:sub>
              </m:sSub>
            </m:oMath>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0.064</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(1.641)</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0.131</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(0.925)</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-0.056</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(0.981)</w:t>
            </w:r>
          </w:p>
        </w:tc>
      </w:tr>
      <w:tr w:rsidR="00C62335" w:rsidRPr="00C3416D" w:rsidTr="00CD1883">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rPr>
                <w:rFonts w:ascii="Times New Roman" w:hAnsi="Times New Roman" w:cs="Times New Roman"/>
              </w:rPr>
            </w:pPr>
            <w:r w:rsidRPr="00C3416D">
              <w:rPr>
                <w:rFonts w:ascii="Times New Roman" w:hAnsi="Times New Roman" w:cs="Times New Roman"/>
              </w:rPr>
              <w:t xml:space="preserve">Constant,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α</m:t>
                      </m:r>
                    </m:e>
                  </m:acc>
                </m:e>
                <m:sub>
                  <m:r>
                    <w:rPr>
                      <w:rFonts w:ascii="Cambria Math" w:hAnsi="Cambria Math" w:cs="Times New Roman"/>
                    </w:rPr>
                    <m:t>0</m:t>
                  </m:r>
                </m:sub>
              </m:sSub>
            </m:oMath>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4.221***</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(0.982)</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3.013***</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(0.654)</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1.158**</w:t>
            </w:r>
          </w:p>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(0.580)</w:t>
            </w:r>
          </w:p>
        </w:tc>
      </w:tr>
      <w:tr w:rsidR="00C62335" w:rsidRPr="00C3416D" w:rsidTr="00CD1883">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rPr>
                <w:rFonts w:ascii="Times New Roman" w:hAnsi="Times New Roman" w:cs="Times New Roman"/>
                <w:sz w:val="8"/>
                <w:szCs w:val="8"/>
              </w:rPr>
            </w:pP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sz w:val="8"/>
                <w:szCs w:val="8"/>
              </w:rPr>
            </w:pP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sz w:val="8"/>
                <w:szCs w:val="8"/>
              </w:rPr>
            </w:pP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sz w:val="8"/>
                <w:szCs w:val="8"/>
              </w:rPr>
            </w:pPr>
          </w:p>
        </w:tc>
      </w:tr>
      <w:tr w:rsidR="00C62335" w:rsidRPr="00C3416D" w:rsidTr="00CD1883">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rPr>
                <w:rFonts w:ascii="Times New Roman" w:hAnsi="Times New Roman" w:cs="Times New Roman"/>
              </w:rPr>
            </w:pPr>
            <w:r w:rsidRPr="00C3416D">
              <w:rPr>
                <w:rFonts w:ascii="Times New Roman" w:hAnsi="Times New Roman" w:cs="Times New Roman"/>
              </w:rPr>
              <w:t>Observations</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218</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218</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218</w:t>
            </w:r>
          </w:p>
        </w:tc>
      </w:tr>
      <w:tr w:rsidR="00C62335" w:rsidRPr="00C3416D" w:rsidTr="00CD1883">
        <w:tc>
          <w:tcPr>
            <w:tcW w:w="3369"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C62335" w:rsidRPr="00C3416D" w:rsidRDefault="00C62335" w:rsidP="00B9694E">
            <w:pPr>
              <w:spacing w:line="360" w:lineRule="auto"/>
              <w:rPr>
                <w:rFonts w:ascii="Times New Roman" w:hAnsi="Times New Roman" w:cs="Times New Roman"/>
              </w:rPr>
            </w:pPr>
            <w:r w:rsidRPr="00C3416D">
              <w:rPr>
                <w:rFonts w:ascii="Times New Roman" w:hAnsi="Times New Roman" w:cs="Times New Roman"/>
              </w:rPr>
              <w:t>R-squared</w:t>
            </w:r>
          </w:p>
        </w:tc>
        <w:tc>
          <w:tcPr>
            <w:tcW w:w="1701"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0.098</w:t>
            </w:r>
          </w:p>
        </w:tc>
        <w:tc>
          <w:tcPr>
            <w:tcW w:w="1701"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0.057</w:t>
            </w:r>
          </w:p>
        </w:tc>
        <w:tc>
          <w:tcPr>
            <w:tcW w:w="1701"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C62335" w:rsidRPr="00C3416D" w:rsidRDefault="00C62335" w:rsidP="00B9694E">
            <w:pPr>
              <w:spacing w:line="360" w:lineRule="auto"/>
              <w:jc w:val="center"/>
              <w:rPr>
                <w:rFonts w:ascii="Times New Roman" w:hAnsi="Times New Roman" w:cs="Times New Roman"/>
              </w:rPr>
            </w:pPr>
            <w:r w:rsidRPr="00C3416D">
              <w:rPr>
                <w:rFonts w:ascii="Times New Roman" w:hAnsi="Times New Roman" w:cs="Times New Roman"/>
              </w:rPr>
              <w:t>0.042</w:t>
            </w:r>
          </w:p>
        </w:tc>
      </w:tr>
      <w:tr w:rsidR="00C62335" w:rsidRPr="00C3416D" w:rsidTr="00CD1883">
        <w:tc>
          <w:tcPr>
            <w:tcW w:w="8472" w:type="dxa"/>
            <w:gridSpan w:val="4"/>
            <w:tcBorders>
              <w:top w:val="single" w:sz="12" w:space="0" w:color="auto"/>
              <w:left w:val="single" w:sz="4" w:space="0" w:color="FFFFFF" w:themeColor="background1"/>
              <w:bottom w:val="single" w:sz="4" w:space="0" w:color="FFFFFF" w:themeColor="background1"/>
              <w:right w:val="single" w:sz="4" w:space="0" w:color="FFFFFF" w:themeColor="background1"/>
            </w:tcBorders>
          </w:tcPr>
          <w:p w:rsidR="00C62335" w:rsidRPr="00C3416D" w:rsidRDefault="00C62335" w:rsidP="00B9694E">
            <w:pPr>
              <w:spacing w:line="360" w:lineRule="auto"/>
              <w:jc w:val="both"/>
              <w:rPr>
                <w:rFonts w:ascii="Times New Roman" w:hAnsi="Times New Roman" w:cs="Times New Roman"/>
                <w:sz w:val="18"/>
                <w:szCs w:val="18"/>
              </w:rPr>
            </w:pPr>
            <w:r w:rsidRPr="00C3416D">
              <w:rPr>
                <w:rFonts w:ascii="Times New Roman" w:hAnsi="Times New Roman" w:cs="Times New Roman"/>
                <w:i/>
                <w:sz w:val="18"/>
                <w:szCs w:val="18"/>
              </w:rPr>
              <w:t>Note:</w:t>
            </w:r>
            <w:r w:rsidRPr="00C3416D">
              <w:rPr>
                <w:rFonts w:ascii="Times New Roman" w:hAnsi="Times New Roman" w:cs="Times New Roman"/>
                <w:sz w:val="18"/>
                <w:szCs w:val="18"/>
              </w:rPr>
              <w:t xml:space="preserve"> Estimated regression results for the two-group classification. In column (1), the dependent variable is annualised average (real) net output growth</w:t>
            </w:r>
            <w:r>
              <w:rPr>
                <w:rFonts w:ascii="Times New Roman" w:hAnsi="Times New Roman" w:cs="Times New Roman"/>
                <w:sz w:val="18"/>
                <w:szCs w:val="18"/>
              </w:rPr>
              <w:t xml:space="preserve"> (in annualised percentage points)</w:t>
            </w:r>
            <w:r w:rsidRPr="00C3416D">
              <w:rPr>
                <w:rFonts w:ascii="Times New Roman" w:hAnsi="Times New Roman" w:cs="Times New Roman"/>
                <w:sz w:val="18"/>
                <w:szCs w:val="18"/>
              </w:rPr>
              <w:t xml:space="preserve">. The corresponding dependent variables in columns (2) and (3) are annualised average net output </w:t>
            </w:r>
            <w:r w:rsidR="00B9694E">
              <w:rPr>
                <w:rFonts w:ascii="Times New Roman" w:hAnsi="Times New Roman" w:cs="Times New Roman"/>
                <w:sz w:val="18"/>
                <w:szCs w:val="18"/>
              </w:rPr>
              <w:t>per worker</w:t>
            </w:r>
            <w:r w:rsidRPr="00C3416D">
              <w:rPr>
                <w:rFonts w:ascii="Times New Roman" w:hAnsi="Times New Roman" w:cs="Times New Roman"/>
                <w:sz w:val="18"/>
                <w:szCs w:val="18"/>
              </w:rPr>
              <w:t xml:space="preserve"> growth and employment growth respectively. All regressions are estimated by OLS and robust standard errors are reported, where *** p&lt;0.01, ** p&lt;0.05, * p&lt;0.1. </w:t>
            </w:r>
          </w:p>
        </w:tc>
      </w:tr>
    </w:tbl>
    <w:p w:rsidR="00BD453A" w:rsidRDefault="00BD453A" w:rsidP="00B9694E">
      <w:pPr>
        <w:spacing w:after="0" w:line="360" w:lineRule="auto"/>
        <w:jc w:val="both"/>
        <w:rPr>
          <w:rFonts w:ascii="Times New Roman" w:hAnsi="Times New Roman" w:cs="Times New Roman"/>
          <w:b/>
        </w:rPr>
      </w:pPr>
    </w:p>
    <w:p w:rsidR="00347625" w:rsidRDefault="00347625" w:rsidP="00B9694E">
      <w:pPr>
        <w:spacing w:after="0" w:line="360" w:lineRule="auto"/>
        <w:jc w:val="both"/>
        <w:rPr>
          <w:rFonts w:ascii="Times New Roman" w:hAnsi="Times New Roman" w:cs="Times New Roman"/>
          <w:b/>
        </w:rPr>
      </w:pPr>
    </w:p>
    <w:p w:rsidR="00C62335" w:rsidRPr="00C3416D" w:rsidRDefault="00C62335" w:rsidP="00B9694E">
      <w:pPr>
        <w:spacing w:after="0" w:line="360" w:lineRule="auto"/>
        <w:jc w:val="both"/>
        <w:rPr>
          <w:rFonts w:ascii="Times New Roman" w:hAnsi="Times New Roman" w:cs="Times New Roman"/>
          <w:b/>
        </w:rPr>
      </w:pPr>
      <w:r w:rsidRPr="00C3416D">
        <w:rPr>
          <w:rFonts w:ascii="Times New Roman" w:hAnsi="Times New Roman" w:cs="Times New Roman"/>
          <w:b/>
        </w:rPr>
        <w:t>3.2</w:t>
      </w:r>
      <w:r w:rsidRPr="00C3416D">
        <w:rPr>
          <w:rFonts w:ascii="Times New Roman" w:hAnsi="Times New Roman" w:cs="Times New Roman"/>
          <w:b/>
        </w:rPr>
        <w:tab/>
        <w:t>Three-Group Classification</w:t>
      </w:r>
    </w:p>
    <w:p w:rsidR="00C62335" w:rsidRPr="00C3416D" w:rsidRDefault="00C62335" w:rsidP="00B9694E">
      <w:pPr>
        <w:spacing w:after="0" w:line="360" w:lineRule="auto"/>
        <w:ind w:firstLine="567"/>
        <w:jc w:val="both"/>
        <w:rPr>
          <w:rFonts w:ascii="Times New Roman" w:hAnsi="Times New Roman" w:cs="Times New Roman"/>
        </w:rPr>
      </w:pPr>
      <w:r w:rsidRPr="00C3416D">
        <w:rPr>
          <w:rFonts w:ascii="Times New Roman" w:hAnsi="Times New Roman" w:cs="Times New Roman"/>
        </w:rPr>
        <w:t>The three-group classification allows for a more detailed examination of the effects of differing tariff protection rates.</w:t>
      </w:r>
      <w:r>
        <w:rPr>
          <w:rFonts w:ascii="Times New Roman" w:hAnsi="Times New Roman" w:cs="Times New Roman"/>
        </w:rPr>
        <w:t xml:space="preserve"> </w:t>
      </w:r>
      <w:r w:rsidRPr="00C3416D">
        <w:rPr>
          <w:rFonts w:ascii="Times New Roman" w:hAnsi="Times New Roman" w:cs="Times New Roman"/>
        </w:rPr>
        <w:t>As in the two-group analysis, our control group includes industries that were both early protected and zero-protected.</w:t>
      </w:r>
      <w:r w:rsidRPr="00C3416D">
        <w:rPr>
          <w:rStyle w:val="FootnoteReference"/>
          <w:rFonts w:ascii="Times New Roman" w:hAnsi="Times New Roman" w:cs="Times New Roman"/>
        </w:rPr>
        <w:footnoteReference w:id="10"/>
      </w:r>
      <w:r w:rsidRPr="00C3416D">
        <w:rPr>
          <w:rFonts w:ascii="Times New Roman" w:hAnsi="Times New Roman" w:cs="Times New Roman"/>
        </w:rPr>
        <w:t xml:space="preserve"> For our baseline three-group classification, we separate the newly protected industries into two treated sub-groups: (i) newly protected industries at the 10 percent </w:t>
      </w:r>
      <w:r w:rsidRPr="00C3416D">
        <w:rPr>
          <w:rFonts w:ascii="Times New Roman" w:hAnsi="Times New Roman" w:cs="Times New Roman"/>
          <w:i/>
        </w:rPr>
        <w:t>ad valorem</w:t>
      </w:r>
      <w:r w:rsidRPr="00C3416D">
        <w:rPr>
          <w:rFonts w:ascii="Times New Roman" w:hAnsi="Times New Roman" w:cs="Times New Roman"/>
        </w:rPr>
        <w:t xml:space="preserve"> rate; and (ii) newly protected industries with tariffs at additional rates in excess of 10 percent </w:t>
      </w:r>
      <w:r w:rsidRPr="00C3416D">
        <w:rPr>
          <w:rFonts w:ascii="Times New Roman" w:hAnsi="Times New Roman" w:cs="Times New Roman"/>
          <w:i/>
        </w:rPr>
        <w:t>ad valorem</w:t>
      </w:r>
      <w:r w:rsidRPr="00C3416D">
        <w:rPr>
          <w:rFonts w:ascii="Times New Roman" w:hAnsi="Times New Roman" w:cs="Times New Roman"/>
        </w:rPr>
        <w:t>. The three-group model can be specified as:</w:t>
      </w:r>
    </w:p>
    <w:p w:rsidR="00E83380" w:rsidRDefault="00C62335" w:rsidP="00E83380">
      <w:pPr>
        <w:spacing w:after="0" w:line="360" w:lineRule="auto"/>
        <w:ind w:firstLine="567"/>
        <w:jc w:val="both"/>
        <w:rPr>
          <w:rFonts w:ascii="Times New Roman" w:hAnsi="Times New Roman" w:cs="Times New Roman"/>
        </w:rPr>
      </w:pPr>
      <m:oMathPara>
        <m:oMath>
          <m:r>
            <m:rPr>
              <m:sty m:val="p"/>
            </m:rP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i,t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1</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ten</m:t>
              </m:r>
            </m:sub>
          </m:sSub>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add</m:t>
              </m:r>
            </m:sub>
          </m:sSub>
          <m:r>
            <w:rPr>
              <w:rFonts w:ascii="Cambria Math" w:hAnsi="Cambria Math" w:cs="Times New Roman"/>
            </w:rPr>
            <m:t>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ten</m:t>
              </m:r>
            </m:sub>
          </m:sSub>
          <m:d>
            <m:dPr>
              <m:ctrlPr>
                <w:rPr>
                  <w:rFonts w:ascii="Cambria Math" w:hAnsi="Cambria Math" w:cs="Times New Roman"/>
                  <w:i/>
                </w:rPr>
              </m:ctrlPr>
            </m:dPr>
            <m:e>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add</m:t>
              </m:r>
            </m:sub>
          </m:sSub>
          <m:d>
            <m:dPr>
              <m:ctrlPr>
                <w:rPr>
                  <w:rFonts w:ascii="Cambria Math" w:hAnsi="Cambria Math" w:cs="Times New Roman"/>
                  <w:i/>
                </w:rPr>
              </m:ctrlPr>
            </m:dPr>
            <m:e>
              <m:r>
                <w:rPr>
                  <w:rFonts w:ascii="Cambria Math" w:hAnsi="Cambria Math" w:cs="Times New Roman"/>
                </w:rPr>
                <m:t>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i,t</m:t>
              </m:r>
            </m:sub>
          </m:sSub>
        </m:oMath>
      </m:oMathPara>
    </w:p>
    <w:p w:rsidR="00C62335" w:rsidRDefault="00C62335" w:rsidP="00E83380">
      <w:pPr>
        <w:spacing w:after="0" w:line="360" w:lineRule="auto"/>
        <w:ind w:firstLine="567"/>
        <w:jc w:val="both"/>
        <w:rPr>
          <w:rFonts w:ascii="Times New Roman" w:hAnsi="Times New Roman" w:cs="Times New Roman"/>
        </w:rPr>
      </w:pPr>
      <w:r w:rsidRPr="00C3416D">
        <w:rPr>
          <w:rFonts w:ascii="Times New Roman" w:hAnsi="Times New Roman" w:cs="Times New Roman"/>
        </w:rPr>
        <w:t xml:space="preserve">the two time periods, and the dependent variable </w:t>
      </w:r>
      <m:oMath>
        <m:r>
          <m:rPr>
            <m:sty m:val="p"/>
          </m:rP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i,t</m:t>
            </m:r>
          </m:sub>
        </m:sSub>
      </m:oMath>
      <w:r w:rsidRPr="00C3416D">
        <w:rPr>
          <w:rFonts w:ascii="Times New Roman" w:hAnsi="Times New Roman" w:cs="Times New Roman"/>
        </w:rPr>
        <w:t xml:space="preserve"> and the time dummy </w:t>
      </w:r>
      <m:oMath>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oMath>
      <w:r w:rsidRPr="00C3416D">
        <w:rPr>
          <w:rFonts w:ascii="Times New Roman" w:hAnsi="Times New Roman" w:cs="Times New Roman"/>
        </w:rPr>
        <w:t xml:space="preserve"> are defined analogously to the two-group classification. The time-invariant explanatory variables </w:t>
      </w:r>
      <m:oMath>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oMath>
      <w:r w:rsidRPr="00C3416D">
        <w:rPr>
          <w:rFonts w:ascii="Times New Roman" w:hAnsi="Times New Roman" w:cs="Times New Roman"/>
        </w:rPr>
        <w:t xml:space="preserve"> and </w:t>
      </w:r>
      <m:oMath>
        <m:r>
          <w:rPr>
            <w:rFonts w:ascii="Cambria Math" w:hAnsi="Cambria Math" w:cs="Times New Roman"/>
          </w:rPr>
          <m:t>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oMath>
      <w:r w:rsidRPr="00C3416D">
        <w:rPr>
          <w:rFonts w:ascii="Times New Roman" w:hAnsi="Times New Roman" w:cs="Times New Roman"/>
        </w:rPr>
        <w:t xml:space="preserve"> are dummy variables set equal to unity if industry </w:t>
      </w:r>
      <m:oMath>
        <m:r>
          <w:rPr>
            <w:rFonts w:ascii="Cambria Math" w:hAnsi="Cambria Math" w:cs="Times New Roman"/>
          </w:rPr>
          <m:t>i</m:t>
        </m:r>
      </m:oMath>
      <w:r w:rsidRPr="00C3416D">
        <w:rPr>
          <w:rFonts w:ascii="Times New Roman" w:hAnsi="Times New Roman" w:cs="Times New Roman"/>
        </w:rPr>
        <w:t xml:space="preserve"> was newly protected at the 10 percent rate or at an additional rate respectively (and zero otherwise). Thus, the coefficients </w:t>
      </w:r>
      <m:oMath>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ten</m:t>
            </m:r>
          </m:sub>
        </m:sSub>
      </m:oMath>
      <w:r w:rsidRPr="00C3416D">
        <w:rPr>
          <w:rFonts w:ascii="Times New Roman" w:hAnsi="Times New Roman" w:cs="Times New Roman"/>
        </w:rPr>
        <w:t xml:space="preserve"> and </w:t>
      </w:r>
      <m:oMath>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add</m:t>
            </m:r>
          </m:sub>
        </m:sSub>
      </m:oMath>
      <w:r w:rsidRPr="00C3416D">
        <w:rPr>
          <w:rFonts w:ascii="Times New Roman" w:hAnsi="Times New Roman" w:cs="Times New Roman"/>
        </w:rPr>
        <w:t xml:space="preserve"> are the difference-in-difference estimators for the 10 percent and additionally protected industries respectively, representing the average effect of the tariff on each sub-group of newly protected industries relative to all </w:t>
      </w:r>
      <w:r w:rsidRPr="00C3416D">
        <w:rPr>
          <w:rFonts w:ascii="Times New Roman" w:hAnsi="Times New Roman" w:cs="Times New Roman"/>
          <w:i/>
        </w:rPr>
        <w:t>non-newly</w:t>
      </w:r>
      <w:r w:rsidRPr="00C3416D">
        <w:rPr>
          <w:rFonts w:ascii="Times New Roman" w:hAnsi="Times New Roman" w:cs="Times New Roman"/>
        </w:rPr>
        <w:t xml:space="preserve"> protected industries.</w:t>
      </w:r>
      <w:r w:rsidR="00813E52">
        <w:rPr>
          <w:rFonts w:ascii="Times New Roman" w:hAnsi="Times New Roman" w:cs="Times New Roman"/>
        </w:rPr>
        <w:t xml:space="preserve"> The parameters are defined as:</w:t>
      </w:r>
    </w:p>
    <w:p w:rsidR="00813E52" w:rsidRPr="000A7695" w:rsidRDefault="009B36AE" w:rsidP="00B9694E">
      <w:pPr>
        <w:spacing w:after="0" w:line="360" w:lineRule="auto"/>
        <w:ind w:left="284" w:firstLine="567"/>
        <w:jc w:val="both"/>
        <w:rPr>
          <w:rFonts w:cs="Times New Roman"/>
        </w:rPr>
      </w:pPr>
      <m:oMathPara>
        <m:oMathParaPr>
          <m:jc m:val="left"/>
        </m:oMathParaPr>
        <m:oMath>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ten</m:t>
              </m:r>
            </m:sub>
          </m:sSub>
          <m:r>
            <w:rPr>
              <w:rFonts w:ascii="Cambria Math" w:hAnsi="Cambria Math" w:cs="Times New Roman"/>
            </w:rPr>
            <m:t xml:space="preserve"> =</m:t>
          </m:r>
          <m:d>
            <m:dPr>
              <m:ctrlPr>
                <w:rPr>
                  <w:rFonts w:ascii="Cambria Math" w:hAnsi="Cambria Math" w:cs="Times New Roman"/>
                  <w:i/>
                </w:rPr>
              </m:ctrlPr>
            </m:dPr>
            <m:e>
              <m:r>
                <w:rPr>
                  <w:rFonts w:ascii="Cambria Math" w:hAnsi="Cambria Math" w:cs="Times New Roman"/>
                </w:rPr>
                <m:t>E</m:t>
              </m:r>
              <m:d>
                <m:dPr>
                  <m:begChr m:val="["/>
                  <m:endChr m:val="]"/>
                  <m:ctrlPr>
                    <w:rPr>
                      <w:rFonts w:ascii="Cambria Math" w:hAnsi="Cambria Math" w:cs="Times New Roman"/>
                      <w:i/>
                    </w:rPr>
                  </m:ctrlPr>
                </m:dPr>
                <m:e>
                  <m:sSub>
                    <m:sSubPr>
                      <m:ctrlPr>
                        <w:rPr>
                          <w:rFonts w:ascii="Cambria Math" w:hAnsi="Cambria Math" w:cs="Times New Roman"/>
                          <w:i/>
                        </w:rPr>
                      </m:ctrlPr>
                    </m:sSubPr>
                    <m:e>
                      <m:r>
                        <m:rPr>
                          <m:sty m:val="p"/>
                        </m:rPr>
                        <w:rPr>
                          <w:rFonts w:ascii="Cambria Math" w:hAnsi="Cambria Math" w:cs="Times New Roman"/>
                        </w:rPr>
                        <m:t>Δ</m:t>
                      </m:r>
                      <m:r>
                        <w:rPr>
                          <w:rFonts w:ascii="Cambria Math" w:hAnsi="Cambria Math" w:cs="Times New Roman"/>
                        </w:rPr>
                        <m:t>y</m:t>
                      </m:r>
                    </m:e>
                    <m:sub>
                      <m:r>
                        <w:rPr>
                          <w:rFonts w:ascii="Cambria Math" w:hAnsi="Cambria Math" w:cs="Times New Roman"/>
                        </w:rPr>
                        <m:t>i,t</m:t>
                      </m:r>
                    </m:sub>
                  </m:sSub>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=1,ad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=0,y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=1</m:t>
                  </m:r>
                </m:e>
              </m:d>
              <m:r>
                <w:rPr>
                  <w:rFonts w:ascii="Cambria Math" w:hAnsi="Cambria Math" w:cs="Times New Roman"/>
                </w:rPr>
                <m:t>-E</m:t>
              </m:r>
              <m:d>
                <m:dPr>
                  <m:begChr m:val="["/>
                  <m:endChr m:val="]"/>
                  <m:ctrlPr>
                    <w:rPr>
                      <w:rFonts w:ascii="Cambria Math" w:hAnsi="Cambria Math" w:cs="Times New Roman"/>
                      <w:i/>
                    </w:rPr>
                  </m:ctrlPr>
                </m:dPr>
                <m:e>
                  <m:sSub>
                    <m:sSubPr>
                      <m:ctrlPr>
                        <w:rPr>
                          <w:rFonts w:ascii="Cambria Math" w:hAnsi="Cambria Math" w:cs="Times New Roman"/>
                          <w:i/>
                        </w:rPr>
                      </m:ctrlPr>
                    </m:sSubPr>
                    <m:e>
                      <m:r>
                        <m:rPr>
                          <m:sty m:val="p"/>
                        </m:rPr>
                        <w:rPr>
                          <w:rFonts w:ascii="Cambria Math" w:hAnsi="Cambria Math" w:cs="Times New Roman"/>
                        </w:rPr>
                        <m:t>Δ</m:t>
                      </m:r>
                      <m:r>
                        <w:rPr>
                          <w:rFonts w:ascii="Cambria Math" w:hAnsi="Cambria Math" w:cs="Times New Roman"/>
                        </w:rPr>
                        <m:t>y</m:t>
                      </m:r>
                    </m:e>
                    <m:sub>
                      <m:r>
                        <w:rPr>
                          <w:rFonts w:ascii="Cambria Math" w:hAnsi="Cambria Math" w:cs="Times New Roman"/>
                        </w:rPr>
                        <m:t>i,t</m:t>
                      </m:r>
                    </m:sub>
                  </m:sSub>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=1,ad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=0,y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=0</m:t>
                  </m:r>
                </m:e>
              </m:d>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E</m:t>
              </m:r>
              <m:d>
                <m:dPr>
                  <m:begChr m:val="["/>
                  <m:endChr m:val="]"/>
                  <m:ctrlPr>
                    <w:rPr>
                      <w:rFonts w:ascii="Cambria Math" w:hAnsi="Cambria Math" w:cs="Times New Roman"/>
                      <w:i/>
                    </w:rPr>
                  </m:ctrlPr>
                </m:dPr>
                <m:e>
                  <m:r>
                    <m:rPr>
                      <m:sty m:val="p"/>
                    </m:rP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i,t</m:t>
                      </m:r>
                    </m:sub>
                  </m:sSub>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=0,ad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=0,y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=1</m:t>
                  </m:r>
                </m:e>
              </m:d>
              <m:r>
                <w:rPr>
                  <w:rFonts w:ascii="Cambria Math" w:hAnsi="Cambria Math" w:cs="Times New Roman"/>
                </w:rPr>
                <m:t>-E</m:t>
              </m:r>
              <m:d>
                <m:dPr>
                  <m:begChr m:val="["/>
                  <m:endChr m:val="]"/>
                  <m:ctrlPr>
                    <w:rPr>
                      <w:rFonts w:ascii="Cambria Math" w:hAnsi="Cambria Math" w:cs="Times New Roman"/>
                      <w:i/>
                    </w:rPr>
                  </m:ctrlPr>
                </m:dPr>
                <m:e>
                  <m:sSub>
                    <m:sSubPr>
                      <m:ctrlPr>
                        <w:rPr>
                          <w:rFonts w:ascii="Cambria Math" w:hAnsi="Cambria Math" w:cs="Times New Roman"/>
                          <w:i/>
                        </w:rPr>
                      </m:ctrlPr>
                    </m:sSubPr>
                    <m:e>
                      <m:r>
                        <m:rPr>
                          <m:sty m:val="p"/>
                        </m:rPr>
                        <w:rPr>
                          <w:rFonts w:ascii="Cambria Math" w:hAnsi="Cambria Math" w:cs="Times New Roman"/>
                        </w:rPr>
                        <m:t>Δ</m:t>
                      </m:r>
                      <m:r>
                        <w:rPr>
                          <w:rFonts w:ascii="Cambria Math" w:hAnsi="Cambria Math" w:cs="Times New Roman"/>
                        </w:rPr>
                        <m:t>y</m:t>
                      </m:r>
                    </m:e>
                    <m:sub>
                      <m:r>
                        <w:rPr>
                          <w:rFonts w:ascii="Cambria Math" w:hAnsi="Cambria Math" w:cs="Times New Roman"/>
                        </w:rPr>
                        <m:t>i,t</m:t>
                      </m:r>
                    </m:sub>
                  </m:sSub>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=0,ad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=0,y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=0</m:t>
                  </m:r>
                </m:e>
              </m:d>
            </m:e>
          </m:d>
        </m:oMath>
      </m:oMathPara>
    </w:p>
    <w:p w:rsidR="00813E52" w:rsidRPr="000A7695" w:rsidRDefault="009B36AE" w:rsidP="00B9694E">
      <w:pPr>
        <w:spacing w:line="360" w:lineRule="auto"/>
        <w:ind w:left="284" w:firstLine="567"/>
        <w:jc w:val="both"/>
        <w:rPr>
          <w:rFonts w:cs="Times New Roman"/>
        </w:rPr>
      </w:pPr>
      <m:oMathPara>
        <m:oMathParaPr>
          <m:jc m:val="left"/>
        </m:oMathParaPr>
        <m:oMath>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add</m:t>
              </m:r>
            </m:sub>
          </m:sSub>
          <m:r>
            <w:rPr>
              <w:rFonts w:ascii="Cambria Math" w:hAnsi="Cambria Math" w:cs="Times New Roman"/>
            </w:rPr>
            <m:t xml:space="preserve"> =</m:t>
          </m:r>
          <m:d>
            <m:dPr>
              <m:ctrlPr>
                <w:rPr>
                  <w:rFonts w:ascii="Cambria Math" w:hAnsi="Cambria Math" w:cs="Times New Roman"/>
                  <w:i/>
                </w:rPr>
              </m:ctrlPr>
            </m:dPr>
            <m:e>
              <m:r>
                <w:rPr>
                  <w:rFonts w:ascii="Cambria Math" w:hAnsi="Cambria Math" w:cs="Times New Roman"/>
                </w:rPr>
                <m:t>E</m:t>
              </m:r>
              <m:d>
                <m:dPr>
                  <m:begChr m:val="["/>
                  <m:endChr m:val="]"/>
                  <m:ctrlPr>
                    <w:rPr>
                      <w:rFonts w:ascii="Cambria Math" w:hAnsi="Cambria Math" w:cs="Times New Roman"/>
                      <w:i/>
                    </w:rPr>
                  </m:ctrlPr>
                </m:dPr>
                <m:e>
                  <m:sSub>
                    <m:sSubPr>
                      <m:ctrlPr>
                        <w:rPr>
                          <w:rFonts w:ascii="Cambria Math" w:hAnsi="Cambria Math" w:cs="Times New Roman"/>
                          <w:i/>
                        </w:rPr>
                      </m:ctrlPr>
                    </m:sSubPr>
                    <m:e>
                      <m:r>
                        <m:rPr>
                          <m:sty m:val="p"/>
                        </m:rPr>
                        <w:rPr>
                          <w:rFonts w:ascii="Cambria Math" w:hAnsi="Cambria Math" w:cs="Times New Roman"/>
                        </w:rPr>
                        <m:t>Δ</m:t>
                      </m:r>
                      <m:r>
                        <w:rPr>
                          <w:rFonts w:ascii="Cambria Math" w:hAnsi="Cambria Math" w:cs="Times New Roman"/>
                        </w:rPr>
                        <m:t>y</m:t>
                      </m:r>
                    </m:e>
                    <m:sub>
                      <m:r>
                        <w:rPr>
                          <w:rFonts w:ascii="Cambria Math" w:hAnsi="Cambria Math" w:cs="Times New Roman"/>
                        </w:rPr>
                        <m:t>i,t</m:t>
                      </m:r>
                    </m:sub>
                  </m:sSub>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=0,ad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=1,y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=1</m:t>
                  </m:r>
                </m:e>
              </m:d>
              <m:r>
                <w:rPr>
                  <w:rFonts w:ascii="Cambria Math" w:hAnsi="Cambria Math" w:cs="Times New Roman"/>
                </w:rPr>
                <m:t>-E</m:t>
              </m:r>
              <m:d>
                <m:dPr>
                  <m:begChr m:val="["/>
                  <m:endChr m:val="]"/>
                  <m:ctrlPr>
                    <w:rPr>
                      <w:rFonts w:ascii="Cambria Math" w:hAnsi="Cambria Math" w:cs="Times New Roman"/>
                      <w:i/>
                    </w:rPr>
                  </m:ctrlPr>
                </m:dPr>
                <m:e>
                  <m:sSub>
                    <m:sSubPr>
                      <m:ctrlPr>
                        <w:rPr>
                          <w:rFonts w:ascii="Cambria Math" w:hAnsi="Cambria Math" w:cs="Times New Roman"/>
                          <w:i/>
                        </w:rPr>
                      </m:ctrlPr>
                    </m:sSubPr>
                    <m:e>
                      <m:r>
                        <m:rPr>
                          <m:sty m:val="p"/>
                        </m:rPr>
                        <w:rPr>
                          <w:rFonts w:ascii="Cambria Math" w:hAnsi="Cambria Math" w:cs="Times New Roman"/>
                        </w:rPr>
                        <m:t>Δ</m:t>
                      </m:r>
                      <m:r>
                        <w:rPr>
                          <w:rFonts w:ascii="Cambria Math" w:hAnsi="Cambria Math" w:cs="Times New Roman"/>
                        </w:rPr>
                        <m:t>y</m:t>
                      </m:r>
                    </m:e>
                    <m:sub>
                      <m:r>
                        <w:rPr>
                          <w:rFonts w:ascii="Cambria Math" w:hAnsi="Cambria Math" w:cs="Times New Roman"/>
                        </w:rPr>
                        <m:t>i,t</m:t>
                      </m:r>
                    </m:sub>
                  </m:sSub>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=0,ad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=1,y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=0</m:t>
                  </m:r>
                </m:e>
              </m:d>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E</m:t>
              </m:r>
              <m:d>
                <m:dPr>
                  <m:begChr m:val="["/>
                  <m:endChr m:val="]"/>
                  <m:ctrlPr>
                    <w:rPr>
                      <w:rFonts w:ascii="Cambria Math" w:hAnsi="Cambria Math" w:cs="Times New Roman"/>
                      <w:i/>
                    </w:rPr>
                  </m:ctrlPr>
                </m:dPr>
                <m:e>
                  <m:r>
                    <m:rPr>
                      <m:sty m:val="p"/>
                    </m:rP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i,t</m:t>
                      </m:r>
                    </m:sub>
                  </m:sSub>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=0,ad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=0,y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=1</m:t>
                  </m:r>
                </m:e>
              </m:d>
              <m:r>
                <w:rPr>
                  <w:rFonts w:ascii="Cambria Math" w:hAnsi="Cambria Math" w:cs="Times New Roman"/>
                </w:rPr>
                <m:t>-E</m:t>
              </m:r>
              <m:d>
                <m:dPr>
                  <m:begChr m:val="["/>
                  <m:endChr m:val="]"/>
                  <m:ctrlPr>
                    <w:rPr>
                      <w:rFonts w:ascii="Cambria Math" w:hAnsi="Cambria Math" w:cs="Times New Roman"/>
                      <w:i/>
                    </w:rPr>
                  </m:ctrlPr>
                </m:dPr>
                <m:e>
                  <m:sSub>
                    <m:sSubPr>
                      <m:ctrlPr>
                        <w:rPr>
                          <w:rFonts w:ascii="Cambria Math" w:hAnsi="Cambria Math" w:cs="Times New Roman"/>
                          <w:i/>
                        </w:rPr>
                      </m:ctrlPr>
                    </m:sSubPr>
                    <m:e>
                      <m:r>
                        <m:rPr>
                          <m:sty m:val="p"/>
                        </m:rPr>
                        <w:rPr>
                          <w:rFonts w:ascii="Cambria Math" w:hAnsi="Cambria Math" w:cs="Times New Roman"/>
                        </w:rPr>
                        <m:t>Δ</m:t>
                      </m:r>
                      <m:r>
                        <w:rPr>
                          <w:rFonts w:ascii="Cambria Math" w:hAnsi="Cambria Math" w:cs="Times New Roman"/>
                        </w:rPr>
                        <m:t>y</m:t>
                      </m:r>
                    </m:e>
                    <m:sub>
                      <m:r>
                        <w:rPr>
                          <w:rFonts w:ascii="Cambria Math" w:hAnsi="Cambria Math" w:cs="Times New Roman"/>
                        </w:rPr>
                        <m:t>i,t</m:t>
                      </m:r>
                    </m:sub>
                  </m:sSub>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=0,ad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=0,y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=0</m:t>
                  </m:r>
                </m:e>
              </m:d>
            </m:e>
          </m:d>
        </m:oMath>
      </m:oMathPara>
    </w:p>
    <w:p w:rsidR="00813E52" w:rsidRDefault="00813E52" w:rsidP="00B9694E">
      <w:pPr>
        <w:spacing w:after="0" w:line="360" w:lineRule="auto"/>
        <w:ind w:firstLine="567"/>
        <w:jc w:val="both"/>
        <w:rPr>
          <w:rFonts w:ascii="Times New Roman" w:hAnsi="Times New Roman" w:cs="Times New Roman"/>
        </w:rPr>
      </w:pPr>
      <w:r>
        <w:rPr>
          <w:rFonts w:ascii="Times New Roman" w:hAnsi="Times New Roman" w:cs="Times New Roman"/>
        </w:rPr>
        <w:t>Like Figures 1 and 2 for the two-group classification, Figures 3 and 4 visually illustrate the logic of our three-group classification.</w:t>
      </w:r>
      <w:r w:rsidR="00347625">
        <w:rPr>
          <w:rStyle w:val="FootnoteReference"/>
          <w:rFonts w:ascii="Times New Roman" w:hAnsi="Times New Roman" w:cs="Times New Roman"/>
        </w:rPr>
        <w:footnoteReference w:id="11"/>
      </w:r>
      <w:r>
        <w:rPr>
          <w:rFonts w:ascii="Times New Roman" w:hAnsi="Times New Roman" w:cs="Times New Roman"/>
        </w:rPr>
        <w:t xml:space="preserve"> In Figure 3, plotting annual output growth, the proportion of newly protected industries, both at the 10 percent rate (indicated by a red cross) and additional rates (indicated by a green square), lying above the </w:t>
      </w:r>
      <w:r w:rsidR="00306C64">
        <w:rPr>
          <w:rFonts w:ascii="Times New Roman" w:hAnsi="Times New Roman" w:cs="Times New Roman"/>
        </w:rPr>
        <w:t>45-</w:t>
      </w:r>
      <w:r>
        <w:rPr>
          <w:rFonts w:ascii="Times New Roman" w:hAnsi="Times New Roman" w:cs="Times New Roman"/>
        </w:rPr>
        <w:t xml:space="preserve">degree ray clearly exceeds the proportion lying below. That is, the number of newly protected industries that experienced faster annual output growth between 1930 and 1935, the period in which they received the tariff treatment, exceeds the number that grew faster between 1924 and 1930. In contrast, the growth of non-newly protected industries (indicated by a blue circle) is more varied, with numerous observations above and below the </w:t>
      </w:r>
      <w:r w:rsidR="0045287A">
        <w:rPr>
          <w:rFonts w:ascii="Times New Roman" w:hAnsi="Times New Roman" w:cs="Times New Roman"/>
        </w:rPr>
        <w:t>45-degree</w:t>
      </w:r>
      <w:r>
        <w:rPr>
          <w:rFonts w:ascii="Times New Roman" w:hAnsi="Times New Roman" w:cs="Times New Roman"/>
        </w:rPr>
        <w:t xml:space="preserve"> ray. </w:t>
      </w:r>
    </w:p>
    <w:p w:rsidR="00813E52" w:rsidRDefault="00813E52" w:rsidP="00B9694E">
      <w:pPr>
        <w:spacing w:after="0" w:line="360" w:lineRule="auto"/>
        <w:ind w:firstLine="567"/>
        <w:jc w:val="both"/>
        <w:rPr>
          <w:rFonts w:ascii="Times New Roman" w:hAnsi="Times New Roman" w:cs="Times New Roman"/>
        </w:rPr>
      </w:pPr>
      <w:r>
        <w:rPr>
          <w:rFonts w:ascii="Times New Roman" w:hAnsi="Times New Roman" w:cs="Times New Roman"/>
        </w:rPr>
        <w:t xml:space="preserve">Figure 4 presents the comparable productivity growth figures for the three-group classification. </w:t>
      </w:r>
      <w:r w:rsidR="00306C64">
        <w:rPr>
          <w:rFonts w:ascii="Times New Roman" w:hAnsi="Times New Roman" w:cs="Times New Roman"/>
        </w:rPr>
        <w:t xml:space="preserve">Again, a large fraction of newly protected industries—especially those protected with additional rates—lie above the 45-degree ray, indicating that the </w:t>
      </w:r>
      <w:r>
        <w:rPr>
          <w:rFonts w:ascii="Times New Roman" w:hAnsi="Times New Roman" w:cs="Times New Roman"/>
        </w:rPr>
        <w:t>General Tariff had expansionary effects on treated industries during the 1930-35 period.</w:t>
      </w:r>
      <w:r w:rsidR="0045287A">
        <w:rPr>
          <w:rStyle w:val="FootnoteReference"/>
          <w:rFonts w:ascii="Times New Roman" w:hAnsi="Times New Roman" w:cs="Times New Roman"/>
        </w:rPr>
        <w:footnoteReference w:id="12"/>
      </w:r>
      <w:r>
        <w:rPr>
          <w:rFonts w:ascii="Times New Roman" w:hAnsi="Times New Roman" w:cs="Times New Roman"/>
        </w:rPr>
        <w:t xml:space="preserve"> </w:t>
      </w:r>
    </w:p>
    <w:p w:rsidR="00813E52" w:rsidRDefault="00813E52" w:rsidP="00B9694E">
      <w:pPr>
        <w:spacing w:after="0" w:line="360" w:lineRule="auto"/>
        <w:ind w:firstLine="567"/>
        <w:jc w:val="both"/>
        <w:rPr>
          <w:rFonts w:ascii="Times New Roman" w:hAnsi="Times New Roman" w:cs="Times New Roman"/>
        </w:rPr>
      </w:pPr>
    </w:p>
    <w:p w:rsidR="00B9694E" w:rsidRDefault="00B9694E">
      <w:pPr>
        <w:rPr>
          <w:rFonts w:ascii="Times New Roman" w:hAnsi="Times New Roman" w:cs="Times New Roman"/>
          <w:b/>
        </w:rPr>
      </w:pPr>
      <w:r>
        <w:rPr>
          <w:rFonts w:ascii="Times New Roman" w:hAnsi="Times New Roman" w:cs="Times New Roman"/>
          <w:b/>
        </w:rPr>
        <w:br w:type="page"/>
      </w:r>
    </w:p>
    <w:p w:rsidR="00813E52" w:rsidRDefault="00813E52" w:rsidP="00B9694E">
      <w:pPr>
        <w:spacing w:line="360" w:lineRule="auto"/>
        <w:jc w:val="both"/>
        <w:rPr>
          <w:rFonts w:ascii="Times New Roman" w:hAnsi="Times New Roman" w:cs="Times New Roman"/>
          <w:b/>
        </w:rPr>
      </w:pPr>
      <w:r>
        <w:rPr>
          <w:rFonts w:ascii="Times New Roman" w:hAnsi="Times New Roman" w:cs="Times New Roman"/>
          <w:b/>
        </w:rPr>
        <w:t>Figure 3: Output Growth across Industries, 1924-30 and 1930-35</w:t>
      </w:r>
    </w:p>
    <w:p w:rsidR="00813E52" w:rsidRDefault="00813E52" w:rsidP="00B9694E">
      <w:pPr>
        <w:spacing w:line="360" w:lineRule="auto"/>
        <w:jc w:val="center"/>
        <w:rPr>
          <w:rFonts w:ascii="Times New Roman" w:hAnsi="Times New Roman" w:cs="Times New Roman"/>
          <w:b/>
        </w:rPr>
      </w:pPr>
      <w:r>
        <w:rPr>
          <w:rFonts w:ascii="Times New Roman" w:hAnsi="Times New Roman" w:cs="Times New Roman"/>
          <w:b/>
          <w:noProof/>
          <w:lang w:eastAsia="en-GB"/>
        </w:rPr>
        <w:drawing>
          <wp:inline distT="0" distB="0" distL="0" distR="0" wp14:anchorId="5F5DE5B8" wp14:editId="3042B789">
            <wp:extent cx="4780624" cy="3476625"/>
            <wp:effectExtent l="0" t="0" r="127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put_3Group_Scatter.png"/>
                    <pic:cNvPicPr/>
                  </pic:nvPicPr>
                  <pic:blipFill>
                    <a:blip r:embed="rId10">
                      <a:extLst>
                        <a:ext uri="{28A0092B-C50C-407E-A947-70E740481C1C}">
                          <a14:useLocalDpi xmlns:a14="http://schemas.microsoft.com/office/drawing/2010/main" val="0"/>
                        </a:ext>
                      </a:extLst>
                    </a:blip>
                    <a:stretch>
                      <a:fillRect/>
                    </a:stretch>
                  </pic:blipFill>
                  <pic:spPr>
                    <a:xfrm>
                      <a:off x="0" y="0"/>
                      <a:ext cx="4778181" cy="3474849"/>
                    </a:xfrm>
                    <a:prstGeom prst="rect">
                      <a:avLst/>
                    </a:prstGeom>
                  </pic:spPr>
                </pic:pic>
              </a:graphicData>
            </a:graphic>
          </wp:inline>
        </w:drawing>
      </w:r>
    </w:p>
    <w:p w:rsidR="00813E52" w:rsidRDefault="00813E52" w:rsidP="00B9694E">
      <w:pPr>
        <w:spacing w:after="0" w:line="360" w:lineRule="auto"/>
        <w:jc w:val="both"/>
        <w:rPr>
          <w:rFonts w:ascii="Times New Roman" w:hAnsi="Times New Roman" w:cs="Times New Roman"/>
          <w:sz w:val="18"/>
          <w:szCs w:val="18"/>
        </w:rPr>
      </w:pPr>
      <w:r>
        <w:rPr>
          <w:rFonts w:ascii="Times New Roman" w:hAnsi="Times New Roman" w:cs="Times New Roman"/>
          <w:i/>
          <w:sz w:val="18"/>
          <w:szCs w:val="18"/>
        </w:rPr>
        <w:t>Note</w:t>
      </w:r>
      <w:r w:rsidRPr="00626DAD">
        <w:rPr>
          <w:rFonts w:ascii="Times New Roman" w:hAnsi="Times New Roman" w:cs="Times New Roman"/>
          <w:i/>
          <w:sz w:val="18"/>
          <w:szCs w:val="18"/>
        </w:rPr>
        <w:t>:</w:t>
      </w:r>
      <w:r>
        <w:rPr>
          <w:rFonts w:ascii="Times New Roman" w:hAnsi="Times New Roman" w:cs="Times New Roman"/>
          <w:sz w:val="18"/>
          <w:szCs w:val="18"/>
        </w:rPr>
        <w:t xml:space="preserve"> Plot of industry-by-industry annual net output growth in the two periods – 1924-30 (horizontal axis) and 1930-35 (vertical axis). The groups – non-newly, ten percent and additionally protected – are formed using the three-group classification detailed in appendix A.</w:t>
      </w:r>
    </w:p>
    <w:p w:rsidR="00813E52" w:rsidRPr="00626DAD" w:rsidRDefault="00813E52" w:rsidP="00B9694E">
      <w:pPr>
        <w:spacing w:after="0" w:line="360" w:lineRule="auto"/>
        <w:jc w:val="both"/>
        <w:rPr>
          <w:rFonts w:ascii="Times New Roman" w:hAnsi="Times New Roman" w:cs="Times New Roman"/>
          <w:sz w:val="18"/>
          <w:szCs w:val="18"/>
        </w:rPr>
      </w:pPr>
    </w:p>
    <w:p w:rsidR="00813E52" w:rsidRDefault="00813E52" w:rsidP="00B9694E">
      <w:pPr>
        <w:spacing w:line="360" w:lineRule="auto"/>
        <w:jc w:val="both"/>
        <w:rPr>
          <w:rFonts w:ascii="Times New Roman" w:hAnsi="Times New Roman" w:cs="Times New Roman"/>
          <w:b/>
        </w:rPr>
      </w:pPr>
      <w:r>
        <w:rPr>
          <w:rFonts w:ascii="Times New Roman" w:hAnsi="Times New Roman" w:cs="Times New Roman"/>
          <w:b/>
        </w:rPr>
        <w:t>Figure 4: Productivity Growth across Industries, 1924-30 and 1930-35</w:t>
      </w:r>
    </w:p>
    <w:p w:rsidR="00813E52" w:rsidRDefault="00813E52" w:rsidP="00B9694E">
      <w:pPr>
        <w:spacing w:line="360" w:lineRule="auto"/>
        <w:jc w:val="center"/>
        <w:rPr>
          <w:rFonts w:ascii="Times New Roman" w:hAnsi="Times New Roman" w:cs="Times New Roman"/>
        </w:rPr>
      </w:pPr>
      <w:r>
        <w:rPr>
          <w:rFonts w:ascii="Times New Roman" w:hAnsi="Times New Roman" w:cs="Times New Roman"/>
          <w:noProof/>
          <w:lang w:eastAsia="en-GB"/>
        </w:rPr>
        <w:drawing>
          <wp:inline distT="0" distB="0" distL="0" distR="0" wp14:anchorId="0A87C7A2" wp14:editId="1602428F">
            <wp:extent cx="4600575" cy="3345688"/>
            <wp:effectExtent l="0" t="0" r="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ductivity_3Group_Scatter.png"/>
                    <pic:cNvPicPr/>
                  </pic:nvPicPr>
                  <pic:blipFill>
                    <a:blip r:embed="rId11">
                      <a:extLst>
                        <a:ext uri="{28A0092B-C50C-407E-A947-70E740481C1C}">
                          <a14:useLocalDpi xmlns:a14="http://schemas.microsoft.com/office/drawing/2010/main" val="0"/>
                        </a:ext>
                      </a:extLst>
                    </a:blip>
                    <a:stretch>
                      <a:fillRect/>
                    </a:stretch>
                  </pic:blipFill>
                  <pic:spPr>
                    <a:xfrm>
                      <a:off x="0" y="0"/>
                      <a:ext cx="4598224" cy="3343979"/>
                    </a:xfrm>
                    <a:prstGeom prst="rect">
                      <a:avLst/>
                    </a:prstGeom>
                  </pic:spPr>
                </pic:pic>
              </a:graphicData>
            </a:graphic>
          </wp:inline>
        </w:drawing>
      </w:r>
    </w:p>
    <w:p w:rsidR="00813E52" w:rsidRDefault="00813E52" w:rsidP="00B9694E">
      <w:pPr>
        <w:spacing w:after="0" w:line="360" w:lineRule="auto"/>
        <w:jc w:val="both"/>
        <w:rPr>
          <w:rFonts w:ascii="Times New Roman" w:hAnsi="Times New Roman" w:cs="Times New Roman"/>
          <w:sz w:val="18"/>
          <w:szCs w:val="18"/>
        </w:rPr>
      </w:pPr>
      <w:r>
        <w:rPr>
          <w:rFonts w:ascii="Times New Roman" w:hAnsi="Times New Roman" w:cs="Times New Roman"/>
          <w:i/>
          <w:sz w:val="18"/>
          <w:szCs w:val="18"/>
        </w:rPr>
        <w:t>Note:</w:t>
      </w:r>
      <w:r>
        <w:rPr>
          <w:rFonts w:ascii="Times New Roman" w:hAnsi="Times New Roman" w:cs="Times New Roman"/>
          <w:sz w:val="18"/>
          <w:szCs w:val="18"/>
        </w:rPr>
        <w:t xml:space="preserve"> Plot of industry-by-industry annual net output </w:t>
      </w:r>
      <w:r w:rsidR="00B9694E">
        <w:rPr>
          <w:rFonts w:ascii="Times New Roman" w:hAnsi="Times New Roman" w:cs="Times New Roman"/>
          <w:sz w:val="18"/>
          <w:szCs w:val="18"/>
        </w:rPr>
        <w:t>per worker</w:t>
      </w:r>
      <w:r>
        <w:rPr>
          <w:rFonts w:ascii="Times New Roman" w:hAnsi="Times New Roman" w:cs="Times New Roman"/>
          <w:sz w:val="18"/>
          <w:szCs w:val="18"/>
        </w:rPr>
        <w:t xml:space="preserve"> growth in the two periods – 1924-30 (horizontal axis) and 1930-35 (vertical axis). The groups – non-newly, ten percent and additionally protected – are formed using the three-group classification detailed in appendix A of this paper.</w:t>
      </w:r>
    </w:p>
    <w:p w:rsidR="00813E52" w:rsidRDefault="00813E52" w:rsidP="00B9694E">
      <w:pPr>
        <w:spacing w:after="0" w:line="360" w:lineRule="auto"/>
        <w:jc w:val="both"/>
        <w:rPr>
          <w:rFonts w:ascii="Times New Roman" w:hAnsi="Times New Roman" w:cs="Times New Roman"/>
        </w:rPr>
      </w:pPr>
    </w:p>
    <w:p w:rsidR="00BD453A" w:rsidRDefault="00813E52" w:rsidP="00B9694E">
      <w:pPr>
        <w:spacing w:after="0" w:line="360" w:lineRule="auto"/>
        <w:ind w:firstLine="567"/>
        <w:jc w:val="both"/>
        <w:rPr>
          <w:rFonts w:ascii="Times New Roman" w:hAnsi="Times New Roman" w:cs="Times New Roman"/>
        </w:rPr>
      </w:pPr>
      <w:r>
        <w:rPr>
          <w:rFonts w:ascii="Times New Roman" w:hAnsi="Times New Roman" w:cs="Times New Roman"/>
        </w:rPr>
        <w:t>The regression results, reported in T</w:t>
      </w:r>
      <w:r w:rsidR="00C62335" w:rsidRPr="00C3416D">
        <w:rPr>
          <w:rFonts w:ascii="Times New Roman" w:hAnsi="Times New Roman" w:cs="Times New Roman"/>
        </w:rPr>
        <w:t>able 2</w:t>
      </w:r>
      <w:r>
        <w:rPr>
          <w:rFonts w:ascii="Times New Roman" w:hAnsi="Times New Roman" w:cs="Times New Roman"/>
        </w:rPr>
        <w:t>,</w:t>
      </w:r>
      <w:r w:rsidR="00C62335" w:rsidRPr="00C3416D">
        <w:rPr>
          <w:rFonts w:ascii="Times New Roman" w:hAnsi="Times New Roman" w:cs="Times New Roman"/>
        </w:rPr>
        <w:t xml:space="preserve"> </w:t>
      </w:r>
      <w:r>
        <w:rPr>
          <w:rFonts w:ascii="Times New Roman" w:hAnsi="Times New Roman" w:cs="Times New Roman"/>
        </w:rPr>
        <w:t>confirm the insights from visual inspection of Figures 3 and 4</w:t>
      </w:r>
      <w:r w:rsidR="00C62335" w:rsidRPr="00C3416D">
        <w:rPr>
          <w:rFonts w:ascii="Times New Roman" w:hAnsi="Times New Roman" w:cs="Times New Roman"/>
        </w:rPr>
        <w:t xml:space="preserve"> for the three-group classification. Panels A, B and C present the results for the regressions with real output growth, productivity growth and employment growth as the dependent variables respectively. The baseline results for the three-group classification are in column (1) of each panel. Columns (2)-(</w:t>
      </w:r>
      <w:r w:rsidR="00C62335">
        <w:rPr>
          <w:rFonts w:ascii="Times New Roman" w:hAnsi="Times New Roman" w:cs="Times New Roman"/>
        </w:rPr>
        <w:t>5</w:t>
      </w:r>
      <w:r w:rsidR="00C62335" w:rsidRPr="00C3416D">
        <w:rPr>
          <w:rFonts w:ascii="Times New Roman" w:hAnsi="Times New Roman" w:cs="Times New Roman"/>
        </w:rPr>
        <w:t>) report regression results with a</w:t>
      </w:r>
      <w:r w:rsidR="007D5E0C">
        <w:rPr>
          <w:rFonts w:ascii="Times New Roman" w:hAnsi="Times New Roman" w:cs="Times New Roman"/>
        </w:rPr>
        <w:t>dd</w:t>
      </w:r>
      <w:r w:rsidR="00C62335" w:rsidRPr="00C3416D">
        <w:rPr>
          <w:rFonts w:ascii="Times New Roman" w:hAnsi="Times New Roman" w:cs="Times New Roman"/>
        </w:rPr>
        <w:t>itional control variables included</w:t>
      </w:r>
      <w:r w:rsidR="00C62335">
        <w:rPr>
          <w:rFonts w:ascii="Times New Roman" w:hAnsi="Times New Roman" w:cs="Times New Roman"/>
        </w:rPr>
        <w:t xml:space="preserve"> </w:t>
      </w:r>
      <w:r w:rsidR="00AB5924">
        <w:rPr>
          <w:rFonts w:ascii="Times New Roman" w:hAnsi="Times New Roman" w:cs="Times New Roman"/>
        </w:rPr>
        <w:t xml:space="preserve">to account for potential differences in industry characteristics over and above their interwar growth profile </w:t>
      </w:r>
      <w:r w:rsidR="00C62335">
        <w:rPr>
          <w:rFonts w:ascii="Times New Roman" w:hAnsi="Times New Roman" w:cs="Times New Roman"/>
        </w:rPr>
        <w:t xml:space="preserve">(these </w:t>
      </w:r>
      <w:r w:rsidR="00AB5924">
        <w:rPr>
          <w:rFonts w:ascii="Times New Roman" w:hAnsi="Times New Roman" w:cs="Times New Roman"/>
        </w:rPr>
        <w:t xml:space="preserve">controls </w:t>
      </w:r>
      <w:r w:rsidR="00C62335">
        <w:rPr>
          <w:rFonts w:ascii="Times New Roman" w:hAnsi="Times New Roman" w:cs="Times New Roman"/>
        </w:rPr>
        <w:t xml:space="preserve">are explained further below and in Appendix </w:t>
      </w:r>
      <w:r w:rsidR="00347625">
        <w:rPr>
          <w:rFonts w:ascii="Times New Roman" w:hAnsi="Times New Roman" w:cs="Times New Roman"/>
        </w:rPr>
        <w:t>B</w:t>
      </w:r>
      <w:r w:rsidR="00C62335">
        <w:rPr>
          <w:rFonts w:ascii="Times New Roman" w:hAnsi="Times New Roman" w:cs="Times New Roman"/>
        </w:rPr>
        <w:t>.</w:t>
      </w:r>
      <w:r w:rsidR="00347625">
        <w:rPr>
          <w:rFonts w:ascii="Times New Roman" w:hAnsi="Times New Roman" w:cs="Times New Roman"/>
        </w:rPr>
        <w:t>2</w:t>
      </w:r>
      <w:r w:rsidR="00C62335">
        <w:rPr>
          <w:rFonts w:ascii="Times New Roman" w:hAnsi="Times New Roman" w:cs="Times New Roman"/>
        </w:rPr>
        <w:t>)</w:t>
      </w:r>
      <w:r w:rsidR="00C62335" w:rsidRPr="00C3416D">
        <w:rPr>
          <w:rFonts w:ascii="Times New Roman" w:hAnsi="Times New Roman" w:cs="Times New Roman"/>
        </w:rPr>
        <w:t>.</w:t>
      </w:r>
      <w:r w:rsidR="00C62335">
        <w:rPr>
          <w:rStyle w:val="FootnoteReference"/>
          <w:rFonts w:ascii="Times New Roman" w:hAnsi="Times New Roman" w:cs="Times New Roman"/>
        </w:rPr>
        <w:footnoteReference w:id="13"/>
      </w:r>
      <w:r w:rsidR="00C62335">
        <w:rPr>
          <w:rFonts w:ascii="Times New Roman" w:hAnsi="Times New Roman" w:cs="Times New Roman"/>
        </w:rPr>
        <w:t xml:space="preserve"> </w:t>
      </w:r>
    </w:p>
    <w:p w:rsidR="00C62335" w:rsidRPr="00C3416D" w:rsidRDefault="00C62335" w:rsidP="00B9694E">
      <w:pPr>
        <w:spacing w:after="0" w:line="360" w:lineRule="auto"/>
        <w:ind w:firstLine="567"/>
        <w:jc w:val="both"/>
        <w:rPr>
          <w:rFonts w:ascii="Times New Roman" w:hAnsi="Times New Roman" w:cs="Times New Roman"/>
        </w:rPr>
      </w:pPr>
      <w:r>
        <w:rPr>
          <w:rFonts w:ascii="Times New Roman" w:hAnsi="Times New Roman" w:cs="Times New Roman"/>
        </w:rPr>
        <w:t>In column (1) w</w:t>
      </w:r>
      <w:r w:rsidRPr="00C3416D">
        <w:rPr>
          <w:rFonts w:ascii="Times New Roman" w:hAnsi="Times New Roman" w:cs="Times New Roman"/>
        </w:rPr>
        <w:t>e find that average real output growth for non-newly protected industries was 4.22 percent in 1924-30. This figure did not change significantly in 1930-35. In 1924-30, industries that received a 10 percent tariff rate in 1932 grew more slowly than non-newly protected industries, by 1.56 percent</w:t>
      </w:r>
      <w:r>
        <w:rPr>
          <w:rFonts w:ascii="Times New Roman" w:hAnsi="Times New Roman" w:cs="Times New Roman"/>
        </w:rPr>
        <w:t>age points</w:t>
      </w:r>
      <w:r w:rsidRPr="00C3416D">
        <w:rPr>
          <w:rFonts w:ascii="Times New Roman" w:hAnsi="Times New Roman" w:cs="Times New Roman"/>
        </w:rPr>
        <w:t xml:space="preserve"> per annum. </w:t>
      </w:r>
      <w:r>
        <w:rPr>
          <w:rFonts w:ascii="Times New Roman" w:hAnsi="Times New Roman" w:cs="Times New Roman"/>
        </w:rPr>
        <w:t>The tariff did have a positive effect on these industries (</w:t>
      </w:r>
      <w:r w:rsidRPr="00C3416D">
        <w:rPr>
          <w:rFonts w:ascii="Times New Roman" w:hAnsi="Times New Roman" w:cs="Times New Roman"/>
        </w:rPr>
        <w:t>2.27 percent</w:t>
      </w:r>
      <w:r>
        <w:rPr>
          <w:rFonts w:ascii="Times New Roman" w:hAnsi="Times New Roman" w:cs="Times New Roman"/>
        </w:rPr>
        <w:t xml:space="preserve">age points per annum) but </w:t>
      </w:r>
      <w:r w:rsidRPr="00C3416D">
        <w:rPr>
          <w:rFonts w:ascii="Times New Roman" w:hAnsi="Times New Roman" w:cs="Times New Roman"/>
        </w:rPr>
        <w:t xml:space="preserve">both these </w:t>
      </w:r>
      <w:r>
        <w:rPr>
          <w:rFonts w:ascii="Times New Roman" w:hAnsi="Times New Roman" w:cs="Times New Roman"/>
        </w:rPr>
        <w:t>effects</w:t>
      </w:r>
      <w:r w:rsidRPr="00C3416D">
        <w:rPr>
          <w:rFonts w:ascii="Times New Roman" w:hAnsi="Times New Roman" w:cs="Times New Roman"/>
        </w:rPr>
        <w:t xml:space="preserve"> are statistically insignificant. In contrast, the output effect of the tariff on additionally protected industries is statistically significant, and positive. In particular, the additionally protected industries grew at 3.07 percent</w:t>
      </w:r>
      <w:r>
        <w:rPr>
          <w:rFonts w:ascii="Times New Roman" w:hAnsi="Times New Roman" w:cs="Times New Roman"/>
        </w:rPr>
        <w:t>age points</w:t>
      </w:r>
      <w:r w:rsidRPr="00C3416D">
        <w:rPr>
          <w:rFonts w:ascii="Times New Roman" w:hAnsi="Times New Roman" w:cs="Times New Roman"/>
        </w:rPr>
        <w:t xml:space="preserve"> per annum less than non-newly protected industries in 1924-30. This growth loss is more than reversed in 1930-35, as the relevant difference-in-difference coefficient indicated that the treatment effects of the tariff on these industries was 4</w:t>
      </w:r>
      <w:r>
        <w:rPr>
          <w:rFonts w:ascii="Times New Roman" w:hAnsi="Times New Roman" w:cs="Times New Roman"/>
        </w:rPr>
        <w:t xml:space="preserve">.42 percentage points per annum, </w:t>
      </w:r>
      <w:r w:rsidRPr="00C3416D">
        <w:rPr>
          <w:rFonts w:ascii="Times New Roman" w:hAnsi="Times New Roman" w:cs="Times New Roman"/>
        </w:rPr>
        <w:t>significant at the 5 percent level.</w:t>
      </w:r>
    </w:p>
    <w:p w:rsidR="00C62335" w:rsidRPr="00C3416D" w:rsidRDefault="00C62335" w:rsidP="00B9694E">
      <w:pPr>
        <w:spacing w:after="0" w:line="360" w:lineRule="auto"/>
        <w:ind w:firstLine="567"/>
        <w:jc w:val="both"/>
        <w:rPr>
          <w:rFonts w:ascii="Times New Roman" w:hAnsi="Times New Roman" w:cs="Times New Roman"/>
        </w:rPr>
      </w:pPr>
      <w:r w:rsidRPr="00C3416D">
        <w:rPr>
          <w:rFonts w:ascii="Times New Roman" w:hAnsi="Times New Roman" w:cs="Times New Roman"/>
        </w:rPr>
        <w:t xml:space="preserve">We also find that the tariff had a positive treatment effect on the productivity of additionally protected industries in 1930-35, </w:t>
      </w:r>
      <w:r>
        <w:rPr>
          <w:rFonts w:ascii="Times New Roman" w:hAnsi="Times New Roman" w:cs="Times New Roman"/>
        </w:rPr>
        <w:t xml:space="preserve">significant at the 10 percent </w:t>
      </w:r>
      <w:r w:rsidRPr="00C3416D">
        <w:rPr>
          <w:rFonts w:ascii="Times New Roman" w:hAnsi="Times New Roman" w:cs="Times New Roman"/>
        </w:rPr>
        <w:t>level. The productivity of additionally pr</w:t>
      </w:r>
      <w:r>
        <w:rPr>
          <w:rFonts w:ascii="Times New Roman" w:hAnsi="Times New Roman" w:cs="Times New Roman"/>
        </w:rPr>
        <w:t>otected industries grew at 1.67</w:t>
      </w:r>
      <w:r w:rsidRPr="00C3416D">
        <w:rPr>
          <w:rFonts w:ascii="Times New Roman" w:hAnsi="Times New Roman" w:cs="Times New Roman"/>
        </w:rPr>
        <w:t xml:space="preserve"> percent</w:t>
      </w:r>
      <w:r>
        <w:rPr>
          <w:rFonts w:ascii="Times New Roman" w:hAnsi="Times New Roman" w:cs="Times New Roman"/>
        </w:rPr>
        <w:t>age points</w:t>
      </w:r>
      <w:r w:rsidRPr="00C3416D">
        <w:rPr>
          <w:rFonts w:ascii="Times New Roman" w:hAnsi="Times New Roman" w:cs="Times New Roman"/>
        </w:rPr>
        <w:t xml:space="preserve"> per annum less than non-newly protected industries in 1924-30, a growth loss that is more than reversed in 1930-35. The treatment effect for 1930-35 is estimated to be 2.55 percent</w:t>
      </w:r>
      <w:r>
        <w:rPr>
          <w:rFonts w:ascii="Times New Roman" w:hAnsi="Times New Roman" w:cs="Times New Roman"/>
        </w:rPr>
        <w:t>age points</w:t>
      </w:r>
      <w:r w:rsidRPr="00C3416D">
        <w:rPr>
          <w:rFonts w:ascii="Times New Roman" w:hAnsi="Times New Roman" w:cs="Times New Roman"/>
        </w:rPr>
        <w:t xml:space="preserve"> per annum for additionally protected industries</w:t>
      </w:r>
      <w:r w:rsidR="003648A9">
        <w:rPr>
          <w:rFonts w:ascii="Times New Roman" w:hAnsi="Times New Roman" w:cs="Times New Roman"/>
        </w:rPr>
        <w:t>, relative to non-newly protected industries. For comparison, using their classification, Broadberry and Crafts (2011) estimate that additionally protected industries growth was 2.3 percentage points per annum higher than the growth of early protected industries, although their estimate is statistically insignificant</w:t>
      </w:r>
      <w:r w:rsidRPr="00C3416D">
        <w:rPr>
          <w:rFonts w:ascii="Times New Roman" w:hAnsi="Times New Roman" w:cs="Times New Roman"/>
        </w:rPr>
        <w:t xml:space="preserve">. The </w:t>
      </w:r>
      <w:r>
        <w:rPr>
          <w:rFonts w:ascii="Times New Roman" w:hAnsi="Times New Roman" w:cs="Times New Roman"/>
        </w:rPr>
        <w:t xml:space="preserve">tariff </w:t>
      </w:r>
      <w:r w:rsidRPr="00C3416D">
        <w:rPr>
          <w:rFonts w:ascii="Times New Roman" w:hAnsi="Times New Roman" w:cs="Times New Roman"/>
        </w:rPr>
        <w:t>effect on the productivity of 10 percent protected industries is positive, but not statistically significant.</w:t>
      </w:r>
    </w:p>
    <w:p w:rsidR="00C62335" w:rsidRPr="00C3416D" w:rsidRDefault="00C62335" w:rsidP="00B9694E">
      <w:pPr>
        <w:spacing w:after="0" w:line="360" w:lineRule="auto"/>
        <w:ind w:firstLine="567"/>
        <w:jc w:val="both"/>
        <w:rPr>
          <w:rFonts w:ascii="Times New Roman" w:hAnsi="Times New Roman" w:cs="Times New Roman"/>
        </w:rPr>
      </w:pPr>
      <w:r w:rsidRPr="00C3416D">
        <w:rPr>
          <w:rFonts w:ascii="Times New Roman" w:hAnsi="Times New Roman" w:cs="Times New Roman"/>
        </w:rPr>
        <w:t>As with the two-group classification, we find that the tariff did not have a significant effect on the employment growth rates of either the ten percent or additional rate industries.</w:t>
      </w:r>
      <w:r w:rsidR="002D1D8D">
        <w:rPr>
          <w:rFonts w:ascii="Times New Roman" w:hAnsi="Times New Roman" w:cs="Times New Roman"/>
        </w:rPr>
        <w:t xml:space="preserve"> As in the two-group classification, this indicates that the tariff </w:t>
      </w:r>
      <w:r w:rsidR="003E12AA">
        <w:rPr>
          <w:rFonts w:ascii="Times New Roman" w:hAnsi="Times New Roman" w:cs="Times New Roman"/>
        </w:rPr>
        <w:t xml:space="preserve">predominantly </w:t>
      </w:r>
      <w:r w:rsidR="002D1D8D">
        <w:rPr>
          <w:rFonts w:ascii="Times New Roman" w:hAnsi="Times New Roman" w:cs="Times New Roman"/>
        </w:rPr>
        <w:t xml:space="preserve">boosted </w:t>
      </w:r>
      <w:r w:rsidR="003E12AA">
        <w:rPr>
          <w:rFonts w:ascii="Times New Roman" w:hAnsi="Times New Roman" w:cs="Times New Roman"/>
        </w:rPr>
        <w:t xml:space="preserve">the output of </w:t>
      </w:r>
      <w:r w:rsidR="002D1D8D">
        <w:rPr>
          <w:rFonts w:ascii="Times New Roman" w:hAnsi="Times New Roman" w:cs="Times New Roman"/>
        </w:rPr>
        <w:t xml:space="preserve">UK manufacturing industries through </w:t>
      </w:r>
      <w:r w:rsidR="003E12AA">
        <w:rPr>
          <w:rFonts w:ascii="Times New Roman" w:hAnsi="Times New Roman" w:cs="Times New Roman"/>
        </w:rPr>
        <w:t>productivity improvements, rather than through labour market mechanisms.</w:t>
      </w:r>
    </w:p>
    <w:p w:rsidR="00F478AC" w:rsidRDefault="00C62335" w:rsidP="00B9694E">
      <w:pPr>
        <w:spacing w:after="0" w:line="360" w:lineRule="auto"/>
        <w:ind w:firstLine="567"/>
        <w:jc w:val="both"/>
        <w:rPr>
          <w:rFonts w:ascii="Times New Roman" w:hAnsi="Times New Roman" w:cs="Times New Roman"/>
        </w:rPr>
      </w:pPr>
      <w:r w:rsidRPr="00C3416D">
        <w:rPr>
          <w:rFonts w:ascii="Times New Roman" w:hAnsi="Times New Roman" w:cs="Times New Roman"/>
        </w:rPr>
        <w:t xml:space="preserve">In </w:t>
      </w:r>
      <w:r>
        <w:rPr>
          <w:rFonts w:ascii="Times New Roman" w:hAnsi="Times New Roman" w:cs="Times New Roman"/>
        </w:rPr>
        <w:t>columns (2)-(5) of T</w:t>
      </w:r>
      <w:r w:rsidRPr="00C3416D">
        <w:rPr>
          <w:rFonts w:ascii="Times New Roman" w:hAnsi="Times New Roman" w:cs="Times New Roman"/>
        </w:rPr>
        <w:t>able 2, we report the results with additional controls included in the regression. These controls are intended to capture otherwise unobserved features of industries that may simultaneously be correlated with the tariff treatment and their output, productivity or employment growth</w:t>
      </w:r>
      <w:r w:rsidRPr="000045AA">
        <w:rPr>
          <w:rFonts w:ascii="Times New Roman" w:hAnsi="Times New Roman" w:cs="Times New Roman"/>
        </w:rPr>
        <w:t>. That is, they are intended to capture industry features that may have caused differential changes in growth rates across industry groups absent the General Tariff</w:t>
      </w:r>
      <w:r w:rsidR="00CD1883">
        <w:rPr>
          <w:rFonts w:ascii="Times New Roman" w:hAnsi="Times New Roman" w:cs="Times New Roman"/>
        </w:rPr>
        <w:t>, which, if unaccounted for, might bias estimates of the difference-in-difference coefficients</w:t>
      </w:r>
      <w:r w:rsidRPr="000045AA">
        <w:rPr>
          <w:rFonts w:ascii="Times New Roman" w:hAnsi="Times New Roman" w:cs="Times New Roman"/>
        </w:rPr>
        <w:t xml:space="preserve">. </w:t>
      </w:r>
    </w:p>
    <w:p w:rsidR="00C62335" w:rsidRPr="00C3416D" w:rsidRDefault="00C62335" w:rsidP="00B9694E">
      <w:pPr>
        <w:spacing w:line="360" w:lineRule="auto"/>
        <w:jc w:val="both"/>
        <w:rPr>
          <w:rFonts w:ascii="Times New Roman" w:hAnsi="Times New Roman" w:cs="Times New Roman"/>
          <w:b/>
        </w:rPr>
      </w:pPr>
      <w:r w:rsidRPr="00C3416D">
        <w:rPr>
          <w:rFonts w:ascii="Times New Roman" w:hAnsi="Times New Roman" w:cs="Times New Roman"/>
          <w:b/>
        </w:rPr>
        <w:t>Table 2: Difference-in-Difference Results for the Three-Group Classification</w:t>
      </w:r>
    </w:p>
    <w:tbl>
      <w:tblPr>
        <w:tblStyle w:val="LightShading"/>
        <w:tblW w:w="9322" w:type="dxa"/>
        <w:tblLayout w:type="fixed"/>
        <w:tblLook w:val="04A0" w:firstRow="1" w:lastRow="0" w:firstColumn="1" w:lastColumn="0" w:noHBand="0" w:noVBand="1"/>
      </w:tblPr>
      <w:tblGrid>
        <w:gridCol w:w="2516"/>
        <w:gridCol w:w="1361"/>
        <w:gridCol w:w="1361"/>
        <w:gridCol w:w="1361"/>
        <w:gridCol w:w="1361"/>
        <w:gridCol w:w="1362"/>
      </w:tblGrid>
      <w:tr w:rsidR="00C62335" w:rsidRPr="00C3416D" w:rsidTr="00CD18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C62335" w:rsidRPr="00C3416D" w:rsidRDefault="00C62335" w:rsidP="00B9694E">
            <w:pPr>
              <w:spacing w:line="360" w:lineRule="auto"/>
              <w:jc w:val="center"/>
              <w:rPr>
                <w:rFonts w:ascii="Times New Roman" w:hAnsi="Times New Roman" w:cs="Times New Roman"/>
                <w:i/>
                <w:sz w:val="18"/>
                <w:szCs w:val="18"/>
              </w:rPr>
            </w:pPr>
            <w:r w:rsidRPr="00C3416D">
              <w:rPr>
                <w:rFonts w:ascii="Times New Roman" w:hAnsi="Times New Roman" w:cs="Times New Roman"/>
                <w:b w:val="0"/>
                <w:i/>
                <w:sz w:val="18"/>
                <w:szCs w:val="18"/>
              </w:rPr>
              <w:t>Panel A: Net Output Growth</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C62335" w:rsidRPr="00C3416D" w:rsidRDefault="00C62335" w:rsidP="00B9694E">
            <w:pPr>
              <w:spacing w:line="360" w:lineRule="auto"/>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4.419**</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(1.792)</w:t>
            </w:r>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4.437**</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(2.135)</w:t>
            </w:r>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5.474**</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(2.585)</w:t>
            </w:r>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4.390**</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(1.871)</w:t>
            </w:r>
          </w:p>
        </w:tc>
        <w:tc>
          <w:tcPr>
            <w:tcW w:w="1362" w:type="dxa"/>
            <w:tcBorders>
              <w:top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4.436**</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(1.782)</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2.272</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(2.825)</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2.373</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(3.180)</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5.362</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(3.808)</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1.851</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(2.915)</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2.197</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(2.836)</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-3.070***</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(1.082)</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-2.657**</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(1.159)</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-4.058***</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(1.335)</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-2.693**</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(1.018)</w:t>
            </w: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-2.995***</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(1.044)</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-1.562</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(1.960)</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-1.329</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(2.193)</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-6.163***</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(2.322)</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-1.116</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(2.123)</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-1.477</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(1.942)</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1930-35,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0.064</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(1.649)</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2.725</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(2.514)</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-3.307</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(3.734)</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0.922</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(2.431)</w:t>
            </w: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0.151</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(1.697)</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4.221***</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(0.986)</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1.699</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(1.523)</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6.588***</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(2.250)</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4.481***</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(1.905)</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3.904***</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(0.932)</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Census of Production Sectors</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0.103</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0.149</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0.361</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0.124</w:t>
            </w:r>
          </w:p>
        </w:tc>
        <w:tc>
          <w:tcPr>
            <w:tcW w:w="1362" w:type="dxa"/>
            <w:tcBorders>
              <w:bottom w:val="single" w:sz="12"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0.108</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C62335" w:rsidRPr="00C3416D" w:rsidRDefault="00C62335" w:rsidP="00B9694E">
            <w:pPr>
              <w:spacing w:line="360" w:lineRule="auto"/>
              <w:jc w:val="center"/>
              <w:rPr>
                <w:rFonts w:ascii="Times New Roman" w:hAnsi="Times New Roman" w:cs="Times New Roman"/>
                <w:i/>
                <w:sz w:val="18"/>
                <w:szCs w:val="18"/>
              </w:rPr>
            </w:pPr>
            <w:r w:rsidRPr="00C3416D">
              <w:rPr>
                <w:rFonts w:ascii="Times New Roman" w:hAnsi="Times New Roman" w:cs="Times New Roman"/>
                <w:b w:val="0"/>
                <w:i/>
                <w:sz w:val="18"/>
                <w:szCs w:val="18"/>
              </w:rPr>
              <w:t xml:space="preserve">Panel B: Net Output </w:t>
            </w:r>
            <w:r w:rsidR="00B9694E">
              <w:rPr>
                <w:rFonts w:ascii="Times New Roman" w:hAnsi="Times New Roman" w:cs="Times New Roman"/>
                <w:b w:val="0"/>
                <w:i/>
                <w:sz w:val="18"/>
                <w:szCs w:val="18"/>
              </w:rPr>
              <w:t>per worker</w:t>
            </w:r>
            <w:r w:rsidRPr="00C3416D">
              <w:rPr>
                <w:rFonts w:ascii="Times New Roman" w:hAnsi="Times New Roman" w:cs="Times New Roman"/>
                <w:b w:val="0"/>
                <w:i/>
                <w:sz w:val="18"/>
                <w:szCs w:val="18"/>
              </w:rPr>
              <w:t xml:space="preserve"> Growth</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C62335" w:rsidRPr="00C3416D" w:rsidRDefault="00C62335" w:rsidP="00B9694E">
            <w:pPr>
              <w:spacing w:line="360" w:lineRule="auto"/>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2.554*</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(1.348)</w:t>
            </w:r>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2.694*</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(1.599)</w:t>
            </w:r>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3.762*</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(2.037)</w:t>
            </w:r>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2.497*</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(1.398)</w:t>
            </w:r>
          </w:p>
        </w:tc>
        <w:tc>
          <w:tcPr>
            <w:tcW w:w="1362" w:type="dxa"/>
            <w:tcBorders>
              <w:top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2.585**</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(1.302)</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0.161</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(1.832)</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-0.115</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(1.905)</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2.497</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(2.616)</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-0.475</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(1.891)</w:t>
            </w: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0.126</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(1.754)</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-1.674**</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(0.770)</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-1.743**</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(0.798)</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-2.538**</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(1.142)</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-1.512**</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(0.694)</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-1.504**</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(0.743)</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-0.367</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(1.210)</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-0.349</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(1.243)</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-2.335</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(1.848)</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-0.015</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(1.275)</w:t>
            </w: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-0.192</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(1.153)</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1930-35,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0.131</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(1.230)</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2.454</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(1.745)</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-2.517</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(2.848)</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1.036</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(1.858)</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0.119</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(1.154)</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3.013***</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(0.706)</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2.195***</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(0.803)</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4.423**</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(1.945)</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2.995**</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(1.387)</w:t>
            </w: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2.329***</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(0.687)</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8"/>
                <w:szCs w:val="8"/>
              </w:rPr>
            </w:pP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Census of Production Sectors</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8"/>
                <w:szCs w:val="8"/>
              </w:rPr>
            </w:pP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0.065</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0.130</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0.248</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0.098</w:t>
            </w:r>
          </w:p>
        </w:tc>
        <w:tc>
          <w:tcPr>
            <w:tcW w:w="1362" w:type="dxa"/>
            <w:tcBorders>
              <w:bottom w:val="single" w:sz="12"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0.111</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C62335" w:rsidRPr="00C3416D" w:rsidRDefault="00C62335" w:rsidP="00B9694E">
            <w:pPr>
              <w:spacing w:line="360" w:lineRule="auto"/>
              <w:jc w:val="center"/>
              <w:rPr>
                <w:rFonts w:ascii="Times New Roman" w:hAnsi="Times New Roman" w:cs="Times New Roman"/>
                <w:i/>
                <w:sz w:val="18"/>
                <w:szCs w:val="18"/>
              </w:rPr>
            </w:pPr>
            <w:r w:rsidRPr="00C3416D">
              <w:rPr>
                <w:rFonts w:ascii="Times New Roman" w:hAnsi="Times New Roman" w:cs="Times New Roman"/>
                <w:b w:val="0"/>
                <w:i/>
                <w:sz w:val="18"/>
                <w:szCs w:val="18"/>
              </w:rPr>
              <w:t>Panel C: Employment Growth</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C62335" w:rsidRPr="00C3416D" w:rsidRDefault="00C62335" w:rsidP="00B9694E">
            <w:pPr>
              <w:spacing w:line="360" w:lineRule="auto"/>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1.797</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(1.132)</w:t>
            </w:r>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1.658</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(1.345)</w:t>
            </w:r>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1.611</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(1.639)</w:t>
            </w:r>
          </w:p>
        </w:tc>
        <w:tc>
          <w:tcPr>
            <w:tcW w:w="1361" w:type="dxa"/>
            <w:tcBorders>
              <w:top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1.813</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(1.256)</w:t>
            </w:r>
          </w:p>
        </w:tc>
        <w:tc>
          <w:tcPr>
            <w:tcW w:w="1362" w:type="dxa"/>
            <w:tcBorders>
              <w:top w:val="single" w:sz="4"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1.788</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(1.147)</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2.064</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(2.056)</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2.431</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(2.316)</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2.701</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(2.438)</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2.265</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(2.178)</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2.021</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(2.029)</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-1.327*</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(0.705)</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-0.849</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(0.877)</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-1.424</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(1.040)</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-1.122</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(0.786)</w:t>
            </w: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-1.420**</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(0.697)</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-1.154</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(1.392)</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-0.940</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(1.582)</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-3.656**</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(1.577)</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-1.063</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(1.527)</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-1.237</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(1.339)</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1930-35,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-0.056</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(0.985)</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0.312</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(1.772)</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-0.694</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(2.983)</w:t>
            </w: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-0.120</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(1.286)</w:t>
            </w: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0.037</w:t>
            </w:r>
          </w:p>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(1.150)</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1.158**</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(0.582)</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-0.523</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(1.439)</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2.091</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(1.700)</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1.410</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(0.892)</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1.512**</w:t>
            </w:r>
          </w:p>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(0.590)</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Census of Production Sectors</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2" w:type="dxa"/>
            <w:shd w:val="clear" w:color="auto" w:fill="auto"/>
          </w:tcPr>
          <w:p w:rsidR="00C62335" w:rsidRPr="00C3416D" w:rsidRDefault="00C62335" w:rsidP="00B969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r>
      <w:tr w:rsidR="00C62335"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C62335" w:rsidRPr="00C3416D" w:rsidRDefault="00C62335" w:rsidP="00B9694E">
            <w:pPr>
              <w:spacing w:line="360" w:lineRule="auto"/>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0.043</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0.104</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0.367</w:t>
            </w:r>
          </w:p>
        </w:tc>
        <w:tc>
          <w:tcPr>
            <w:tcW w:w="1361" w:type="dxa"/>
            <w:tcBorders>
              <w:bottom w:val="single" w:sz="12"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0.067</w:t>
            </w:r>
          </w:p>
        </w:tc>
        <w:tc>
          <w:tcPr>
            <w:tcW w:w="1362" w:type="dxa"/>
            <w:tcBorders>
              <w:bottom w:val="single" w:sz="12" w:space="0" w:color="auto"/>
            </w:tcBorders>
            <w:shd w:val="clear" w:color="auto" w:fill="auto"/>
          </w:tcPr>
          <w:p w:rsidR="00C62335" w:rsidRPr="00C3416D" w:rsidRDefault="00C62335" w:rsidP="00B96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0.058</w:t>
            </w:r>
          </w:p>
        </w:tc>
      </w:tr>
      <w:tr w:rsidR="00C62335"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bottom w:val="single" w:sz="4" w:space="0" w:color="FFFFFF" w:themeColor="background1"/>
            </w:tcBorders>
            <w:shd w:val="clear" w:color="auto" w:fill="auto"/>
          </w:tcPr>
          <w:p w:rsidR="00C62335" w:rsidRPr="00C3416D" w:rsidRDefault="00C62335" w:rsidP="00B9694E">
            <w:pPr>
              <w:spacing w:line="360" w:lineRule="auto"/>
              <w:jc w:val="both"/>
              <w:rPr>
                <w:rFonts w:ascii="Times New Roman" w:hAnsi="Times New Roman" w:cs="Times New Roman"/>
                <w:sz w:val="18"/>
                <w:szCs w:val="18"/>
              </w:rPr>
            </w:pPr>
            <w:r w:rsidRPr="00C3416D">
              <w:rPr>
                <w:rFonts w:ascii="Times New Roman" w:hAnsi="Times New Roman" w:cs="Times New Roman"/>
                <w:b w:val="0"/>
                <w:i/>
                <w:sz w:val="18"/>
                <w:szCs w:val="18"/>
              </w:rPr>
              <w:t>Notes:</w:t>
            </w:r>
            <w:r w:rsidRPr="00C3416D">
              <w:rPr>
                <w:rFonts w:ascii="Times New Roman" w:hAnsi="Times New Roman" w:cs="Times New Roman"/>
                <w:b w:val="0"/>
                <w:sz w:val="18"/>
                <w:szCs w:val="18"/>
              </w:rPr>
              <w:t xml:space="preserve"> Estimated regression results for the three-group classification. In panel A, the dependent variable is annualised average (real) net output growth. The corresponding dependent variables in panels B and C are annualised average net output </w:t>
            </w:r>
            <w:r w:rsidR="00B9694E">
              <w:rPr>
                <w:rFonts w:ascii="Times New Roman" w:hAnsi="Times New Roman" w:cs="Times New Roman"/>
                <w:b w:val="0"/>
                <w:sz w:val="18"/>
                <w:szCs w:val="18"/>
              </w:rPr>
              <w:t>per worker</w:t>
            </w:r>
            <w:r w:rsidRPr="00C3416D">
              <w:rPr>
                <w:rFonts w:ascii="Times New Roman" w:hAnsi="Times New Roman" w:cs="Times New Roman"/>
                <w:b w:val="0"/>
                <w:sz w:val="18"/>
                <w:szCs w:val="18"/>
              </w:rPr>
              <w:t xml:space="preserve"> growth and employment growth</w:t>
            </w:r>
            <w:r>
              <w:rPr>
                <w:rFonts w:ascii="Times New Roman" w:hAnsi="Times New Roman" w:cs="Times New Roman"/>
                <w:b w:val="0"/>
                <w:sz w:val="18"/>
                <w:szCs w:val="18"/>
              </w:rPr>
              <w:t>,</w:t>
            </w:r>
            <w:r w:rsidRPr="00C3416D">
              <w:rPr>
                <w:rFonts w:ascii="Times New Roman" w:hAnsi="Times New Roman" w:cs="Times New Roman"/>
                <w:b w:val="0"/>
                <w:sz w:val="18"/>
                <w:szCs w:val="18"/>
              </w:rPr>
              <w:t xml:space="preserve"> respectively. All regressions are estimated by OLS and robust standard errors are reported, where *** p&lt;0.01, ** p&lt;0.05, * p&lt;0.1. Details of the control variables are presented in Appendix </w:t>
            </w:r>
            <w:r w:rsidR="00347625">
              <w:rPr>
                <w:rFonts w:ascii="Times New Roman" w:hAnsi="Times New Roman" w:cs="Times New Roman"/>
                <w:b w:val="0"/>
                <w:sz w:val="18"/>
                <w:szCs w:val="18"/>
              </w:rPr>
              <w:t>B</w:t>
            </w:r>
            <w:r>
              <w:rPr>
                <w:rFonts w:ascii="Times New Roman" w:hAnsi="Times New Roman" w:cs="Times New Roman"/>
                <w:b w:val="0"/>
                <w:sz w:val="18"/>
                <w:szCs w:val="18"/>
              </w:rPr>
              <w:t>.</w:t>
            </w:r>
            <w:r w:rsidR="00347625">
              <w:rPr>
                <w:rFonts w:ascii="Times New Roman" w:hAnsi="Times New Roman" w:cs="Times New Roman"/>
                <w:b w:val="0"/>
                <w:sz w:val="18"/>
                <w:szCs w:val="18"/>
              </w:rPr>
              <w:t>2</w:t>
            </w:r>
            <w:r w:rsidRPr="00C3416D">
              <w:rPr>
                <w:rFonts w:ascii="Times New Roman" w:hAnsi="Times New Roman" w:cs="Times New Roman"/>
                <w:b w:val="0"/>
                <w:sz w:val="18"/>
                <w:szCs w:val="18"/>
              </w:rPr>
              <w:t>.</w:t>
            </w:r>
          </w:p>
        </w:tc>
      </w:tr>
    </w:tbl>
    <w:p w:rsidR="00C62335" w:rsidRDefault="00C62335" w:rsidP="00B9694E">
      <w:pPr>
        <w:spacing w:after="0" w:line="360" w:lineRule="auto"/>
        <w:jc w:val="both"/>
        <w:rPr>
          <w:rFonts w:ascii="Times New Roman" w:hAnsi="Times New Roman" w:cs="Times New Roman"/>
          <w:b/>
        </w:rPr>
      </w:pPr>
    </w:p>
    <w:p w:rsidR="00BD453A" w:rsidRPr="00BD453A" w:rsidRDefault="00C62335" w:rsidP="00B9694E">
      <w:pPr>
        <w:spacing w:after="0" w:line="360" w:lineRule="auto"/>
        <w:ind w:firstLine="567"/>
        <w:jc w:val="both"/>
        <w:rPr>
          <w:rFonts w:ascii="Times New Roman" w:hAnsi="Times New Roman" w:cs="Times New Roman"/>
        </w:rPr>
      </w:pPr>
      <w:r>
        <w:rPr>
          <w:rFonts w:ascii="Times New Roman" w:hAnsi="Times New Roman" w:cs="Times New Roman"/>
        </w:rPr>
        <w:t xml:space="preserve">Because data constraints limit the possible control variables, all controls are time invariant and are </w:t>
      </w:r>
      <w:r w:rsidRPr="00C3416D">
        <w:rPr>
          <w:rFonts w:ascii="Times New Roman" w:hAnsi="Times New Roman" w:cs="Times New Roman"/>
        </w:rPr>
        <w:t xml:space="preserve">included in the regression alongside an interaction with the time </w:t>
      </w:r>
      <w:r w:rsidR="007D5E0C" w:rsidRPr="00C3416D">
        <w:rPr>
          <w:rFonts w:ascii="Times New Roman" w:hAnsi="Times New Roman" w:cs="Times New Roman"/>
        </w:rPr>
        <w:t>dummy</w:t>
      </w:r>
      <w:r w:rsidR="00347625">
        <w:rPr>
          <w:rFonts w:ascii="Times New Roman" w:hAnsi="Times New Roman" w:cs="Times New Roman"/>
        </w:rPr>
        <w:t xml:space="preserve"> </w:t>
      </w:r>
      <m:oMath>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oMath>
      <w:r w:rsidR="00BD453A">
        <w:rPr>
          <w:rFonts w:ascii="Times New Roman" w:hAnsi="Times New Roman" w:cs="Times New Roman"/>
        </w:rPr>
        <w:t xml:space="preserve">. When augmented with additional industry-specific control variables </w:t>
      </w:r>
      <m:oMath>
        <m:sSub>
          <m:sSubPr>
            <m:ctrlPr>
              <w:rPr>
                <w:rFonts w:ascii="Cambria Math" w:hAnsi="Cambria Math" w:cs="Times New Roman"/>
                <w:i/>
              </w:rPr>
            </m:ctrlPr>
          </m:sSubPr>
          <m:e>
            <m:r>
              <m:rPr>
                <m:sty m:val="bi"/>
              </m:rPr>
              <w:rPr>
                <w:rFonts w:ascii="Cambria Math" w:hAnsi="Cambria Math" w:cs="Times New Roman"/>
              </w:rPr>
              <m:t>X</m:t>
            </m:r>
            <m:ctrlPr>
              <w:rPr>
                <w:rFonts w:ascii="Cambria Math" w:hAnsi="Cambria Math" w:cs="Times New Roman"/>
                <w:b/>
                <w:i/>
              </w:rPr>
            </m:ctrlPr>
          </m:e>
          <m:sub>
            <m:r>
              <w:rPr>
                <w:rFonts w:ascii="Cambria Math" w:hAnsi="Cambria Math" w:cs="Times New Roman"/>
              </w:rPr>
              <m:t>i</m:t>
            </m:r>
          </m:sub>
        </m:sSub>
      </m:oMath>
      <w:r w:rsidR="00BD453A">
        <w:rPr>
          <w:rFonts w:ascii="Times New Roman" w:hAnsi="Times New Roman" w:cs="Times New Roman"/>
        </w:rPr>
        <w:t>, the regression framework has the following form:</w:t>
      </w:r>
    </w:p>
    <w:p w:rsidR="00BD453A" w:rsidRPr="000E6154" w:rsidRDefault="00BD453A" w:rsidP="00B9694E">
      <w:pPr>
        <w:spacing w:after="0" w:line="360" w:lineRule="auto"/>
        <w:ind w:firstLine="567"/>
        <w:jc w:val="both"/>
        <w:rPr>
          <w:rFonts w:ascii="Times New Roman" w:hAnsi="Times New Roman" w:cs="Times New Roman"/>
        </w:rPr>
      </w:pPr>
      <m:oMathPara>
        <m:oMath>
          <m:r>
            <m:rPr>
              <m:sty m:val="p"/>
            </m:rP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i,t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1</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ten</m:t>
              </m:r>
            </m:sub>
          </m:sSub>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add</m:t>
              </m:r>
            </m:sub>
          </m:sSub>
          <m:r>
            <w:rPr>
              <w:rFonts w:ascii="Cambria Math" w:hAnsi="Cambria Math" w:cs="Times New Roman"/>
            </w:rPr>
            <m:t>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ten</m:t>
              </m:r>
            </m:sub>
          </m:sSub>
          <m:d>
            <m:dPr>
              <m:ctrlPr>
                <w:rPr>
                  <w:rFonts w:ascii="Cambria Math" w:hAnsi="Cambria Math" w:cs="Times New Roman"/>
                  <w:i/>
                </w:rPr>
              </m:ctrlPr>
            </m:dPr>
            <m:e>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add</m:t>
              </m:r>
            </m:sub>
          </m:sSub>
          <m:d>
            <m:dPr>
              <m:ctrlPr>
                <w:rPr>
                  <w:rFonts w:ascii="Cambria Math" w:hAnsi="Cambria Math" w:cs="Times New Roman"/>
                  <w:i/>
                </w:rPr>
              </m:ctrlPr>
            </m:dPr>
            <m:e>
              <m:r>
                <w:rPr>
                  <w:rFonts w:ascii="Cambria Math" w:hAnsi="Cambria Math" w:cs="Times New Roman"/>
                </w:rPr>
                <m:t>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e>
          </m:d>
        </m:oMath>
      </m:oMathPara>
    </w:p>
    <w:p w:rsidR="00BD453A" w:rsidRDefault="00BD453A" w:rsidP="00B9694E">
      <w:pPr>
        <w:spacing w:after="0" w:line="360" w:lineRule="auto"/>
        <w:ind w:firstLine="567"/>
        <w:jc w:val="both"/>
        <w:rPr>
          <w:rFonts w:ascii="Times New Roman"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γ</m:t>
              </m:r>
            </m:e>
            <m:sub>
              <m:r>
                <w:rPr>
                  <w:rFonts w:ascii="Cambria Math" w:hAnsi="Cambria Math" w:cs="Times New Roman"/>
                </w:rPr>
                <m:t>1</m:t>
              </m:r>
            </m:sub>
          </m:sSub>
          <m:sSub>
            <m:sSubPr>
              <m:ctrlPr>
                <w:rPr>
                  <w:rFonts w:ascii="Cambria Math" w:hAnsi="Cambria Math" w:cs="Times New Roman"/>
                  <w:i/>
                </w:rPr>
              </m:ctrlPr>
            </m:sSubPr>
            <m:e>
              <m:r>
                <m:rPr>
                  <m:sty m:val="bi"/>
                </m:rPr>
                <w:rPr>
                  <w:rFonts w:ascii="Cambria Math" w:hAnsi="Cambria Math" w:cs="Times New Roman"/>
                </w:rPr>
                <m:t>X</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γ</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m:rPr>
                  <m:sty m:val="bi"/>
                </m:rPr>
                <w:rPr>
                  <w:rFonts w:ascii="Cambria Math" w:hAnsi="Cambria Math" w:cs="Times New Roman"/>
                </w:rPr>
                <m:t>X</m:t>
              </m:r>
            </m:e>
            <m:sub>
              <m:r>
                <w:rPr>
                  <w:rFonts w:ascii="Cambria Math" w:hAnsi="Cambria Math" w:cs="Times New Roman"/>
                </w:rPr>
                <m:t>i</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i,t</m:t>
              </m:r>
            </m:sub>
          </m:sSub>
        </m:oMath>
      </m:oMathPara>
    </w:p>
    <w:p w:rsidR="00BD453A" w:rsidRDefault="00C62335" w:rsidP="00B9694E">
      <w:pPr>
        <w:spacing w:after="0" w:line="360" w:lineRule="auto"/>
        <w:ind w:firstLine="567"/>
        <w:jc w:val="both"/>
        <w:rPr>
          <w:rFonts w:ascii="Times New Roman" w:hAnsi="Times New Roman" w:cs="Times New Roman"/>
        </w:rPr>
      </w:pPr>
      <w:r>
        <w:rPr>
          <w:rFonts w:ascii="Times New Roman" w:hAnsi="Times New Roman" w:cs="Times New Roman"/>
        </w:rPr>
        <w:t xml:space="preserve"> </w:t>
      </w:r>
      <w:r w:rsidR="00BD453A">
        <w:rPr>
          <w:rFonts w:ascii="Times New Roman" w:hAnsi="Times New Roman" w:cs="Times New Roman"/>
        </w:rPr>
        <w:t xml:space="preserve">These controls are intended to capture otherwise unobserved features of industries that may simultaneously be correlated with the tariff treatment and their output, productivity or employment </w:t>
      </w:r>
      <w:r w:rsidR="00BD453A" w:rsidRPr="00C62335">
        <w:rPr>
          <w:rFonts w:ascii="Times New Roman" w:hAnsi="Times New Roman" w:cs="Times New Roman"/>
        </w:rPr>
        <w:t>growth. That is, they are intended to capture industry features that may have caused differential changes in growth rates across industry groups absent the General Tariff.</w:t>
      </w:r>
      <w:r w:rsidRPr="00C3416D">
        <w:rPr>
          <w:rFonts w:ascii="Times New Roman" w:hAnsi="Times New Roman" w:cs="Times New Roman"/>
        </w:rPr>
        <w:t xml:space="preserve"> </w:t>
      </w:r>
    </w:p>
    <w:p w:rsidR="00C62335" w:rsidRDefault="00C62335" w:rsidP="00B9694E">
      <w:pPr>
        <w:spacing w:after="0" w:line="360" w:lineRule="auto"/>
        <w:ind w:firstLine="567"/>
        <w:jc w:val="both"/>
        <w:rPr>
          <w:rFonts w:ascii="Times New Roman" w:hAnsi="Times New Roman" w:cs="Times New Roman"/>
        </w:rPr>
      </w:pPr>
      <w:r>
        <w:rPr>
          <w:rFonts w:ascii="Times New Roman" w:hAnsi="Times New Roman" w:cs="Times New Roman"/>
        </w:rPr>
        <w:t xml:space="preserve">The regression results </w:t>
      </w:r>
      <w:r w:rsidRPr="00C3416D">
        <w:rPr>
          <w:rFonts w:ascii="Times New Roman" w:hAnsi="Times New Roman" w:cs="Times New Roman"/>
        </w:rPr>
        <w:t>with control variables included serve to reinforce our main conclusion: industries that received additional protection under the 1932 General Tariff received a significant output and productivity benefit relative to the control group.</w:t>
      </w:r>
    </w:p>
    <w:p w:rsidR="00C62335" w:rsidRDefault="00C62335" w:rsidP="00B9694E">
      <w:pPr>
        <w:spacing w:after="0" w:line="360" w:lineRule="auto"/>
        <w:ind w:firstLine="567"/>
        <w:jc w:val="both"/>
        <w:rPr>
          <w:rFonts w:ascii="Times New Roman" w:hAnsi="Times New Roman" w:cs="Times New Roman"/>
        </w:rPr>
      </w:pPr>
      <w:r>
        <w:rPr>
          <w:rFonts w:ascii="Times New Roman" w:hAnsi="Times New Roman" w:cs="Times New Roman"/>
        </w:rPr>
        <w:t xml:space="preserve">In column (2), we report the regression results with a set of control variables for the 13 different sectors as defined by the </w:t>
      </w:r>
      <w:r w:rsidRPr="000045AA">
        <w:rPr>
          <w:rFonts w:ascii="Times New Roman" w:hAnsi="Times New Roman" w:cs="Times New Roman"/>
        </w:rPr>
        <w:t xml:space="preserve">Census of Production. That is, we have a dummy variable for each sector of the economy that is set to unity if that industry is classed within that sector according to the Census of Production, and zero otherwise. To the extent that industries within the same sector may co-move, but differ from other sectors, or be subject to similar tariff protection within sectors, this control variable can capture time-varying, industry-specific influences, as well as potential non-random tariff assignment. Column </w:t>
      </w:r>
      <w:r>
        <w:rPr>
          <w:rFonts w:ascii="Times New Roman" w:hAnsi="Times New Roman" w:cs="Times New Roman"/>
        </w:rPr>
        <w:t xml:space="preserve">(2) illustrates that the tariff effects for additionally protected industries for net output growth and net output </w:t>
      </w:r>
      <w:r w:rsidR="00B9694E">
        <w:rPr>
          <w:rFonts w:ascii="Times New Roman" w:hAnsi="Times New Roman" w:cs="Times New Roman"/>
        </w:rPr>
        <w:t>per worker</w:t>
      </w:r>
      <w:r>
        <w:rPr>
          <w:rFonts w:ascii="Times New Roman" w:hAnsi="Times New Roman" w:cs="Times New Roman"/>
        </w:rPr>
        <w:t xml:space="preserve"> growth are robust to the inclusion of controls for industry-sector groups. The Census of Production sector dummies capture limited sectoral heterogeneity. There may still be heterogeneity of industries within each sector which could better be accounted for. In column (3), we report the results using a more disaggregated classification from Barna (1952) with 29 sectors. The results in column (3) indicate that the tariff effects for additionally protected industries are robust to these time-varying controls.</w:t>
      </w:r>
    </w:p>
    <w:p w:rsidR="00C62335" w:rsidRDefault="00C62335" w:rsidP="00B9694E">
      <w:pPr>
        <w:spacing w:after="0" w:line="360" w:lineRule="auto"/>
        <w:ind w:firstLine="567"/>
        <w:jc w:val="both"/>
        <w:rPr>
          <w:rFonts w:ascii="Times New Roman" w:hAnsi="Times New Roman" w:cs="Times New Roman"/>
        </w:rPr>
      </w:pPr>
      <w:r>
        <w:rPr>
          <w:rFonts w:ascii="Times New Roman" w:hAnsi="Times New Roman" w:cs="Times New Roman"/>
        </w:rPr>
        <w:t>In addition to sector dummies, columns (4) and (5) present regression results with additional control variables to account for specific features of industries</w:t>
      </w:r>
      <w:r w:rsidR="00AB5924">
        <w:rPr>
          <w:rFonts w:ascii="Times New Roman" w:hAnsi="Times New Roman" w:cs="Times New Roman"/>
        </w:rPr>
        <w:t>, which may simultaneously be correlated with the growth of an industry as well as the tariff protection they received</w:t>
      </w:r>
      <w:r>
        <w:rPr>
          <w:rFonts w:ascii="Times New Roman" w:hAnsi="Times New Roman" w:cs="Times New Roman"/>
        </w:rPr>
        <w:t xml:space="preserve">. In column (4) we use control variables from Kitson and Solomou (1990), which classify industries as resource intensive, labour intensive, scale intensive, an industry with differentiated products, or a food, drink and tobacco industry. Similarly, in column (5), we define control variables for industries that were more or less intensively using electricity as an </w:t>
      </w:r>
      <w:r w:rsidRPr="000045AA">
        <w:rPr>
          <w:rFonts w:ascii="Times New Roman" w:hAnsi="Times New Roman" w:cs="Times New Roman"/>
        </w:rPr>
        <w:t>input to production. Importantly, the headline results are robust to the inclusion of these control variables. Again, these control variables are intended to capture industry features that may have led to differences in their evolution absent the General Tariff.</w:t>
      </w:r>
    </w:p>
    <w:p w:rsidR="00264B29" w:rsidRDefault="00AB5924" w:rsidP="00B9694E">
      <w:pPr>
        <w:spacing w:after="0" w:line="360" w:lineRule="auto"/>
        <w:ind w:firstLine="567"/>
        <w:jc w:val="both"/>
        <w:rPr>
          <w:rFonts w:ascii="Times New Roman" w:hAnsi="Times New Roman" w:cs="Times New Roman"/>
        </w:rPr>
      </w:pPr>
      <w:r>
        <w:rPr>
          <w:rFonts w:ascii="Times New Roman" w:hAnsi="Times New Roman" w:cs="Times New Roman"/>
        </w:rPr>
        <w:t>Additionally</w:t>
      </w:r>
      <w:r w:rsidR="00264B29">
        <w:rPr>
          <w:rFonts w:ascii="Times New Roman" w:hAnsi="Times New Roman" w:cs="Times New Roman"/>
        </w:rPr>
        <w:t xml:space="preserve">, </w:t>
      </w:r>
      <w:r w:rsidR="00347625">
        <w:rPr>
          <w:rFonts w:ascii="Times New Roman" w:hAnsi="Times New Roman" w:cs="Times New Roman"/>
        </w:rPr>
        <w:t>A</w:t>
      </w:r>
      <w:r w:rsidR="00264B29">
        <w:rPr>
          <w:rFonts w:ascii="Times New Roman" w:hAnsi="Times New Roman" w:cs="Times New Roman"/>
        </w:rPr>
        <w:t xml:space="preserve">ppendix </w:t>
      </w:r>
      <w:r w:rsidR="00347625">
        <w:rPr>
          <w:rFonts w:ascii="Times New Roman" w:hAnsi="Times New Roman" w:cs="Times New Roman"/>
        </w:rPr>
        <w:t>B</w:t>
      </w:r>
      <w:r w:rsidR="00264B29">
        <w:rPr>
          <w:rFonts w:ascii="Times New Roman" w:hAnsi="Times New Roman" w:cs="Times New Roman"/>
        </w:rPr>
        <w:t>.</w:t>
      </w:r>
      <w:r w:rsidR="00347625">
        <w:rPr>
          <w:rFonts w:ascii="Times New Roman" w:hAnsi="Times New Roman" w:cs="Times New Roman"/>
        </w:rPr>
        <w:t>7</w:t>
      </w:r>
      <w:r w:rsidR="00264B29">
        <w:rPr>
          <w:rFonts w:ascii="Times New Roman" w:hAnsi="Times New Roman" w:cs="Times New Roman"/>
        </w:rPr>
        <w:t xml:space="preserve"> presents a robustness exercise which accounts for industries whose output and employment growth over the 1924-35 period could be considered as potential outliers. These robustness regressions can be interpreted as difference-in-difference regressions with a larger ‘region of common support’ between treatment and control variables (Ravallion, 2008). Importantly, our headline results are robust to the omission of outliers.</w:t>
      </w:r>
    </w:p>
    <w:p w:rsidR="00C62335" w:rsidRDefault="00C62335" w:rsidP="00B9694E">
      <w:pPr>
        <w:spacing w:after="0" w:line="360" w:lineRule="auto"/>
        <w:rPr>
          <w:rFonts w:ascii="Times New Roman" w:hAnsi="Times New Roman" w:cs="Times New Roman"/>
        </w:rPr>
      </w:pPr>
    </w:p>
    <w:p w:rsidR="00C62335" w:rsidRPr="00C3416D" w:rsidRDefault="00C62335" w:rsidP="00B9694E">
      <w:pPr>
        <w:spacing w:after="0" w:line="360" w:lineRule="auto"/>
        <w:jc w:val="both"/>
        <w:rPr>
          <w:rFonts w:ascii="Times New Roman" w:hAnsi="Times New Roman" w:cs="Times New Roman"/>
          <w:b/>
        </w:rPr>
      </w:pPr>
      <w:r w:rsidRPr="00C3416D">
        <w:rPr>
          <w:rFonts w:ascii="Times New Roman" w:hAnsi="Times New Roman" w:cs="Times New Roman"/>
          <w:b/>
        </w:rPr>
        <w:t>3.3</w:t>
      </w:r>
      <w:r w:rsidRPr="00C3416D">
        <w:rPr>
          <w:rFonts w:ascii="Times New Roman" w:hAnsi="Times New Roman" w:cs="Times New Roman"/>
          <w:b/>
        </w:rPr>
        <w:tab/>
      </w:r>
      <w:r>
        <w:rPr>
          <w:rFonts w:ascii="Times New Roman" w:hAnsi="Times New Roman" w:cs="Times New Roman"/>
          <w:b/>
        </w:rPr>
        <w:t xml:space="preserve">Medium-Term Effects of the General </w:t>
      </w:r>
      <w:r w:rsidRPr="00C3416D">
        <w:rPr>
          <w:rFonts w:ascii="Times New Roman" w:hAnsi="Times New Roman" w:cs="Times New Roman"/>
          <w:b/>
        </w:rPr>
        <w:t xml:space="preserve">Tariff </w:t>
      </w:r>
    </w:p>
    <w:p w:rsidR="00C62335" w:rsidRDefault="00C62335" w:rsidP="00B9694E">
      <w:pPr>
        <w:spacing w:after="0" w:line="360" w:lineRule="auto"/>
        <w:ind w:firstLine="567"/>
        <w:jc w:val="both"/>
        <w:rPr>
          <w:rFonts w:ascii="Times New Roman" w:hAnsi="Times New Roman" w:cs="Times New Roman"/>
        </w:rPr>
      </w:pPr>
      <w:r>
        <w:rPr>
          <w:rFonts w:ascii="Times New Roman" w:hAnsi="Times New Roman" w:cs="Times New Roman"/>
        </w:rPr>
        <w:t xml:space="preserve">The previous results suggest a positive short-term output and productivity effect arising from the General Tariff during the period 1930-35. Extending the </w:t>
      </w:r>
      <w:r w:rsidRPr="00C3416D">
        <w:rPr>
          <w:rFonts w:ascii="Times New Roman" w:hAnsi="Times New Roman" w:cs="Times New Roman"/>
        </w:rPr>
        <w:t>Census of Production data</w:t>
      </w:r>
      <w:r>
        <w:rPr>
          <w:rFonts w:ascii="Times New Roman" w:hAnsi="Times New Roman" w:cs="Times New Roman"/>
        </w:rPr>
        <w:t xml:space="preserve"> to include the 1948 Census</w:t>
      </w:r>
      <w:r w:rsidRPr="00C3416D">
        <w:rPr>
          <w:rFonts w:ascii="Times New Roman" w:hAnsi="Times New Roman" w:cs="Times New Roman"/>
        </w:rPr>
        <w:t xml:space="preserve"> </w:t>
      </w:r>
      <w:r>
        <w:rPr>
          <w:rFonts w:ascii="Times New Roman" w:hAnsi="Times New Roman" w:cs="Times New Roman"/>
        </w:rPr>
        <w:t xml:space="preserve">allows </w:t>
      </w:r>
      <w:r w:rsidRPr="00C3416D">
        <w:rPr>
          <w:rFonts w:ascii="Times New Roman" w:hAnsi="Times New Roman" w:cs="Times New Roman"/>
        </w:rPr>
        <w:t xml:space="preserve">us to investigate whether the expansionary effects of the tariff persisted </w:t>
      </w:r>
      <w:r>
        <w:rPr>
          <w:rFonts w:ascii="Times New Roman" w:hAnsi="Times New Roman" w:cs="Times New Roman"/>
        </w:rPr>
        <w:t>over time</w:t>
      </w:r>
      <w:r w:rsidRPr="00C3416D">
        <w:rPr>
          <w:rFonts w:ascii="Times New Roman" w:hAnsi="Times New Roman" w:cs="Times New Roman"/>
        </w:rPr>
        <w:t xml:space="preserve">. </w:t>
      </w:r>
      <w:r>
        <w:rPr>
          <w:rFonts w:ascii="Times New Roman" w:hAnsi="Times New Roman" w:cs="Times New Roman"/>
        </w:rPr>
        <w:t>To investigate the medium-term time profile of the effect w</w:t>
      </w:r>
      <w:r w:rsidRPr="00C3416D">
        <w:rPr>
          <w:rFonts w:ascii="Times New Roman" w:hAnsi="Times New Roman" w:cs="Times New Roman"/>
        </w:rPr>
        <w:t>e combine industry-level output and employment data from the 1948 Census of Production, with our existing data from the 1924, 1930 and 1935 censuses. Of the 109 industries in our baseline sa</w:t>
      </w:r>
      <w:r>
        <w:rPr>
          <w:rFonts w:ascii="Times New Roman" w:hAnsi="Times New Roman" w:cs="Times New Roman"/>
        </w:rPr>
        <w:t>mple for the 1924-35 period, 103</w:t>
      </w:r>
      <w:r w:rsidRPr="00C3416D">
        <w:rPr>
          <w:rFonts w:ascii="Times New Roman" w:hAnsi="Times New Roman" w:cs="Times New Roman"/>
        </w:rPr>
        <w:t xml:space="preserve"> remain in the 1948 sample.</w:t>
      </w:r>
      <w:r w:rsidRPr="00C3416D">
        <w:rPr>
          <w:rStyle w:val="FootnoteReference"/>
          <w:rFonts w:ascii="Times New Roman" w:hAnsi="Times New Roman" w:cs="Times New Roman"/>
        </w:rPr>
        <w:footnoteReference w:id="14"/>
      </w:r>
      <w:r w:rsidRPr="00C3416D">
        <w:rPr>
          <w:rFonts w:ascii="Times New Roman" w:hAnsi="Times New Roman" w:cs="Times New Roman"/>
        </w:rPr>
        <w:t xml:space="preserve"> We estimate the effect of the tariff using the three-group classification, redefining the second period in the sample as the 1930-48 period (instead of 1930-35). The dependent variables remain the average annual growth of real output, productivity and employment over each period.</w:t>
      </w:r>
      <w:r>
        <w:rPr>
          <w:rFonts w:ascii="Times New Roman" w:hAnsi="Times New Roman" w:cs="Times New Roman"/>
        </w:rPr>
        <w:t xml:space="preserve"> </w:t>
      </w:r>
    </w:p>
    <w:p w:rsidR="00BD453A" w:rsidRDefault="00BD453A" w:rsidP="00B9694E">
      <w:pPr>
        <w:spacing w:after="0" w:line="360" w:lineRule="auto"/>
        <w:ind w:firstLine="567"/>
        <w:jc w:val="both"/>
        <w:rPr>
          <w:rFonts w:ascii="Times New Roman" w:hAnsi="Times New Roman" w:cs="Times New Roman"/>
        </w:rPr>
      </w:pPr>
    </w:p>
    <w:p w:rsidR="00B9694E" w:rsidRDefault="00B9694E">
      <w:pPr>
        <w:rPr>
          <w:rFonts w:ascii="Times New Roman" w:hAnsi="Times New Roman" w:cs="Times New Roman"/>
          <w:b/>
        </w:rPr>
      </w:pPr>
      <w:r>
        <w:rPr>
          <w:rFonts w:ascii="Times New Roman" w:hAnsi="Times New Roman" w:cs="Times New Roman"/>
          <w:b/>
        </w:rPr>
        <w:br w:type="page"/>
      </w:r>
    </w:p>
    <w:p w:rsidR="00BD453A" w:rsidRPr="00C3416D" w:rsidRDefault="00BD453A" w:rsidP="00B9694E">
      <w:pPr>
        <w:spacing w:line="360" w:lineRule="auto"/>
        <w:jc w:val="both"/>
        <w:rPr>
          <w:rFonts w:ascii="Times New Roman" w:hAnsi="Times New Roman" w:cs="Times New Roman"/>
          <w:b/>
        </w:rPr>
      </w:pPr>
      <w:r w:rsidRPr="00C3416D">
        <w:rPr>
          <w:rFonts w:ascii="Times New Roman" w:hAnsi="Times New Roman" w:cs="Times New Roman"/>
          <w:b/>
        </w:rPr>
        <w:t>Table 3: Difference-in-Difference Results for the Three-Group Classification for 1924-30 and 1930-48</w:t>
      </w:r>
    </w:p>
    <w:tbl>
      <w:tblPr>
        <w:tblStyle w:val="TableGrid"/>
        <w:tblW w:w="7621" w:type="dxa"/>
        <w:tblLook w:val="04A0" w:firstRow="1" w:lastRow="0" w:firstColumn="1" w:lastColumn="0" w:noHBand="0" w:noVBand="1"/>
      </w:tblPr>
      <w:tblGrid>
        <w:gridCol w:w="3369"/>
        <w:gridCol w:w="1417"/>
        <w:gridCol w:w="1418"/>
        <w:gridCol w:w="1417"/>
      </w:tblGrid>
      <w:tr w:rsidR="00BD453A" w:rsidRPr="00C3416D" w:rsidTr="007568A0">
        <w:tc>
          <w:tcPr>
            <w:tcW w:w="3369" w:type="dxa"/>
            <w:tcBorders>
              <w:top w:val="single" w:sz="12" w:space="0" w:color="auto"/>
              <w:left w:val="single" w:sz="4" w:space="0" w:color="FFFFFF" w:themeColor="background1"/>
              <w:right w:val="single" w:sz="4" w:space="0" w:color="FFFFFF" w:themeColor="background1"/>
            </w:tcBorders>
          </w:tcPr>
          <w:p w:rsidR="00BD453A" w:rsidRPr="00C3416D" w:rsidRDefault="00BD453A" w:rsidP="00B9694E">
            <w:pPr>
              <w:spacing w:line="360" w:lineRule="auto"/>
              <w:jc w:val="both"/>
              <w:rPr>
                <w:rFonts w:ascii="Times New Roman" w:hAnsi="Times New Roman" w:cs="Times New Roman"/>
              </w:rPr>
            </w:pPr>
          </w:p>
        </w:tc>
        <w:tc>
          <w:tcPr>
            <w:tcW w:w="1417" w:type="dxa"/>
            <w:tcBorders>
              <w:top w:val="single" w:sz="12" w:space="0" w:color="auto"/>
              <w:left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Net Output Growth</w:t>
            </w:r>
          </w:p>
        </w:tc>
        <w:tc>
          <w:tcPr>
            <w:tcW w:w="1418" w:type="dxa"/>
            <w:tcBorders>
              <w:top w:val="single" w:sz="12" w:space="0" w:color="auto"/>
              <w:left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(2)</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 xml:space="preserve">Net Output </w:t>
            </w:r>
            <w:r w:rsidR="00B9694E">
              <w:rPr>
                <w:rFonts w:ascii="Times New Roman" w:hAnsi="Times New Roman" w:cs="Times New Roman"/>
              </w:rPr>
              <w:t>per worker</w:t>
            </w:r>
            <w:r w:rsidRPr="00C3416D">
              <w:rPr>
                <w:rFonts w:ascii="Times New Roman" w:hAnsi="Times New Roman" w:cs="Times New Roman"/>
              </w:rPr>
              <w:t xml:space="preserve"> Growth</w:t>
            </w:r>
          </w:p>
        </w:tc>
        <w:tc>
          <w:tcPr>
            <w:tcW w:w="1417" w:type="dxa"/>
            <w:tcBorders>
              <w:top w:val="single" w:sz="12" w:space="0" w:color="auto"/>
              <w:left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(3)</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Employment Growth</w:t>
            </w:r>
          </w:p>
        </w:tc>
      </w:tr>
      <w:tr w:rsidR="00BD453A" w:rsidRPr="00C3416D" w:rsidTr="007568A0">
        <w:tc>
          <w:tcPr>
            <w:tcW w:w="3369" w:type="dxa"/>
            <w:tcBorders>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rPr>
                <w:rFonts w:ascii="Times New Roman" w:hAnsi="Times New Roman" w:cs="Times New Roman"/>
              </w:rPr>
            </w:pPr>
            <w:r w:rsidRPr="00C3416D">
              <w:rPr>
                <w:rFonts w:ascii="Times New Roman" w:hAnsi="Times New Roman" w:cs="Times New Roman"/>
              </w:rPr>
              <w:t xml:space="preserve">D-in-D for &gt;10%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δ</m:t>
                      </m:r>
                    </m:e>
                  </m:acc>
                </m:e>
                <m:sub>
                  <m:r>
                    <w:rPr>
                      <w:rFonts w:ascii="Cambria Math" w:hAnsi="Cambria Math" w:cs="Times New Roman"/>
                    </w:rPr>
                    <m:t>add</m:t>
                  </m:r>
                </m:sub>
              </m:sSub>
            </m:oMath>
          </w:p>
        </w:tc>
        <w:tc>
          <w:tcPr>
            <w:tcW w:w="1417" w:type="dxa"/>
            <w:tcBorders>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3.1</w:t>
            </w:r>
            <w:r>
              <w:rPr>
                <w:rFonts w:ascii="Times New Roman" w:hAnsi="Times New Roman" w:cs="Times New Roman"/>
              </w:rPr>
              <w:t>18</w:t>
            </w:r>
            <w:r w:rsidRPr="00C3416D">
              <w:rPr>
                <w:rFonts w:ascii="Times New Roman" w:hAnsi="Times New Roman" w:cs="Times New Roman"/>
              </w:rPr>
              <w:t>**</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317</w:t>
            </w:r>
            <w:r w:rsidRPr="00C3416D">
              <w:rPr>
                <w:rFonts w:ascii="Times New Roman" w:hAnsi="Times New Roman" w:cs="Times New Roman"/>
              </w:rPr>
              <w:t>)</w:t>
            </w:r>
          </w:p>
        </w:tc>
        <w:tc>
          <w:tcPr>
            <w:tcW w:w="1418" w:type="dxa"/>
            <w:tcBorders>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838</w:t>
            </w:r>
            <w:r w:rsidRPr="00C3416D">
              <w:rPr>
                <w:rFonts w:ascii="Times New Roman" w:hAnsi="Times New Roman" w:cs="Times New Roman"/>
              </w:rPr>
              <w:t>**</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879</w:t>
            </w:r>
            <w:r w:rsidRPr="00C3416D">
              <w:rPr>
                <w:rFonts w:ascii="Times New Roman" w:hAnsi="Times New Roman" w:cs="Times New Roman"/>
              </w:rPr>
              <w:t>)</w:t>
            </w:r>
          </w:p>
        </w:tc>
        <w:tc>
          <w:tcPr>
            <w:tcW w:w="1417" w:type="dxa"/>
            <w:tcBorders>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190</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(0.9</w:t>
            </w:r>
            <w:r>
              <w:rPr>
                <w:rFonts w:ascii="Times New Roman" w:hAnsi="Times New Roman" w:cs="Times New Roman"/>
              </w:rPr>
              <w:t>46</w:t>
            </w:r>
            <w:r w:rsidRPr="00C3416D">
              <w:rPr>
                <w:rFonts w:ascii="Times New Roman" w:hAnsi="Times New Roman" w:cs="Times New Roman"/>
              </w:rPr>
              <w:t>)</w:t>
            </w:r>
          </w:p>
        </w:tc>
      </w:tr>
      <w:tr w:rsidR="00BD453A" w:rsidRPr="00C3416D" w:rsidTr="007568A0">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rPr>
                <w:rFonts w:ascii="Times New Roman" w:hAnsi="Times New Roman" w:cs="Times New Roman"/>
              </w:rPr>
            </w:pPr>
            <w:r w:rsidRPr="00C3416D">
              <w:rPr>
                <w:rFonts w:ascii="Times New Roman" w:hAnsi="Times New Roman" w:cs="Times New Roman"/>
              </w:rPr>
              <w:t xml:space="preserve">D-in-D for 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δ</m:t>
                      </m:r>
                    </m:e>
                  </m:acc>
                </m:e>
                <m:sub>
                  <m:r>
                    <w:rPr>
                      <w:rFonts w:ascii="Cambria Math" w:hAnsi="Cambria Math" w:cs="Times New Roman"/>
                    </w:rPr>
                    <m:t>ten</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887</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2.496</w:t>
            </w:r>
            <w:r w:rsidRPr="00C3416D">
              <w:rPr>
                <w:rFonts w:ascii="Times New Roman" w:hAnsi="Times New Roman" w:cs="Times New Roman"/>
              </w:rPr>
              <w:t>)</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950</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437</w:t>
            </w:r>
            <w:r w:rsidRPr="00C3416D">
              <w:rPr>
                <w:rFonts w:ascii="Times New Roman" w:hAnsi="Times New Roman" w:cs="Times New Roman"/>
              </w:rPr>
              <w:t>)</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882</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977</w:t>
            </w:r>
            <w:r w:rsidRPr="00C3416D">
              <w:rPr>
                <w:rFonts w:ascii="Times New Roman" w:hAnsi="Times New Roman" w:cs="Times New Roman"/>
              </w:rPr>
              <w:t>)</w:t>
            </w:r>
          </w:p>
        </w:tc>
      </w:tr>
      <w:tr w:rsidR="00BD453A" w:rsidRPr="00C3416D" w:rsidTr="007568A0">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rPr>
                <w:rFonts w:ascii="Times New Roman" w:hAnsi="Times New Roman" w:cs="Times New Roman"/>
              </w:rPr>
            </w:pPr>
            <w:r w:rsidRPr="00C3416D">
              <w:rPr>
                <w:rFonts w:ascii="Times New Roman" w:hAnsi="Times New Roman" w:cs="Times New Roman"/>
              </w:rPr>
              <w:t xml:space="preserve">Dummy Variable for &gt;10%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β</m:t>
                      </m:r>
                    </m:e>
                  </m:acc>
                </m:e>
                <m:sub>
                  <m:r>
                    <w:rPr>
                      <w:rFonts w:ascii="Cambria Math" w:hAnsi="Cambria Math" w:cs="Times New Roman"/>
                    </w:rPr>
                    <m:t>add</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-3.</w:t>
            </w:r>
            <w:r>
              <w:rPr>
                <w:rFonts w:ascii="Times New Roman" w:hAnsi="Times New Roman" w:cs="Times New Roman"/>
              </w:rPr>
              <w:t>083</w:t>
            </w:r>
            <w:r w:rsidRPr="00C3416D">
              <w:rPr>
                <w:rFonts w:ascii="Times New Roman" w:hAnsi="Times New Roman" w:cs="Times New Roman"/>
              </w:rPr>
              <w:t>***</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1.140</w:t>
            </w:r>
            <w:r w:rsidRPr="00C3416D">
              <w:rPr>
                <w:rFonts w:ascii="Times New Roman" w:hAnsi="Times New Roman" w:cs="Times New Roman"/>
              </w:rPr>
              <w:t>)</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744*</w:t>
            </w:r>
            <w:r w:rsidRPr="00C3416D">
              <w:rPr>
                <w:rFonts w:ascii="Times New Roman" w:hAnsi="Times New Roman" w:cs="Times New Roman"/>
              </w:rPr>
              <w:t>**</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792</w:t>
            </w:r>
            <w:r w:rsidRPr="00C3416D">
              <w:rPr>
                <w:rFonts w:ascii="Times New Roman" w:hAnsi="Times New Roman" w:cs="Times New Roman"/>
              </w:rPr>
              <w:t>)</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264</w:t>
            </w:r>
            <w:r w:rsidRPr="00C3416D">
              <w:rPr>
                <w:rFonts w:ascii="Times New Roman" w:hAnsi="Times New Roman" w:cs="Times New Roman"/>
              </w:rPr>
              <w:t>*</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732</w:t>
            </w:r>
            <w:r w:rsidRPr="00C3416D">
              <w:rPr>
                <w:rFonts w:ascii="Times New Roman" w:hAnsi="Times New Roman" w:cs="Times New Roman"/>
              </w:rPr>
              <w:t>)</w:t>
            </w:r>
          </w:p>
        </w:tc>
      </w:tr>
      <w:tr w:rsidR="00BD453A" w:rsidRPr="00C3416D" w:rsidTr="007568A0">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rPr>
                <w:rFonts w:ascii="Times New Roman" w:hAnsi="Times New Roman" w:cs="Times New Roman"/>
              </w:rPr>
            </w:pPr>
            <w:r w:rsidRPr="00C3416D">
              <w:rPr>
                <w:rFonts w:ascii="Times New Roman" w:hAnsi="Times New Roman" w:cs="Times New Roman"/>
              </w:rPr>
              <w:t xml:space="preserve">Dummy Variable for 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β</m:t>
                      </m:r>
                    </m:e>
                  </m:acc>
                </m:e>
                <m:sub>
                  <m:r>
                    <w:rPr>
                      <w:rFonts w:ascii="Cambria Math" w:hAnsi="Cambria Math" w:cs="Times New Roman"/>
                    </w:rPr>
                    <m:t>ten</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902</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2.089</w:t>
            </w:r>
            <w:r w:rsidRPr="00C3416D">
              <w:rPr>
                <w:rFonts w:ascii="Times New Roman" w:hAnsi="Times New Roman" w:cs="Times New Roman"/>
              </w:rPr>
              <w:t>)</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501</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1.294</w:t>
            </w:r>
            <w:r w:rsidRPr="00C3416D">
              <w:rPr>
                <w:rFonts w:ascii="Times New Roman" w:hAnsi="Times New Roman" w:cs="Times New Roman"/>
              </w:rPr>
              <w:t>)</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345</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472</w:t>
            </w:r>
            <w:r w:rsidRPr="00C3416D">
              <w:rPr>
                <w:rFonts w:ascii="Times New Roman" w:hAnsi="Times New Roman" w:cs="Times New Roman"/>
              </w:rPr>
              <w:t>)</w:t>
            </w:r>
          </w:p>
        </w:tc>
      </w:tr>
      <w:tr w:rsidR="00BD453A" w:rsidRPr="00C3416D" w:rsidTr="007568A0">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rPr>
                <w:rFonts w:ascii="Times New Roman" w:hAnsi="Times New Roman" w:cs="Times New Roman"/>
              </w:rPr>
            </w:pPr>
            <w:r w:rsidRPr="00C3416D">
              <w:rPr>
                <w:rFonts w:ascii="Times New Roman" w:hAnsi="Times New Roman" w:cs="Times New Roman"/>
              </w:rPr>
              <w:t xml:space="preserve">Dummy Variable for 1930-48,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α</m:t>
                      </m:r>
                    </m:e>
                  </m:acc>
                </m:e>
                <m:sub>
                  <m:r>
                    <w:rPr>
                      <w:rFonts w:ascii="Cambria Math" w:hAnsi="Cambria Math" w:cs="Times New Roman"/>
                    </w:rPr>
                    <m:t>1</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598</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1.174</w:t>
            </w:r>
            <w:r w:rsidRPr="00C3416D">
              <w:rPr>
                <w:rFonts w:ascii="Times New Roman" w:hAnsi="Times New Roman" w:cs="Times New Roman"/>
              </w:rPr>
              <w:t>)</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785*</w:t>
            </w:r>
            <w:r w:rsidRPr="00C3416D">
              <w:rPr>
                <w:rFonts w:ascii="Times New Roman" w:hAnsi="Times New Roman" w:cs="Times New Roman"/>
              </w:rPr>
              <w:t>**</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797</w:t>
            </w:r>
            <w:r w:rsidRPr="00C3416D">
              <w:rPr>
                <w:rFonts w:ascii="Times New Roman" w:hAnsi="Times New Roman" w:cs="Times New Roman"/>
              </w:rPr>
              <w:t>)</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240</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(0.7</w:t>
            </w:r>
            <w:r>
              <w:rPr>
                <w:rFonts w:ascii="Times New Roman" w:hAnsi="Times New Roman" w:cs="Times New Roman"/>
              </w:rPr>
              <w:t>91</w:t>
            </w:r>
            <w:r w:rsidRPr="00C3416D">
              <w:rPr>
                <w:rFonts w:ascii="Times New Roman" w:hAnsi="Times New Roman" w:cs="Times New Roman"/>
              </w:rPr>
              <w:t>)</w:t>
            </w:r>
          </w:p>
        </w:tc>
      </w:tr>
      <w:tr w:rsidR="00BD453A" w:rsidRPr="00C3416D" w:rsidTr="007568A0">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rPr>
                <w:rFonts w:ascii="Times New Roman" w:hAnsi="Times New Roman" w:cs="Times New Roman"/>
              </w:rPr>
            </w:pPr>
            <w:r w:rsidRPr="00C3416D">
              <w:rPr>
                <w:rFonts w:ascii="Times New Roman" w:hAnsi="Times New Roman" w:cs="Times New Roman"/>
              </w:rPr>
              <w:t xml:space="preserve">Constant,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α</m:t>
                      </m:r>
                    </m:e>
                  </m:acc>
                </m:e>
                <m:sub>
                  <m:r>
                    <w:rPr>
                      <w:rFonts w:ascii="Cambria Math" w:hAnsi="Cambria Math" w:cs="Times New Roman"/>
                    </w:rPr>
                    <m:t>0</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4.2</w:t>
            </w:r>
            <w:r>
              <w:rPr>
                <w:rFonts w:ascii="Times New Roman" w:hAnsi="Times New Roman" w:cs="Times New Roman"/>
              </w:rPr>
              <w:t>06</w:t>
            </w:r>
            <w:r w:rsidRPr="00C3416D">
              <w:rPr>
                <w:rFonts w:ascii="Times New Roman" w:hAnsi="Times New Roman" w:cs="Times New Roman"/>
              </w:rPr>
              <w:t>***</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1.041</w:t>
            </w:r>
            <w:r w:rsidRPr="00C3416D">
              <w:rPr>
                <w:rFonts w:ascii="Times New Roman" w:hAnsi="Times New Roman" w:cs="Times New Roman"/>
              </w:rPr>
              <w:t>)</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3.</w:t>
            </w:r>
            <w:r>
              <w:rPr>
                <w:rFonts w:ascii="Times New Roman" w:hAnsi="Times New Roman" w:cs="Times New Roman"/>
              </w:rPr>
              <w:t>107</w:t>
            </w:r>
            <w:r w:rsidRPr="00C3416D">
              <w:rPr>
                <w:rFonts w:ascii="Times New Roman" w:hAnsi="Times New Roman" w:cs="Times New Roman"/>
              </w:rPr>
              <w:t>***</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723</w:t>
            </w:r>
            <w:r w:rsidRPr="00C3416D">
              <w:rPr>
                <w:rFonts w:ascii="Times New Roman" w:hAnsi="Times New Roman" w:cs="Times New Roman"/>
              </w:rPr>
              <w:t>)</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043</w:t>
            </w:r>
            <w:r w:rsidRPr="00C3416D">
              <w:rPr>
                <w:rFonts w:ascii="Times New Roman" w:hAnsi="Times New Roman" w:cs="Times New Roman"/>
              </w:rPr>
              <w:t>*</w:t>
            </w:r>
          </w:p>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605</w:t>
            </w:r>
            <w:r w:rsidRPr="00C3416D">
              <w:rPr>
                <w:rFonts w:ascii="Times New Roman" w:hAnsi="Times New Roman" w:cs="Times New Roman"/>
              </w:rPr>
              <w:t>)</w:t>
            </w:r>
          </w:p>
        </w:tc>
      </w:tr>
      <w:tr w:rsidR="00BD453A" w:rsidRPr="00C3416D" w:rsidTr="007568A0">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rPr>
                <w:rFonts w:ascii="Times New Roman" w:hAnsi="Times New Roman" w:cs="Times New Roman"/>
                <w:sz w:val="8"/>
                <w:szCs w:val="8"/>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sz w:val="8"/>
                <w:szCs w:val="8"/>
              </w:rPr>
            </w:pP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sz w:val="8"/>
                <w:szCs w:val="8"/>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sz w:val="8"/>
                <w:szCs w:val="8"/>
              </w:rPr>
            </w:pPr>
          </w:p>
        </w:tc>
      </w:tr>
      <w:tr w:rsidR="00BD453A" w:rsidRPr="00C3416D" w:rsidTr="007568A0">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rPr>
                <w:rFonts w:ascii="Times New Roman" w:hAnsi="Times New Roman" w:cs="Times New Roman"/>
              </w:rPr>
            </w:pPr>
            <w:r w:rsidRPr="00C3416D">
              <w:rPr>
                <w:rFonts w:ascii="Times New Roman" w:hAnsi="Times New Roman" w:cs="Times New Roman"/>
              </w:rPr>
              <w:t>Observations</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2</w:t>
            </w:r>
            <w:r>
              <w:rPr>
                <w:rFonts w:ascii="Times New Roman" w:hAnsi="Times New Roman" w:cs="Times New Roman"/>
              </w:rPr>
              <w:t>06</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2</w:t>
            </w:r>
            <w:r>
              <w:rPr>
                <w:rFonts w:ascii="Times New Roman" w:hAnsi="Times New Roman" w:cs="Times New Roman"/>
              </w:rPr>
              <w:t>06</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2</w:t>
            </w:r>
            <w:r>
              <w:rPr>
                <w:rFonts w:ascii="Times New Roman" w:hAnsi="Times New Roman" w:cs="Times New Roman"/>
              </w:rPr>
              <w:t>06</w:t>
            </w:r>
          </w:p>
        </w:tc>
      </w:tr>
      <w:tr w:rsidR="00BD453A" w:rsidRPr="00C3416D" w:rsidTr="007568A0">
        <w:tc>
          <w:tcPr>
            <w:tcW w:w="3369"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BD453A" w:rsidRPr="00C3416D" w:rsidRDefault="00BD453A" w:rsidP="00B9694E">
            <w:pPr>
              <w:spacing w:line="360" w:lineRule="auto"/>
              <w:rPr>
                <w:rFonts w:ascii="Times New Roman" w:hAnsi="Times New Roman" w:cs="Times New Roman"/>
              </w:rPr>
            </w:pPr>
            <w:r w:rsidRPr="00C3416D">
              <w:rPr>
                <w:rFonts w:ascii="Times New Roman" w:hAnsi="Times New Roman" w:cs="Times New Roman"/>
              </w:rPr>
              <w:t>R-squared</w:t>
            </w:r>
          </w:p>
        </w:tc>
        <w:tc>
          <w:tcPr>
            <w:tcW w:w="1417"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0.06</w:t>
            </w:r>
            <w:r>
              <w:rPr>
                <w:rFonts w:ascii="Times New Roman" w:hAnsi="Times New Roman" w:cs="Times New Roman"/>
              </w:rPr>
              <w:t>0</w:t>
            </w:r>
          </w:p>
        </w:tc>
        <w:tc>
          <w:tcPr>
            <w:tcW w:w="1418"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0.06</w:t>
            </w:r>
            <w:r>
              <w:rPr>
                <w:rFonts w:ascii="Times New Roman" w:hAnsi="Times New Roman" w:cs="Times New Roman"/>
              </w:rPr>
              <w:t>5</w:t>
            </w:r>
          </w:p>
        </w:tc>
        <w:tc>
          <w:tcPr>
            <w:tcW w:w="1417"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BD453A" w:rsidRPr="00C3416D" w:rsidRDefault="00BD453A" w:rsidP="00B9694E">
            <w:pPr>
              <w:spacing w:line="360" w:lineRule="auto"/>
              <w:jc w:val="center"/>
              <w:rPr>
                <w:rFonts w:ascii="Times New Roman" w:hAnsi="Times New Roman" w:cs="Times New Roman"/>
              </w:rPr>
            </w:pPr>
            <w:r w:rsidRPr="00C3416D">
              <w:rPr>
                <w:rFonts w:ascii="Times New Roman" w:hAnsi="Times New Roman" w:cs="Times New Roman"/>
              </w:rPr>
              <w:t>0.04</w:t>
            </w:r>
            <w:r>
              <w:rPr>
                <w:rFonts w:ascii="Times New Roman" w:hAnsi="Times New Roman" w:cs="Times New Roman"/>
              </w:rPr>
              <w:t>4</w:t>
            </w:r>
          </w:p>
        </w:tc>
      </w:tr>
      <w:tr w:rsidR="00BD453A" w:rsidRPr="00C3416D" w:rsidTr="007568A0">
        <w:tc>
          <w:tcPr>
            <w:tcW w:w="7621" w:type="dxa"/>
            <w:gridSpan w:val="4"/>
            <w:tcBorders>
              <w:top w:val="single" w:sz="12" w:space="0" w:color="auto"/>
              <w:left w:val="single" w:sz="4" w:space="0" w:color="FFFFFF" w:themeColor="background1"/>
              <w:bottom w:val="single" w:sz="4" w:space="0" w:color="FFFFFF" w:themeColor="background1"/>
              <w:right w:val="single" w:sz="4" w:space="0" w:color="FFFFFF" w:themeColor="background1"/>
            </w:tcBorders>
          </w:tcPr>
          <w:p w:rsidR="00BD453A" w:rsidRPr="00C3416D" w:rsidRDefault="00BD453A" w:rsidP="00B9694E">
            <w:pPr>
              <w:spacing w:line="360" w:lineRule="auto"/>
              <w:jc w:val="both"/>
              <w:rPr>
                <w:rFonts w:ascii="Times New Roman" w:hAnsi="Times New Roman" w:cs="Times New Roman"/>
                <w:sz w:val="18"/>
                <w:szCs w:val="18"/>
              </w:rPr>
            </w:pPr>
            <w:r w:rsidRPr="00C3416D">
              <w:rPr>
                <w:rFonts w:ascii="Times New Roman" w:hAnsi="Times New Roman" w:cs="Times New Roman"/>
                <w:i/>
                <w:sz w:val="18"/>
                <w:szCs w:val="18"/>
              </w:rPr>
              <w:t>Note:</w:t>
            </w:r>
            <w:r w:rsidRPr="00C3416D">
              <w:rPr>
                <w:rFonts w:ascii="Times New Roman" w:hAnsi="Times New Roman" w:cs="Times New Roman"/>
                <w:sz w:val="18"/>
                <w:szCs w:val="18"/>
              </w:rPr>
              <w:t xml:space="preserve"> Estimated regression results for the three-group classification. In column (1), the dependent variable is annualised average (real) net output growth. The corresponding dependent variables in columns (2) and (3) are annualised average net output </w:t>
            </w:r>
            <w:r w:rsidR="00B9694E">
              <w:rPr>
                <w:rFonts w:ascii="Times New Roman" w:hAnsi="Times New Roman" w:cs="Times New Roman"/>
                <w:sz w:val="18"/>
                <w:szCs w:val="18"/>
              </w:rPr>
              <w:t>per worker</w:t>
            </w:r>
            <w:r w:rsidRPr="00C3416D">
              <w:rPr>
                <w:rFonts w:ascii="Times New Roman" w:hAnsi="Times New Roman" w:cs="Times New Roman"/>
                <w:sz w:val="18"/>
                <w:szCs w:val="18"/>
              </w:rPr>
              <w:t xml:space="preserve"> growth and employment growth respectively. All regressions are estimated by OLS and robust standard errors are reported, where *** p&lt;0.01, ** p&lt;0.05, * p&lt;0.1. </w:t>
            </w:r>
          </w:p>
        </w:tc>
      </w:tr>
    </w:tbl>
    <w:p w:rsidR="00BD453A" w:rsidRDefault="00BD453A" w:rsidP="00B9694E">
      <w:pPr>
        <w:spacing w:after="0" w:line="360" w:lineRule="auto"/>
        <w:jc w:val="both"/>
        <w:rPr>
          <w:rFonts w:ascii="Times New Roman" w:hAnsi="Times New Roman" w:cs="Times New Roman"/>
        </w:rPr>
      </w:pPr>
    </w:p>
    <w:p w:rsidR="00C62335" w:rsidRDefault="00C62335" w:rsidP="00B9694E">
      <w:pPr>
        <w:spacing w:after="0" w:line="360" w:lineRule="auto"/>
        <w:ind w:firstLine="567"/>
        <w:jc w:val="both"/>
        <w:rPr>
          <w:rFonts w:ascii="Times New Roman" w:hAnsi="Times New Roman" w:cs="Times New Roman"/>
        </w:rPr>
      </w:pPr>
      <w:r>
        <w:rPr>
          <w:rFonts w:ascii="Times New Roman" w:hAnsi="Times New Roman" w:cs="Times New Roman"/>
        </w:rPr>
        <w:t>Table 3 indicates that the 1932 General Tariff had medium-term expansionary effects for additionally protected industries.</w:t>
      </w:r>
      <w:r>
        <w:rPr>
          <w:rStyle w:val="FootnoteReference"/>
          <w:rFonts w:ascii="Times New Roman" w:hAnsi="Times New Roman" w:cs="Times New Roman"/>
        </w:rPr>
        <w:footnoteReference w:id="15"/>
      </w:r>
      <w:r>
        <w:rPr>
          <w:rFonts w:ascii="Times New Roman" w:hAnsi="Times New Roman" w:cs="Times New Roman"/>
        </w:rPr>
        <w:t xml:space="preserve"> Column (1) illustrates that the tariff treatment effect for the output growth of additionally protected industries was 3.12 percent per annum, a result that is significant at the 5 percent significance level. The corresponding treatment effect of productivity of 1.84 percent per annum, in column (2), is also significant at the 5 percent level. As expected</w:t>
      </w:r>
      <w:r w:rsidR="007D5E0C">
        <w:rPr>
          <w:rFonts w:ascii="Times New Roman" w:hAnsi="Times New Roman" w:cs="Times New Roman"/>
        </w:rPr>
        <w:t>,</w:t>
      </w:r>
      <w:r>
        <w:rPr>
          <w:rFonts w:ascii="Times New Roman" w:hAnsi="Times New Roman" w:cs="Times New Roman"/>
        </w:rPr>
        <w:t xml:space="preserve"> the magnitude of these effects are slightly smaller than the short-term effects reported in Table 2, but they remain large and significant. </w:t>
      </w:r>
    </w:p>
    <w:p w:rsidR="00C62335" w:rsidRDefault="00C62335" w:rsidP="00B9694E">
      <w:pPr>
        <w:spacing w:after="0" w:line="360" w:lineRule="auto"/>
        <w:ind w:firstLine="567"/>
        <w:jc w:val="both"/>
        <w:rPr>
          <w:rFonts w:ascii="Times New Roman" w:hAnsi="Times New Roman" w:cs="Times New Roman"/>
          <w:b/>
        </w:rPr>
      </w:pPr>
    </w:p>
    <w:p w:rsidR="00B9694E" w:rsidRDefault="00B9694E">
      <w:pPr>
        <w:rPr>
          <w:rFonts w:ascii="Times New Roman" w:hAnsi="Times New Roman" w:cs="Times New Roman"/>
          <w:b/>
        </w:rPr>
      </w:pPr>
      <w:r>
        <w:rPr>
          <w:rFonts w:ascii="Times New Roman" w:hAnsi="Times New Roman" w:cs="Times New Roman"/>
          <w:b/>
        </w:rPr>
        <w:br w:type="page"/>
      </w:r>
    </w:p>
    <w:p w:rsidR="00C62335" w:rsidRPr="00C3416D" w:rsidRDefault="00C62335" w:rsidP="00B9694E">
      <w:pPr>
        <w:spacing w:after="0" w:line="360" w:lineRule="auto"/>
        <w:jc w:val="both"/>
        <w:rPr>
          <w:rFonts w:ascii="Times New Roman" w:hAnsi="Times New Roman" w:cs="Times New Roman"/>
          <w:b/>
        </w:rPr>
      </w:pPr>
      <w:r w:rsidRPr="00C3416D">
        <w:rPr>
          <w:rFonts w:ascii="Times New Roman" w:hAnsi="Times New Roman" w:cs="Times New Roman"/>
          <w:b/>
        </w:rPr>
        <w:t>4</w:t>
      </w:r>
      <w:r w:rsidRPr="00C3416D">
        <w:rPr>
          <w:rFonts w:ascii="Times New Roman" w:hAnsi="Times New Roman" w:cs="Times New Roman"/>
          <w:b/>
        </w:rPr>
        <w:tab/>
        <w:t>Conclusions</w:t>
      </w:r>
    </w:p>
    <w:p w:rsidR="00C62335" w:rsidRDefault="00C62335" w:rsidP="00B9694E">
      <w:pPr>
        <w:spacing w:after="0" w:line="360" w:lineRule="auto"/>
        <w:ind w:firstLine="567"/>
        <w:jc w:val="both"/>
        <w:rPr>
          <w:rFonts w:ascii="Times New Roman" w:hAnsi="Times New Roman" w:cs="Times New Roman"/>
        </w:rPr>
      </w:pPr>
      <w:r w:rsidRPr="00C3416D">
        <w:rPr>
          <w:rFonts w:ascii="Times New Roman" w:hAnsi="Times New Roman" w:cs="Times New Roman"/>
        </w:rPr>
        <w:t xml:space="preserve">The application of the difference-in-difference model to </w:t>
      </w:r>
      <w:r>
        <w:rPr>
          <w:rFonts w:ascii="Times New Roman" w:hAnsi="Times New Roman" w:cs="Times New Roman"/>
        </w:rPr>
        <w:t>the analysis of the policy impact of the General Tariff on British industry has provided new insights</w:t>
      </w:r>
      <w:r w:rsidRPr="00C3416D">
        <w:rPr>
          <w:rFonts w:ascii="Times New Roman" w:hAnsi="Times New Roman" w:cs="Times New Roman"/>
        </w:rPr>
        <w:t xml:space="preserve">. Refining the tariff classification into three groups adds value to the analysis of </w:t>
      </w:r>
      <w:r>
        <w:rPr>
          <w:rFonts w:ascii="Times New Roman" w:hAnsi="Times New Roman" w:cs="Times New Roman"/>
        </w:rPr>
        <w:t xml:space="preserve">UK </w:t>
      </w:r>
      <w:r w:rsidRPr="00C3416D">
        <w:rPr>
          <w:rFonts w:ascii="Times New Roman" w:hAnsi="Times New Roman" w:cs="Times New Roman"/>
        </w:rPr>
        <w:t>tariffs during the 1930s, allowing us to distinguish between the 10 percent tariff rate and additional tariff rates</w:t>
      </w:r>
      <w:r>
        <w:rPr>
          <w:rFonts w:ascii="Times New Roman" w:hAnsi="Times New Roman" w:cs="Times New Roman"/>
        </w:rPr>
        <w:t>. This three-group comparison</w:t>
      </w:r>
      <w:r w:rsidRPr="00C3416D">
        <w:rPr>
          <w:rFonts w:ascii="Times New Roman" w:hAnsi="Times New Roman" w:cs="Times New Roman"/>
        </w:rPr>
        <w:t xml:space="preserve"> clearly suggest</w:t>
      </w:r>
      <w:r>
        <w:rPr>
          <w:rFonts w:ascii="Times New Roman" w:hAnsi="Times New Roman" w:cs="Times New Roman"/>
        </w:rPr>
        <w:t>s</w:t>
      </w:r>
      <w:r w:rsidRPr="00C3416D">
        <w:rPr>
          <w:rFonts w:ascii="Times New Roman" w:hAnsi="Times New Roman" w:cs="Times New Roman"/>
        </w:rPr>
        <w:t xml:space="preserve"> that the treatment effect of the General Tariff was large and statistically significant only for the additionally protected industries. </w:t>
      </w:r>
      <w:r>
        <w:rPr>
          <w:rFonts w:ascii="Times New Roman" w:hAnsi="Times New Roman" w:cs="Times New Roman"/>
        </w:rPr>
        <w:t xml:space="preserve">This effect is identified over the short-run when we consider the inter-period comparisons between 1924-30 and 1930-35, but a similar effect is also identified over the medium-term when we consider the inter-period comparisons between 1924-30 and 1930-48. </w:t>
      </w:r>
      <w:r w:rsidRPr="00C3416D">
        <w:rPr>
          <w:rFonts w:ascii="Times New Roman" w:hAnsi="Times New Roman" w:cs="Times New Roman"/>
        </w:rPr>
        <w:t xml:space="preserve">The Import Duties Advisory Committee (IDAC) viewed additional tariff rates as a mechanism for helping industries to restructure to help them compete during the 1930s. The positive output and productivity effects that we identify suggest that they were effective in achieving </w:t>
      </w:r>
      <w:r>
        <w:rPr>
          <w:rFonts w:ascii="Times New Roman" w:hAnsi="Times New Roman" w:cs="Times New Roman"/>
        </w:rPr>
        <w:t xml:space="preserve">some of </w:t>
      </w:r>
      <w:r w:rsidRPr="00C3416D">
        <w:rPr>
          <w:rFonts w:ascii="Times New Roman" w:hAnsi="Times New Roman" w:cs="Times New Roman"/>
        </w:rPr>
        <w:t>their aims.</w:t>
      </w:r>
    </w:p>
    <w:p w:rsidR="00197234" w:rsidRDefault="00C62335" w:rsidP="00B9694E">
      <w:pPr>
        <w:spacing w:after="0" w:line="360" w:lineRule="auto"/>
        <w:ind w:firstLine="567"/>
        <w:jc w:val="both"/>
        <w:rPr>
          <w:rFonts w:ascii="Times New Roman" w:hAnsi="Times New Roman" w:cs="Times New Roman"/>
        </w:rPr>
      </w:pPr>
      <w:r w:rsidRPr="00AD283F">
        <w:rPr>
          <w:rFonts w:ascii="Times New Roman" w:hAnsi="Times New Roman" w:cs="Times New Roman"/>
        </w:rPr>
        <w:t>The results reported in this study show that tariffs can have positive effects under specific circumstances. Th</w:t>
      </w:r>
      <w:r>
        <w:rPr>
          <w:rFonts w:ascii="Times New Roman" w:hAnsi="Times New Roman" w:cs="Times New Roman"/>
        </w:rPr>
        <w:t>is</w:t>
      </w:r>
      <w:r w:rsidRPr="00AD283F">
        <w:rPr>
          <w:rFonts w:ascii="Times New Roman" w:hAnsi="Times New Roman" w:cs="Times New Roman"/>
        </w:rPr>
        <w:t xml:space="preserve"> UK</w:t>
      </w:r>
      <w:r>
        <w:rPr>
          <w:rFonts w:ascii="Times New Roman" w:hAnsi="Times New Roman" w:cs="Times New Roman"/>
        </w:rPr>
        <w:t>-interwar</w:t>
      </w:r>
      <w:r w:rsidRPr="00AD283F">
        <w:rPr>
          <w:rFonts w:ascii="Times New Roman" w:hAnsi="Times New Roman" w:cs="Times New Roman"/>
        </w:rPr>
        <w:t xml:space="preserve"> case </w:t>
      </w:r>
      <w:r>
        <w:rPr>
          <w:rFonts w:ascii="Times New Roman" w:hAnsi="Times New Roman" w:cs="Times New Roman"/>
        </w:rPr>
        <w:t xml:space="preserve">study should be viewed against the backdrop </w:t>
      </w:r>
      <w:r w:rsidRPr="00AD283F">
        <w:rPr>
          <w:rFonts w:ascii="Times New Roman" w:hAnsi="Times New Roman" w:cs="Times New Roman"/>
        </w:rPr>
        <w:t xml:space="preserve">of </w:t>
      </w:r>
      <w:r>
        <w:rPr>
          <w:rFonts w:ascii="Times New Roman" w:hAnsi="Times New Roman" w:cs="Times New Roman"/>
        </w:rPr>
        <w:t xml:space="preserve">a </w:t>
      </w:r>
      <w:r w:rsidRPr="00AD283F">
        <w:rPr>
          <w:rFonts w:ascii="Times New Roman" w:hAnsi="Times New Roman" w:cs="Times New Roman"/>
        </w:rPr>
        <w:t xml:space="preserve">global depression, a unique British position of unilateral free trade and a tariff policy that targeted particular industries via the role of the IDAC. </w:t>
      </w:r>
      <w:r>
        <w:rPr>
          <w:rFonts w:ascii="Times New Roman" w:hAnsi="Times New Roman" w:cs="Times New Roman"/>
        </w:rPr>
        <w:t>Using industry-level data, we identify that</w:t>
      </w:r>
      <w:r w:rsidRPr="00AD283F">
        <w:rPr>
          <w:rFonts w:ascii="Times New Roman" w:hAnsi="Times New Roman" w:cs="Times New Roman"/>
        </w:rPr>
        <w:t xml:space="preserve"> some benefits </w:t>
      </w:r>
      <w:r>
        <w:rPr>
          <w:rFonts w:ascii="Times New Roman" w:hAnsi="Times New Roman" w:cs="Times New Roman"/>
        </w:rPr>
        <w:t xml:space="preserve">for </w:t>
      </w:r>
      <w:r w:rsidR="00FF74F9">
        <w:rPr>
          <w:rFonts w:ascii="Times New Roman" w:hAnsi="Times New Roman" w:cs="Times New Roman"/>
        </w:rPr>
        <w:t xml:space="preserve">the relative </w:t>
      </w:r>
      <w:r>
        <w:rPr>
          <w:rFonts w:ascii="Times New Roman" w:hAnsi="Times New Roman" w:cs="Times New Roman"/>
        </w:rPr>
        <w:t xml:space="preserve">output and productivity growth </w:t>
      </w:r>
      <w:r w:rsidR="00FF74F9">
        <w:rPr>
          <w:rFonts w:ascii="Times New Roman" w:hAnsi="Times New Roman" w:cs="Times New Roman"/>
        </w:rPr>
        <w:t xml:space="preserve">of newly protected industries </w:t>
      </w:r>
      <w:r>
        <w:rPr>
          <w:rFonts w:ascii="Times New Roman" w:hAnsi="Times New Roman" w:cs="Times New Roman"/>
        </w:rPr>
        <w:t>did arise under these specific circumstances</w:t>
      </w:r>
      <w:r w:rsidRPr="00AD283F">
        <w:rPr>
          <w:rFonts w:ascii="Times New Roman" w:hAnsi="Times New Roman" w:cs="Times New Roman"/>
        </w:rPr>
        <w:t xml:space="preserve">. </w:t>
      </w:r>
      <w:r w:rsidR="008B5C7F">
        <w:rPr>
          <w:rFonts w:ascii="Times New Roman" w:hAnsi="Times New Roman" w:cs="Times New Roman"/>
        </w:rPr>
        <w:t xml:space="preserve">Given that the newly protected sector formed a very large proportion of the UK industrial output this is likely to </w:t>
      </w:r>
      <w:r w:rsidR="00E33BA3">
        <w:rPr>
          <w:rFonts w:ascii="Times New Roman" w:hAnsi="Times New Roman" w:cs="Times New Roman"/>
        </w:rPr>
        <w:t xml:space="preserve">result in positive effects on the UK industrial sector. </w:t>
      </w:r>
      <w:r w:rsidR="00197234" w:rsidRPr="00197234">
        <w:rPr>
          <w:rFonts w:ascii="Times New Roman" w:hAnsi="Times New Roman" w:cs="Times New Roman"/>
        </w:rPr>
        <w:t xml:space="preserve"> </w:t>
      </w:r>
    </w:p>
    <w:p w:rsidR="00474FD5" w:rsidRDefault="00197234" w:rsidP="007568A0">
      <w:pPr>
        <w:spacing w:line="360" w:lineRule="auto"/>
        <w:ind w:firstLine="567"/>
        <w:jc w:val="both"/>
        <w:rPr>
          <w:rFonts w:ascii="Times New Roman" w:hAnsi="Times New Roman" w:cs="Times New Roman"/>
          <w:b/>
        </w:rPr>
      </w:pPr>
      <w:r w:rsidRPr="00480131">
        <w:rPr>
          <w:rFonts w:ascii="Times New Roman" w:hAnsi="Times New Roman" w:cs="Times New Roman"/>
        </w:rPr>
        <w:t>This study has used disaggregated level data to analyse the effects of tariffs on British industries during the 1930s. Although there have been attempts to relate industry</w:t>
      </w:r>
      <w:r w:rsidR="00F27020">
        <w:rPr>
          <w:rFonts w:ascii="Times New Roman" w:hAnsi="Times New Roman" w:cs="Times New Roman"/>
        </w:rPr>
        <w:t>-</w:t>
      </w:r>
      <w:r w:rsidRPr="00480131">
        <w:rPr>
          <w:rFonts w:ascii="Times New Roman" w:hAnsi="Times New Roman" w:cs="Times New Roman"/>
        </w:rPr>
        <w:t xml:space="preserve">level tariffs and economic growth at the aggregate level, such results cannot be mechanically applied to the inter-war period. For example, Lehmann and O’Rourke (2011) used a panel data set for 10 countries over the period 1870-1914 and found a positive relationship between industry tariffs and economic growth; however, they also argue that this relationship is likely to change over time. </w:t>
      </w:r>
      <w:r w:rsidR="00474FD5">
        <w:rPr>
          <w:rFonts w:ascii="Times New Roman" w:hAnsi="Times New Roman" w:cs="Times New Roman"/>
          <w:b/>
        </w:rPr>
        <w:br w:type="page"/>
      </w:r>
    </w:p>
    <w:p w:rsidR="00474FD5" w:rsidRPr="005F4039" w:rsidRDefault="00474FD5" w:rsidP="00B9694E">
      <w:pPr>
        <w:spacing w:after="0" w:line="360" w:lineRule="auto"/>
        <w:jc w:val="both"/>
        <w:rPr>
          <w:rFonts w:ascii="Times New Roman" w:hAnsi="Times New Roman" w:cs="Times New Roman"/>
          <w:b/>
        </w:rPr>
      </w:pPr>
      <w:r w:rsidRPr="005F4039">
        <w:rPr>
          <w:rFonts w:ascii="Times New Roman" w:hAnsi="Times New Roman" w:cs="Times New Roman"/>
          <w:b/>
        </w:rPr>
        <w:t>References</w:t>
      </w:r>
    </w:p>
    <w:p w:rsidR="00474FD5" w:rsidRPr="005A0128" w:rsidRDefault="00474FD5" w:rsidP="00B9694E">
      <w:pPr>
        <w:spacing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Barna, T. (1952), “The Interdependence of the British Economy,” </w:t>
      </w:r>
      <w:r w:rsidRPr="005A0128">
        <w:rPr>
          <w:rFonts w:ascii="Times New Roman" w:hAnsi="Times New Roman" w:cs="Times New Roman"/>
          <w:i/>
          <w:sz w:val="18"/>
          <w:szCs w:val="18"/>
        </w:rPr>
        <w:t>Journal of the Royal Statistical Society, Series A (General)</w:t>
      </w:r>
      <w:r w:rsidRPr="005A0128">
        <w:rPr>
          <w:rFonts w:ascii="Times New Roman" w:hAnsi="Times New Roman" w:cs="Times New Roman"/>
          <w:sz w:val="18"/>
          <w:szCs w:val="18"/>
        </w:rPr>
        <w:t>, 115(1).</w:t>
      </w:r>
    </w:p>
    <w:p w:rsidR="00474FD5" w:rsidRDefault="00474FD5" w:rsidP="00B9694E">
      <w:pPr>
        <w:spacing w:before="240"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Broadberry, S. N. and N. F. R. Crafts (2011), “Openness, Protectionism and Britain’s Productivity Performance over the Long-Run,” in </w:t>
      </w:r>
      <w:r w:rsidRPr="005A0128">
        <w:rPr>
          <w:rFonts w:ascii="Times New Roman" w:hAnsi="Times New Roman" w:cs="Times New Roman"/>
          <w:i/>
          <w:sz w:val="18"/>
          <w:szCs w:val="18"/>
        </w:rPr>
        <w:t>Monetary and Banking History: Essays in Honour of Forrest Capie</w:t>
      </w:r>
      <w:r w:rsidRPr="005A0128">
        <w:rPr>
          <w:rFonts w:ascii="Times New Roman" w:hAnsi="Times New Roman" w:cs="Times New Roman"/>
          <w:sz w:val="18"/>
          <w:szCs w:val="18"/>
        </w:rPr>
        <w:t>, by Geoffrey E. Wood, Terrence Mills and Nicholas Crafts.</w:t>
      </w:r>
    </w:p>
    <w:p w:rsidR="00823C52" w:rsidRPr="00823C52" w:rsidRDefault="00823C52" w:rsidP="00B9694E">
      <w:pPr>
        <w:spacing w:before="240" w:line="360" w:lineRule="auto"/>
        <w:ind w:left="284" w:hanging="284"/>
        <w:jc w:val="both"/>
        <w:rPr>
          <w:rFonts w:ascii="Times New Roman" w:hAnsi="Times New Roman" w:cs="Times New Roman"/>
          <w:sz w:val="18"/>
          <w:szCs w:val="18"/>
        </w:rPr>
      </w:pPr>
      <w:r>
        <w:rPr>
          <w:rFonts w:ascii="Times New Roman" w:hAnsi="Times New Roman" w:cs="Times New Roman"/>
          <w:sz w:val="18"/>
          <w:szCs w:val="18"/>
        </w:rPr>
        <w:t xml:space="preserve">Capie, F. (1983), </w:t>
      </w:r>
      <w:r>
        <w:rPr>
          <w:rFonts w:ascii="Times New Roman" w:hAnsi="Times New Roman" w:cs="Times New Roman"/>
          <w:i/>
          <w:sz w:val="18"/>
          <w:szCs w:val="18"/>
        </w:rPr>
        <w:t>Depression and Protectionism: Britain Between the Wars</w:t>
      </w:r>
      <w:r>
        <w:rPr>
          <w:rFonts w:ascii="Times New Roman" w:hAnsi="Times New Roman" w:cs="Times New Roman"/>
          <w:sz w:val="18"/>
          <w:szCs w:val="18"/>
        </w:rPr>
        <w:t xml:space="preserve">. </w:t>
      </w:r>
    </w:p>
    <w:p w:rsidR="00474FD5" w:rsidRPr="005A0128" w:rsidRDefault="00474FD5" w:rsidP="00B9694E">
      <w:pPr>
        <w:spacing w:before="240"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lang w:val="en-US"/>
        </w:rPr>
        <w:t xml:space="preserve">Clemens, M. A. and J. G. Williamson (2004), “Why did the Tariff-Growth Correlation Change after 1950?”  </w:t>
      </w:r>
      <w:r w:rsidRPr="005A0128">
        <w:rPr>
          <w:rFonts w:ascii="Times New Roman" w:hAnsi="Times New Roman" w:cs="Times New Roman"/>
          <w:i/>
          <w:iCs/>
          <w:sz w:val="18"/>
          <w:szCs w:val="18"/>
          <w:lang w:val="en-US"/>
        </w:rPr>
        <w:t xml:space="preserve">Journal of Economic Growth, </w:t>
      </w:r>
      <w:r w:rsidRPr="005A0128">
        <w:rPr>
          <w:rFonts w:ascii="Times New Roman" w:hAnsi="Times New Roman" w:cs="Times New Roman"/>
          <w:iCs/>
          <w:sz w:val="18"/>
          <w:szCs w:val="18"/>
          <w:lang w:val="en-US"/>
        </w:rPr>
        <w:t>9(1)</w:t>
      </w:r>
      <w:r w:rsidRPr="005A0128">
        <w:rPr>
          <w:rFonts w:ascii="Times New Roman" w:hAnsi="Times New Roman" w:cs="Times New Roman"/>
          <w:i/>
          <w:iCs/>
          <w:sz w:val="18"/>
          <w:szCs w:val="18"/>
          <w:lang w:val="en-US"/>
        </w:rPr>
        <w:t>,</w:t>
      </w:r>
      <w:r w:rsidRPr="005A0128">
        <w:rPr>
          <w:rFonts w:ascii="Times New Roman" w:hAnsi="Times New Roman" w:cs="Times New Roman"/>
          <w:iCs/>
          <w:sz w:val="18"/>
          <w:szCs w:val="18"/>
          <w:lang w:val="en-US"/>
        </w:rPr>
        <w:t xml:space="preserve"> 5-46.</w:t>
      </w:r>
    </w:p>
    <w:p w:rsidR="0031032E" w:rsidRDefault="00474FD5" w:rsidP="00B9694E">
      <w:pPr>
        <w:spacing w:before="240"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Crafts, N. F. R. (2012), “British Relative Economic Decline Revisited: The Role of Competition,” </w:t>
      </w:r>
      <w:r w:rsidRPr="005A0128">
        <w:rPr>
          <w:rFonts w:ascii="Times New Roman" w:hAnsi="Times New Roman" w:cs="Times New Roman"/>
          <w:i/>
          <w:sz w:val="18"/>
          <w:szCs w:val="18"/>
        </w:rPr>
        <w:t>Explorations in Economic History</w:t>
      </w:r>
      <w:r w:rsidRPr="005A0128">
        <w:rPr>
          <w:rFonts w:ascii="Times New Roman" w:hAnsi="Times New Roman" w:cs="Times New Roman"/>
          <w:sz w:val="18"/>
          <w:szCs w:val="18"/>
        </w:rPr>
        <w:t>, 49(1).</w:t>
      </w:r>
    </w:p>
    <w:p w:rsidR="0031032E" w:rsidRDefault="0031032E" w:rsidP="00B9694E">
      <w:pPr>
        <w:spacing w:before="240" w:line="360" w:lineRule="auto"/>
        <w:ind w:left="284" w:hanging="284"/>
        <w:jc w:val="both"/>
        <w:rPr>
          <w:rFonts w:ascii="Times New Roman" w:eastAsia="Times New Roman" w:hAnsi="Times New Roman" w:cs="Times New Roman"/>
          <w:sz w:val="18"/>
          <w:szCs w:val="18"/>
          <w:lang w:eastAsia="en-GB"/>
        </w:rPr>
      </w:pPr>
      <w:r w:rsidRPr="0031032E">
        <w:rPr>
          <w:rFonts w:ascii="Times New Roman" w:eastAsia="Times New Roman" w:hAnsi="Times New Roman" w:cs="Times New Roman"/>
          <w:sz w:val="18"/>
          <w:szCs w:val="18"/>
          <w:lang w:eastAsia="en-GB"/>
        </w:rPr>
        <w:t xml:space="preserve">De Bromhead, A., Fernihough, A., Lampe, M. and O'Rourke, K.H., 2017. </w:t>
      </w:r>
      <w:r w:rsidR="00E46C03">
        <w:rPr>
          <w:rFonts w:ascii="Times New Roman" w:eastAsia="Times New Roman" w:hAnsi="Times New Roman" w:cs="Times New Roman"/>
          <w:sz w:val="18"/>
          <w:szCs w:val="18"/>
          <w:lang w:eastAsia="en-GB"/>
        </w:rPr>
        <w:t>“</w:t>
      </w:r>
      <w:r w:rsidRPr="00E46C03">
        <w:rPr>
          <w:rFonts w:ascii="Times New Roman" w:eastAsia="Times New Roman" w:hAnsi="Times New Roman" w:cs="Times New Roman"/>
          <w:iCs/>
          <w:sz w:val="18"/>
          <w:szCs w:val="18"/>
          <w:lang w:eastAsia="en-GB"/>
        </w:rPr>
        <w:t>When Britain turned inward: Protection and the shift towards Empire in interwar Britain</w:t>
      </w:r>
      <w:r w:rsidR="00E46C03">
        <w:rPr>
          <w:rFonts w:ascii="Times New Roman" w:eastAsia="Times New Roman" w:hAnsi="Times New Roman" w:cs="Times New Roman"/>
          <w:iCs/>
          <w:sz w:val="18"/>
          <w:szCs w:val="18"/>
          <w:lang w:eastAsia="en-GB"/>
        </w:rPr>
        <w:t>,”</w:t>
      </w:r>
      <w:r w:rsidRPr="0031032E">
        <w:rPr>
          <w:rFonts w:ascii="Times New Roman" w:eastAsia="Times New Roman" w:hAnsi="Times New Roman" w:cs="Times New Roman"/>
          <w:sz w:val="18"/>
          <w:szCs w:val="18"/>
          <w:lang w:eastAsia="en-GB"/>
        </w:rPr>
        <w:t xml:space="preserve"> </w:t>
      </w:r>
      <w:r w:rsidR="00D92DA0">
        <w:rPr>
          <w:rFonts w:ascii="Times New Roman" w:eastAsia="Times New Roman" w:hAnsi="Times New Roman" w:cs="Times New Roman"/>
          <w:sz w:val="18"/>
          <w:szCs w:val="18"/>
          <w:lang w:eastAsia="en-GB"/>
        </w:rPr>
        <w:t xml:space="preserve">Working Paper </w:t>
      </w:r>
      <w:r w:rsidRPr="0031032E">
        <w:rPr>
          <w:rFonts w:ascii="Times New Roman" w:eastAsia="Times New Roman" w:hAnsi="Times New Roman" w:cs="Times New Roman"/>
          <w:sz w:val="18"/>
          <w:szCs w:val="18"/>
          <w:lang w:eastAsia="en-GB"/>
        </w:rPr>
        <w:t>No. 23164</w:t>
      </w:r>
      <w:r w:rsidR="00E46C03">
        <w:rPr>
          <w:rFonts w:ascii="Times New Roman" w:eastAsia="Times New Roman" w:hAnsi="Times New Roman" w:cs="Times New Roman"/>
          <w:sz w:val="18"/>
          <w:szCs w:val="18"/>
          <w:lang w:eastAsia="en-GB"/>
        </w:rPr>
        <w:t>,</w:t>
      </w:r>
      <w:r w:rsidRPr="0031032E">
        <w:rPr>
          <w:rFonts w:ascii="Times New Roman" w:eastAsia="Times New Roman" w:hAnsi="Times New Roman" w:cs="Times New Roman"/>
          <w:sz w:val="18"/>
          <w:szCs w:val="18"/>
          <w:lang w:eastAsia="en-GB"/>
        </w:rPr>
        <w:t xml:space="preserve"> National Bureau of Economic Research.</w:t>
      </w:r>
      <w:r w:rsidR="00E83380">
        <w:rPr>
          <w:rFonts w:ascii="Times New Roman" w:eastAsia="Times New Roman" w:hAnsi="Times New Roman" w:cs="Times New Roman"/>
          <w:sz w:val="18"/>
          <w:szCs w:val="18"/>
          <w:lang w:eastAsia="en-GB"/>
        </w:rPr>
        <w:t xml:space="preserve"> </w:t>
      </w:r>
      <w:r w:rsidR="00E83380" w:rsidRPr="00E83380">
        <w:rPr>
          <w:rFonts w:ascii="Times New Roman" w:eastAsia="Times New Roman" w:hAnsi="Times New Roman" w:cs="Times New Roman"/>
          <w:sz w:val="18"/>
          <w:szCs w:val="18"/>
          <w:lang w:eastAsia="en-GB"/>
        </w:rPr>
        <w:t xml:space="preserve">Forthcoming </w:t>
      </w:r>
      <w:r w:rsidR="00E83380" w:rsidRPr="00E83380">
        <w:rPr>
          <w:rFonts w:ascii="Times New Roman" w:hAnsi="Times New Roman" w:cs="Times New Roman"/>
          <w:i/>
          <w:iCs/>
          <w:sz w:val="18"/>
          <w:szCs w:val="18"/>
        </w:rPr>
        <w:t>American Economic Review</w:t>
      </w:r>
      <w:r w:rsidR="00E83380" w:rsidRPr="00E83380">
        <w:rPr>
          <w:rFonts w:ascii="Times New Roman" w:hAnsi="Times New Roman" w:cs="Times New Roman"/>
          <w:i/>
          <w:iCs/>
          <w:sz w:val="18"/>
          <w:szCs w:val="18"/>
        </w:rPr>
        <w:t>.</w:t>
      </w:r>
      <w:bookmarkStart w:id="0" w:name="_GoBack"/>
      <w:bookmarkEnd w:id="0"/>
    </w:p>
    <w:p w:rsidR="00474FD5" w:rsidRPr="005A0128" w:rsidRDefault="00474FD5" w:rsidP="00B9694E">
      <w:pPr>
        <w:spacing w:after="0" w:line="360" w:lineRule="auto"/>
        <w:ind w:left="284" w:hanging="284"/>
        <w:jc w:val="both"/>
        <w:rPr>
          <w:rFonts w:ascii="Times New Roman" w:hAnsi="Times New Roman" w:cs="Times New Roman"/>
          <w:sz w:val="18"/>
          <w:szCs w:val="18"/>
        </w:rPr>
      </w:pPr>
      <w:r w:rsidRPr="005A0128">
        <w:rPr>
          <w:rFonts w:ascii="Times New Roman" w:eastAsia="Times New Roman" w:hAnsi="Times New Roman" w:cs="Times New Roman"/>
          <w:sz w:val="18"/>
          <w:szCs w:val="18"/>
          <w:lang w:eastAsia="en-GB"/>
        </w:rPr>
        <w:t xml:space="preserve">Irwin, D. A. (2012), </w:t>
      </w:r>
      <w:r w:rsidRPr="005A0128">
        <w:rPr>
          <w:rFonts w:ascii="Times New Roman" w:eastAsia="Times New Roman" w:hAnsi="Times New Roman" w:cs="Times New Roman"/>
          <w:i/>
          <w:sz w:val="18"/>
          <w:szCs w:val="18"/>
          <w:lang w:eastAsia="en-GB"/>
        </w:rPr>
        <w:t>Trade Policy Disaster: Lessons from the 1930s</w:t>
      </w:r>
      <w:r w:rsidRPr="005A0128">
        <w:rPr>
          <w:rFonts w:ascii="Times New Roman" w:eastAsia="Times New Roman" w:hAnsi="Times New Roman" w:cs="Times New Roman"/>
          <w:sz w:val="18"/>
          <w:szCs w:val="18"/>
          <w:lang w:eastAsia="en-GB"/>
        </w:rPr>
        <w:t xml:space="preserve">, Cambridge: MIT Press. </w:t>
      </w:r>
    </w:p>
    <w:p w:rsidR="00474FD5" w:rsidRDefault="00474FD5" w:rsidP="00B9694E">
      <w:pPr>
        <w:spacing w:before="240"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Kitson, M. and S. N. Solomou (1990), </w:t>
      </w:r>
      <w:r w:rsidRPr="005A0128">
        <w:rPr>
          <w:rFonts w:ascii="Times New Roman" w:hAnsi="Times New Roman" w:cs="Times New Roman"/>
          <w:i/>
          <w:sz w:val="18"/>
          <w:szCs w:val="18"/>
        </w:rPr>
        <w:t>Protectionism and Economic Revival: The British Interwar Economy</w:t>
      </w:r>
      <w:r w:rsidRPr="005A0128">
        <w:rPr>
          <w:rFonts w:ascii="Times New Roman" w:hAnsi="Times New Roman" w:cs="Times New Roman"/>
          <w:sz w:val="18"/>
          <w:szCs w:val="18"/>
        </w:rPr>
        <w:t>, Cambridge: Cambridge University Press.</w:t>
      </w:r>
    </w:p>
    <w:p w:rsidR="00767645" w:rsidRPr="00767645" w:rsidRDefault="00767645" w:rsidP="00B9694E">
      <w:pPr>
        <w:spacing w:before="240" w:line="360" w:lineRule="auto"/>
        <w:ind w:left="284" w:hanging="284"/>
        <w:jc w:val="both"/>
        <w:rPr>
          <w:rFonts w:ascii="Times New Roman" w:hAnsi="Times New Roman" w:cs="Times New Roman"/>
          <w:sz w:val="18"/>
          <w:szCs w:val="18"/>
        </w:rPr>
      </w:pPr>
      <w:r>
        <w:rPr>
          <w:rFonts w:ascii="Times New Roman" w:hAnsi="Times New Roman" w:cs="Times New Roman"/>
          <w:sz w:val="18"/>
          <w:szCs w:val="18"/>
        </w:rPr>
        <w:t xml:space="preserve">Lampe, M. and P. Sharp (2014), “Cliometric Approaches to International Trade,” in </w:t>
      </w:r>
      <w:r>
        <w:rPr>
          <w:rFonts w:ascii="Times New Roman" w:hAnsi="Times New Roman" w:cs="Times New Roman"/>
          <w:i/>
          <w:sz w:val="18"/>
          <w:szCs w:val="18"/>
        </w:rPr>
        <w:t>Handbook of Cliometrics</w:t>
      </w:r>
      <w:r>
        <w:rPr>
          <w:rFonts w:ascii="Times New Roman" w:hAnsi="Times New Roman" w:cs="Times New Roman"/>
          <w:sz w:val="18"/>
          <w:szCs w:val="18"/>
        </w:rPr>
        <w:t>, eds. C. Diebolt and M. Haupert, Springer: Berlin.</w:t>
      </w:r>
    </w:p>
    <w:p w:rsidR="00474FD5" w:rsidRPr="005A0128" w:rsidRDefault="00474FD5" w:rsidP="00B9694E">
      <w:pPr>
        <w:spacing w:before="240"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Leak, H. (1937), “Some Results of the Import Duties Act,” </w:t>
      </w:r>
      <w:r w:rsidRPr="005A0128">
        <w:rPr>
          <w:rFonts w:ascii="Times New Roman" w:hAnsi="Times New Roman" w:cs="Times New Roman"/>
          <w:i/>
          <w:sz w:val="18"/>
          <w:szCs w:val="18"/>
        </w:rPr>
        <w:t>Journal of the Royal Statistical Society</w:t>
      </w:r>
      <w:r w:rsidRPr="005A0128">
        <w:rPr>
          <w:rFonts w:ascii="Times New Roman" w:hAnsi="Times New Roman" w:cs="Times New Roman"/>
          <w:sz w:val="18"/>
          <w:szCs w:val="18"/>
        </w:rPr>
        <w:t>, 100(4).</w:t>
      </w:r>
    </w:p>
    <w:p w:rsidR="00197234" w:rsidRPr="00C8137C" w:rsidRDefault="00197234" w:rsidP="00B9694E">
      <w:pPr>
        <w:spacing w:after="0" w:line="360" w:lineRule="auto"/>
        <w:rPr>
          <w:rFonts w:ascii="Times New Roman" w:eastAsia="Times New Roman" w:hAnsi="Times New Roman" w:cs="Times New Roman"/>
          <w:sz w:val="18"/>
          <w:szCs w:val="18"/>
          <w:lang w:eastAsia="en-GB"/>
        </w:rPr>
      </w:pPr>
      <w:r w:rsidRPr="00C8137C">
        <w:rPr>
          <w:rFonts w:ascii="Times New Roman" w:eastAsia="Times New Roman" w:hAnsi="Times New Roman" w:cs="Times New Roman"/>
          <w:sz w:val="18"/>
          <w:szCs w:val="18"/>
          <w:lang w:eastAsia="en-GB"/>
        </w:rPr>
        <w:t>Lehmann, S.H. and O'Rourke, K.H., 2011. The structure of protection and growth</w:t>
      </w:r>
      <w:r>
        <w:rPr>
          <w:rFonts w:ascii="Times New Roman" w:eastAsia="Times New Roman" w:hAnsi="Times New Roman" w:cs="Times New Roman"/>
          <w:sz w:val="18"/>
          <w:szCs w:val="18"/>
          <w:lang w:eastAsia="en-GB"/>
        </w:rPr>
        <w:t xml:space="preserve"> in the late nineteenth century,</w:t>
      </w:r>
      <w:r w:rsidRPr="00C8137C">
        <w:rPr>
          <w:rFonts w:ascii="Times New Roman" w:eastAsia="Times New Roman" w:hAnsi="Times New Roman" w:cs="Times New Roman"/>
          <w:sz w:val="18"/>
          <w:szCs w:val="18"/>
          <w:lang w:eastAsia="en-GB"/>
        </w:rPr>
        <w:t xml:space="preserve"> </w:t>
      </w:r>
      <w:r w:rsidRPr="00C8137C">
        <w:rPr>
          <w:rFonts w:ascii="Times New Roman" w:eastAsia="Times New Roman" w:hAnsi="Times New Roman" w:cs="Times New Roman"/>
          <w:i/>
          <w:iCs/>
          <w:sz w:val="18"/>
          <w:szCs w:val="18"/>
          <w:lang w:eastAsia="en-GB"/>
        </w:rPr>
        <w:t>Review of Economics and Statistics</w:t>
      </w:r>
      <w:r w:rsidRPr="00C8137C">
        <w:rPr>
          <w:rFonts w:ascii="Times New Roman" w:eastAsia="Times New Roman" w:hAnsi="Times New Roman" w:cs="Times New Roman"/>
          <w:sz w:val="18"/>
          <w:szCs w:val="18"/>
          <w:lang w:eastAsia="en-GB"/>
        </w:rPr>
        <w:t xml:space="preserve">, </w:t>
      </w:r>
      <w:r w:rsidRPr="00C8137C">
        <w:rPr>
          <w:rFonts w:ascii="Times New Roman" w:eastAsia="Times New Roman" w:hAnsi="Times New Roman" w:cs="Times New Roman"/>
          <w:i/>
          <w:iCs/>
          <w:sz w:val="18"/>
          <w:szCs w:val="18"/>
          <w:lang w:eastAsia="en-GB"/>
        </w:rPr>
        <w:t>93</w:t>
      </w:r>
      <w:r w:rsidRPr="00C8137C">
        <w:rPr>
          <w:rFonts w:ascii="Times New Roman" w:eastAsia="Times New Roman" w:hAnsi="Times New Roman" w:cs="Times New Roman"/>
          <w:sz w:val="18"/>
          <w:szCs w:val="18"/>
          <w:lang w:eastAsia="en-GB"/>
        </w:rPr>
        <w:t>(2), pp.606-616.</w:t>
      </w:r>
    </w:p>
    <w:p w:rsidR="00474FD5" w:rsidRPr="005A0128" w:rsidRDefault="00474FD5" w:rsidP="00B9694E">
      <w:pPr>
        <w:spacing w:before="240" w:line="360" w:lineRule="auto"/>
        <w:ind w:left="284" w:hanging="284"/>
        <w:jc w:val="both"/>
        <w:rPr>
          <w:rFonts w:ascii="Times New Roman" w:hAnsi="Times New Roman" w:cs="Times New Roman"/>
          <w:sz w:val="18"/>
          <w:szCs w:val="18"/>
        </w:rPr>
      </w:pPr>
      <w:r w:rsidRPr="005A0128">
        <w:rPr>
          <w:rFonts w:ascii="Times New Roman" w:hAnsi="Times New Roman" w:cs="Times New Roman"/>
          <w:color w:val="000000"/>
          <w:sz w:val="18"/>
          <w:szCs w:val="18"/>
        </w:rPr>
        <w:t>Madsen, J. B.  (2009) “</w:t>
      </w:r>
      <w:r w:rsidRPr="005A0128">
        <w:rPr>
          <w:rFonts w:ascii="Times New Roman" w:hAnsi="Times New Roman" w:cs="Times New Roman"/>
          <w:sz w:val="18"/>
          <w:szCs w:val="18"/>
        </w:rPr>
        <w:t xml:space="preserve">Trade Barriers, Openness, and Economic Growth,” </w:t>
      </w:r>
      <w:r w:rsidRPr="00726E14">
        <w:rPr>
          <w:rFonts w:ascii="Times New Roman" w:hAnsi="Times New Roman" w:cs="Times New Roman"/>
          <w:i/>
          <w:sz w:val="18"/>
          <w:szCs w:val="18"/>
        </w:rPr>
        <w:t>S</w:t>
      </w:r>
      <w:r w:rsidRPr="005A0128">
        <w:rPr>
          <w:rFonts w:ascii="Times New Roman" w:hAnsi="Times New Roman" w:cs="Times New Roman"/>
          <w:i/>
          <w:iCs/>
          <w:sz w:val="18"/>
          <w:szCs w:val="18"/>
        </w:rPr>
        <w:t>outhern Economic Journal</w:t>
      </w:r>
      <w:r w:rsidRPr="005A0128">
        <w:rPr>
          <w:rFonts w:ascii="Times New Roman" w:hAnsi="Times New Roman" w:cs="Times New Roman"/>
          <w:sz w:val="18"/>
          <w:szCs w:val="18"/>
        </w:rPr>
        <w:t>, 76(2), 397-418.</w:t>
      </w:r>
    </w:p>
    <w:p w:rsidR="00474FD5" w:rsidRDefault="00474FD5" w:rsidP="00B9694E">
      <w:pPr>
        <w:spacing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Mitchell, N. (</w:t>
      </w:r>
      <w:r w:rsidR="00EF03C9">
        <w:rPr>
          <w:rFonts w:ascii="Times New Roman" w:hAnsi="Times New Roman" w:cs="Times New Roman"/>
          <w:sz w:val="18"/>
          <w:szCs w:val="18"/>
        </w:rPr>
        <w:t>2005</w:t>
      </w:r>
      <w:r w:rsidRPr="005A0128">
        <w:rPr>
          <w:rFonts w:ascii="Times New Roman" w:hAnsi="Times New Roman" w:cs="Times New Roman"/>
          <w:sz w:val="18"/>
          <w:szCs w:val="18"/>
        </w:rPr>
        <w:t xml:space="preserve">) </w:t>
      </w:r>
      <w:r w:rsidRPr="005A0128">
        <w:rPr>
          <w:rFonts w:ascii="Times New Roman" w:eastAsia="Times New Roman" w:hAnsi="Times New Roman" w:cs="Times New Roman"/>
          <w:i/>
          <w:sz w:val="18"/>
          <w:szCs w:val="18"/>
          <w:lang w:eastAsia="en-GB"/>
        </w:rPr>
        <w:t xml:space="preserve">Public and private interests in the formulation of government policy: The case of the Import Duties Advisory Committee [IDAC] in 1930s Britain, </w:t>
      </w:r>
      <w:r w:rsidRPr="005A0128">
        <w:rPr>
          <w:rFonts w:ascii="Times New Roman" w:hAnsi="Times New Roman" w:cs="Times New Roman"/>
          <w:sz w:val="18"/>
          <w:szCs w:val="18"/>
        </w:rPr>
        <w:t>London School of Economics, Ph.D. thesis, (</w:t>
      </w:r>
      <w:hyperlink r:id="rId12" w:history="1">
        <w:r w:rsidRPr="005A0128">
          <w:rPr>
            <w:rStyle w:val="Hyperlink"/>
            <w:rFonts w:ascii="Times New Roman" w:hAnsi="Times New Roman" w:cs="Times New Roman"/>
            <w:sz w:val="18"/>
            <w:szCs w:val="18"/>
          </w:rPr>
          <w:t>http://etheses.lse.ac.uk/1829/1/U202398.pdf</w:t>
        </w:r>
      </w:hyperlink>
      <w:r w:rsidRPr="005A0128">
        <w:rPr>
          <w:rFonts w:ascii="Times New Roman" w:hAnsi="Times New Roman" w:cs="Times New Roman"/>
          <w:sz w:val="18"/>
          <w:szCs w:val="18"/>
        </w:rPr>
        <w:t>)</w:t>
      </w:r>
    </w:p>
    <w:p w:rsidR="00264B29" w:rsidRPr="00264B29" w:rsidRDefault="00264B29" w:rsidP="00B9694E">
      <w:pPr>
        <w:spacing w:line="360" w:lineRule="auto"/>
        <w:ind w:left="284" w:hanging="284"/>
        <w:jc w:val="both"/>
        <w:rPr>
          <w:rFonts w:ascii="Times New Roman" w:hAnsi="Times New Roman" w:cs="Times New Roman"/>
          <w:sz w:val="18"/>
          <w:szCs w:val="18"/>
        </w:rPr>
      </w:pPr>
      <w:r>
        <w:rPr>
          <w:rFonts w:ascii="Times New Roman" w:hAnsi="Times New Roman" w:cs="Times New Roman"/>
          <w:sz w:val="18"/>
          <w:szCs w:val="18"/>
        </w:rPr>
        <w:t xml:space="preserve">Ravallion, M. (2008), “Evaluating Anti-Poverty Programs,” in </w:t>
      </w:r>
      <w:r>
        <w:rPr>
          <w:rFonts w:ascii="Times New Roman" w:hAnsi="Times New Roman" w:cs="Times New Roman"/>
          <w:i/>
          <w:sz w:val="18"/>
          <w:szCs w:val="18"/>
        </w:rPr>
        <w:t>Handbook of Development Economics</w:t>
      </w:r>
      <w:r>
        <w:rPr>
          <w:rFonts w:ascii="Times New Roman" w:hAnsi="Times New Roman" w:cs="Times New Roman"/>
          <w:sz w:val="18"/>
          <w:szCs w:val="18"/>
        </w:rPr>
        <w:t>, eds. T. P. Schultz and J. Strauss.</w:t>
      </w:r>
    </w:p>
    <w:p w:rsidR="00474FD5" w:rsidRDefault="00474FD5" w:rsidP="00B9694E">
      <w:pPr>
        <w:spacing w:before="240"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Richardson, H. W. (1967), </w:t>
      </w:r>
      <w:r w:rsidRPr="005A0128">
        <w:rPr>
          <w:rFonts w:ascii="Times New Roman" w:hAnsi="Times New Roman" w:cs="Times New Roman"/>
          <w:i/>
          <w:sz w:val="18"/>
          <w:szCs w:val="18"/>
        </w:rPr>
        <w:t>Economic Recovery in Britain, 1932-9</w:t>
      </w:r>
      <w:r w:rsidRPr="005A0128">
        <w:rPr>
          <w:rFonts w:ascii="Times New Roman" w:hAnsi="Times New Roman" w:cs="Times New Roman"/>
          <w:sz w:val="18"/>
          <w:szCs w:val="18"/>
        </w:rPr>
        <w:t>, London: Weidenfeld and Nicolson.</w:t>
      </w:r>
    </w:p>
    <w:p w:rsidR="004F399F" w:rsidRPr="004F399F" w:rsidRDefault="004F399F" w:rsidP="00B9694E">
      <w:pPr>
        <w:spacing w:before="240" w:line="360" w:lineRule="auto"/>
        <w:ind w:left="284" w:hanging="284"/>
        <w:jc w:val="both"/>
        <w:rPr>
          <w:rFonts w:ascii="Times New Roman" w:hAnsi="Times New Roman" w:cs="Times New Roman"/>
          <w:sz w:val="18"/>
          <w:szCs w:val="18"/>
        </w:rPr>
      </w:pPr>
      <w:r>
        <w:rPr>
          <w:rFonts w:ascii="Times New Roman" w:hAnsi="Times New Roman" w:cs="Times New Roman"/>
          <w:sz w:val="18"/>
          <w:szCs w:val="18"/>
        </w:rPr>
        <w:t xml:space="preserve">Rodríguez, F. and D. Rodrik (2000), “Trade policy and economic growth: a sceptic’s guide to cross-national evidence,” </w:t>
      </w:r>
      <w:r>
        <w:rPr>
          <w:rFonts w:ascii="Times New Roman" w:hAnsi="Times New Roman" w:cs="Times New Roman"/>
          <w:i/>
          <w:sz w:val="18"/>
          <w:szCs w:val="18"/>
        </w:rPr>
        <w:t>NBER Macroeconomics Annual</w:t>
      </w:r>
      <w:r>
        <w:rPr>
          <w:rFonts w:ascii="Times New Roman" w:hAnsi="Times New Roman" w:cs="Times New Roman"/>
          <w:sz w:val="18"/>
          <w:szCs w:val="18"/>
        </w:rPr>
        <w:t>, 15, 261-325.</w:t>
      </w:r>
    </w:p>
    <w:p w:rsidR="00474FD5" w:rsidRDefault="00474FD5" w:rsidP="00B9694E">
      <w:pPr>
        <w:spacing w:before="240"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Vamvakidis, A. (2002), “How Robust is the Growth-Openness Connection? Historical Evidence,” </w:t>
      </w:r>
      <w:r w:rsidRPr="005A0128">
        <w:rPr>
          <w:rFonts w:ascii="Times New Roman" w:hAnsi="Times New Roman" w:cs="Times New Roman"/>
          <w:i/>
          <w:sz w:val="18"/>
          <w:szCs w:val="18"/>
        </w:rPr>
        <w:t>Journal of Economic Growth</w:t>
      </w:r>
      <w:r w:rsidRPr="005A0128">
        <w:rPr>
          <w:rFonts w:ascii="Times New Roman" w:hAnsi="Times New Roman" w:cs="Times New Roman"/>
          <w:sz w:val="18"/>
          <w:szCs w:val="18"/>
        </w:rPr>
        <w:t>, 7(1), 57-80.</w:t>
      </w:r>
    </w:p>
    <w:p w:rsidR="004F399F" w:rsidRPr="005A0128" w:rsidRDefault="004F399F" w:rsidP="00B9694E">
      <w:pPr>
        <w:spacing w:before="240" w:line="360" w:lineRule="auto"/>
        <w:ind w:left="284" w:hanging="284"/>
        <w:jc w:val="both"/>
        <w:rPr>
          <w:rFonts w:ascii="Times New Roman" w:hAnsi="Times New Roman" w:cs="Times New Roman"/>
          <w:sz w:val="18"/>
          <w:szCs w:val="18"/>
        </w:rPr>
      </w:pPr>
      <w:r>
        <w:rPr>
          <w:rFonts w:ascii="Times New Roman" w:hAnsi="Times New Roman" w:cs="Times New Roman"/>
          <w:sz w:val="18"/>
          <w:szCs w:val="18"/>
        </w:rPr>
        <w:t>Williamson, J. G. (1990), “Latin American adjustment: how much has happened?”, Peterson Institute for International Economics, Washington D.C.</w:t>
      </w:r>
    </w:p>
    <w:p w:rsidR="00474FD5" w:rsidRPr="008D2EB0" w:rsidRDefault="00474FD5" w:rsidP="00B9694E">
      <w:pPr>
        <w:spacing w:after="0" w:line="360" w:lineRule="auto"/>
        <w:jc w:val="both"/>
        <w:rPr>
          <w:rFonts w:ascii="Times New Roman" w:hAnsi="Times New Roman" w:cs="Times New Roman"/>
          <w:b/>
          <w:sz w:val="20"/>
          <w:szCs w:val="20"/>
        </w:rPr>
      </w:pPr>
      <w:r w:rsidRPr="008D2EB0">
        <w:rPr>
          <w:rFonts w:ascii="Times New Roman" w:hAnsi="Times New Roman" w:cs="Times New Roman"/>
          <w:b/>
          <w:sz w:val="20"/>
          <w:szCs w:val="20"/>
        </w:rPr>
        <w:t>Tariff Rate Classification Sources</w:t>
      </w:r>
    </w:p>
    <w:p w:rsidR="00474FD5" w:rsidRPr="005A0128" w:rsidRDefault="00474FD5" w:rsidP="00B9694E">
      <w:pPr>
        <w:spacing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CET (1935), </w:t>
      </w:r>
      <w:r w:rsidRPr="005A0128">
        <w:rPr>
          <w:rFonts w:ascii="Times New Roman" w:hAnsi="Times New Roman" w:cs="Times New Roman"/>
          <w:i/>
          <w:sz w:val="18"/>
          <w:szCs w:val="18"/>
        </w:rPr>
        <w:t>Customs and Excise Tariff of the United Kingdom of Great Britain and Northern Ireland in operation on the 1</w:t>
      </w:r>
      <w:r w:rsidRPr="005A0128">
        <w:rPr>
          <w:rFonts w:ascii="Times New Roman" w:hAnsi="Times New Roman" w:cs="Times New Roman"/>
          <w:i/>
          <w:sz w:val="18"/>
          <w:szCs w:val="18"/>
          <w:vertAlign w:val="superscript"/>
        </w:rPr>
        <w:t>st</w:t>
      </w:r>
      <w:r w:rsidRPr="005A0128">
        <w:rPr>
          <w:rFonts w:ascii="Times New Roman" w:hAnsi="Times New Roman" w:cs="Times New Roman"/>
          <w:i/>
          <w:sz w:val="18"/>
          <w:szCs w:val="18"/>
        </w:rPr>
        <w:t xml:space="preserve"> January, 1935</w:t>
      </w:r>
      <w:r w:rsidRPr="005A0128">
        <w:rPr>
          <w:rFonts w:ascii="Times New Roman" w:hAnsi="Times New Roman" w:cs="Times New Roman"/>
          <w:sz w:val="18"/>
          <w:szCs w:val="18"/>
        </w:rPr>
        <w:t>, Published under the authority of the Commissioners of His Majesty’s Customs and Excise, H.M. Stationary Office.</w:t>
      </w:r>
    </w:p>
    <w:p w:rsidR="00474FD5" w:rsidRPr="005A0128" w:rsidRDefault="00474FD5" w:rsidP="00B9694E">
      <w:pPr>
        <w:spacing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Cmd. 5296 (1936), </w:t>
      </w:r>
      <w:r w:rsidRPr="005A0128">
        <w:rPr>
          <w:rFonts w:ascii="Times New Roman" w:hAnsi="Times New Roman" w:cs="Times New Roman"/>
          <w:i/>
          <w:sz w:val="18"/>
          <w:szCs w:val="18"/>
        </w:rPr>
        <w:t>Twenty-seventh report of the commissioners of His Majesty’s customs and excise for the year ended 31</w:t>
      </w:r>
      <w:r w:rsidRPr="005A0128">
        <w:rPr>
          <w:rFonts w:ascii="Times New Roman" w:hAnsi="Times New Roman" w:cs="Times New Roman"/>
          <w:i/>
          <w:sz w:val="18"/>
          <w:szCs w:val="18"/>
          <w:vertAlign w:val="superscript"/>
        </w:rPr>
        <w:t>st</w:t>
      </w:r>
      <w:r w:rsidRPr="005A0128">
        <w:rPr>
          <w:rFonts w:ascii="Times New Roman" w:hAnsi="Times New Roman" w:cs="Times New Roman"/>
          <w:i/>
          <w:sz w:val="18"/>
          <w:szCs w:val="18"/>
        </w:rPr>
        <w:t xml:space="preserve"> March 1936 being the 80</w:t>
      </w:r>
      <w:r w:rsidRPr="005A0128">
        <w:rPr>
          <w:rFonts w:ascii="Times New Roman" w:hAnsi="Times New Roman" w:cs="Times New Roman"/>
          <w:i/>
          <w:sz w:val="18"/>
          <w:szCs w:val="18"/>
          <w:vertAlign w:val="superscript"/>
        </w:rPr>
        <w:t>th</w:t>
      </w:r>
      <w:r w:rsidRPr="005A0128">
        <w:rPr>
          <w:rFonts w:ascii="Times New Roman" w:hAnsi="Times New Roman" w:cs="Times New Roman"/>
          <w:i/>
          <w:sz w:val="18"/>
          <w:szCs w:val="18"/>
        </w:rPr>
        <w:t xml:space="preserve"> report relating to the customs and the 79</w:t>
      </w:r>
      <w:r w:rsidRPr="005A0128">
        <w:rPr>
          <w:rFonts w:ascii="Times New Roman" w:hAnsi="Times New Roman" w:cs="Times New Roman"/>
          <w:i/>
          <w:sz w:val="18"/>
          <w:szCs w:val="18"/>
          <w:vertAlign w:val="superscript"/>
        </w:rPr>
        <w:t>th</w:t>
      </w:r>
      <w:r w:rsidRPr="005A0128">
        <w:rPr>
          <w:rFonts w:ascii="Times New Roman" w:hAnsi="Times New Roman" w:cs="Times New Roman"/>
          <w:i/>
          <w:sz w:val="18"/>
          <w:szCs w:val="18"/>
        </w:rPr>
        <w:t xml:space="preserve"> report relating to the excise</w:t>
      </w:r>
      <w:r w:rsidRPr="005A0128">
        <w:rPr>
          <w:rFonts w:ascii="Times New Roman" w:hAnsi="Times New Roman" w:cs="Times New Roman"/>
          <w:sz w:val="18"/>
          <w:szCs w:val="18"/>
        </w:rPr>
        <w:t>, HMSO.</w:t>
      </w:r>
    </w:p>
    <w:p w:rsidR="00474FD5" w:rsidRPr="005A0128" w:rsidRDefault="00474FD5" w:rsidP="00B9694E">
      <w:pPr>
        <w:spacing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Hutchinson, H. J. (1965), </w:t>
      </w:r>
      <w:r w:rsidRPr="005A0128">
        <w:rPr>
          <w:rFonts w:ascii="Times New Roman" w:hAnsi="Times New Roman" w:cs="Times New Roman"/>
          <w:i/>
          <w:sz w:val="18"/>
          <w:szCs w:val="18"/>
        </w:rPr>
        <w:t>Tariff-Making and Industrial Reconstruction: an Account of the Work of the Import Duties Advisory Committee 1932-39</w:t>
      </w:r>
      <w:r w:rsidRPr="005A0128">
        <w:rPr>
          <w:rFonts w:ascii="Times New Roman" w:hAnsi="Times New Roman" w:cs="Times New Roman"/>
          <w:sz w:val="18"/>
          <w:szCs w:val="18"/>
        </w:rPr>
        <w:t>, London: Harrap.</w:t>
      </w:r>
    </w:p>
    <w:p w:rsidR="00474FD5" w:rsidRPr="005A0128" w:rsidRDefault="00474FD5" w:rsidP="00B9694E">
      <w:pPr>
        <w:spacing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IDAC (1932a), </w:t>
      </w:r>
      <w:r w:rsidRPr="005A0128">
        <w:rPr>
          <w:rFonts w:ascii="Times New Roman" w:hAnsi="Times New Roman" w:cs="Times New Roman"/>
          <w:i/>
          <w:sz w:val="18"/>
          <w:szCs w:val="18"/>
        </w:rPr>
        <w:t>Import Duties: Report by the Import Duties Advisory Committee and Additional Import Duties (No. 1) Order</w:t>
      </w:r>
      <w:r w:rsidRPr="005A0128">
        <w:rPr>
          <w:rFonts w:ascii="Times New Roman" w:hAnsi="Times New Roman" w:cs="Times New Roman"/>
          <w:sz w:val="18"/>
          <w:szCs w:val="18"/>
        </w:rPr>
        <w:t>, Import Duties Advisory Committee.</w:t>
      </w:r>
    </w:p>
    <w:p w:rsidR="00474FD5" w:rsidRPr="005A0128" w:rsidRDefault="00474FD5" w:rsidP="00B9694E">
      <w:pPr>
        <w:spacing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IDAC (1932b), </w:t>
      </w:r>
      <w:r w:rsidRPr="005A0128">
        <w:rPr>
          <w:rFonts w:ascii="Times New Roman" w:hAnsi="Times New Roman" w:cs="Times New Roman"/>
          <w:i/>
          <w:sz w:val="18"/>
          <w:szCs w:val="18"/>
        </w:rPr>
        <w:t>Statutory Rules and Orders: Customs: Additional Import Duties</w:t>
      </w:r>
      <w:r w:rsidRPr="005A0128">
        <w:rPr>
          <w:rFonts w:ascii="Times New Roman" w:hAnsi="Times New Roman" w:cs="Times New Roman"/>
          <w:sz w:val="18"/>
          <w:szCs w:val="18"/>
        </w:rPr>
        <w:t>, No. 257, Import Duties Advisory Committee.</w:t>
      </w:r>
    </w:p>
    <w:p w:rsidR="00474FD5" w:rsidRPr="005A0128" w:rsidRDefault="00474FD5" w:rsidP="00B9694E">
      <w:pPr>
        <w:spacing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NIESR (1943), </w:t>
      </w:r>
      <w:r w:rsidRPr="005A0128">
        <w:rPr>
          <w:rFonts w:ascii="Times New Roman" w:hAnsi="Times New Roman" w:cs="Times New Roman"/>
          <w:i/>
          <w:sz w:val="18"/>
          <w:szCs w:val="18"/>
        </w:rPr>
        <w:t>Trade Regulations and Commercial Policy of the United Kingdom</w:t>
      </w:r>
      <w:r w:rsidRPr="005A0128">
        <w:rPr>
          <w:rFonts w:ascii="Times New Roman" w:hAnsi="Times New Roman" w:cs="Times New Roman"/>
          <w:sz w:val="18"/>
          <w:szCs w:val="18"/>
        </w:rPr>
        <w:t>, National Institute of Economic and Social Research: Cambridge University Press.</w:t>
      </w:r>
    </w:p>
    <w:p w:rsidR="00474FD5" w:rsidRPr="008D2EB0" w:rsidRDefault="00474FD5" w:rsidP="00B9694E">
      <w:pPr>
        <w:spacing w:after="0" w:line="360" w:lineRule="auto"/>
        <w:ind w:left="567" w:hanging="567"/>
        <w:jc w:val="both"/>
        <w:rPr>
          <w:rFonts w:ascii="Times New Roman" w:hAnsi="Times New Roman" w:cs="Times New Roman"/>
          <w:b/>
          <w:sz w:val="20"/>
          <w:szCs w:val="20"/>
        </w:rPr>
      </w:pPr>
      <w:r w:rsidRPr="008D2EB0">
        <w:rPr>
          <w:rFonts w:ascii="Times New Roman" w:hAnsi="Times New Roman" w:cs="Times New Roman"/>
          <w:b/>
          <w:sz w:val="20"/>
          <w:szCs w:val="20"/>
        </w:rPr>
        <w:t>Disaggregated Industry Data</w:t>
      </w:r>
    </w:p>
    <w:p w:rsidR="00474FD5" w:rsidRPr="005A0128" w:rsidRDefault="00474FD5" w:rsidP="00B9694E">
      <w:pPr>
        <w:spacing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Board of Trade: Business Statistics Office, </w:t>
      </w:r>
      <w:r w:rsidRPr="005A0128">
        <w:rPr>
          <w:rFonts w:ascii="Times New Roman" w:hAnsi="Times New Roman" w:cs="Times New Roman"/>
          <w:i/>
          <w:sz w:val="18"/>
          <w:szCs w:val="18"/>
        </w:rPr>
        <w:t>Census of Production: Final Report</w:t>
      </w:r>
      <w:r w:rsidRPr="005A0128">
        <w:rPr>
          <w:rFonts w:ascii="Times New Roman" w:hAnsi="Times New Roman" w:cs="Times New Roman"/>
          <w:sz w:val="18"/>
          <w:szCs w:val="18"/>
        </w:rPr>
        <w:t>, (Censuses, 1924, 1930, 1935 and 1948), London: HMSO.</w:t>
      </w:r>
    </w:p>
    <w:p w:rsidR="00474FD5" w:rsidRPr="005A0128" w:rsidRDefault="00474FD5" w:rsidP="00B9694E">
      <w:pPr>
        <w:spacing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Bowley, A. S. (1944), </w:t>
      </w:r>
      <w:r w:rsidRPr="005A0128">
        <w:rPr>
          <w:rFonts w:ascii="Times New Roman" w:hAnsi="Times New Roman" w:cs="Times New Roman"/>
          <w:i/>
          <w:sz w:val="18"/>
          <w:szCs w:val="18"/>
        </w:rPr>
        <w:t>Studies in the National Income: 1924-1938</w:t>
      </w:r>
      <w:r w:rsidRPr="005A0128">
        <w:rPr>
          <w:rFonts w:ascii="Times New Roman" w:hAnsi="Times New Roman" w:cs="Times New Roman"/>
          <w:sz w:val="18"/>
          <w:szCs w:val="18"/>
        </w:rPr>
        <w:t>, Cambridge: Cambridge University Press.</w:t>
      </w:r>
    </w:p>
    <w:p w:rsidR="00474FD5" w:rsidRPr="005A0128" w:rsidRDefault="00474FD5" w:rsidP="00B9694E">
      <w:pPr>
        <w:spacing w:line="360" w:lineRule="auto"/>
        <w:ind w:left="284" w:hanging="284"/>
        <w:jc w:val="both"/>
        <w:rPr>
          <w:rFonts w:ascii="Times New Roman" w:hAnsi="Times New Roman" w:cs="Times New Roman"/>
          <w:sz w:val="18"/>
          <w:szCs w:val="18"/>
        </w:rPr>
      </w:pPr>
      <w:r w:rsidRPr="005A0128">
        <w:rPr>
          <w:rFonts w:ascii="Times New Roman" w:hAnsi="Times New Roman" w:cs="Times New Roman"/>
          <w:sz w:val="18"/>
          <w:szCs w:val="18"/>
        </w:rPr>
        <w:t xml:space="preserve">Brown, E. C. (1954), “Industrial Production in 1935 and 1948”, </w:t>
      </w:r>
      <w:r w:rsidRPr="005A0128">
        <w:rPr>
          <w:rFonts w:ascii="Times New Roman" w:hAnsi="Times New Roman" w:cs="Times New Roman"/>
          <w:i/>
          <w:sz w:val="18"/>
          <w:szCs w:val="18"/>
        </w:rPr>
        <w:t>London &amp; Cambridge Economic Bulletin</w:t>
      </w:r>
      <w:r w:rsidRPr="005A0128">
        <w:rPr>
          <w:rFonts w:ascii="Times New Roman" w:hAnsi="Times New Roman" w:cs="Times New Roman"/>
          <w:sz w:val="18"/>
          <w:szCs w:val="18"/>
        </w:rPr>
        <w:t>, December, pp. v-vii.</w:t>
      </w:r>
    </w:p>
    <w:p w:rsidR="00474FD5" w:rsidRPr="005A0128" w:rsidRDefault="00474FD5" w:rsidP="00B9694E">
      <w:pPr>
        <w:spacing w:line="360" w:lineRule="auto"/>
        <w:ind w:left="284" w:hanging="284"/>
        <w:jc w:val="both"/>
        <w:rPr>
          <w:rFonts w:ascii="Times New Roman" w:hAnsi="Times New Roman" w:cs="Times New Roman"/>
          <w:b/>
          <w:sz w:val="18"/>
          <w:szCs w:val="18"/>
        </w:rPr>
      </w:pPr>
      <w:r w:rsidRPr="005A0128">
        <w:rPr>
          <w:rFonts w:ascii="Times New Roman" w:hAnsi="Times New Roman" w:cs="Times New Roman"/>
          <w:sz w:val="18"/>
          <w:szCs w:val="18"/>
        </w:rPr>
        <w:t xml:space="preserve">Schwartz, G. L. and E. C. Rhodes, </w:t>
      </w:r>
      <w:r w:rsidRPr="005A0128">
        <w:rPr>
          <w:rFonts w:ascii="Times New Roman" w:hAnsi="Times New Roman" w:cs="Times New Roman"/>
          <w:i/>
          <w:sz w:val="18"/>
          <w:szCs w:val="18"/>
        </w:rPr>
        <w:t>Output, Employment and Wages in the United Kingdom: 1924, 1930, 1935</w:t>
      </w:r>
      <w:r w:rsidRPr="005A0128">
        <w:rPr>
          <w:rFonts w:ascii="Times New Roman" w:hAnsi="Times New Roman" w:cs="Times New Roman"/>
          <w:sz w:val="18"/>
          <w:szCs w:val="18"/>
        </w:rPr>
        <w:t>, in London &amp; Cambridge Economic Service, Royal Economic Society Memorandum, No. 75.</w:t>
      </w:r>
    </w:p>
    <w:p w:rsidR="00817EAD" w:rsidRDefault="00817EAD" w:rsidP="00B9694E">
      <w:pPr>
        <w:spacing w:line="360" w:lineRule="auto"/>
      </w:pPr>
      <w:r>
        <w:br w:type="page"/>
      </w:r>
    </w:p>
    <w:p w:rsidR="00817EAD" w:rsidRDefault="00817EAD" w:rsidP="00817EAD">
      <w:pPr>
        <w:pStyle w:val="Subtitle"/>
        <w:jc w:val="center"/>
        <w:rPr>
          <w:rFonts w:ascii="Times New Roman" w:hAnsi="Times New Roman" w:cs="Times New Roman"/>
          <w:i w:val="0"/>
          <w:smallCaps/>
          <w:sz w:val="48"/>
        </w:rPr>
      </w:pPr>
      <w:r>
        <w:rPr>
          <w:rFonts w:ascii="Times New Roman" w:hAnsi="Times New Roman" w:cs="Times New Roman"/>
          <w:i w:val="0"/>
          <w:smallCaps/>
          <w:sz w:val="48"/>
        </w:rPr>
        <w:t>Supplementary Material</w:t>
      </w:r>
      <w:r w:rsidR="003E12AA">
        <w:rPr>
          <w:rStyle w:val="FootnoteReference"/>
          <w:rFonts w:ascii="Times New Roman" w:hAnsi="Times New Roman" w:cs="Times New Roman"/>
          <w:smallCaps/>
          <w:sz w:val="40"/>
          <w:szCs w:val="40"/>
        </w:rPr>
        <w:footnoteReference w:customMarkFollows="1" w:id="16"/>
        <w:t>*</w:t>
      </w:r>
    </w:p>
    <w:p w:rsidR="00817EAD" w:rsidRDefault="00817EAD" w:rsidP="003E12AA">
      <w:pPr>
        <w:spacing w:line="360" w:lineRule="auto"/>
        <w:jc w:val="center"/>
        <w:rPr>
          <w:rFonts w:ascii="Times New Roman" w:hAnsi="Times New Roman" w:cs="Times New Roman"/>
          <w:i/>
        </w:rPr>
      </w:pPr>
      <w:r>
        <w:rPr>
          <w:rFonts w:ascii="Times New Roman" w:hAnsi="Times New Roman" w:cs="Times New Roman"/>
        </w:rPr>
        <w:t>Simon P. Lloyd</w:t>
      </w:r>
      <w:r>
        <w:rPr>
          <w:rFonts w:ascii="Times New Roman" w:hAnsi="Times New Roman" w:cs="Times New Roman"/>
        </w:rPr>
        <w:br/>
      </w:r>
      <w:r w:rsidR="003E12AA">
        <w:rPr>
          <w:rFonts w:ascii="Times New Roman" w:hAnsi="Times New Roman" w:cs="Times New Roman"/>
          <w:i/>
        </w:rPr>
        <w:t>International Directorate, Bank of England</w:t>
      </w:r>
    </w:p>
    <w:p w:rsidR="00817EAD" w:rsidRDefault="00817EAD" w:rsidP="00817EAD">
      <w:pPr>
        <w:spacing w:line="360" w:lineRule="auto"/>
        <w:jc w:val="center"/>
        <w:rPr>
          <w:rFonts w:ascii="Times New Roman" w:hAnsi="Times New Roman" w:cs="Times New Roman"/>
        </w:rPr>
      </w:pPr>
      <w:r>
        <w:rPr>
          <w:rFonts w:ascii="Times New Roman" w:hAnsi="Times New Roman" w:cs="Times New Roman"/>
        </w:rPr>
        <w:t>Solomos Solomou</w:t>
      </w:r>
      <w:r>
        <w:rPr>
          <w:rFonts w:ascii="Times New Roman" w:hAnsi="Times New Roman" w:cs="Times New Roman"/>
        </w:rPr>
        <w:br/>
      </w:r>
      <w:r>
        <w:rPr>
          <w:rFonts w:ascii="Times New Roman" w:hAnsi="Times New Roman" w:cs="Times New Roman"/>
          <w:i/>
        </w:rPr>
        <w:t>Faculty of Economics &amp; Peterhouse, University of Cambridge</w:t>
      </w:r>
    </w:p>
    <w:p w:rsidR="00817EAD" w:rsidRDefault="004D2C17" w:rsidP="00817EAD">
      <w:pPr>
        <w:spacing w:line="360" w:lineRule="auto"/>
        <w:jc w:val="center"/>
        <w:rPr>
          <w:rFonts w:ascii="Times New Roman" w:hAnsi="Times New Roman" w:cs="Times New Roman"/>
        </w:rPr>
      </w:pPr>
      <w:r>
        <w:rPr>
          <w:rFonts w:ascii="Times New Roman" w:hAnsi="Times New Roman" w:cs="Times New Roman"/>
        </w:rPr>
        <w:t>17</w:t>
      </w:r>
      <w:r w:rsidR="003E12AA" w:rsidRPr="003E12AA">
        <w:rPr>
          <w:rFonts w:ascii="Times New Roman" w:hAnsi="Times New Roman" w:cs="Times New Roman"/>
          <w:vertAlign w:val="superscript"/>
        </w:rPr>
        <w:t>th</w:t>
      </w:r>
      <w:r w:rsidR="003E12AA">
        <w:rPr>
          <w:rFonts w:ascii="Times New Roman" w:hAnsi="Times New Roman" w:cs="Times New Roman"/>
        </w:rPr>
        <w:t xml:space="preserve"> </w:t>
      </w:r>
      <w:r>
        <w:rPr>
          <w:rFonts w:ascii="Times New Roman" w:hAnsi="Times New Roman" w:cs="Times New Roman"/>
        </w:rPr>
        <w:t>January 2019</w:t>
      </w:r>
    </w:p>
    <w:p w:rsidR="00817EAD" w:rsidRPr="00EB6E7D" w:rsidRDefault="00817EAD" w:rsidP="00817EAD">
      <w:pPr>
        <w:pStyle w:val="Title"/>
        <w:rPr>
          <w:rFonts w:ascii="Times New Roman" w:hAnsi="Times New Roman" w:cs="Times New Roman"/>
          <w:sz w:val="40"/>
          <w:szCs w:val="40"/>
        </w:rPr>
      </w:pPr>
      <w:r w:rsidRPr="00EB6E7D">
        <w:rPr>
          <w:rFonts w:ascii="Times New Roman" w:hAnsi="Times New Roman" w:cs="Times New Roman"/>
          <w:sz w:val="40"/>
          <w:szCs w:val="40"/>
        </w:rPr>
        <w:t>Appendix A – Tariff Classification</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Table A1 presents the updated classification of industry-specific tariff rates. In the table, we provide a detailed description of the new data set, and document the differences between our classification and that of Broadberry and Crafts (2011). We construct the classification by drawing upon contemporary tariff information from a variety of sources, including: IDAC (1932a, 1932b), CET (1935), NIESR (1943), Hutchinson (1965) and various HMRC reports.</w:t>
      </w: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sectPr w:rsidR="00817EAD" w:rsidSect="00307AE9">
          <w:footerReference w:type="default" r:id="rId13"/>
          <w:pgSz w:w="11906" w:h="16838"/>
          <w:pgMar w:top="993" w:right="1440" w:bottom="993" w:left="1440" w:header="708" w:footer="708" w:gutter="0"/>
          <w:cols w:space="708"/>
          <w:docGrid w:linePitch="360"/>
        </w:sectPr>
      </w:pPr>
    </w:p>
    <w:p w:rsidR="00817EAD" w:rsidRDefault="00817EAD" w:rsidP="00817EAD">
      <w:pPr>
        <w:spacing w:after="0" w:line="360" w:lineRule="auto"/>
        <w:jc w:val="both"/>
        <w:rPr>
          <w:rFonts w:ascii="Times New Roman" w:hAnsi="Times New Roman" w:cs="Times New Roman"/>
        </w:rPr>
      </w:pPr>
      <w:r>
        <w:rPr>
          <w:rFonts w:ascii="Times New Roman" w:hAnsi="Times New Roman" w:cs="Times New Roman"/>
          <w:b/>
        </w:rPr>
        <w:t>Table A1: Tariff Protection Received by the Industries in the Census of Production during the Interwar Period</w:t>
      </w:r>
    </w:p>
    <w:p w:rsidR="00817EAD" w:rsidRDefault="00817EAD" w:rsidP="00817EAD">
      <w:pPr>
        <w:spacing w:after="0" w:line="360" w:lineRule="auto"/>
        <w:jc w:val="both"/>
        <w:rPr>
          <w:rFonts w:ascii="Times New Roman" w:hAnsi="Times New Roman" w:cs="Times New Roman"/>
        </w:rPr>
      </w:pPr>
    </w:p>
    <w:tbl>
      <w:tblPr>
        <w:tblStyle w:val="TableGrid"/>
        <w:tblW w:w="0" w:type="auto"/>
        <w:tblLook w:val="04A0" w:firstRow="1" w:lastRow="0" w:firstColumn="1" w:lastColumn="0" w:noHBand="0" w:noVBand="1"/>
      </w:tblPr>
      <w:tblGrid>
        <w:gridCol w:w="1145"/>
        <w:gridCol w:w="1793"/>
        <w:gridCol w:w="1488"/>
        <w:gridCol w:w="1120"/>
        <w:gridCol w:w="1745"/>
        <w:gridCol w:w="7375"/>
      </w:tblGrid>
      <w:tr w:rsidR="00817EAD" w:rsidRPr="002B2B0B" w:rsidTr="00CD1883">
        <w:tc>
          <w:tcPr>
            <w:tcW w:w="1145" w:type="dxa"/>
            <w:shd w:val="clear" w:color="auto" w:fill="BFBFBF" w:themeFill="background1" w:themeFillShade="BF"/>
          </w:tcPr>
          <w:p w:rsidR="00817EAD" w:rsidRPr="002B2B0B" w:rsidRDefault="00817EAD" w:rsidP="00CD1883">
            <w:pPr>
              <w:jc w:val="center"/>
              <w:rPr>
                <w:rFonts w:ascii="Times New Roman" w:hAnsi="Times New Roman" w:cs="Times New Roman"/>
                <w:b/>
              </w:rPr>
            </w:pPr>
            <w:r w:rsidRPr="002B2B0B">
              <w:rPr>
                <w:rFonts w:ascii="Times New Roman" w:hAnsi="Times New Roman" w:cs="Times New Roman"/>
                <w:b/>
              </w:rPr>
              <w:t>Industry Number</w:t>
            </w:r>
          </w:p>
        </w:tc>
        <w:tc>
          <w:tcPr>
            <w:tcW w:w="1793" w:type="dxa"/>
            <w:shd w:val="clear" w:color="auto" w:fill="BFBFBF" w:themeFill="background1" w:themeFillShade="BF"/>
          </w:tcPr>
          <w:p w:rsidR="00817EAD" w:rsidRPr="002B2B0B" w:rsidRDefault="00817EAD" w:rsidP="00CD1883">
            <w:pPr>
              <w:jc w:val="center"/>
              <w:rPr>
                <w:rFonts w:ascii="Times New Roman" w:hAnsi="Times New Roman" w:cs="Times New Roman"/>
                <w:b/>
              </w:rPr>
            </w:pPr>
            <w:r w:rsidRPr="002B2B0B">
              <w:rPr>
                <w:rFonts w:ascii="Times New Roman" w:hAnsi="Times New Roman" w:cs="Times New Roman"/>
                <w:b/>
              </w:rPr>
              <w:t>Industry</w:t>
            </w:r>
          </w:p>
        </w:tc>
        <w:tc>
          <w:tcPr>
            <w:tcW w:w="1488" w:type="dxa"/>
            <w:shd w:val="clear" w:color="auto" w:fill="BFBFBF" w:themeFill="background1" w:themeFillShade="BF"/>
          </w:tcPr>
          <w:p w:rsidR="00817EAD" w:rsidRPr="002B2B0B" w:rsidRDefault="00817EAD" w:rsidP="00CD1883">
            <w:pPr>
              <w:jc w:val="center"/>
              <w:rPr>
                <w:rFonts w:ascii="Times New Roman" w:hAnsi="Times New Roman" w:cs="Times New Roman"/>
                <w:b/>
              </w:rPr>
            </w:pPr>
            <w:r w:rsidRPr="002B2B0B">
              <w:rPr>
                <w:rFonts w:ascii="Times New Roman" w:hAnsi="Times New Roman" w:cs="Times New Roman"/>
                <w:b/>
              </w:rPr>
              <w:t xml:space="preserve">Broadberry &amp; Crafts </w:t>
            </w:r>
            <w:r>
              <w:rPr>
                <w:rFonts w:ascii="Times New Roman" w:hAnsi="Times New Roman" w:cs="Times New Roman"/>
                <w:b/>
              </w:rPr>
              <w:t>(</w:t>
            </w:r>
            <w:r w:rsidRPr="002B2B0B">
              <w:rPr>
                <w:rFonts w:ascii="Times New Roman" w:hAnsi="Times New Roman" w:cs="Times New Roman"/>
                <w:b/>
              </w:rPr>
              <w:t>BC) Classification</w:t>
            </w:r>
          </w:p>
        </w:tc>
        <w:tc>
          <w:tcPr>
            <w:tcW w:w="1120" w:type="dxa"/>
            <w:shd w:val="clear" w:color="auto" w:fill="BFBFBF" w:themeFill="background1" w:themeFillShade="BF"/>
          </w:tcPr>
          <w:p w:rsidR="00817EAD" w:rsidRPr="002B2B0B" w:rsidRDefault="00817EAD" w:rsidP="00CD1883">
            <w:pPr>
              <w:jc w:val="center"/>
              <w:rPr>
                <w:rFonts w:ascii="Times New Roman" w:hAnsi="Times New Roman" w:cs="Times New Roman"/>
                <w:b/>
              </w:rPr>
            </w:pPr>
            <w:r w:rsidRPr="002B2B0B">
              <w:rPr>
                <w:rFonts w:ascii="Times New Roman" w:hAnsi="Times New Roman" w:cs="Times New Roman"/>
                <w:b/>
              </w:rPr>
              <w:t>Newly Protected in 1932 (=1)</w:t>
            </w:r>
          </w:p>
        </w:tc>
        <w:tc>
          <w:tcPr>
            <w:tcW w:w="937" w:type="dxa"/>
            <w:shd w:val="clear" w:color="auto" w:fill="BFBFBF" w:themeFill="background1" w:themeFillShade="BF"/>
          </w:tcPr>
          <w:p w:rsidR="00817EAD" w:rsidRPr="002B2B0B" w:rsidRDefault="00817EAD" w:rsidP="00CD1883">
            <w:pPr>
              <w:jc w:val="center"/>
              <w:rPr>
                <w:rFonts w:ascii="Times New Roman" w:hAnsi="Times New Roman" w:cs="Times New Roman"/>
                <w:b/>
              </w:rPr>
            </w:pPr>
            <w:r>
              <w:rPr>
                <w:rFonts w:ascii="Times New Roman" w:hAnsi="Times New Roman" w:cs="Times New Roman"/>
                <w:b/>
              </w:rPr>
              <w:t xml:space="preserve">1932 </w:t>
            </w:r>
            <w:r w:rsidRPr="002B2B0B">
              <w:rPr>
                <w:rFonts w:ascii="Times New Roman" w:hAnsi="Times New Roman" w:cs="Times New Roman"/>
                <w:b/>
              </w:rPr>
              <w:t>Duty</w:t>
            </w:r>
            <w:r>
              <w:rPr>
                <w:rFonts w:ascii="Times New Roman" w:hAnsi="Times New Roman" w:cs="Times New Roman"/>
                <w:b/>
              </w:rPr>
              <w:t>/Additional Duty</w:t>
            </w:r>
          </w:p>
        </w:tc>
        <w:tc>
          <w:tcPr>
            <w:tcW w:w="7375" w:type="dxa"/>
            <w:shd w:val="clear" w:color="auto" w:fill="BFBFBF" w:themeFill="background1" w:themeFillShade="BF"/>
          </w:tcPr>
          <w:p w:rsidR="00817EAD" w:rsidRPr="002B2B0B" w:rsidRDefault="00817EAD" w:rsidP="00CD1883">
            <w:pPr>
              <w:jc w:val="center"/>
              <w:rPr>
                <w:rFonts w:ascii="Times New Roman" w:hAnsi="Times New Roman" w:cs="Times New Roman"/>
                <w:b/>
              </w:rPr>
            </w:pPr>
            <w:r w:rsidRPr="002B2B0B">
              <w:rPr>
                <w:rFonts w:ascii="Times New Roman" w:hAnsi="Times New Roman" w:cs="Times New Roman"/>
                <w:b/>
              </w:rPr>
              <w:t>Sources</w:t>
            </w: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Sector: Textiles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Cotton Spinning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val="restart"/>
            <w:vAlign w:val="center"/>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8), CET (1935, p. 56).</w:t>
            </w:r>
          </w:p>
          <w:p w:rsidR="00817EAD" w:rsidRPr="002B2B0B" w:rsidRDefault="00817EAD" w:rsidP="00CD1883">
            <w:pPr>
              <w:rPr>
                <w:rFonts w:ascii="Times New Roman" w:hAnsi="Times New Roman" w:cs="Times New Roman"/>
              </w:rPr>
            </w:pPr>
            <w:r w:rsidRPr="002B2B0B">
              <w:rPr>
                <w:rFonts w:ascii="Times New Roman" w:hAnsi="Times New Roman" w:cs="Times New Roman"/>
              </w:rPr>
              <w:t>Hutchinson (1965, p. 180) refers to these industries in Group VIII (1), “Manufactures wholly or partly of cotton</w:t>
            </w:r>
            <w:r>
              <w:rPr>
                <w:rFonts w:ascii="Times New Roman" w:hAnsi="Times New Roman" w:cs="Times New Roman"/>
              </w:rPr>
              <w:t>, wool</w:t>
            </w:r>
            <w:r w:rsidRPr="002B2B0B">
              <w:rPr>
                <w:rFonts w:ascii="Times New Roman" w:hAnsi="Times New Roman" w:cs="Times New Roman"/>
              </w:rPr>
              <w:t>”.</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Cotton Weaving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tcPr>
          <w:p w:rsidR="00817EAD" w:rsidRPr="002B2B0B" w:rsidRDefault="00817EAD" w:rsidP="00CD1883">
            <w:pPr>
              <w:rPr>
                <w:rFonts w:ascii="Times New Roman" w:hAnsi="Times New Roman" w:cs="Times New Roman"/>
              </w:rPr>
            </w:pP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Woollen &amp; Worsted</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tcPr>
          <w:p w:rsidR="00817EAD" w:rsidRPr="002B2B0B" w:rsidRDefault="00817EAD" w:rsidP="00CD1883">
            <w:pPr>
              <w:rPr>
                <w:rFonts w:ascii="Times New Roman" w:hAnsi="Times New Roman" w:cs="Times New Roman"/>
              </w:rPr>
            </w:pP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Silk &amp; Artificial Silk</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25%</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(1932a, p. 3):</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“The Silk Duties, both customs and excise, were imposed for revenue purposes in 1925, being selected on grounds of luxury. They are levied at various rates, specific and </w:t>
            </w:r>
            <w:r w:rsidRPr="002B2B0B">
              <w:rPr>
                <w:rFonts w:ascii="Times New Roman" w:hAnsi="Times New Roman" w:cs="Times New Roman"/>
                <w:i/>
              </w:rPr>
              <w:t>ad valorem</w:t>
            </w:r>
            <w:r w:rsidRPr="002B2B0B">
              <w:rPr>
                <w:rFonts w:ascii="Times New Roman" w:hAnsi="Times New Roman" w:cs="Times New Roman"/>
              </w:rPr>
              <w:t>, on artificial and natural silk, and their products, running up to 33.3% or more.”</w:t>
            </w:r>
          </w:p>
          <w:p w:rsidR="00817EAD" w:rsidRPr="002B2B0B" w:rsidRDefault="00817EAD" w:rsidP="00CD1883">
            <w:pPr>
              <w:rPr>
                <w:rFonts w:ascii="Times New Roman" w:hAnsi="Times New Roman" w:cs="Times New Roman"/>
              </w:rPr>
            </w:pPr>
            <w:r w:rsidRPr="002B2B0B">
              <w:rPr>
                <w:rFonts w:ascii="Times New Roman" w:hAnsi="Times New Roman" w:cs="Times New Roman"/>
              </w:rPr>
              <w:t>Cmd. 5296 (1936), Table 134, summarises the history of silk duties from 1925.</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Linen &amp; Hemp</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8).  Hutchinson (1965, p. 180) refers to these industries in Group VIII (1) “Manufactures wholly or partly of […] linen”.</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106</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Jute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FFFFFF" w:themeFill="background1"/>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FFFFFF" w:themeFill="background1"/>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shd w:val="clear" w:color="auto" w:fill="FFFFFF" w:themeFill="background1"/>
          </w:tcPr>
          <w:p w:rsidR="00817EAD" w:rsidRPr="002B2B0B" w:rsidRDefault="00817EAD" w:rsidP="00CD1883">
            <w:pPr>
              <w:rPr>
                <w:rFonts w:ascii="Times New Roman" w:hAnsi="Times New Roman" w:cs="Times New Roman"/>
                <w:b/>
              </w:rPr>
            </w:pPr>
            <w:r w:rsidRPr="002B2B0B">
              <w:rPr>
                <w:rFonts w:ascii="Times New Roman" w:hAnsi="Times New Roman" w:cs="Times New Roman"/>
              </w:rPr>
              <w:t>IDAC (1932b, p. 8), CET (1935, p. 57). Hutchinson (1965, p. 180) refers to these industries in Group VIII (1) “Manufactures</w:t>
            </w:r>
            <w:r>
              <w:rPr>
                <w:rFonts w:ascii="Times New Roman" w:hAnsi="Times New Roman" w:cs="Times New Roman"/>
              </w:rPr>
              <w:t xml:space="preserve"> wholly or partly of […] jute”.</w:t>
            </w:r>
            <w:r w:rsidRPr="0051233D">
              <w:rPr>
                <w:rStyle w:val="Heading4Char"/>
                <w:rFonts w:ascii="Times New Roman" w:hAnsi="Times New Roman" w:cs="Times New Roman"/>
                <w:b w:val="0"/>
                <w:i w:val="0"/>
                <w:vertAlign w:val="superscript"/>
              </w:rPr>
              <w:footnoteReference w:id="17"/>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107</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Hosiery</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val="restart"/>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9), CET (1935, p. 59). Hutchinson (1965, p. 181) refers to these industries in Group IX (1), “Articles of apparel of all kinds”.</w:t>
            </w:r>
          </w:p>
          <w:p w:rsidR="00817EAD" w:rsidRPr="002B2B0B" w:rsidRDefault="00817EAD" w:rsidP="00CD1883">
            <w:pPr>
              <w:rPr>
                <w:rFonts w:ascii="Times New Roman" w:hAnsi="Times New Roman" w:cs="Times New Roman"/>
              </w:rPr>
            </w:pPr>
            <w:r w:rsidRPr="002B2B0B">
              <w:rPr>
                <w:rFonts w:ascii="Times New Roman" w:hAnsi="Times New Roman" w:cs="Times New Roman"/>
              </w:rPr>
              <w:t>NIESR (1945, p. 46), Group XIII: “This group consists of all articles of apparel and footwear, and a duty of 20% is charged on all articles not separately listed.”</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108</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Textile Finishing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tcPr>
          <w:p w:rsidR="00817EAD" w:rsidRPr="002B2B0B" w:rsidRDefault="00817EAD" w:rsidP="00CD1883">
            <w:pPr>
              <w:rPr>
                <w:rFonts w:ascii="Times New Roman" w:hAnsi="Times New Roman" w:cs="Times New Roman"/>
              </w:rPr>
            </w:pP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109</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Lace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Cmd. 5296 (1936), Table 134, summarises the history of lace duties from 1925. A 33.3% </w:t>
            </w:r>
            <w:r w:rsidRPr="002B2B0B">
              <w:rPr>
                <w:rFonts w:ascii="Times New Roman" w:hAnsi="Times New Roman" w:cs="Times New Roman"/>
                <w:i/>
              </w:rPr>
              <w:t>ad valorem</w:t>
            </w:r>
            <w:r w:rsidRPr="002B2B0B">
              <w:rPr>
                <w:rFonts w:ascii="Times New Roman" w:hAnsi="Times New Roman" w:cs="Times New Roman"/>
              </w:rPr>
              <w:t xml:space="preserve"> on lace was imposed on 1 July 1925 which lapsed on 30 June 1930. </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IDAC (1932a, p, 4) points out that “Under the White Paper procedure, duties were imposed for a period of five years at the rate of 33.3% </w:t>
            </w:r>
            <w:r w:rsidRPr="002B2B0B">
              <w:rPr>
                <w:rFonts w:ascii="Times New Roman" w:hAnsi="Times New Roman" w:cs="Times New Roman"/>
                <w:i/>
              </w:rPr>
              <w:t>ad valorem</w:t>
            </w:r>
            <w:r w:rsidRPr="002B2B0B">
              <w:rPr>
                <w:rFonts w:ascii="Times New Roman" w:hAnsi="Times New Roman" w:cs="Times New Roman"/>
              </w:rPr>
              <w:t xml:space="preserve"> on lace”.</w:t>
            </w:r>
          </w:p>
          <w:p w:rsidR="00817EAD" w:rsidRPr="008E2846" w:rsidRDefault="00817EAD" w:rsidP="00CD1883">
            <w:pPr>
              <w:rPr>
                <w:rFonts w:ascii="Times New Roman" w:hAnsi="Times New Roman" w:cs="Times New Roman"/>
              </w:rPr>
            </w:pPr>
            <w:r w:rsidRPr="002B2B0B">
              <w:rPr>
                <w:rFonts w:ascii="Times New Roman" w:hAnsi="Times New Roman" w:cs="Times New Roman"/>
              </w:rPr>
              <w:t>IDAC (1932b, p. 8), CET (1935, p. 58) report a 20% duty from 1932.  Hutchinson (1965, p. 180) refers to industries in Group VIII (1), “Tissue and like materials of any width, shape, or length (including lace)”.</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110</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Rope, Twine &amp; Net</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15%</w:t>
            </w:r>
          </w:p>
        </w:tc>
        <w:tc>
          <w:tcPr>
            <w:tcW w:w="7375" w:type="dxa"/>
          </w:tcPr>
          <w:p w:rsidR="00817EAD" w:rsidRPr="002B2B0B" w:rsidRDefault="00817EAD" w:rsidP="00CD1883">
            <w:pPr>
              <w:rPr>
                <w:rFonts w:ascii="Times New Roman" w:hAnsi="Times New Roman" w:cs="Times New Roman"/>
                <w:b/>
              </w:rPr>
            </w:pPr>
            <w:r w:rsidRPr="002B2B0B">
              <w:rPr>
                <w:rFonts w:ascii="Times New Roman" w:hAnsi="Times New Roman" w:cs="Times New Roman"/>
              </w:rPr>
              <w:t xml:space="preserve">IDAC (1932b, p. 9), CET (1935, p. 58) report duties on </w:t>
            </w:r>
            <w:r w:rsidRPr="007014A1">
              <w:rPr>
                <w:rFonts w:ascii="Times New Roman" w:hAnsi="Times New Roman" w:cs="Times New Roman"/>
              </w:rPr>
              <w:t>Rope and Twine (15%) and Net (20%)</w:t>
            </w:r>
            <w:r>
              <w:rPr>
                <w:rFonts w:ascii="Times New Roman" w:hAnsi="Times New Roman" w:cs="Times New Roman"/>
              </w:rPr>
              <w:t>.</w:t>
            </w:r>
          </w:p>
          <w:p w:rsidR="00817EAD" w:rsidRPr="002B2B0B" w:rsidRDefault="00817EAD" w:rsidP="00CD1883">
            <w:pPr>
              <w:rPr>
                <w:rFonts w:ascii="Times New Roman" w:hAnsi="Times New Roman" w:cs="Times New Roman"/>
              </w:rPr>
            </w:pPr>
            <w:r w:rsidRPr="002B2B0B">
              <w:rPr>
                <w:rFonts w:ascii="Times New Roman" w:hAnsi="Times New Roman" w:cs="Times New Roman"/>
              </w:rPr>
              <w:t>Hutchinson (1965, p. 181) refers to these industries in Group VIII(4) and (5):</w:t>
            </w:r>
          </w:p>
          <w:p w:rsidR="00817EAD" w:rsidRPr="002B2B0B" w:rsidRDefault="00817EAD" w:rsidP="00CD1883">
            <w:pPr>
              <w:rPr>
                <w:rFonts w:ascii="Times New Roman" w:hAnsi="Times New Roman" w:cs="Times New Roman"/>
              </w:rPr>
            </w:pPr>
            <w:r w:rsidRPr="002B2B0B">
              <w:rPr>
                <w:rFonts w:ascii="Times New Roman" w:hAnsi="Times New Roman" w:cs="Times New Roman"/>
              </w:rPr>
              <w:t>“(4) Cordage, cables, ropes and twine other than coir yarn (including hard fibre singles, polished, starched or glazed singles, and all multiples) wholly or partly of vegetable fibre other than cotton, linen, ramie or seagrass.</w:t>
            </w:r>
          </w:p>
          <w:p w:rsidR="00817EAD" w:rsidRPr="002B2B0B" w:rsidRDefault="00817EAD" w:rsidP="00CD1883">
            <w:pPr>
              <w:rPr>
                <w:rFonts w:ascii="Times New Roman" w:hAnsi="Times New Roman" w:cs="Times New Roman"/>
              </w:rPr>
            </w:pPr>
            <w:r w:rsidRPr="002B2B0B">
              <w:rPr>
                <w:rFonts w:ascii="Times New Roman" w:hAnsi="Times New Roman" w:cs="Times New Roman"/>
              </w:rPr>
              <w:t>“(5) Nets and netting made wholly or partly of material dutiable under the heading (4) above.”</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Elastic Webbing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8), CET (1935, p. 56). Hutchinson (1965, p. 180) list this in  Group VIII(1)(i)</w:t>
            </w:r>
          </w:p>
          <w:p w:rsidR="00817EAD" w:rsidRPr="002B2B0B" w:rsidRDefault="00817EAD" w:rsidP="00CD1883">
            <w:pPr>
              <w:rPr>
                <w:rFonts w:ascii="Times New Roman" w:hAnsi="Times New Roman" w:cs="Times New Roman"/>
              </w:rPr>
            </w:pPr>
            <w:r w:rsidRPr="002B2B0B">
              <w:rPr>
                <w:rFonts w:ascii="Times New Roman" w:hAnsi="Times New Roman" w:cs="Times New Roman"/>
              </w:rPr>
              <w:t>“Tissue and like materials of any width, shape, or length (including […] webbing)”.</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Coir Fibre, Horse Hair &amp; Feather</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IDAC (1932b, p. 9), CET (1935, p. 58, p. 60).  Hutchinson (1965, p. 180) lists this in Group VIII(3) “Coir mats and matting” </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 “Feathers and all manufactured articles complete or incomplete, containing feathers or down”.</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Flock &amp; Rag</w:t>
            </w:r>
          </w:p>
        </w:tc>
        <w:tc>
          <w:tcPr>
            <w:tcW w:w="1488"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8), CET (1935, p. 56) report that this industry is expressly excluded from additional duty. Hutchinson (1965, p. 180): notes, “Tissue and like materials of any width, shape, or length ([…], but not including rags)”.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Packing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Cmd. 5296 (1936), Table 134, describes a 16.66% duty on Packing from 1925 which lapsed on 30 April 1930. </w:t>
            </w:r>
          </w:p>
          <w:p w:rsidR="00817EAD" w:rsidRPr="002B2B0B" w:rsidRDefault="00817EAD" w:rsidP="00CD1883">
            <w:pPr>
              <w:rPr>
                <w:rFonts w:ascii="Times New Roman" w:hAnsi="Times New Roman" w:cs="Times New Roman"/>
              </w:rPr>
            </w:pPr>
            <w:r w:rsidRPr="002B2B0B">
              <w:rPr>
                <w:rFonts w:ascii="Times New Roman" w:hAnsi="Times New Roman" w:cs="Times New Roman"/>
              </w:rPr>
              <w:t>IDAC (1932a, p. 4) notes that “Under the White Paper procedure, duties were imposed for a period of five years […] at the rate of 16.66% on packing and wrapping paper”.</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Canvas Good Sack</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IDAC (1932b, p. 9), CET (1935, p. 58). Hutchinson (1965, p. 180) </w:t>
            </w:r>
            <w:r>
              <w:rPr>
                <w:rFonts w:ascii="Times New Roman" w:hAnsi="Times New Roman" w:cs="Times New Roman"/>
              </w:rPr>
              <w:t xml:space="preserve">lists this in </w:t>
            </w:r>
            <w:r w:rsidRPr="002B2B0B">
              <w:rPr>
                <w:rFonts w:ascii="Times New Roman" w:hAnsi="Times New Roman" w:cs="Times New Roman"/>
              </w:rPr>
              <w:t>Group</w:t>
            </w:r>
            <w:r>
              <w:rPr>
                <w:rFonts w:ascii="Times New Roman" w:hAnsi="Times New Roman" w:cs="Times New Roman"/>
              </w:rPr>
              <w:t xml:space="preserve"> </w:t>
            </w:r>
            <w:r w:rsidRPr="002B2B0B">
              <w:rPr>
                <w:rFonts w:ascii="Times New Roman" w:hAnsi="Times New Roman" w:cs="Times New Roman"/>
              </w:rPr>
              <w:t>VIII</w:t>
            </w:r>
            <w:r>
              <w:rPr>
                <w:rFonts w:ascii="Times New Roman" w:hAnsi="Times New Roman" w:cs="Times New Roman"/>
              </w:rPr>
              <w:t xml:space="preserve"> </w:t>
            </w:r>
            <w:r w:rsidRPr="002B2B0B">
              <w:rPr>
                <w:rFonts w:ascii="Times New Roman" w:hAnsi="Times New Roman" w:cs="Times New Roman"/>
              </w:rPr>
              <w:t>(2), “Sacks, and bags of a shape similar to sacks, wholly or partly of vegetable fibre.”</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116</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Engine Boiler Packing</w:t>
            </w:r>
          </w:p>
        </w:tc>
        <w:tc>
          <w:tcPr>
            <w:tcW w:w="1488"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This industry is not included in Cmd. 5296 (1936), Table 134, which summarises the history early- protected industries.</w:t>
            </w:r>
          </w:p>
          <w:p w:rsidR="00817EAD" w:rsidRPr="002B2B0B" w:rsidRDefault="00817EAD" w:rsidP="00CD1883">
            <w:pPr>
              <w:rPr>
                <w:rFonts w:ascii="Times New Roman" w:hAnsi="Times New Roman" w:cs="Times New Roman"/>
              </w:rPr>
            </w:pPr>
            <w:r w:rsidRPr="002B2B0B">
              <w:rPr>
                <w:rFonts w:ascii="Times New Roman" w:hAnsi="Times New Roman" w:cs="Times New Roman"/>
              </w:rPr>
              <w:t>IDAC (1932b) and CET (1935) do not report an additional tariff. Hence, by deduction, the industry is assumed to have the 10% rate imposed in 1932.</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117</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Roofing Felt</w:t>
            </w:r>
          </w:p>
        </w:tc>
        <w:tc>
          <w:tcPr>
            <w:tcW w:w="1488"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Cmd. 5296 (1936), Table 91, shows a revenue tariff from Asphalt and Bitumen of 10% under the General tariff.</w:t>
            </w: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Sector: Food, Drink &amp; Tobacco</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Grain Milling</w:t>
            </w:r>
          </w:p>
        </w:tc>
        <w:tc>
          <w:tcPr>
            <w:tcW w:w="1488"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This was Liable to duty under the 1932 Ottawa Agreements.</w:t>
            </w:r>
          </w:p>
          <w:p w:rsidR="00817EAD" w:rsidRPr="002B2B0B" w:rsidRDefault="00817EAD" w:rsidP="00CD1883">
            <w:pPr>
              <w:rPr>
                <w:rFonts w:ascii="Times New Roman" w:hAnsi="Times New Roman" w:cs="Times New Roman"/>
              </w:rPr>
            </w:pPr>
            <w:r w:rsidRPr="002B2B0B">
              <w:rPr>
                <w:rFonts w:ascii="Times New Roman" w:hAnsi="Times New Roman" w:cs="Times New Roman"/>
              </w:rPr>
              <w:t>CET (1932, p. 99): Wheat in grain receives specific duty; Maize a 10 per cent ad valorem duty.</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Bread &amp; Cakes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CET (1935, p. 30) lists this as an exemption:</w:t>
            </w:r>
          </w:p>
          <w:p w:rsidR="00817EAD" w:rsidRPr="002B2B0B" w:rsidRDefault="00817EAD" w:rsidP="00CD1883">
            <w:pPr>
              <w:rPr>
                <w:rFonts w:ascii="Times New Roman" w:hAnsi="Times New Roman" w:cs="Times New Roman"/>
              </w:rPr>
            </w:pPr>
            <w:r w:rsidRPr="002B2B0B">
              <w:rPr>
                <w:rFonts w:ascii="Times New Roman" w:hAnsi="Times New Roman" w:cs="Times New Roman"/>
              </w:rPr>
              <w:t>“Confectionary containing sugar or cocoa, being composite goods some (but not all) of the components of which are chargeable with Customs duty by or under an enactment other than the Import Duties Act, 1932, except the following articles when imported as:- Cakes and biscuits.”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Biscuit</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CET (1935, p. 30) lists this as an exemption:</w:t>
            </w:r>
          </w:p>
          <w:p w:rsidR="00817EAD" w:rsidRPr="002B2B0B" w:rsidRDefault="00817EAD" w:rsidP="00CD1883">
            <w:pPr>
              <w:rPr>
                <w:rFonts w:ascii="Times New Roman" w:hAnsi="Times New Roman" w:cs="Times New Roman"/>
              </w:rPr>
            </w:pPr>
            <w:r w:rsidRPr="002B2B0B">
              <w:rPr>
                <w:rFonts w:ascii="Times New Roman" w:hAnsi="Times New Roman" w:cs="Times New Roman"/>
              </w:rPr>
              <w:t>“Confectionary containing sugar or cocoa, being composite goods some (but not all) of the components of which are chargeable with Customs duty by or under an enactment other than the Import Duties Act, 1932, except the following articles when imported as:- Cakes and biscuits.”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Cocoa, Sugar &amp; Confectionary</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Pr>
                <w:rFonts w:ascii="Times New Roman" w:hAnsi="Times New Roman" w:cs="Times New Roman"/>
              </w:rPr>
              <w:t>Specific duties</w:t>
            </w:r>
          </w:p>
        </w:tc>
        <w:tc>
          <w:tcPr>
            <w:tcW w:w="7375" w:type="dxa"/>
          </w:tcPr>
          <w:p w:rsidR="00817EAD" w:rsidRPr="007014A1" w:rsidRDefault="00817EAD" w:rsidP="00CD1883">
            <w:pPr>
              <w:rPr>
                <w:rFonts w:ascii="Times New Roman" w:hAnsi="Times New Roman" w:cs="Times New Roman"/>
              </w:rPr>
            </w:pPr>
            <w:r w:rsidRPr="007014A1">
              <w:rPr>
                <w:rFonts w:ascii="Times New Roman" w:hAnsi="Times New Roman" w:cs="Times New Roman"/>
              </w:rPr>
              <w:t>Cmd. 5296 (1936), Table 134: Cocoa and Sugar faced pre-war revenue tariffs that continued with amendments into the 1920s and 1930s.</w:t>
            </w:r>
          </w:p>
          <w:p w:rsidR="00817EAD" w:rsidRPr="002B2B0B" w:rsidRDefault="00817EAD" w:rsidP="00CD1883">
            <w:pPr>
              <w:rPr>
                <w:rFonts w:ascii="Times New Roman" w:hAnsi="Times New Roman" w:cs="Times New Roman"/>
                <w:b/>
              </w:rPr>
            </w:pPr>
            <w:r w:rsidRPr="007014A1">
              <w:rPr>
                <w:rFonts w:ascii="Times New Roman" w:hAnsi="Times New Roman" w:cs="Times New Roman"/>
              </w:rPr>
              <w:t>CET (1935, p. 30) notes that  Confectionary was “liable to duty at the rate of 10 per cent ad valorem in addition to any other duties (e.g., Sugar duty) payable on the goods.”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Bacon, Wring &amp; Sausage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CET (1935, p. 7) notes “Bacon […] may not be imported except under Board of Trade licence.”</w:t>
            </w:r>
          </w:p>
          <w:p w:rsidR="00817EAD" w:rsidRPr="002B2B0B" w:rsidRDefault="00817EAD" w:rsidP="00CD1883">
            <w:pPr>
              <w:rPr>
                <w:rFonts w:ascii="Times New Roman" w:hAnsi="Times New Roman" w:cs="Times New Roman"/>
              </w:rPr>
            </w:pPr>
            <w:r w:rsidRPr="002B2B0B">
              <w:rPr>
                <w:rFonts w:ascii="Times New Roman" w:hAnsi="Times New Roman" w:cs="Times New Roman"/>
              </w:rPr>
              <w:t>CET (1935, p. 29): Sausages liable to additional duty from 1932</w:t>
            </w:r>
            <w:r>
              <w:rPr>
                <w:rFonts w:ascii="Times New Roman" w:hAnsi="Times New Roman" w:cs="Times New Roman"/>
              </w:rPr>
              <w:t>.</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206</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Preserved Foods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25%</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IDAC (1932b, p. 4), CET (1935, p. 24; p. 28). </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Hutchison (1965, p. 175) lists additional tariffs for this category as Class I(4)-(5): </w:t>
            </w:r>
          </w:p>
          <w:p w:rsidR="00817EAD" w:rsidRPr="002B2B0B" w:rsidRDefault="00817EAD" w:rsidP="00CD1883">
            <w:pPr>
              <w:rPr>
                <w:rFonts w:ascii="Times New Roman" w:hAnsi="Times New Roman" w:cs="Times New Roman"/>
              </w:rPr>
            </w:pPr>
            <w:r w:rsidRPr="002B2B0B">
              <w:rPr>
                <w:rFonts w:ascii="Times New Roman" w:hAnsi="Times New Roman" w:cs="Times New Roman"/>
              </w:rPr>
              <w:t>“(4) Fruit preserved by chemicals or artificial heat, other than fruit preserved in sugar. [25%]</w:t>
            </w:r>
          </w:p>
          <w:p w:rsidR="00817EAD" w:rsidRPr="002B2B0B" w:rsidRDefault="00817EAD" w:rsidP="00CD1883">
            <w:pPr>
              <w:rPr>
                <w:rFonts w:ascii="Times New Roman" w:hAnsi="Times New Roman" w:cs="Times New Roman"/>
              </w:rPr>
            </w:pPr>
            <w:r w:rsidRPr="002B2B0B">
              <w:rPr>
                <w:rFonts w:ascii="Times New Roman" w:hAnsi="Times New Roman" w:cs="Times New Roman"/>
              </w:rPr>
              <w:t>“(5) Vegetables (other than tomatoes) preserved in air-tight containers, but not including pickles and vegetables preserved in vinegar. [20%]”</w:t>
            </w:r>
          </w:p>
          <w:p w:rsidR="00817EAD" w:rsidRPr="002B2B0B" w:rsidRDefault="00817EAD" w:rsidP="00CD1883">
            <w:pPr>
              <w:rPr>
                <w:rFonts w:ascii="Times New Roman" w:hAnsi="Times New Roman" w:cs="Times New Roman"/>
              </w:rPr>
            </w:pPr>
            <w:r w:rsidRPr="002B2B0B">
              <w:rPr>
                <w:rFonts w:ascii="Times New Roman" w:hAnsi="Times New Roman" w:cs="Times New Roman"/>
              </w:rPr>
              <w:t>CET (1935, p. 28): Fruit preserved in sugar or syrup “chargeable with Sugar duty plus a duty of 25 per cent ad valorem.”</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207</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Butter &amp; Cheese</w:t>
            </w:r>
          </w:p>
        </w:tc>
        <w:tc>
          <w:tcPr>
            <w:tcW w:w="1488"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15%</w:t>
            </w:r>
          </w:p>
        </w:tc>
        <w:tc>
          <w:tcPr>
            <w:tcW w:w="7375" w:type="dxa"/>
            <w:shd w:val="clear" w:color="auto" w:fill="auto"/>
          </w:tcPr>
          <w:p w:rsidR="00817EAD" w:rsidRPr="007014A1" w:rsidRDefault="00817EAD" w:rsidP="00CD1883">
            <w:pPr>
              <w:rPr>
                <w:rFonts w:ascii="Times New Roman" w:hAnsi="Times New Roman" w:cs="Times New Roman"/>
              </w:rPr>
            </w:pPr>
            <w:r w:rsidRPr="007014A1">
              <w:rPr>
                <w:rFonts w:ascii="Times New Roman" w:hAnsi="Times New Roman" w:cs="Times New Roman"/>
              </w:rPr>
              <w:t xml:space="preserve">Butter and cheese were subject to a duty on foreign goods and imperial preference (with free entry) under the Ottawa Agreements Act, 1932 (CET, 1935, p. 99; NIESR, 1945, p.47): </w:t>
            </w:r>
          </w:p>
          <w:p w:rsidR="00817EAD" w:rsidRPr="007014A1" w:rsidRDefault="00817EAD" w:rsidP="00CD1883">
            <w:pPr>
              <w:rPr>
                <w:rFonts w:ascii="Times New Roman" w:hAnsi="Times New Roman" w:cs="Times New Roman"/>
              </w:rPr>
            </w:pPr>
            <w:r w:rsidRPr="007014A1">
              <w:rPr>
                <w:rFonts w:ascii="Times New Roman" w:hAnsi="Times New Roman" w:cs="Times New Roman"/>
              </w:rPr>
              <w:t>“On butter there is a specific duty of 15</w:t>
            </w:r>
            <w:r w:rsidRPr="007014A1">
              <w:rPr>
                <w:rFonts w:ascii="Times New Roman" w:hAnsi="Times New Roman" w:cs="Times New Roman"/>
                <w:i/>
              </w:rPr>
              <w:t>s</w:t>
            </w:r>
            <w:r w:rsidRPr="007014A1">
              <w:rPr>
                <w:rFonts w:ascii="Times New Roman" w:hAnsi="Times New Roman" w:cs="Times New Roman"/>
              </w:rPr>
              <w:t xml:space="preserve">. per cwt. and on cheese an </w:t>
            </w:r>
            <w:r w:rsidRPr="007014A1">
              <w:rPr>
                <w:rFonts w:ascii="Times New Roman" w:hAnsi="Times New Roman" w:cs="Times New Roman"/>
                <w:i/>
              </w:rPr>
              <w:t>ad valorem</w:t>
            </w:r>
            <w:r w:rsidRPr="007014A1">
              <w:rPr>
                <w:rFonts w:ascii="Times New Roman" w:hAnsi="Times New Roman" w:cs="Times New Roman"/>
              </w:rPr>
              <w:t xml:space="preserve"> rate of 15%.”</w:t>
            </w:r>
          </w:p>
          <w:p w:rsidR="00817EAD" w:rsidRPr="002B2B0B" w:rsidRDefault="00817EAD" w:rsidP="00CD1883">
            <w:pPr>
              <w:rPr>
                <w:rFonts w:ascii="Times New Roman" w:hAnsi="Times New Roman" w:cs="Times New Roman"/>
              </w:rPr>
            </w:pPr>
            <w:r w:rsidRPr="007014A1">
              <w:rPr>
                <w:rFonts w:ascii="Times New Roman" w:hAnsi="Times New Roman" w:cs="Times New Roman"/>
              </w:rPr>
              <w:t>The tariff revenue data reported in Cmd. 5296 (1936) suggest that import tariff revenues from foreign countries collapsed following Ottawa.</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208</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Fish Curing</w:t>
            </w:r>
          </w:p>
        </w:tc>
        <w:tc>
          <w:tcPr>
            <w:tcW w:w="1488"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Cmd. 5296 (1936), Table 83 reports disaggregated revenue tariffs from cured or salted fish at 10-12% in the period 1932-5 suggesting that the 10% rate was dominant for this category.</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209</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Cattle, Dog &amp; Poultry</w:t>
            </w:r>
          </w:p>
        </w:tc>
        <w:tc>
          <w:tcPr>
            <w:tcW w:w="1488"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There are some restrictions on the import of live animals (CET, 1935, p. 7). Cmd. 5296 (1936), Table 83 reports disaggregated revenue tariffs from poultry and live animals at 10% for the  period 1932-5.</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210</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Ice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No reference to Ice in any additional rate list or in any exemption list. Hence, by deduction, the industry is assumed to have the 10% rate imposed in 1932.</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211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Sugar &amp; Glucose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Pr>
                <w:rFonts w:ascii="Times New Roman" w:hAnsi="Times New Roman" w:cs="Times New Roman"/>
              </w:rPr>
              <w:t>Specific duties</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Cmd. 5296 (1936), Table 134: Sugar faced pre-war revenue tariffs that continued with amendments into the 1920s and 1930s.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212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Brewing &amp; Malting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Pr>
                <w:rFonts w:ascii="Times New Roman" w:hAnsi="Times New Roman" w:cs="Times New Roman"/>
              </w:rPr>
              <w:t>Specific duties</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Cmd. 5296 (1936), Table 134 lists the pre-war specific duties affecting this industry together with the amendments during the 1920s and 1930s.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213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Spirit Rectifying etc.</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Pr>
                <w:rFonts w:ascii="Times New Roman" w:hAnsi="Times New Roman" w:cs="Times New Roman"/>
              </w:rPr>
              <w:t>Specific duties</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Cmd. 5296 (1936), Table 134 lists the pre-war specific duties affecting this industry together with the amendments during the 1920s and 1930s.</w:t>
            </w:r>
          </w:p>
          <w:p w:rsidR="00817EAD" w:rsidRPr="002B2B0B" w:rsidRDefault="00817EAD" w:rsidP="00CD1883">
            <w:pPr>
              <w:rPr>
                <w:rFonts w:ascii="Times New Roman" w:hAnsi="Times New Roman" w:cs="Times New Roman"/>
              </w:rPr>
            </w:pPr>
            <w:r w:rsidRPr="002B2B0B">
              <w:rPr>
                <w:rFonts w:ascii="Times New Roman" w:hAnsi="Times New Roman" w:cs="Times New Roman"/>
              </w:rPr>
              <w:t>NIESR (1945, p. 49):</w:t>
            </w:r>
          </w:p>
          <w:p w:rsidR="00817EAD" w:rsidRPr="002B2B0B" w:rsidRDefault="00817EAD" w:rsidP="00CD1883">
            <w:pPr>
              <w:rPr>
                <w:rFonts w:ascii="Times New Roman" w:hAnsi="Times New Roman" w:cs="Times New Roman"/>
              </w:rPr>
            </w:pPr>
            <w:r w:rsidRPr="002B2B0B">
              <w:rPr>
                <w:rFonts w:ascii="Times New Roman" w:hAnsi="Times New Roman" w:cs="Times New Roman"/>
              </w:rPr>
              <w:t>“There are specific duties […] on the following spirits when imported in cask after having been warehoused for three years or more: brandy and rum, sweetened and unsweetened liquors, cordials and mixtures, imitation rum, Geneva, naptha, and methyl alcohol.”</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214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Wholesale Bottling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5) and CET (1935, p. 33).</w:t>
            </w:r>
          </w:p>
          <w:p w:rsidR="00817EAD" w:rsidRPr="002B2B0B" w:rsidRDefault="00817EAD" w:rsidP="00CD1883">
            <w:pPr>
              <w:rPr>
                <w:rFonts w:ascii="Times New Roman" w:hAnsi="Times New Roman" w:cs="Times New Roman"/>
              </w:rPr>
            </w:pPr>
            <w:r w:rsidRPr="002B2B0B">
              <w:rPr>
                <w:rFonts w:ascii="Times New Roman" w:hAnsi="Times New Roman" w:cs="Times New Roman"/>
              </w:rPr>
              <w:t>Hutchison (1965, pp. 176-177)  reports an additional tariff for:</w:t>
            </w:r>
          </w:p>
          <w:p w:rsidR="00817EAD" w:rsidRPr="002B2B0B" w:rsidRDefault="00817EAD" w:rsidP="00CD1883">
            <w:pPr>
              <w:rPr>
                <w:rFonts w:ascii="Times New Roman" w:hAnsi="Times New Roman" w:cs="Times New Roman"/>
              </w:rPr>
            </w:pPr>
            <w:r w:rsidRPr="002B2B0B">
              <w:rPr>
                <w:rFonts w:ascii="Times New Roman" w:hAnsi="Times New Roman" w:cs="Times New Roman"/>
              </w:rPr>
              <w:t>“Glass bottles and glass jars, including glass stoppers, but not including scientific glassware.”</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215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Aeriated Water etc.</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shd w:val="clear" w:color="auto" w:fill="auto"/>
          </w:tcPr>
          <w:p w:rsidR="00817EAD" w:rsidRPr="002B2B0B" w:rsidRDefault="00817EAD" w:rsidP="00CD1883">
            <w:pPr>
              <w:rPr>
                <w:rFonts w:ascii="Times New Roman" w:hAnsi="Times New Roman" w:cs="Times New Roman"/>
              </w:rPr>
            </w:pPr>
            <w:r>
              <w:rPr>
                <w:rFonts w:ascii="Times New Roman" w:hAnsi="Times New Roman" w:cs="Times New Roman"/>
              </w:rPr>
              <w:t>Specific duties</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(CET, 1935, p. 222) mentions </w:t>
            </w:r>
            <w:r>
              <w:rPr>
                <w:rFonts w:ascii="Times New Roman" w:hAnsi="Times New Roman" w:cs="Times New Roman"/>
              </w:rPr>
              <w:t>t</w:t>
            </w:r>
            <w:r w:rsidRPr="002B2B0B">
              <w:rPr>
                <w:rFonts w:ascii="Times New Roman" w:hAnsi="Times New Roman" w:cs="Times New Roman"/>
              </w:rPr>
              <w:t>able water as being subject to a specific duty.</w:t>
            </w:r>
          </w:p>
          <w:p w:rsidR="00817EAD" w:rsidRPr="002B2B0B" w:rsidRDefault="00817EAD" w:rsidP="00CD1883">
            <w:pPr>
              <w:rPr>
                <w:rFonts w:ascii="Times New Roman" w:hAnsi="Times New Roman" w:cs="Times New Roman"/>
              </w:rPr>
            </w:pPr>
            <w:r w:rsidRPr="002B2B0B">
              <w:rPr>
                <w:rFonts w:ascii="Times New Roman" w:hAnsi="Times New Roman" w:cs="Times New Roman"/>
              </w:rPr>
              <w:t>Cmd. 5296 (1936), Table 134 notes a specific duty of 8d  per gallon introduced on 1</w:t>
            </w:r>
            <w:r w:rsidRPr="002B2B0B">
              <w:rPr>
                <w:rFonts w:ascii="Times New Roman" w:hAnsi="Times New Roman" w:cs="Times New Roman"/>
                <w:vertAlign w:val="superscript"/>
              </w:rPr>
              <w:t>st</w:t>
            </w:r>
            <w:r w:rsidRPr="002B2B0B">
              <w:rPr>
                <w:rFonts w:ascii="Times New Roman" w:hAnsi="Times New Roman" w:cs="Times New Roman"/>
              </w:rPr>
              <w:t xml:space="preserve"> May 1916 and cont</w:t>
            </w:r>
            <w:r>
              <w:rPr>
                <w:rFonts w:ascii="Times New Roman" w:hAnsi="Times New Roman" w:cs="Times New Roman"/>
              </w:rPr>
              <w:t>inued into the 1920s and 1930s.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216</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Spirit Distilling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Pr>
                <w:rFonts w:ascii="Times New Roman" w:hAnsi="Times New Roman" w:cs="Times New Roman"/>
              </w:rPr>
              <w:t>Specific duties</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Cmd. 5296 (1936), Table 134 lists the pre-war specific duties affecting this industry together with the amendments during the 1920s and 1930s. This is confirmed by NIESR (1945, p. 49):</w:t>
            </w:r>
            <w:r>
              <w:rPr>
                <w:rFonts w:ascii="Times New Roman" w:hAnsi="Times New Roman" w:cs="Times New Roman"/>
              </w:rPr>
              <w:t xml:space="preserve"> </w:t>
            </w:r>
            <w:r w:rsidRPr="002B2B0B">
              <w:rPr>
                <w:rFonts w:ascii="Times New Roman" w:hAnsi="Times New Roman" w:cs="Times New Roman"/>
              </w:rPr>
              <w:t>“There are specific duties […] on the following spirits when imported in cask after having been warehoused for three years or more: brandy and rum, sweetened and unsweetened liqueurs, cordials and mixtures, imitation rum, Geneva, naptha, and methyl alcohol.”</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217</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Tobacco</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Pr>
                <w:rFonts w:ascii="Times New Roman" w:hAnsi="Times New Roman" w:cs="Times New Roman"/>
              </w:rPr>
              <w:t>Specific duties</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Cmd. 5296 (1936), Table 134 lists the pre-war specific duties affecting this industry together with the amendments during the 1920s and 1930s. This is confirmed by NIESR (1945, p. 50):</w:t>
            </w:r>
          </w:p>
          <w:p w:rsidR="00817EAD" w:rsidRPr="002B2B0B" w:rsidRDefault="00817EAD" w:rsidP="00CD1883">
            <w:pPr>
              <w:rPr>
                <w:rFonts w:ascii="Times New Roman" w:hAnsi="Times New Roman" w:cs="Times New Roman"/>
              </w:rPr>
            </w:pPr>
            <w:r w:rsidRPr="002B2B0B">
              <w:rPr>
                <w:rFonts w:ascii="Times New Roman" w:hAnsi="Times New Roman" w:cs="Times New Roman"/>
              </w:rPr>
              <w:t>“On unmanufactured tobacco the duties are 9</w:t>
            </w:r>
            <w:r w:rsidRPr="002B2B0B">
              <w:rPr>
                <w:rFonts w:ascii="Times New Roman" w:hAnsi="Times New Roman" w:cs="Times New Roman"/>
                <w:i/>
              </w:rPr>
              <w:t>s</w:t>
            </w:r>
            <w:r w:rsidRPr="002B2B0B">
              <w:rPr>
                <w:rFonts w:ascii="Times New Roman" w:hAnsi="Times New Roman" w:cs="Times New Roman"/>
              </w:rPr>
              <w:t>. 6</w:t>
            </w:r>
            <w:r w:rsidRPr="002B2B0B">
              <w:rPr>
                <w:rFonts w:ascii="Times New Roman" w:hAnsi="Times New Roman" w:cs="Times New Roman"/>
                <w:i/>
              </w:rPr>
              <w:t>d</w:t>
            </w:r>
            <w:r w:rsidRPr="002B2B0B">
              <w:rPr>
                <w:rFonts w:ascii="Times New Roman" w:hAnsi="Times New Roman" w:cs="Times New Roman"/>
              </w:rPr>
              <w:t>. or 10</w:t>
            </w:r>
            <w:r w:rsidRPr="002B2B0B">
              <w:rPr>
                <w:rFonts w:ascii="Times New Roman" w:hAnsi="Times New Roman" w:cs="Times New Roman"/>
                <w:i/>
              </w:rPr>
              <w:t>s</w:t>
            </w:r>
            <w:r w:rsidRPr="002B2B0B">
              <w:rPr>
                <w:rFonts w:ascii="Times New Roman" w:hAnsi="Times New Roman" w:cs="Times New Roman"/>
              </w:rPr>
              <w:t>. 6</w:t>
            </w:r>
            <w:r w:rsidRPr="002B2B0B">
              <w:rPr>
                <w:rFonts w:ascii="Times New Roman" w:hAnsi="Times New Roman" w:cs="Times New Roman"/>
                <w:i/>
              </w:rPr>
              <w:t>d</w:t>
            </w:r>
            <w:r w:rsidRPr="002B2B0B">
              <w:rPr>
                <w:rFonts w:ascii="Times New Roman" w:hAnsi="Times New Roman" w:cs="Times New Roman"/>
              </w:rPr>
              <w:t>. when unstripped, and an extra 1/2</w:t>
            </w:r>
            <w:r w:rsidRPr="002B2B0B">
              <w:rPr>
                <w:rFonts w:ascii="Times New Roman" w:hAnsi="Times New Roman" w:cs="Times New Roman"/>
                <w:i/>
              </w:rPr>
              <w:t>d</w:t>
            </w:r>
            <w:r w:rsidRPr="002B2B0B">
              <w:rPr>
                <w:rFonts w:ascii="Times New Roman" w:hAnsi="Times New Roman" w:cs="Times New Roman"/>
              </w:rPr>
              <w:t>. when stripped. The higher duties are charged when the tobacco contains less than 10% of moisture.”</w:t>
            </w: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Sector: Clothing</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Tailoring &amp; Dressmaking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9), CET (1935, p. 59). Hutchinson (1965, p. 181) Group IX(1) reports an additional duty for “Articles of apparel of all kinds”.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Boot &amp; Shoe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9), CET (1935, p. 59). Hutchinson (1965, p. 181): Group IX(2) reports an additional duty for “Boots, bootees, shoes, over-shoes, slippers and sandals of all descriptions and of whatever material, finished or unfinished, and shaped parts and laces therefor.”</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Hat &amp; Cap</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9), CET (1935, p. 59 and p. 61). Hutchinson (1965, p. 181): Group IX(1) reports an additional duty for  “Articles of apparel of all kinds”.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304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Gloves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p w:rsidR="00817EAD" w:rsidRPr="002B2B0B" w:rsidRDefault="00817EAD" w:rsidP="00CD1883">
            <w:pPr>
              <w:rPr>
                <w:rFonts w:ascii="Times New Roman" w:hAnsi="Times New Roman" w:cs="Times New Roman"/>
              </w:rPr>
            </w:pPr>
            <w:r w:rsidRPr="002B2B0B">
              <w:rPr>
                <w:rFonts w:ascii="Times New Roman" w:hAnsi="Times New Roman" w:cs="Times New Roman"/>
              </w:rPr>
              <w:t>30%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Cmd. 5296 (1936), Table 134 lists Gloves as Key Industry Duty. This was renewed at 33.3% </w:t>
            </w:r>
            <w:r w:rsidRPr="002B2B0B">
              <w:rPr>
                <w:rFonts w:ascii="Times New Roman" w:hAnsi="Times New Roman" w:cs="Times New Roman"/>
                <w:i/>
              </w:rPr>
              <w:t>ad valorem</w:t>
            </w:r>
            <w:r w:rsidRPr="002B2B0B">
              <w:rPr>
                <w:rFonts w:ascii="Times New Roman" w:hAnsi="Times New Roman" w:cs="Times New Roman"/>
              </w:rPr>
              <w:t xml:space="preserve"> on 22 December 1925 and lapsed in 21 December 1930. During the 1930s this came under the remit of the General Tariff. CET (1935, p. 61) lists this in Group IX (4) and (5) as an Additional Duty from 1932.</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305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Umbrellas &amp; Walking Sticks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14), CET (1935, p. 79).  Hutchison (1965, p. 186), Group XVI(20-21) reports an additional duty for:</w:t>
            </w:r>
            <w:r w:rsidRPr="002B2B0B">
              <w:rPr>
                <w:rFonts w:ascii="Times New Roman" w:hAnsi="Times New Roman" w:cs="Times New Roman"/>
              </w:rPr>
              <w:br/>
              <w:t>“(20) Umbrella and sunshades and covers, and parts are fittings therefor.</w:t>
            </w:r>
          </w:p>
          <w:p w:rsidR="00817EAD" w:rsidRPr="002B2B0B" w:rsidRDefault="00817EAD" w:rsidP="00CD1883">
            <w:pPr>
              <w:rPr>
                <w:rFonts w:ascii="Times New Roman" w:hAnsi="Times New Roman" w:cs="Times New Roman"/>
              </w:rPr>
            </w:pPr>
            <w:r w:rsidRPr="002B2B0B">
              <w:rPr>
                <w:rFonts w:ascii="Times New Roman" w:hAnsi="Times New Roman" w:cs="Times New Roman"/>
              </w:rPr>
              <w:t>“(21) Walking sticks (including canes) and parts and fittings therefor.”</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306</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Fur</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13), CET (1935, p. 74). Hutchison (1965, p. 185), Group XVI(6-7) reports an additional duty for:</w:t>
            </w:r>
          </w:p>
          <w:p w:rsidR="00817EAD" w:rsidRPr="002B2B0B" w:rsidRDefault="00817EAD" w:rsidP="00CD1883">
            <w:pPr>
              <w:rPr>
                <w:rFonts w:ascii="Times New Roman" w:hAnsi="Times New Roman" w:cs="Times New Roman"/>
              </w:rPr>
            </w:pPr>
            <w:r w:rsidRPr="002B2B0B">
              <w:rPr>
                <w:rFonts w:ascii="Times New Roman" w:hAnsi="Times New Roman" w:cs="Times New Roman"/>
              </w:rPr>
              <w:t>“(6) Fur and other skins, including pieces (dressed), except leather. [15%]</w:t>
            </w:r>
          </w:p>
          <w:p w:rsidR="00817EAD" w:rsidRPr="002B2B0B" w:rsidRDefault="00817EAD" w:rsidP="00CD1883">
            <w:pPr>
              <w:rPr>
                <w:rFonts w:ascii="Times New Roman" w:hAnsi="Times New Roman" w:cs="Times New Roman"/>
              </w:rPr>
            </w:pPr>
            <w:r w:rsidRPr="002B2B0B">
              <w:rPr>
                <w:rFonts w:ascii="Times New Roman" w:hAnsi="Times New Roman" w:cs="Times New Roman"/>
              </w:rPr>
              <w:t>“(7) Goods manufactured wholly or partly of fur skin, including any skin with fur, hair or wool attached. [30%]”</w:t>
            </w: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 xml:space="preserve">Sector: Iron </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Blast Furnace</w:t>
            </w:r>
            <w:r w:rsidRPr="0051233D">
              <w:rPr>
                <w:rStyle w:val="Heading4Char"/>
                <w:rFonts w:ascii="Times New Roman" w:hAnsi="Times New Roman" w:cs="Times New Roman"/>
                <w:b w:val="0"/>
                <w:i w:val="0"/>
                <w:vertAlign w:val="superscript"/>
              </w:rPr>
              <w:footnoteReference w:id="18"/>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 44):</w:t>
            </w:r>
            <w:r>
              <w:rPr>
                <w:rFonts w:ascii="Times New Roman" w:hAnsi="Times New Roman" w:cs="Times New Roman"/>
              </w:rPr>
              <w:t xml:space="preserve"> </w:t>
            </w:r>
            <w:r w:rsidRPr="002B2B0B">
              <w:rPr>
                <w:rFonts w:ascii="Times New Roman" w:hAnsi="Times New Roman" w:cs="Times New Roman"/>
              </w:rPr>
              <w:t xml:space="preserve">“Duties of 33.3% </w:t>
            </w:r>
            <w:r w:rsidRPr="002B2B0B">
              <w:rPr>
                <w:rFonts w:ascii="Times New Roman" w:hAnsi="Times New Roman" w:cs="Times New Roman"/>
                <w:i/>
              </w:rPr>
              <w:t>ad valorem</w:t>
            </w:r>
            <w:r w:rsidRPr="002B2B0B">
              <w:rPr>
                <w:rFonts w:ascii="Times New Roman" w:hAnsi="Times New Roman" w:cs="Times New Roman"/>
              </w:rPr>
              <w:t xml:space="preserve"> are charges on spiegeleisen and most types of pig iron.”</w:t>
            </w:r>
            <w:r w:rsidRPr="0051233D">
              <w:rPr>
                <w:rStyle w:val="Heading4Char"/>
                <w:rFonts w:ascii="Times New Roman" w:hAnsi="Times New Roman" w:cs="Times New Roman"/>
                <w:b w:val="0"/>
                <w:i w:val="0"/>
                <w:vertAlign w:val="superscript"/>
              </w:rPr>
              <w:footnoteReference w:id="19"/>
            </w:r>
            <w:r w:rsidRPr="0051233D">
              <w:rPr>
                <w:rFonts w:ascii="Times New Roman" w:hAnsi="Times New Roman" w:cs="Times New Roman"/>
                <w:b/>
                <w:i/>
                <w:vertAlign w:val="superscript"/>
              </w:rPr>
              <w:t>,</w:t>
            </w:r>
            <w:r w:rsidRPr="0051233D">
              <w:rPr>
                <w:rStyle w:val="Heading4Char"/>
                <w:rFonts w:ascii="Times New Roman" w:hAnsi="Times New Roman" w:cs="Times New Roman"/>
                <w:b w:val="0"/>
                <w:i w:val="0"/>
                <w:vertAlign w:val="superscript"/>
              </w:rPr>
              <w:footnoteReference w:id="20"/>
            </w:r>
            <w:r>
              <w:rPr>
                <w:rFonts w:ascii="Times New Roman" w:hAnsi="Times New Roman" w:cs="Times New Roman"/>
                <w:vertAlign w:val="superscript"/>
              </w:rPr>
              <w:t xml:space="preserve"> </w:t>
            </w:r>
            <w:r w:rsidRPr="002B2B0B">
              <w:rPr>
                <w:rFonts w:ascii="Times New Roman" w:hAnsi="Times New Roman" w:cs="Times New Roman"/>
              </w:rPr>
              <w:t>CET (1935, p. 86): Schedule II.</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Smelting &amp; Rolling</w:t>
            </w:r>
            <w:r w:rsidRPr="0051233D">
              <w:rPr>
                <w:rStyle w:val="Heading4Char"/>
                <w:rFonts w:ascii="Times New Roman" w:hAnsi="Times New Roman" w:cs="Times New Roman"/>
                <w:b w:val="0"/>
                <w:i w:val="0"/>
                <w:vertAlign w:val="superscript"/>
              </w:rPr>
              <w:footnoteReference w:id="21"/>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14), CET (1935, pp. 81-84). Hutchison (1965, p. 186), Schedule II(2) reports an additional duty for:</w:t>
            </w:r>
            <w:r>
              <w:rPr>
                <w:rFonts w:ascii="Times New Roman" w:hAnsi="Times New Roman" w:cs="Times New Roman"/>
              </w:rPr>
              <w:t xml:space="preserve"> </w:t>
            </w:r>
            <w:r w:rsidRPr="002B2B0B">
              <w:rPr>
                <w:rFonts w:ascii="Times New Roman" w:hAnsi="Times New Roman" w:cs="Times New Roman"/>
              </w:rPr>
              <w:t>“Iron and Steel (other than pig iron, but including alloy steel) of the following descriptions:</w:t>
            </w:r>
          </w:p>
          <w:p w:rsidR="00817EAD" w:rsidRPr="002B2B0B" w:rsidRDefault="00817EAD" w:rsidP="00CD1883">
            <w:pPr>
              <w:rPr>
                <w:rFonts w:ascii="Times New Roman" w:hAnsi="Times New Roman" w:cs="Times New Roman"/>
              </w:rPr>
            </w:pPr>
            <w:r w:rsidRPr="002B2B0B">
              <w:rPr>
                <w:rFonts w:ascii="Times New Roman" w:hAnsi="Times New Roman" w:cs="Times New Roman"/>
              </w:rPr>
              <w:t>“(i) Ingots […]</w:t>
            </w:r>
          </w:p>
          <w:p w:rsidR="00817EAD" w:rsidRPr="002B2B0B" w:rsidRDefault="00817EAD" w:rsidP="00CD1883">
            <w:pPr>
              <w:rPr>
                <w:rFonts w:ascii="Times New Roman" w:hAnsi="Times New Roman" w:cs="Times New Roman"/>
              </w:rPr>
            </w:pPr>
            <w:r w:rsidRPr="002B2B0B">
              <w:rPr>
                <w:rFonts w:ascii="Times New Roman" w:hAnsi="Times New Roman" w:cs="Times New Roman"/>
              </w:rPr>
              <w:t>“(iii) Sheet and tinplate bars.</w:t>
            </w:r>
          </w:p>
          <w:p w:rsidR="00817EAD" w:rsidRPr="002B2B0B" w:rsidRDefault="00817EAD" w:rsidP="00CD1883">
            <w:pPr>
              <w:rPr>
                <w:rFonts w:ascii="Times New Roman" w:hAnsi="Times New Roman" w:cs="Times New Roman"/>
              </w:rPr>
            </w:pPr>
            <w:r w:rsidRPr="002B2B0B">
              <w:rPr>
                <w:rFonts w:ascii="Times New Roman" w:hAnsi="Times New Roman" w:cs="Times New Roman"/>
              </w:rPr>
              <w:t>“(iv) Bars, rods, angles, shapes and sections of all kinds, whether fabricated or not.”</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Foundries</w:t>
            </w:r>
            <w:r w:rsidRPr="0051233D">
              <w:rPr>
                <w:rStyle w:val="Heading4Char"/>
                <w:rFonts w:ascii="Times New Roman" w:hAnsi="Times New Roman" w:cs="Times New Roman"/>
                <w:b w:val="0"/>
                <w:i w:val="0"/>
                <w:vertAlign w:val="superscript"/>
              </w:rPr>
              <w:footnoteReference w:id="22"/>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14), CET (1935, p. 85). Hutchison (1965, p. 186), Schedule II(2) reports an additional duty for:</w:t>
            </w:r>
            <w:r>
              <w:rPr>
                <w:rFonts w:ascii="Times New Roman" w:hAnsi="Times New Roman" w:cs="Times New Roman"/>
              </w:rPr>
              <w:t xml:space="preserve"> </w:t>
            </w:r>
            <w:r w:rsidRPr="002B2B0B">
              <w:rPr>
                <w:rFonts w:ascii="Times New Roman" w:hAnsi="Times New Roman" w:cs="Times New Roman"/>
              </w:rPr>
              <w:t>“Iron and Steel (other than pig iron, but including alloy steel) of the following descriptions: […]</w:t>
            </w:r>
          </w:p>
          <w:p w:rsidR="00817EAD" w:rsidRPr="002B2B0B" w:rsidRDefault="00817EAD" w:rsidP="00CD1883">
            <w:pPr>
              <w:rPr>
                <w:rFonts w:ascii="Times New Roman" w:hAnsi="Times New Roman" w:cs="Times New Roman"/>
              </w:rPr>
            </w:pPr>
            <w:r w:rsidRPr="002B2B0B">
              <w:rPr>
                <w:rFonts w:ascii="Times New Roman" w:hAnsi="Times New Roman" w:cs="Times New Roman"/>
              </w:rPr>
              <w:t>“(vi) Casting, in the rough or machined”.</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404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Tinplate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14), CET (1935, p. 83). and Hutchison (1965, p. 186): Schedule II(2) reports an additional duty for:</w:t>
            </w:r>
            <w:r>
              <w:rPr>
                <w:rFonts w:ascii="Times New Roman" w:hAnsi="Times New Roman" w:cs="Times New Roman"/>
              </w:rPr>
              <w:t xml:space="preserve"> </w:t>
            </w:r>
            <w:r w:rsidRPr="002B2B0B">
              <w:rPr>
                <w:rFonts w:ascii="Times New Roman" w:hAnsi="Times New Roman" w:cs="Times New Roman"/>
              </w:rPr>
              <w:t>“Iron and Steel (other than pig iron, but including alloy steel) of the following descriptions: […]</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 “(iii) Sheet and tinplate bars.”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405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Wrought Iron &amp; Steel</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6), CET (1935, p. 37). Hutchison (1965, p. 177), Group II(6) reports an additional duty for:</w:t>
            </w:r>
            <w:r>
              <w:rPr>
                <w:rFonts w:ascii="Times New Roman" w:hAnsi="Times New Roman" w:cs="Times New Roman"/>
              </w:rPr>
              <w:t xml:space="preserve"> </w:t>
            </w:r>
            <w:r w:rsidRPr="002B2B0B">
              <w:rPr>
                <w:rFonts w:ascii="Times New Roman" w:hAnsi="Times New Roman" w:cs="Times New Roman"/>
              </w:rPr>
              <w:t>“Iron and Steel products” regularly constructed with wrought iron and steel.</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406</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Wire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6</w:t>
            </w:r>
            <w:r w:rsidR="007D5E0C" w:rsidRPr="002B2B0B">
              <w:rPr>
                <w:rFonts w:ascii="Times New Roman" w:hAnsi="Times New Roman" w:cs="Times New Roman"/>
              </w:rPr>
              <w:t>),</w:t>
            </w:r>
            <w:r w:rsidRPr="002B2B0B">
              <w:rPr>
                <w:rFonts w:ascii="Times New Roman" w:hAnsi="Times New Roman" w:cs="Times New Roman"/>
              </w:rPr>
              <w:t xml:space="preserve"> CET (1935, p. 37) Hutchison (1965, p. 177), Group </w:t>
            </w:r>
            <w:r w:rsidR="007D5E0C" w:rsidRPr="002B2B0B">
              <w:rPr>
                <w:rFonts w:ascii="Times New Roman" w:hAnsi="Times New Roman" w:cs="Times New Roman"/>
              </w:rPr>
              <w:t>II (</w:t>
            </w:r>
            <w:r w:rsidRPr="002B2B0B">
              <w:rPr>
                <w:rFonts w:ascii="Times New Roman" w:hAnsi="Times New Roman" w:cs="Times New Roman"/>
              </w:rPr>
              <w:t>6</w:t>
            </w:r>
            <w:r w:rsidR="007D5E0C" w:rsidRPr="002B2B0B">
              <w:rPr>
                <w:rFonts w:ascii="Times New Roman" w:hAnsi="Times New Roman" w:cs="Times New Roman"/>
              </w:rPr>
              <w:t>) (</w:t>
            </w:r>
            <w:r w:rsidRPr="002B2B0B">
              <w:rPr>
                <w:rFonts w:ascii="Times New Roman" w:hAnsi="Times New Roman" w:cs="Times New Roman"/>
              </w:rPr>
              <w:t>iv) reports an additional duty for:</w:t>
            </w:r>
            <w:r>
              <w:rPr>
                <w:rFonts w:ascii="Times New Roman" w:hAnsi="Times New Roman" w:cs="Times New Roman"/>
              </w:rPr>
              <w:t xml:space="preserve"> </w:t>
            </w:r>
            <w:r w:rsidRPr="002B2B0B">
              <w:rPr>
                <w:rFonts w:ascii="Times New Roman" w:hAnsi="Times New Roman" w:cs="Times New Roman"/>
              </w:rPr>
              <w:t>“Iron and Steel products of the following descriptions: […]</w:t>
            </w:r>
          </w:p>
          <w:p w:rsidR="00817EAD" w:rsidRPr="002B2B0B" w:rsidRDefault="00817EAD" w:rsidP="00CD1883">
            <w:pPr>
              <w:rPr>
                <w:rFonts w:ascii="Times New Roman" w:hAnsi="Times New Roman" w:cs="Times New Roman"/>
              </w:rPr>
            </w:pPr>
            <w:r w:rsidRPr="002B2B0B">
              <w:rPr>
                <w:rFonts w:ascii="Times New Roman" w:hAnsi="Times New Roman" w:cs="Times New Roman"/>
              </w:rPr>
              <w:t>“(iv) Wire, wire netting, wire nails, and cable and rope”.</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407</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Chain, Nail &amp; Screw</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6), CET (1935, pp. 37-38).  Hutchison (1965, p. 178), Group II(6)(v) reports an additional duty for:</w:t>
            </w:r>
            <w:r>
              <w:rPr>
                <w:rFonts w:ascii="Times New Roman" w:hAnsi="Times New Roman" w:cs="Times New Roman"/>
              </w:rPr>
              <w:t xml:space="preserve"> </w:t>
            </w:r>
            <w:r w:rsidRPr="002B2B0B">
              <w:rPr>
                <w:rFonts w:ascii="Times New Roman" w:hAnsi="Times New Roman" w:cs="Times New Roman"/>
              </w:rPr>
              <w:t>“Iron and Steel products of the following descriptions: […]</w:t>
            </w:r>
          </w:p>
          <w:p w:rsidR="00817EAD" w:rsidRPr="002B2B0B" w:rsidRDefault="00817EAD" w:rsidP="00CD1883">
            <w:pPr>
              <w:rPr>
                <w:rFonts w:ascii="Times New Roman" w:hAnsi="Times New Roman" w:cs="Times New Roman"/>
              </w:rPr>
            </w:pPr>
            <w:r w:rsidRPr="002B2B0B">
              <w:rPr>
                <w:rFonts w:ascii="Times New Roman" w:hAnsi="Times New Roman" w:cs="Times New Roman"/>
              </w:rPr>
              <w:t>“(v) Screws, nails, tacks, studs and spikes.”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408</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Hardware &amp; Hollowware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IDAC (1932a, p.4) notes that this was protected “Under Part II of the Safeguarding Industries Act, duties of 33.3% </w:t>
            </w:r>
            <w:r w:rsidRPr="002B2B0B">
              <w:rPr>
                <w:rFonts w:ascii="Times New Roman" w:hAnsi="Times New Roman" w:cs="Times New Roman"/>
                <w:i/>
              </w:rPr>
              <w:t>ad valorem</w:t>
            </w:r>
            <w:r w:rsidRPr="002B2B0B">
              <w:rPr>
                <w:rFonts w:ascii="Times New Roman" w:hAnsi="Times New Roman" w:cs="Times New Roman"/>
              </w:rPr>
              <w:t xml:space="preserve"> were imposed for a period of five years in […] domestic hollow-ware (aluminium and enamelled)”.</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Cmd. 5296 (1936), Table 134 notes that this was changed to 25% </w:t>
            </w:r>
            <w:r w:rsidRPr="002B2B0B">
              <w:rPr>
                <w:rFonts w:ascii="Times New Roman" w:hAnsi="Times New Roman" w:cs="Times New Roman"/>
                <w:i/>
              </w:rPr>
              <w:t>ad valorem</w:t>
            </w:r>
            <w:r w:rsidRPr="002B2B0B">
              <w:rPr>
                <w:rFonts w:ascii="Times New Roman" w:hAnsi="Times New Roman" w:cs="Times New Roman"/>
              </w:rPr>
              <w:t xml:space="preserve"> rate in 1928</w:t>
            </w:r>
            <w:r>
              <w:rPr>
                <w:rFonts w:ascii="Times New Roman" w:hAnsi="Times New Roman" w:cs="Times New Roman"/>
              </w:rPr>
              <w:t xml:space="preserve"> (this</w:t>
            </w:r>
            <w:r w:rsidRPr="002B2B0B">
              <w:rPr>
                <w:rFonts w:ascii="Times New Roman" w:hAnsi="Times New Roman" w:cs="Times New Roman"/>
              </w:rPr>
              <w:t xml:space="preserve"> lapsed on 12 June 1933</w:t>
            </w:r>
            <w:r>
              <w:rPr>
                <w:rFonts w:ascii="Times New Roman" w:hAnsi="Times New Roman" w:cs="Times New Roman"/>
              </w:rPr>
              <w:t>)</w:t>
            </w:r>
            <w:r w:rsidRPr="002B2B0B">
              <w:rPr>
                <w:rFonts w:ascii="Times New Roman" w:hAnsi="Times New Roman" w:cs="Times New Roman"/>
              </w:rPr>
              <w:t>.</w:t>
            </w:r>
          </w:p>
          <w:p w:rsidR="00817EAD" w:rsidRPr="002B2B0B" w:rsidRDefault="00817EAD" w:rsidP="00CD1883">
            <w:pPr>
              <w:rPr>
                <w:rFonts w:ascii="Times New Roman" w:hAnsi="Times New Roman" w:cs="Times New Roman"/>
              </w:rPr>
            </w:pPr>
            <w:r>
              <w:rPr>
                <w:rFonts w:ascii="Times New Roman" w:hAnsi="Times New Roman" w:cs="Times New Roman"/>
              </w:rPr>
              <w:t xml:space="preserve">In the 1930s these industries were given additional tariffs: </w:t>
            </w:r>
            <w:r w:rsidRPr="002B2B0B">
              <w:rPr>
                <w:rFonts w:ascii="Times New Roman" w:hAnsi="Times New Roman" w:cs="Times New Roman"/>
              </w:rPr>
              <w:t>IDAC (1932b, p. 6), CET (1935, p. 36) and Hutchison (1965, p. 177): Group II(2):</w:t>
            </w:r>
          </w:p>
          <w:p w:rsidR="00817EAD" w:rsidRPr="002B2B0B" w:rsidRDefault="00817EAD" w:rsidP="00CD1883">
            <w:pPr>
              <w:rPr>
                <w:rFonts w:ascii="Times New Roman" w:hAnsi="Times New Roman" w:cs="Times New Roman"/>
                <w:b/>
              </w:rPr>
            </w:pPr>
            <w:r w:rsidRPr="002B2B0B">
              <w:rPr>
                <w:rFonts w:ascii="Times New Roman" w:hAnsi="Times New Roman" w:cs="Times New Roman"/>
              </w:rPr>
              <w:t>“Hollow-ware (other than baths) of iron or steel (including tinned plate).”</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409</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Cutlery</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42C68" w:rsidRDefault="00817EAD" w:rsidP="00CD1883">
            <w:pPr>
              <w:rPr>
                <w:rFonts w:ascii="Times New Roman" w:hAnsi="Times New Roman" w:cs="Times New Roman"/>
              </w:rPr>
            </w:pPr>
            <w:r w:rsidRPr="00242C68">
              <w:rPr>
                <w:rFonts w:ascii="Times New Roman" w:hAnsi="Times New Roman" w:cs="Times New Roman"/>
              </w:rPr>
              <w:t>Cmd. 5296 (1936), Table 134</w:t>
            </w:r>
            <w:r>
              <w:rPr>
                <w:rFonts w:ascii="Times New Roman" w:hAnsi="Times New Roman" w:cs="Times New Roman"/>
              </w:rPr>
              <w:t>,</w:t>
            </w:r>
            <w:r w:rsidRPr="00242C68">
              <w:rPr>
                <w:rFonts w:ascii="Times New Roman" w:hAnsi="Times New Roman" w:cs="Times New Roman"/>
              </w:rPr>
              <w:t xml:space="preserve"> notes that this industry was protected with a 33.3% Duty from 1925 (lapsed 21 December, 1930).</w:t>
            </w:r>
          </w:p>
          <w:p w:rsidR="00817EAD" w:rsidRPr="002B2B0B" w:rsidRDefault="00817EAD" w:rsidP="00CD1883">
            <w:pPr>
              <w:rPr>
                <w:rFonts w:ascii="Times New Roman" w:hAnsi="Times New Roman" w:cs="Times New Roman"/>
              </w:rPr>
            </w:pPr>
            <w:r w:rsidRPr="00242C68">
              <w:rPr>
                <w:rFonts w:ascii="Times New Roman" w:hAnsi="Times New Roman" w:cs="Times New Roman"/>
              </w:rPr>
              <w:t>IDAC (1932b, p. 7), CET (1935, p. 44)</w:t>
            </w:r>
            <w:r>
              <w:rPr>
                <w:rFonts w:ascii="Times New Roman" w:hAnsi="Times New Roman" w:cs="Times New Roman"/>
              </w:rPr>
              <w:t xml:space="preserve"> and</w:t>
            </w:r>
            <w:r w:rsidRPr="00242C68">
              <w:rPr>
                <w:rFonts w:ascii="Times New Roman" w:hAnsi="Times New Roman" w:cs="Times New Roman"/>
              </w:rPr>
              <w:t xml:space="preserve"> Hutchison (1965, p. 178), Group </w:t>
            </w:r>
            <w:r w:rsidR="007D5E0C" w:rsidRPr="00242C68">
              <w:rPr>
                <w:rFonts w:ascii="Times New Roman" w:hAnsi="Times New Roman" w:cs="Times New Roman"/>
              </w:rPr>
              <w:t>IV (</w:t>
            </w:r>
            <w:r w:rsidRPr="00242C68">
              <w:rPr>
                <w:rFonts w:ascii="Times New Roman" w:hAnsi="Times New Roman" w:cs="Times New Roman"/>
              </w:rPr>
              <w:t xml:space="preserve">1) </w:t>
            </w:r>
            <w:r>
              <w:rPr>
                <w:rFonts w:ascii="Times New Roman" w:hAnsi="Times New Roman" w:cs="Times New Roman"/>
              </w:rPr>
              <w:t xml:space="preserve">report </w:t>
            </w:r>
            <w:r w:rsidRPr="00242C68">
              <w:rPr>
                <w:rFonts w:ascii="Times New Roman" w:hAnsi="Times New Roman" w:cs="Times New Roman"/>
              </w:rPr>
              <w:t>an additional duty for Cutlery.</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410</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Tool &amp; Implement</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7), CET (1935, p. 46)</w:t>
            </w:r>
            <w:r>
              <w:rPr>
                <w:rFonts w:ascii="Times New Roman" w:hAnsi="Times New Roman" w:cs="Times New Roman"/>
              </w:rPr>
              <w:t xml:space="preserve">. Hutchison (1965, p. 178), </w:t>
            </w:r>
            <w:r w:rsidRPr="002B2B0B">
              <w:rPr>
                <w:rFonts w:ascii="Times New Roman" w:hAnsi="Times New Roman" w:cs="Times New Roman"/>
              </w:rPr>
              <w:t xml:space="preserve">Group </w:t>
            </w:r>
            <w:r w:rsidR="007D5E0C" w:rsidRPr="002B2B0B">
              <w:rPr>
                <w:rFonts w:ascii="Times New Roman" w:hAnsi="Times New Roman" w:cs="Times New Roman"/>
              </w:rPr>
              <w:t>IV (</w:t>
            </w:r>
            <w:r w:rsidRPr="002B2B0B">
              <w:rPr>
                <w:rFonts w:ascii="Times New Roman" w:hAnsi="Times New Roman" w:cs="Times New Roman"/>
              </w:rPr>
              <w:t>4)</w:t>
            </w:r>
            <w:r>
              <w:rPr>
                <w:rFonts w:ascii="Times New Roman" w:hAnsi="Times New Roman" w:cs="Times New Roman"/>
              </w:rPr>
              <w:t xml:space="preserve"> </w:t>
            </w:r>
            <w:r w:rsidRPr="002B2B0B">
              <w:rPr>
                <w:rFonts w:ascii="Times New Roman" w:hAnsi="Times New Roman" w:cs="Times New Roman"/>
              </w:rPr>
              <w:t>reports an additional duty for:</w:t>
            </w:r>
            <w:r>
              <w:rPr>
                <w:rFonts w:ascii="Times New Roman" w:hAnsi="Times New Roman" w:cs="Times New Roman"/>
              </w:rPr>
              <w:t xml:space="preserve"> </w:t>
            </w:r>
            <w:r w:rsidRPr="002B2B0B">
              <w:rPr>
                <w:rFonts w:ascii="Times New Roman" w:hAnsi="Times New Roman" w:cs="Times New Roman"/>
              </w:rPr>
              <w:t>“(i) Forks, shovels, spades, scythes, sickles and agricultural implements, and parts thereof.</w:t>
            </w:r>
            <w:r>
              <w:rPr>
                <w:rFonts w:ascii="Times New Roman" w:hAnsi="Times New Roman" w:cs="Times New Roman"/>
              </w:rPr>
              <w:t xml:space="preserve"> </w:t>
            </w:r>
            <w:r w:rsidRPr="002B2B0B">
              <w:rPr>
                <w:rFonts w:ascii="Times New Roman" w:hAnsi="Times New Roman" w:cs="Times New Roman"/>
              </w:rPr>
              <w:t>(ii) Other tools are parts thereof.”</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411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Needle Pin Smallware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7</w:t>
            </w:r>
            <w:r w:rsidR="007D5E0C" w:rsidRPr="002B2B0B">
              <w:rPr>
                <w:rFonts w:ascii="Times New Roman" w:hAnsi="Times New Roman" w:cs="Times New Roman"/>
              </w:rPr>
              <w:t>),</w:t>
            </w:r>
            <w:r w:rsidRPr="002B2B0B">
              <w:rPr>
                <w:rFonts w:ascii="Times New Roman" w:hAnsi="Times New Roman" w:cs="Times New Roman"/>
              </w:rPr>
              <w:t xml:space="preserve"> CET (1935, p. 46)</w:t>
            </w:r>
            <w:r>
              <w:rPr>
                <w:rFonts w:ascii="Times New Roman" w:hAnsi="Times New Roman" w:cs="Times New Roman"/>
              </w:rPr>
              <w:t>.</w:t>
            </w:r>
            <w:r w:rsidRPr="002B2B0B">
              <w:rPr>
                <w:rFonts w:ascii="Times New Roman" w:hAnsi="Times New Roman" w:cs="Times New Roman"/>
              </w:rPr>
              <w:t xml:space="preserve"> </w:t>
            </w:r>
            <w:r>
              <w:rPr>
                <w:rFonts w:ascii="Times New Roman" w:hAnsi="Times New Roman" w:cs="Times New Roman"/>
              </w:rPr>
              <w:t xml:space="preserve">Hutchison (1965, p. 178), </w:t>
            </w:r>
            <w:r w:rsidRPr="002B2B0B">
              <w:rPr>
                <w:rFonts w:ascii="Times New Roman" w:hAnsi="Times New Roman" w:cs="Times New Roman"/>
              </w:rPr>
              <w:t xml:space="preserve">Group </w:t>
            </w:r>
            <w:r w:rsidR="007D5E0C" w:rsidRPr="002B2B0B">
              <w:rPr>
                <w:rFonts w:ascii="Times New Roman" w:hAnsi="Times New Roman" w:cs="Times New Roman"/>
              </w:rPr>
              <w:t>IV (</w:t>
            </w:r>
            <w:r w:rsidRPr="002B2B0B">
              <w:rPr>
                <w:rFonts w:ascii="Times New Roman" w:hAnsi="Times New Roman" w:cs="Times New Roman"/>
              </w:rPr>
              <w:t>4</w:t>
            </w:r>
            <w:r w:rsidR="007D5E0C" w:rsidRPr="002B2B0B">
              <w:rPr>
                <w:rFonts w:ascii="Times New Roman" w:hAnsi="Times New Roman" w:cs="Times New Roman"/>
              </w:rPr>
              <w:t>) (</w:t>
            </w:r>
            <w:r w:rsidRPr="002B2B0B">
              <w:rPr>
                <w:rFonts w:ascii="Times New Roman" w:hAnsi="Times New Roman" w:cs="Times New Roman"/>
              </w:rPr>
              <w:t>ii)</w:t>
            </w:r>
            <w:r>
              <w:rPr>
                <w:rFonts w:ascii="Times New Roman" w:hAnsi="Times New Roman" w:cs="Times New Roman"/>
              </w:rPr>
              <w:t xml:space="preserve"> </w:t>
            </w:r>
            <w:r w:rsidRPr="002B2B0B">
              <w:rPr>
                <w:rFonts w:ascii="Times New Roman" w:hAnsi="Times New Roman" w:cs="Times New Roman"/>
              </w:rPr>
              <w:t>reports an additional duty for:</w:t>
            </w:r>
            <w:r>
              <w:rPr>
                <w:rFonts w:ascii="Times New Roman" w:hAnsi="Times New Roman" w:cs="Times New Roman"/>
              </w:rPr>
              <w:t xml:space="preserve"> </w:t>
            </w:r>
            <w:r w:rsidRPr="002B2B0B">
              <w:rPr>
                <w:rFonts w:ascii="Times New Roman" w:hAnsi="Times New Roman" w:cs="Times New Roman"/>
              </w:rPr>
              <w:t>“(ii) Other tools are parts thereof.”</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412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Small Arms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25%</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Arms and Ammunition could only be imported under a Board of Trade licence (CET, 1935, p. 7; NIESR, 1945, p. 265). Of those imported, additional rates were levied (IDAC, 1932b, p. 12; CET, 1935, p. 72; Hutchison, 1965, p. 184): Group XVI(1)</w:t>
            </w:r>
            <w:r>
              <w:rPr>
                <w:rFonts w:ascii="Times New Roman" w:hAnsi="Times New Roman" w:cs="Times New Roman"/>
              </w:rPr>
              <w:t xml:space="preserve">: </w:t>
            </w:r>
            <w:r w:rsidRPr="002B2B0B">
              <w:rPr>
                <w:rFonts w:ascii="Times New Roman" w:hAnsi="Times New Roman" w:cs="Times New Roman"/>
              </w:rPr>
              <w:t>“Arms and ammunition” including sporting guns, military rifles, miniature rifles, air guns, revolvers and loaded cartridges.</w:t>
            </w: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Sector: Engineering Trades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501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Mechanical Engineering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 45): Group X</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“There is a general rate of 20% </w:t>
            </w:r>
            <w:r w:rsidRPr="002B2B0B">
              <w:rPr>
                <w:rFonts w:ascii="Times New Roman" w:hAnsi="Times New Roman" w:cs="Times New Roman"/>
                <w:i/>
              </w:rPr>
              <w:t>ad valorem</w:t>
            </w:r>
            <w:r w:rsidRPr="002B2B0B">
              <w:rPr>
                <w:rFonts w:ascii="Times New Roman" w:hAnsi="Times New Roman" w:cs="Times New Roman"/>
              </w:rPr>
              <w:t xml:space="preserve"> on machinery, but there are many exemptions to it. For example a duty of only 15% is imposed on machines for domestic and household purposes, cash registers, dry cleaning and laundering machines, office machinery, petrol pumps, electric refrigerators, agricultural machinery, milking machines and other dairy machinery.”</w:t>
            </w:r>
          </w:p>
          <w:p w:rsidR="00817EAD" w:rsidRPr="002B2B0B" w:rsidRDefault="00817EAD" w:rsidP="00CD1883">
            <w:pPr>
              <w:rPr>
                <w:rFonts w:ascii="Times New Roman" w:hAnsi="Times New Roman" w:cs="Times New Roman"/>
              </w:rPr>
            </w:pPr>
            <w:r w:rsidRPr="002B2B0B">
              <w:rPr>
                <w:rFonts w:ascii="Times New Roman" w:hAnsi="Times New Roman" w:cs="Times New Roman"/>
              </w:rPr>
              <w:t>CET (1935, p. 48): Group VI(1) Machinery</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502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Electrical Engineering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p.45): Group IX</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“The duty on accumulators and heating and cooking apparatus is 15% </w:t>
            </w:r>
            <w:r w:rsidRPr="002B2B0B">
              <w:rPr>
                <w:rFonts w:ascii="Times New Roman" w:hAnsi="Times New Roman" w:cs="Times New Roman"/>
                <w:i/>
              </w:rPr>
              <w:t>ad valorem</w:t>
            </w:r>
            <w:r w:rsidRPr="002B2B0B">
              <w:rPr>
                <w:rFonts w:ascii="Times New Roman" w:hAnsi="Times New Roman" w:cs="Times New Roman"/>
              </w:rPr>
              <w:t>, but on all other electrical goods it is 20%.”</w:t>
            </w:r>
          </w:p>
          <w:p w:rsidR="00817EAD" w:rsidRPr="002B2B0B" w:rsidRDefault="00817EAD" w:rsidP="00CD1883">
            <w:pPr>
              <w:rPr>
                <w:rFonts w:ascii="Times New Roman" w:hAnsi="Times New Roman" w:cs="Times New Roman"/>
              </w:rPr>
            </w:pPr>
            <w:r w:rsidRPr="002B2B0B">
              <w:rPr>
                <w:rFonts w:ascii="Times New Roman" w:hAnsi="Times New Roman" w:cs="Times New Roman"/>
              </w:rPr>
              <w:t>CET (1935, pp. 47-48): Group V(1) Electrical Goods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503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Shipbuilding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pp. 50-51):</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“Certain classes of goods are exempted from all duties and others are exempted from duty under particular Acts, but remain liable to duty under other Acts. […] Under the </w:t>
            </w:r>
            <w:r w:rsidRPr="002B2B0B">
              <w:rPr>
                <w:rFonts w:ascii="Times New Roman" w:hAnsi="Times New Roman" w:cs="Times New Roman"/>
                <w:i/>
              </w:rPr>
              <w:t>Import Duties Act</w:t>
            </w:r>
            <w:r w:rsidRPr="002B2B0B">
              <w:rPr>
                <w:rFonts w:ascii="Times New Roman" w:hAnsi="Times New Roman" w:cs="Times New Roman"/>
              </w:rPr>
              <w:t xml:space="preserve"> the following classes of goods are exempted from duty under Part 3 of the tariff: […]</w:t>
            </w:r>
          </w:p>
          <w:p w:rsidR="00817EAD" w:rsidRPr="002B2B0B" w:rsidRDefault="00817EAD" w:rsidP="00CD1883">
            <w:pPr>
              <w:rPr>
                <w:rFonts w:ascii="Times New Roman" w:hAnsi="Times New Roman" w:cs="Times New Roman"/>
              </w:rPr>
            </w:pPr>
            <w:r w:rsidRPr="002B2B0B">
              <w:rPr>
                <w:rFonts w:ascii="Times New Roman" w:hAnsi="Times New Roman" w:cs="Times New Roman"/>
              </w:rPr>
              <w:t>“(1) Goods consigned direct to a shipbuilding yard and which will be used for the building, repairing or refitting of ships in that yard.</w:t>
            </w:r>
          </w:p>
          <w:p w:rsidR="00817EAD" w:rsidRPr="002B2B0B" w:rsidRDefault="00817EAD" w:rsidP="00CD1883">
            <w:pPr>
              <w:rPr>
                <w:rFonts w:ascii="Times New Roman" w:hAnsi="Times New Roman" w:cs="Times New Roman"/>
              </w:rPr>
            </w:pPr>
            <w:r w:rsidRPr="002B2B0B">
              <w:rPr>
                <w:rFonts w:ascii="Times New Roman" w:hAnsi="Times New Roman" w:cs="Times New Roman"/>
              </w:rPr>
              <w:t>“(2) Goods of certain classes when imported for the use in the construction or repair of the boilers or propelling machinery of ships, or their accessories. […]</w:t>
            </w:r>
          </w:p>
          <w:p w:rsidR="00817EAD" w:rsidRPr="002B2B0B" w:rsidRDefault="00817EAD" w:rsidP="00CD1883">
            <w:pPr>
              <w:rPr>
                <w:rFonts w:ascii="Times New Roman" w:hAnsi="Times New Roman" w:cs="Times New Roman"/>
              </w:rPr>
            </w:pPr>
            <w:r w:rsidRPr="002B2B0B">
              <w:rPr>
                <w:rFonts w:ascii="Times New Roman" w:hAnsi="Times New Roman" w:cs="Times New Roman"/>
              </w:rPr>
              <w:t>“(6) Goods which form part of a ship or other vessel which is being imported for the purpose of being broken up, or any equipment or machinery of such a ship.”</w:t>
            </w:r>
          </w:p>
          <w:p w:rsidR="00817EAD" w:rsidRPr="002B2B0B" w:rsidRDefault="00817EAD" w:rsidP="00CD1883">
            <w:pPr>
              <w:rPr>
                <w:rFonts w:ascii="Times New Roman" w:hAnsi="Times New Roman" w:cs="Times New Roman"/>
              </w:rPr>
            </w:pPr>
            <w:r w:rsidRPr="002B2B0B">
              <w:rPr>
                <w:rFonts w:ascii="Times New Roman" w:hAnsi="Times New Roman" w:cs="Times New Roman"/>
              </w:rPr>
              <w:t>CET (1935, p. 11)</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504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Motor &amp; Cycle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Default="00817EAD" w:rsidP="00CD1883">
            <w:pPr>
              <w:rPr>
                <w:rFonts w:ascii="Times New Roman" w:hAnsi="Times New Roman" w:cs="Times New Roman"/>
              </w:rPr>
            </w:pPr>
            <w:r w:rsidRPr="004426F9">
              <w:rPr>
                <w:rFonts w:ascii="Times New Roman" w:hAnsi="Times New Roman" w:cs="Times New Roman"/>
              </w:rPr>
              <w:t xml:space="preserve">The McKenna Duties from 1915 covered Motor Vehicles (33.3% </w:t>
            </w:r>
            <w:r w:rsidRPr="004426F9">
              <w:rPr>
                <w:rFonts w:ascii="Times New Roman" w:hAnsi="Times New Roman" w:cs="Times New Roman"/>
                <w:i/>
              </w:rPr>
              <w:t>ad valorem</w:t>
            </w:r>
            <w:r w:rsidRPr="004426F9">
              <w:rPr>
                <w:rFonts w:ascii="Times New Roman" w:hAnsi="Times New Roman" w:cs="Times New Roman"/>
              </w:rPr>
              <w:t>). IDAC (1932a, p. 3) notes:</w:t>
            </w:r>
            <w:r>
              <w:rPr>
                <w:rFonts w:ascii="Times New Roman" w:hAnsi="Times New Roman" w:cs="Times New Roman"/>
              </w:rPr>
              <w:t xml:space="preserve"> </w:t>
            </w:r>
          </w:p>
          <w:p w:rsidR="00817EAD" w:rsidRPr="002B2B0B" w:rsidRDefault="00817EAD" w:rsidP="00CD1883">
            <w:pPr>
              <w:rPr>
                <w:rFonts w:ascii="Times New Roman" w:hAnsi="Times New Roman" w:cs="Times New Roman"/>
              </w:rPr>
            </w:pPr>
            <w:r w:rsidRPr="004426F9">
              <w:rPr>
                <w:rFonts w:ascii="Times New Roman" w:hAnsi="Times New Roman" w:cs="Times New Roman"/>
              </w:rPr>
              <w:t xml:space="preserve">“The McKenna Duties were imposed in 1915 for a variety of reasons mostly connected with the War. They cover motor vehicles, accessories and parts […] – the duties in all these cases being 33.3% </w:t>
            </w:r>
            <w:r w:rsidRPr="004426F9">
              <w:rPr>
                <w:rFonts w:ascii="Times New Roman" w:hAnsi="Times New Roman" w:cs="Times New Roman"/>
                <w:i/>
              </w:rPr>
              <w:t>ad valorem</w:t>
            </w:r>
            <w:r w:rsidRPr="004426F9">
              <w:rPr>
                <w:rFonts w:ascii="Times New Roman" w:hAnsi="Times New Roman" w:cs="Times New Roman"/>
              </w:rPr>
              <w:t>”.</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505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Aircraft</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shd w:val="clear" w:color="auto" w:fill="auto"/>
          </w:tcPr>
          <w:p w:rsidR="00817EAD" w:rsidRPr="00653A05" w:rsidRDefault="00817EAD" w:rsidP="00CD1883">
            <w:pPr>
              <w:rPr>
                <w:rFonts w:ascii="Times New Roman" w:hAnsi="Times New Roman" w:cs="Times New Roman"/>
              </w:rPr>
            </w:pPr>
            <w:r w:rsidRPr="006D0B94">
              <w:rPr>
                <w:rFonts w:ascii="Times New Roman" w:hAnsi="Times New Roman" w:cs="Times New Roman"/>
              </w:rPr>
              <w:t>Cmd. 5296 (1936), Table 91 p. 144 groups Aircraft tariff revenue with Other Vehicles under the General Tariff legislation. The industry does not figure in any of the additional Tariff information provided by IDAC (1932b) and Hutchison (1965) or in the pre-1932 duties as outlined in CET (1935). This leads us to deduce that the baseline 10% rate was applied to Aircraft.</w:t>
            </w:r>
            <w:r w:rsidRPr="00FE4FED">
              <w:rPr>
                <w:rStyle w:val="Heading4Char"/>
                <w:rFonts w:ascii="Times New Roman" w:hAnsi="Times New Roman" w:cs="Times New Roman"/>
                <w:b w:val="0"/>
                <w:i w:val="0"/>
                <w:vertAlign w:val="superscript"/>
              </w:rPr>
              <w:footnoteReference w:id="23"/>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506</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Railway Carriage &amp; Wagon</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Pr="009047BB" w:rsidRDefault="00817EAD" w:rsidP="00CD1883">
            <w:pPr>
              <w:rPr>
                <w:rFonts w:ascii="Times New Roman" w:hAnsi="Times New Roman" w:cs="Times New Roman"/>
              </w:rPr>
            </w:pPr>
            <w:r w:rsidRPr="009047BB">
              <w:rPr>
                <w:rFonts w:ascii="Times New Roman" w:hAnsi="Times New Roman" w:cs="Times New Roman"/>
              </w:rPr>
              <w:t>NIESR (1945, p. 46): Group XVII</w:t>
            </w:r>
            <w:r>
              <w:rPr>
                <w:rFonts w:ascii="Times New Roman" w:hAnsi="Times New Roman" w:cs="Times New Roman"/>
              </w:rPr>
              <w:t xml:space="preserve">: </w:t>
            </w:r>
            <w:r w:rsidRPr="009047BB">
              <w:rPr>
                <w:rFonts w:ascii="Times New Roman" w:hAnsi="Times New Roman" w:cs="Times New Roman"/>
              </w:rPr>
              <w:t xml:space="preserve">“A duty of 33.3% </w:t>
            </w:r>
            <w:r w:rsidRPr="009047BB">
              <w:rPr>
                <w:rFonts w:ascii="Times New Roman" w:hAnsi="Times New Roman" w:cs="Times New Roman"/>
                <w:i/>
              </w:rPr>
              <w:t>ad valorem</w:t>
            </w:r>
            <w:r w:rsidRPr="009047BB">
              <w:rPr>
                <w:rFonts w:ascii="Times New Roman" w:hAnsi="Times New Roman" w:cs="Times New Roman"/>
              </w:rPr>
              <w:t xml:space="preserve"> is imposed on railway wagons”.</w:t>
            </w:r>
            <w:r>
              <w:rPr>
                <w:rFonts w:ascii="Times New Roman" w:hAnsi="Times New Roman" w:cs="Times New Roman"/>
              </w:rPr>
              <w:t xml:space="preserve"> </w:t>
            </w:r>
          </w:p>
          <w:p w:rsidR="00817EAD" w:rsidRPr="009047BB" w:rsidRDefault="00817EAD" w:rsidP="00CD1883">
            <w:pPr>
              <w:rPr>
                <w:rFonts w:ascii="Times New Roman" w:hAnsi="Times New Roman" w:cs="Times New Roman"/>
              </w:rPr>
            </w:pPr>
            <w:r w:rsidRPr="009047BB">
              <w:rPr>
                <w:rFonts w:ascii="Times New Roman" w:hAnsi="Times New Roman" w:cs="Times New Roman"/>
              </w:rPr>
              <w:t xml:space="preserve">CET (1935, p. 40): Group </w:t>
            </w:r>
            <w:r w:rsidR="007D5E0C" w:rsidRPr="009047BB">
              <w:rPr>
                <w:rFonts w:ascii="Times New Roman" w:hAnsi="Times New Roman" w:cs="Times New Roman"/>
              </w:rPr>
              <w:t>II (</w:t>
            </w:r>
            <w:r w:rsidRPr="009047BB">
              <w:rPr>
                <w:rFonts w:ascii="Times New Roman" w:hAnsi="Times New Roman" w:cs="Times New Roman"/>
              </w:rPr>
              <w:t>6</w:t>
            </w:r>
            <w:r w:rsidR="007D5E0C" w:rsidRPr="009047BB">
              <w:rPr>
                <w:rFonts w:ascii="Times New Roman" w:hAnsi="Times New Roman" w:cs="Times New Roman"/>
              </w:rPr>
              <w:t>) (</w:t>
            </w:r>
            <w:r w:rsidRPr="009047BB">
              <w:rPr>
                <w:rFonts w:ascii="Times New Roman" w:hAnsi="Times New Roman" w:cs="Times New Roman"/>
              </w:rPr>
              <w:t>x)</w:t>
            </w:r>
            <w:r>
              <w:rPr>
                <w:rFonts w:ascii="Times New Roman" w:hAnsi="Times New Roman" w:cs="Times New Roman"/>
              </w:rPr>
              <w:t xml:space="preserve">: </w:t>
            </w:r>
            <w:r w:rsidRPr="009047BB">
              <w:rPr>
                <w:rFonts w:ascii="Times New Roman" w:hAnsi="Times New Roman" w:cs="Times New Roman"/>
              </w:rPr>
              <w:t>“Wagons for use on railways”.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507</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Carriage Cart &amp; Wagon</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No reference to Carriage Cart &amp; Wagon in any additional rate list</w:t>
            </w:r>
            <w:r>
              <w:rPr>
                <w:rFonts w:ascii="Times New Roman" w:hAnsi="Times New Roman" w:cs="Times New Roman"/>
              </w:rPr>
              <w:t>s</w:t>
            </w:r>
            <w:r w:rsidRPr="002B2B0B">
              <w:rPr>
                <w:rFonts w:ascii="Times New Roman" w:hAnsi="Times New Roman" w:cs="Times New Roman"/>
              </w:rPr>
              <w:t xml:space="preserve"> or in any exemption list.</w:t>
            </w:r>
            <w:r>
              <w:rPr>
                <w:rFonts w:ascii="Times New Roman" w:hAnsi="Times New Roman" w:cs="Times New Roman"/>
              </w:rPr>
              <w:t xml:space="preserve"> Hence the 10% rate of the General tariff is assumed.</w:t>
            </w: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Sector: Non-Ferrous Metals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601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Copper &amp; Brass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val="restart"/>
            <w:vAlign w:val="center"/>
          </w:tcPr>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IDAC (1932b, p. 6), </w:t>
            </w:r>
            <w:r w:rsidR="007D5E0C" w:rsidRPr="002B2B0B">
              <w:rPr>
                <w:rFonts w:ascii="Times New Roman" w:hAnsi="Times New Roman" w:cs="Times New Roman"/>
              </w:rPr>
              <w:t>CET (</w:t>
            </w:r>
            <w:r w:rsidRPr="002B2B0B">
              <w:rPr>
                <w:rFonts w:ascii="Times New Roman" w:hAnsi="Times New Roman" w:cs="Times New Roman"/>
              </w:rPr>
              <w:t>1935, p. 42)</w:t>
            </w:r>
            <w:r>
              <w:rPr>
                <w:rFonts w:ascii="Times New Roman" w:hAnsi="Times New Roman" w:cs="Times New Roman"/>
              </w:rPr>
              <w:t xml:space="preserve"> and Hutchison (1965, p. 178)</w:t>
            </w:r>
            <w:r w:rsidR="007D5E0C">
              <w:rPr>
                <w:rFonts w:ascii="Times New Roman" w:hAnsi="Times New Roman" w:cs="Times New Roman"/>
              </w:rPr>
              <w:t>,</w:t>
            </w:r>
            <w:r w:rsidR="007D5E0C" w:rsidRPr="002B2B0B">
              <w:rPr>
                <w:rFonts w:ascii="Times New Roman" w:hAnsi="Times New Roman" w:cs="Times New Roman"/>
              </w:rPr>
              <w:t xml:space="preserve"> Group</w:t>
            </w:r>
            <w:r w:rsidRPr="002B2B0B">
              <w:rPr>
                <w:rFonts w:ascii="Times New Roman" w:hAnsi="Times New Roman" w:cs="Times New Roman"/>
              </w:rPr>
              <w:t xml:space="preserve"> </w:t>
            </w:r>
            <w:r w:rsidR="007D5E0C" w:rsidRPr="002B2B0B">
              <w:rPr>
                <w:rFonts w:ascii="Times New Roman" w:hAnsi="Times New Roman" w:cs="Times New Roman"/>
              </w:rPr>
              <w:t>III (</w:t>
            </w:r>
            <w:r w:rsidRPr="002B2B0B">
              <w:rPr>
                <w:rFonts w:ascii="Times New Roman" w:hAnsi="Times New Roman" w:cs="Times New Roman"/>
              </w:rPr>
              <w:t>2)</w:t>
            </w:r>
            <w:r>
              <w:rPr>
                <w:rFonts w:ascii="Times New Roman" w:hAnsi="Times New Roman" w:cs="Times New Roman"/>
              </w:rPr>
              <w:t xml:space="preserve">: </w:t>
            </w:r>
            <w:r w:rsidRPr="002B2B0B">
              <w:rPr>
                <w:rFonts w:ascii="Times New Roman" w:hAnsi="Times New Roman" w:cs="Times New Roman"/>
              </w:rPr>
              <w:t>“Articles manufactures wholly or partly of the metals aluminium, copper, lead, nickel, tin, zinc and alloys including any of these metals”.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602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Aluminium, Lead &amp; Tin</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tcPr>
          <w:p w:rsidR="00817EAD" w:rsidRPr="002B2B0B" w:rsidRDefault="00817EAD" w:rsidP="00CD1883">
            <w:pPr>
              <w:rPr>
                <w:rFonts w:ascii="Times New Roman" w:hAnsi="Times New Roman" w:cs="Times New Roman"/>
              </w:rPr>
            </w:pP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603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Finished Brass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tcPr>
          <w:p w:rsidR="00817EAD" w:rsidRPr="002B2B0B" w:rsidRDefault="00817EAD" w:rsidP="00CD1883">
            <w:pPr>
              <w:rPr>
                <w:rFonts w:ascii="Times New Roman" w:hAnsi="Times New Roman" w:cs="Times New Roman"/>
              </w:rPr>
            </w:pP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604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Gold &amp; Silver</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pp. 50-52):</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“Certain classes of goods are exempted from all duties and others are exempted from duty under particular Acts, but remain liable to duty under other Acts. […] Under the </w:t>
            </w:r>
            <w:r w:rsidRPr="002B2B0B">
              <w:rPr>
                <w:rFonts w:ascii="Times New Roman" w:hAnsi="Times New Roman" w:cs="Times New Roman"/>
                <w:i/>
              </w:rPr>
              <w:t>Import Duties Act</w:t>
            </w:r>
            <w:r w:rsidRPr="002B2B0B">
              <w:rPr>
                <w:rFonts w:ascii="Times New Roman" w:hAnsi="Times New Roman" w:cs="Times New Roman"/>
              </w:rPr>
              <w:t xml:space="preserve"> the following classes of goods are exempted from duty under Part 3 of the tariff: […]</w:t>
            </w:r>
          </w:p>
          <w:p w:rsidR="00817EAD" w:rsidRPr="002B2B0B" w:rsidRDefault="00817EAD" w:rsidP="00CD1883">
            <w:pPr>
              <w:rPr>
                <w:rFonts w:ascii="Times New Roman" w:hAnsi="Times New Roman" w:cs="Times New Roman"/>
              </w:rPr>
            </w:pPr>
            <w:r w:rsidRPr="002B2B0B">
              <w:rPr>
                <w:rFonts w:ascii="Times New Roman" w:hAnsi="Times New Roman" w:cs="Times New Roman"/>
              </w:rPr>
              <w:t>“(7) Goods specifically exempted under the Act. The list of these goods covers ten pages of the Customs and Excise Tariff, and includes: […] gold and silver bullion and coin”.</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605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Plate &amp; Jewellery</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 47):</w:t>
            </w:r>
            <w:r>
              <w:rPr>
                <w:rFonts w:ascii="Times New Roman" w:hAnsi="Times New Roman" w:cs="Times New Roman"/>
              </w:rPr>
              <w:t xml:space="preserve"> </w:t>
            </w:r>
            <w:r w:rsidRPr="002B2B0B">
              <w:rPr>
                <w:rFonts w:ascii="Times New Roman" w:hAnsi="Times New Roman" w:cs="Times New Roman"/>
              </w:rPr>
              <w:t>“Most jewellery is liable to a duty of 30%.”</w:t>
            </w:r>
          </w:p>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13) and Hutchison (1965, p. 185): Group XVI(8)</w:t>
            </w:r>
          </w:p>
          <w:p w:rsidR="00817EAD" w:rsidRPr="002B2B0B" w:rsidRDefault="00817EAD" w:rsidP="00CD1883">
            <w:pPr>
              <w:rPr>
                <w:rFonts w:ascii="Times New Roman" w:hAnsi="Times New Roman" w:cs="Times New Roman"/>
              </w:rPr>
            </w:pPr>
            <w:r w:rsidRPr="002B2B0B">
              <w:rPr>
                <w:rFonts w:ascii="Times New Roman" w:hAnsi="Times New Roman" w:cs="Times New Roman"/>
              </w:rPr>
              <w:t>“Jewellery and imitation jewellery, whether gemset or not.”</w:t>
            </w:r>
          </w:p>
          <w:p w:rsidR="00817EAD" w:rsidRPr="002B2B0B" w:rsidRDefault="00817EAD" w:rsidP="00CD1883">
            <w:pPr>
              <w:rPr>
                <w:rFonts w:ascii="Times New Roman" w:hAnsi="Times New Roman" w:cs="Times New Roman"/>
              </w:rPr>
            </w:pPr>
            <w:r w:rsidRPr="002B2B0B">
              <w:rPr>
                <w:rFonts w:ascii="Times New Roman" w:hAnsi="Times New Roman" w:cs="Times New Roman"/>
              </w:rPr>
              <w:t>CET (1935, p. 74): Group XVI(8)</w:t>
            </w:r>
            <w:r>
              <w:rPr>
                <w:rFonts w:ascii="Times New Roman" w:hAnsi="Times New Roman" w:cs="Times New Roman"/>
              </w:rPr>
              <w:t xml:space="preserve">: </w:t>
            </w:r>
            <w:r w:rsidRPr="002B2B0B">
              <w:rPr>
                <w:rFonts w:ascii="Times New Roman" w:hAnsi="Times New Roman" w:cs="Times New Roman"/>
              </w:rPr>
              <w:t>“Jewellery and imitation jewellery, whether or not mounted or set”</w:t>
            </w:r>
          </w:p>
          <w:p w:rsidR="00817EAD" w:rsidRPr="002B2B0B" w:rsidRDefault="00817EAD" w:rsidP="00CD1883">
            <w:pPr>
              <w:rPr>
                <w:rFonts w:ascii="Times New Roman" w:hAnsi="Times New Roman" w:cs="Times New Roman"/>
              </w:rPr>
            </w:pPr>
            <w:r w:rsidRPr="002B2B0B">
              <w:rPr>
                <w:rFonts w:ascii="Times New Roman" w:hAnsi="Times New Roman" w:cs="Times New Roman"/>
              </w:rPr>
              <w:t>There are some jewellery exemptions (CET, 1935, p. 15), though none involve metallic jewellery.</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606</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Watch &amp; Clock</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Default="00817EAD" w:rsidP="00CD1883">
            <w:pPr>
              <w:rPr>
                <w:rFonts w:ascii="Times New Roman" w:hAnsi="Times New Roman" w:cs="Times New Roman"/>
              </w:rPr>
            </w:pPr>
            <w:r w:rsidRPr="002B2B0B">
              <w:rPr>
                <w:rFonts w:ascii="Times New Roman" w:hAnsi="Times New Roman" w:cs="Times New Roman"/>
              </w:rPr>
              <w:t>IDAC (1932a, p. 3):</w:t>
            </w:r>
            <w:r>
              <w:rPr>
                <w:rFonts w:ascii="Times New Roman" w:hAnsi="Times New Roman" w:cs="Times New Roman"/>
              </w:rPr>
              <w:t xml:space="preserve"> </w:t>
            </w:r>
            <w:r w:rsidRPr="002B2B0B">
              <w:rPr>
                <w:rFonts w:ascii="Times New Roman" w:hAnsi="Times New Roman" w:cs="Times New Roman"/>
              </w:rPr>
              <w:t xml:space="preserve">“The McKenna Duties were imposed in 1915 for a variety of reasons mostly connected with the War. They cover […] clocks and watches […] – the duties in all these cases being 33.3% </w:t>
            </w:r>
            <w:r w:rsidRPr="002B2B0B">
              <w:rPr>
                <w:rFonts w:ascii="Times New Roman" w:hAnsi="Times New Roman" w:cs="Times New Roman"/>
                <w:i/>
              </w:rPr>
              <w:t>ad valorem</w:t>
            </w:r>
            <w:r w:rsidRPr="002B2B0B">
              <w:rPr>
                <w:rFonts w:ascii="Times New Roman" w:hAnsi="Times New Roman" w:cs="Times New Roman"/>
              </w:rPr>
              <w:t>”.</w:t>
            </w:r>
          </w:p>
          <w:p w:rsidR="00817EAD" w:rsidRPr="002B2B0B" w:rsidRDefault="00817EAD" w:rsidP="00CD1883">
            <w:pPr>
              <w:rPr>
                <w:rFonts w:ascii="Times New Roman" w:hAnsi="Times New Roman" w:cs="Times New Roman"/>
              </w:rPr>
            </w:pPr>
            <w:r w:rsidRPr="00242C68">
              <w:rPr>
                <w:rFonts w:ascii="Times New Roman" w:hAnsi="Times New Roman" w:cs="Times New Roman"/>
              </w:rPr>
              <w:t>Cmd. 5296 (1936), Table 134</w:t>
            </w:r>
            <w:r>
              <w:rPr>
                <w:rFonts w:ascii="Times New Roman" w:hAnsi="Times New Roman" w:cs="Times New Roman"/>
              </w:rPr>
              <w:t>,</w:t>
            </w:r>
            <w:r w:rsidRPr="00242C68">
              <w:rPr>
                <w:rFonts w:ascii="Times New Roman" w:hAnsi="Times New Roman" w:cs="Times New Roman"/>
              </w:rPr>
              <w:t xml:space="preserve"> notes that this </w:t>
            </w:r>
            <w:r>
              <w:rPr>
                <w:rFonts w:ascii="Times New Roman" w:hAnsi="Times New Roman" w:cs="Times New Roman"/>
              </w:rPr>
              <w:t xml:space="preserve">duty lapsed in 1924 but was reintroduced at </w:t>
            </w:r>
            <w:r w:rsidRPr="002B2B0B">
              <w:rPr>
                <w:rFonts w:ascii="Times New Roman" w:hAnsi="Times New Roman" w:cs="Times New Roman"/>
              </w:rPr>
              <w:t xml:space="preserve">33.3% </w:t>
            </w:r>
            <w:r w:rsidRPr="002B2B0B">
              <w:rPr>
                <w:rFonts w:ascii="Times New Roman" w:hAnsi="Times New Roman" w:cs="Times New Roman"/>
                <w:i/>
              </w:rPr>
              <w:t>ad valorem</w:t>
            </w:r>
            <w:r w:rsidRPr="00242C68">
              <w:rPr>
                <w:rFonts w:ascii="Times New Roman" w:hAnsi="Times New Roman" w:cs="Times New Roman"/>
              </w:rPr>
              <w:t xml:space="preserve"> </w:t>
            </w:r>
            <w:r>
              <w:rPr>
                <w:rFonts w:ascii="Times New Roman" w:hAnsi="Times New Roman" w:cs="Times New Roman"/>
              </w:rPr>
              <w:t xml:space="preserve">on 1 July </w:t>
            </w:r>
            <w:r w:rsidRPr="00242C68">
              <w:rPr>
                <w:rFonts w:ascii="Times New Roman" w:hAnsi="Times New Roman" w:cs="Times New Roman"/>
              </w:rPr>
              <w:t>1925 (lapsed 21 December, 1930).</w:t>
            </w: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Sector: Chemical &amp; Allied Trades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701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Chemical Dyes &amp; Drugs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(1932a, p. 3):</w:t>
            </w:r>
            <w:r>
              <w:rPr>
                <w:rFonts w:ascii="Times New Roman" w:hAnsi="Times New Roman" w:cs="Times New Roman"/>
              </w:rPr>
              <w:t xml:space="preserve"> </w:t>
            </w:r>
            <w:r w:rsidRPr="002B2B0B">
              <w:rPr>
                <w:rFonts w:ascii="Times New Roman" w:hAnsi="Times New Roman" w:cs="Times New Roman"/>
              </w:rPr>
              <w:t>“[T]he Key Industry Duties […] cover a wide range of commodities such as […] organic chemicals”.</w:t>
            </w:r>
            <w:r>
              <w:rPr>
                <w:rFonts w:ascii="Times New Roman" w:hAnsi="Times New Roman" w:cs="Times New Roman"/>
              </w:rPr>
              <w:t xml:space="preserve"> </w:t>
            </w:r>
            <w:r w:rsidRPr="002B2B0B">
              <w:rPr>
                <w:rFonts w:ascii="Times New Roman" w:hAnsi="Times New Roman" w:cs="Times New Roman"/>
              </w:rPr>
              <w:t>CET (1935, pp. 13-14)</w:t>
            </w:r>
            <w:r>
              <w:rPr>
                <w:rFonts w:ascii="Times New Roman" w:hAnsi="Times New Roman" w:cs="Times New Roman"/>
              </w:rPr>
              <w:t>.</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702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Seed Crushing</w:t>
            </w:r>
          </w:p>
        </w:tc>
        <w:tc>
          <w:tcPr>
            <w:tcW w:w="1488"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15%</w:t>
            </w:r>
          </w:p>
        </w:tc>
        <w:tc>
          <w:tcPr>
            <w:tcW w:w="7375" w:type="dxa"/>
            <w:shd w:val="clear" w:color="auto" w:fill="auto"/>
            <w:vAlign w:val="center"/>
          </w:tcPr>
          <w:p w:rsidR="00817EAD" w:rsidRPr="00B72AD6" w:rsidRDefault="00817EAD" w:rsidP="00CD1883">
            <w:pPr>
              <w:rPr>
                <w:rFonts w:ascii="Times New Roman" w:hAnsi="Times New Roman" w:cs="Times New Roman"/>
              </w:rPr>
            </w:pPr>
            <w:r w:rsidRPr="00B72AD6">
              <w:rPr>
                <w:rFonts w:ascii="Times New Roman" w:hAnsi="Times New Roman" w:cs="Times New Roman"/>
              </w:rPr>
              <w:t xml:space="preserve">CET (1935, p. 35): Class </w:t>
            </w:r>
            <w:r w:rsidR="007D5E0C" w:rsidRPr="00B72AD6">
              <w:rPr>
                <w:rFonts w:ascii="Times New Roman" w:hAnsi="Times New Roman" w:cs="Times New Roman"/>
              </w:rPr>
              <w:t>II (</w:t>
            </w:r>
            <w:r w:rsidRPr="00B72AD6">
              <w:rPr>
                <w:rFonts w:ascii="Times New Roman" w:hAnsi="Times New Roman" w:cs="Times New Roman"/>
              </w:rPr>
              <w:t>1)</w:t>
            </w:r>
            <w:r>
              <w:rPr>
                <w:rFonts w:ascii="Times New Roman" w:hAnsi="Times New Roman" w:cs="Times New Roman"/>
              </w:rPr>
              <w:t>: S</w:t>
            </w:r>
            <w:r w:rsidRPr="00B72AD6">
              <w:rPr>
                <w:rFonts w:ascii="Times New Roman" w:hAnsi="Times New Roman" w:cs="Times New Roman"/>
              </w:rPr>
              <w:t xml:space="preserve">eed oil is subject to a duty of 15 per cent </w:t>
            </w:r>
            <w:r w:rsidRPr="009C7295">
              <w:rPr>
                <w:rFonts w:ascii="Times New Roman" w:hAnsi="Times New Roman" w:cs="Times New Roman"/>
                <w:i/>
              </w:rPr>
              <w:t>ad valorem</w:t>
            </w:r>
            <w:r w:rsidRPr="00B72AD6">
              <w:rPr>
                <w:rFonts w:ascii="Times New Roman" w:hAnsi="Times New Roman" w:cs="Times New Roman"/>
              </w:rPr>
              <w:t xml:space="preserve"> chargeable under the Ottawa Agreements.</w:t>
            </w:r>
          </w:p>
          <w:p w:rsidR="00817EAD" w:rsidRPr="00B72AD6" w:rsidRDefault="00817EAD" w:rsidP="00CD1883">
            <w:pPr>
              <w:rPr>
                <w:rFonts w:ascii="Times New Roman" w:hAnsi="Times New Roman" w:cs="Times New Roman"/>
              </w:rPr>
            </w:pPr>
            <w:r w:rsidRPr="00B72AD6">
              <w:rPr>
                <w:rFonts w:ascii="Times New Roman" w:hAnsi="Times New Roman" w:cs="Times New Roman"/>
              </w:rPr>
              <w:t>CET (1935, p. 101) lists Castor, Coconut, Ground-nut, Linseed, Rape, Sesamum and Cod Liver Oils among those with duty in excess of 10% under the Ottawa Agreements.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703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Oil &amp; Tallow</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7375" w:type="dxa"/>
            <w:shd w:val="clear" w:color="auto" w:fill="auto"/>
          </w:tcPr>
          <w:p w:rsidR="00817EAD" w:rsidRPr="00B72AD6" w:rsidRDefault="00817EAD" w:rsidP="00CD1883">
            <w:pPr>
              <w:rPr>
                <w:rFonts w:ascii="Times New Roman" w:hAnsi="Times New Roman" w:cs="Times New Roman"/>
              </w:rPr>
            </w:pPr>
            <w:r w:rsidRPr="00B72AD6">
              <w:rPr>
                <w:rFonts w:ascii="Times New Roman" w:hAnsi="Times New Roman" w:cs="Times New Roman"/>
              </w:rPr>
              <w:t>CET (1935, pp. 12-16):</w:t>
            </w:r>
            <w:r>
              <w:rPr>
                <w:rFonts w:ascii="Times New Roman" w:hAnsi="Times New Roman" w:cs="Times New Roman"/>
              </w:rPr>
              <w:t xml:space="preserve"> </w:t>
            </w:r>
            <w:r w:rsidRPr="00B72AD6">
              <w:rPr>
                <w:rFonts w:ascii="Times New Roman" w:hAnsi="Times New Roman" w:cs="Times New Roman"/>
              </w:rPr>
              <w:t>“Goods specifically exempted by the Import Duties Act, 1932, and Treasury Orders made thereunder, viz.:-</w:t>
            </w:r>
          </w:p>
          <w:p w:rsidR="00817EAD" w:rsidRPr="00B72AD6" w:rsidRDefault="00817EAD" w:rsidP="00CD1883">
            <w:pPr>
              <w:rPr>
                <w:rFonts w:ascii="Times New Roman" w:hAnsi="Times New Roman" w:cs="Times New Roman"/>
              </w:rPr>
            </w:pPr>
            <w:r w:rsidRPr="00B72AD6">
              <w:rPr>
                <w:rFonts w:ascii="Times New Roman" w:hAnsi="Times New Roman" w:cs="Times New Roman"/>
              </w:rPr>
              <w:t>“Natural but not Terpeneless Essential Oils”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704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Fertiliser Disinfectant Glue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 46): Group XIV</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“This group includes a short list of chemicals many of which are used for domestic or agricultural purposes. Most of them are dutiable at a rate of 20% </w:t>
            </w:r>
            <w:r w:rsidRPr="002B2B0B">
              <w:rPr>
                <w:rFonts w:ascii="Times New Roman" w:hAnsi="Times New Roman" w:cs="Times New Roman"/>
                <w:i/>
              </w:rPr>
              <w:t>ad valorem</w:t>
            </w:r>
            <w:r w:rsidRPr="002B2B0B">
              <w:rPr>
                <w:rFonts w:ascii="Times New Roman" w:hAnsi="Times New Roman" w:cs="Times New Roman"/>
              </w:rPr>
              <w:t>, but in a few cases duties as low as 15% and as high as 33.3% are imposed. Fertilisers are mainly subject to specific duties, the most common rate being £4 per ton. […] There are alternative duties on glue etc. of 10</w:t>
            </w:r>
            <w:r w:rsidRPr="002B2B0B">
              <w:rPr>
                <w:rFonts w:ascii="Times New Roman" w:hAnsi="Times New Roman" w:cs="Times New Roman"/>
                <w:i/>
              </w:rPr>
              <w:t>s</w:t>
            </w:r>
            <w:r w:rsidRPr="002B2B0B">
              <w:rPr>
                <w:rFonts w:ascii="Times New Roman" w:hAnsi="Times New Roman" w:cs="Times New Roman"/>
              </w:rPr>
              <w:t>. 6</w:t>
            </w:r>
            <w:r w:rsidRPr="002B2B0B">
              <w:rPr>
                <w:rFonts w:ascii="Times New Roman" w:hAnsi="Times New Roman" w:cs="Times New Roman"/>
                <w:i/>
              </w:rPr>
              <w:t>d</w:t>
            </w:r>
            <w:r w:rsidRPr="002B2B0B">
              <w:rPr>
                <w:rFonts w:ascii="Times New Roman" w:hAnsi="Times New Roman" w:cs="Times New Roman"/>
              </w:rPr>
              <w:t xml:space="preserve">. per cwt. Or 25% </w:t>
            </w:r>
            <w:r w:rsidRPr="002B2B0B">
              <w:rPr>
                <w:rFonts w:ascii="Times New Roman" w:hAnsi="Times New Roman" w:cs="Times New Roman"/>
                <w:i/>
              </w:rPr>
              <w:t>ad valorem</w:t>
            </w:r>
            <w:r w:rsidRPr="002B2B0B">
              <w:rPr>
                <w:rFonts w:ascii="Times New Roman" w:hAnsi="Times New Roman" w:cs="Times New Roman"/>
              </w:rPr>
              <w:t>.”</w:t>
            </w:r>
            <w:r>
              <w:rPr>
                <w:rFonts w:ascii="Times New Roman" w:hAnsi="Times New Roman" w:cs="Times New Roman"/>
              </w:rPr>
              <w:t xml:space="preserve"> Kitson and Solomou (1990) note that </w:t>
            </w:r>
            <w:r w:rsidRPr="002B2B0B">
              <w:rPr>
                <w:rFonts w:ascii="Times New Roman" w:hAnsi="Times New Roman" w:cs="Times New Roman"/>
              </w:rPr>
              <w:t xml:space="preserve">17% of traded output </w:t>
            </w:r>
            <w:r>
              <w:rPr>
                <w:rFonts w:ascii="Times New Roman" w:hAnsi="Times New Roman" w:cs="Times New Roman"/>
              </w:rPr>
              <w:t xml:space="preserve">was </w:t>
            </w:r>
            <w:r w:rsidRPr="002B2B0B">
              <w:rPr>
                <w:rFonts w:ascii="Times New Roman" w:hAnsi="Times New Roman" w:cs="Times New Roman"/>
              </w:rPr>
              <w:t xml:space="preserve">covered by Key Industry Duties </w:t>
            </w:r>
            <w:r>
              <w:rPr>
                <w:rFonts w:ascii="Times New Roman" w:hAnsi="Times New Roman" w:cs="Times New Roman"/>
              </w:rPr>
              <w:t>but most were newly-protected in 1932.</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CET (1932, </w:t>
            </w:r>
            <w:r>
              <w:rPr>
                <w:rFonts w:ascii="Times New Roman" w:hAnsi="Times New Roman" w:cs="Times New Roman"/>
              </w:rPr>
              <w:t>p. 80),</w:t>
            </w:r>
            <w:r w:rsidRPr="002B2B0B">
              <w:rPr>
                <w:rFonts w:ascii="Times New Roman" w:hAnsi="Times New Roman" w:cs="Times New Roman"/>
              </w:rPr>
              <w:t xml:space="preserve"> Group </w:t>
            </w:r>
            <w:r w:rsidR="007D5E0C" w:rsidRPr="002B2B0B">
              <w:rPr>
                <w:rFonts w:ascii="Times New Roman" w:hAnsi="Times New Roman" w:cs="Times New Roman"/>
              </w:rPr>
              <w:t>XVI (</w:t>
            </w:r>
            <w:r w:rsidRPr="002B2B0B">
              <w:rPr>
                <w:rFonts w:ascii="Times New Roman" w:hAnsi="Times New Roman" w:cs="Times New Roman"/>
              </w:rPr>
              <w:t>28)</w:t>
            </w:r>
            <w:r>
              <w:rPr>
                <w:rFonts w:ascii="Times New Roman" w:hAnsi="Times New Roman" w:cs="Times New Roman"/>
              </w:rPr>
              <w:t xml:space="preserve">: </w:t>
            </w:r>
            <w:r w:rsidRPr="002B2B0B">
              <w:rPr>
                <w:rFonts w:ascii="Times New Roman" w:hAnsi="Times New Roman" w:cs="Times New Roman"/>
              </w:rPr>
              <w:t>“Glue” shall receive a duty of “10</w:t>
            </w:r>
            <w:r w:rsidRPr="002B2B0B">
              <w:rPr>
                <w:rFonts w:ascii="Times New Roman" w:hAnsi="Times New Roman" w:cs="Times New Roman"/>
                <w:i/>
              </w:rPr>
              <w:t>s</w:t>
            </w:r>
            <w:r w:rsidRPr="002B2B0B">
              <w:rPr>
                <w:rFonts w:ascii="Times New Roman" w:hAnsi="Times New Roman" w:cs="Times New Roman"/>
              </w:rPr>
              <w:t>. 6</w:t>
            </w:r>
            <w:r w:rsidRPr="002B2B0B">
              <w:rPr>
                <w:rFonts w:ascii="Times New Roman" w:hAnsi="Times New Roman" w:cs="Times New Roman"/>
                <w:i/>
              </w:rPr>
              <w:t>d</w:t>
            </w:r>
            <w:r w:rsidRPr="002B2B0B">
              <w:rPr>
                <w:rFonts w:ascii="Times New Roman" w:hAnsi="Times New Roman" w:cs="Times New Roman"/>
              </w:rPr>
              <w:t>. a cwt. or to 25 per cent of the value of the goods, whichever is the greater”.</w:t>
            </w:r>
          </w:p>
        </w:tc>
      </w:tr>
      <w:tr w:rsidR="00817EAD" w:rsidRPr="002B2B0B" w:rsidTr="00CD1883">
        <w:tc>
          <w:tcPr>
            <w:tcW w:w="1145" w:type="dxa"/>
          </w:tcPr>
          <w:p w:rsidR="00817EAD" w:rsidRDefault="00817EAD" w:rsidP="00CD1883">
            <w:pPr>
              <w:rPr>
                <w:rFonts w:ascii="Times New Roman" w:hAnsi="Times New Roman" w:cs="Times New Roman"/>
              </w:rPr>
            </w:pPr>
            <w:r w:rsidRPr="002B2B0B">
              <w:rPr>
                <w:rFonts w:ascii="Times New Roman" w:hAnsi="Times New Roman" w:cs="Times New Roman"/>
              </w:rPr>
              <w:t>705</w:t>
            </w:r>
          </w:p>
          <w:p w:rsidR="00817EAD" w:rsidRDefault="00817EAD" w:rsidP="00CD1883">
            <w:pPr>
              <w:rPr>
                <w:rFonts w:ascii="Times New Roman" w:hAnsi="Times New Roman" w:cs="Times New Roman"/>
              </w:rPr>
            </w:pPr>
          </w:p>
          <w:p w:rsidR="00817EAD" w:rsidRPr="002B2B0B" w:rsidRDefault="00817EAD" w:rsidP="00CD1883">
            <w:pPr>
              <w:rPr>
                <w:rFonts w:ascii="Times New Roman" w:hAnsi="Times New Roman" w:cs="Times New Roman"/>
              </w:rPr>
            </w:pP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Soap, Candle, Perfume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Pr>
                <w:rFonts w:ascii="Times New Roman" w:hAnsi="Times New Roman" w:cs="Times New Roman"/>
              </w:rPr>
              <w:t>NIESR (1945, p. 46),</w:t>
            </w:r>
            <w:r w:rsidRPr="002B2B0B">
              <w:rPr>
                <w:rFonts w:ascii="Times New Roman" w:hAnsi="Times New Roman" w:cs="Times New Roman"/>
              </w:rPr>
              <w:t xml:space="preserve"> Group XIV</w:t>
            </w:r>
            <w:r>
              <w:rPr>
                <w:rFonts w:ascii="Times New Roman" w:hAnsi="Times New Roman" w:cs="Times New Roman"/>
              </w:rPr>
              <w:t xml:space="preserve">: </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“This group includes a short list of chemicals many of which are used for domestic or agricultural purposes. Most of them are dutiable at a rate of 20% </w:t>
            </w:r>
            <w:r w:rsidRPr="002B2B0B">
              <w:rPr>
                <w:rFonts w:ascii="Times New Roman" w:hAnsi="Times New Roman" w:cs="Times New Roman"/>
                <w:i/>
              </w:rPr>
              <w:t>ad valorem</w:t>
            </w:r>
            <w:r w:rsidRPr="002B2B0B">
              <w:rPr>
                <w:rFonts w:ascii="Times New Roman" w:hAnsi="Times New Roman" w:cs="Times New Roman"/>
              </w:rPr>
              <w:t>, but in a few cases duties as low as 15% and as high as 33.3% are imposed. On most types of soap the duty is 15%, but on toilet soap it is 30%.”</w:t>
            </w:r>
          </w:p>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10), CET (1935, p. 66) and Hutchison (1965, p. 182): Group XI(1-2)</w:t>
            </w:r>
            <w:r w:rsidRPr="002B2B0B">
              <w:rPr>
                <w:rFonts w:ascii="Times New Roman" w:hAnsi="Times New Roman" w:cs="Times New Roman"/>
              </w:rPr>
              <w:br/>
              <w:t>“(1) Candles […] [20%]</w:t>
            </w:r>
          </w:p>
          <w:p w:rsidR="00817EAD" w:rsidRPr="002B2B0B" w:rsidRDefault="00817EAD" w:rsidP="00CD1883">
            <w:pPr>
              <w:rPr>
                <w:rFonts w:ascii="Times New Roman" w:hAnsi="Times New Roman" w:cs="Times New Roman"/>
              </w:rPr>
            </w:pPr>
            <w:r w:rsidRPr="002B2B0B">
              <w:rPr>
                <w:rFonts w:ascii="Times New Roman" w:hAnsi="Times New Roman" w:cs="Times New Roman"/>
              </w:rPr>
              <w:t>“Soap, including abrasive soap, soap powder and soap flakes, but not including toilet soap.” [20%]</w:t>
            </w:r>
          </w:p>
          <w:p w:rsidR="00817EAD" w:rsidRDefault="00817EAD" w:rsidP="00CD1883">
            <w:pPr>
              <w:rPr>
                <w:rFonts w:ascii="Times New Roman" w:hAnsi="Times New Roman" w:cs="Times New Roman"/>
              </w:rPr>
            </w:pPr>
            <w:r w:rsidRPr="002B2B0B">
              <w:rPr>
                <w:rFonts w:ascii="Times New Roman" w:hAnsi="Times New Roman" w:cs="Times New Roman"/>
              </w:rPr>
              <w:t>IDAC (1932b, p. 12) and Hutchison (1965, p. 184): Group XVI(2)</w:t>
            </w:r>
            <w:r w:rsidRPr="002B2B0B">
              <w:rPr>
                <w:rFonts w:ascii="Times New Roman" w:hAnsi="Times New Roman" w:cs="Times New Roman"/>
              </w:rPr>
              <w:br/>
              <w:t>“Toilet Soap” [30%]</w:t>
            </w:r>
          </w:p>
          <w:p w:rsidR="00817EAD" w:rsidRPr="002B2B0B" w:rsidRDefault="00817EAD" w:rsidP="00CD1883">
            <w:pPr>
              <w:rPr>
                <w:rFonts w:ascii="Times New Roman" w:hAnsi="Times New Roman" w:cs="Times New Roman"/>
              </w:rPr>
            </w:pPr>
            <w:r w:rsidRPr="00242C68">
              <w:rPr>
                <w:rFonts w:ascii="Times New Roman" w:hAnsi="Times New Roman" w:cs="Times New Roman"/>
              </w:rPr>
              <w:t xml:space="preserve">Cmd. 5296 (1936), Table </w:t>
            </w:r>
            <w:r>
              <w:rPr>
                <w:rFonts w:ascii="Times New Roman" w:hAnsi="Times New Roman" w:cs="Times New Roman"/>
              </w:rPr>
              <w:t>83, shows a revenue tariff rate with additional duties for perfumery.</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706</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Starch Polishes</w:t>
            </w:r>
          </w:p>
        </w:tc>
        <w:tc>
          <w:tcPr>
            <w:tcW w:w="1488"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shd w:val="clear" w:color="auto" w:fill="auto"/>
          </w:tcPr>
          <w:p w:rsidR="00817EAD" w:rsidRPr="004B4A3E" w:rsidRDefault="00817EAD" w:rsidP="00CD1883">
            <w:pPr>
              <w:rPr>
                <w:rFonts w:ascii="Times New Roman" w:hAnsi="Times New Roman" w:cs="Times New Roman"/>
              </w:rPr>
            </w:pPr>
            <w:r w:rsidRPr="002B2B0B">
              <w:rPr>
                <w:rFonts w:ascii="Times New Roman" w:hAnsi="Times New Roman" w:cs="Times New Roman"/>
              </w:rPr>
              <w:t>No explicit reference to Starch Polishes in either (i) early protected, or (ii) additionally protected lists of the Import Duties Act, 1932.</w:t>
            </w:r>
            <w:r>
              <w:rPr>
                <w:rFonts w:ascii="Times New Roman" w:hAnsi="Times New Roman" w:cs="Times New Roman"/>
              </w:rPr>
              <w:t xml:space="preserve"> Thus, by deduction the industry is assumed to have a 10% </w:t>
            </w:r>
            <w:r>
              <w:rPr>
                <w:rFonts w:ascii="Times New Roman" w:hAnsi="Times New Roman" w:cs="Times New Roman"/>
                <w:i/>
              </w:rPr>
              <w:t>ad valorem</w:t>
            </w:r>
            <w:r>
              <w:rPr>
                <w:rFonts w:ascii="Times New Roman" w:hAnsi="Times New Roman" w:cs="Times New Roman"/>
              </w:rPr>
              <w:t xml:space="preserve"> tariff rate imposed in 1932.</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707</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Paint Colour Varnishes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 46): Group XIV</w:t>
            </w:r>
            <w:r>
              <w:rPr>
                <w:rFonts w:ascii="Times New Roman" w:hAnsi="Times New Roman" w:cs="Times New Roman"/>
              </w:rPr>
              <w:t xml:space="preserve">: </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“This group includes a short list of chemicals many of which are used for domestic or agricultural purposes. Most of them are dutiable at a rate of 20% </w:t>
            </w:r>
            <w:r w:rsidRPr="002B2B0B">
              <w:rPr>
                <w:rFonts w:ascii="Times New Roman" w:hAnsi="Times New Roman" w:cs="Times New Roman"/>
                <w:i/>
              </w:rPr>
              <w:t>ad valorem</w:t>
            </w:r>
            <w:r w:rsidRPr="002B2B0B">
              <w:rPr>
                <w:rFonts w:ascii="Times New Roman" w:hAnsi="Times New Roman" w:cs="Times New Roman"/>
              </w:rPr>
              <w:t xml:space="preserve">, but in a few cases duties as low as 15% and as high as 33.3% are imposed. […] The duties on paint vary from 15 to 20% </w:t>
            </w:r>
            <w:r w:rsidRPr="002B2B0B">
              <w:rPr>
                <w:rFonts w:ascii="Times New Roman" w:hAnsi="Times New Roman" w:cs="Times New Roman"/>
                <w:i/>
              </w:rPr>
              <w:t>ad valorem</w:t>
            </w:r>
            <w:r w:rsidRPr="002B2B0B">
              <w:rPr>
                <w:rFonts w:ascii="Times New Roman" w:hAnsi="Times New Roman" w:cs="Times New Roman"/>
              </w:rPr>
              <w:t>.”</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IDAC (1932b, p. 10), CET (1935, p. 66) and Hutchison (1965, p. 182): Group </w:t>
            </w:r>
            <w:r w:rsidR="007D5E0C" w:rsidRPr="002B2B0B">
              <w:rPr>
                <w:rFonts w:ascii="Times New Roman" w:hAnsi="Times New Roman" w:cs="Times New Roman"/>
              </w:rPr>
              <w:t>X (</w:t>
            </w:r>
            <w:r w:rsidRPr="002B2B0B">
              <w:rPr>
                <w:rFonts w:ascii="Times New Roman" w:hAnsi="Times New Roman" w:cs="Times New Roman"/>
              </w:rPr>
              <w:t>29)</w:t>
            </w:r>
            <w:r>
              <w:rPr>
                <w:rFonts w:ascii="Times New Roman" w:hAnsi="Times New Roman" w:cs="Times New Roman"/>
              </w:rPr>
              <w:t xml:space="preserve">: </w:t>
            </w:r>
            <w:r w:rsidRPr="002B2B0B">
              <w:rPr>
                <w:rFonts w:ascii="Times New Roman" w:hAnsi="Times New Roman" w:cs="Times New Roman"/>
              </w:rPr>
              <w:t>“Paints and Colours”.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708</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Explosives &amp; Fireworks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shd w:val="clear" w:color="auto" w:fill="auto"/>
          </w:tcPr>
          <w:p w:rsidR="00817EAD" w:rsidRPr="002B2B0B" w:rsidRDefault="00817EAD" w:rsidP="00CD1883">
            <w:pPr>
              <w:rPr>
                <w:rFonts w:ascii="Times New Roman" w:hAnsi="Times New Roman" w:cs="Times New Roman"/>
              </w:rPr>
            </w:pPr>
            <w:r>
              <w:rPr>
                <w:rFonts w:ascii="Times New Roman" w:hAnsi="Times New Roman" w:cs="Times New Roman"/>
              </w:rPr>
              <w:t>Early Protected</w:t>
            </w:r>
          </w:p>
        </w:tc>
        <w:tc>
          <w:tcPr>
            <w:tcW w:w="7375" w:type="dxa"/>
            <w:shd w:val="clear" w:color="auto" w:fill="auto"/>
          </w:tcPr>
          <w:p w:rsidR="00817EAD" w:rsidRPr="00703D59" w:rsidRDefault="00817EAD" w:rsidP="00CD1883">
            <w:pPr>
              <w:rPr>
                <w:rFonts w:ascii="Times New Roman" w:hAnsi="Times New Roman" w:cs="Times New Roman"/>
              </w:rPr>
            </w:pPr>
            <w:r w:rsidRPr="00703D59">
              <w:rPr>
                <w:rFonts w:ascii="Times New Roman" w:hAnsi="Times New Roman" w:cs="Times New Roman"/>
              </w:rPr>
              <w:t>Fireworks were exempt from duty. NIESR (1945, p. 52) notes:</w:t>
            </w:r>
          </w:p>
          <w:p w:rsidR="00817EAD" w:rsidRPr="00703D59" w:rsidRDefault="00817EAD" w:rsidP="00CD1883">
            <w:pPr>
              <w:rPr>
                <w:rFonts w:ascii="Times New Roman" w:hAnsi="Times New Roman" w:cs="Times New Roman"/>
              </w:rPr>
            </w:pPr>
            <w:r w:rsidRPr="00703D59">
              <w:rPr>
                <w:rFonts w:ascii="Times New Roman" w:hAnsi="Times New Roman" w:cs="Times New Roman"/>
              </w:rPr>
              <w:t xml:space="preserve">“Under the </w:t>
            </w:r>
            <w:r w:rsidRPr="00703D59">
              <w:rPr>
                <w:rFonts w:ascii="Times New Roman" w:hAnsi="Times New Roman" w:cs="Times New Roman"/>
                <w:i/>
              </w:rPr>
              <w:t xml:space="preserve">Safeguarding of Industries Act </w:t>
            </w:r>
            <w:r w:rsidRPr="00703D59">
              <w:rPr>
                <w:rFonts w:ascii="Times New Roman" w:hAnsi="Times New Roman" w:cs="Times New Roman"/>
              </w:rPr>
              <w:t xml:space="preserve">1921, and the </w:t>
            </w:r>
            <w:r w:rsidRPr="00703D59">
              <w:rPr>
                <w:rFonts w:ascii="Times New Roman" w:hAnsi="Times New Roman" w:cs="Times New Roman"/>
                <w:i/>
              </w:rPr>
              <w:t xml:space="preserve">Finance Acts </w:t>
            </w:r>
            <w:r w:rsidRPr="00703D59">
              <w:rPr>
                <w:rFonts w:ascii="Times New Roman" w:hAnsi="Times New Roman" w:cs="Times New Roman"/>
              </w:rPr>
              <w:t>of 1922, 1926 and 1936, the following classes of goods are exempt from duty under Part 5: […] fireworks.</w:t>
            </w:r>
            <w:r>
              <w:rPr>
                <w:rFonts w:ascii="Times New Roman" w:hAnsi="Times New Roman" w:cs="Times New Roman"/>
              </w:rPr>
              <w:t xml:space="preserve"> </w:t>
            </w:r>
          </w:p>
          <w:p w:rsidR="00817EAD" w:rsidRPr="00703D59" w:rsidRDefault="00817EAD" w:rsidP="00CD1883">
            <w:pPr>
              <w:rPr>
                <w:rFonts w:ascii="Times New Roman" w:hAnsi="Times New Roman" w:cs="Times New Roman"/>
              </w:rPr>
            </w:pPr>
            <w:r w:rsidRPr="00703D59">
              <w:rPr>
                <w:rFonts w:ascii="Times New Roman" w:hAnsi="Times New Roman" w:cs="Times New Roman"/>
              </w:rPr>
              <w:t>Fireworks are approximately 20% of output for this industry (Kitson and Solomou</w:t>
            </w:r>
            <w:r>
              <w:rPr>
                <w:rFonts w:ascii="Times New Roman" w:hAnsi="Times New Roman" w:cs="Times New Roman"/>
              </w:rPr>
              <w:t>, 1990</w:t>
            </w:r>
            <w:r w:rsidRPr="00703D59">
              <w:rPr>
                <w:rFonts w:ascii="Times New Roman" w:hAnsi="Times New Roman" w:cs="Times New Roman"/>
              </w:rPr>
              <w:t>)</w:t>
            </w:r>
          </w:p>
          <w:p w:rsidR="00817EAD" w:rsidRPr="002B2B0B" w:rsidRDefault="00817EAD" w:rsidP="00CD1883">
            <w:pPr>
              <w:rPr>
                <w:rFonts w:ascii="Times New Roman" w:hAnsi="Times New Roman" w:cs="Times New Roman"/>
              </w:rPr>
            </w:pPr>
            <w:r w:rsidRPr="00703D59">
              <w:rPr>
                <w:rFonts w:ascii="Times New Roman" w:hAnsi="Times New Roman" w:cs="Times New Roman"/>
              </w:rPr>
              <w:t>Explosives Regulated by Licence</w:t>
            </w:r>
            <w:r>
              <w:rPr>
                <w:rFonts w:ascii="Times New Roman" w:hAnsi="Times New Roman" w:cs="Times New Roman"/>
              </w:rPr>
              <w:t xml:space="preserve">. </w:t>
            </w:r>
            <w:r w:rsidRPr="00703D59">
              <w:rPr>
                <w:rFonts w:ascii="Times New Roman" w:hAnsi="Times New Roman" w:cs="Times New Roman"/>
              </w:rPr>
              <w:t>CET (1935, p. 8): “Explosives may not be imported ex</w:t>
            </w:r>
            <w:r>
              <w:rPr>
                <w:rFonts w:ascii="Times New Roman" w:hAnsi="Times New Roman" w:cs="Times New Roman"/>
              </w:rPr>
              <w:t>cept under Home Office licence”</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709</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Match</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Pr>
                <w:rFonts w:ascii="Times New Roman" w:hAnsi="Times New Roman" w:cs="Times New Roman"/>
              </w:rPr>
              <w:t>Specific duties</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pp. 48-49):</w:t>
            </w:r>
            <w:r>
              <w:rPr>
                <w:rFonts w:ascii="Times New Roman" w:hAnsi="Times New Roman" w:cs="Times New Roman"/>
              </w:rPr>
              <w:t xml:space="preserve"> </w:t>
            </w:r>
            <w:r w:rsidRPr="002B2B0B">
              <w:rPr>
                <w:rFonts w:ascii="Times New Roman" w:hAnsi="Times New Roman" w:cs="Times New Roman"/>
              </w:rPr>
              <w:t>“This Part consists of various duties which have been imposed at different times under special enactments. Many of them were originally for revenue purposes under the Finance Acts. […]</w:t>
            </w:r>
          </w:p>
          <w:p w:rsidR="00817EAD" w:rsidRDefault="00817EAD" w:rsidP="00CD1883">
            <w:pPr>
              <w:rPr>
                <w:rFonts w:ascii="Times New Roman" w:hAnsi="Times New Roman" w:cs="Times New Roman"/>
              </w:rPr>
            </w:pPr>
            <w:r w:rsidRPr="002B2B0B">
              <w:rPr>
                <w:rFonts w:ascii="Times New Roman" w:hAnsi="Times New Roman" w:cs="Times New Roman"/>
              </w:rPr>
              <w:t>“There is a specific duty [… on] matches”.</w:t>
            </w:r>
          </w:p>
          <w:p w:rsidR="00817EAD" w:rsidRPr="002B2B0B" w:rsidRDefault="00817EAD" w:rsidP="00CD1883">
            <w:pPr>
              <w:rPr>
                <w:rFonts w:ascii="Times New Roman" w:hAnsi="Times New Roman" w:cs="Times New Roman"/>
              </w:rPr>
            </w:pPr>
            <w:r w:rsidRPr="00242C68">
              <w:rPr>
                <w:rFonts w:ascii="Times New Roman" w:hAnsi="Times New Roman" w:cs="Times New Roman"/>
              </w:rPr>
              <w:t>Cmd. 5296 (1936), Table 134</w:t>
            </w:r>
            <w:r>
              <w:rPr>
                <w:rFonts w:ascii="Times New Roman" w:hAnsi="Times New Roman" w:cs="Times New Roman"/>
              </w:rPr>
              <w:t>,</w:t>
            </w:r>
            <w:r w:rsidRPr="00242C68">
              <w:rPr>
                <w:rFonts w:ascii="Times New Roman" w:hAnsi="Times New Roman" w:cs="Times New Roman"/>
              </w:rPr>
              <w:t xml:space="preserve"> notes </w:t>
            </w:r>
            <w:r>
              <w:rPr>
                <w:rFonts w:ascii="Times New Roman" w:hAnsi="Times New Roman" w:cs="Times New Roman"/>
              </w:rPr>
              <w:t>specific duties in 1916, 1918 and 1927.</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710</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Ink, Gum, Wax</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14), CET (1935, pp. 78-79)</w:t>
            </w:r>
            <w:r>
              <w:rPr>
                <w:rFonts w:ascii="Times New Roman" w:hAnsi="Times New Roman" w:cs="Times New Roman"/>
              </w:rPr>
              <w:t>. Hutchison (1965, p. 186)</w:t>
            </w:r>
            <w:r w:rsidR="007D5E0C">
              <w:rPr>
                <w:rFonts w:ascii="Times New Roman" w:hAnsi="Times New Roman" w:cs="Times New Roman"/>
              </w:rPr>
              <w:t xml:space="preserve">, </w:t>
            </w:r>
            <w:r w:rsidR="007D5E0C" w:rsidRPr="002B2B0B">
              <w:rPr>
                <w:rFonts w:ascii="Times New Roman" w:hAnsi="Times New Roman" w:cs="Times New Roman"/>
              </w:rPr>
              <w:t>Group</w:t>
            </w:r>
            <w:r w:rsidRPr="002B2B0B">
              <w:rPr>
                <w:rFonts w:ascii="Times New Roman" w:hAnsi="Times New Roman" w:cs="Times New Roman"/>
              </w:rPr>
              <w:t xml:space="preserve"> </w:t>
            </w:r>
            <w:r w:rsidR="007D5E0C" w:rsidRPr="002B2B0B">
              <w:rPr>
                <w:rFonts w:ascii="Times New Roman" w:hAnsi="Times New Roman" w:cs="Times New Roman"/>
              </w:rPr>
              <w:t>XVI (</w:t>
            </w:r>
            <w:r w:rsidRPr="002B2B0B">
              <w:rPr>
                <w:rFonts w:ascii="Times New Roman" w:hAnsi="Times New Roman" w:cs="Times New Roman"/>
              </w:rPr>
              <w:t>19)</w:t>
            </w:r>
            <w:r>
              <w:rPr>
                <w:rFonts w:ascii="Times New Roman" w:hAnsi="Times New Roman" w:cs="Times New Roman"/>
              </w:rPr>
              <w:t xml:space="preserve"> notes additional duties: </w:t>
            </w:r>
            <w:r w:rsidRPr="002B2B0B">
              <w:rPr>
                <w:rFonts w:ascii="Times New Roman" w:hAnsi="Times New Roman" w:cs="Times New Roman"/>
              </w:rPr>
              <w:t>“Stationary (other than paper), including writing ink and ink powder, […], sealing wax”.</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711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Petroleum</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Pr>
                <w:rFonts w:ascii="Times New Roman" w:hAnsi="Times New Roman" w:cs="Times New Roman"/>
              </w:rPr>
              <w:t>Specific duties</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(1932a, p. 3):</w:t>
            </w:r>
            <w:r>
              <w:rPr>
                <w:rFonts w:ascii="Times New Roman" w:hAnsi="Times New Roman" w:cs="Times New Roman"/>
              </w:rPr>
              <w:t xml:space="preserve"> </w:t>
            </w:r>
          </w:p>
          <w:p w:rsidR="00817EAD" w:rsidRPr="002B2B0B" w:rsidRDefault="00817EAD" w:rsidP="00CD1883">
            <w:pPr>
              <w:rPr>
                <w:rFonts w:ascii="Times New Roman" w:hAnsi="Times New Roman" w:cs="Times New Roman"/>
              </w:rPr>
            </w:pPr>
            <w:r w:rsidRPr="002B2B0B">
              <w:rPr>
                <w:rFonts w:ascii="Times New Roman" w:hAnsi="Times New Roman" w:cs="Times New Roman"/>
              </w:rPr>
              <w:t>“The customs duty on Hydrocarbon Oils was imposed […] in 1928.”</w:t>
            </w: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Sector: Leather</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801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Fellmongery</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15%</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IDAC (1932b, p. 13), CET (1935, p. 74) and Hutchison (1965, p. 185): Group </w:t>
            </w:r>
            <w:r w:rsidR="007D5E0C" w:rsidRPr="002B2B0B">
              <w:rPr>
                <w:rFonts w:ascii="Times New Roman" w:hAnsi="Times New Roman" w:cs="Times New Roman"/>
              </w:rPr>
              <w:t>XVI (</w:t>
            </w:r>
            <w:r w:rsidRPr="002B2B0B">
              <w:rPr>
                <w:rFonts w:ascii="Times New Roman" w:hAnsi="Times New Roman" w:cs="Times New Roman"/>
              </w:rPr>
              <w:t>6-7):</w:t>
            </w:r>
            <w:r>
              <w:rPr>
                <w:rFonts w:ascii="Times New Roman" w:hAnsi="Times New Roman" w:cs="Times New Roman"/>
              </w:rPr>
              <w:t xml:space="preserve"> </w:t>
            </w:r>
            <w:r w:rsidRPr="002B2B0B">
              <w:rPr>
                <w:rFonts w:ascii="Times New Roman" w:hAnsi="Times New Roman" w:cs="Times New Roman"/>
              </w:rPr>
              <w:t>“(6) Fur and other skins, including pieces (dressed), except leather.”</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802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Leather Tanning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val="restart"/>
            <w:vAlign w:val="center"/>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11), CET (1935, p. 67) and Hutchison (1965, p. 182): Group XII</w:t>
            </w:r>
          </w:p>
          <w:p w:rsidR="00817EAD" w:rsidRPr="002B2B0B" w:rsidRDefault="00817EAD" w:rsidP="00CD1883">
            <w:pPr>
              <w:rPr>
                <w:rFonts w:ascii="Times New Roman" w:hAnsi="Times New Roman" w:cs="Times New Roman"/>
              </w:rPr>
            </w:pPr>
            <w:r w:rsidRPr="002B2B0B">
              <w:rPr>
                <w:rFonts w:ascii="Times New Roman" w:hAnsi="Times New Roman" w:cs="Times New Roman"/>
              </w:rPr>
              <w:t>“(1) Leather, dressed (other than patent, varnished, japanned and enamelled and glace kid). [15%]</w:t>
            </w:r>
          </w:p>
          <w:p w:rsidR="00817EAD" w:rsidRPr="002B2B0B" w:rsidRDefault="00817EAD" w:rsidP="00CD1883">
            <w:pPr>
              <w:rPr>
                <w:rFonts w:ascii="Times New Roman" w:hAnsi="Times New Roman" w:cs="Times New Roman"/>
              </w:rPr>
            </w:pPr>
            <w:r w:rsidRPr="002B2B0B">
              <w:rPr>
                <w:rFonts w:ascii="Times New Roman" w:hAnsi="Times New Roman" w:cs="Times New Roman"/>
              </w:rPr>
              <w:t>“(2) Saddlery and harness (including horse boots) wholly or partly of leather. [20%]</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“(3) Trunks, bags, wallets, pouches and other receptacles made wholly or partly of leather or material resembling leather whether fitted or not. [25%]” </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803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Leather Goods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tcPr>
          <w:p w:rsidR="00817EAD" w:rsidRPr="002B2B0B" w:rsidRDefault="00817EAD" w:rsidP="00CD1883">
            <w:pPr>
              <w:rPr>
                <w:rFonts w:ascii="Times New Roman" w:hAnsi="Times New Roman" w:cs="Times New Roman"/>
              </w:rPr>
            </w:pP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Sector: Paper</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901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Paper</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val="restart"/>
          </w:tcPr>
          <w:p w:rsidR="00817EAD" w:rsidRPr="002B2B0B" w:rsidRDefault="00817EAD" w:rsidP="00CD1883">
            <w:pPr>
              <w:rPr>
                <w:rFonts w:ascii="Times New Roman" w:hAnsi="Times New Roman" w:cs="Times New Roman"/>
              </w:rPr>
            </w:pPr>
            <w:r w:rsidRPr="002B2B0B">
              <w:rPr>
                <w:rFonts w:ascii="Times New Roman" w:hAnsi="Times New Roman" w:cs="Times New Roman"/>
              </w:rPr>
              <w:t>Cmd. 5296 (1936), Table 134, describes a 16.66% duty on Pa</w:t>
            </w:r>
            <w:r>
              <w:rPr>
                <w:rFonts w:ascii="Times New Roman" w:hAnsi="Times New Roman" w:cs="Times New Roman"/>
              </w:rPr>
              <w:t xml:space="preserve">per </w:t>
            </w:r>
            <w:r w:rsidRPr="002B2B0B">
              <w:rPr>
                <w:rFonts w:ascii="Times New Roman" w:hAnsi="Times New Roman" w:cs="Times New Roman"/>
              </w:rPr>
              <w:t xml:space="preserve">from 1925 which lapsed on 30 April 1930. </w:t>
            </w:r>
          </w:p>
          <w:p w:rsidR="00817EAD" w:rsidRDefault="00817EAD" w:rsidP="00CD1883">
            <w:pPr>
              <w:rPr>
                <w:rFonts w:ascii="Times New Roman" w:hAnsi="Times New Roman" w:cs="Times New Roman"/>
              </w:rPr>
            </w:pPr>
            <w:r w:rsidRPr="002B2B0B">
              <w:rPr>
                <w:rFonts w:ascii="Times New Roman" w:hAnsi="Times New Roman" w:cs="Times New Roman"/>
              </w:rPr>
              <w:t>IDAC (1932a, p. 4) notes that “Under the White Paper procedure, duties were imposed for a period of five years […] at the rate of 16.66% on packing and wrapping paper”</w:t>
            </w:r>
          </w:p>
          <w:p w:rsidR="00817EAD" w:rsidRPr="00653A05" w:rsidRDefault="00817EAD" w:rsidP="00CD1883">
            <w:pPr>
              <w:rPr>
                <w:rFonts w:ascii="Times New Roman" w:hAnsi="Times New Roman" w:cs="Times New Roman"/>
              </w:rPr>
            </w:pPr>
            <w:r w:rsidRPr="002B2B0B">
              <w:rPr>
                <w:rFonts w:ascii="Times New Roman" w:hAnsi="Times New Roman" w:cs="Times New Roman"/>
              </w:rPr>
              <w:t>IDAC (1932b, p. 11), CET (1935, p. 67</w:t>
            </w:r>
            <w:r>
              <w:rPr>
                <w:rFonts w:ascii="Times New Roman" w:hAnsi="Times New Roman" w:cs="Times New Roman"/>
              </w:rPr>
              <w:t xml:space="preserve">) and Hutchison (1965, p. 183), </w:t>
            </w:r>
            <w:r w:rsidRPr="002B2B0B">
              <w:rPr>
                <w:rFonts w:ascii="Times New Roman" w:hAnsi="Times New Roman" w:cs="Times New Roman"/>
              </w:rPr>
              <w:t xml:space="preserve">Group </w:t>
            </w:r>
            <w:r w:rsidR="007D5E0C" w:rsidRPr="002B2B0B">
              <w:rPr>
                <w:rFonts w:ascii="Times New Roman" w:hAnsi="Times New Roman" w:cs="Times New Roman"/>
              </w:rPr>
              <w:t>XIII (</w:t>
            </w:r>
            <w:r w:rsidRPr="002B2B0B">
              <w:rPr>
                <w:rFonts w:ascii="Times New Roman" w:hAnsi="Times New Roman" w:cs="Times New Roman"/>
              </w:rPr>
              <w:t>1-2)</w:t>
            </w:r>
            <w:r>
              <w:rPr>
                <w:rFonts w:ascii="Times New Roman" w:hAnsi="Times New Roman" w:cs="Times New Roman"/>
              </w:rPr>
              <w:t xml:space="preserve"> note additional tariffs for paper in the early 1930s, such that total protection was 20% </w:t>
            </w:r>
            <w:r>
              <w:rPr>
                <w:rFonts w:ascii="Times New Roman" w:hAnsi="Times New Roman" w:cs="Times New Roman"/>
                <w:i/>
              </w:rPr>
              <w:t>ad valorem</w:t>
            </w:r>
            <w:r>
              <w:rPr>
                <w:rFonts w:ascii="Times New Roman" w:hAnsi="Times New Roman" w:cs="Times New Roman"/>
              </w:rPr>
              <w:t>.</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902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Wallpaper</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tcPr>
          <w:p w:rsidR="00817EAD" w:rsidRPr="002B2B0B" w:rsidRDefault="00817EAD" w:rsidP="00CD1883">
            <w:pPr>
              <w:rPr>
                <w:rFonts w:ascii="Times New Roman" w:hAnsi="Times New Roman" w:cs="Times New Roman"/>
              </w:rPr>
            </w:pP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903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Printing &amp; Books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pp. 50-52):</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“Certain classes of goods are exempted from all duties and others are exempted from duty under particular Acts, but remain liable to duty under other Acts. […] Under the </w:t>
            </w:r>
            <w:r w:rsidRPr="002B2B0B">
              <w:rPr>
                <w:rFonts w:ascii="Times New Roman" w:hAnsi="Times New Roman" w:cs="Times New Roman"/>
                <w:i/>
              </w:rPr>
              <w:t>Import Duties Act</w:t>
            </w:r>
            <w:r w:rsidRPr="002B2B0B">
              <w:rPr>
                <w:rFonts w:ascii="Times New Roman" w:hAnsi="Times New Roman" w:cs="Times New Roman"/>
              </w:rPr>
              <w:t xml:space="preserve"> the following classes of goods are exempted from duty under Part 3 of the tariff: […]</w:t>
            </w:r>
          </w:p>
          <w:p w:rsidR="00817EAD" w:rsidRPr="002B2B0B" w:rsidRDefault="00817EAD" w:rsidP="00CD1883">
            <w:pPr>
              <w:rPr>
                <w:rFonts w:ascii="Times New Roman" w:hAnsi="Times New Roman" w:cs="Times New Roman"/>
              </w:rPr>
            </w:pPr>
            <w:r w:rsidRPr="002B2B0B">
              <w:rPr>
                <w:rFonts w:ascii="Times New Roman" w:hAnsi="Times New Roman" w:cs="Times New Roman"/>
              </w:rPr>
              <w:t>“(7) Goods specifically exempted under the Act. The list of these goods covers ten pages of the Customs and Excise Tariff, and includes: […], printed trade catalogues and lists, manuscripts and typescripts […] maps”.</w:t>
            </w:r>
          </w:p>
          <w:p w:rsidR="00817EAD" w:rsidRPr="002B2B0B" w:rsidRDefault="00817EAD" w:rsidP="00CD1883">
            <w:pPr>
              <w:rPr>
                <w:rFonts w:ascii="Times New Roman" w:hAnsi="Times New Roman" w:cs="Times New Roman"/>
              </w:rPr>
            </w:pPr>
            <w:r w:rsidRPr="002B2B0B">
              <w:rPr>
                <w:rFonts w:ascii="Times New Roman" w:hAnsi="Times New Roman" w:cs="Times New Roman"/>
              </w:rPr>
              <w:t>CET (1935, pp. 12-17): “Goods specifically exempted by the Import Duties Act, 1932, and Treasury Orders thereunder, viz.:-</w:t>
            </w:r>
          </w:p>
          <w:p w:rsidR="00817EAD" w:rsidRPr="002B2B0B" w:rsidRDefault="00817EAD" w:rsidP="00CD1883">
            <w:pPr>
              <w:rPr>
                <w:rFonts w:ascii="Times New Roman" w:hAnsi="Times New Roman" w:cs="Times New Roman"/>
              </w:rPr>
            </w:pPr>
            <w:r w:rsidRPr="002B2B0B">
              <w:rPr>
                <w:rFonts w:ascii="Times New Roman" w:hAnsi="Times New Roman" w:cs="Times New Roman"/>
              </w:rPr>
              <w:t>“Maps […]</w:t>
            </w:r>
            <w:r>
              <w:rPr>
                <w:rFonts w:ascii="Times New Roman" w:hAnsi="Times New Roman" w:cs="Times New Roman"/>
              </w:rPr>
              <w:t xml:space="preserve"> </w:t>
            </w:r>
            <w:r w:rsidRPr="002B2B0B">
              <w:rPr>
                <w:rFonts w:ascii="Times New Roman" w:hAnsi="Times New Roman" w:cs="Times New Roman"/>
              </w:rPr>
              <w:t>Newspapers, periodicals, printed books</w:t>
            </w:r>
          </w:p>
          <w:p w:rsidR="00817EAD" w:rsidRPr="002B2B0B" w:rsidRDefault="00817EAD" w:rsidP="00CD1883">
            <w:pPr>
              <w:rPr>
                <w:rFonts w:ascii="Times New Roman" w:hAnsi="Times New Roman" w:cs="Times New Roman"/>
              </w:rPr>
            </w:pPr>
            <w:r w:rsidRPr="002B2B0B">
              <w:rPr>
                <w:rFonts w:ascii="Times New Roman" w:hAnsi="Times New Roman" w:cs="Times New Roman"/>
              </w:rPr>
              <w:t>“Printed parts of newspapers, of periodicals and of printed books […].</w:t>
            </w:r>
          </w:p>
          <w:p w:rsidR="00817EAD" w:rsidRPr="002B2B0B" w:rsidRDefault="00817EAD" w:rsidP="00CD1883">
            <w:pPr>
              <w:rPr>
                <w:rFonts w:ascii="Times New Roman" w:hAnsi="Times New Roman" w:cs="Times New Roman"/>
              </w:rPr>
            </w:pPr>
            <w:r w:rsidRPr="002B2B0B">
              <w:rPr>
                <w:rFonts w:ascii="Times New Roman" w:hAnsi="Times New Roman" w:cs="Times New Roman"/>
              </w:rPr>
              <w:t>“Printed publications”.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904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Print &amp; Publish Newspaper</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pp. 50-52):</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“Certain classes of goods are exempted from all duties and others are exempted from duty under particular Acts, but remain liable to duty under other Acts. […] Under the </w:t>
            </w:r>
            <w:r w:rsidRPr="002B2B0B">
              <w:rPr>
                <w:rFonts w:ascii="Times New Roman" w:hAnsi="Times New Roman" w:cs="Times New Roman"/>
                <w:i/>
              </w:rPr>
              <w:t>Import Duties Act</w:t>
            </w:r>
            <w:r w:rsidRPr="002B2B0B">
              <w:rPr>
                <w:rFonts w:ascii="Times New Roman" w:hAnsi="Times New Roman" w:cs="Times New Roman"/>
              </w:rPr>
              <w:t xml:space="preserve"> the following classes of goods are exempted from duty under Part 3 of the tariff: […]</w:t>
            </w:r>
          </w:p>
          <w:p w:rsidR="00817EAD" w:rsidRPr="002B2B0B" w:rsidRDefault="00817EAD" w:rsidP="00CD1883">
            <w:pPr>
              <w:rPr>
                <w:rFonts w:ascii="Times New Roman" w:hAnsi="Times New Roman" w:cs="Times New Roman"/>
              </w:rPr>
            </w:pPr>
            <w:r w:rsidRPr="002B2B0B">
              <w:rPr>
                <w:rFonts w:ascii="Times New Roman" w:hAnsi="Times New Roman" w:cs="Times New Roman"/>
              </w:rPr>
              <w:t>“(7) Goods specifically exempted under the Act. The list of these goods covers ten pages of the Customs and Excise Tariff, and includes: […], newsprint”.</w:t>
            </w:r>
          </w:p>
          <w:p w:rsidR="00817EAD" w:rsidRPr="002B2B0B" w:rsidRDefault="00817EAD" w:rsidP="00CD1883">
            <w:pPr>
              <w:rPr>
                <w:rFonts w:ascii="Times New Roman" w:hAnsi="Times New Roman" w:cs="Times New Roman"/>
              </w:rPr>
            </w:pPr>
            <w:r w:rsidRPr="002B2B0B">
              <w:rPr>
                <w:rFonts w:ascii="Times New Roman" w:hAnsi="Times New Roman" w:cs="Times New Roman"/>
              </w:rPr>
              <w:t>CET (1935, pp. 12-17): “Goods specifically exempted by the Import Duties Act, 1932, and Treasury Orders thereunder, viz.:-</w:t>
            </w:r>
          </w:p>
          <w:p w:rsidR="00817EAD" w:rsidRPr="002B2B0B" w:rsidRDefault="00817EAD" w:rsidP="00CD1883">
            <w:pPr>
              <w:rPr>
                <w:rFonts w:ascii="Times New Roman" w:hAnsi="Times New Roman" w:cs="Times New Roman"/>
              </w:rPr>
            </w:pPr>
            <w:r w:rsidRPr="002B2B0B">
              <w:rPr>
                <w:rFonts w:ascii="Times New Roman" w:hAnsi="Times New Roman" w:cs="Times New Roman"/>
              </w:rPr>
              <w:t>“Newspapers, periodicals, printed books</w:t>
            </w:r>
            <w:r>
              <w:rPr>
                <w:rFonts w:ascii="Times New Roman" w:hAnsi="Times New Roman" w:cs="Times New Roman"/>
              </w:rPr>
              <w:t xml:space="preserve">. </w:t>
            </w:r>
          </w:p>
          <w:p w:rsidR="00817EAD" w:rsidRPr="002B2B0B" w:rsidRDefault="00817EAD" w:rsidP="00CD1883">
            <w:pPr>
              <w:rPr>
                <w:rFonts w:ascii="Times New Roman" w:hAnsi="Times New Roman" w:cs="Times New Roman"/>
              </w:rPr>
            </w:pPr>
            <w:r w:rsidRPr="002B2B0B">
              <w:rPr>
                <w:rFonts w:ascii="Times New Roman" w:hAnsi="Times New Roman" w:cs="Times New Roman"/>
              </w:rPr>
              <w:t>“Printed parts of newspapers, of periodicals”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905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Manufactured Stationary</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14), CET (1</w:t>
            </w:r>
            <w:r>
              <w:rPr>
                <w:rFonts w:ascii="Times New Roman" w:hAnsi="Times New Roman" w:cs="Times New Roman"/>
              </w:rPr>
              <w:t xml:space="preserve">935, pp. 78-79) </w:t>
            </w:r>
            <w:r w:rsidRPr="002B2B0B">
              <w:rPr>
                <w:rFonts w:ascii="Times New Roman" w:hAnsi="Times New Roman" w:cs="Times New Roman"/>
              </w:rPr>
              <w:t xml:space="preserve">and Hutchison (1965, p. 186): Group </w:t>
            </w:r>
            <w:r w:rsidR="007D5E0C" w:rsidRPr="002B2B0B">
              <w:rPr>
                <w:rFonts w:ascii="Times New Roman" w:hAnsi="Times New Roman" w:cs="Times New Roman"/>
              </w:rPr>
              <w:t>XVI (</w:t>
            </w:r>
            <w:r w:rsidRPr="002B2B0B">
              <w:rPr>
                <w:rFonts w:ascii="Times New Roman" w:hAnsi="Times New Roman" w:cs="Times New Roman"/>
              </w:rPr>
              <w:t>19)</w:t>
            </w:r>
            <w:r>
              <w:rPr>
                <w:rFonts w:ascii="Times New Roman" w:hAnsi="Times New Roman" w:cs="Times New Roman"/>
              </w:rPr>
              <w:t xml:space="preserve">: </w:t>
            </w:r>
            <w:r w:rsidRPr="002B2B0B">
              <w:rPr>
                <w:rFonts w:ascii="Times New Roman" w:hAnsi="Times New Roman" w:cs="Times New Roman"/>
              </w:rPr>
              <w:t>“Stationary (other than paper)”.</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906</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Cardboard Box</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Cmd. 5296 (1936), Table 134, describes a 16.66% duty on Packing from 1925 which lapsed on 30 April 1930. </w:t>
            </w:r>
          </w:p>
          <w:p w:rsidR="00817EAD" w:rsidRDefault="00817EAD" w:rsidP="00CD1883">
            <w:pPr>
              <w:rPr>
                <w:rFonts w:ascii="Times New Roman" w:hAnsi="Times New Roman" w:cs="Times New Roman"/>
              </w:rPr>
            </w:pPr>
            <w:r w:rsidRPr="002B2B0B">
              <w:rPr>
                <w:rFonts w:ascii="Times New Roman" w:hAnsi="Times New Roman" w:cs="Times New Roman"/>
              </w:rPr>
              <w:t>IDAC (1932a, p. 4) notes that “Under the White Paper procedure, duties were imposed for a period of five years […] at the rate of 16.66% on packing and wrapping paper”.</w:t>
            </w:r>
          </w:p>
          <w:p w:rsidR="00817EAD" w:rsidRPr="00653A05" w:rsidRDefault="00817EAD" w:rsidP="00CD1883">
            <w:pPr>
              <w:rPr>
                <w:rFonts w:ascii="Times New Roman" w:hAnsi="Times New Roman" w:cs="Times New Roman"/>
              </w:rPr>
            </w:pPr>
            <w:r w:rsidRPr="002B2B0B">
              <w:rPr>
                <w:rFonts w:ascii="Times New Roman" w:hAnsi="Times New Roman" w:cs="Times New Roman"/>
              </w:rPr>
              <w:t xml:space="preserve">IDAC (1932b, p. 11), CET (1935, p. 67) and Hutchison (1965, p. 183): Group </w:t>
            </w:r>
            <w:r w:rsidR="007D5E0C" w:rsidRPr="002B2B0B">
              <w:rPr>
                <w:rFonts w:ascii="Times New Roman" w:hAnsi="Times New Roman" w:cs="Times New Roman"/>
              </w:rPr>
              <w:t>XIII (</w:t>
            </w:r>
            <w:r w:rsidRPr="002B2B0B">
              <w:rPr>
                <w:rFonts w:ascii="Times New Roman" w:hAnsi="Times New Roman" w:cs="Times New Roman"/>
              </w:rPr>
              <w:t>1-2)</w:t>
            </w:r>
            <w:r>
              <w:rPr>
                <w:rFonts w:ascii="Times New Roman" w:hAnsi="Times New Roman" w:cs="Times New Roman"/>
              </w:rPr>
              <w:t xml:space="preserve"> show that additional duties were given to </w:t>
            </w:r>
            <w:r w:rsidRPr="002B2B0B">
              <w:rPr>
                <w:rFonts w:ascii="Times New Roman" w:hAnsi="Times New Roman" w:cs="Times New Roman"/>
              </w:rPr>
              <w:t>“[</w:t>
            </w:r>
            <w:r>
              <w:rPr>
                <w:rFonts w:ascii="Times New Roman" w:hAnsi="Times New Roman" w:cs="Times New Roman"/>
              </w:rPr>
              <w:t xml:space="preserve">B]oard made from paper or pulp” such that total protection was 20% </w:t>
            </w:r>
            <w:r>
              <w:rPr>
                <w:rFonts w:ascii="Times New Roman" w:hAnsi="Times New Roman" w:cs="Times New Roman"/>
                <w:i/>
              </w:rPr>
              <w:t>ad valorem</w:t>
            </w:r>
            <w:r>
              <w:rPr>
                <w:rFonts w:ascii="Times New Roman" w:hAnsi="Times New Roman" w:cs="Times New Roman"/>
              </w:rPr>
              <w:t>.</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907</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Pens &amp; Pencils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14), CET (1935, pp. 78-79)   and Hutchison (1965, p. 186): Group XVI(19)</w:t>
            </w:r>
            <w:r>
              <w:rPr>
                <w:rFonts w:ascii="Times New Roman" w:hAnsi="Times New Roman" w:cs="Times New Roman"/>
              </w:rPr>
              <w:t xml:space="preserve">: </w:t>
            </w:r>
            <w:r w:rsidRPr="002B2B0B">
              <w:rPr>
                <w:rFonts w:ascii="Times New Roman" w:hAnsi="Times New Roman" w:cs="Times New Roman"/>
              </w:rPr>
              <w:t>“Stationary (other than paper), including […], pencils, pencil leads and crayons, pen nibs, fountain pens, stylographic and other pens”.</w:t>
            </w: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Sector: Miscellaneous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Rubber</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Kitson and Solomou (1991): tyres, which comprise 70% of industry output, were covered by the McKenna duty.</w:t>
            </w:r>
          </w:p>
          <w:p w:rsidR="00817EAD" w:rsidRPr="002B2B0B" w:rsidRDefault="00817EAD" w:rsidP="00CD1883">
            <w:pPr>
              <w:rPr>
                <w:rFonts w:ascii="Times New Roman" w:hAnsi="Times New Roman" w:cs="Times New Roman"/>
              </w:rPr>
            </w:pPr>
            <w:r w:rsidRPr="002B2B0B">
              <w:rPr>
                <w:rFonts w:ascii="Times New Roman" w:hAnsi="Times New Roman" w:cs="Times New Roman"/>
              </w:rPr>
              <w:t>IDAC (1932a, p. 3):</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“The McKenna Duties were imposed in 1915 for a variety of reasons mostly connected with the War. They cover motor vehicles, accessories and parts […] – the duties in all these cases being 33.3% </w:t>
            </w:r>
            <w:r w:rsidRPr="002B2B0B">
              <w:rPr>
                <w:rFonts w:ascii="Times New Roman" w:hAnsi="Times New Roman" w:cs="Times New Roman"/>
                <w:i/>
              </w:rPr>
              <w:t>ad valorem</w:t>
            </w:r>
            <w:r w:rsidRPr="002B2B0B">
              <w:rPr>
                <w:rFonts w:ascii="Times New Roman" w:hAnsi="Times New Roman" w:cs="Times New Roman"/>
              </w:rPr>
              <w:t>”.</w:t>
            </w:r>
          </w:p>
          <w:p w:rsidR="00817EAD" w:rsidRPr="002B2B0B" w:rsidRDefault="00817EAD" w:rsidP="00CD1883">
            <w:pPr>
              <w:rPr>
                <w:rFonts w:ascii="Times New Roman" w:hAnsi="Times New Roman" w:cs="Times New Roman"/>
              </w:rPr>
            </w:pP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Linoleum &amp; Oilcloth</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13), CET (1935, p. 75)</w:t>
            </w:r>
            <w:r>
              <w:rPr>
                <w:rFonts w:ascii="Times New Roman" w:hAnsi="Times New Roman" w:cs="Times New Roman"/>
              </w:rPr>
              <w:t xml:space="preserve">. Hutchison (1965, p. 185), </w:t>
            </w:r>
            <w:r w:rsidRPr="002B2B0B">
              <w:rPr>
                <w:rFonts w:ascii="Times New Roman" w:hAnsi="Times New Roman" w:cs="Times New Roman"/>
              </w:rPr>
              <w:t xml:space="preserve">Group </w:t>
            </w:r>
            <w:r w:rsidR="007D5E0C" w:rsidRPr="002B2B0B">
              <w:rPr>
                <w:rFonts w:ascii="Times New Roman" w:hAnsi="Times New Roman" w:cs="Times New Roman"/>
              </w:rPr>
              <w:t>XVI (</w:t>
            </w:r>
            <w:r w:rsidRPr="002B2B0B">
              <w:rPr>
                <w:rFonts w:ascii="Times New Roman" w:hAnsi="Times New Roman" w:cs="Times New Roman"/>
              </w:rPr>
              <w:t>13)</w:t>
            </w:r>
            <w:r>
              <w:rPr>
                <w:rFonts w:ascii="Times New Roman" w:hAnsi="Times New Roman" w:cs="Times New Roman"/>
              </w:rPr>
              <w:t xml:space="preserve"> notes additional tariffs for </w:t>
            </w:r>
            <w:r w:rsidRPr="002B2B0B">
              <w:rPr>
                <w:rFonts w:ascii="Times New Roman" w:hAnsi="Times New Roman" w:cs="Times New Roman"/>
              </w:rPr>
              <w:t>“Felt base floor covering, linoleum and oilcloth.”</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Musical Instruments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(1932a, p. 3):</w:t>
            </w:r>
            <w:r>
              <w:rPr>
                <w:rFonts w:ascii="Times New Roman" w:hAnsi="Times New Roman" w:cs="Times New Roman"/>
              </w:rPr>
              <w:t xml:space="preserve"> </w:t>
            </w:r>
            <w:r w:rsidRPr="002B2B0B">
              <w:rPr>
                <w:rFonts w:ascii="Times New Roman" w:hAnsi="Times New Roman" w:cs="Times New Roman"/>
              </w:rPr>
              <w:t xml:space="preserve">“The McKenna Duties were imposed in 1915 for a variety of reasons mostly connected with the War. They cover […] musical instruments […] – the duties in all these cases being 33.3% </w:t>
            </w:r>
            <w:r w:rsidRPr="002B2B0B">
              <w:rPr>
                <w:rFonts w:ascii="Times New Roman" w:hAnsi="Times New Roman" w:cs="Times New Roman"/>
                <w:i/>
              </w:rPr>
              <w:t>ad valorem</w:t>
            </w:r>
            <w:r w:rsidRPr="002B2B0B">
              <w:rPr>
                <w:rFonts w:ascii="Times New Roman" w:hAnsi="Times New Roman" w:cs="Times New Roman"/>
              </w:rPr>
              <w:t>”.</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1004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Games &amp; Toys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25%</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14), CET (1935, p. 77) and Hutchison (1965, pp. 185-186): Group XVI(17-18):</w:t>
            </w:r>
          </w:p>
          <w:p w:rsidR="00817EAD" w:rsidRPr="002B2B0B" w:rsidRDefault="00817EAD" w:rsidP="00CD1883">
            <w:pPr>
              <w:rPr>
                <w:rFonts w:ascii="Times New Roman" w:hAnsi="Times New Roman" w:cs="Times New Roman"/>
              </w:rPr>
            </w:pPr>
            <w:r w:rsidRPr="002B2B0B">
              <w:rPr>
                <w:rFonts w:ascii="Times New Roman" w:hAnsi="Times New Roman" w:cs="Times New Roman"/>
              </w:rPr>
              <w:t>“(17) Appliances, apparatus, accessories and requisites for sports, games, gymnastics and athletics and parts thereof.</w:t>
            </w:r>
          </w:p>
          <w:p w:rsidR="00817EAD" w:rsidRPr="002B2B0B" w:rsidRDefault="00817EAD" w:rsidP="00CD1883">
            <w:pPr>
              <w:rPr>
                <w:rFonts w:ascii="Times New Roman" w:hAnsi="Times New Roman" w:cs="Times New Roman"/>
              </w:rPr>
            </w:pPr>
            <w:r w:rsidRPr="002B2B0B">
              <w:rPr>
                <w:rFonts w:ascii="Times New Roman" w:hAnsi="Times New Roman" w:cs="Times New Roman"/>
              </w:rPr>
              <w:t>“(18) Toys of all kinds and parts thereof”.</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1005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Sports Requisites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25%</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14), CET (1935, p. 77) and Hutchison (1965, pp. 185-186): Group XVI(17):</w:t>
            </w:r>
            <w:r>
              <w:rPr>
                <w:rFonts w:ascii="Times New Roman" w:hAnsi="Times New Roman" w:cs="Times New Roman"/>
              </w:rPr>
              <w:t xml:space="preserve"> </w:t>
            </w:r>
            <w:r w:rsidRPr="002B2B0B">
              <w:rPr>
                <w:rFonts w:ascii="Times New Roman" w:hAnsi="Times New Roman" w:cs="Times New Roman"/>
              </w:rPr>
              <w:t>“Appliances, apparatus, accessories and requisites for sports, games, gymnastics and athletics and parts thereof.”</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1006</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Scientific Instruments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(1932a, p. 3):</w:t>
            </w:r>
            <w:r>
              <w:rPr>
                <w:rFonts w:ascii="Times New Roman" w:hAnsi="Times New Roman" w:cs="Times New Roman"/>
              </w:rPr>
              <w:t xml:space="preserve"> </w:t>
            </w:r>
            <w:r w:rsidRPr="002B2B0B">
              <w:rPr>
                <w:rFonts w:ascii="Times New Roman" w:hAnsi="Times New Roman" w:cs="Times New Roman"/>
              </w:rPr>
              <w:t xml:space="preserve">“[T]he Key Industry Duties […] cover a wide range of commodities such as optical and scientific instruments […]. The duty is in most cases 33.3% </w:t>
            </w:r>
            <w:r w:rsidRPr="002B2B0B">
              <w:rPr>
                <w:rFonts w:ascii="Times New Roman" w:hAnsi="Times New Roman" w:cs="Times New Roman"/>
                <w:i/>
              </w:rPr>
              <w:t>ad valorem</w:t>
            </w:r>
            <w:r w:rsidRPr="002B2B0B">
              <w:rPr>
                <w:rFonts w:ascii="Times New Roman" w:hAnsi="Times New Roman" w:cs="Times New Roman"/>
              </w:rPr>
              <w:t>.</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1007</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Cinematographic Film Printing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Pr>
                <w:rFonts w:ascii="Times New Roman" w:hAnsi="Times New Roman" w:cs="Times New Roman"/>
              </w:rPr>
              <w:t>Specific duties</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(1932a, p. 3):</w:t>
            </w:r>
            <w:r>
              <w:rPr>
                <w:rFonts w:ascii="Times New Roman" w:hAnsi="Times New Roman" w:cs="Times New Roman"/>
              </w:rPr>
              <w:t xml:space="preserve"> </w:t>
            </w:r>
            <w:r w:rsidRPr="002B2B0B">
              <w:rPr>
                <w:rFonts w:ascii="Times New Roman" w:hAnsi="Times New Roman" w:cs="Times New Roman"/>
              </w:rPr>
              <w:t>“The McKenna Duties were imposed in 1915 for a variety of reasons mostly connected with the War. They cover […] cinematograph films at specific rates.”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1008</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Incandescent Mantles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Early Protected</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33.3%</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(1932a, p. 4):</w:t>
            </w:r>
            <w:r>
              <w:rPr>
                <w:rFonts w:ascii="Times New Roman" w:hAnsi="Times New Roman" w:cs="Times New Roman"/>
              </w:rPr>
              <w:t xml:space="preserve"> </w:t>
            </w:r>
            <w:r w:rsidRPr="002B2B0B">
              <w:rPr>
                <w:rFonts w:ascii="Times New Roman" w:hAnsi="Times New Roman" w:cs="Times New Roman"/>
              </w:rPr>
              <w:t xml:space="preserve">“Under Part II of the Safeguarding Industries Act, duties of 33.3% </w:t>
            </w:r>
            <w:r w:rsidRPr="002B2B0B">
              <w:rPr>
                <w:rFonts w:ascii="Times New Roman" w:hAnsi="Times New Roman" w:cs="Times New Roman"/>
                <w:i/>
              </w:rPr>
              <w:t>ad valorem</w:t>
            </w:r>
            <w:r w:rsidRPr="002B2B0B">
              <w:rPr>
                <w:rFonts w:ascii="Times New Roman" w:hAnsi="Times New Roman" w:cs="Times New Roman"/>
              </w:rPr>
              <w:t xml:space="preserve"> were imposed for a period of five years in each case on […] gas mantles.”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1009</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Fancy Goods</w:t>
            </w:r>
          </w:p>
        </w:tc>
        <w:tc>
          <w:tcPr>
            <w:tcW w:w="1488"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shd w:val="clear" w:color="auto" w:fill="auto"/>
          </w:tcPr>
          <w:p w:rsidR="00817EAD" w:rsidRPr="002B2B0B" w:rsidRDefault="00817EAD" w:rsidP="00CD1883">
            <w:pPr>
              <w:rPr>
                <w:rFonts w:ascii="Times New Roman" w:hAnsi="Times New Roman" w:cs="Times New Roman"/>
              </w:rPr>
            </w:pPr>
            <w:r w:rsidRPr="006D0B94">
              <w:rPr>
                <w:rFonts w:ascii="Times New Roman" w:hAnsi="Times New Roman" w:cs="Times New Roman"/>
              </w:rPr>
              <w:t xml:space="preserve">Cmd. 5296 (1936), </w:t>
            </w:r>
            <w:r>
              <w:rPr>
                <w:rFonts w:ascii="Times New Roman" w:hAnsi="Times New Roman" w:cs="Times New Roman"/>
              </w:rPr>
              <w:t>displays the revenue tariff for fancy goods which shows an additional rate.</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1010</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Coke &amp; By-Products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NIESR (1945, pp. 50-52):</w:t>
            </w:r>
          </w:p>
          <w:p w:rsidR="00817EAD" w:rsidRPr="002B2B0B" w:rsidRDefault="00817EAD" w:rsidP="00CD1883">
            <w:pPr>
              <w:rPr>
                <w:rFonts w:ascii="Times New Roman" w:hAnsi="Times New Roman" w:cs="Times New Roman"/>
              </w:rPr>
            </w:pPr>
            <w:r w:rsidRPr="002B2B0B">
              <w:rPr>
                <w:rFonts w:ascii="Times New Roman" w:hAnsi="Times New Roman" w:cs="Times New Roman"/>
              </w:rPr>
              <w:t xml:space="preserve">“Certain classes of goods are exempted from all duties and others are exempted from duty under particular Acts, but remain liable to duty under other Acts. […] Under the </w:t>
            </w:r>
            <w:r w:rsidRPr="002B2B0B">
              <w:rPr>
                <w:rFonts w:ascii="Times New Roman" w:hAnsi="Times New Roman" w:cs="Times New Roman"/>
                <w:i/>
              </w:rPr>
              <w:t>Import Duties Act</w:t>
            </w:r>
            <w:r w:rsidRPr="002B2B0B">
              <w:rPr>
                <w:rFonts w:ascii="Times New Roman" w:hAnsi="Times New Roman" w:cs="Times New Roman"/>
              </w:rPr>
              <w:t xml:space="preserve"> the following classes of goods are exempted from duty under Part 3 of the tariff: […]</w:t>
            </w:r>
          </w:p>
          <w:p w:rsidR="00817EAD" w:rsidRPr="002B2B0B" w:rsidRDefault="00817EAD" w:rsidP="00CD1883">
            <w:pPr>
              <w:rPr>
                <w:rFonts w:ascii="Times New Roman" w:hAnsi="Times New Roman" w:cs="Times New Roman"/>
              </w:rPr>
            </w:pPr>
            <w:r w:rsidRPr="002B2B0B">
              <w:rPr>
                <w:rFonts w:ascii="Times New Roman" w:hAnsi="Times New Roman" w:cs="Times New Roman"/>
              </w:rPr>
              <w:t>“(7) Goods specifically exempted under the Act. The list of these goods covers ten pages of the Customs and Excise Tariff, and includes: […], coal and coke”.</w:t>
            </w:r>
          </w:p>
          <w:p w:rsidR="00817EAD" w:rsidRPr="002B2B0B" w:rsidRDefault="00817EAD" w:rsidP="00CD1883">
            <w:pPr>
              <w:rPr>
                <w:rFonts w:ascii="Times New Roman" w:hAnsi="Times New Roman" w:cs="Times New Roman"/>
              </w:rPr>
            </w:pPr>
            <w:r w:rsidRPr="002B2B0B">
              <w:rPr>
                <w:rFonts w:ascii="Times New Roman" w:hAnsi="Times New Roman" w:cs="Times New Roman"/>
              </w:rPr>
              <w:t>CET (1935, p. 12): “Goods specifically exempted by the Import Duties Act, 1932, and Treasury Orders thereunder, viz.:-</w:t>
            </w:r>
          </w:p>
          <w:p w:rsidR="00817EAD" w:rsidRPr="002B2B0B" w:rsidRDefault="00817EAD" w:rsidP="00CD1883">
            <w:pPr>
              <w:rPr>
                <w:rFonts w:ascii="Times New Roman" w:hAnsi="Times New Roman" w:cs="Times New Roman"/>
              </w:rPr>
            </w:pPr>
            <w:r w:rsidRPr="002B2B0B">
              <w:rPr>
                <w:rFonts w:ascii="Times New Roman" w:hAnsi="Times New Roman" w:cs="Times New Roman"/>
              </w:rPr>
              <w:t>“Coal, coke”.</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1011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Manufactured Fuel</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w:t>
            </w:r>
          </w:p>
        </w:tc>
        <w:tc>
          <w:tcPr>
            <w:tcW w:w="937" w:type="dxa"/>
          </w:tcPr>
          <w:p w:rsidR="00817EAD" w:rsidRPr="002B2B0B" w:rsidRDefault="00817EAD" w:rsidP="00CD1883">
            <w:pPr>
              <w:rPr>
                <w:rFonts w:ascii="Times New Roman" w:hAnsi="Times New Roman" w:cs="Times New Roman"/>
              </w:rPr>
            </w:pPr>
            <w:r>
              <w:rPr>
                <w:rFonts w:ascii="Times New Roman" w:hAnsi="Times New Roman" w:cs="Times New Roman"/>
              </w:rPr>
              <w:t>Specific duties</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(1932a, p. 3):</w:t>
            </w:r>
            <w:r>
              <w:rPr>
                <w:rFonts w:ascii="Times New Roman" w:hAnsi="Times New Roman" w:cs="Times New Roman"/>
              </w:rPr>
              <w:t xml:space="preserve"> </w:t>
            </w:r>
            <w:r w:rsidRPr="002B2B0B">
              <w:rPr>
                <w:rFonts w:ascii="Times New Roman" w:hAnsi="Times New Roman" w:cs="Times New Roman"/>
              </w:rPr>
              <w:t>“The customs duty on Hydrocarbon Oils was imposed […] in 1928.”</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1012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Brush</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13), CET (1935, p. 75) and Hutchison (1965, p. 185): Group XVI(11)</w:t>
            </w:r>
            <w:r>
              <w:rPr>
                <w:rFonts w:ascii="Times New Roman" w:hAnsi="Times New Roman" w:cs="Times New Roman"/>
              </w:rPr>
              <w:t xml:space="preserve">: </w:t>
            </w:r>
            <w:r w:rsidRPr="002B2B0B">
              <w:rPr>
                <w:rFonts w:ascii="Times New Roman" w:hAnsi="Times New Roman" w:cs="Times New Roman"/>
              </w:rPr>
              <w:t>“Brooms and brushes of all descriptions.”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1013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Manufactured Abrasives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Default="00817EAD" w:rsidP="00CD1883">
            <w:pPr>
              <w:rPr>
                <w:rFonts w:ascii="Times New Roman" w:hAnsi="Times New Roman" w:cs="Times New Roman"/>
              </w:rPr>
            </w:pPr>
            <w:r>
              <w:rPr>
                <w:rFonts w:ascii="Times New Roman" w:hAnsi="Times New Roman" w:cs="Times New Roman"/>
              </w:rPr>
              <w:t>20%/</w:t>
            </w:r>
          </w:p>
          <w:p w:rsidR="00817EAD" w:rsidRPr="002B2B0B" w:rsidRDefault="00817EAD" w:rsidP="00CD1883">
            <w:pPr>
              <w:rPr>
                <w:rFonts w:ascii="Times New Roman" w:hAnsi="Times New Roman" w:cs="Times New Roman"/>
              </w:rPr>
            </w:pPr>
            <w:r>
              <w:rPr>
                <w:rFonts w:ascii="Times New Roman" w:hAnsi="Times New Roman" w:cs="Times New Roman"/>
              </w:rPr>
              <w:t>15</w:t>
            </w:r>
            <w:r w:rsidRPr="002B2B0B">
              <w:rPr>
                <w:rFonts w:ascii="Times New Roman" w:hAnsi="Times New Roman" w:cs="Times New Roman"/>
              </w:rPr>
              <w:t>%</w:t>
            </w:r>
          </w:p>
        </w:tc>
        <w:tc>
          <w:tcPr>
            <w:tcW w:w="7375" w:type="dxa"/>
          </w:tcPr>
          <w:p w:rsidR="00817EAD" w:rsidRDefault="00817EAD" w:rsidP="00CD1883">
            <w:pPr>
              <w:rPr>
                <w:rFonts w:ascii="Times New Roman" w:hAnsi="Times New Roman" w:cs="Times New Roman"/>
              </w:rPr>
            </w:pPr>
            <w:r w:rsidRPr="002B2B0B">
              <w:rPr>
                <w:rFonts w:ascii="Times New Roman" w:hAnsi="Times New Roman" w:cs="Times New Roman"/>
              </w:rPr>
              <w:t>Aluminium Oxide, a common manufactured abrasive, is listed with an additional duty in CET (1935, p. 65) of “£3 per ton, or to 20 per cent of the value of the goods, whichever is the greater”.</w:t>
            </w:r>
          </w:p>
          <w:p w:rsidR="00817EAD" w:rsidRPr="008E2846" w:rsidRDefault="00817EAD" w:rsidP="00CD1883">
            <w:pPr>
              <w:rPr>
                <w:rFonts w:ascii="Times New Roman" w:hAnsi="Times New Roman" w:cs="Times New Roman"/>
                <w:i/>
              </w:rPr>
            </w:pPr>
            <w:r w:rsidRPr="006D0B94">
              <w:rPr>
                <w:rFonts w:ascii="Times New Roman" w:hAnsi="Times New Roman" w:cs="Times New Roman"/>
              </w:rPr>
              <w:t xml:space="preserve">Cmd. 5296 (1936), </w:t>
            </w:r>
            <w:r>
              <w:rPr>
                <w:rFonts w:ascii="Times New Roman" w:hAnsi="Times New Roman" w:cs="Times New Roman"/>
              </w:rPr>
              <w:t xml:space="preserve">displays the revenue tariff for </w:t>
            </w:r>
            <w:r w:rsidRPr="002B2B0B">
              <w:rPr>
                <w:rFonts w:ascii="Times New Roman" w:hAnsi="Times New Roman" w:cs="Times New Roman"/>
              </w:rPr>
              <w:t>Manufactured Abrasives</w:t>
            </w:r>
            <w:r>
              <w:rPr>
                <w:rFonts w:ascii="Times New Roman" w:hAnsi="Times New Roman" w:cs="Times New Roman"/>
              </w:rPr>
              <w:t xml:space="preserve"> as a group which shows an additional rate of 15% </w:t>
            </w:r>
            <w:r w:rsidRPr="005D559C">
              <w:rPr>
                <w:rFonts w:ascii="Times New Roman" w:hAnsi="Times New Roman" w:cs="Times New Roman"/>
                <w:i/>
              </w:rPr>
              <w:t xml:space="preserve">ad </w:t>
            </w:r>
            <w:r>
              <w:rPr>
                <w:rFonts w:ascii="Times New Roman" w:hAnsi="Times New Roman" w:cs="Times New Roman"/>
                <w:i/>
              </w:rPr>
              <w:t>v</w:t>
            </w:r>
            <w:r w:rsidRPr="005D559C">
              <w:rPr>
                <w:rFonts w:ascii="Times New Roman" w:hAnsi="Times New Roman" w:cs="Times New Roman"/>
                <w:i/>
              </w:rPr>
              <w:t>alorem</w:t>
            </w:r>
            <w:r>
              <w:rPr>
                <w:rFonts w:ascii="Times New Roman" w:hAnsi="Times New Roman" w:cs="Times New Roman"/>
                <w:i/>
              </w:rPr>
              <w:t>.</w:t>
            </w: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Sector: Timber</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Timber</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val="restart"/>
            <w:vAlign w:val="center"/>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 p. 8), CET (1935, pp. 52-54) and Hutchison (1965, pp. 179-180): Group VII</w:t>
            </w:r>
          </w:p>
          <w:p w:rsidR="00817EAD" w:rsidRPr="002B2B0B" w:rsidRDefault="00817EAD" w:rsidP="00CD1883">
            <w:pPr>
              <w:rPr>
                <w:rFonts w:ascii="Times New Roman" w:hAnsi="Times New Roman" w:cs="Times New Roman"/>
              </w:rPr>
            </w:pPr>
            <w:r w:rsidRPr="002B2B0B">
              <w:rPr>
                <w:rFonts w:ascii="Times New Roman" w:hAnsi="Times New Roman" w:cs="Times New Roman"/>
              </w:rPr>
              <w:t>“Articles manufactures wholly or partly of wood and timber (not including planed or dressed wood and timber, staves, sleepers, plywood and veneers imported as such):</w:t>
            </w:r>
          </w:p>
          <w:p w:rsidR="00817EAD" w:rsidRPr="002B2B0B" w:rsidRDefault="00817EAD" w:rsidP="00CD1883">
            <w:pPr>
              <w:rPr>
                <w:rFonts w:ascii="Times New Roman" w:hAnsi="Times New Roman" w:cs="Times New Roman"/>
              </w:rPr>
            </w:pPr>
            <w:r w:rsidRPr="002B2B0B">
              <w:rPr>
                <w:rFonts w:ascii="Times New Roman" w:hAnsi="Times New Roman" w:cs="Times New Roman"/>
              </w:rPr>
              <w:t>“(i) Builders’ woodwork, including window frames, doors, gates etc., and parts thereof. [15%]</w:t>
            </w:r>
          </w:p>
          <w:p w:rsidR="00817EAD" w:rsidRPr="002B2B0B" w:rsidRDefault="00817EAD" w:rsidP="00CD1883">
            <w:pPr>
              <w:rPr>
                <w:rFonts w:ascii="Times New Roman" w:hAnsi="Times New Roman" w:cs="Times New Roman"/>
              </w:rPr>
            </w:pPr>
            <w:r w:rsidRPr="002B2B0B">
              <w:rPr>
                <w:rFonts w:ascii="Times New Roman" w:hAnsi="Times New Roman" w:cs="Times New Roman"/>
              </w:rPr>
              <w:t>“(ii) All other manufactures of wood and timber [20%]”.</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Furniture &amp; Upholstery</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tcPr>
          <w:p w:rsidR="00817EAD" w:rsidRPr="002B2B0B" w:rsidRDefault="00817EAD" w:rsidP="00CD1883">
            <w:pPr>
              <w:rPr>
                <w:rFonts w:ascii="Times New Roman" w:hAnsi="Times New Roman" w:cs="Times New Roman"/>
              </w:rPr>
            </w:pP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Wooden Cases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tcPr>
          <w:p w:rsidR="00817EAD" w:rsidRPr="002B2B0B" w:rsidRDefault="00817EAD" w:rsidP="00CD1883">
            <w:pPr>
              <w:rPr>
                <w:rFonts w:ascii="Times New Roman" w:hAnsi="Times New Roman" w:cs="Times New Roman"/>
              </w:rPr>
            </w:pP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1104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Coopering</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tcPr>
          <w:p w:rsidR="00817EAD" w:rsidRPr="002B2B0B" w:rsidRDefault="00817EAD" w:rsidP="00CD1883">
            <w:pPr>
              <w:rPr>
                <w:rFonts w:ascii="Times New Roman" w:hAnsi="Times New Roman" w:cs="Times New Roman"/>
              </w:rPr>
            </w:pP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1105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Basket &amp; Wicker-Work</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Not in BC Sample</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vMerge/>
          </w:tcPr>
          <w:p w:rsidR="00817EAD" w:rsidRPr="002B2B0B" w:rsidRDefault="00817EAD" w:rsidP="00CD1883">
            <w:pPr>
              <w:rPr>
                <w:rFonts w:ascii="Times New Roman" w:hAnsi="Times New Roman" w:cs="Times New Roman"/>
              </w:rPr>
            </w:pPr>
          </w:p>
        </w:tc>
      </w:tr>
      <w:tr w:rsidR="00817EAD" w:rsidRPr="002B2B0B" w:rsidTr="00CD1883">
        <w:tc>
          <w:tcPr>
            <w:tcW w:w="13858" w:type="dxa"/>
            <w:gridSpan w:val="6"/>
            <w:shd w:val="clear" w:color="auto" w:fill="BFBFBF" w:themeFill="background1" w:themeFillShade="BF"/>
          </w:tcPr>
          <w:p w:rsidR="00817EAD" w:rsidRPr="002B2B0B" w:rsidRDefault="00817EAD" w:rsidP="00CD1883">
            <w:pPr>
              <w:rPr>
                <w:rFonts w:ascii="Times New Roman" w:hAnsi="Times New Roman" w:cs="Times New Roman"/>
                <w:b/>
              </w:rPr>
            </w:pPr>
            <w:r w:rsidRPr="002B2B0B">
              <w:rPr>
                <w:rFonts w:ascii="Times New Roman" w:hAnsi="Times New Roman" w:cs="Times New Roman"/>
                <w:b/>
              </w:rPr>
              <w:t>Sector: Clay &amp; Building Materials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1201</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Brick &amp; Fireclay</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Brick and clay are expressly excluded from the additional duties in IDAC (1932b, p. 4, Group I(1)), CET (1935, p. 31) and Hutchison (1965, p. 176, Group I(1)): “except bricks of brick earth or clay and refractory goods”.</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1202</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China &amp; Earthenware</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4) and Hutchison (1965, p. 176): Group I(1)(i)</w:t>
            </w:r>
          </w:p>
          <w:p w:rsidR="00817EAD" w:rsidRPr="002B2B0B" w:rsidRDefault="00817EAD" w:rsidP="00CD1883">
            <w:pPr>
              <w:rPr>
                <w:rFonts w:ascii="Times New Roman" w:hAnsi="Times New Roman" w:cs="Times New Roman"/>
              </w:rPr>
            </w:pPr>
            <w:r w:rsidRPr="002B2B0B">
              <w:rPr>
                <w:rFonts w:ascii="Times New Roman" w:hAnsi="Times New Roman" w:cs="Times New Roman"/>
              </w:rPr>
              <w:t>“All other pottery and clay products”.</w:t>
            </w:r>
          </w:p>
          <w:p w:rsidR="00817EAD" w:rsidRPr="002B2B0B" w:rsidRDefault="00817EAD" w:rsidP="00CD1883">
            <w:pPr>
              <w:rPr>
                <w:rFonts w:ascii="Times New Roman" w:hAnsi="Times New Roman" w:cs="Times New Roman"/>
              </w:rPr>
            </w:pPr>
            <w:r w:rsidRPr="002B2B0B">
              <w:rPr>
                <w:rFonts w:ascii="Times New Roman" w:hAnsi="Times New Roman" w:cs="Times New Roman"/>
              </w:rPr>
              <w:t>CET (1935, p. 31): Group I</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1203</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Cement</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10%</w:t>
            </w:r>
          </w:p>
        </w:tc>
        <w:tc>
          <w:tcPr>
            <w:tcW w:w="7375"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and CET (1935) do not report an additional tariff. Hence, by deduction, the industry is assumed to have the 10% rate imposed in 1932.</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1204</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Glass</w:t>
            </w:r>
          </w:p>
        </w:tc>
        <w:tc>
          <w:tcPr>
            <w:tcW w:w="1488"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&gt;10%</w:t>
            </w:r>
          </w:p>
        </w:tc>
        <w:tc>
          <w:tcPr>
            <w:tcW w:w="1120"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IDAC (1932b, p. 5), CET (1935, p. 32) and Hutchison (1965, pp. 176-177): Group I(2)</w:t>
            </w:r>
            <w:r>
              <w:rPr>
                <w:rFonts w:ascii="Times New Roman" w:hAnsi="Times New Roman" w:cs="Times New Roman"/>
              </w:rPr>
              <w:t xml:space="preserve">: </w:t>
            </w:r>
            <w:r w:rsidRPr="002B2B0B">
              <w:rPr>
                <w:rFonts w:ascii="Times New Roman" w:hAnsi="Times New Roman" w:cs="Times New Roman"/>
              </w:rPr>
              <w:t>“Glass and Glassware”.</w:t>
            </w:r>
          </w:p>
        </w:tc>
      </w:tr>
      <w:tr w:rsidR="00817EAD" w:rsidRPr="002B2B0B" w:rsidTr="00CD1883">
        <w:tc>
          <w:tcPr>
            <w:tcW w:w="1145"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1205</w:t>
            </w:r>
          </w:p>
        </w:tc>
        <w:tc>
          <w:tcPr>
            <w:tcW w:w="1793" w:type="dxa"/>
          </w:tcPr>
          <w:p w:rsidR="00817EAD" w:rsidRPr="002B2B0B" w:rsidRDefault="00817EAD" w:rsidP="00CD1883">
            <w:pPr>
              <w:rPr>
                <w:rFonts w:ascii="Times New Roman" w:hAnsi="Times New Roman" w:cs="Times New Roman"/>
              </w:rPr>
            </w:pPr>
            <w:r w:rsidRPr="002B2B0B">
              <w:rPr>
                <w:rFonts w:ascii="Times New Roman" w:hAnsi="Times New Roman" w:cs="Times New Roman"/>
              </w:rPr>
              <w:t>Building Material</w:t>
            </w:r>
            <w:r>
              <w:rPr>
                <w:rFonts w:ascii="Times New Roman" w:hAnsi="Times New Roman" w:cs="Times New Roman"/>
              </w:rPr>
              <w:t>s</w:t>
            </w:r>
          </w:p>
        </w:tc>
        <w:tc>
          <w:tcPr>
            <w:tcW w:w="1488"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0-10%</w:t>
            </w:r>
          </w:p>
        </w:tc>
        <w:tc>
          <w:tcPr>
            <w:tcW w:w="1120"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1</w:t>
            </w:r>
          </w:p>
        </w:tc>
        <w:tc>
          <w:tcPr>
            <w:tcW w:w="937" w:type="dxa"/>
            <w:shd w:val="clear" w:color="auto" w:fill="auto"/>
          </w:tcPr>
          <w:p w:rsidR="00817EAD" w:rsidRPr="002B2B0B" w:rsidRDefault="00817EAD" w:rsidP="00CD1883">
            <w:pPr>
              <w:rPr>
                <w:rFonts w:ascii="Times New Roman" w:hAnsi="Times New Roman" w:cs="Times New Roman"/>
              </w:rPr>
            </w:pPr>
            <w:r w:rsidRPr="002B2B0B">
              <w:rPr>
                <w:rFonts w:ascii="Times New Roman" w:hAnsi="Times New Roman" w:cs="Times New Roman"/>
              </w:rPr>
              <w:t>20%</w:t>
            </w:r>
          </w:p>
        </w:tc>
        <w:tc>
          <w:tcPr>
            <w:tcW w:w="7375" w:type="dxa"/>
            <w:shd w:val="clear" w:color="auto" w:fill="auto"/>
          </w:tcPr>
          <w:p w:rsidR="00817EAD" w:rsidRPr="00B92D71" w:rsidRDefault="00817EAD" w:rsidP="00CD1883">
            <w:pPr>
              <w:rPr>
                <w:rFonts w:ascii="Times New Roman" w:hAnsi="Times New Roman" w:cs="Times New Roman"/>
              </w:rPr>
            </w:pPr>
            <w:r w:rsidRPr="00B92D71">
              <w:rPr>
                <w:rFonts w:ascii="Times New Roman" w:hAnsi="Times New Roman" w:cs="Times New Roman"/>
              </w:rPr>
              <w:t xml:space="preserve">Capie, Table 8.1 lists a nominal </w:t>
            </w:r>
            <w:r>
              <w:rPr>
                <w:rFonts w:ascii="Times New Roman" w:hAnsi="Times New Roman" w:cs="Times New Roman"/>
              </w:rPr>
              <w:t xml:space="preserve">protection </w:t>
            </w:r>
            <w:r w:rsidRPr="00B92D71">
              <w:rPr>
                <w:rFonts w:ascii="Times New Roman" w:hAnsi="Times New Roman" w:cs="Times New Roman"/>
              </w:rPr>
              <w:t>rate of 20%</w:t>
            </w:r>
            <w:r>
              <w:rPr>
                <w:rFonts w:ascii="Times New Roman" w:hAnsi="Times New Roman" w:cs="Times New Roman"/>
              </w:rPr>
              <w:t xml:space="preserve"> for Building Materials.</w:t>
            </w:r>
          </w:p>
          <w:p w:rsidR="00817EAD" w:rsidRDefault="00817EAD" w:rsidP="00CD1883">
            <w:pPr>
              <w:rPr>
                <w:rFonts w:ascii="Times New Roman" w:hAnsi="Times New Roman" w:cs="Times New Roman"/>
              </w:rPr>
            </w:pPr>
            <w:r w:rsidRPr="00B92D71">
              <w:rPr>
                <w:rFonts w:ascii="Times New Roman" w:hAnsi="Times New Roman" w:cs="Times New Roman"/>
              </w:rPr>
              <w:t>Roofing Tiles: 15% (CET, p. 31; Class III, Group I(1)(i))</w:t>
            </w:r>
            <w:r>
              <w:rPr>
                <w:rFonts w:ascii="Times New Roman" w:hAnsi="Times New Roman" w:cs="Times New Roman"/>
              </w:rPr>
              <w:t>.</w:t>
            </w:r>
          </w:p>
          <w:p w:rsidR="00817EAD" w:rsidRPr="00B92D71" w:rsidRDefault="00817EAD" w:rsidP="00CD1883">
            <w:pPr>
              <w:rPr>
                <w:rFonts w:ascii="Times New Roman" w:hAnsi="Times New Roman" w:cs="Times New Roman"/>
              </w:rPr>
            </w:pPr>
            <w:r>
              <w:rPr>
                <w:rFonts w:ascii="Times New Roman" w:hAnsi="Times New Roman" w:cs="Times New Roman"/>
              </w:rPr>
              <w:t>CET (1935) lists a range of building materials with additional rates.</w:t>
            </w:r>
          </w:p>
          <w:p w:rsidR="00817EAD" w:rsidRPr="00B92D71" w:rsidRDefault="00817EAD" w:rsidP="00CD1883">
            <w:pPr>
              <w:rPr>
                <w:rFonts w:ascii="Times New Roman" w:hAnsi="Times New Roman" w:cs="Times New Roman"/>
              </w:rPr>
            </w:pPr>
            <w:r w:rsidRPr="00B92D71">
              <w:rPr>
                <w:rFonts w:ascii="Times New Roman" w:hAnsi="Times New Roman" w:cs="Times New Roman"/>
              </w:rPr>
              <w:t>Cmd. 5296 (1936), displays the revenue tariff for a variety of building materials which shows a</w:t>
            </w:r>
            <w:r>
              <w:rPr>
                <w:rFonts w:ascii="Times New Roman" w:hAnsi="Times New Roman" w:cs="Times New Roman"/>
              </w:rPr>
              <w:t xml:space="preserve"> </w:t>
            </w:r>
            <w:r w:rsidRPr="00B92D71">
              <w:rPr>
                <w:rFonts w:ascii="Times New Roman" w:hAnsi="Times New Roman" w:cs="Times New Roman"/>
              </w:rPr>
              <w:t>prevalence of additional rates.</w:t>
            </w:r>
          </w:p>
        </w:tc>
      </w:tr>
    </w:tbl>
    <w:p w:rsidR="00817EAD" w:rsidRPr="002E57A6"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sectPr w:rsidR="00817EAD" w:rsidSect="00CD1883">
          <w:pgSz w:w="16838" w:h="11906" w:orient="landscape"/>
          <w:pgMar w:top="1440" w:right="992" w:bottom="1440" w:left="992" w:header="709" w:footer="709" w:gutter="0"/>
          <w:cols w:space="708"/>
          <w:docGrid w:linePitch="360"/>
        </w:sectPr>
      </w:pPr>
    </w:p>
    <w:p w:rsidR="00817EAD" w:rsidRPr="00EB6E7D" w:rsidRDefault="00817EAD" w:rsidP="00817EAD">
      <w:pPr>
        <w:pStyle w:val="Title"/>
        <w:rPr>
          <w:rFonts w:ascii="Times New Roman" w:hAnsi="Times New Roman" w:cs="Times New Roman"/>
          <w:sz w:val="40"/>
          <w:szCs w:val="40"/>
        </w:rPr>
      </w:pPr>
      <w:r w:rsidRPr="00EB6E7D">
        <w:rPr>
          <w:rFonts w:ascii="Times New Roman" w:hAnsi="Times New Roman" w:cs="Times New Roman"/>
          <w:sz w:val="40"/>
          <w:szCs w:val="40"/>
        </w:rPr>
        <w:t xml:space="preserve">Appendix B – </w:t>
      </w:r>
      <w:r w:rsidR="00813E52">
        <w:rPr>
          <w:rFonts w:ascii="Times New Roman" w:hAnsi="Times New Roman" w:cs="Times New Roman"/>
          <w:sz w:val="40"/>
          <w:szCs w:val="40"/>
        </w:rPr>
        <w:t>Robustness Analysis</w:t>
      </w:r>
    </w:p>
    <w:p w:rsidR="00817EAD" w:rsidRPr="003620FC" w:rsidRDefault="00817EAD" w:rsidP="00817EAD">
      <w:pPr>
        <w:spacing w:after="0" w:line="360" w:lineRule="auto"/>
        <w:rPr>
          <w:rFonts w:ascii="Times New Roman" w:hAnsi="Times New Roman" w:cs="Times New Roman"/>
          <w:b/>
        </w:rPr>
      </w:pPr>
      <w:r w:rsidRPr="003620FC">
        <w:rPr>
          <w:rFonts w:ascii="Times New Roman" w:hAnsi="Times New Roman" w:cs="Times New Roman"/>
          <w:b/>
        </w:rPr>
        <w:t xml:space="preserve">B.1 </w:t>
      </w:r>
      <w:r w:rsidRPr="003620FC">
        <w:rPr>
          <w:rFonts w:ascii="Times New Roman" w:hAnsi="Times New Roman" w:cs="Times New Roman"/>
          <w:b/>
        </w:rPr>
        <w:tab/>
      </w:r>
      <w:r w:rsidR="00813E52">
        <w:rPr>
          <w:rFonts w:ascii="Times New Roman" w:hAnsi="Times New Roman" w:cs="Times New Roman"/>
          <w:b/>
        </w:rPr>
        <w:t>Descriptive Statistics</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Table B1 presents the salient descriptive statistics for the two-group classification of non-newly and newly protected industries. It documents the average of compounded annual (net) output and (net) output </w:t>
      </w:r>
      <w:r w:rsidR="00B9694E">
        <w:rPr>
          <w:rFonts w:ascii="Times New Roman" w:hAnsi="Times New Roman" w:cs="Times New Roman"/>
        </w:rPr>
        <w:t>per worker</w:t>
      </w:r>
      <w:r>
        <w:rPr>
          <w:rFonts w:ascii="Times New Roman" w:hAnsi="Times New Roman" w:cs="Times New Roman"/>
        </w:rPr>
        <w:t xml:space="preserve"> growth rates for the two groups in turn.</w:t>
      </w:r>
      <w:r w:rsidRPr="0051233D">
        <w:rPr>
          <w:rStyle w:val="Heading4Char"/>
          <w:rFonts w:ascii="Times New Roman" w:hAnsi="Times New Roman" w:cs="Times New Roman"/>
          <w:b w:val="0"/>
          <w:i w:val="0"/>
          <w:vertAlign w:val="superscript"/>
        </w:rPr>
        <w:footnoteReference w:id="24"/>
      </w:r>
      <w:r>
        <w:rPr>
          <w:rFonts w:ascii="Times New Roman" w:hAnsi="Times New Roman" w:cs="Times New Roman"/>
        </w:rPr>
        <w:t xml:space="preserve"> The average annual net output and net output </w:t>
      </w:r>
      <w:r w:rsidR="00B9694E">
        <w:rPr>
          <w:rFonts w:ascii="Times New Roman" w:hAnsi="Times New Roman" w:cs="Times New Roman"/>
        </w:rPr>
        <w:t>per worker</w:t>
      </w:r>
      <w:r>
        <w:rPr>
          <w:rFonts w:ascii="Times New Roman" w:hAnsi="Times New Roman" w:cs="Times New Roman"/>
        </w:rPr>
        <w:t xml:space="preserve"> growth of the non-newly protected industries is similar in both the 1924-30 and 1930-35 periods. In contrast, the output and output </w:t>
      </w:r>
      <w:r w:rsidR="00B9694E">
        <w:rPr>
          <w:rFonts w:ascii="Times New Roman" w:hAnsi="Times New Roman" w:cs="Times New Roman"/>
        </w:rPr>
        <w:t>per worker</w:t>
      </w:r>
      <w:r>
        <w:rPr>
          <w:rFonts w:ascii="Times New Roman" w:hAnsi="Times New Roman" w:cs="Times New Roman"/>
        </w:rPr>
        <w:t xml:space="preserve"> growth of the newly protected industries show marked time variation. The average annual output growth for the non-newly and newly protected groups in 1924-30 was 4.22 and 1.40 percent respectively. In 1930-35 the figure for the non-newly protected group remains stable at 4.29 percent, while the output growth of newly protected industries jumps to 5.53 percent. Over the 1930-48 period, the average annual net output and net output </w:t>
      </w:r>
      <w:r w:rsidR="00B9694E">
        <w:rPr>
          <w:rFonts w:ascii="Times New Roman" w:hAnsi="Times New Roman" w:cs="Times New Roman"/>
        </w:rPr>
        <w:t>per worker</w:t>
      </w:r>
      <w:r>
        <w:rPr>
          <w:rFonts w:ascii="Times New Roman" w:hAnsi="Times New Roman" w:cs="Times New Roman"/>
        </w:rPr>
        <w:t xml:space="preserve"> growth of all industries is lower than in 1930-35, reflecting the fact that much of growth over the period up to 1935 was cyclical growth. The output and productivity growth of non-newly protected industries is comparable to that of newly protected industries over this period. Given the differences in the initial period (1924-30), this is indicative that the tariff might have had medium-term effects on treated industries.</w:t>
      </w:r>
    </w:p>
    <w:p w:rsidR="00817EAD" w:rsidRDefault="00817EAD" w:rsidP="00817EAD">
      <w:pPr>
        <w:spacing w:after="0" w:line="360" w:lineRule="auto"/>
        <w:ind w:firstLine="567"/>
        <w:jc w:val="both"/>
        <w:rPr>
          <w:rFonts w:ascii="Times New Roman" w:hAnsi="Times New Roman" w:cs="Times New Roman"/>
        </w:rPr>
      </w:pPr>
    </w:p>
    <w:p w:rsidR="00817EAD" w:rsidRPr="00BE4341" w:rsidRDefault="00817EAD" w:rsidP="00817EAD">
      <w:pPr>
        <w:spacing w:line="240" w:lineRule="auto"/>
        <w:jc w:val="both"/>
        <w:rPr>
          <w:rFonts w:ascii="Times New Roman" w:hAnsi="Times New Roman" w:cs="Times New Roman"/>
          <w:b/>
        </w:rPr>
      </w:pPr>
      <w:r>
        <w:rPr>
          <w:rFonts w:ascii="Times New Roman" w:hAnsi="Times New Roman" w:cs="Times New Roman"/>
          <w:b/>
        </w:rPr>
        <w:t xml:space="preserve">Table B1: Difference in Output and Productivity Growth across Two Groups, 1924-30, 1930-35 and 1930-48, Mean (and Standard Deviation) of Net Output and Net Output </w:t>
      </w:r>
      <w:r w:rsidR="00B9694E">
        <w:rPr>
          <w:rFonts w:ascii="Times New Roman" w:hAnsi="Times New Roman" w:cs="Times New Roman"/>
          <w:b/>
        </w:rPr>
        <w:t>per worker</w:t>
      </w:r>
      <w:r>
        <w:rPr>
          <w:rFonts w:ascii="Times New Roman" w:hAnsi="Times New Roman" w:cs="Times New Roman"/>
          <w:b/>
        </w:rPr>
        <w:t xml:space="preserve"> Growth (in Constant Prices)</w:t>
      </w:r>
    </w:p>
    <w:tbl>
      <w:tblPr>
        <w:tblStyle w:val="TableGrid"/>
        <w:tblW w:w="0" w:type="auto"/>
        <w:tblLook w:val="04A0" w:firstRow="1" w:lastRow="0" w:firstColumn="1" w:lastColumn="0" w:noHBand="0" w:noVBand="1"/>
      </w:tblPr>
      <w:tblGrid>
        <w:gridCol w:w="1792"/>
        <w:gridCol w:w="1808"/>
        <w:gridCol w:w="1808"/>
        <w:gridCol w:w="1809"/>
        <w:gridCol w:w="1809"/>
      </w:tblGrid>
      <w:tr w:rsidR="00817EAD" w:rsidTr="00CD1883">
        <w:tc>
          <w:tcPr>
            <w:tcW w:w="1848" w:type="dxa"/>
            <w:tcBorders>
              <w:top w:val="single" w:sz="12" w:space="0" w:color="auto"/>
              <w:left w:val="nil"/>
              <w:bottom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p>
        </w:tc>
        <w:tc>
          <w:tcPr>
            <w:tcW w:w="3696" w:type="dxa"/>
            <w:gridSpan w:val="2"/>
            <w:tcBorders>
              <w:top w:val="single" w:sz="12" w:space="0" w:color="auto"/>
              <w:left w:val="single" w:sz="4" w:space="0" w:color="FFFFFF" w:themeColor="background1"/>
              <w:bottom w:val="single" w:sz="4" w:space="0" w:color="FFFFFF" w:themeColor="background1"/>
            </w:tcBorders>
          </w:tcPr>
          <w:p w:rsidR="00817EAD" w:rsidRPr="00E062CB" w:rsidRDefault="00817EAD" w:rsidP="00CD1883">
            <w:pPr>
              <w:jc w:val="center"/>
              <w:rPr>
                <w:rFonts w:ascii="Times New Roman" w:hAnsi="Times New Roman" w:cs="Times New Roman"/>
                <w:b/>
              </w:rPr>
            </w:pPr>
            <w:r w:rsidRPr="00E062CB">
              <w:rPr>
                <w:rFonts w:ascii="Times New Roman" w:hAnsi="Times New Roman" w:cs="Times New Roman"/>
                <w:b/>
              </w:rPr>
              <w:t>Net Output Growth</w:t>
            </w:r>
          </w:p>
        </w:tc>
        <w:tc>
          <w:tcPr>
            <w:tcW w:w="3698" w:type="dxa"/>
            <w:gridSpan w:val="2"/>
            <w:tcBorders>
              <w:top w:val="single" w:sz="12" w:space="0" w:color="auto"/>
              <w:bottom w:val="single" w:sz="4" w:space="0" w:color="FFFFFF" w:themeColor="background1"/>
              <w:right w:val="nil"/>
            </w:tcBorders>
          </w:tcPr>
          <w:p w:rsidR="00817EAD" w:rsidRPr="00E062CB" w:rsidRDefault="00817EAD" w:rsidP="00CD1883">
            <w:pPr>
              <w:jc w:val="center"/>
              <w:rPr>
                <w:rFonts w:ascii="Times New Roman" w:hAnsi="Times New Roman" w:cs="Times New Roman"/>
                <w:b/>
              </w:rPr>
            </w:pPr>
            <w:r w:rsidRPr="00E062CB">
              <w:rPr>
                <w:rFonts w:ascii="Times New Roman" w:hAnsi="Times New Roman" w:cs="Times New Roman"/>
                <w:b/>
              </w:rPr>
              <w:t xml:space="preserve">Net Output </w:t>
            </w:r>
            <w:r w:rsidR="00B9694E">
              <w:rPr>
                <w:rFonts w:ascii="Times New Roman" w:hAnsi="Times New Roman" w:cs="Times New Roman"/>
                <w:b/>
              </w:rPr>
              <w:t>per worker</w:t>
            </w:r>
            <w:r w:rsidRPr="00E062CB">
              <w:rPr>
                <w:rFonts w:ascii="Times New Roman" w:hAnsi="Times New Roman" w:cs="Times New Roman"/>
                <w:b/>
              </w:rPr>
              <w:t xml:space="preserve"> Growth</w:t>
            </w:r>
          </w:p>
        </w:tc>
      </w:tr>
      <w:tr w:rsidR="00817EAD" w:rsidTr="00CD1883">
        <w:tc>
          <w:tcPr>
            <w:tcW w:w="1848" w:type="dxa"/>
            <w:tcBorders>
              <w:top w:val="single" w:sz="4" w:space="0" w:color="FFFFFF" w:themeColor="background1"/>
              <w:left w:val="nil"/>
              <w:right w:val="single" w:sz="4" w:space="0" w:color="FFFFFF" w:themeColor="background1"/>
            </w:tcBorders>
          </w:tcPr>
          <w:p w:rsidR="00817EAD" w:rsidRDefault="00817EAD" w:rsidP="00CD1883">
            <w:pPr>
              <w:jc w:val="both"/>
              <w:rPr>
                <w:rFonts w:ascii="Times New Roman" w:hAnsi="Times New Roman" w:cs="Times New Roman"/>
              </w:rPr>
            </w:pPr>
          </w:p>
        </w:tc>
        <w:tc>
          <w:tcPr>
            <w:tcW w:w="1848" w:type="dxa"/>
            <w:tcBorders>
              <w:top w:val="single" w:sz="4" w:space="0" w:color="FFFFFF" w:themeColor="background1"/>
              <w:left w:val="single" w:sz="4" w:space="0" w:color="FFFFFF" w:themeColor="background1"/>
              <w:right w:val="single" w:sz="4" w:space="0" w:color="FFFFFF" w:themeColor="background1"/>
            </w:tcBorders>
          </w:tcPr>
          <w:p w:rsidR="00817EAD" w:rsidRPr="00E062CB" w:rsidRDefault="00817EAD" w:rsidP="00CD1883">
            <w:pPr>
              <w:jc w:val="center"/>
              <w:rPr>
                <w:rFonts w:ascii="Times New Roman" w:hAnsi="Times New Roman" w:cs="Times New Roman"/>
                <w:i/>
              </w:rPr>
            </w:pPr>
            <w:r w:rsidRPr="00E062CB">
              <w:rPr>
                <w:rFonts w:ascii="Times New Roman" w:hAnsi="Times New Roman" w:cs="Times New Roman"/>
                <w:i/>
              </w:rPr>
              <w:t>Non-Newly Protected</w:t>
            </w:r>
          </w:p>
        </w:tc>
        <w:tc>
          <w:tcPr>
            <w:tcW w:w="1848" w:type="dxa"/>
            <w:tcBorders>
              <w:top w:val="single" w:sz="4" w:space="0" w:color="FFFFFF" w:themeColor="background1"/>
              <w:left w:val="single" w:sz="4" w:space="0" w:color="FFFFFF" w:themeColor="background1"/>
            </w:tcBorders>
          </w:tcPr>
          <w:p w:rsidR="00817EAD" w:rsidRPr="00E062CB" w:rsidRDefault="00817EAD" w:rsidP="00CD1883">
            <w:pPr>
              <w:jc w:val="center"/>
              <w:rPr>
                <w:rFonts w:ascii="Times New Roman" w:hAnsi="Times New Roman" w:cs="Times New Roman"/>
                <w:i/>
              </w:rPr>
            </w:pPr>
            <w:r w:rsidRPr="00E062CB">
              <w:rPr>
                <w:rFonts w:ascii="Times New Roman" w:hAnsi="Times New Roman" w:cs="Times New Roman"/>
                <w:i/>
              </w:rPr>
              <w:t>Newly Protected</w:t>
            </w:r>
          </w:p>
        </w:tc>
        <w:tc>
          <w:tcPr>
            <w:tcW w:w="1849" w:type="dxa"/>
            <w:tcBorders>
              <w:top w:val="single" w:sz="4" w:space="0" w:color="FFFFFF" w:themeColor="background1"/>
              <w:right w:val="single" w:sz="4" w:space="0" w:color="FFFFFF" w:themeColor="background1"/>
            </w:tcBorders>
          </w:tcPr>
          <w:p w:rsidR="00817EAD" w:rsidRPr="00E062CB" w:rsidRDefault="00817EAD" w:rsidP="00CD1883">
            <w:pPr>
              <w:jc w:val="center"/>
              <w:rPr>
                <w:rFonts w:ascii="Times New Roman" w:hAnsi="Times New Roman" w:cs="Times New Roman"/>
                <w:i/>
              </w:rPr>
            </w:pPr>
            <w:r w:rsidRPr="00E062CB">
              <w:rPr>
                <w:rFonts w:ascii="Times New Roman" w:hAnsi="Times New Roman" w:cs="Times New Roman"/>
                <w:i/>
              </w:rPr>
              <w:t>Non-Newly Protected</w:t>
            </w:r>
          </w:p>
        </w:tc>
        <w:tc>
          <w:tcPr>
            <w:tcW w:w="1849" w:type="dxa"/>
            <w:tcBorders>
              <w:top w:val="single" w:sz="4" w:space="0" w:color="FFFFFF" w:themeColor="background1"/>
              <w:left w:val="single" w:sz="4" w:space="0" w:color="FFFFFF" w:themeColor="background1"/>
              <w:right w:val="nil"/>
            </w:tcBorders>
          </w:tcPr>
          <w:p w:rsidR="00817EAD" w:rsidRPr="00E062CB" w:rsidRDefault="00817EAD" w:rsidP="00CD1883">
            <w:pPr>
              <w:jc w:val="center"/>
              <w:rPr>
                <w:rFonts w:ascii="Times New Roman" w:hAnsi="Times New Roman" w:cs="Times New Roman"/>
                <w:i/>
              </w:rPr>
            </w:pPr>
            <w:r w:rsidRPr="00E062CB">
              <w:rPr>
                <w:rFonts w:ascii="Times New Roman" w:hAnsi="Times New Roman" w:cs="Times New Roman"/>
                <w:i/>
              </w:rPr>
              <w:t>Newly Protected</w:t>
            </w:r>
          </w:p>
        </w:tc>
      </w:tr>
      <w:tr w:rsidR="00817EAD" w:rsidTr="00CD1883">
        <w:tc>
          <w:tcPr>
            <w:tcW w:w="1848" w:type="dxa"/>
            <w:vMerge w:val="restart"/>
            <w:tcBorders>
              <w:left w:val="nil"/>
              <w:right w:val="single" w:sz="4" w:space="0" w:color="FFFFFF" w:themeColor="background1"/>
            </w:tcBorders>
          </w:tcPr>
          <w:p w:rsidR="00817EAD" w:rsidRDefault="00817EAD" w:rsidP="00CD1883">
            <w:pPr>
              <w:jc w:val="both"/>
              <w:rPr>
                <w:rFonts w:ascii="Times New Roman" w:hAnsi="Times New Roman" w:cs="Times New Roman"/>
              </w:rPr>
            </w:pPr>
            <w:r>
              <w:rPr>
                <w:rFonts w:ascii="Times New Roman" w:hAnsi="Times New Roman" w:cs="Times New Roman"/>
              </w:rPr>
              <w:t>1924-1930</w:t>
            </w:r>
          </w:p>
          <w:p w:rsidR="00817EAD" w:rsidRDefault="00817EAD" w:rsidP="00CD1883">
            <w:pPr>
              <w:jc w:val="both"/>
              <w:rPr>
                <w:rFonts w:ascii="Times New Roman" w:hAnsi="Times New Roman" w:cs="Times New Roman"/>
              </w:rPr>
            </w:pPr>
            <w:r>
              <w:rPr>
                <w:rFonts w:ascii="Times New Roman" w:hAnsi="Times New Roman" w:cs="Times New Roman"/>
              </w:rPr>
              <w:t>1930-1935</w:t>
            </w:r>
          </w:p>
          <w:p w:rsidR="00817EAD" w:rsidRDefault="00817EAD" w:rsidP="00CD1883">
            <w:pPr>
              <w:jc w:val="both"/>
              <w:rPr>
                <w:rFonts w:ascii="Times New Roman" w:hAnsi="Times New Roman" w:cs="Times New Roman"/>
              </w:rPr>
            </w:pPr>
            <w:r>
              <w:rPr>
                <w:rFonts w:ascii="Times New Roman" w:hAnsi="Times New Roman" w:cs="Times New Roman"/>
              </w:rPr>
              <w:t>1930-1948</w:t>
            </w:r>
          </w:p>
        </w:tc>
        <w:tc>
          <w:tcPr>
            <w:tcW w:w="1848"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4.22% (0.99)</w:t>
            </w:r>
          </w:p>
        </w:tc>
        <w:tc>
          <w:tcPr>
            <w:tcW w:w="1848" w:type="dxa"/>
            <w:tcBorders>
              <w:left w:val="single" w:sz="4" w:space="0" w:color="FFFFFF" w:themeColor="background1"/>
              <w:bottom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1.40% (0.47)</w:t>
            </w:r>
          </w:p>
        </w:tc>
        <w:tc>
          <w:tcPr>
            <w:tcW w:w="1849" w:type="dxa"/>
            <w:tcBorders>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3.01% (0.71)</w:t>
            </w:r>
          </w:p>
        </w:tc>
        <w:tc>
          <w:tcPr>
            <w:tcW w:w="1849" w:type="dxa"/>
            <w:tcBorders>
              <w:left w:val="single" w:sz="4" w:space="0" w:color="FFFFFF" w:themeColor="background1"/>
              <w:bottom w:val="single" w:sz="4" w:space="0" w:color="FFFFFF" w:themeColor="background1"/>
              <w:right w:val="nil"/>
            </w:tcBorders>
          </w:tcPr>
          <w:p w:rsidR="00817EAD" w:rsidRDefault="00817EAD" w:rsidP="00CD1883">
            <w:pPr>
              <w:jc w:val="center"/>
              <w:rPr>
                <w:rFonts w:ascii="Times New Roman" w:hAnsi="Times New Roman" w:cs="Times New Roman"/>
              </w:rPr>
            </w:pPr>
            <w:r>
              <w:rPr>
                <w:rFonts w:ascii="Times New Roman" w:hAnsi="Times New Roman" w:cs="Times New Roman"/>
              </w:rPr>
              <w:t>1.55% (0.31)</w:t>
            </w:r>
          </w:p>
        </w:tc>
      </w:tr>
      <w:tr w:rsidR="00817EAD" w:rsidTr="00CD1883">
        <w:tc>
          <w:tcPr>
            <w:tcW w:w="1848" w:type="dxa"/>
            <w:vMerge/>
            <w:tcBorders>
              <w:left w:val="nil"/>
              <w:right w:val="single" w:sz="4" w:space="0" w:color="FFFFFF" w:themeColor="background1"/>
            </w:tcBorders>
          </w:tcPr>
          <w:p w:rsidR="00817EAD" w:rsidRDefault="00817EAD" w:rsidP="00CD1883">
            <w:pPr>
              <w:jc w:val="both"/>
              <w:rPr>
                <w:rFonts w:ascii="Times New Roman" w:hAnsi="Times New Roman" w:cs="Times New Roman"/>
              </w:rPr>
            </w:pPr>
          </w:p>
        </w:tc>
        <w:tc>
          <w:tcPr>
            <w:tcW w:w="18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4.29% (1.32)</w:t>
            </w:r>
          </w:p>
        </w:tc>
        <w:tc>
          <w:tcPr>
            <w:tcW w:w="1848" w:type="dxa"/>
            <w:tcBorders>
              <w:top w:val="single" w:sz="4" w:space="0" w:color="FFFFFF" w:themeColor="background1"/>
              <w:left w:val="single" w:sz="4" w:space="0" w:color="FFFFFF" w:themeColor="background1"/>
              <w:bottom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5.53% (0.52)</w:t>
            </w:r>
          </w:p>
        </w:tc>
        <w:tc>
          <w:tcPr>
            <w:tcW w:w="1849" w:type="dxa"/>
            <w:tcBorders>
              <w:top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3.14% (1.01)</w:t>
            </w:r>
          </w:p>
        </w:tc>
        <w:tc>
          <w:tcPr>
            <w:tcW w:w="1849" w:type="dxa"/>
            <w:tcBorders>
              <w:top w:val="single" w:sz="4" w:space="0" w:color="FFFFFF" w:themeColor="background1"/>
              <w:left w:val="single" w:sz="4" w:space="0" w:color="FFFFFF" w:themeColor="background1"/>
              <w:bottom w:val="single" w:sz="4" w:space="0" w:color="FFFFFF" w:themeColor="background1"/>
              <w:right w:val="nil"/>
            </w:tcBorders>
          </w:tcPr>
          <w:p w:rsidR="00817EAD" w:rsidRDefault="00817EAD" w:rsidP="00CD1883">
            <w:pPr>
              <w:jc w:val="center"/>
              <w:rPr>
                <w:rFonts w:ascii="Times New Roman" w:hAnsi="Times New Roman" w:cs="Times New Roman"/>
              </w:rPr>
            </w:pPr>
            <w:r>
              <w:rPr>
                <w:rFonts w:ascii="Times New Roman" w:hAnsi="Times New Roman" w:cs="Times New Roman"/>
              </w:rPr>
              <w:t>3.85% (0.41)</w:t>
            </w:r>
          </w:p>
        </w:tc>
      </w:tr>
      <w:tr w:rsidR="00817EAD" w:rsidTr="00CD1883">
        <w:tc>
          <w:tcPr>
            <w:tcW w:w="1848" w:type="dxa"/>
            <w:vMerge/>
            <w:tcBorders>
              <w:left w:val="nil"/>
              <w:bottom w:val="single" w:sz="12" w:space="0" w:color="auto"/>
              <w:right w:val="single" w:sz="4" w:space="0" w:color="FFFFFF" w:themeColor="background1"/>
            </w:tcBorders>
          </w:tcPr>
          <w:p w:rsidR="00817EAD" w:rsidRDefault="00817EAD" w:rsidP="00CD1883">
            <w:pPr>
              <w:jc w:val="both"/>
              <w:rPr>
                <w:rFonts w:ascii="Times New Roman" w:hAnsi="Times New Roman" w:cs="Times New Roman"/>
              </w:rPr>
            </w:pPr>
          </w:p>
        </w:tc>
        <w:tc>
          <w:tcPr>
            <w:tcW w:w="1848"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2.61% (0.54)</w:t>
            </w:r>
          </w:p>
        </w:tc>
        <w:tc>
          <w:tcPr>
            <w:tcW w:w="1848" w:type="dxa"/>
            <w:tcBorders>
              <w:top w:val="single" w:sz="4" w:space="0" w:color="FFFFFF" w:themeColor="background1"/>
              <w:left w:val="single" w:sz="4" w:space="0" w:color="FFFFFF" w:themeColor="background1"/>
              <w:bottom w:val="single" w:sz="12" w:space="0" w:color="auto"/>
            </w:tcBorders>
          </w:tcPr>
          <w:p w:rsidR="00817EAD" w:rsidRDefault="00817EAD" w:rsidP="00CD1883">
            <w:pPr>
              <w:jc w:val="center"/>
              <w:rPr>
                <w:rFonts w:ascii="Times New Roman" w:hAnsi="Times New Roman" w:cs="Times New Roman"/>
              </w:rPr>
            </w:pPr>
            <w:r>
              <w:rPr>
                <w:rFonts w:ascii="Times New Roman" w:hAnsi="Times New Roman" w:cs="Times New Roman"/>
              </w:rPr>
              <w:t>2.64% (0.37)</w:t>
            </w:r>
          </w:p>
        </w:tc>
        <w:tc>
          <w:tcPr>
            <w:tcW w:w="1849" w:type="dxa"/>
            <w:tcBorders>
              <w:top w:val="single" w:sz="4" w:space="0" w:color="FFFFFF" w:themeColor="background1"/>
              <w:bottom w:val="single" w:sz="12" w:space="0" w:color="auto"/>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1.32% (0.34)</w:t>
            </w:r>
          </w:p>
        </w:tc>
        <w:tc>
          <w:tcPr>
            <w:tcW w:w="1849" w:type="dxa"/>
            <w:tcBorders>
              <w:top w:val="single" w:sz="4" w:space="0" w:color="FFFFFF" w:themeColor="background1"/>
              <w:left w:val="single" w:sz="4" w:space="0" w:color="FFFFFF" w:themeColor="background1"/>
              <w:bottom w:val="single" w:sz="12" w:space="0" w:color="auto"/>
              <w:right w:val="nil"/>
            </w:tcBorders>
          </w:tcPr>
          <w:p w:rsidR="00817EAD" w:rsidRDefault="00817EAD" w:rsidP="00CD1883">
            <w:pPr>
              <w:jc w:val="center"/>
              <w:rPr>
                <w:rFonts w:ascii="Times New Roman" w:hAnsi="Times New Roman" w:cs="Times New Roman"/>
              </w:rPr>
            </w:pPr>
            <w:r>
              <w:rPr>
                <w:rFonts w:ascii="Times New Roman" w:hAnsi="Times New Roman" w:cs="Times New Roman"/>
              </w:rPr>
              <w:t>1.47% (0.17)</w:t>
            </w:r>
          </w:p>
        </w:tc>
      </w:tr>
      <w:tr w:rsidR="00817EAD" w:rsidTr="00CD1883">
        <w:tc>
          <w:tcPr>
            <w:tcW w:w="9242" w:type="dxa"/>
            <w:gridSpan w:val="5"/>
            <w:tcBorders>
              <w:top w:val="single" w:sz="12" w:space="0" w:color="auto"/>
              <w:left w:val="nil"/>
              <w:bottom w:val="nil"/>
              <w:right w:val="nil"/>
            </w:tcBorders>
          </w:tcPr>
          <w:p w:rsidR="00817EAD" w:rsidRPr="00E062CB" w:rsidRDefault="00817EAD" w:rsidP="00CD1883">
            <w:pPr>
              <w:jc w:val="both"/>
              <w:rPr>
                <w:rFonts w:ascii="Times New Roman" w:hAnsi="Times New Roman" w:cs="Times New Roman"/>
                <w:sz w:val="18"/>
                <w:szCs w:val="18"/>
              </w:rPr>
            </w:pPr>
            <w:r w:rsidRPr="00E062CB">
              <w:rPr>
                <w:rFonts w:ascii="Times New Roman" w:hAnsi="Times New Roman" w:cs="Times New Roman"/>
                <w:i/>
                <w:sz w:val="18"/>
                <w:szCs w:val="18"/>
              </w:rPr>
              <w:t>Note:</w:t>
            </w:r>
            <w:r w:rsidRPr="00E062CB">
              <w:rPr>
                <w:rFonts w:ascii="Times New Roman" w:hAnsi="Times New Roman" w:cs="Times New Roman"/>
                <w:sz w:val="18"/>
                <w:szCs w:val="18"/>
              </w:rPr>
              <w:t xml:space="preserve"> Average annual growth rate for all industries in the given classification. Non-newly protected industries include both industries that were protected prior to 1932 and those that were unprotected for the whole period. In the 1924-30 and 1930-35 period, there are 36 non-newly protected and 73 newly protected industries in our sample. In 1930-48, the corresponding numbers of firms in our sample are 34 and 69 respectively.</w:t>
            </w:r>
          </w:p>
        </w:tc>
      </w:tr>
    </w:tbl>
    <w:p w:rsidR="00290C87" w:rsidRDefault="00290C87" w:rsidP="00817EAD">
      <w:pPr>
        <w:spacing w:line="240" w:lineRule="auto"/>
        <w:rPr>
          <w:rFonts w:ascii="Times New Roman" w:hAnsi="Times New Roman" w:cs="Times New Roman"/>
          <w:b/>
        </w:rPr>
      </w:pP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Table B2 presents the </w:t>
      </w:r>
      <w:r w:rsidR="00813E52">
        <w:rPr>
          <w:rFonts w:ascii="Times New Roman" w:hAnsi="Times New Roman" w:cs="Times New Roman"/>
        </w:rPr>
        <w:t>analogous</w:t>
      </w:r>
      <w:r>
        <w:rPr>
          <w:rFonts w:ascii="Times New Roman" w:hAnsi="Times New Roman" w:cs="Times New Roman"/>
        </w:rPr>
        <w:t xml:space="preserve"> descriptive statistics for the three-group classification, which includes industries that were: non-newly protected (control), newly protected at 10 percent, and newly protected with additional duties. The table refines the intuition described using the two-group classification and highlights that the greatest output and productivity benefits from the tariff were received by industries with additional duties. On average, industries protected at the 10 percent rate did not see increases in growth from 1924-30 to 1930-35 that matched those of additionally protected industries. This pattern is particularly striking for productivity (see panel B of table B2).</w:t>
      </w:r>
    </w:p>
    <w:p w:rsidR="00817EAD" w:rsidRDefault="00817EAD" w:rsidP="00817EAD">
      <w:pPr>
        <w:spacing w:after="0" w:line="360" w:lineRule="auto"/>
        <w:ind w:firstLine="567"/>
        <w:jc w:val="both"/>
        <w:rPr>
          <w:rFonts w:ascii="Times New Roman" w:hAnsi="Times New Roman" w:cs="Times New Roman"/>
        </w:rPr>
      </w:pPr>
    </w:p>
    <w:p w:rsidR="00817EAD" w:rsidRDefault="00817EAD" w:rsidP="00817EAD">
      <w:pPr>
        <w:spacing w:line="240" w:lineRule="auto"/>
        <w:jc w:val="both"/>
        <w:rPr>
          <w:rFonts w:ascii="Times New Roman" w:hAnsi="Times New Roman" w:cs="Times New Roman"/>
          <w:b/>
        </w:rPr>
      </w:pPr>
      <w:r>
        <w:rPr>
          <w:rFonts w:ascii="Times New Roman" w:hAnsi="Times New Roman" w:cs="Times New Roman"/>
          <w:b/>
        </w:rPr>
        <w:t xml:space="preserve">Table B2: Differences in Output and Productivity Growth across Three Groups, 1924-30, 1930-35 and 1930-48, Mean (and Standard Deviation) of Net Output and Net Output </w:t>
      </w:r>
      <w:r w:rsidR="00B9694E">
        <w:rPr>
          <w:rFonts w:ascii="Times New Roman" w:hAnsi="Times New Roman" w:cs="Times New Roman"/>
          <w:b/>
        </w:rPr>
        <w:t>per worker</w:t>
      </w:r>
      <w:r>
        <w:rPr>
          <w:rFonts w:ascii="Times New Roman" w:hAnsi="Times New Roman" w:cs="Times New Roman"/>
          <w:b/>
        </w:rPr>
        <w:t xml:space="preserve"> Growth (in Constant Prices)</w:t>
      </w:r>
    </w:p>
    <w:tbl>
      <w:tblPr>
        <w:tblStyle w:val="TableGrid"/>
        <w:tblW w:w="0" w:type="auto"/>
        <w:tblLook w:val="04A0" w:firstRow="1" w:lastRow="0" w:firstColumn="1" w:lastColumn="0" w:noHBand="0" w:noVBand="1"/>
      </w:tblPr>
      <w:tblGrid>
        <w:gridCol w:w="2244"/>
        <w:gridCol w:w="2258"/>
        <w:gridCol w:w="2252"/>
        <w:gridCol w:w="2262"/>
      </w:tblGrid>
      <w:tr w:rsidR="00817EAD" w:rsidTr="00CD1883">
        <w:tc>
          <w:tcPr>
            <w:tcW w:w="2310" w:type="dxa"/>
            <w:tcBorders>
              <w:top w:val="single" w:sz="12" w:space="0" w:color="auto"/>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p>
        </w:tc>
        <w:tc>
          <w:tcPr>
            <w:tcW w:w="6932" w:type="dxa"/>
            <w:gridSpan w:val="3"/>
            <w:tcBorders>
              <w:top w:val="single" w:sz="12" w:space="0" w:color="auto"/>
              <w:left w:val="single" w:sz="4" w:space="0" w:color="FFFFFF" w:themeColor="background1"/>
              <w:bottom w:val="single" w:sz="4" w:space="0" w:color="FFFFFF" w:themeColor="background1"/>
              <w:right w:val="single" w:sz="4" w:space="0" w:color="FFFFFF" w:themeColor="background1"/>
            </w:tcBorders>
          </w:tcPr>
          <w:p w:rsidR="00817EAD" w:rsidRPr="00357615" w:rsidRDefault="00817EAD" w:rsidP="00CD1883">
            <w:pPr>
              <w:jc w:val="center"/>
              <w:rPr>
                <w:rFonts w:ascii="Times New Roman" w:hAnsi="Times New Roman" w:cs="Times New Roman"/>
                <w:b/>
              </w:rPr>
            </w:pPr>
            <w:r w:rsidRPr="00357615">
              <w:rPr>
                <w:rFonts w:ascii="Times New Roman" w:hAnsi="Times New Roman" w:cs="Times New Roman"/>
                <w:b/>
              </w:rPr>
              <w:t>Panel A: Net Output Growth</w:t>
            </w:r>
          </w:p>
        </w:tc>
      </w:tr>
      <w:tr w:rsidR="00817EAD" w:rsidTr="00CD1883">
        <w:tc>
          <w:tcPr>
            <w:tcW w:w="2310" w:type="dxa"/>
            <w:tcBorders>
              <w:top w:val="single" w:sz="4" w:space="0" w:color="FFFFFF" w:themeColor="background1"/>
              <w:left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p>
        </w:tc>
        <w:tc>
          <w:tcPr>
            <w:tcW w:w="2310" w:type="dxa"/>
            <w:tcBorders>
              <w:top w:val="single" w:sz="4" w:space="0" w:color="FFFFFF" w:themeColor="background1"/>
              <w:left w:val="single" w:sz="4" w:space="0" w:color="FFFFFF" w:themeColor="background1"/>
              <w:right w:val="single" w:sz="4" w:space="0" w:color="FFFFFF" w:themeColor="background1"/>
            </w:tcBorders>
          </w:tcPr>
          <w:p w:rsidR="00817EAD" w:rsidRPr="00357615" w:rsidRDefault="00817EAD" w:rsidP="00CD1883">
            <w:pPr>
              <w:jc w:val="center"/>
              <w:rPr>
                <w:rFonts w:ascii="Times New Roman" w:hAnsi="Times New Roman" w:cs="Times New Roman"/>
                <w:i/>
              </w:rPr>
            </w:pPr>
            <w:r w:rsidRPr="00357615">
              <w:rPr>
                <w:rFonts w:ascii="Times New Roman" w:hAnsi="Times New Roman" w:cs="Times New Roman"/>
                <w:i/>
              </w:rPr>
              <w:t>Non</w:t>
            </w:r>
            <w:r>
              <w:rPr>
                <w:rFonts w:ascii="Times New Roman" w:hAnsi="Times New Roman" w:cs="Times New Roman"/>
                <w:i/>
              </w:rPr>
              <w:t>-Newly Protected</w:t>
            </w:r>
          </w:p>
        </w:tc>
        <w:tc>
          <w:tcPr>
            <w:tcW w:w="2311" w:type="dxa"/>
            <w:tcBorders>
              <w:top w:val="single" w:sz="4" w:space="0" w:color="FFFFFF" w:themeColor="background1"/>
              <w:left w:val="single" w:sz="4" w:space="0" w:color="FFFFFF" w:themeColor="background1"/>
              <w:right w:val="single" w:sz="4" w:space="0" w:color="FFFFFF" w:themeColor="background1"/>
            </w:tcBorders>
          </w:tcPr>
          <w:p w:rsidR="00817EAD" w:rsidRPr="00357615" w:rsidRDefault="00817EAD" w:rsidP="00CD1883">
            <w:pPr>
              <w:jc w:val="center"/>
              <w:rPr>
                <w:rFonts w:ascii="Times New Roman" w:hAnsi="Times New Roman" w:cs="Times New Roman"/>
                <w:i/>
              </w:rPr>
            </w:pPr>
            <w:r>
              <w:rPr>
                <w:rFonts w:ascii="Times New Roman" w:hAnsi="Times New Roman" w:cs="Times New Roman"/>
                <w:i/>
              </w:rPr>
              <w:t>Ten Percent Duty</w:t>
            </w:r>
          </w:p>
        </w:tc>
        <w:tc>
          <w:tcPr>
            <w:tcW w:w="2311" w:type="dxa"/>
            <w:tcBorders>
              <w:top w:val="single" w:sz="4" w:space="0" w:color="FFFFFF" w:themeColor="background1"/>
              <w:left w:val="single" w:sz="4" w:space="0" w:color="FFFFFF" w:themeColor="background1"/>
              <w:right w:val="single" w:sz="4" w:space="0" w:color="FFFFFF" w:themeColor="background1"/>
            </w:tcBorders>
          </w:tcPr>
          <w:p w:rsidR="00817EAD" w:rsidRPr="00357615" w:rsidRDefault="00817EAD" w:rsidP="00CD1883">
            <w:pPr>
              <w:jc w:val="center"/>
              <w:rPr>
                <w:rFonts w:ascii="Times New Roman" w:hAnsi="Times New Roman" w:cs="Times New Roman"/>
                <w:i/>
              </w:rPr>
            </w:pPr>
            <w:r>
              <w:rPr>
                <w:rFonts w:ascii="Times New Roman" w:hAnsi="Times New Roman" w:cs="Times New Roman"/>
                <w:i/>
              </w:rPr>
              <w:t>Additional Duties</w:t>
            </w:r>
          </w:p>
        </w:tc>
      </w:tr>
      <w:tr w:rsidR="00817EAD" w:rsidTr="00CD1883">
        <w:tc>
          <w:tcPr>
            <w:tcW w:w="2310"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r>
              <w:rPr>
                <w:rFonts w:ascii="Times New Roman" w:hAnsi="Times New Roman" w:cs="Times New Roman"/>
              </w:rPr>
              <w:t>1924-30</w:t>
            </w:r>
          </w:p>
        </w:tc>
        <w:tc>
          <w:tcPr>
            <w:tcW w:w="2310"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4.22% (0.99)</w:t>
            </w:r>
          </w:p>
        </w:tc>
        <w:tc>
          <w:tcPr>
            <w:tcW w:w="2311"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2.66% (1.74)</w:t>
            </w:r>
          </w:p>
        </w:tc>
        <w:tc>
          <w:tcPr>
            <w:tcW w:w="2311"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1.15% (0.44)</w:t>
            </w:r>
          </w:p>
        </w:tc>
      </w:tr>
      <w:tr w:rsidR="00817EAD" w:rsidTr="00CD1883">
        <w:tc>
          <w:tcPr>
            <w:tcW w:w="23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r>
              <w:rPr>
                <w:rFonts w:ascii="Times New Roman" w:hAnsi="Times New Roman" w:cs="Times New Roman"/>
              </w:rPr>
              <w:t>1930-35</w:t>
            </w:r>
          </w:p>
        </w:tc>
        <w:tc>
          <w:tcPr>
            <w:tcW w:w="23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4.29% (1.32)</w:t>
            </w:r>
          </w:p>
        </w:tc>
        <w:tc>
          <w:tcPr>
            <w:tcW w:w="23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4.99% (1.59)</w:t>
            </w:r>
          </w:p>
        </w:tc>
        <w:tc>
          <w:tcPr>
            <w:tcW w:w="23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5.63% (0.54)</w:t>
            </w:r>
          </w:p>
        </w:tc>
      </w:tr>
      <w:tr w:rsidR="00817EAD" w:rsidTr="00CD1883">
        <w:tc>
          <w:tcPr>
            <w:tcW w:w="2310" w:type="dxa"/>
            <w:tcBorders>
              <w:top w:val="single" w:sz="4" w:space="0" w:color="FFFFFF" w:themeColor="background1"/>
              <w:left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r>
              <w:rPr>
                <w:rFonts w:ascii="Times New Roman" w:hAnsi="Times New Roman" w:cs="Times New Roman"/>
              </w:rPr>
              <w:t>1930-48</w:t>
            </w:r>
          </w:p>
        </w:tc>
        <w:tc>
          <w:tcPr>
            <w:tcW w:w="2310" w:type="dxa"/>
            <w:tcBorders>
              <w:top w:val="single" w:sz="4" w:space="0" w:color="FFFFFF" w:themeColor="background1"/>
              <w:left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2.61% (0.54)</w:t>
            </w:r>
          </w:p>
        </w:tc>
        <w:tc>
          <w:tcPr>
            <w:tcW w:w="2311" w:type="dxa"/>
            <w:tcBorders>
              <w:top w:val="single" w:sz="4" w:space="0" w:color="FFFFFF" w:themeColor="background1"/>
              <w:left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2.59% (1.29)</w:t>
            </w:r>
          </w:p>
        </w:tc>
        <w:tc>
          <w:tcPr>
            <w:tcW w:w="2311" w:type="dxa"/>
            <w:tcBorders>
              <w:top w:val="single" w:sz="4" w:space="0" w:color="FFFFFF" w:themeColor="background1"/>
              <w:left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2.64% (0.37)</w:t>
            </w:r>
          </w:p>
        </w:tc>
      </w:tr>
      <w:tr w:rsidR="00817EAD" w:rsidTr="00CD1883">
        <w:tc>
          <w:tcPr>
            <w:tcW w:w="2310"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p>
        </w:tc>
        <w:tc>
          <w:tcPr>
            <w:tcW w:w="6932" w:type="dxa"/>
            <w:gridSpan w:val="3"/>
            <w:tcBorders>
              <w:left w:val="single" w:sz="4" w:space="0" w:color="FFFFFF" w:themeColor="background1"/>
              <w:bottom w:val="single" w:sz="4" w:space="0" w:color="FFFFFF" w:themeColor="background1"/>
              <w:right w:val="single" w:sz="4" w:space="0" w:color="FFFFFF" w:themeColor="background1"/>
            </w:tcBorders>
          </w:tcPr>
          <w:p w:rsidR="00817EAD" w:rsidRPr="00357615" w:rsidRDefault="00817EAD" w:rsidP="00CD1883">
            <w:pPr>
              <w:jc w:val="center"/>
              <w:rPr>
                <w:rFonts w:ascii="Times New Roman" w:hAnsi="Times New Roman" w:cs="Times New Roman"/>
                <w:b/>
              </w:rPr>
            </w:pPr>
            <w:r>
              <w:rPr>
                <w:rFonts w:ascii="Times New Roman" w:hAnsi="Times New Roman" w:cs="Times New Roman"/>
                <w:b/>
              </w:rPr>
              <w:t xml:space="preserve">Panel B: Net Output </w:t>
            </w:r>
            <w:r w:rsidR="00B9694E">
              <w:rPr>
                <w:rFonts w:ascii="Times New Roman" w:hAnsi="Times New Roman" w:cs="Times New Roman"/>
                <w:b/>
              </w:rPr>
              <w:t>per worker</w:t>
            </w:r>
            <w:r>
              <w:rPr>
                <w:rFonts w:ascii="Times New Roman" w:hAnsi="Times New Roman" w:cs="Times New Roman"/>
                <w:b/>
              </w:rPr>
              <w:t xml:space="preserve"> Growth</w:t>
            </w:r>
          </w:p>
        </w:tc>
      </w:tr>
      <w:tr w:rsidR="00817EAD" w:rsidTr="00CD1883">
        <w:tc>
          <w:tcPr>
            <w:tcW w:w="2310" w:type="dxa"/>
            <w:tcBorders>
              <w:top w:val="single" w:sz="4" w:space="0" w:color="FFFFFF" w:themeColor="background1"/>
              <w:left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p>
        </w:tc>
        <w:tc>
          <w:tcPr>
            <w:tcW w:w="2310" w:type="dxa"/>
            <w:tcBorders>
              <w:top w:val="single" w:sz="4" w:space="0" w:color="FFFFFF" w:themeColor="background1"/>
              <w:left w:val="single" w:sz="4" w:space="0" w:color="FFFFFF" w:themeColor="background1"/>
              <w:right w:val="single" w:sz="4" w:space="0" w:color="FFFFFF" w:themeColor="background1"/>
            </w:tcBorders>
          </w:tcPr>
          <w:p w:rsidR="00817EAD" w:rsidRPr="00357615" w:rsidRDefault="00817EAD" w:rsidP="00CD1883">
            <w:pPr>
              <w:jc w:val="center"/>
              <w:rPr>
                <w:rFonts w:ascii="Times New Roman" w:hAnsi="Times New Roman" w:cs="Times New Roman"/>
                <w:i/>
              </w:rPr>
            </w:pPr>
            <w:r w:rsidRPr="00357615">
              <w:rPr>
                <w:rFonts w:ascii="Times New Roman" w:hAnsi="Times New Roman" w:cs="Times New Roman"/>
                <w:i/>
              </w:rPr>
              <w:t>Non</w:t>
            </w:r>
            <w:r>
              <w:rPr>
                <w:rFonts w:ascii="Times New Roman" w:hAnsi="Times New Roman" w:cs="Times New Roman"/>
                <w:i/>
              </w:rPr>
              <w:t>-Newly Protected</w:t>
            </w:r>
          </w:p>
        </w:tc>
        <w:tc>
          <w:tcPr>
            <w:tcW w:w="2311" w:type="dxa"/>
            <w:tcBorders>
              <w:top w:val="single" w:sz="4" w:space="0" w:color="FFFFFF" w:themeColor="background1"/>
              <w:left w:val="single" w:sz="4" w:space="0" w:color="FFFFFF" w:themeColor="background1"/>
              <w:right w:val="single" w:sz="4" w:space="0" w:color="FFFFFF" w:themeColor="background1"/>
            </w:tcBorders>
          </w:tcPr>
          <w:p w:rsidR="00817EAD" w:rsidRPr="00357615" w:rsidRDefault="00817EAD" w:rsidP="00CD1883">
            <w:pPr>
              <w:jc w:val="center"/>
              <w:rPr>
                <w:rFonts w:ascii="Times New Roman" w:hAnsi="Times New Roman" w:cs="Times New Roman"/>
                <w:i/>
              </w:rPr>
            </w:pPr>
            <w:r>
              <w:rPr>
                <w:rFonts w:ascii="Times New Roman" w:hAnsi="Times New Roman" w:cs="Times New Roman"/>
                <w:i/>
              </w:rPr>
              <w:t>Ten Percent Duty</w:t>
            </w:r>
          </w:p>
        </w:tc>
        <w:tc>
          <w:tcPr>
            <w:tcW w:w="2311" w:type="dxa"/>
            <w:tcBorders>
              <w:top w:val="single" w:sz="4" w:space="0" w:color="FFFFFF" w:themeColor="background1"/>
              <w:left w:val="single" w:sz="4" w:space="0" w:color="FFFFFF" w:themeColor="background1"/>
              <w:right w:val="single" w:sz="4" w:space="0" w:color="FFFFFF" w:themeColor="background1"/>
            </w:tcBorders>
          </w:tcPr>
          <w:p w:rsidR="00817EAD" w:rsidRPr="00357615" w:rsidRDefault="00817EAD" w:rsidP="00CD1883">
            <w:pPr>
              <w:jc w:val="center"/>
              <w:rPr>
                <w:rFonts w:ascii="Times New Roman" w:hAnsi="Times New Roman" w:cs="Times New Roman"/>
                <w:i/>
              </w:rPr>
            </w:pPr>
            <w:r>
              <w:rPr>
                <w:rFonts w:ascii="Times New Roman" w:hAnsi="Times New Roman" w:cs="Times New Roman"/>
                <w:i/>
              </w:rPr>
              <w:t>Additional Duties</w:t>
            </w:r>
          </w:p>
        </w:tc>
      </w:tr>
      <w:tr w:rsidR="00817EAD" w:rsidTr="00CD1883">
        <w:tc>
          <w:tcPr>
            <w:tcW w:w="2310"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r>
              <w:rPr>
                <w:rFonts w:ascii="Times New Roman" w:hAnsi="Times New Roman" w:cs="Times New Roman"/>
              </w:rPr>
              <w:t>1924-30</w:t>
            </w:r>
          </w:p>
        </w:tc>
        <w:tc>
          <w:tcPr>
            <w:tcW w:w="2310"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3.01% (0.71)</w:t>
            </w:r>
          </w:p>
        </w:tc>
        <w:tc>
          <w:tcPr>
            <w:tcW w:w="2311"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2.65% (1.01)</w:t>
            </w:r>
          </w:p>
        </w:tc>
        <w:tc>
          <w:tcPr>
            <w:tcW w:w="2311"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1.34% (0.31)</w:t>
            </w:r>
          </w:p>
        </w:tc>
      </w:tr>
      <w:tr w:rsidR="00817EAD" w:rsidTr="00CD1883">
        <w:tc>
          <w:tcPr>
            <w:tcW w:w="23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r>
              <w:rPr>
                <w:rFonts w:ascii="Times New Roman" w:hAnsi="Times New Roman" w:cs="Times New Roman"/>
              </w:rPr>
              <w:t>1930-35</w:t>
            </w:r>
          </w:p>
        </w:tc>
        <w:tc>
          <w:tcPr>
            <w:tcW w:w="23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3.14% (1.01)</w:t>
            </w:r>
          </w:p>
        </w:tc>
        <w:tc>
          <w:tcPr>
            <w:tcW w:w="23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2.94% (0.96)</w:t>
            </w:r>
          </w:p>
        </w:tc>
        <w:tc>
          <w:tcPr>
            <w:tcW w:w="23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4.02% (0.46)</w:t>
            </w:r>
          </w:p>
        </w:tc>
      </w:tr>
      <w:tr w:rsidR="00817EAD" w:rsidTr="00CD1883">
        <w:tc>
          <w:tcPr>
            <w:tcW w:w="2310"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both"/>
              <w:rPr>
                <w:rFonts w:ascii="Times New Roman" w:hAnsi="Times New Roman" w:cs="Times New Roman"/>
              </w:rPr>
            </w:pPr>
            <w:r>
              <w:rPr>
                <w:rFonts w:ascii="Times New Roman" w:hAnsi="Times New Roman" w:cs="Times New Roman"/>
              </w:rPr>
              <w:t>1930-48</w:t>
            </w:r>
          </w:p>
        </w:tc>
        <w:tc>
          <w:tcPr>
            <w:tcW w:w="2310"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1.32% (0.34)</w:t>
            </w:r>
          </w:p>
        </w:tc>
        <w:tc>
          <w:tcPr>
            <w:tcW w:w="2311"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1.77% (0.55)</w:t>
            </w:r>
          </w:p>
        </w:tc>
        <w:tc>
          <w:tcPr>
            <w:tcW w:w="2311"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1.42% (0.18)</w:t>
            </w:r>
          </w:p>
        </w:tc>
      </w:tr>
      <w:tr w:rsidR="00817EAD" w:rsidTr="00CD1883">
        <w:tc>
          <w:tcPr>
            <w:tcW w:w="9242" w:type="dxa"/>
            <w:gridSpan w:val="4"/>
            <w:tcBorders>
              <w:top w:val="single" w:sz="12" w:space="0" w:color="auto"/>
              <w:left w:val="single" w:sz="4" w:space="0" w:color="FFFFFF" w:themeColor="background1"/>
              <w:bottom w:val="single" w:sz="4" w:space="0" w:color="FFFFFF" w:themeColor="background1"/>
              <w:right w:val="single" w:sz="4" w:space="0" w:color="FFFFFF" w:themeColor="background1"/>
            </w:tcBorders>
          </w:tcPr>
          <w:p w:rsidR="00817EAD" w:rsidRPr="00357615" w:rsidRDefault="00817EAD" w:rsidP="00CD1883">
            <w:pPr>
              <w:jc w:val="both"/>
              <w:rPr>
                <w:rFonts w:ascii="Times New Roman" w:hAnsi="Times New Roman" w:cs="Times New Roman"/>
                <w:sz w:val="18"/>
                <w:szCs w:val="18"/>
              </w:rPr>
            </w:pPr>
            <w:r w:rsidRPr="00357615">
              <w:rPr>
                <w:rFonts w:ascii="Times New Roman" w:hAnsi="Times New Roman" w:cs="Times New Roman"/>
                <w:i/>
                <w:sz w:val="18"/>
                <w:szCs w:val="18"/>
              </w:rPr>
              <w:t>Note:</w:t>
            </w:r>
            <w:r w:rsidRPr="00357615">
              <w:rPr>
                <w:rFonts w:ascii="Times New Roman" w:hAnsi="Times New Roman" w:cs="Times New Roman"/>
                <w:sz w:val="18"/>
                <w:szCs w:val="18"/>
              </w:rPr>
              <w:t xml:space="preserve"> Average annual growth rate for all industries in the given classification. Non-newly protected industries include both industries that were protected prior to 1932 and those that were unprotected for the whole period. In the 1924-30 and 1930-35 period, there are 36 non-newly protected </w:t>
            </w:r>
            <w:r>
              <w:rPr>
                <w:rFonts w:ascii="Times New Roman" w:hAnsi="Times New Roman" w:cs="Times New Roman"/>
                <w:sz w:val="18"/>
                <w:szCs w:val="18"/>
              </w:rPr>
              <w:t>industries, 12 industries protected at the 10 percent rate and 61 industries with additional tariff protection</w:t>
            </w:r>
            <w:r w:rsidRPr="00357615">
              <w:rPr>
                <w:rFonts w:ascii="Times New Roman" w:hAnsi="Times New Roman" w:cs="Times New Roman"/>
                <w:sz w:val="18"/>
                <w:szCs w:val="18"/>
              </w:rPr>
              <w:t xml:space="preserve">. In 1930-48, the corresponding numbers of firms in our sample are </w:t>
            </w:r>
            <w:r>
              <w:rPr>
                <w:rFonts w:ascii="Times New Roman" w:hAnsi="Times New Roman" w:cs="Times New Roman"/>
                <w:sz w:val="18"/>
                <w:szCs w:val="18"/>
              </w:rPr>
              <w:t>34, 11 and 58</w:t>
            </w:r>
            <w:r w:rsidRPr="00357615">
              <w:rPr>
                <w:rFonts w:ascii="Times New Roman" w:hAnsi="Times New Roman" w:cs="Times New Roman"/>
                <w:sz w:val="18"/>
                <w:szCs w:val="18"/>
              </w:rPr>
              <w:t xml:space="preserve"> respectively.</w:t>
            </w:r>
          </w:p>
        </w:tc>
      </w:tr>
    </w:tbl>
    <w:p w:rsidR="00817EAD" w:rsidRDefault="00817EAD" w:rsidP="00EE5A83">
      <w:pPr>
        <w:spacing w:after="0" w:line="360" w:lineRule="auto"/>
        <w:jc w:val="both"/>
        <w:rPr>
          <w:rFonts w:ascii="Times New Roman" w:hAnsi="Times New Roman" w:cs="Times New Roman"/>
        </w:rPr>
      </w:pPr>
    </w:p>
    <w:p w:rsidR="00817EAD" w:rsidRDefault="00813E52" w:rsidP="00817EAD">
      <w:pPr>
        <w:spacing w:after="0" w:line="360" w:lineRule="auto"/>
        <w:jc w:val="both"/>
        <w:rPr>
          <w:rFonts w:ascii="Times New Roman" w:hAnsi="Times New Roman" w:cs="Times New Roman"/>
        </w:rPr>
      </w:pPr>
      <w:r>
        <w:rPr>
          <w:rFonts w:ascii="Times New Roman" w:hAnsi="Times New Roman" w:cs="Times New Roman"/>
          <w:b/>
        </w:rPr>
        <w:t>B</w:t>
      </w:r>
      <w:r w:rsidR="00817EAD">
        <w:rPr>
          <w:rFonts w:ascii="Times New Roman" w:hAnsi="Times New Roman" w:cs="Times New Roman"/>
          <w:b/>
        </w:rPr>
        <w:t>.</w:t>
      </w:r>
      <w:r>
        <w:rPr>
          <w:rFonts w:ascii="Times New Roman" w:hAnsi="Times New Roman" w:cs="Times New Roman"/>
          <w:b/>
        </w:rPr>
        <w:t>2</w:t>
      </w:r>
      <w:r w:rsidR="00817EAD">
        <w:rPr>
          <w:rFonts w:ascii="Times New Roman" w:hAnsi="Times New Roman" w:cs="Times New Roman"/>
          <w:b/>
        </w:rPr>
        <w:t xml:space="preserve"> </w:t>
      </w:r>
      <w:r w:rsidR="00817EAD">
        <w:rPr>
          <w:rFonts w:ascii="Times New Roman" w:hAnsi="Times New Roman" w:cs="Times New Roman"/>
          <w:b/>
        </w:rPr>
        <w:tab/>
        <w:t>Control Variables</w:t>
      </w:r>
    </w:p>
    <w:p w:rsidR="00817EAD" w:rsidRDefault="00817EAD" w:rsidP="00EE5A83">
      <w:pPr>
        <w:spacing w:after="0" w:line="360" w:lineRule="auto"/>
        <w:ind w:firstLine="567"/>
        <w:jc w:val="both"/>
        <w:rPr>
          <w:rFonts w:ascii="Times New Roman" w:hAnsi="Times New Roman" w:cs="Times New Roman"/>
        </w:rPr>
      </w:pPr>
      <w:r>
        <w:rPr>
          <w:rFonts w:ascii="Times New Roman" w:hAnsi="Times New Roman" w:cs="Times New Roman"/>
        </w:rPr>
        <w:t xml:space="preserve">The regressions reported in columns (2)-(5) of Table 2 </w:t>
      </w:r>
      <w:r w:rsidR="00EE5A83">
        <w:rPr>
          <w:rFonts w:ascii="Times New Roman" w:hAnsi="Times New Roman" w:cs="Times New Roman"/>
        </w:rPr>
        <w:t xml:space="preserve">include control variables that </w:t>
      </w:r>
      <w:r>
        <w:rPr>
          <w:rFonts w:ascii="Times New Roman" w:hAnsi="Times New Roman" w:cs="Times New Roman"/>
        </w:rPr>
        <w:t xml:space="preserve">are intended to capture otherwise unobserved features of industries that may simultaneously be correlated with the tariff treatment and their output, productivity or employment </w:t>
      </w:r>
      <w:r w:rsidRPr="00C62335">
        <w:rPr>
          <w:rFonts w:ascii="Times New Roman" w:hAnsi="Times New Roman" w:cs="Times New Roman"/>
        </w:rPr>
        <w:t xml:space="preserve">growth. </w:t>
      </w:r>
      <w:r w:rsidR="00290C87" w:rsidRPr="00C62335">
        <w:rPr>
          <w:rFonts w:ascii="Times New Roman" w:hAnsi="Times New Roman" w:cs="Times New Roman"/>
        </w:rPr>
        <w:t xml:space="preserve">That is, they are intended to capture industry features that may have caused differential changes in growth rates across industry groups absent the General Tariff. </w:t>
      </w:r>
      <w:r w:rsidRPr="00C62335">
        <w:rPr>
          <w:rFonts w:ascii="Times New Roman" w:hAnsi="Times New Roman" w:cs="Times New Roman"/>
        </w:rPr>
        <w:t xml:space="preserve">Because data constraints limit the possible </w:t>
      </w:r>
      <w:r>
        <w:rPr>
          <w:rFonts w:ascii="Times New Roman" w:hAnsi="Times New Roman" w:cs="Times New Roman"/>
        </w:rPr>
        <w:t xml:space="preserve">control variables, all controls are time-invariant and are included in the regression alongside an interaction with the time dummy </w:t>
      </w:r>
      <m:oMath>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oMath>
      <w:r>
        <w:rPr>
          <w:rFonts w:ascii="Times New Roman" w:hAnsi="Times New Roman" w:cs="Times New Roman"/>
        </w:rPr>
        <w:t xml:space="preserve"> to account for potential time-varying effects. In this appendix, we describe the sets of control variables reported in Table 2. Four classification schemes were considered, each providing different levels of aggregation:</w:t>
      </w: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r w:rsidRPr="0016345B">
        <w:rPr>
          <w:rFonts w:ascii="Times New Roman" w:hAnsi="Times New Roman" w:cs="Times New Roman"/>
          <w:b/>
        </w:rPr>
        <w:t>Census of Production Sectoral Classification</w:t>
      </w:r>
      <w:r w:rsidRPr="0016345B">
        <w:rPr>
          <w:rFonts w:ascii="Times New Roman" w:hAnsi="Times New Roman" w:cs="Times New Roman"/>
        </w:rPr>
        <w:tab/>
      </w:r>
      <w:r w:rsidRPr="0016345B">
        <w:rPr>
          <w:rFonts w:ascii="Times New Roman" w:hAnsi="Times New Roman" w:cs="Times New Roman"/>
        </w:rPr>
        <w:tab/>
        <w:t>The first set of control variables we use, in column (2) of Table 2, groups industries into the sectors defined by the Census of Production. That is, we have a dummy variable for each sector of the economy that is set to unity if that industry is classed within that sector in the Census of Production, and zero otherwise. In our dataset there are 109 industries, which are split up into 13 sectors.</w:t>
      </w:r>
      <w:r w:rsidRPr="0051233D">
        <w:rPr>
          <w:rStyle w:val="Heading4Char"/>
          <w:rFonts w:ascii="Times New Roman" w:hAnsi="Times New Roman" w:cs="Times New Roman"/>
          <w:b w:val="0"/>
          <w:i w:val="0"/>
          <w:vertAlign w:val="superscript"/>
        </w:rPr>
        <w:footnoteReference w:id="25"/>
      </w:r>
      <w:r w:rsidRPr="0016345B">
        <w:rPr>
          <w:rFonts w:ascii="Times New Roman" w:hAnsi="Times New Roman" w:cs="Times New Roman"/>
        </w:rPr>
        <w:t xml:space="preserve"> Table </w:t>
      </w:r>
      <w:r w:rsidR="00EE5A83">
        <w:rPr>
          <w:rFonts w:ascii="Times New Roman" w:hAnsi="Times New Roman" w:cs="Times New Roman"/>
        </w:rPr>
        <w:t>B3</w:t>
      </w:r>
      <w:r w:rsidRPr="0016345B">
        <w:rPr>
          <w:rFonts w:ascii="Times New Roman" w:hAnsi="Times New Roman" w:cs="Times New Roman"/>
        </w:rPr>
        <w:t xml:space="preserve"> presents a list of the sectors, and the industries that </w:t>
      </w:r>
      <w:r w:rsidRPr="00C62335">
        <w:rPr>
          <w:rFonts w:ascii="Times New Roman" w:hAnsi="Times New Roman" w:cs="Times New Roman"/>
        </w:rPr>
        <w:t xml:space="preserve">comprise them. </w:t>
      </w:r>
      <w:r w:rsidR="00290C87" w:rsidRPr="00C62335">
        <w:rPr>
          <w:rFonts w:ascii="Times New Roman" w:hAnsi="Times New Roman" w:cs="Times New Roman"/>
        </w:rPr>
        <w:t>To the extent that industries within the same sector may co-move, but differ from other sectors, or be subject to similar tariff protection within sectors, this control variable can capture time-varying, industry-specific influences, as well as potential non-random tariff assignment.</w:t>
      </w:r>
    </w:p>
    <w:p w:rsidR="00EE5A83" w:rsidRDefault="00EE5A83" w:rsidP="00817EAD">
      <w:pPr>
        <w:spacing w:after="0" w:line="360" w:lineRule="auto"/>
        <w:jc w:val="both"/>
        <w:rPr>
          <w:rFonts w:ascii="Times New Roman" w:hAnsi="Times New Roman" w:cs="Times New Roman"/>
        </w:rPr>
      </w:pPr>
    </w:p>
    <w:p w:rsidR="00817EAD" w:rsidRDefault="00817EAD" w:rsidP="00817EAD">
      <w:pPr>
        <w:spacing w:line="240" w:lineRule="auto"/>
        <w:jc w:val="both"/>
        <w:rPr>
          <w:rFonts w:ascii="Times New Roman" w:hAnsi="Times New Roman" w:cs="Times New Roman"/>
        </w:rPr>
      </w:pPr>
      <w:r>
        <w:rPr>
          <w:rFonts w:ascii="Times New Roman" w:hAnsi="Times New Roman" w:cs="Times New Roman"/>
          <w:b/>
        </w:rPr>
        <w:t xml:space="preserve">Table </w:t>
      </w:r>
      <w:r w:rsidR="00813E52">
        <w:rPr>
          <w:rFonts w:ascii="Times New Roman" w:hAnsi="Times New Roman" w:cs="Times New Roman"/>
          <w:b/>
        </w:rPr>
        <w:t>B3</w:t>
      </w:r>
      <w:r>
        <w:rPr>
          <w:rFonts w:ascii="Times New Roman" w:hAnsi="Times New Roman" w:cs="Times New Roman"/>
          <w:b/>
        </w:rPr>
        <w:t>: Sectoral Breakdown of Industries in the Census of Production</w:t>
      </w:r>
    </w:p>
    <w:tbl>
      <w:tblPr>
        <w:tblStyle w:val="TableGrid"/>
        <w:tblW w:w="0" w:type="auto"/>
        <w:tblLook w:val="04A0" w:firstRow="1" w:lastRow="0" w:firstColumn="1" w:lastColumn="0" w:noHBand="0" w:noVBand="1"/>
      </w:tblPr>
      <w:tblGrid>
        <w:gridCol w:w="1793"/>
        <w:gridCol w:w="7223"/>
      </w:tblGrid>
      <w:tr w:rsidR="00817EAD" w:rsidTr="00CD1883">
        <w:tc>
          <w:tcPr>
            <w:tcW w:w="1809" w:type="dxa"/>
            <w:tcBorders>
              <w:top w:val="single" w:sz="12" w:space="0" w:color="auto"/>
              <w:left w:val="single" w:sz="4" w:space="0" w:color="FFFFFF" w:themeColor="background1"/>
            </w:tcBorders>
          </w:tcPr>
          <w:p w:rsidR="00817EAD" w:rsidRPr="00444C8B" w:rsidRDefault="00817EAD" w:rsidP="00CD1883">
            <w:pPr>
              <w:rPr>
                <w:rFonts w:ascii="Times New Roman" w:hAnsi="Times New Roman" w:cs="Times New Roman"/>
                <w:b/>
              </w:rPr>
            </w:pPr>
            <w:r>
              <w:rPr>
                <w:rFonts w:ascii="Times New Roman" w:hAnsi="Times New Roman" w:cs="Times New Roman"/>
                <w:b/>
              </w:rPr>
              <w:t>Sector</w:t>
            </w:r>
          </w:p>
        </w:tc>
        <w:tc>
          <w:tcPr>
            <w:tcW w:w="7433" w:type="dxa"/>
            <w:tcBorders>
              <w:top w:val="single" w:sz="12" w:space="0" w:color="auto"/>
              <w:right w:val="single" w:sz="4" w:space="0" w:color="FFFFFF" w:themeColor="background1"/>
            </w:tcBorders>
          </w:tcPr>
          <w:p w:rsidR="00817EAD" w:rsidRPr="00444C8B" w:rsidRDefault="00817EAD" w:rsidP="00CD1883">
            <w:pPr>
              <w:jc w:val="both"/>
              <w:rPr>
                <w:rFonts w:ascii="Times New Roman" w:hAnsi="Times New Roman" w:cs="Times New Roman"/>
                <w:b/>
              </w:rPr>
            </w:pPr>
            <w:r w:rsidRPr="00444C8B">
              <w:rPr>
                <w:rFonts w:ascii="Times New Roman" w:hAnsi="Times New Roman" w:cs="Times New Roman"/>
                <w:b/>
              </w:rPr>
              <w:t>Industries</w:t>
            </w:r>
            <w:r>
              <w:rPr>
                <w:rFonts w:ascii="Times New Roman" w:hAnsi="Times New Roman" w:cs="Times New Roman"/>
                <w:b/>
              </w:rPr>
              <w:t xml:space="preserve"> in the Sector</w:t>
            </w:r>
          </w:p>
        </w:tc>
      </w:tr>
      <w:tr w:rsidR="00817EAD" w:rsidTr="00CD1883">
        <w:tc>
          <w:tcPr>
            <w:tcW w:w="1809"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Textiles</w:t>
            </w:r>
          </w:p>
        </w:tc>
        <w:tc>
          <w:tcPr>
            <w:tcW w:w="7433"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Cotton Spinning; Cotton Weaving; Woollen &amp; Worsted; Silk &amp; Artificial Silk; Linen &amp; Hemp; Jute; Hosiery; Textile Finishing; Lace; Rope, Twine &amp; Net; Elastic Webbing; Coir Fibre, Horse Hair &amp; Feather; Flock &amp; Rag; Packing; Canvas Good Sack; Engine Boiler Packing; Roofing Felt.</w:t>
            </w:r>
          </w:p>
        </w:tc>
      </w:tr>
      <w:tr w:rsidR="00817EAD" w:rsidTr="00CD1883">
        <w:tc>
          <w:tcPr>
            <w:tcW w:w="1809"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Food, Drink and Tobacco</w:t>
            </w:r>
          </w:p>
        </w:tc>
        <w:tc>
          <w:tcPr>
            <w:tcW w:w="7433"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Grain Milling; Bread &amp; Cakes; Biscuit; Cocoa, Sugar &amp; Confectionary; Bacon, Wring &amp; Sausage; Preserved Foods; Butter &amp; Cheese; Fish Curing; Cattle, Dog &amp; Poultry; Ice; Sugar &amp; Glucose; Brewing &amp; Malting; Spirit Rectifying etc.; Wholesale Bottling; Aeriated Water etc.; Spirit Distilling; Tobacco.</w:t>
            </w:r>
          </w:p>
        </w:tc>
      </w:tr>
      <w:tr w:rsidR="00817EAD" w:rsidTr="00CD1883">
        <w:tc>
          <w:tcPr>
            <w:tcW w:w="1809"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Clothing</w:t>
            </w:r>
          </w:p>
        </w:tc>
        <w:tc>
          <w:tcPr>
            <w:tcW w:w="7433"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Tailoring &amp; Dressmaking; Boot &amp; Shoe; Hat &amp; Cap; Glove; Umbrellas &amp; Walking Sticks; Fur.</w:t>
            </w:r>
          </w:p>
        </w:tc>
      </w:tr>
      <w:tr w:rsidR="00817EAD" w:rsidTr="00CD1883">
        <w:tc>
          <w:tcPr>
            <w:tcW w:w="1809"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Iron</w:t>
            </w:r>
          </w:p>
        </w:tc>
        <w:tc>
          <w:tcPr>
            <w:tcW w:w="7433"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Blast Furnace; Smelting &amp; Rolling; Foundries; Tinplate; Wrought Iron &amp; Steel; Wire; Chain, Nail &amp; Screw; Hardware &amp; Hollowware; Cutlery; Tool &amp; Implement; Needle Pin Smallware; Small Arms.</w:t>
            </w:r>
          </w:p>
        </w:tc>
      </w:tr>
      <w:tr w:rsidR="00817EAD" w:rsidTr="00CD1883">
        <w:tc>
          <w:tcPr>
            <w:tcW w:w="1809"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Engineering Trades</w:t>
            </w:r>
          </w:p>
        </w:tc>
        <w:tc>
          <w:tcPr>
            <w:tcW w:w="7433"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Mechanical Engineering; Electrical Engineering; Shipbuilding; Motor &amp; Cycle; Aircraft; Railway Carriage &amp; Wagon; Carriage Cart &amp; Wagon.</w:t>
            </w:r>
          </w:p>
        </w:tc>
      </w:tr>
      <w:tr w:rsidR="00817EAD" w:rsidTr="00CD1883">
        <w:tc>
          <w:tcPr>
            <w:tcW w:w="1809"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Non-Ferrous Metals</w:t>
            </w:r>
          </w:p>
        </w:tc>
        <w:tc>
          <w:tcPr>
            <w:tcW w:w="7433"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Copper &amp; Brass; Aluminium, Lead &amp; Tin; Finished Brass; Gold &amp; Silver; Plate &amp; Jewellery; Watch &amp; Clock.</w:t>
            </w:r>
          </w:p>
        </w:tc>
      </w:tr>
      <w:tr w:rsidR="00817EAD" w:rsidTr="00CD1883">
        <w:tc>
          <w:tcPr>
            <w:tcW w:w="1809"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Chemical &amp; Allied Trades</w:t>
            </w:r>
          </w:p>
        </w:tc>
        <w:tc>
          <w:tcPr>
            <w:tcW w:w="7433"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Chemical Dyes &amp; Drugs; Seed Crushing; Oil &amp; Tallow; Fertiliser Disinfectant Glue; Soap, Candle, Perfume; Starch Polishes; Paint Colour Varnishes; Explosives &amp; Fireworks; Match; Ink, Gum, Wax; Petroleum.</w:t>
            </w:r>
          </w:p>
        </w:tc>
      </w:tr>
      <w:tr w:rsidR="00817EAD" w:rsidTr="00CD1883">
        <w:tc>
          <w:tcPr>
            <w:tcW w:w="1809"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Leather</w:t>
            </w:r>
          </w:p>
        </w:tc>
        <w:tc>
          <w:tcPr>
            <w:tcW w:w="7433"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Fellmongery; Leather Tanning; Leather Goods.</w:t>
            </w:r>
          </w:p>
        </w:tc>
      </w:tr>
      <w:tr w:rsidR="00817EAD" w:rsidTr="00CD1883">
        <w:tc>
          <w:tcPr>
            <w:tcW w:w="1809"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Paper</w:t>
            </w:r>
          </w:p>
        </w:tc>
        <w:tc>
          <w:tcPr>
            <w:tcW w:w="7433"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Paper; Wallpaper; Printing &amp; Books; Print &amp; Publish Newspaper; Manufactured Stationary; Cardboard Box; Pens &amp; Pencils.</w:t>
            </w:r>
          </w:p>
        </w:tc>
      </w:tr>
      <w:tr w:rsidR="00817EAD" w:rsidTr="00CD1883">
        <w:tc>
          <w:tcPr>
            <w:tcW w:w="1809"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Miscellaneous</w:t>
            </w:r>
          </w:p>
        </w:tc>
        <w:tc>
          <w:tcPr>
            <w:tcW w:w="7433"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(Base</w:t>
            </w:r>
            <w:r>
              <w:rPr>
                <w:rFonts w:ascii="Times New Roman" w:hAnsi="Times New Roman" w:cs="Times New Roman"/>
                <w:sz w:val="20"/>
                <w:szCs w:val="20"/>
              </w:rPr>
              <w:t xml:space="preserve">line Group) </w:t>
            </w:r>
            <w:r w:rsidRPr="006F20AE">
              <w:rPr>
                <w:rFonts w:ascii="Times New Roman" w:hAnsi="Times New Roman" w:cs="Times New Roman"/>
                <w:sz w:val="20"/>
                <w:szCs w:val="20"/>
              </w:rPr>
              <w:t>Rubber; Linoleum &amp; Oilcloth; Musical Instruments; Games &amp; Toys; Sports Requisites; Scientific Instruments; Cinematographic Film Printing; Incandescent Mantles; Fancy Goods; Coke &amp; By-Products; Manufactured Fuel; Brush; Manufactured Abrasives.</w:t>
            </w:r>
          </w:p>
        </w:tc>
      </w:tr>
      <w:tr w:rsidR="00817EAD" w:rsidTr="00CD1883">
        <w:tc>
          <w:tcPr>
            <w:tcW w:w="1809"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Timber</w:t>
            </w:r>
          </w:p>
        </w:tc>
        <w:tc>
          <w:tcPr>
            <w:tcW w:w="7433"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Timber; Furniture &amp; Upholstery; Wooden Cases; Coopering; Basket &amp; Wicker-Work.</w:t>
            </w:r>
          </w:p>
        </w:tc>
      </w:tr>
      <w:tr w:rsidR="00817EAD" w:rsidTr="00CD1883">
        <w:tc>
          <w:tcPr>
            <w:tcW w:w="1809" w:type="dxa"/>
            <w:tcBorders>
              <w:left w:val="single" w:sz="4" w:space="0" w:color="FFFFFF" w:themeColor="background1"/>
              <w:bottom w:val="single" w:sz="12" w:space="0" w:color="auto"/>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Clay &amp; Building Materials</w:t>
            </w:r>
          </w:p>
        </w:tc>
        <w:tc>
          <w:tcPr>
            <w:tcW w:w="7433" w:type="dxa"/>
            <w:tcBorders>
              <w:bottom w:val="single" w:sz="12" w:space="0" w:color="auto"/>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Brick &amp; Fireclay; China &amp; Earthenware; Cement; Glass; Building Material.</w:t>
            </w:r>
          </w:p>
        </w:tc>
      </w:tr>
    </w:tbl>
    <w:p w:rsidR="00817EAD" w:rsidRDefault="00817EAD" w:rsidP="00817EAD">
      <w:pPr>
        <w:spacing w:after="0" w:line="360" w:lineRule="auto"/>
        <w:jc w:val="both"/>
        <w:rPr>
          <w:rFonts w:ascii="Times New Roman" w:hAnsi="Times New Roman" w:cs="Times New Roman"/>
          <w:b/>
        </w:rPr>
      </w:pPr>
    </w:p>
    <w:p w:rsidR="00817EAD" w:rsidRDefault="00817EAD" w:rsidP="00817EAD">
      <w:pPr>
        <w:spacing w:after="0" w:line="360" w:lineRule="auto"/>
        <w:jc w:val="both"/>
        <w:rPr>
          <w:rFonts w:ascii="Times New Roman" w:hAnsi="Times New Roman" w:cs="Times New Roman"/>
        </w:rPr>
      </w:pPr>
      <w:r>
        <w:rPr>
          <w:rFonts w:ascii="Times New Roman" w:hAnsi="Times New Roman" w:cs="Times New Roman"/>
          <w:b/>
        </w:rPr>
        <w:t>Barna Input-Output Sectoral Classification</w:t>
      </w:r>
      <w:r>
        <w:rPr>
          <w:rFonts w:ascii="Times New Roman" w:hAnsi="Times New Roman" w:cs="Times New Roman"/>
        </w:rPr>
        <w:tab/>
      </w:r>
      <w:r>
        <w:rPr>
          <w:rFonts w:ascii="Times New Roman" w:hAnsi="Times New Roman" w:cs="Times New Roman"/>
        </w:rPr>
        <w:tab/>
        <w:t xml:space="preserve">To develop a more disaggregated set of control variables to account for time-varying, industry-specific influences and potential non-random tariff assignment, we draw on the sectoral classification of industries from Barna (1952). Barna surveyed the structure of the British economy in the interwar period and classified industries into 29 different sectors – the classification is presented in table </w:t>
      </w:r>
      <w:r w:rsidR="00EE5A83">
        <w:rPr>
          <w:rFonts w:ascii="Times New Roman" w:hAnsi="Times New Roman" w:cs="Times New Roman"/>
        </w:rPr>
        <w:t>B4</w:t>
      </w:r>
      <w:r>
        <w:rPr>
          <w:rFonts w:ascii="Times New Roman" w:hAnsi="Times New Roman" w:cs="Times New Roman"/>
        </w:rPr>
        <w:t xml:space="preserve"> and is from Appendix A of Barna (1952). Barna’s 29 industry classification accounts for a large degree of heterogeneity across industries, whilst retaining sufficient degrees of freedom in the estimation.</w:t>
      </w:r>
    </w:p>
    <w:p w:rsidR="00817EAD" w:rsidRDefault="00817EAD" w:rsidP="00817EAD">
      <w:pPr>
        <w:spacing w:after="0" w:line="360" w:lineRule="auto"/>
        <w:jc w:val="both"/>
        <w:rPr>
          <w:rFonts w:ascii="Times New Roman" w:hAnsi="Times New Roman" w:cs="Times New Roman"/>
        </w:rPr>
      </w:pPr>
    </w:p>
    <w:p w:rsidR="00817EAD" w:rsidRPr="00BC1594" w:rsidRDefault="00817EAD" w:rsidP="00817EAD">
      <w:pPr>
        <w:spacing w:line="240" w:lineRule="auto"/>
        <w:jc w:val="both"/>
        <w:rPr>
          <w:rFonts w:ascii="Times New Roman" w:hAnsi="Times New Roman" w:cs="Times New Roman"/>
          <w:b/>
        </w:rPr>
      </w:pPr>
      <w:r>
        <w:rPr>
          <w:rFonts w:ascii="Times New Roman" w:hAnsi="Times New Roman" w:cs="Times New Roman"/>
          <w:b/>
        </w:rPr>
        <w:t xml:space="preserve">Table </w:t>
      </w:r>
      <w:r w:rsidR="00813E52">
        <w:rPr>
          <w:rFonts w:ascii="Times New Roman" w:hAnsi="Times New Roman" w:cs="Times New Roman"/>
          <w:b/>
        </w:rPr>
        <w:t>B4</w:t>
      </w:r>
      <w:r>
        <w:rPr>
          <w:rFonts w:ascii="Times New Roman" w:hAnsi="Times New Roman" w:cs="Times New Roman"/>
          <w:b/>
        </w:rPr>
        <w:t>: Sectoral Breakdown of Industries in the Disaggregated Classification of Barna (1952)</w:t>
      </w:r>
    </w:p>
    <w:tbl>
      <w:tblPr>
        <w:tblStyle w:val="TableGrid"/>
        <w:tblW w:w="0" w:type="auto"/>
        <w:tblLook w:val="04A0" w:firstRow="1" w:lastRow="0" w:firstColumn="1" w:lastColumn="0" w:noHBand="0" w:noVBand="1"/>
      </w:tblPr>
      <w:tblGrid>
        <w:gridCol w:w="2205"/>
        <w:gridCol w:w="6811"/>
      </w:tblGrid>
      <w:tr w:rsidR="00817EAD" w:rsidTr="00CD1883">
        <w:tc>
          <w:tcPr>
            <w:tcW w:w="2235" w:type="dxa"/>
            <w:tcBorders>
              <w:top w:val="single" w:sz="12" w:space="0" w:color="auto"/>
              <w:left w:val="single" w:sz="4" w:space="0" w:color="FFFFFF" w:themeColor="background1"/>
            </w:tcBorders>
          </w:tcPr>
          <w:p w:rsidR="00817EAD" w:rsidRPr="00BC1594" w:rsidRDefault="00817EAD" w:rsidP="00CD1883">
            <w:pPr>
              <w:rPr>
                <w:rFonts w:ascii="Times New Roman" w:hAnsi="Times New Roman" w:cs="Times New Roman"/>
                <w:b/>
              </w:rPr>
            </w:pPr>
            <w:r w:rsidRPr="00BC1594">
              <w:rPr>
                <w:rFonts w:ascii="Times New Roman" w:hAnsi="Times New Roman" w:cs="Times New Roman"/>
                <w:b/>
              </w:rPr>
              <w:t>Sector</w:t>
            </w:r>
          </w:p>
        </w:tc>
        <w:tc>
          <w:tcPr>
            <w:tcW w:w="7007" w:type="dxa"/>
            <w:tcBorders>
              <w:top w:val="single" w:sz="12" w:space="0" w:color="auto"/>
              <w:right w:val="single" w:sz="4" w:space="0" w:color="FFFFFF" w:themeColor="background1"/>
            </w:tcBorders>
          </w:tcPr>
          <w:p w:rsidR="00817EAD" w:rsidRPr="00BC1594" w:rsidRDefault="00817EAD" w:rsidP="00CD1883">
            <w:pPr>
              <w:jc w:val="both"/>
              <w:rPr>
                <w:rFonts w:ascii="Times New Roman" w:hAnsi="Times New Roman" w:cs="Times New Roman"/>
                <w:b/>
              </w:rPr>
            </w:pPr>
            <w:r w:rsidRPr="00BC1594">
              <w:rPr>
                <w:rFonts w:ascii="Times New Roman" w:hAnsi="Times New Roman" w:cs="Times New Roman"/>
                <w:b/>
              </w:rPr>
              <w:t>Industries in the Sector</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Building Material</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Roofing Felt; Manufactured Abrasives; Brick &amp; Fireclay; Cement; Building Material</w:t>
            </w:r>
            <w:r>
              <w:rPr>
                <w:rFonts w:ascii="Times New Roman" w:hAnsi="Times New Roman" w:cs="Times New Roman"/>
                <w:sz w:val="20"/>
                <w:szCs w:val="20"/>
              </w:rPr>
              <w:t>.</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China, Glass etc.</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China &amp; Earthenware</w:t>
            </w:r>
            <w:r w:rsidRPr="006F20AE">
              <w:rPr>
                <w:rFonts w:ascii="Times New Roman" w:hAnsi="Times New Roman" w:cs="Times New Roman"/>
                <w:sz w:val="20"/>
                <w:szCs w:val="20"/>
              </w:rPr>
              <w:t>; Glass</w:t>
            </w:r>
            <w:r>
              <w:rPr>
                <w:rFonts w:ascii="Times New Roman" w:hAnsi="Times New Roman" w:cs="Times New Roman"/>
                <w:sz w:val="20"/>
                <w:szCs w:val="20"/>
              </w:rPr>
              <w:t>.</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Coke</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Coke &amp; By-Products; Manufactured Fuel</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Chemicals etc.</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Chemical Dyes &amp; Drugs; Fertiliser, Disinfectant, Glue; Explosives &amp; Fireworks</w:t>
            </w:r>
            <w:r>
              <w:rPr>
                <w:rFonts w:ascii="Times New Roman" w:hAnsi="Times New Roman" w:cs="Times New Roman"/>
                <w:sz w:val="20"/>
                <w:szCs w:val="20"/>
              </w:rPr>
              <w:t>; Fancy Goods.</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Soap, Polishes etc.</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Soap, Candle, Perfume</w:t>
            </w:r>
            <w:r w:rsidRPr="006F20AE">
              <w:rPr>
                <w:rFonts w:ascii="Times New Roman" w:hAnsi="Times New Roman" w:cs="Times New Roman"/>
                <w:sz w:val="20"/>
                <w:szCs w:val="20"/>
              </w:rPr>
              <w:t>; Starch Polishes; Match</w:t>
            </w:r>
            <w:r>
              <w:rPr>
                <w:rFonts w:ascii="Times New Roman" w:hAnsi="Times New Roman" w:cs="Times New Roman"/>
                <w:sz w:val="20"/>
                <w:szCs w:val="20"/>
              </w:rPr>
              <w:t>.</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Oil &amp; Paint</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Seed Crushing; Oil &amp; Tallow; Paint Colour Varnishe</w:t>
            </w:r>
            <w:r>
              <w:rPr>
                <w:rFonts w:ascii="Times New Roman" w:hAnsi="Times New Roman" w:cs="Times New Roman"/>
                <w:sz w:val="20"/>
                <w:szCs w:val="20"/>
              </w:rPr>
              <w:t>s</w:t>
            </w:r>
            <w:r w:rsidRPr="006F20AE">
              <w:rPr>
                <w:rFonts w:ascii="Times New Roman" w:hAnsi="Times New Roman" w:cs="Times New Roman"/>
                <w:sz w:val="20"/>
                <w:szCs w:val="20"/>
              </w:rPr>
              <w:t>; Petroleum</w:t>
            </w:r>
            <w:r>
              <w:rPr>
                <w:rFonts w:ascii="Times New Roman" w:hAnsi="Times New Roman" w:cs="Times New Roman"/>
                <w:sz w:val="20"/>
                <w:szCs w:val="20"/>
              </w:rPr>
              <w:t>; Ink Gum Wax.</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Iron &amp; Steel</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Blast Furnace</w:t>
            </w:r>
            <w:r w:rsidRPr="006F20AE">
              <w:rPr>
                <w:rFonts w:ascii="Times New Roman" w:hAnsi="Times New Roman" w:cs="Times New Roman"/>
                <w:sz w:val="20"/>
                <w:szCs w:val="20"/>
              </w:rPr>
              <w:t>; Smelting &amp; Rol</w:t>
            </w:r>
            <w:r>
              <w:rPr>
                <w:rFonts w:ascii="Times New Roman" w:hAnsi="Times New Roman" w:cs="Times New Roman"/>
                <w:sz w:val="20"/>
                <w:szCs w:val="20"/>
              </w:rPr>
              <w:t>ling; Foundries; Tinplate; Wrought Iron &amp; Steel.</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Non-Ferrous Metals</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Copper &amp; Bra</w:t>
            </w:r>
            <w:r>
              <w:rPr>
                <w:rFonts w:ascii="Times New Roman" w:hAnsi="Times New Roman" w:cs="Times New Roman"/>
                <w:sz w:val="20"/>
                <w:szCs w:val="20"/>
              </w:rPr>
              <w:t>ss; Aluminium, Lead &amp; Tin.</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Shipbuilding</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Shipbuilding.</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Mechanical Engineering</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Mechanical Engineering; Small Arms.</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Electrical Engineering</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Electrical Engineering.</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Motor &amp; Cycle</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Motor &amp; Cycle.</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Aircraft</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Aircraft.</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Railway Rolling Stock</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Railway Carriage &amp; Wagon.</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 xml:space="preserve">Metal Goods </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Wire; Chain, Nail &amp; Screw; Hardware &amp; Hollowware; Cutlery</w:t>
            </w:r>
            <w:r w:rsidRPr="006F20AE">
              <w:rPr>
                <w:rFonts w:ascii="Times New Roman" w:hAnsi="Times New Roman" w:cs="Times New Roman"/>
                <w:sz w:val="20"/>
                <w:szCs w:val="20"/>
              </w:rPr>
              <w:t xml:space="preserve">; </w:t>
            </w:r>
            <w:r>
              <w:rPr>
                <w:rFonts w:ascii="Times New Roman" w:hAnsi="Times New Roman" w:cs="Times New Roman"/>
                <w:sz w:val="20"/>
                <w:szCs w:val="20"/>
              </w:rPr>
              <w:t>Tool &amp; Implement; Needle Pin Smallware; Carriage Cart &amp; Wagon; Finished Brass; Gold &amp; Silver; Plate &amp; Jewellery; Watch &amp; Clock; Scientific Instruments; Musical Instruments.</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Cotton &amp; Silk</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Cotton Spinni</w:t>
            </w:r>
            <w:r>
              <w:rPr>
                <w:rFonts w:ascii="Times New Roman" w:hAnsi="Times New Roman" w:cs="Times New Roman"/>
                <w:sz w:val="20"/>
                <w:szCs w:val="20"/>
              </w:rPr>
              <w:t>ng; Cotton Weaving; Silk &amp; Artificial Silk.</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Woollen &amp; Worsted</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Woollen &amp; Worsted.</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Hosiery &amp; Lace</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Hosiery; Lace.</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Other Textiles</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Linen &amp; Hemp; Jute; Rope, Twine &amp; Net; Elastic Webbing</w:t>
            </w:r>
            <w:r w:rsidRPr="006F20AE">
              <w:rPr>
                <w:rFonts w:ascii="Times New Roman" w:hAnsi="Times New Roman" w:cs="Times New Roman"/>
                <w:sz w:val="20"/>
                <w:szCs w:val="20"/>
              </w:rPr>
              <w:t>; Coir Fibre, Ho</w:t>
            </w:r>
            <w:r>
              <w:rPr>
                <w:rFonts w:ascii="Times New Roman" w:hAnsi="Times New Roman" w:cs="Times New Roman"/>
                <w:sz w:val="20"/>
                <w:szCs w:val="20"/>
              </w:rPr>
              <w:t>rse Hair &amp; Feather; Flock &amp; Rag; Canvas Good Sack ; Engine Boiler Packing.</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Textile Finishing &amp; Packing</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Textile Finishing; Packing.</w:t>
            </w:r>
            <w:r w:rsidRPr="006F20AE">
              <w:rPr>
                <w:rFonts w:ascii="Times New Roman" w:hAnsi="Times New Roman" w:cs="Times New Roman"/>
                <w:sz w:val="20"/>
                <w:szCs w:val="20"/>
              </w:rPr>
              <w:t xml:space="preserve"> </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Leather &amp; Fur</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Fellmongery; Leather Tanning; Leather Goods; Fur.</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Clothing</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Tailoring &amp; Dressmaking; Boot &amp; Shoe; Hat &amp; Cap; Glove</w:t>
            </w:r>
            <w:r w:rsidRPr="006F20AE">
              <w:rPr>
                <w:rFonts w:ascii="Times New Roman" w:hAnsi="Times New Roman" w:cs="Times New Roman"/>
                <w:sz w:val="20"/>
                <w:szCs w:val="20"/>
              </w:rPr>
              <w:t xml:space="preserve">; </w:t>
            </w:r>
            <w:r>
              <w:rPr>
                <w:rFonts w:ascii="Times New Roman" w:hAnsi="Times New Roman" w:cs="Times New Roman"/>
                <w:sz w:val="20"/>
                <w:szCs w:val="20"/>
              </w:rPr>
              <w:t>Umbrellas &amp; Walking Sticks.</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Food Processing</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Grain Milling; Bread &amp; Cakes; Biscuit</w:t>
            </w:r>
            <w:r w:rsidRPr="006F20AE">
              <w:rPr>
                <w:rFonts w:ascii="Times New Roman" w:hAnsi="Times New Roman" w:cs="Times New Roman"/>
                <w:sz w:val="20"/>
                <w:szCs w:val="20"/>
              </w:rPr>
              <w:t>; Co</w:t>
            </w:r>
            <w:r>
              <w:rPr>
                <w:rFonts w:ascii="Times New Roman" w:hAnsi="Times New Roman" w:cs="Times New Roman"/>
                <w:sz w:val="20"/>
                <w:szCs w:val="20"/>
              </w:rPr>
              <w:t>coa, Sugar &amp; Confectionary; Bacon, Wring &amp; Sausage</w:t>
            </w:r>
            <w:r w:rsidRPr="006F20AE">
              <w:rPr>
                <w:rFonts w:ascii="Times New Roman" w:hAnsi="Times New Roman" w:cs="Times New Roman"/>
                <w:sz w:val="20"/>
                <w:szCs w:val="20"/>
              </w:rPr>
              <w:t>; Preserved Fo</w:t>
            </w:r>
            <w:r>
              <w:rPr>
                <w:rFonts w:ascii="Times New Roman" w:hAnsi="Times New Roman" w:cs="Times New Roman"/>
                <w:sz w:val="20"/>
                <w:szCs w:val="20"/>
              </w:rPr>
              <w:t>ods; Butter &amp; Cheese; Fish Curing; Cattle, Dog &amp; Poultry; Ice; Sugar &amp; Glucose.</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Drink &amp; Tobacco</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Brewing &amp; Malting; Spirit Rectifying etc.; Wholesale Bottling; Aeriated Water etc.; Spirit Distilling; Tobacco.</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Manufactures of Wood</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Timber; Furniture &amp; Upholstery; Wooden Cases; Coopering; Basket &amp; Wicker-Work.</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Paper</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Paper; Wallpaper; Manufactured Stationary</w:t>
            </w:r>
            <w:r w:rsidRPr="006F20AE">
              <w:rPr>
                <w:rFonts w:ascii="Times New Roman" w:hAnsi="Times New Roman" w:cs="Times New Roman"/>
                <w:sz w:val="20"/>
                <w:szCs w:val="20"/>
              </w:rPr>
              <w:t xml:space="preserve">; Cardboard </w:t>
            </w:r>
            <w:r>
              <w:rPr>
                <w:rFonts w:ascii="Times New Roman" w:hAnsi="Times New Roman" w:cs="Times New Roman"/>
                <w:sz w:val="20"/>
                <w:szCs w:val="20"/>
              </w:rPr>
              <w:t>Box.</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Printing &amp; Publishing</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Printing &amp; Books</w:t>
            </w:r>
            <w:r w:rsidRPr="006F20AE">
              <w:rPr>
                <w:rFonts w:ascii="Times New Roman" w:hAnsi="Times New Roman" w:cs="Times New Roman"/>
                <w:sz w:val="20"/>
                <w:szCs w:val="20"/>
              </w:rPr>
              <w:t>;</w:t>
            </w:r>
            <w:r>
              <w:rPr>
                <w:rFonts w:ascii="Times New Roman" w:hAnsi="Times New Roman" w:cs="Times New Roman"/>
                <w:sz w:val="20"/>
                <w:szCs w:val="20"/>
              </w:rPr>
              <w:t xml:space="preserve"> Print &amp; Publish Newspaper.</w:t>
            </w:r>
          </w:p>
        </w:tc>
      </w:tr>
      <w:tr w:rsidR="00817EAD" w:rsidTr="00CD1883">
        <w:tc>
          <w:tcPr>
            <w:tcW w:w="2235" w:type="dxa"/>
            <w:tcBorders>
              <w:left w:val="single" w:sz="4" w:space="0" w:color="FFFFFF" w:themeColor="background1"/>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Rubber</w:t>
            </w:r>
          </w:p>
        </w:tc>
        <w:tc>
          <w:tcPr>
            <w:tcW w:w="7007" w:type="dxa"/>
            <w:tcBorders>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Pr>
                <w:rFonts w:ascii="Times New Roman" w:hAnsi="Times New Roman" w:cs="Times New Roman"/>
                <w:sz w:val="20"/>
                <w:szCs w:val="20"/>
              </w:rPr>
              <w:t>Rubber</w:t>
            </w:r>
          </w:p>
        </w:tc>
      </w:tr>
      <w:tr w:rsidR="00817EAD" w:rsidTr="00CD1883">
        <w:tc>
          <w:tcPr>
            <w:tcW w:w="2235" w:type="dxa"/>
            <w:tcBorders>
              <w:left w:val="single" w:sz="4" w:space="0" w:color="FFFFFF" w:themeColor="background1"/>
              <w:bottom w:val="single" w:sz="12" w:space="0" w:color="auto"/>
            </w:tcBorders>
          </w:tcPr>
          <w:p w:rsidR="00817EAD" w:rsidRPr="006F20AE" w:rsidRDefault="00817EAD" w:rsidP="00CD1883">
            <w:pPr>
              <w:rPr>
                <w:rFonts w:ascii="Times New Roman" w:hAnsi="Times New Roman" w:cs="Times New Roman"/>
                <w:sz w:val="20"/>
                <w:szCs w:val="20"/>
              </w:rPr>
            </w:pPr>
            <w:r w:rsidRPr="006F20AE">
              <w:rPr>
                <w:rFonts w:ascii="Times New Roman" w:hAnsi="Times New Roman" w:cs="Times New Roman"/>
                <w:sz w:val="20"/>
                <w:szCs w:val="20"/>
              </w:rPr>
              <w:t>Miscellaneous Manufacturing</w:t>
            </w:r>
          </w:p>
        </w:tc>
        <w:tc>
          <w:tcPr>
            <w:tcW w:w="7007" w:type="dxa"/>
            <w:tcBorders>
              <w:bottom w:val="single" w:sz="12" w:space="0" w:color="auto"/>
              <w:right w:val="single" w:sz="4" w:space="0" w:color="FFFFFF" w:themeColor="background1"/>
            </w:tcBorders>
          </w:tcPr>
          <w:p w:rsidR="00817EAD" w:rsidRPr="006F20AE" w:rsidRDefault="00817EAD" w:rsidP="00CD1883">
            <w:pPr>
              <w:jc w:val="both"/>
              <w:rPr>
                <w:rFonts w:ascii="Times New Roman" w:hAnsi="Times New Roman" w:cs="Times New Roman"/>
                <w:sz w:val="20"/>
                <w:szCs w:val="20"/>
              </w:rPr>
            </w:pPr>
            <w:r w:rsidRPr="006F20AE">
              <w:rPr>
                <w:rFonts w:ascii="Times New Roman" w:hAnsi="Times New Roman" w:cs="Times New Roman"/>
                <w:sz w:val="20"/>
                <w:szCs w:val="20"/>
              </w:rPr>
              <w:t>(Base</w:t>
            </w:r>
            <w:r>
              <w:rPr>
                <w:rFonts w:ascii="Times New Roman" w:hAnsi="Times New Roman" w:cs="Times New Roman"/>
                <w:sz w:val="20"/>
                <w:szCs w:val="20"/>
              </w:rPr>
              <w:t>line Group) Pens &amp; Pencils; Linoleum &amp; Oilcloth; Games &amp; Toys; Sports Requisites</w:t>
            </w:r>
            <w:r w:rsidRPr="006F20AE">
              <w:rPr>
                <w:rFonts w:ascii="Times New Roman" w:hAnsi="Times New Roman" w:cs="Times New Roman"/>
                <w:sz w:val="20"/>
                <w:szCs w:val="20"/>
              </w:rPr>
              <w:t>; Cin</w:t>
            </w:r>
            <w:r>
              <w:rPr>
                <w:rFonts w:ascii="Times New Roman" w:hAnsi="Times New Roman" w:cs="Times New Roman"/>
                <w:sz w:val="20"/>
                <w:szCs w:val="20"/>
              </w:rPr>
              <w:t>ematographic Film Printing</w:t>
            </w:r>
            <w:r w:rsidRPr="006F20AE">
              <w:rPr>
                <w:rFonts w:ascii="Times New Roman" w:hAnsi="Times New Roman" w:cs="Times New Roman"/>
                <w:sz w:val="20"/>
                <w:szCs w:val="20"/>
              </w:rPr>
              <w:t>; Incandesce</w:t>
            </w:r>
            <w:r>
              <w:rPr>
                <w:rFonts w:ascii="Times New Roman" w:hAnsi="Times New Roman" w:cs="Times New Roman"/>
                <w:sz w:val="20"/>
                <w:szCs w:val="20"/>
              </w:rPr>
              <w:t>nt Mantles; Brush.</w:t>
            </w:r>
            <w:r w:rsidRPr="006F20AE">
              <w:rPr>
                <w:rFonts w:ascii="Times New Roman" w:hAnsi="Times New Roman" w:cs="Times New Roman"/>
                <w:sz w:val="20"/>
                <w:szCs w:val="20"/>
              </w:rPr>
              <w:t xml:space="preserve"> </w:t>
            </w:r>
          </w:p>
        </w:tc>
      </w:tr>
    </w:tbl>
    <w:p w:rsidR="00817EAD" w:rsidRDefault="00817EAD" w:rsidP="00817EAD">
      <w:pPr>
        <w:spacing w:after="0" w:line="360" w:lineRule="auto"/>
        <w:jc w:val="both"/>
        <w:rPr>
          <w:rFonts w:ascii="Times New Roman" w:hAnsi="Times New Roman" w:cs="Times New Roman"/>
          <w:b/>
        </w:rPr>
      </w:pPr>
    </w:p>
    <w:p w:rsidR="00817EAD" w:rsidRDefault="00817EAD" w:rsidP="00817EAD">
      <w:pPr>
        <w:spacing w:after="0" w:line="360" w:lineRule="auto"/>
        <w:jc w:val="both"/>
        <w:rPr>
          <w:rFonts w:ascii="Times New Roman" w:hAnsi="Times New Roman" w:cs="Times New Roman"/>
        </w:rPr>
      </w:pPr>
      <w:r>
        <w:rPr>
          <w:rFonts w:ascii="Times New Roman" w:hAnsi="Times New Roman" w:cs="Times New Roman"/>
          <w:b/>
        </w:rPr>
        <w:t>Kitson-Solomou Industry Classification</w:t>
      </w:r>
      <w:r>
        <w:rPr>
          <w:rFonts w:ascii="Times New Roman" w:hAnsi="Times New Roman" w:cs="Times New Roman"/>
        </w:rPr>
        <w:tab/>
      </w:r>
      <w:r>
        <w:rPr>
          <w:rFonts w:ascii="Times New Roman" w:hAnsi="Times New Roman" w:cs="Times New Roman"/>
        </w:rPr>
        <w:tab/>
        <w:t xml:space="preserve">In addition to the sectoral control variables described above, which classify industries within sectors based on the output produced, we also use control variables that explicitly account for certain features of industries in columns (4) and (5) of Table 2. </w:t>
      </w:r>
      <w:r w:rsidR="00290C87">
        <w:rPr>
          <w:rFonts w:ascii="Times New Roman" w:hAnsi="Times New Roman" w:cs="Times New Roman"/>
        </w:rPr>
        <w:t xml:space="preserve">These variables are intended to account for the possibility that the resource intensiveness of an industry may have influenced its evolution in the 1930s, independently of the General Tariff. </w:t>
      </w:r>
      <w:r>
        <w:rPr>
          <w:rFonts w:ascii="Times New Roman" w:hAnsi="Times New Roman" w:cs="Times New Roman"/>
        </w:rPr>
        <w:t xml:space="preserve">The third set of control variables is from Kitson and Solomou (1990), who used the classification scheme of the OECD (1987), which groups industries according to the primary factors that affect competitiveness.   The 109 industries are grouped into one of the following categories: resource intensive; labour intensive; scale intensive; an industry with differentiated products; the food, drink and tobacco industry is identified separately. The allocation of industries to each classification is listed in table </w:t>
      </w:r>
      <w:r w:rsidR="00EE5A83">
        <w:rPr>
          <w:rFonts w:ascii="Times New Roman" w:hAnsi="Times New Roman" w:cs="Times New Roman"/>
        </w:rPr>
        <w:t>B5</w:t>
      </w:r>
      <w:r>
        <w:rPr>
          <w:rFonts w:ascii="Times New Roman" w:hAnsi="Times New Roman" w:cs="Times New Roman"/>
        </w:rPr>
        <w:t xml:space="preserve">. </w:t>
      </w:r>
    </w:p>
    <w:p w:rsidR="00817EAD" w:rsidRDefault="00817EAD" w:rsidP="00817EAD">
      <w:pPr>
        <w:spacing w:after="0" w:line="360" w:lineRule="auto"/>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b/>
        </w:rPr>
      </w:pPr>
      <w:r>
        <w:rPr>
          <w:rFonts w:ascii="Times New Roman" w:hAnsi="Times New Roman" w:cs="Times New Roman"/>
          <w:b/>
        </w:rPr>
        <w:t xml:space="preserve">Table </w:t>
      </w:r>
      <w:r w:rsidR="00813E52">
        <w:rPr>
          <w:rFonts w:ascii="Times New Roman" w:hAnsi="Times New Roman" w:cs="Times New Roman"/>
          <w:b/>
        </w:rPr>
        <w:t>B5</w:t>
      </w:r>
      <w:r>
        <w:rPr>
          <w:rFonts w:ascii="Times New Roman" w:hAnsi="Times New Roman" w:cs="Times New Roman"/>
          <w:b/>
        </w:rPr>
        <w:t>: Sectoral Classification of Industries from Kitson and Solomou (1990)</w:t>
      </w:r>
    </w:p>
    <w:tbl>
      <w:tblPr>
        <w:tblStyle w:val="TableGrid"/>
        <w:tblW w:w="0" w:type="auto"/>
        <w:tblLook w:val="04A0" w:firstRow="1" w:lastRow="0" w:firstColumn="1" w:lastColumn="0" w:noHBand="0" w:noVBand="1"/>
      </w:tblPr>
      <w:tblGrid>
        <w:gridCol w:w="2203"/>
        <w:gridCol w:w="6813"/>
      </w:tblGrid>
      <w:tr w:rsidR="00817EAD" w:rsidTr="00CD1883">
        <w:tc>
          <w:tcPr>
            <w:tcW w:w="2235" w:type="dxa"/>
            <w:tcBorders>
              <w:top w:val="single" w:sz="12" w:space="0" w:color="auto"/>
              <w:left w:val="single" w:sz="4" w:space="0" w:color="FFFFFF" w:themeColor="background1"/>
            </w:tcBorders>
          </w:tcPr>
          <w:p w:rsidR="00817EAD" w:rsidRPr="00910AD2" w:rsidRDefault="00817EAD" w:rsidP="00CD1883">
            <w:pPr>
              <w:spacing w:line="360" w:lineRule="auto"/>
              <w:jc w:val="both"/>
              <w:rPr>
                <w:rFonts w:ascii="Times New Roman" w:hAnsi="Times New Roman" w:cs="Times New Roman"/>
                <w:b/>
              </w:rPr>
            </w:pPr>
            <w:r w:rsidRPr="00910AD2">
              <w:rPr>
                <w:rFonts w:ascii="Times New Roman" w:hAnsi="Times New Roman" w:cs="Times New Roman"/>
                <w:b/>
              </w:rPr>
              <w:t>Class</w:t>
            </w:r>
          </w:p>
        </w:tc>
        <w:tc>
          <w:tcPr>
            <w:tcW w:w="7007" w:type="dxa"/>
            <w:tcBorders>
              <w:top w:val="single" w:sz="12" w:space="0" w:color="auto"/>
              <w:right w:val="single" w:sz="4" w:space="0" w:color="FFFFFF" w:themeColor="background1"/>
            </w:tcBorders>
          </w:tcPr>
          <w:p w:rsidR="00817EAD" w:rsidRPr="00910AD2" w:rsidRDefault="00817EAD" w:rsidP="00CD1883">
            <w:pPr>
              <w:spacing w:line="360" w:lineRule="auto"/>
              <w:jc w:val="both"/>
              <w:rPr>
                <w:rFonts w:ascii="Times New Roman" w:hAnsi="Times New Roman" w:cs="Times New Roman"/>
                <w:b/>
              </w:rPr>
            </w:pPr>
            <w:r w:rsidRPr="00910AD2">
              <w:rPr>
                <w:rFonts w:ascii="Times New Roman" w:hAnsi="Times New Roman" w:cs="Times New Roman"/>
                <w:b/>
              </w:rPr>
              <w:t>Industry</w:t>
            </w:r>
          </w:p>
        </w:tc>
      </w:tr>
      <w:tr w:rsidR="00817EAD" w:rsidTr="00CD1883">
        <w:tc>
          <w:tcPr>
            <w:tcW w:w="2235" w:type="dxa"/>
            <w:tcBorders>
              <w:lef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Resource Intensive</w:t>
            </w:r>
          </w:p>
        </w:tc>
        <w:tc>
          <w:tcPr>
            <w:tcW w:w="7007" w:type="dxa"/>
            <w:tcBorders>
              <w:righ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Fur; Copper &amp; Brass; Aluminium, Lead, Tin; Finished Brass; Gold &amp; Silver; Petroleum; Fellmongery; Leather Tanning; Leather Goods; Paper; Coke By-Products; Manufactured Fuel; Manufactured Abrasives; Timber; Wooden Cases; Basket &amp; Wicker-work; Brik &amp; Fireclay; Cement; Building Materials.</w:t>
            </w:r>
          </w:p>
        </w:tc>
      </w:tr>
      <w:tr w:rsidR="00817EAD" w:rsidTr="00CD1883">
        <w:tc>
          <w:tcPr>
            <w:tcW w:w="2235" w:type="dxa"/>
            <w:tcBorders>
              <w:lef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Labour Intensive</w:t>
            </w:r>
          </w:p>
        </w:tc>
        <w:tc>
          <w:tcPr>
            <w:tcW w:w="7007" w:type="dxa"/>
            <w:tcBorders>
              <w:righ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Cotton Spinning; Cotton Weaving; Woollen &amp; Worsted; Silk &amp; Artificial Silk; Linen &amp; Hemp; Jute; Hosiery; Textile Finishing; Lace; Rope, Twine, Nets; Elastic Webbing; Coir Fibre, Horse Hair &amp; Feather; Flock &amp; Rage; Packing; Canvas Good Sack; Engine Boiler Packing; Roofing Felts; Tailoring &amp; Dressmaking; Boot &amp; Shoe; Hat &amp; Cap; Glove; Umbrellas &amp; Walking Sticks; Furniture &amp; Upholstery; Coopering.</w:t>
            </w:r>
          </w:p>
        </w:tc>
      </w:tr>
      <w:tr w:rsidR="00817EAD" w:rsidTr="00CD1883">
        <w:tc>
          <w:tcPr>
            <w:tcW w:w="2235" w:type="dxa"/>
            <w:tcBorders>
              <w:lef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Scale Intensive</w:t>
            </w:r>
          </w:p>
        </w:tc>
        <w:tc>
          <w:tcPr>
            <w:tcW w:w="7007" w:type="dxa"/>
            <w:tcBorders>
              <w:righ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Blast Furnaces; Smelting &amp; Rolling; Foundries; Tinplate; Wrought Iron &amp; Steel; Wire; Chain, Nail &amp; Screw; Hardware &amp; Hollowware; Shipbuilding; Motor &amp; Cycle; Aircraft; Railway Carriage &amp; Wagon; Carriage Cart &amp; Wagon; Chemical Dyes &amp; Drugs; Seed Crushing Oil &amp; Tallow; Fertiliser Disinfectant Glue; Soap Candle Perfume; Starch Polishes; Paint Colour Varnishes; Explosives &amp; Fireworks; Match; Ink Gum Wax; Wallpaper; Print &amp; Publish Newspapers; Manufactured Stationary; Cardboard Box; Pens &amp; Pencils; Rubber; Linoleum &amp; Oilcloth; China &amp; Earthenware; Glass.</w:t>
            </w:r>
          </w:p>
        </w:tc>
      </w:tr>
      <w:tr w:rsidR="00817EAD" w:rsidTr="00CD1883">
        <w:tc>
          <w:tcPr>
            <w:tcW w:w="2235" w:type="dxa"/>
            <w:tcBorders>
              <w:lef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Differentiated Products</w:t>
            </w:r>
          </w:p>
        </w:tc>
        <w:tc>
          <w:tcPr>
            <w:tcW w:w="7007" w:type="dxa"/>
            <w:tcBorders>
              <w:righ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Cutler; Tool &amp; Implement; Needle Pin Smallware; Small Arms; Mechanical Engineering; Electrical Engineering; Plate &amp; Jewellery; Watch &amp; Clock; Musical Instruments; Games &amp; Tors; Sports Requisites; Scientific Instruments; Cinematographic Film Printing; Incandescent Mantles; Plastic Materials; Brush.</w:t>
            </w:r>
          </w:p>
        </w:tc>
      </w:tr>
      <w:tr w:rsidR="00817EAD" w:rsidTr="00CD1883">
        <w:tc>
          <w:tcPr>
            <w:tcW w:w="2235" w:type="dxa"/>
            <w:tcBorders>
              <w:left w:val="single" w:sz="4" w:space="0" w:color="FFFFFF" w:themeColor="background1"/>
              <w:bottom w:val="single" w:sz="12" w:space="0" w:color="auto"/>
            </w:tcBorders>
          </w:tcPr>
          <w:p w:rsidR="00817EAD" w:rsidRPr="00FB0138" w:rsidRDefault="00817EAD" w:rsidP="00CD1883">
            <w:pPr>
              <w:rPr>
                <w:rFonts w:ascii="Times New Roman" w:hAnsi="Times New Roman" w:cs="Times New Roman"/>
                <w:sz w:val="20"/>
                <w:szCs w:val="20"/>
              </w:rPr>
            </w:pPr>
            <w:r w:rsidRPr="00FB0138">
              <w:rPr>
                <w:rFonts w:ascii="Times New Roman" w:hAnsi="Times New Roman" w:cs="Times New Roman"/>
                <w:sz w:val="20"/>
                <w:szCs w:val="20"/>
              </w:rPr>
              <w:t>Food, Drink and Tobacco</w:t>
            </w:r>
          </w:p>
        </w:tc>
        <w:tc>
          <w:tcPr>
            <w:tcW w:w="7007" w:type="dxa"/>
            <w:tcBorders>
              <w:bottom w:val="single" w:sz="12" w:space="0" w:color="auto"/>
              <w:righ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Pr>
                <w:rFonts w:ascii="Times New Roman" w:hAnsi="Times New Roman" w:cs="Times New Roman"/>
                <w:sz w:val="20"/>
                <w:szCs w:val="20"/>
              </w:rPr>
              <w:t xml:space="preserve">(Baseline Group) </w:t>
            </w:r>
            <w:r w:rsidRPr="00FB0138">
              <w:rPr>
                <w:rFonts w:ascii="Times New Roman" w:hAnsi="Times New Roman" w:cs="Times New Roman"/>
                <w:sz w:val="20"/>
                <w:szCs w:val="20"/>
              </w:rPr>
              <w:t>Grain Milling; Bread &amp; Cakes; Biscuit; Cocoa, Sugar &amp; Confectionary; Bacon, Wring &amp; Sausage; Preserved Foods; Butter &amp; Cheese; Fish Curing; Cattle, Dog &amp; Poultry; Ice; Sugar &amp; Glucose; Brewing &amp; Malting; Spirit Rectifying etc.; Wholesale Bottling; Aeriated Water etc.; Spirit Distilling; Tobacco.</w:t>
            </w:r>
          </w:p>
        </w:tc>
      </w:tr>
    </w:tbl>
    <w:p w:rsidR="00817EAD" w:rsidRDefault="00817EAD" w:rsidP="00817EAD">
      <w:pPr>
        <w:spacing w:after="0" w:line="360" w:lineRule="auto"/>
        <w:jc w:val="both"/>
        <w:rPr>
          <w:rFonts w:ascii="Times New Roman" w:hAnsi="Times New Roman" w:cs="Times New Roman"/>
        </w:rPr>
      </w:pPr>
      <w:r>
        <w:rPr>
          <w:rFonts w:ascii="Times New Roman" w:hAnsi="Times New Roman" w:cs="Times New Roman"/>
        </w:rPr>
        <w:t xml:space="preserve"> </w:t>
      </w:r>
    </w:p>
    <w:p w:rsidR="00817EAD" w:rsidRDefault="00817EAD" w:rsidP="00290C87">
      <w:pPr>
        <w:spacing w:after="0" w:line="360" w:lineRule="auto"/>
        <w:jc w:val="both"/>
        <w:rPr>
          <w:rFonts w:ascii="Times New Roman" w:hAnsi="Times New Roman" w:cs="Times New Roman"/>
        </w:rPr>
      </w:pPr>
      <w:r>
        <w:rPr>
          <w:rFonts w:ascii="Times New Roman" w:hAnsi="Times New Roman" w:cs="Times New Roman"/>
          <w:b/>
        </w:rPr>
        <w:t>Electricity Usage in Industry</w:t>
      </w:r>
      <w:r>
        <w:rPr>
          <w:rFonts w:ascii="Times New Roman" w:hAnsi="Times New Roman" w:cs="Times New Roman"/>
        </w:rPr>
        <w:tab/>
      </w:r>
      <w:r>
        <w:rPr>
          <w:rFonts w:ascii="Times New Roman" w:hAnsi="Times New Roman" w:cs="Times New Roman"/>
        </w:rPr>
        <w:tab/>
        <w:t>The fourth and final set of control variables, used in column (5) of Table 2, accounts for the intensiveness of electricity use by each industry (measured as electricity usage per worker). Given the diffusion of electricity in the production process of interwar economies such a measure is a good proxy of the capital intensity of production across different industries. This control variable is likely to account for time-varying, industry-specific features, to the extent that industries with similar intensity of electricity usage intensities might be expect to grow in a similar manner during the interwar period.</w:t>
      </w:r>
      <w:r w:rsidR="00290C87">
        <w:rPr>
          <w:rFonts w:ascii="Times New Roman" w:hAnsi="Times New Roman" w:cs="Times New Roman"/>
        </w:rPr>
        <w:t xml:space="preserve"> The electricity usage of an industry may have influenced its evolution in the 1930s, independently of the General Tariff. For instance, an industry that more readily adopted electricity in this period may have been expected to grow faster, even without the General Tariff.</w:t>
      </w:r>
      <w:r w:rsidR="00EE5A83">
        <w:rPr>
          <w:rFonts w:ascii="Times New Roman" w:hAnsi="Times New Roman" w:cs="Times New Roman"/>
        </w:rPr>
        <w:t xml:space="preserve"> We define dummy variables for the upper and lower quantiles of Electricity per Worker Usage in 1930. The resulting classification is provided in Table B6.</w:t>
      </w:r>
    </w:p>
    <w:p w:rsidR="00817EAD" w:rsidRDefault="00817EAD" w:rsidP="00817EAD">
      <w:pPr>
        <w:spacing w:after="0" w:line="360" w:lineRule="auto"/>
        <w:jc w:val="both"/>
        <w:rPr>
          <w:rFonts w:ascii="Times New Roman" w:hAnsi="Times New Roman" w:cs="Times New Roman"/>
          <w:b/>
        </w:rPr>
      </w:pPr>
    </w:p>
    <w:p w:rsidR="00817EAD" w:rsidRPr="00B80426" w:rsidRDefault="00817EAD" w:rsidP="00817EAD">
      <w:pPr>
        <w:spacing w:after="0" w:line="360" w:lineRule="auto"/>
        <w:jc w:val="both"/>
        <w:rPr>
          <w:rFonts w:ascii="Times New Roman" w:hAnsi="Times New Roman" w:cs="Times New Roman"/>
          <w:b/>
        </w:rPr>
      </w:pPr>
      <w:r>
        <w:rPr>
          <w:rFonts w:ascii="Times New Roman" w:hAnsi="Times New Roman" w:cs="Times New Roman"/>
          <w:b/>
        </w:rPr>
        <w:t xml:space="preserve">Table </w:t>
      </w:r>
      <w:r w:rsidR="00813E52">
        <w:rPr>
          <w:rFonts w:ascii="Times New Roman" w:hAnsi="Times New Roman" w:cs="Times New Roman"/>
          <w:b/>
        </w:rPr>
        <w:t>B6</w:t>
      </w:r>
      <w:r>
        <w:rPr>
          <w:rFonts w:ascii="Times New Roman" w:hAnsi="Times New Roman" w:cs="Times New Roman"/>
          <w:b/>
        </w:rPr>
        <w:t>: Classification of Industries into Quartiles of Electricity per Worker Usage in 1930</w:t>
      </w:r>
    </w:p>
    <w:tbl>
      <w:tblPr>
        <w:tblStyle w:val="TableGrid"/>
        <w:tblW w:w="0" w:type="auto"/>
        <w:tblLook w:val="04A0" w:firstRow="1" w:lastRow="0" w:firstColumn="1" w:lastColumn="0" w:noHBand="0" w:noVBand="1"/>
      </w:tblPr>
      <w:tblGrid>
        <w:gridCol w:w="2058"/>
        <w:gridCol w:w="6958"/>
      </w:tblGrid>
      <w:tr w:rsidR="00817EAD" w:rsidTr="00CD1883">
        <w:tc>
          <w:tcPr>
            <w:tcW w:w="2093" w:type="dxa"/>
            <w:tcBorders>
              <w:top w:val="single" w:sz="12" w:space="0" w:color="auto"/>
              <w:left w:val="single" w:sz="4" w:space="0" w:color="FFFFFF" w:themeColor="background1"/>
            </w:tcBorders>
          </w:tcPr>
          <w:p w:rsidR="00817EAD" w:rsidRPr="00B80426" w:rsidRDefault="00817EAD" w:rsidP="00CD1883">
            <w:pPr>
              <w:jc w:val="both"/>
              <w:rPr>
                <w:rFonts w:ascii="Times New Roman" w:hAnsi="Times New Roman" w:cs="Times New Roman"/>
                <w:b/>
              </w:rPr>
            </w:pPr>
            <w:r w:rsidRPr="00B80426">
              <w:rPr>
                <w:rFonts w:ascii="Times New Roman" w:hAnsi="Times New Roman" w:cs="Times New Roman"/>
                <w:b/>
              </w:rPr>
              <w:t>Quartile</w:t>
            </w:r>
          </w:p>
        </w:tc>
        <w:tc>
          <w:tcPr>
            <w:tcW w:w="7149" w:type="dxa"/>
            <w:tcBorders>
              <w:top w:val="single" w:sz="12" w:space="0" w:color="auto"/>
              <w:right w:val="single" w:sz="4" w:space="0" w:color="FFFFFF" w:themeColor="background1"/>
            </w:tcBorders>
          </w:tcPr>
          <w:p w:rsidR="00817EAD" w:rsidRPr="00B80426" w:rsidRDefault="00817EAD" w:rsidP="00CD1883">
            <w:pPr>
              <w:jc w:val="both"/>
              <w:rPr>
                <w:rFonts w:ascii="Times New Roman" w:hAnsi="Times New Roman" w:cs="Times New Roman"/>
                <w:b/>
              </w:rPr>
            </w:pPr>
            <w:r w:rsidRPr="00B80426">
              <w:rPr>
                <w:rFonts w:ascii="Times New Roman" w:hAnsi="Times New Roman" w:cs="Times New Roman"/>
                <w:b/>
              </w:rPr>
              <w:t>Industry</w:t>
            </w:r>
          </w:p>
        </w:tc>
      </w:tr>
      <w:tr w:rsidR="00817EAD" w:rsidTr="00CD1883">
        <w:tc>
          <w:tcPr>
            <w:tcW w:w="2093" w:type="dxa"/>
            <w:tcBorders>
              <w:lef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Upper</w:t>
            </w:r>
          </w:p>
        </w:tc>
        <w:tc>
          <w:tcPr>
            <w:tcW w:w="7149" w:type="dxa"/>
            <w:tcBorders>
              <w:righ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Silk &amp; Artificial Silk; Grain Milling; Butter &amp; Cheese; Ice; Sugar &amp; Glucose; Spirit Distilling; Blast Furnace; Smelting &amp; Rolling; Tinplate; Wrought Iron &amp; Steel; Wire; Railway Carriage &amp; Wagon; Copper &amp; Brass; Aluminium, Lead &amp; Tin; Gold &amp; Silver; Chemical Dyes &amp; Drugs; Seed Crushing; Oil &amp; Tallow; Fertiliser Disinfectant Glue; Petroleum; Paper; Rubber; Linoleum &amp; Oilcloth; Coke &amp; By-Products; Manufactured Fuel; Cement; Glass;</w:t>
            </w:r>
          </w:p>
        </w:tc>
      </w:tr>
      <w:tr w:rsidR="00817EAD" w:rsidTr="00CD1883">
        <w:tc>
          <w:tcPr>
            <w:tcW w:w="2093" w:type="dxa"/>
            <w:tcBorders>
              <w:left w:val="single" w:sz="4" w:space="0" w:color="FFFFFF" w:themeColor="background1"/>
              <w:bottom w:val="single" w:sz="12" w:space="0" w:color="auto"/>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Lower</w:t>
            </w:r>
          </w:p>
        </w:tc>
        <w:tc>
          <w:tcPr>
            <w:tcW w:w="7149" w:type="dxa"/>
            <w:tcBorders>
              <w:bottom w:val="single" w:sz="12" w:space="0" w:color="auto"/>
              <w:right w:val="single" w:sz="4" w:space="0" w:color="FFFFFF" w:themeColor="background1"/>
            </w:tcBorders>
          </w:tcPr>
          <w:p w:rsidR="00817EAD" w:rsidRPr="00FB0138" w:rsidRDefault="00817EAD" w:rsidP="00CD1883">
            <w:pPr>
              <w:jc w:val="both"/>
              <w:rPr>
                <w:rFonts w:ascii="Times New Roman" w:hAnsi="Times New Roman" w:cs="Times New Roman"/>
                <w:sz w:val="20"/>
                <w:szCs w:val="20"/>
              </w:rPr>
            </w:pPr>
            <w:r w:rsidRPr="00FB0138">
              <w:rPr>
                <w:rFonts w:ascii="Times New Roman" w:hAnsi="Times New Roman" w:cs="Times New Roman"/>
                <w:sz w:val="20"/>
                <w:szCs w:val="20"/>
              </w:rPr>
              <w:t>Cotton Weaving; Hosiery; Lace; Elastic Webbing; Packing; Canvas Good Sack; Fish Curing; Aeriated Water etc.; Tobacco; Tailoring &amp; Dressmaking; Boot &amp; Shoe; Hat &amp; Cap; Glove; Umbrellas &amp; Walking Sticks; Fur; Watch &amp; Clock; Leather Goods; Printing &amp; Books; Manufactured Stationary; Cardboard Box; Games &amp; Toys; Sports Requisites; Incandescent Mantles; Brush; Furniture &amp; Upholstery; Basket &amp; Wickerwork; China &amp; Earthenware.</w:t>
            </w:r>
          </w:p>
        </w:tc>
      </w:tr>
    </w:tbl>
    <w:p w:rsidR="00817EAD" w:rsidRDefault="00817EAD" w:rsidP="00817EAD">
      <w:pPr>
        <w:spacing w:after="0" w:line="360" w:lineRule="auto"/>
        <w:jc w:val="both"/>
        <w:rPr>
          <w:rFonts w:ascii="Times New Roman" w:hAnsi="Times New Roman" w:cs="Times New Roman"/>
          <w:b/>
        </w:rPr>
      </w:pPr>
    </w:p>
    <w:p w:rsidR="00817EAD" w:rsidRDefault="00813E52" w:rsidP="00817EAD">
      <w:pPr>
        <w:spacing w:after="0" w:line="360" w:lineRule="auto"/>
        <w:jc w:val="both"/>
        <w:rPr>
          <w:rFonts w:ascii="Times New Roman" w:hAnsi="Times New Roman" w:cs="Times New Roman"/>
          <w:b/>
        </w:rPr>
      </w:pPr>
      <w:r>
        <w:rPr>
          <w:rFonts w:ascii="Times New Roman" w:hAnsi="Times New Roman" w:cs="Times New Roman"/>
          <w:b/>
        </w:rPr>
        <w:t>B</w:t>
      </w:r>
      <w:r w:rsidR="00817EAD">
        <w:rPr>
          <w:rFonts w:ascii="Times New Roman" w:hAnsi="Times New Roman" w:cs="Times New Roman"/>
          <w:b/>
        </w:rPr>
        <w:t>.</w:t>
      </w:r>
      <w:r>
        <w:rPr>
          <w:rFonts w:ascii="Times New Roman" w:hAnsi="Times New Roman" w:cs="Times New Roman"/>
          <w:b/>
        </w:rPr>
        <w:t>3</w:t>
      </w:r>
      <w:r w:rsidR="00817EAD">
        <w:rPr>
          <w:rFonts w:ascii="Times New Roman" w:hAnsi="Times New Roman" w:cs="Times New Roman"/>
          <w:b/>
        </w:rPr>
        <w:tab/>
        <w:t>Two-Group Classification with Controls</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In this appendix, and in appendix </w:t>
      </w:r>
      <w:r w:rsidR="005464AF">
        <w:rPr>
          <w:rFonts w:ascii="Times New Roman" w:hAnsi="Times New Roman" w:cs="Times New Roman"/>
        </w:rPr>
        <w:t>B</w:t>
      </w:r>
      <w:r>
        <w:rPr>
          <w:rFonts w:ascii="Times New Roman" w:hAnsi="Times New Roman" w:cs="Times New Roman"/>
        </w:rPr>
        <w:t>.</w:t>
      </w:r>
      <w:r w:rsidR="005464AF">
        <w:rPr>
          <w:rFonts w:ascii="Times New Roman" w:hAnsi="Times New Roman" w:cs="Times New Roman"/>
        </w:rPr>
        <w:t>4</w:t>
      </w:r>
      <w:r>
        <w:rPr>
          <w:rFonts w:ascii="Times New Roman" w:hAnsi="Times New Roman" w:cs="Times New Roman"/>
        </w:rPr>
        <w:t xml:space="preserve">, we report robustness regressions for the two-group classification (in Table 1) or the 1930-48 regression (in Table 3). Importantly, our headline results are robust to the inclusion of control variables. </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Table </w:t>
      </w:r>
      <w:r w:rsidR="00EE5A83">
        <w:rPr>
          <w:rFonts w:ascii="Times New Roman" w:hAnsi="Times New Roman" w:cs="Times New Roman"/>
        </w:rPr>
        <w:t>B7</w:t>
      </w:r>
      <w:r>
        <w:rPr>
          <w:rFonts w:ascii="Times New Roman" w:hAnsi="Times New Roman" w:cs="Times New Roman"/>
        </w:rPr>
        <w:t xml:space="preserve"> presents the results from the two-group classification, discussed in section 3.1 of the main paper, with additional controls added to the regression to illustrate the robustness of the results. The results in columns (2)-(5) of table </w:t>
      </w:r>
      <w:r w:rsidR="00EE5A83">
        <w:rPr>
          <w:rFonts w:ascii="Times New Roman" w:hAnsi="Times New Roman" w:cs="Times New Roman"/>
        </w:rPr>
        <w:t>B7</w:t>
      </w:r>
      <w:r>
        <w:rPr>
          <w:rFonts w:ascii="Times New Roman" w:hAnsi="Times New Roman" w:cs="Times New Roman"/>
        </w:rPr>
        <w:t xml:space="preserve"> serve to reinforce the primary conclusion reported in section 3.1: newly protected industries received a significant output and productivity benefit from the 1932 General Tariff.</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Panel A of table </w:t>
      </w:r>
      <w:r w:rsidR="00EE5A83">
        <w:rPr>
          <w:rFonts w:ascii="Times New Roman" w:hAnsi="Times New Roman" w:cs="Times New Roman"/>
        </w:rPr>
        <w:t>B7</w:t>
      </w:r>
      <w:r>
        <w:rPr>
          <w:rFonts w:ascii="Times New Roman" w:hAnsi="Times New Roman" w:cs="Times New Roman"/>
        </w:rPr>
        <w:t xml:space="preserve"> illustrates that the estimated treatment effect of the tariff on output growth lies between 3.92 and 5.46 percentage points per annum. In all but one of the five regressions, the result is significant at the 5 percent level. The estimated treatment effect is significant at the 10 percent level when the Census of Production sectoral classification is used in the set of controls.</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In panel B of table </w:t>
      </w:r>
      <w:r w:rsidR="00EE5A83">
        <w:rPr>
          <w:rFonts w:ascii="Times New Roman" w:hAnsi="Times New Roman" w:cs="Times New Roman"/>
        </w:rPr>
        <w:t>B7</w:t>
      </w:r>
      <w:r>
        <w:rPr>
          <w:rFonts w:ascii="Times New Roman" w:hAnsi="Times New Roman" w:cs="Times New Roman"/>
        </w:rPr>
        <w:t xml:space="preserve"> the estimated treatment effect on the productivity growth of newly protected industries is between 1.94 and 2.19 percentage points per annum. This figure is significant at the 10 percent level in three of the five regressions, but is insignificant in the regressions where the Census of Production sectoral classification and the Kitson and Solomou classification are used as controls. </w:t>
      </w:r>
    </w:p>
    <w:p w:rsidR="00EE5A83" w:rsidRDefault="00EE5A83" w:rsidP="00817EAD">
      <w:pPr>
        <w:spacing w:after="0" w:line="360" w:lineRule="auto"/>
        <w:ind w:firstLine="567"/>
        <w:jc w:val="both"/>
        <w:rPr>
          <w:rFonts w:ascii="Times New Roman" w:hAnsi="Times New Roman" w:cs="Times New Roman"/>
        </w:rPr>
      </w:pPr>
    </w:p>
    <w:p w:rsidR="00817EAD" w:rsidRPr="00C3416D" w:rsidRDefault="00817EAD" w:rsidP="00817EAD">
      <w:pPr>
        <w:spacing w:line="240" w:lineRule="auto"/>
        <w:jc w:val="both"/>
        <w:rPr>
          <w:rFonts w:ascii="Times New Roman" w:hAnsi="Times New Roman" w:cs="Times New Roman"/>
          <w:b/>
        </w:rPr>
      </w:pPr>
      <w:r w:rsidRPr="00C3416D">
        <w:rPr>
          <w:rFonts w:ascii="Times New Roman" w:hAnsi="Times New Roman" w:cs="Times New Roman"/>
          <w:b/>
        </w:rPr>
        <w:t xml:space="preserve">Table </w:t>
      </w:r>
      <w:r w:rsidR="005464AF">
        <w:rPr>
          <w:rFonts w:ascii="Times New Roman" w:hAnsi="Times New Roman" w:cs="Times New Roman"/>
          <w:b/>
        </w:rPr>
        <w:t>B7</w:t>
      </w:r>
      <w:r w:rsidRPr="00C3416D">
        <w:rPr>
          <w:rFonts w:ascii="Times New Roman" w:hAnsi="Times New Roman" w:cs="Times New Roman"/>
          <w:b/>
        </w:rPr>
        <w:t xml:space="preserve">: Difference-in-Difference Results for the </w:t>
      </w:r>
      <w:r>
        <w:rPr>
          <w:rFonts w:ascii="Times New Roman" w:hAnsi="Times New Roman" w:cs="Times New Roman"/>
          <w:b/>
        </w:rPr>
        <w:t>Two</w:t>
      </w:r>
      <w:r w:rsidRPr="00C3416D">
        <w:rPr>
          <w:rFonts w:ascii="Times New Roman" w:hAnsi="Times New Roman" w:cs="Times New Roman"/>
          <w:b/>
        </w:rPr>
        <w:t>-Group Classification</w:t>
      </w:r>
      <w:r>
        <w:rPr>
          <w:rFonts w:ascii="Times New Roman" w:hAnsi="Times New Roman" w:cs="Times New Roman"/>
          <w:b/>
        </w:rPr>
        <w:t xml:space="preserve"> with Controls for 1924-30 and 1930-35</w:t>
      </w:r>
    </w:p>
    <w:tbl>
      <w:tblPr>
        <w:tblStyle w:val="LightShading"/>
        <w:tblW w:w="9322" w:type="dxa"/>
        <w:tblLayout w:type="fixed"/>
        <w:tblLook w:val="04A0" w:firstRow="1" w:lastRow="0" w:firstColumn="1" w:lastColumn="0" w:noHBand="0" w:noVBand="1"/>
      </w:tblPr>
      <w:tblGrid>
        <w:gridCol w:w="2516"/>
        <w:gridCol w:w="1361"/>
        <w:gridCol w:w="1361"/>
        <w:gridCol w:w="1361"/>
        <w:gridCol w:w="1361"/>
        <w:gridCol w:w="1362"/>
      </w:tblGrid>
      <w:tr w:rsidR="00817EAD" w:rsidRPr="00C3416D" w:rsidTr="00CD18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817EAD" w:rsidRPr="00C3416D" w:rsidRDefault="00817EAD" w:rsidP="00CD1883">
            <w:pPr>
              <w:jc w:val="center"/>
              <w:rPr>
                <w:rFonts w:ascii="Times New Roman" w:hAnsi="Times New Roman" w:cs="Times New Roman"/>
                <w:i/>
                <w:sz w:val="18"/>
                <w:szCs w:val="18"/>
              </w:rPr>
            </w:pPr>
            <w:r w:rsidRPr="00C3416D">
              <w:rPr>
                <w:rFonts w:ascii="Times New Roman" w:hAnsi="Times New Roman" w:cs="Times New Roman"/>
                <w:b w:val="0"/>
                <w:i/>
                <w:sz w:val="18"/>
                <w:szCs w:val="18"/>
              </w:rPr>
              <w:t>Panel A: Net Output Growth</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817EAD" w:rsidRPr="00C3416D" w:rsidRDefault="00817EAD" w:rsidP="00CD1883">
            <w:pPr>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w:t>
            </w:r>
            <w:r>
              <w:rPr>
                <w:rFonts w:ascii="Times New Roman" w:hAnsi="Times New Roman" w:cs="Times New Roman"/>
                <w:b w:val="0"/>
                <w:sz w:val="18"/>
                <w:szCs w:val="18"/>
              </w:rPr>
              <w:t>Newly</w:t>
            </w:r>
            <w:r w:rsidRPr="00C3416D">
              <w:rPr>
                <w:rFonts w:ascii="Times New Roman" w:hAnsi="Times New Roman" w:cs="Times New Roman"/>
                <w:b w:val="0"/>
                <w:sz w:val="18"/>
                <w:szCs w:val="18"/>
              </w:rPr>
              <w:t xml:space="preserve"> Protected Industries, </w:t>
            </w:r>
            <m:oMath>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oMath>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4.066**</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(1.783)</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4.045*</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(2.119)</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5.456**</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(2.603)</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3.915**</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(1.850)</w:t>
            </w:r>
          </w:p>
        </w:tc>
        <w:tc>
          <w:tcPr>
            <w:tcW w:w="1362"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4.074**</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(1.769)</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w:t>
            </w:r>
            <w:r>
              <w:rPr>
                <w:rFonts w:ascii="Times New Roman" w:hAnsi="Times New Roman" w:cs="Times New Roman"/>
                <w:b w:val="0"/>
                <w:sz w:val="18"/>
                <w:szCs w:val="18"/>
              </w:rPr>
              <w:t>Newly</w:t>
            </w:r>
            <w:r w:rsidRPr="00C3416D">
              <w:rPr>
                <w:rFonts w:ascii="Times New Roman" w:hAnsi="Times New Roman" w:cs="Times New Roman"/>
                <w:b w:val="0"/>
                <w:sz w:val="18"/>
                <w:szCs w:val="18"/>
              </w:rPr>
              <w:t xml:space="preserve"> Protected Industries, </w:t>
            </w:r>
            <m:oMath>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oMath>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-2.822**</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(1.087)</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-2.405**</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(1.182)</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-4.393***</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(1.401)</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-2.398**</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(1.045)</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-2.749***</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(1.046)</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1930-35,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0.064</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(1.641)</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2.684</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(2.505)</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-3.294</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(3.727)</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-0.668</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(3.111)</w:t>
            </w:r>
          </w:p>
        </w:tc>
        <w:tc>
          <w:tcPr>
            <w:tcW w:w="1362"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0.090</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(1.692)</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4.221***</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(0.982)</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1.726</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(1.529)</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6.828***</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(2.252)</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4.714***</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(1.798)</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3.946***</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(0.934)</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Census of Production Sectors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w:t>
            </w:r>
            <w:r>
              <w:rPr>
                <w:rFonts w:ascii="Times New Roman" w:hAnsi="Times New Roman" w:cs="Times New Roman"/>
                <w:sz w:val="18"/>
                <w:szCs w:val="18"/>
              </w:rPr>
              <w:t>098</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0.146</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0.352</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0.119</w:t>
            </w:r>
          </w:p>
        </w:tc>
        <w:tc>
          <w:tcPr>
            <w:tcW w:w="1362"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0.104</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817EAD" w:rsidRPr="00C3416D" w:rsidRDefault="00817EAD" w:rsidP="00CD1883">
            <w:pPr>
              <w:jc w:val="center"/>
              <w:rPr>
                <w:rFonts w:ascii="Times New Roman" w:hAnsi="Times New Roman" w:cs="Times New Roman"/>
                <w:i/>
                <w:sz w:val="18"/>
                <w:szCs w:val="18"/>
              </w:rPr>
            </w:pPr>
            <w:r w:rsidRPr="00C3416D">
              <w:rPr>
                <w:rFonts w:ascii="Times New Roman" w:hAnsi="Times New Roman" w:cs="Times New Roman"/>
                <w:b w:val="0"/>
                <w:i/>
                <w:sz w:val="18"/>
                <w:szCs w:val="18"/>
              </w:rPr>
              <w:t xml:space="preserve">Panel B: Net Output </w:t>
            </w:r>
            <w:r w:rsidR="00B9694E">
              <w:rPr>
                <w:rFonts w:ascii="Times New Roman" w:hAnsi="Times New Roman" w:cs="Times New Roman"/>
                <w:b w:val="0"/>
                <w:i/>
                <w:sz w:val="18"/>
                <w:szCs w:val="18"/>
              </w:rPr>
              <w:t>per worker</w:t>
            </w:r>
            <w:r w:rsidRPr="00C3416D">
              <w:rPr>
                <w:rFonts w:ascii="Times New Roman" w:hAnsi="Times New Roman" w:cs="Times New Roman"/>
                <w:b w:val="0"/>
                <w:i/>
                <w:sz w:val="18"/>
                <w:szCs w:val="18"/>
              </w:rPr>
              <w:t xml:space="preserve"> Growth</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817EAD" w:rsidRPr="00C3416D" w:rsidRDefault="00817EAD" w:rsidP="00CD1883">
            <w:pPr>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w:t>
            </w:r>
            <w:r>
              <w:rPr>
                <w:rFonts w:ascii="Times New Roman" w:hAnsi="Times New Roman" w:cs="Times New Roman"/>
                <w:b w:val="0"/>
                <w:sz w:val="18"/>
                <w:szCs w:val="18"/>
              </w:rPr>
              <w:t>Newly</w:t>
            </w:r>
            <w:r w:rsidRPr="00C3416D">
              <w:rPr>
                <w:rFonts w:ascii="Times New Roman" w:hAnsi="Times New Roman" w:cs="Times New Roman"/>
                <w:b w:val="0"/>
                <w:sz w:val="18"/>
                <w:szCs w:val="18"/>
              </w:rPr>
              <w:t xml:space="preserve"> Protected Industries, </w:t>
            </w:r>
            <m:oMath>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oMath>
          </w:p>
        </w:tc>
        <w:tc>
          <w:tcPr>
            <w:tcW w:w="1361" w:type="dxa"/>
            <w:tcBorders>
              <w:top w:val="single" w:sz="4" w:space="0" w:color="auto"/>
            </w:tcBorders>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2.161*</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(1.131)</w:t>
            </w:r>
          </w:p>
        </w:tc>
        <w:tc>
          <w:tcPr>
            <w:tcW w:w="1361" w:type="dxa"/>
            <w:tcBorders>
              <w:top w:val="single" w:sz="4" w:space="0" w:color="auto"/>
            </w:tcBorders>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2.161</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(1.534)</w:t>
            </w:r>
          </w:p>
        </w:tc>
        <w:tc>
          <w:tcPr>
            <w:tcW w:w="1361" w:type="dxa"/>
            <w:tcBorders>
              <w:top w:val="single" w:sz="4" w:space="0" w:color="auto"/>
            </w:tcBorders>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3.560*</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(2.007)</w:t>
            </w:r>
          </w:p>
        </w:tc>
        <w:tc>
          <w:tcPr>
            <w:tcW w:w="1361" w:type="dxa"/>
            <w:tcBorders>
              <w:top w:val="single" w:sz="4" w:space="0" w:color="auto"/>
            </w:tcBorders>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1.941</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(1.358)</w:t>
            </w:r>
          </w:p>
        </w:tc>
        <w:tc>
          <w:tcPr>
            <w:tcW w:w="1362" w:type="dxa"/>
            <w:tcBorders>
              <w:top w:val="single" w:sz="4" w:space="0" w:color="auto"/>
            </w:tcBorders>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2.188*</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(1.285)</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w:t>
            </w:r>
            <w:r>
              <w:rPr>
                <w:rFonts w:ascii="Times New Roman" w:hAnsi="Times New Roman" w:cs="Times New Roman"/>
                <w:b w:val="0"/>
                <w:sz w:val="18"/>
                <w:szCs w:val="18"/>
              </w:rPr>
              <w:t>Newly</w:t>
            </w:r>
            <w:r w:rsidRPr="00C3416D">
              <w:rPr>
                <w:rFonts w:ascii="Times New Roman" w:hAnsi="Times New Roman" w:cs="Times New Roman"/>
                <w:b w:val="0"/>
                <w:sz w:val="18"/>
                <w:szCs w:val="18"/>
              </w:rPr>
              <w:t xml:space="preserve"> Protected Industries, </w:t>
            </w:r>
            <m:oMath>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oMath>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-1.456*</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(0.800)</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-1.478*</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(0.781)</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-2.506**</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(1.170)</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-1.232*</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(0.696)</w:t>
            </w:r>
          </w:p>
        </w:tc>
        <w:tc>
          <w:tcPr>
            <w:tcW w:w="1362"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-1.292*</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(0.745)</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1930-35,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0.131</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(0.925)</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2.397</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(1.746)</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-2.373</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(2.833)</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-1.814</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(1.909)</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0.052</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(1.150)</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3.013***</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(0.654)</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2.223***</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(0.794)</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4.400**</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(1.944)</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3.216**</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(1.323)</w:t>
            </w:r>
          </w:p>
        </w:tc>
        <w:tc>
          <w:tcPr>
            <w:tcW w:w="1362"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2.365***</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(0.684)</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Census of Production Sectors</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0.057</w:t>
            </w:r>
          </w:p>
        </w:tc>
        <w:tc>
          <w:tcPr>
            <w:tcW w:w="1361" w:type="dxa"/>
            <w:tcBorders>
              <w:bottom w:val="single" w:sz="12"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0.121</w:t>
            </w:r>
          </w:p>
        </w:tc>
        <w:tc>
          <w:tcPr>
            <w:tcW w:w="1361" w:type="dxa"/>
            <w:tcBorders>
              <w:bottom w:val="single" w:sz="12"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0.246</w:t>
            </w:r>
          </w:p>
        </w:tc>
        <w:tc>
          <w:tcPr>
            <w:tcW w:w="1361" w:type="dxa"/>
            <w:tcBorders>
              <w:bottom w:val="single" w:sz="12"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0.086</w:t>
            </w:r>
          </w:p>
        </w:tc>
        <w:tc>
          <w:tcPr>
            <w:tcW w:w="1362" w:type="dxa"/>
            <w:tcBorders>
              <w:bottom w:val="single" w:sz="12"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0.102</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817EAD" w:rsidRPr="00C3416D" w:rsidRDefault="00817EAD" w:rsidP="00CD1883">
            <w:pPr>
              <w:jc w:val="center"/>
              <w:rPr>
                <w:rFonts w:ascii="Times New Roman" w:hAnsi="Times New Roman" w:cs="Times New Roman"/>
                <w:i/>
                <w:sz w:val="18"/>
                <w:szCs w:val="18"/>
              </w:rPr>
            </w:pPr>
            <w:r w:rsidRPr="00C3416D">
              <w:rPr>
                <w:rFonts w:ascii="Times New Roman" w:hAnsi="Times New Roman" w:cs="Times New Roman"/>
                <w:b w:val="0"/>
                <w:i/>
                <w:sz w:val="18"/>
                <w:szCs w:val="18"/>
              </w:rPr>
              <w:t>Panel C: Employment Growth</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817EAD" w:rsidRPr="00C3416D" w:rsidRDefault="00817EAD" w:rsidP="00CD1883">
            <w:pPr>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w:t>
            </w:r>
            <w:r>
              <w:rPr>
                <w:rFonts w:ascii="Times New Roman" w:hAnsi="Times New Roman" w:cs="Times New Roman"/>
                <w:b w:val="0"/>
                <w:sz w:val="18"/>
                <w:szCs w:val="18"/>
              </w:rPr>
              <w:t>Newly</w:t>
            </w:r>
            <w:r w:rsidRPr="00C3416D">
              <w:rPr>
                <w:rFonts w:ascii="Times New Roman" w:hAnsi="Times New Roman" w:cs="Times New Roman"/>
                <w:b w:val="0"/>
                <w:sz w:val="18"/>
                <w:szCs w:val="18"/>
              </w:rPr>
              <w:t xml:space="preserve"> Protected Industries, </w:t>
            </w:r>
            <m:oMath>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oMath>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1.841</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(1.124)</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1.805</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(1.334)</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1.785</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(1.624)</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1.898</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(1.238)</w:t>
            </w:r>
          </w:p>
        </w:tc>
        <w:tc>
          <w:tcPr>
            <w:tcW w:w="1362"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1.825</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(1.135)</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w:t>
            </w:r>
            <w:r>
              <w:rPr>
                <w:rFonts w:ascii="Times New Roman" w:hAnsi="Times New Roman" w:cs="Times New Roman"/>
                <w:b w:val="0"/>
                <w:sz w:val="18"/>
                <w:szCs w:val="18"/>
              </w:rPr>
              <w:t>Newly</w:t>
            </w:r>
            <w:r w:rsidRPr="00C3416D">
              <w:rPr>
                <w:rFonts w:ascii="Times New Roman" w:hAnsi="Times New Roman" w:cs="Times New Roman"/>
                <w:b w:val="0"/>
                <w:sz w:val="18"/>
                <w:szCs w:val="18"/>
              </w:rPr>
              <w:t xml:space="preserve"> Protected Industries, </w:t>
            </w:r>
            <m:oMath>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oMath>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-1.298*</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(0.698)</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-0.866</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(0.869)</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-1.779*</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(1.026)</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-1.111</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(0.782)</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-1.390**</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(0.683)</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1930-35,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-0.056</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(0.981)</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0.328</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(1.766)</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-0.818</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(2.993)</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1.087</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(2.076)</w:t>
            </w:r>
          </w:p>
        </w:tc>
        <w:tc>
          <w:tcPr>
            <w:tcW w:w="1362"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0.044</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(1.145)</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1.158**</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(0.580)</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-0.525</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(1.429)</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2.345</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(1.737)</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1.419*</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(0.837)</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1.517**</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(0.591)</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Census of Production Sectors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0.042</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0.102</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0.353</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0.066</w:t>
            </w:r>
          </w:p>
        </w:tc>
        <w:tc>
          <w:tcPr>
            <w:tcW w:w="1362"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0.057</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bottom w:val="single" w:sz="4" w:space="0" w:color="FFFFFF" w:themeColor="background1"/>
            </w:tcBorders>
            <w:shd w:val="clear" w:color="auto" w:fill="auto"/>
          </w:tcPr>
          <w:p w:rsidR="00817EAD" w:rsidRPr="00C3416D" w:rsidRDefault="00817EAD" w:rsidP="00EE5A83">
            <w:pPr>
              <w:jc w:val="both"/>
              <w:rPr>
                <w:rFonts w:ascii="Times New Roman" w:hAnsi="Times New Roman" w:cs="Times New Roman"/>
                <w:sz w:val="18"/>
                <w:szCs w:val="18"/>
              </w:rPr>
            </w:pPr>
            <w:r w:rsidRPr="00C3416D">
              <w:rPr>
                <w:rFonts w:ascii="Times New Roman" w:hAnsi="Times New Roman" w:cs="Times New Roman"/>
                <w:b w:val="0"/>
                <w:i/>
                <w:sz w:val="18"/>
                <w:szCs w:val="18"/>
              </w:rPr>
              <w:t>Notes:</w:t>
            </w:r>
            <w:r w:rsidRPr="00C3416D">
              <w:rPr>
                <w:rFonts w:ascii="Times New Roman" w:hAnsi="Times New Roman" w:cs="Times New Roman"/>
                <w:b w:val="0"/>
                <w:sz w:val="18"/>
                <w:szCs w:val="18"/>
              </w:rPr>
              <w:t xml:space="preserve"> Estimated regression results for the </w:t>
            </w:r>
            <w:r>
              <w:rPr>
                <w:rFonts w:ascii="Times New Roman" w:hAnsi="Times New Roman" w:cs="Times New Roman"/>
                <w:b w:val="0"/>
                <w:sz w:val="18"/>
                <w:szCs w:val="18"/>
              </w:rPr>
              <w:t>two</w:t>
            </w:r>
            <w:r w:rsidRPr="00C3416D">
              <w:rPr>
                <w:rFonts w:ascii="Times New Roman" w:hAnsi="Times New Roman" w:cs="Times New Roman"/>
                <w:b w:val="0"/>
                <w:sz w:val="18"/>
                <w:szCs w:val="18"/>
              </w:rPr>
              <w:t xml:space="preserve">-group classification. In panel A, the dependent variable is annualised average (real) net output growth. The corresponding dependent variables in panels B and C are annualised average net output </w:t>
            </w:r>
            <w:r w:rsidR="00B9694E">
              <w:rPr>
                <w:rFonts w:ascii="Times New Roman" w:hAnsi="Times New Roman" w:cs="Times New Roman"/>
                <w:b w:val="0"/>
                <w:sz w:val="18"/>
                <w:szCs w:val="18"/>
              </w:rPr>
              <w:t>per worker</w:t>
            </w:r>
            <w:r w:rsidRPr="00C3416D">
              <w:rPr>
                <w:rFonts w:ascii="Times New Roman" w:hAnsi="Times New Roman" w:cs="Times New Roman"/>
                <w:b w:val="0"/>
                <w:sz w:val="18"/>
                <w:szCs w:val="18"/>
              </w:rPr>
              <w:t xml:space="preserve"> growth and employment growth</w:t>
            </w:r>
            <w:r>
              <w:rPr>
                <w:rFonts w:ascii="Times New Roman" w:hAnsi="Times New Roman" w:cs="Times New Roman"/>
                <w:b w:val="0"/>
                <w:sz w:val="18"/>
                <w:szCs w:val="18"/>
              </w:rPr>
              <w:t>,</w:t>
            </w:r>
            <w:r w:rsidRPr="00C3416D">
              <w:rPr>
                <w:rFonts w:ascii="Times New Roman" w:hAnsi="Times New Roman" w:cs="Times New Roman"/>
                <w:b w:val="0"/>
                <w:sz w:val="18"/>
                <w:szCs w:val="18"/>
              </w:rPr>
              <w:t xml:space="preserve"> respectively. All regressions are estimated by OLS and robust standard errors are reported, where *** p&lt;0.01, ** p&lt;0.05, * p&lt;0.1. Details of the control variables are presented in Appendix </w:t>
            </w:r>
            <w:r w:rsidR="00EE5A83">
              <w:rPr>
                <w:rFonts w:ascii="Times New Roman" w:hAnsi="Times New Roman" w:cs="Times New Roman"/>
                <w:b w:val="0"/>
                <w:sz w:val="18"/>
                <w:szCs w:val="18"/>
              </w:rPr>
              <w:t>B.2</w:t>
            </w:r>
            <w:r w:rsidRPr="00C3416D">
              <w:rPr>
                <w:rFonts w:ascii="Times New Roman" w:hAnsi="Times New Roman" w:cs="Times New Roman"/>
                <w:b w:val="0"/>
                <w:sz w:val="18"/>
                <w:szCs w:val="18"/>
              </w:rPr>
              <w:t>.</w:t>
            </w:r>
          </w:p>
        </w:tc>
      </w:tr>
    </w:tbl>
    <w:p w:rsidR="00817EAD" w:rsidRDefault="005464AF" w:rsidP="00817EAD">
      <w:pPr>
        <w:spacing w:after="0" w:line="360" w:lineRule="auto"/>
        <w:jc w:val="both"/>
        <w:rPr>
          <w:rFonts w:ascii="Times New Roman" w:hAnsi="Times New Roman" w:cs="Times New Roman"/>
          <w:b/>
        </w:rPr>
      </w:pPr>
      <w:r>
        <w:rPr>
          <w:rFonts w:ascii="Times New Roman" w:hAnsi="Times New Roman" w:cs="Times New Roman"/>
          <w:b/>
        </w:rPr>
        <w:t>B</w:t>
      </w:r>
      <w:r w:rsidR="00817EAD">
        <w:rPr>
          <w:rFonts w:ascii="Times New Roman" w:hAnsi="Times New Roman" w:cs="Times New Roman"/>
          <w:b/>
        </w:rPr>
        <w:t>.</w:t>
      </w:r>
      <w:r>
        <w:rPr>
          <w:rFonts w:ascii="Times New Roman" w:hAnsi="Times New Roman" w:cs="Times New Roman"/>
          <w:b/>
        </w:rPr>
        <w:t>4</w:t>
      </w:r>
      <w:r w:rsidR="00817EAD">
        <w:rPr>
          <w:rFonts w:ascii="Times New Roman" w:hAnsi="Times New Roman" w:cs="Times New Roman"/>
          <w:b/>
        </w:rPr>
        <w:t xml:space="preserve"> </w:t>
      </w:r>
      <w:r w:rsidR="00817EAD">
        <w:rPr>
          <w:rFonts w:ascii="Times New Roman" w:hAnsi="Times New Roman" w:cs="Times New Roman"/>
          <w:b/>
        </w:rPr>
        <w:tab/>
        <w:t>Medium-Term Effects of the General Tariff with Controls</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Table </w:t>
      </w:r>
      <w:r w:rsidR="00EE5A83">
        <w:rPr>
          <w:rFonts w:ascii="Times New Roman" w:hAnsi="Times New Roman" w:cs="Times New Roman"/>
        </w:rPr>
        <w:t>B8</w:t>
      </w:r>
      <w:r>
        <w:rPr>
          <w:rFonts w:ascii="Times New Roman" w:hAnsi="Times New Roman" w:cs="Times New Roman"/>
        </w:rPr>
        <w:t xml:space="preserve"> presents estimates of regressions using data from 1924-30 and 1930-48, with control variables, to study the medium-term effects of the General Tariff. Importantly, the results support the primary conclusion put forward in section 3.3: that the 1932 General Tariff had medium-run expansionary effects on the output and productivity growth of additionally protected industries. The relevant difference-in-difference coefficients for the additionally protected industries in panels A and B of Table </w:t>
      </w:r>
      <w:r w:rsidR="00EE5A83">
        <w:rPr>
          <w:rFonts w:ascii="Times New Roman" w:hAnsi="Times New Roman" w:cs="Times New Roman"/>
        </w:rPr>
        <w:t>B8</w:t>
      </w:r>
      <w:r>
        <w:rPr>
          <w:rFonts w:ascii="Times New Roman" w:hAnsi="Times New Roman" w:cs="Times New Roman"/>
        </w:rPr>
        <w:t xml:space="preserve"> are significant at the 5 percent level.</w:t>
      </w:r>
    </w:p>
    <w:p w:rsidR="00EE5A83" w:rsidRDefault="00EE5A83" w:rsidP="00817EAD">
      <w:pPr>
        <w:spacing w:after="0" w:line="360" w:lineRule="auto"/>
        <w:ind w:firstLine="567"/>
        <w:jc w:val="both"/>
        <w:rPr>
          <w:rFonts w:ascii="Times New Roman" w:hAnsi="Times New Roman" w:cs="Times New Roman"/>
        </w:rPr>
      </w:pPr>
    </w:p>
    <w:p w:rsidR="00817EAD" w:rsidRPr="00C3416D" w:rsidRDefault="00817EAD" w:rsidP="00817EAD">
      <w:pPr>
        <w:spacing w:line="240" w:lineRule="auto"/>
        <w:jc w:val="both"/>
        <w:rPr>
          <w:rFonts w:ascii="Times New Roman" w:hAnsi="Times New Roman" w:cs="Times New Roman"/>
          <w:b/>
        </w:rPr>
      </w:pPr>
      <w:r w:rsidRPr="00C3416D">
        <w:rPr>
          <w:rFonts w:ascii="Times New Roman" w:hAnsi="Times New Roman" w:cs="Times New Roman"/>
          <w:b/>
        </w:rPr>
        <w:t xml:space="preserve">Table </w:t>
      </w:r>
      <w:r w:rsidR="005464AF">
        <w:rPr>
          <w:rFonts w:ascii="Times New Roman" w:hAnsi="Times New Roman" w:cs="Times New Roman"/>
          <w:b/>
        </w:rPr>
        <w:t>B8</w:t>
      </w:r>
      <w:r w:rsidRPr="00C3416D">
        <w:rPr>
          <w:rFonts w:ascii="Times New Roman" w:hAnsi="Times New Roman" w:cs="Times New Roman"/>
          <w:b/>
        </w:rPr>
        <w:t>: Difference-in-Difference Results for the Three-Group Classification</w:t>
      </w:r>
      <w:r>
        <w:rPr>
          <w:rFonts w:ascii="Times New Roman" w:hAnsi="Times New Roman" w:cs="Times New Roman"/>
          <w:b/>
        </w:rPr>
        <w:t xml:space="preserve"> for 1924-30 and 1930-48 with Controls</w:t>
      </w:r>
    </w:p>
    <w:tbl>
      <w:tblPr>
        <w:tblStyle w:val="LightShading"/>
        <w:tblW w:w="9322" w:type="dxa"/>
        <w:tblLayout w:type="fixed"/>
        <w:tblLook w:val="04A0" w:firstRow="1" w:lastRow="0" w:firstColumn="1" w:lastColumn="0" w:noHBand="0" w:noVBand="1"/>
      </w:tblPr>
      <w:tblGrid>
        <w:gridCol w:w="2516"/>
        <w:gridCol w:w="1361"/>
        <w:gridCol w:w="1361"/>
        <w:gridCol w:w="1361"/>
        <w:gridCol w:w="1361"/>
        <w:gridCol w:w="1362"/>
      </w:tblGrid>
      <w:tr w:rsidR="00817EAD" w:rsidRPr="00C3416D" w:rsidTr="00CD18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817EAD" w:rsidRPr="00C3416D" w:rsidRDefault="00817EAD" w:rsidP="00CD1883">
            <w:pPr>
              <w:jc w:val="center"/>
              <w:rPr>
                <w:rFonts w:ascii="Times New Roman" w:hAnsi="Times New Roman" w:cs="Times New Roman"/>
                <w:i/>
                <w:sz w:val="18"/>
                <w:szCs w:val="18"/>
              </w:rPr>
            </w:pPr>
            <w:r w:rsidRPr="00C3416D">
              <w:rPr>
                <w:rFonts w:ascii="Times New Roman" w:hAnsi="Times New Roman" w:cs="Times New Roman"/>
                <w:b w:val="0"/>
                <w:i/>
                <w:sz w:val="18"/>
                <w:szCs w:val="18"/>
              </w:rPr>
              <w:t>Panel A: Net Output Growth</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817EAD" w:rsidRPr="00C3416D" w:rsidRDefault="00817EAD" w:rsidP="00CD1883">
            <w:pPr>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tcBorders>
              <w:top w:val="single" w:sz="4" w:space="0" w:color="auto"/>
            </w:tcBorders>
            <w:shd w:val="clear" w:color="auto" w:fill="auto"/>
          </w:tcPr>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3.118**</w:t>
            </w:r>
          </w:p>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(1.317)</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2.937**</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(1.437)</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3.920**</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(1.639)</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2.922**</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(1.271)</w:t>
            </w:r>
          </w:p>
        </w:tc>
        <w:tc>
          <w:tcPr>
            <w:tcW w:w="1362"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3.158**</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(1.279)</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1.887</w:t>
            </w:r>
          </w:p>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(2.496)</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2.060</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(2.770)</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5.623**</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(2.789)</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1.957</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(2.689)</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1.603</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(2.478)</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shd w:val="clear" w:color="auto" w:fill="auto"/>
          </w:tcPr>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-3.083***</w:t>
            </w:r>
          </w:p>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(1.140)</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-2.658**</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(1.209)</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-4.047***</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(1.344)</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-2.702**</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(1.070)</w:t>
            </w:r>
          </w:p>
        </w:tc>
        <w:tc>
          <w:tcPr>
            <w:tcW w:w="1362"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-3.014***</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(1.108)</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-1.902</w:t>
            </w:r>
          </w:p>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(2.089)</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-1.904</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(2.315)</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-7.280***</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(2.169)</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-1.511</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(2.278)</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-1.851</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(2.076)</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Dummy Variable for 1930-</w:t>
            </w:r>
            <w:r>
              <w:rPr>
                <w:rFonts w:ascii="Times New Roman" w:hAnsi="Times New Roman" w:cs="Times New Roman"/>
                <w:b w:val="0"/>
                <w:sz w:val="18"/>
                <w:szCs w:val="18"/>
              </w:rPr>
              <w:t>48</w:t>
            </w:r>
            <w:r w:rsidRPr="00C3416D">
              <w:rPr>
                <w:rFonts w:ascii="Times New Roman" w:hAnsi="Times New Roman" w:cs="Times New Roman"/>
                <w:b w:val="0"/>
                <w:sz w:val="18"/>
                <w:szCs w:val="18"/>
              </w:rPr>
              <w:t xml:space="preserve">,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-1.598</w:t>
            </w:r>
          </w:p>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(1.174)</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-0.019</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(1.889)</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-3.359</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(2.805)</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-2.453</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(2.191)</w:t>
            </w:r>
          </w:p>
        </w:tc>
        <w:tc>
          <w:tcPr>
            <w:tcW w:w="1362"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-1.113</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(1.152)</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4.206***</w:t>
            </w:r>
          </w:p>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(1.041)</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1.214</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(1.572)</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6.581***</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(2.276)</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5.503***</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(1.284)</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3.850***</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(0.966)</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w:t>
            </w:r>
            <w:r>
              <w:rPr>
                <w:rFonts w:ascii="Times New Roman" w:hAnsi="Times New Roman" w:cs="Times New Roman"/>
                <w:sz w:val="18"/>
                <w:szCs w:val="18"/>
              </w:rPr>
              <w:t>.</w:t>
            </w:r>
            <w:r w:rsidRPr="00C3416D">
              <w:rPr>
                <w:rFonts w:ascii="Times New Roman" w:hAnsi="Times New Roman" w:cs="Times New Roman"/>
                <w:sz w:val="18"/>
                <w:szCs w:val="18"/>
              </w:rPr>
              <w:t xml:space="preserve"> of Prod</w:t>
            </w:r>
            <w:r>
              <w:rPr>
                <w:rFonts w:ascii="Times New Roman" w:hAnsi="Times New Roman" w:cs="Times New Roman"/>
                <w:sz w:val="18"/>
                <w:szCs w:val="18"/>
              </w:rPr>
              <w:t>.</w:t>
            </w:r>
            <w:r w:rsidRPr="00C3416D">
              <w:rPr>
                <w:rFonts w:ascii="Times New Roman" w:hAnsi="Times New Roman" w:cs="Times New Roman"/>
                <w:sz w:val="18"/>
                <w:szCs w:val="18"/>
              </w:rPr>
              <w:t xml:space="preserve"> Sectors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0.060</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0.162</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0.519</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0.124</w:t>
            </w:r>
          </w:p>
        </w:tc>
        <w:tc>
          <w:tcPr>
            <w:tcW w:w="1362"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0.093</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817EAD" w:rsidRPr="00C3416D" w:rsidRDefault="00817EAD" w:rsidP="00CD1883">
            <w:pPr>
              <w:jc w:val="center"/>
              <w:rPr>
                <w:rFonts w:ascii="Times New Roman" w:hAnsi="Times New Roman" w:cs="Times New Roman"/>
                <w:i/>
                <w:sz w:val="18"/>
                <w:szCs w:val="18"/>
              </w:rPr>
            </w:pPr>
            <w:r w:rsidRPr="00C3416D">
              <w:rPr>
                <w:rFonts w:ascii="Times New Roman" w:hAnsi="Times New Roman" w:cs="Times New Roman"/>
                <w:b w:val="0"/>
                <w:i/>
                <w:sz w:val="18"/>
                <w:szCs w:val="18"/>
              </w:rPr>
              <w:t xml:space="preserve">Panel B: Net Output </w:t>
            </w:r>
            <w:r w:rsidR="00B9694E">
              <w:rPr>
                <w:rFonts w:ascii="Times New Roman" w:hAnsi="Times New Roman" w:cs="Times New Roman"/>
                <w:b w:val="0"/>
                <w:i/>
                <w:sz w:val="18"/>
                <w:szCs w:val="18"/>
              </w:rPr>
              <w:t>per worker</w:t>
            </w:r>
            <w:r w:rsidRPr="00C3416D">
              <w:rPr>
                <w:rFonts w:ascii="Times New Roman" w:hAnsi="Times New Roman" w:cs="Times New Roman"/>
                <w:b w:val="0"/>
                <w:i/>
                <w:sz w:val="18"/>
                <w:szCs w:val="18"/>
              </w:rPr>
              <w:t xml:space="preserve"> Growth</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817EAD" w:rsidRPr="00C3416D" w:rsidRDefault="00817EAD" w:rsidP="00CD1883">
            <w:pPr>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tcBorders>
              <w:top w:val="single" w:sz="4" w:space="0" w:color="auto"/>
            </w:tcBorders>
            <w:shd w:val="clear" w:color="auto" w:fill="auto"/>
          </w:tcPr>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1.838**</w:t>
            </w:r>
          </w:p>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(0.879)</w:t>
            </w:r>
          </w:p>
        </w:tc>
        <w:tc>
          <w:tcPr>
            <w:tcW w:w="1361" w:type="dxa"/>
            <w:tcBorders>
              <w:top w:val="single" w:sz="4" w:space="0" w:color="auto"/>
            </w:tcBorders>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1.938**</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(0.937)</w:t>
            </w:r>
          </w:p>
        </w:tc>
        <w:tc>
          <w:tcPr>
            <w:tcW w:w="1361" w:type="dxa"/>
            <w:tcBorders>
              <w:top w:val="single" w:sz="4" w:space="0" w:color="auto"/>
            </w:tcBorders>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2.662**</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(1.245)</w:t>
            </w:r>
          </w:p>
        </w:tc>
        <w:tc>
          <w:tcPr>
            <w:tcW w:w="1361" w:type="dxa"/>
            <w:tcBorders>
              <w:top w:val="single" w:sz="4" w:space="0" w:color="auto"/>
            </w:tcBorders>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1.735**</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(0.829)</w:t>
            </w:r>
          </w:p>
        </w:tc>
        <w:tc>
          <w:tcPr>
            <w:tcW w:w="1362" w:type="dxa"/>
            <w:tcBorders>
              <w:top w:val="single" w:sz="4" w:space="0" w:color="auto"/>
            </w:tcBorders>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1.777**</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(0.849)</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0.950</w:t>
            </w:r>
          </w:p>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(1.437)</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0.779</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(1.521)</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2.735</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(2.133)</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0.592</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(1.504)</w:t>
            </w:r>
          </w:p>
        </w:tc>
        <w:tc>
          <w:tcPr>
            <w:tcW w:w="1362"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0.833</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(1.343)</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shd w:val="clear" w:color="auto" w:fill="auto"/>
          </w:tcPr>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-1.744***</w:t>
            </w:r>
          </w:p>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(0.792)</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-1.882**</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(0.800)</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-2.795**</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(1.111)</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-1.631**</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(0.715)</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-1.599**</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(0.762)</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-0.501</w:t>
            </w:r>
          </w:p>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(1.294)</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-0.565</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(1.359)</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-2.780</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(1.948)</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-0.139</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(1.365)</w:t>
            </w:r>
          </w:p>
        </w:tc>
        <w:tc>
          <w:tcPr>
            <w:tcW w:w="1362"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-0.404</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(1.205)</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Dummy Variable for 1930-</w:t>
            </w:r>
            <w:r>
              <w:rPr>
                <w:rFonts w:ascii="Times New Roman" w:hAnsi="Times New Roman" w:cs="Times New Roman"/>
                <w:b w:val="0"/>
                <w:sz w:val="18"/>
                <w:szCs w:val="18"/>
              </w:rPr>
              <w:t>48</w:t>
            </w:r>
            <w:r w:rsidRPr="00C3416D">
              <w:rPr>
                <w:rFonts w:ascii="Times New Roman" w:hAnsi="Times New Roman" w:cs="Times New Roman"/>
                <w:b w:val="0"/>
                <w:sz w:val="18"/>
                <w:szCs w:val="18"/>
              </w:rPr>
              <w:t xml:space="preserve">,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-1.785***</w:t>
            </w:r>
          </w:p>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(0.797)</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-0.309</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(1.053)</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-3.311</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(2.098)</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-1.517</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(1.576)</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-1.314</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(0.797)</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3.107***</w:t>
            </w:r>
          </w:p>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(0.723)</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2.235***</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(0.828)</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4.607**</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(1.916)</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4.422***</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(0.834)</w:t>
            </w:r>
          </w:p>
        </w:tc>
        <w:tc>
          <w:tcPr>
            <w:tcW w:w="1362"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2.384***</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(0.697)</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w:t>
            </w:r>
            <w:r>
              <w:rPr>
                <w:rFonts w:ascii="Times New Roman" w:hAnsi="Times New Roman" w:cs="Times New Roman"/>
                <w:sz w:val="18"/>
                <w:szCs w:val="18"/>
              </w:rPr>
              <w:t>.</w:t>
            </w:r>
            <w:r w:rsidRPr="00C3416D">
              <w:rPr>
                <w:rFonts w:ascii="Times New Roman" w:hAnsi="Times New Roman" w:cs="Times New Roman"/>
                <w:sz w:val="18"/>
                <w:szCs w:val="18"/>
              </w:rPr>
              <w:t xml:space="preserve"> of Prod</w:t>
            </w:r>
            <w:r>
              <w:rPr>
                <w:rFonts w:ascii="Times New Roman" w:hAnsi="Times New Roman" w:cs="Times New Roman"/>
                <w:sz w:val="18"/>
                <w:szCs w:val="18"/>
              </w:rPr>
              <w:t>.</w:t>
            </w:r>
            <w:r w:rsidRPr="00C3416D">
              <w:rPr>
                <w:rFonts w:ascii="Times New Roman" w:hAnsi="Times New Roman" w:cs="Times New Roman"/>
                <w:sz w:val="18"/>
                <w:szCs w:val="18"/>
              </w:rPr>
              <w:t xml:space="preserve"> Sectors</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0.065</w:t>
            </w:r>
          </w:p>
        </w:tc>
        <w:tc>
          <w:tcPr>
            <w:tcW w:w="1361" w:type="dxa"/>
            <w:tcBorders>
              <w:bottom w:val="single" w:sz="12"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0.164</w:t>
            </w:r>
          </w:p>
        </w:tc>
        <w:tc>
          <w:tcPr>
            <w:tcW w:w="1361" w:type="dxa"/>
            <w:tcBorders>
              <w:bottom w:val="single" w:sz="12"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0.355</w:t>
            </w:r>
          </w:p>
        </w:tc>
        <w:tc>
          <w:tcPr>
            <w:tcW w:w="1361" w:type="dxa"/>
            <w:tcBorders>
              <w:bottom w:val="single" w:sz="12"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0.100</w:t>
            </w:r>
          </w:p>
        </w:tc>
        <w:tc>
          <w:tcPr>
            <w:tcW w:w="1362" w:type="dxa"/>
            <w:tcBorders>
              <w:bottom w:val="single" w:sz="12"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0.145</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817EAD" w:rsidRPr="00C3416D" w:rsidRDefault="00817EAD" w:rsidP="00CD1883">
            <w:pPr>
              <w:jc w:val="center"/>
              <w:rPr>
                <w:rFonts w:ascii="Times New Roman" w:hAnsi="Times New Roman" w:cs="Times New Roman"/>
                <w:i/>
                <w:sz w:val="18"/>
                <w:szCs w:val="18"/>
              </w:rPr>
            </w:pPr>
            <w:r w:rsidRPr="00C3416D">
              <w:rPr>
                <w:rFonts w:ascii="Times New Roman" w:hAnsi="Times New Roman" w:cs="Times New Roman"/>
                <w:b w:val="0"/>
                <w:i/>
                <w:sz w:val="18"/>
                <w:szCs w:val="18"/>
              </w:rPr>
              <w:t>Panel C: Employment Growth</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817EAD" w:rsidRPr="00C3416D" w:rsidRDefault="00817EAD" w:rsidP="00CD1883">
            <w:pPr>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tcBorders>
              <w:top w:val="single" w:sz="4" w:space="0" w:color="auto"/>
            </w:tcBorders>
            <w:shd w:val="clear" w:color="auto" w:fill="auto"/>
          </w:tcPr>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1.190</w:t>
            </w:r>
          </w:p>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(0.946)</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0.908</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(1.093)</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1.128</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(1.371)</w:t>
            </w:r>
          </w:p>
        </w:tc>
        <w:tc>
          <w:tcPr>
            <w:tcW w:w="1361"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1.104</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(1.001)</w:t>
            </w:r>
          </w:p>
        </w:tc>
        <w:tc>
          <w:tcPr>
            <w:tcW w:w="1362" w:type="dxa"/>
            <w:tcBorders>
              <w:top w:val="single" w:sz="4" w:space="0" w:color="auto"/>
            </w:tcBorders>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1.289</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(0.943)</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0.882</w:t>
            </w:r>
          </w:p>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(1.977)</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1.218</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(2.135)</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2.690</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(2.052)</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1.306</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(2.103)</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0.710</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(1.934)</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shd w:val="clear" w:color="auto" w:fill="auto"/>
          </w:tcPr>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-1.264*</w:t>
            </w:r>
          </w:p>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(0.732)</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-0.704</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(0.897)</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-1.147</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(1.070)</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-1.105</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(0.801)</w:t>
            </w:r>
          </w:p>
        </w:tc>
        <w:tc>
          <w:tcPr>
            <w:tcW w:w="1362"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-1.339*</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(0.729)</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-1.345</w:t>
            </w:r>
          </w:p>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(1.472)</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-1.282</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(1.635)</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-4.298***</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(1.461)</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-1.318</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(1.600)</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-1.386</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(1.423)</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Dummy Variable for 1930-</w:t>
            </w:r>
            <w:r>
              <w:rPr>
                <w:rFonts w:ascii="Times New Roman" w:hAnsi="Times New Roman" w:cs="Times New Roman"/>
                <w:b w:val="0"/>
                <w:sz w:val="18"/>
                <w:szCs w:val="18"/>
              </w:rPr>
              <w:t>48</w:t>
            </w:r>
            <w:r w:rsidRPr="00C3416D">
              <w:rPr>
                <w:rFonts w:ascii="Times New Roman" w:hAnsi="Times New Roman" w:cs="Times New Roman"/>
                <w:b w:val="0"/>
                <w:sz w:val="18"/>
                <w:szCs w:val="18"/>
              </w:rPr>
              <w:t xml:space="preserve">,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0.240</w:t>
            </w:r>
          </w:p>
          <w:p w:rsidR="00817EAD" w:rsidRPr="007A763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(0.791)</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0.336</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(1.687)</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0.053</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(2.546)</w:t>
            </w:r>
          </w:p>
        </w:tc>
        <w:tc>
          <w:tcPr>
            <w:tcW w:w="1361"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-0.848</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(1.165)</w:t>
            </w:r>
          </w:p>
        </w:tc>
        <w:tc>
          <w:tcPr>
            <w:tcW w:w="1362" w:type="dxa"/>
            <w:shd w:val="clear" w:color="auto" w:fill="auto"/>
          </w:tcPr>
          <w:p w:rsidR="00817EA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0.265</w:t>
            </w:r>
          </w:p>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(0.873)</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1.043*</w:t>
            </w:r>
          </w:p>
          <w:p w:rsidR="00817EAD" w:rsidRPr="007A763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7A763D">
              <w:rPr>
                <w:rFonts w:ascii="Times New Roman" w:hAnsi="Times New Roman" w:cs="Times New Roman"/>
                <w:sz w:val="18"/>
                <w:szCs w:val="18"/>
              </w:rPr>
              <w:t>(0.605)</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-1.043</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(1.522)</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1.893</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(1.687)</w:t>
            </w:r>
          </w:p>
        </w:tc>
        <w:tc>
          <w:tcPr>
            <w:tcW w:w="1361"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0.897</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(0.933)</w:t>
            </w:r>
          </w:p>
        </w:tc>
        <w:tc>
          <w:tcPr>
            <w:tcW w:w="1362" w:type="dxa"/>
            <w:shd w:val="clear" w:color="auto" w:fill="auto"/>
          </w:tcPr>
          <w:p w:rsidR="00817EA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1.400**</w:t>
            </w:r>
          </w:p>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(0.602)</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w:t>
            </w:r>
            <w:r>
              <w:rPr>
                <w:rFonts w:ascii="Times New Roman" w:hAnsi="Times New Roman" w:cs="Times New Roman"/>
                <w:sz w:val="18"/>
                <w:szCs w:val="18"/>
              </w:rPr>
              <w:t>.</w:t>
            </w:r>
            <w:r w:rsidRPr="00C3416D">
              <w:rPr>
                <w:rFonts w:ascii="Times New Roman" w:hAnsi="Times New Roman" w:cs="Times New Roman"/>
                <w:sz w:val="18"/>
                <w:szCs w:val="18"/>
              </w:rPr>
              <w:t xml:space="preserve"> of Prod</w:t>
            </w:r>
            <w:r>
              <w:rPr>
                <w:rFonts w:ascii="Times New Roman" w:hAnsi="Times New Roman" w:cs="Times New Roman"/>
                <w:sz w:val="18"/>
                <w:szCs w:val="18"/>
              </w:rPr>
              <w:t>.</w:t>
            </w:r>
            <w:r w:rsidRPr="00C3416D">
              <w:rPr>
                <w:rFonts w:ascii="Times New Roman" w:hAnsi="Times New Roman" w:cs="Times New Roman"/>
                <w:sz w:val="18"/>
                <w:szCs w:val="18"/>
              </w:rPr>
              <w:t xml:space="preserve"> Sectors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c>
          <w:tcPr>
            <w:tcW w:w="1361"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206</w:t>
            </w:r>
          </w:p>
        </w:tc>
        <w:tc>
          <w:tcPr>
            <w:tcW w:w="1362" w:type="dxa"/>
            <w:shd w:val="clear" w:color="auto" w:fill="auto"/>
          </w:tcPr>
          <w:p w:rsidR="00817EAD" w:rsidRPr="00C3416D" w:rsidRDefault="00817EAD" w:rsidP="00CD18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r>
              <w:rPr>
                <w:rFonts w:ascii="Times New Roman" w:hAnsi="Times New Roman" w:cs="Times New Roman"/>
                <w:sz w:val="18"/>
                <w:szCs w:val="18"/>
              </w:rPr>
              <w:t>06</w:t>
            </w:r>
          </w:p>
        </w:tc>
      </w:tr>
      <w:tr w:rsidR="00817EAD" w:rsidRPr="00C3416D" w:rsidTr="00CD1883">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817EAD" w:rsidRPr="00C3416D" w:rsidRDefault="00817EAD" w:rsidP="00CD1883">
            <w:pPr>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0.044</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0.182</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0.459</w:t>
            </w:r>
          </w:p>
        </w:tc>
        <w:tc>
          <w:tcPr>
            <w:tcW w:w="1361"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0.116</w:t>
            </w:r>
          </w:p>
        </w:tc>
        <w:tc>
          <w:tcPr>
            <w:tcW w:w="1362" w:type="dxa"/>
            <w:tcBorders>
              <w:bottom w:val="single" w:sz="12" w:space="0" w:color="auto"/>
            </w:tcBorders>
            <w:shd w:val="clear" w:color="auto" w:fill="auto"/>
          </w:tcPr>
          <w:p w:rsidR="00817EAD" w:rsidRPr="00C3416D" w:rsidRDefault="00817EAD" w:rsidP="00CD18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0.073</w:t>
            </w:r>
          </w:p>
        </w:tc>
      </w:tr>
      <w:tr w:rsidR="00817EAD" w:rsidRPr="00C3416D" w:rsidTr="00CD18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bottom w:val="single" w:sz="4" w:space="0" w:color="FFFFFF" w:themeColor="background1"/>
            </w:tcBorders>
            <w:shd w:val="clear" w:color="auto" w:fill="auto"/>
          </w:tcPr>
          <w:p w:rsidR="00817EAD" w:rsidRPr="00C3416D" w:rsidRDefault="00817EAD" w:rsidP="00EE5A83">
            <w:pPr>
              <w:jc w:val="both"/>
              <w:rPr>
                <w:rFonts w:ascii="Times New Roman" w:hAnsi="Times New Roman" w:cs="Times New Roman"/>
                <w:sz w:val="18"/>
                <w:szCs w:val="18"/>
              </w:rPr>
            </w:pPr>
            <w:r w:rsidRPr="00C3416D">
              <w:rPr>
                <w:rFonts w:ascii="Times New Roman" w:hAnsi="Times New Roman" w:cs="Times New Roman"/>
                <w:b w:val="0"/>
                <w:i/>
                <w:sz w:val="18"/>
                <w:szCs w:val="18"/>
              </w:rPr>
              <w:t>Notes:</w:t>
            </w:r>
            <w:r w:rsidRPr="00C3416D">
              <w:rPr>
                <w:rFonts w:ascii="Times New Roman" w:hAnsi="Times New Roman" w:cs="Times New Roman"/>
                <w:b w:val="0"/>
                <w:sz w:val="18"/>
                <w:szCs w:val="18"/>
              </w:rPr>
              <w:t xml:space="preserve"> Estimated regression results for the three-group classification. In panel A, the dependent variable is annualised average (real) net output growth. The corresponding dependent variables in panels B and C are annualised average net output </w:t>
            </w:r>
            <w:r w:rsidR="00B9694E">
              <w:rPr>
                <w:rFonts w:ascii="Times New Roman" w:hAnsi="Times New Roman" w:cs="Times New Roman"/>
                <w:b w:val="0"/>
                <w:sz w:val="18"/>
                <w:szCs w:val="18"/>
              </w:rPr>
              <w:t>per worker</w:t>
            </w:r>
            <w:r w:rsidRPr="00C3416D">
              <w:rPr>
                <w:rFonts w:ascii="Times New Roman" w:hAnsi="Times New Roman" w:cs="Times New Roman"/>
                <w:b w:val="0"/>
                <w:sz w:val="18"/>
                <w:szCs w:val="18"/>
              </w:rPr>
              <w:t xml:space="preserve"> growth and employment growth</w:t>
            </w:r>
            <w:r>
              <w:rPr>
                <w:rFonts w:ascii="Times New Roman" w:hAnsi="Times New Roman" w:cs="Times New Roman"/>
                <w:b w:val="0"/>
                <w:sz w:val="18"/>
                <w:szCs w:val="18"/>
              </w:rPr>
              <w:t>,</w:t>
            </w:r>
            <w:r w:rsidRPr="00C3416D">
              <w:rPr>
                <w:rFonts w:ascii="Times New Roman" w:hAnsi="Times New Roman" w:cs="Times New Roman"/>
                <w:b w:val="0"/>
                <w:sz w:val="18"/>
                <w:szCs w:val="18"/>
              </w:rPr>
              <w:t xml:space="preserve"> respectively. All regressions are estimated by OLS and robust standard errors are reported, where *** p&lt;0.01, ** p&lt;0.05, * p&lt;0.1. Details of the control variables are presented in Appendix </w:t>
            </w:r>
            <w:r w:rsidR="00EE5A83">
              <w:rPr>
                <w:rFonts w:ascii="Times New Roman" w:hAnsi="Times New Roman" w:cs="Times New Roman"/>
                <w:b w:val="0"/>
                <w:sz w:val="18"/>
                <w:szCs w:val="18"/>
              </w:rPr>
              <w:t>B</w:t>
            </w:r>
            <w:r>
              <w:rPr>
                <w:rFonts w:ascii="Times New Roman" w:hAnsi="Times New Roman" w:cs="Times New Roman"/>
                <w:b w:val="0"/>
                <w:sz w:val="18"/>
                <w:szCs w:val="18"/>
              </w:rPr>
              <w:t>.</w:t>
            </w:r>
            <w:r w:rsidR="00EE5A83">
              <w:rPr>
                <w:rFonts w:ascii="Times New Roman" w:hAnsi="Times New Roman" w:cs="Times New Roman"/>
                <w:b w:val="0"/>
                <w:sz w:val="18"/>
                <w:szCs w:val="18"/>
              </w:rPr>
              <w:t>2</w:t>
            </w:r>
            <w:r w:rsidRPr="00C3416D">
              <w:rPr>
                <w:rFonts w:ascii="Times New Roman" w:hAnsi="Times New Roman" w:cs="Times New Roman"/>
                <w:b w:val="0"/>
                <w:sz w:val="18"/>
                <w:szCs w:val="18"/>
              </w:rPr>
              <w:t>.</w:t>
            </w:r>
          </w:p>
        </w:tc>
      </w:tr>
    </w:tbl>
    <w:p w:rsidR="00817EAD" w:rsidRDefault="00817EAD" w:rsidP="00817EAD">
      <w:pPr>
        <w:spacing w:after="0" w:line="360" w:lineRule="auto"/>
        <w:jc w:val="both"/>
        <w:rPr>
          <w:rFonts w:ascii="Times New Roman" w:hAnsi="Times New Roman" w:cs="Times New Roman"/>
        </w:rPr>
      </w:pPr>
    </w:p>
    <w:p w:rsidR="00817EAD" w:rsidRDefault="005464AF" w:rsidP="00817EAD">
      <w:pPr>
        <w:spacing w:after="0" w:line="360" w:lineRule="auto"/>
        <w:jc w:val="both"/>
        <w:rPr>
          <w:rFonts w:ascii="Times New Roman" w:hAnsi="Times New Roman" w:cs="Times New Roman"/>
          <w:b/>
        </w:rPr>
      </w:pPr>
      <w:r>
        <w:rPr>
          <w:rFonts w:ascii="Times New Roman" w:hAnsi="Times New Roman" w:cs="Times New Roman"/>
          <w:b/>
        </w:rPr>
        <w:t>B</w:t>
      </w:r>
      <w:r w:rsidR="00817EAD">
        <w:rPr>
          <w:rFonts w:ascii="Times New Roman" w:hAnsi="Times New Roman" w:cs="Times New Roman"/>
          <w:b/>
        </w:rPr>
        <w:t>.</w:t>
      </w:r>
      <w:r>
        <w:rPr>
          <w:rFonts w:ascii="Times New Roman" w:hAnsi="Times New Roman" w:cs="Times New Roman"/>
          <w:b/>
        </w:rPr>
        <w:t>5</w:t>
      </w:r>
      <w:r w:rsidR="00817EAD">
        <w:rPr>
          <w:rFonts w:ascii="Times New Roman" w:hAnsi="Times New Roman" w:cs="Times New Roman"/>
          <w:b/>
        </w:rPr>
        <w:tab/>
        <w:t>Heterogeneity in the Control Group</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As a sensitivity test and a further refinement of the difference-in-difference model, we account for possible heterogeneity in our control group. As noted in the main body of the paper, our control group contains both early protected industries and industries that did not receive tariff protection in the interwar period. If these two sub-groups are </w:t>
      </w:r>
      <w:r w:rsidRPr="00EA32DF">
        <w:rPr>
          <w:rFonts w:ascii="Times New Roman" w:hAnsi="Times New Roman" w:cs="Times New Roman"/>
        </w:rPr>
        <w:t>significantly different</w:t>
      </w:r>
      <w:r>
        <w:rPr>
          <w:rFonts w:ascii="Times New Roman" w:hAnsi="Times New Roman" w:cs="Times New Roman"/>
        </w:rPr>
        <w:t>, this heterogeneity may create biases in our headline results.</w:t>
      </w:r>
      <w:r w:rsidRPr="0051233D">
        <w:rPr>
          <w:rStyle w:val="Heading4Char"/>
          <w:rFonts w:ascii="Times New Roman" w:hAnsi="Times New Roman" w:cs="Times New Roman"/>
          <w:b w:val="0"/>
          <w:i w:val="0"/>
          <w:vertAlign w:val="superscript"/>
        </w:rPr>
        <w:footnoteReference w:id="26"/>
      </w:r>
      <w:r>
        <w:rPr>
          <w:rFonts w:ascii="Times New Roman" w:hAnsi="Times New Roman" w:cs="Times New Roman"/>
        </w:rPr>
        <w:t xml:space="preserve"> To analyse the robustness of our results to this heterogeneity, we decompose our control group into two groups – unprotected and early protected industries – and investigate the treatment effect of the General Tariff. We show that our results and general conclusion – that the tariff had a large and significant treatment effect on additionally protected industries – are robust to this generalisation. To do this, we estimate the following regression:</w:t>
      </w:r>
    </w:p>
    <w:p w:rsidR="00817EAD" w:rsidRPr="000616AD" w:rsidRDefault="00817EAD" w:rsidP="00817EAD">
      <w:pPr>
        <w:spacing w:after="0" w:line="360" w:lineRule="auto"/>
        <w:ind w:firstLine="567"/>
        <w:jc w:val="both"/>
        <w:rPr>
          <w:rFonts w:ascii="Times New Roman" w:hAnsi="Times New Roman" w:cs="Times New Roman"/>
        </w:rPr>
      </w:pPr>
      <m:oMathPara>
        <m:oMath>
          <m:r>
            <m:rPr>
              <m:sty m:val="p"/>
            </m:rP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i,t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0</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1</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ear</m:t>
              </m:r>
            </m:sub>
          </m:sSub>
          <m:r>
            <w:rPr>
              <w:rFonts w:ascii="Cambria Math" w:hAnsi="Cambria Math" w:cs="Times New Roman"/>
            </w:rPr>
            <m:t>ea</m:t>
          </m:r>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ten</m:t>
              </m:r>
            </m:sub>
          </m:sSub>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add</m:t>
              </m:r>
            </m:sub>
          </m:sSub>
          <m:r>
            <w:rPr>
              <w:rFonts w:ascii="Cambria Math" w:hAnsi="Cambria Math" w:cs="Times New Roman"/>
            </w:rPr>
            <m:t>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ear</m:t>
              </m:r>
            </m:sub>
          </m:sSub>
          <m:d>
            <m:dPr>
              <m:ctrlPr>
                <w:rPr>
                  <w:rFonts w:ascii="Cambria Math" w:hAnsi="Cambria Math" w:cs="Times New Roman"/>
                  <w:i/>
                </w:rPr>
              </m:ctrlPr>
            </m:dPr>
            <m:e>
              <m:r>
                <w:rPr>
                  <w:rFonts w:ascii="Cambria Math" w:hAnsi="Cambria Math" w:cs="Times New Roman"/>
                </w:rPr>
                <m:t>ea</m:t>
              </m:r>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i</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e>
          </m:d>
        </m:oMath>
      </m:oMathPara>
    </w:p>
    <w:p w:rsidR="00817EAD" w:rsidRPr="000616AD" w:rsidRDefault="00817EAD" w:rsidP="00817EAD">
      <w:pPr>
        <w:spacing w:after="0" w:line="360" w:lineRule="auto"/>
        <w:ind w:firstLine="567"/>
        <w:jc w:val="both"/>
        <w:rPr>
          <w:rFonts w:ascii="Times New Roman"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ten</m:t>
              </m:r>
            </m:sub>
          </m:sSub>
          <m:d>
            <m:dPr>
              <m:ctrlPr>
                <w:rPr>
                  <w:rFonts w:ascii="Cambria Math" w:hAnsi="Cambria Math" w:cs="Times New Roman"/>
                  <w:i/>
                </w:rPr>
              </m:ctrlPr>
            </m:dPr>
            <m:e>
              <m:r>
                <w:rPr>
                  <w:rFonts w:ascii="Cambria Math" w:hAnsi="Cambria Math" w:cs="Times New Roman"/>
                </w:rPr>
                <m:t>te</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add</m:t>
              </m:r>
            </m:sub>
          </m:sSub>
          <m:d>
            <m:dPr>
              <m:ctrlPr>
                <w:rPr>
                  <w:rFonts w:ascii="Cambria Math" w:hAnsi="Cambria Math" w:cs="Times New Roman"/>
                  <w:i/>
                </w:rPr>
              </m:ctrlPr>
            </m:dPr>
            <m:e>
              <m:r>
                <w:rPr>
                  <w:rFonts w:ascii="Cambria Math" w:hAnsi="Cambria Math" w:cs="Times New Roman"/>
                </w:rPr>
                <m:t>ad</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hAnsi="Cambria Math" w:cs="Times New Roman"/>
                </w:rPr>
                <m:t>×y</m:t>
              </m:r>
              <m:sSub>
                <m:sSubPr>
                  <m:ctrlPr>
                    <w:rPr>
                      <w:rFonts w:ascii="Cambria Math" w:hAnsi="Cambria Math" w:cs="Times New Roman"/>
                      <w:i/>
                    </w:rPr>
                  </m:ctrlPr>
                </m:sSubPr>
                <m:e>
                  <m:r>
                    <w:rPr>
                      <w:rFonts w:ascii="Cambria Math" w:hAnsi="Cambria Math" w:cs="Times New Roman"/>
                    </w:rPr>
                    <m:t>35</m:t>
                  </m:r>
                </m:e>
                <m:sub>
                  <m:r>
                    <w:rPr>
                      <w:rFonts w:ascii="Cambria Math" w:hAnsi="Cambria Math" w:cs="Times New Roman"/>
                    </w:rPr>
                    <m:t>t</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i,t</m:t>
              </m:r>
            </m:sub>
          </m:sSub>
        </m:oMath>
      </m:oMathPara>
    </w:p>
    <w:p w:rsidR="00817EAD" w:rsidRDefault="00817EAD" w:rsidP="00817EAD">
      <w:pPr>
        <w:spacing w:after="0" w:line="360" w:lineRule="auto"/>
        <w:jc w:val="both"/>
        <w:rPr>
          <w:rFonts w:ascii="Times New Roman" w:hAnsi="Times New Roman" w:cs="Times New Roman"/>
        </w:rPr>
      </w:pPr>
      <w:r>
        <w:rPr>
          <w:rFonts w:ascii="Times New Roman" w:hAnsi="Times New Roman" w:cs="Times New Roman"/>
        </w:rPr>
        <w:t xml:space="preserve">where, in addition to the definitions given in the main body of the paper, </w:t>
      </w:r>
      <m:oMath>
        <m:r>
          <w:rPr>
            <w:rFonts w:ascii="Cambria Math" w:hAnsi="Cambria Math" w:cs="Times New Roman"/>
          </w:rPr>
          <m:t>ea</m:t>
        </m:r>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i</m:t>
            </m:r>
          </m:sub>
        </m:sSub>
      </m:oMath>
      <w:r>
        <w:rPr>
          <w:rFonts w:ascii="Times New Roman" w:hAnsi="Times New Roman" w:cs="Times New Roman"/>
        </w:rPr>
        <w:t xml:space="preserve"> is a dummy variable set equal to unity if an industry received protection early, in the 1920s, and remained unprotected during both the 1924-30 and 1930-35 periods. In this regression, the control group includes only those industries that were unprotected during both periods. Consequently, the difference-in-difference coefficients now capture the treatment effect of the General Tariff relative to the unprotected industries only.</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Formally, the coefficients have the following meaning. The intercept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0</m:t>
            </m:r>
          </m:sub>
        </m:sSub>
      </m:oMath>
      <w:r>
        <w:rPr>
          <w:rFonts w:ascii="Times New Roman" w:hAnsi="Times New Roman" w:cs="Times New Roman"/>
        </w:rPr>
        <w:t xml:space="preserve"> captures the average annual output, productivity or employment growth of industries that were unprotected during the interwar period. The coefficient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1</m:t>
            </m:r>
          </m:sub>
        </m:sSub>
      </m:oMath>
      <w:r>
        <w:rPr>
          <w:rFonts w:ascii="Times New Roman" w:hAnsi="Times New Roman" w:cs="Times New Roman"/>
        </w:rPr>
        <w:t xml:space="preserve"> captures the average additional annual growth of the unprotected industries in 1930-35 in excess of their 1924-30 growth. Therefore, the sum of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0</m:t>
            </m:r>
          </m:sub>
        </m:sSub>
      </m:oMath>
      <w:r>
        <w:rPr>
          <w:rFonts w:ascii="Times New Roman" w:hAnsi="Times New Roman" w:cs="Times New Roman"/>
        </w:rPr>
        <w:t xml:space="preserve"> and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1</m:t>
            </m:r>
          </m:sub>
        </m:sSub>
      </m:oMath>
      <w:r>
        <w:rPr>
          <w:rFonts w:ascii="Times New Roman" w:hAnsi="Times New Roman" w:cs="Times New Roman"/>
        </w:rPr>
        <w:t xml:space="preserve"> equals the total average annual output, productivity or employment growth for unprotected industries between 1930 and 1935. The sum of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0</m:t>
            </m:r>
          </m:sub>
        </m:sSub>
      </m:oMath>
      <w:r>
        <w:rPr>
          <w:rFonts w:ascii="Times New Roman" w:hAnsi="Times New Roman" w:cs="Times New Roman"/>
        </w:rPr>
        <w:t xml:space="preserve"> and </w:t>
      </w:r>
      <m:oMath>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ear</m:t>
            </m:r>
          </m:sub>
        </m:sSub>
      </m:oMath>
      <w:r>
        <w:rPr>
          <w:rFonts w:ascii="Times New Roman" w:hAnsi="Times New Roman" w:cs="Times New Roman"/>
        </w:rPr>
        <w:t xml:space="preserve"> is equal to the average annual output, productivity or employment growth for early protected industries in 1924-30, such that </w:t>
      </w:r>
      <m:oMath>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ear</m:t>
            </m:r>
          </m:sub>
        </m:sSub>
      </m:oMath>
      <w:r>
        <w:rPr>
          <w:rFonts w:ascii="Times New Roman" w:hAnsi="Times New Roman" w:cs="Times New Roman"/>
        </w:rPr>
        <w:t xml:space="preserve"> captures the differential growth rates of early protected and unprotected industries over the 1924-30 period. Similarly, the sum of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0</m:t>
            </m:r>
          </m:sub>
        </m:sSub>
      </m:oMath>
      <w:r>
        <w:rPr>
          <w:rFonts w:ascii="Times New Roman" w:hAnsi="Times New Roman" w:cs="Times New Roman"/>
        </w:rPr>
        <w:t xml:space="preserve"> and </w:t>
      </w:r>
      <m:oMath>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ten</m:t>
            </m:r>
          </m:sub>
        </m:sSub>
      </m:oMath>
      <w:r>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add</m:t>
            </m:r>
          </m:sub>
        </m:sSub>
      </m:oMath>
      <w:r>
        <w:rPr>
          <w:rFonts w:ascii="Times New Roman" w:hAnsi="Times New Roman" w:cs="Times New Roman"/>
        </w:rPr>
        <w:t xml:space="preserve">) denoted the average annual output, productivity or employment growth, between 1924 and 1930, for industries that received a 10 percent (an additional) tariff under the 1932 legislation. Thus, the coefficients </w:t>
      </w:r>
      <m:oMath>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ear</m:t>
            </m:r>
          </m:sub>
        </m:sSub>
      </m:oMath>
      <w:r>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ten</m:t>
            </m:r>
          </m:sub>
        </m:sSub>
      </m:oMath>
      <w:r>
        <w:rPr>
          <w:rFonts w:ascii="Times New Roman" w:hAnsi="Times New Roman" w:cs="Times New Roman"/>
        </w:rPr>
        <w:t xml:space="preserve"> and </w:t>
      </w:r>
      <m:oMath>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add</m:t>
            </m:r>
          </m:sub>
        </m:sSub>
      </m:oMath>
      <w:r>
        <w:rPr>
          <w:rFonts w:ascii="Times New Roman" w:hAnsi="Times New Roman" w:cs="Times New Roman"/>
        </w:rPr>
        <w:t xml:space="preserve"> are the difference-in-difference estimators for the early protected, 10 percent protected and additionally protected industries respectively, representing the average effect of the General Tariff on each sub-group relative to unprotected industries only – i.e. those that did not receive tariff protection at all between 1924 and 1935.</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Table </w:t>
      </w:r>
      <w:r w:rsidR="00EE5A83">
        <w:rPr>
          <w:rFonts w:ascii="Times New Roman" w:hAnsi="Times New Roman" w:cs="Times New Roman"/>
        </w:rPr>
        <w:t>B9</w:t>
      </w:r>
      <w:r>
        <w:rPr>
          <w:rFonts w:ascii="Times New Roman" w:hAnsi="Times New Roman" w:cs="Times New Roman"/>
        </w:rPr>
        <w:t xml:space="preserve"> presents the results from this regression. Primarily, the results serve to reinforce our main conclusion: industries that received additional protection under the 1932 General Tariff received a significant output and productivity benefit relative to the unprotected control group.</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The results in Table </w:t>
      </w:r>
      <w:r w:rsidR="00EE5A83">
        <w:rPr>
          <w:rFonts w:ascii="Times New Roman" w:hAnsi="Times New Roman" w:cs="Times New Roman"/>
        </w:rPr>
        <w:t>B9</w:t>
      </w:r>
      <w:r>
        <w:rPr>
          <w:rFonts w:ascii="Times New Roman" w:hAnsi="Times New Roman" w:cs="Times New Roman"/>
        </w:rPr>
        <w:t xml:space="preserve"> also ratify a maintained assumption in our baseline three-group classification: that the growth paths of early protected and unprotected industries were sufficiently similar in the 1924-30 and 1930-35 periods for them to be combined into a single control group, as is done in the main body of the paper. Indeed our estimates of </w:t>
      </w:r>
      <m:oMath>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ear</m:t>
            </m:r>
          </m:sub>
        </m:sSub>
      </m:oMath>
      <w:r>
        <w:rPr>
          <w:rFonts w:ascii="Times New Roman" w:hAnsi="Times New Roman" w:cs="Times New Roman"/>
        </w:rPr>
        <w:t xml:space="preserve"> and </w:t>
      </w:r>
      <m:oMath>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ear</m:t>
            </m:r>
          </m:sub>
        </m:sSub>
      </m:oMath>
      <w:r>
        <w:rPr>
          <w:rFonts w:ascii="Times New Roman" w:hAnsi="Times New Roman" w:cs="Times New Roman"/>
        </w:rPr>
        <w:t xml:space="preserve"> – coefficients that quantify the differential growth paths of unprotected and early protected industries in 1924-30 and 1930-35 respectively – are insignificantly different from zero in all three regressions. That is, there is no significant difference between the early protected and unprotected industries, implying that heterogeneity in the control group in the three-group model does not bias the results.</w:t>
      </w:r>
    </w:p>
    <w:p w:rsidR="00817EAD" w:rsidRDefault="00817EAD" w:rsidP="00817EAD">
      <w:pPr>
        <w:spacing w:after="0" w:line="360" w:lineRule="auto"/>
        <w:ind w:firstLine="567"/>
        <w:jc w:val="both"/>
        <w:rPr>
          <w:rFonts w:ascii="Times New Roman" w:hAnsi="Times New Roman" w:cs="Times New Roman"/>
        </w:rPr>
      </w:pPr>
    </w:p>
    <w:p w:rsidR="00817EAD" w:rsidRDefault="00817EAD" w:rsidP="00817EAD">
      <w:pPr>
        <w:spacing w:line="240" w:lineRule="auto"/>
        <w:jc w:val="both"/>
        <w:rPr>
          <w:rFonts w:ascii="Times New Roman" w:hAnsi="Times New Roman" w:cs="Times New Roman"/>
        </w:rPr>
      </w:pPr>
      <w:r>
        <w:rPr>
          <w:rFonts w:ascii="Times New Roman" w:hAnsi="Times New Roman" w:cs="Times New Roman"/>
          <w:b/>
        </w:rPr>
        <w:t xml:space="preserve">Table </w:t>
      </w:r>
      <w:r w:rsidR="005464AF">
        <w:rPr>
          <w:rFonts w:ascii="Times New Roman" w:hAnsi="Times New Roman" w:cs="Times New Roman"/>
          <w:b/>
        </w:rPr>
        <w:t>B9</w:t>
      </w:r>
      <w:r>
        <w:rPr>
          <w:rFonts w:ascii="Times New Roman" w:hAnsi="Times New Roman" w:cs="Times New Roman"/>
          <w:b/>
        </w:rPr>
        <w:t>: Difference-in-Difference Results with only Unprotected Industries in the Control Group</w:t>
      </w:r>
    </w:p>
    <w:tbl>
      <w:tblPr>
        <w:tblStyle w:val="TableGrid"/>
        <w:tblW w:w="0" w:type="auto"/>
        <w:tblLook w:val="04A0" w:firstRow="1" w:lastRow="0" w:firstColumn="1" w:lastColumn="0" w:noHBand="0" w:noVBand="1"/>
      </w:tblPr>
      <w:tblGrid>
        <w:gridCol w:w="3085"/>
        <w:gridCol w:w="1417"/>
        <w:gridCol w:w="1417"/>
        <w:gridCol w:w="1417"/>
      </w:tblGrid>
      <w:tr w:rsidR="00817EAD" w:rsidTr="00CD1883">
        <w:tc>
          <w:tcPr>
            <w:tcW w:w="3085" w:type="dxa"/>
            <w:tcBorders>
              <w:top w:val="single" w:sz="12" w:space="0" w:color="auto"/>
              <w:left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p>
        </w:tc>
        <w:tc>
          <w:tcPr>
            <w:tcW w:w="1417" w:type="dxa"/>
            <w:tcBorders>
              <w:top w:val="single" w:sz="12" w:space="0" w:color="auto"/>
              <w:left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w:t>
            </w:r>
            <w:r>
              <w:rPr>
                <w:rFonts w:ascii="Times New Roman" w:hAnsi="Times New Roman" w:cs="Times New Roman"/>
              </w:rPr>
              <w:br/>
              <w:t>Net Output Growth</w:t>
            </w:r>
          </w:p>
        </w:tc>
        <w:tc>
          <w:tcPr>
            <w:tcW w:w="1417" w:type="dxa"/>
            <w:tcBorders>
              <w:top w:val="single" w:sz="12" w:space="0" w:color="auto"/>
              <w:left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w:t>
            </w:r>
          </w:p>
          <w:p w:rsidR="00817EAD" w:rsidRDefault="00817EAD" w:rsidP="00CD1883">
            <w:pPr>
              <w:jc w:val="center"/>
              <w:rPr>
                <w:rFonts w:ascii="Times New Roman" w:hAnsi="Times New Roman" w:cs="Times New Roman"/>
              </w:rPr>
            </w:pPr>
            <w:r>
              <w:rPr>
                <w:rFonts w:ascii="Times New Roman" w:hAnsi="Times New Roman" w:cs="Times New Roman"/>
              </w:rPr>
              <w:t xml:space="preserve">Net Output </w:t>
            </w:r>
            <w:r w:rsidR="00B9694E">
              <w:rPr>
                <w:rFonts w:ascii="Times New Roman" w:hAnsi="Times New Roman" w:cs="Times New Roman"/>
              </w:rPr>
              <w:t>per worker</w:t>
            </w:r>
            <w:r>
              <w:rPr>
                <w:rFonts w:ascii="Times New Roman" w:hAnsi="Times New Roman" w:cs="Times New Roman"/>
              </w:rPr>
              <w:t xml:space="preserve"> Growth</w:t>
            </w:r>
          </w:p>
        </w:tc>
        <w:tc>
          <w:tcPr>
            <w:tcW w:w="1417" w:type="dxa"/>
            <w:tcBorders>
              <w:top w:val="single" w:sz="12" w:space="0" w:color="auto"/>
              <w:left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(3)</w:t>
            </w:r>
          </w:p>
          <w:p w:rsidR="00817EAD" w:rsidRDefault="00817EAD" w:rsidP="00CD1883">
            <w:pPr>
              <w:jc w:val="center"/>
              <w:rPr>
                <w:rFonts w:ascii="Times New Roman" w:hAnsi="Times New Roman" w:cs="Times New Roman"/>
              </w:rPr>
            </w:pPr>
            <w:r>
              <w:rPr>
                <w:rFonts w:ascii="Times New Roman" w:hAnsi="Times New Roman" w:cs="Times New Roman"/>
              </w:rPr>
              <w:t>Employment Growth</w:t>
            </w:r>
          </w:p>
        </w:tc>
      </w:tr>
      <w:tr w:rsidR="00817EAD" w:rsidTr="00CD1883">
        <w:tc>
          <w:tcPr>
            <w:tcW w:w="3085"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D-in-D for &gt;10%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δ</m:t>
                      </m:r>
                    </m:e>
                  </m:acc>
                </m:e>
                <m:sub>
                  <m:r>
                    <w:rPr>
                      <w:rFonts w:ascii="Cambria Math" w:hAnsi="Cambria Math" w:cs="Times New Roman"/>
                    </w:rPr>
                    <m:t>add</m:t>
                  </m:r>
                </m:sub>
              </m:sSub>
            </m:oMath>
          </w:p>
        </w:tc>
        <w:tc>
          <w:tcPr>
            <w:tcW w:w="1417"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5.773**</w:t>
            </w:r>
          </w:p>
          <w:p w:rsidR="00817EAD" w:rsidRDefault="00817EAD" w:rsidP="00CD1883">
            <w:pPr>
              <w:jc w:val="center"/>
              <w:rPr>
                <w:rFonts w:ascii="Times New Roman" w:hAnsi="Times New Roman" w:cs="Times New Roman"/>
              </w:rPr>
            </w:pPr>
            <w:r>
              <w:rPr>
                <w:rFonts w:ascii="Times New Roman" w:hAnsi="Times New Roman" w:cs="Times New Roman"/>
              </w:rPr>
              <w:t>(2.816)</w:t>
            </w:r>
          </w:p>
        </w:tc>
        <w:tc>
          <w:tcPr>
            <w:tcW w:w="1417"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3.410*</w:t>
            </w:r>
          </w:p>
          <w:p w:rsidR="00817EAD" w:rsidRDefault="00817EAD" w:rsidP="00CD1883">
            <w:pPr>
              <w:jc w:val="center"/>
              <w:rPr>
                <w:rFonts w:ascii="Times New Roman" w:hAnsi="Times New Roman" w:cs="Times New Roman"/>
              </w:rPr>
            </w:pPr>
            <w:r>
              <w:rPr>
                <w:rFonts w:ascii="Times New Roman" w:hAnsi="Times New Roman" w:cs="Times New Roman"/>
              </w:rPr>
              <w:t>(1.896)</w:t>
            </w:r>
          </w:p>
        </w:tc>
        <w:tc>
          <w:tcPr>
            <w:tcW w:w="1417"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2.246</w:t>
            </w:r>
          </w:p>
          <w:p w:rsidR="00817EAD" w:rsidRDefault="00817EAD" w:rsidP="00CD1883">
            <w:pPr>
              <w:jc w:val="center"/>
              <w:rPr>
                <w:rFonts w:ascii="Times New Roman" w:hAnsi="Times New Roman" w:cs="Times New Roman"/>
              </w:rPr>
            </w:pPr>
            <w:r>
              <w:rPr>
                <w:rFonts w:ascii="Times New Roman" w:hAnsi="Times New Roman" w:cs="Times New Roman"/>
              </w:rPr>
              <w:t>(1.943)</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D-in-D for 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δ</m:t>
                      </m:r>
                    </m:e>
                  </m:acc>
                </m:e>
                <m:sub>
                  <m:r>
                    <w:rPr>
                      <w:rFonts w:ascii="Cambria Math" w:hAnsi="Cambria Math" w:cs="Times New Roman"/>
                    </w:rPr>
                    <m:t>ten</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3.625</w:t>
            </w:r>
          </w:p>
          <w:p w:rsidR="00817EAD" w:rsidRDefault="00817EAD" w:rsidP="00CD1883">
            <w:pPr>
              <w:jc w:val="center"/>
              <w:rPr>
                <w:rFonts w:ascii="Times New Roman" w:hAnsi="Times New Roman" w:cs="Times New Roman"/>
              </w:rPr>
            </w:pPr>
            <w:r>
              <w:rPr>
                <w:rFonts w:ascii="Times New Roman" w:hAnsi="Times New Roman" w:cs="Times New Roman"/>
              </w:rPr>
              <w:t>(3.569)</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1.018</w:t>
            </w:r>
          </w:p>
          <w:p w:rsidR="00817EAD" w:rsidRDefault="00817EAD" w:rsidP="00CD1883">
            <w:pPr>
              <w:jc w:val="center"/>
              <w:rPr>
                <w:rFonts w:ascii="Times New Roman" w:hAnsi="Times New Roman" w:cs="Times New Roman"/>
              </w:rPr>
            </w:pPr>
            <w:r>
              <w:rPr>
                <w:rFonts w:ascii="Times New Roman" w:hAnsi="Times New Roman" w:cs="Times New Roman"/>
              </w:rPr>
              <w:t>(2.268)</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2.513</w:t>
            </w:r>
          </w:p>
          <w:p w:rsidR="00817EAD" w:rsidRDefault="00817EAD" w:rsidP="00CD1883">
            <w:pPr>
              <w:jc w:val="center"/>
              <w:rPr>
                <w:rFonts w:ascii="Times New Roman" w:hAnsi="Times New Roman" w:cs="Times New Roman"/>
              </w:rPr>
            </w:pPr>
            <w:r>
              <w:rPr>
                <w:rFonts w:ascii="Times New Roman" w:hAnsi="Times New Roman" w:cs="Times New Roman"/>
              </w:rPr>
              <w:t>(2.598)</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D-in-D for Early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δ</m:t>
                      </m:r>
                    </m:e>
                  </m:acc>
                </m:e>
                <m:sub>
                  <m:r>
                    <w:rPr>
                      <w:rFonts w:ascii="Cambria Math" w:hAnsi="Cambria Math" w:cs="Times New Roman"/>
                    </w:rPr>
                    <m:t>ear</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1.740</w:t>
            </w:r>
          </w:p>
          <w:p w:rsidR="00817EAD" w:rsidRDefault="00817EAD" w:rsidP="00CD1883">
            <w:pPr>
              <w:jc w:val="center"/>
              <w:rPr>
                <w:rFonts w:ascii="Times New Roman" w:hAnsi="Times New Roman" w:cs="Times New Roman"/>
              </w:rPr>
            </w:pPr>
            <w:r>
              <w:rPr>
                <w:rFonts w:ascii="Times New Roman" w:hAnsi="Times New Roman" w:cs="Times New Roman"/>
              </w:rPr>
              <w:t>(3.356)</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1.101</w:t>
            </w:r>
          </w:p>
          <w:p w:rsidR="00817EAD" w:rsidRDefault="00817EAD" w:rsidP="00CD1883">
            <w:pPr>
              <w:jc w:val="center"/>
              <w:rPr>
                <w:rFonts w:ascii="Times New Roman" w:hAnsi="Times New Roman" w:cs="Times New Roman"/>
              </w:rPr>
            </w:pPr>
            <w:r>
              <w:rPr>
                <w:rFonts w:ascii="Times New Roman" w:hAnsi="Times New Roman" w:cs="Times New Roman"/>
              </w:rPr>
              <w:t>(2.331)</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0.577</w:t>
            </w:r>
          </w:p>
          <w:p w:rsidR="00817EAD" w:rsidRDefault="00817EAD" w:rsidP="00CD1883">
            <w:pPr>
              <w:jc w:val="center"/>
              <w:rPr>
                <w:rFonts w:ascii="Times New Roman" w:hAnsi="Times New Roman" w:cs="Times New Roman"/>
              </w:rPr>
            </w:pPr>
            <w:r>
              <w:rPr>
                <w:rFonts w:ascii="Times New Roman" w:hAnsi="Times New Roman" w:cs="Times New Roman"/>
              </w:rPr>
              <w:t>(2.190)</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Dummy Variable for &gt;10%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β</m:t>
                      </m:r>
                    </m:e>
                  </m:acc>
                </m:e>
                <m:sub>
                  <m:r>
                    <w:rPr>
                      <w:rFonts w:ascii="Cambria Math" w:hAnsi="Cambria Math" w:cs="Times New Roman"/>
                    </w:rPr>
                    <m:t>add</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-1.938</w:t>
            </w:r>
          </w:p>
          <w:p w:rsidR="00817EAD" w:rsidRDefault="00817EAD" w:rsidP="00CD1883">
            <w:pPr>
              <w:jc w:val="center"/>
              <w:rPr>
                <w:rFonts w:ascii="Times New Roman" w:hAnsi="Times New Roman" w:cs="Times New Roman"/>
              </w:rPr>
            </w:pPr>
            <w:r>
              <w:rPr>
                <w:rFonts w:ascii="Times New Roman" w:hAnsi="Times New Roman" w:cs="Times New Roman"/>
              </w:rPr>
              <w:t>(1.615)</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-0.154</w:t>
            </w:r>
          </w:p>
          <w:p w:rsidR="00817EAD" w:rsidRDefault="00817EAD" w:rsidP="00CD1883">
            <w:pPr>
              <w:jc w:val="center"/>
              <w:rPr>
                <w:rFonts w:ascii="Times New Roman" w:hAnsi="Times New Roman" w:cs="Times New Roman"/>
              </w:rPr>
            </w:pPr>
            <w:r>
              <w:rPr>
                <w:rFonts w:ascii="Times New Roman" w:hAnsi="Times New Roman" w:cs="Times New Roman"/>
              </w:rPr>
              <w:t>(0.870)</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-1.712*</w:t>
            </w:r>
          </w:p>
          <w:p w:rsidR="00817EAD" w:rsidRDefault="00817EAD" w:rsidP="00CD1883">
            <w:pPr>
              <w:jc w:val="center"/>
              <w:rPr>
                <w:rFonts w:ascii="Times New Roman" w:hAnsi="Times New Roman" w:cs="Times New Roman"/>
              </w:rPr>
            </w:pPr>
            <w:r>
              <w:rPr>
                <w:rFonts w:ascii="Times New Roman" w:hAnsi="Times New Roman" w:cs="Times New Roman"/>
              </w:rPr>
              <w:t>(1.015)</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Dummy Variable for 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β</m:t>
                      </m:r>
                    </m:e>
                  </m:acc>
                </m:e>
                <m:sub>
                  <m:r>
                    <w:rPr>
                      <w:rFonts w:ascii="Cambria Math" w:hAnsi="Cambria Math" w:cs="Times New Roman"/>
                    </w:rPr>
                    <m:t>ten</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-0.430</w:t>
            </w:r>
          </w:p>
          <w:p w:rsidR="00817EAD" w:rsidRDefault="00817EAD" w:rsidP="00CD1883">
            <w:pPr>
              <w:jc w:val="center"/>
              <w:rPr>
                <w:rFonts w:ascii="Times New Roman" w:hAnsi="Times New Roman" w:cs="Times New Roman"/>
              </w:rPr>
            </w:pPr>
            <w:r>
              <w:rPr>
                <w:rFonts w:ascii="Times New Roman" w:hAnsi="Times New Roman" w:cs="Times New Roman"/>
              </w:rPr>
              <w:t>(2.304)</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1.153</w:t>
            </w:r>
          </w:p>
          <w:p w:rsidR="00817EAD" w:rsidRDefault="00817EAD" w:rsidP="00CD1883">
            <w:pPr>
              <w:jc w:val="center"/>
              <w:rPr>
                <w:rFonts w:ascii="Times New Roman" w:hAnsi="Times New Roman" w:cs="Times New Roman"/>
              </w:rPr>
            </w:pPr>
            <w:r>
              <w:rPr>
                <w:rFonts w:ascii="Times New Roman" w:hAnsi="Times New Roman" w:cs="Times New Roman"/>
              </w:rPr>
              <w:t>(1.280)</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-1.539</w:t>
            </w:r>
          </w:p>
          <w:p w:rsidR="00817EAD" w:rsidRDefault="00817EAD" w:rsidP="00CD1883">
            <w:pPr>
              <w:jc w:val="center"/>
              <w:rPr>
                <w:rFonts w:ascii="Times New Roman" w:hAnsi="Times New Roman" w:cs="Times New Roman"/>
              </w:rPr>
            </w:pPr>
            <w:r>
              <w:rPr>
                <w:rFonts w:ascii="Times New Roman" w:hAnsi="Times New Roman" w:cs="Times New Roman"/>
              </w:rPr>
              <w:t>(1.576)</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Dummy Variable for Early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β</m:t>
                      </m:r>
                    </m:e>
                  </m:acc>
                </m:e>
                <m:sub>
                  <m:r>
                    <w:rPr>
                      <w:rFonts w:ascii="Cambria Math" w:hAnsi="Cambria Math" w:cs="Times New Roman"/>
                    </w:rPr>
                    <m:t>ear</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1.456</w:t>
            </w:r>
          </w:p>
          <w:p w:rsidR="00817EAD" w:rsidRDefault="00817EAD" w:rsidP="00CD1883">
            <w:pPr>
              <w:jc w:val="center"/>
              <w:rPr>
                <w:rFonts w:ascii="Times New Roman" w:hAnsi="Times New Roman" w:cs="Times New Roman"/>
              </w:rPr>
            </w:pPr>
            <w:r>
              <w:rPr>
                <w:rFonts w:ascii="Times New Roman" w:hAnsi="Times New Roman" w:cs="Times New Roman"/>
              </w:rPr>
              <w:t>(1.954)</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1.954</w:t>
            </w:r>
          </w:p>
          <w:p w:rsidR="00817EAD" w:rsidRDefault="00817EAD" w:rsidP="00CD1883">
            <w:pPr>
              <w:jc w:val="center"/>
              <w:rPr>
                <w:rFonts w:ascii="Times New Roman" w:hAnsi="Times New Roman" w:cs="Times New Roman"/>
              </w:rPr>
            </w:pPr>
            <w:r>
              <w:rPr>
                <w:rFonts w:ascii="Times New Roman" w:hAnsi="Times New Roman" w:cs="Times New Roman"/>
              </w:rPr>
              <w:t>(1.186)</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-0.495</w:t>
            </w:r>
          </w:p>
          <w:p w:rsidR="00817EAD" w:rsidRDefault="00817EAD" w:rsidP="00CD1883">
            <w:pPr>
              <w:jc w:val="center"/>
              <w:rPr>
                <w:rFonts w:ascii="Times New Roman" w:hAnsi="Times New Roman" w:cs="Times New Roman"/>
              </w:rPr>
            </w:pPr>
            <w:r>
              <w:rPr>
                <w:rFonts w:ascii="Times New Roman" w:hAnsi="Times New Roman" w:cs="Times New Roman"/>
              </w:rPr>
              <w:t>(1.168)</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Dummy Variable for 1930-35,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α</m:t>
                      </m:r>
                    </m:e>
                  </m:acc>
                </m:e>
                <m:sub>
                  <m:r>
                    <w:rPr>
                      <w:rFonts w:ascii="Cambria Math" w:hAnsi="Cambria Math" w:cs="Times New Roman"/>
                    </w:rPr>
                    <m:t>1</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-1.289</w:t>
            </w:r>
          </w:p>
          <w:p w:rsidR="00817EAD" w:rsidRDefault="00817EAD" w:rsidP="00CD1883">
            <w:pPr>
              <w:jc w:val="center"/>
              <w:rPr>
                <w:rFonts w:ascii="Times New Roman" w:hAnsi="Times New Roman" w:cs="Times New Roman"/>
              </w:rPr>
            </w:pPr>
            <w:r>
              <w:rPr>
                <w:rFonts w:ascii="Times New Roman" w:hAnsi="Times New Roman" w:cs="Times New Roman"/>
              </w:rPr>
              <w:t>(2.726)</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-0.725</w:t>
            </w:r>
          </w:p>
          <w:p w:rsidR="00817EAD" w:rsidRDefault="00817EAD" w:rsidP="00CD1883">
            <w:pPr>
              <w:jc w:val="center"/>
              <w:rPr>
                <w:rFonts w:ascii="Times New Roman" w:hAnsi="Times New Roman" w:cs="Times New Roman"/>
              </w:rPr>
            </w:pPr>
            <w:r>
              <w:rPr>
                <w:rFonts w:ascii="Times New Roman" w:hAnsi="Times New Roman" w:cs="Times New Roman"/>
              </w:rPr>
              <w:t>(1.812)</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-0.505</w:t>
            </w:r>
          </w:p>
          <w:p w:rsidR="00817EAD" w:rsidRDefault="00817EAD" w:rsidP="00CD1883">
            <w:pPr>
              <w:jc w:val="center"/>
              <w:rPr>
                <w:rFonts w:ascii="Times New Roman" w:hAnsi="Times New Roman" w:cs="Times New Roman"/>
              </w:rPr>
            </w:pPr>
            <w:r>
              <w:rPr>
                <w:rFonts w:ascii="Times New Roman" w:hAnsi="Times New Roman" w:cs="Times New Roman"/>
              </w:rPr>
              <w:t>(1.861)</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Constant,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α</m:t>
                      </m:r>
                    </m:e>
                  </m:acc>
                </m:e>
                <m:sub>
                  <m:r>
                    <w:rPr>
                      <w:rFonts w:ascii="Cambria Math" w:hAnsi="Cambria Math" w:cs="Times New Roman"/>
                    </w:rPr>
                    <m:t>0</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3.089**</w:t>
            </w:r>
          </w:p>
          <w:p w:rsidR="00817EAD" w:rsidRDefault="00817EAD" w:rsidP="00CD1883">
            <w:pPr>
              <w:jc w:val="center"/>
              <w:rPr>
                <w:rFonts w:ascii="Times New Roman" w:hAnsi="Times New Roman" w:cs="Times New Roman"/>
              </w:rPr>
            </w:pPr>
            <w:r>
              <w:rPr>
                <w:rFonts w:ascii="Times New Roman" w:hAnsi="Times New Roman" w:cs="Times New Roman"/>
              </w:rPr>
              <w:t>(1.552)</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1.493*</w:t>
            </w:r>
          </w:p>
          <w:p w:rsidR="00817EAD" w:rsidRDefault="00817EAD" w:rsidP="00CD1883">
            <w:pPr>
              <w:jc w:val="center"/>
              <w:rPr>
                <w:rFonts w:ascii="Times New Roman" w:hAnsi="Times New Roman" w:cs="Times New Roman"/>
              </w:rPr>
            </w:pPr>
            <w:r>
              <w:rPr>
                <w:rFonts w:ascii="Times New Roman" w:hAnsi="Times New Roman" w:cs="Times New Roman"/>
              </w:rPr>
              <w:t>(0.813)</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1.543*</w:t>
            </w:r>
          </w:p>
          <w:p w:rsidR="00817EAD" w:rsidRDefault="00817EAD" w:rsidP="00CD1883">
            <w:pPr>
              <w:jc w:val="center"/>
              <w:rPr>
                <w:rFonts w:ascii="Times New Roman" w:hAnsi="Times New Roman" w:cs="Times New Roman"/>
              </w:rPr>
            </w:pPr>
            <w:r>
              <w:rPr>
                <w:rFonts w:ascii="Times New Roman" w:hAnsi="Times New Roman" w:cs="Times New Roman"/>
              </w:rPr>
              <w:t>(0.933)</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8B6281" w:rsidRDefault="00817EAD" w:rsidP="00CD1883">
            <w:pPr>
              <w:jc w:val="both"/>
              <w:rPr>
                <w:rFonts w:ascii="Times New Roman" w:hAnsi="Times New Roman" w:cs="Times New Roman"/>
                <w:sz w:val="8"/>
                <w:szCs w:val="8"/>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8B6281" w:rsidRDefault="00817EAD" w:rsidP="00CD1883">
            <w:pPr>
              <w:jc w:val="both"/>
              <w:rPr>
                <w:rFonts w:ascii="Times New Roman" w:hAnsi="Times New Roman" w:cs="Times New Roman"/>
                <w:sz w:val="8"/>
                <w:szCs w:val="8"/>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8B6281" w:rsidRDefault="00817EAD" w:rsidP="00CD1883">
            <w:pPr>
              <w:jc w:val="both"/>
              <w:rPr>
                <w:rFonts w:ascii="Times New Roman" w:hAnsi="Times New Roman" w:cs="Times New Roman"/>
                <w:sz w:val="8"/>
                <w:szCs w:val="8"/>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8B6281" w:rsidRDefault="00817EAD" w:rsidP="00CD1883">
            <w:pPr>
              <w:jc w:val="both"/>
              <w:rPr>
                <w:rFonts w:ascii="Times New Roman" w:hAnsi="Times New Roman" w:cs="Times New Roman"/>
                <w:sz w:val="8"/>
                <w:szCs w:val="8"/>
              </w:rPr>
            </w:pP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r>
              <w:rPr>
                <w:rFonts w:ascii="Times New Roman" w:hAnsi="Times New Roman" w:cs="Times New Roman"/>
              </w:rPr>
              <w:t>Observations</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218</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218</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218</w:t>
            </w:r>
          </w:p>
        </w:tc>
      </w:tr>
      <w:tr w:rsidR="00817EAD" w:rsidTr="00CD1883">
        <w:tc>
          <w:tcPr>
            <w:tcW w:w="3085"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both"/>
              <w:rPr>
                <w:rFonts w:ascii="Times New Roman" w:hAnsi="Times New Roman" w:cs="Times New Roman"/>
              </w:rPr>
            </w:pPr>
            <w:r>
              <w:rPr>
                <w:rFonts w:ascii="Times New Roman" w:hAnsi="Times New Roman" w:cs="Times New Roman"/>
              </w:rPr>
              <w:t>R-squared</w:t>
            </w:r>
          </w:p>
        </w:tc>
        <w:tc>
          <w:tcPr>
            <w:tcW w:w="1417"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0.114</w:t>
            </w:r>
          </w:p>
        </w:tc>
        <w:tc>
          <w:tcPr>
            <w:tcW w:w="1417"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0.089</w:t>
            </w:r>
          </w:p>
        </w:tc>
        <w:tc>
          <w:tcPr>
            <w:tcW w:w="1417"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0.043</w:t>
            </w:r>
          </w:p>
        </w:tc>
      </w:tr>
      <w:tr w:rsidR="00817EAD" w:rsidTr="00CD1883">
        <w:tc>
          <w:tcPr>
            <w:tcW w:w="7336" w:type="dxa"/>
            <w:gridSpan w:val="4"/>
            <w:tcBorders>
              <w:top w:val="single" w:sz="12" w:space="0" w:color="auto"/>
              <w:left w:val="single" w:sz="4" w:space="0" w:color="FFFFFF" w:themeColor="background1"/>
              <w:bottom w:val="single" w:sz="4" w:space="0" w:color="FFFFFF" w:themeColor="background1"/>
              <w:right w:val="single" w:sz="4" w:space="0" w:color="FFFFFF" w:themeColor="background1"/>
            </w:tcBorders>
          </w:tcPr>
          <w:p w:rsidR="00817EAD" w:rsidRPr="00AC4872" w:rsidRDefault="00817EAD" w:rsidP="00CD1883">
            <w:pPr>
              <w:rPr>
                <w:rFonts w:ascii="Times New Roman" w:hAnsi="Times New Roman" w:cs="Times New Roman"/>
                <w:sz w:val="18"/>
                <w:szCs w:val="18"/>
              </w:rPr>
            </w:pPr>
            <w:r>
              <w:rPr>
                <w:rFonts w:ascii="Times New Roman" w:hAnsi="Times New Roman" w:cs="Times New Roman"/>
                <w:i/>
                <w:sz w:val="18"/>
                <w:szCs w:val="18"/>
              </w:rPr>
              <w:t>Note:</w:t>
            </w:r>
            <w:r>
              <w:rPr>
                <w:rFonts w:ascii="Times New Roman" w:hAnsi="Times New Roman" w:cs="Times New Roman"/>
                <w:sz w:val="18"/>
                <w:szCs w:val="18"/>
              </w:rPr>
              <w:t xml:space="preserve"> </w:t>
            </w:r>
            <w:r w:rsidRPr="00AF5444">
              <w:rPr>
                <w:rFonts w:ascii="Times New Roman" w:hAnsi="Times New Roman" w:cs="Times New Roman"/>
                <w:sz w:val="18"/>
                <w:szCs w:val="18"/>
              </w:rPr>
              <w:t>Esti</w:t>
            </w:r>
            <w:r>
              <w:rPr>
                <w:rFonts w:ascii="Times New Roman" w:hAnsi="Times New Roman" w:cs="Times New Roman"/>
                <w:sz w:val="18"/>
                <w:szCs w:val="18"/>
              </w:rPr>
              <w:t>mated regression results for with unprotected industries only in the control group, and three ‘treatment’ groups: additional tariff protected, 10 percent tariff protected, and early protected industries</w:t>
            </w:r>
            <w:r w:rsidRPr="00AF5444">
              <w:rPr>
                <w:rFonts w:ascii="Times New Roman" w:hAnsi="Times New Roman" w:cs="Times New Roman"/>
                <w:sz w:val="18"/>
                <w:szCs w:val="18"/>
              </w:rPr>
              <w:t xml:space="preserve">. In </w:t>
            </w:r>
            <w:r>
              <w:rPr>
                <w:rFonts w:ascii="Times New Roman" w:hAnsi="Times New Roman" w:cs="Times New Roman"/>
                <w:sz w:val="18"/>
                <w:szCs w:val="18"/>
              </w:rPr>
              <w:t>column (1)</w:t>
            </w:r>
            <w:r w:rsidRPr="00AF5444">
              <w:rPr>
                <w:rFonts w:ascii="Times New Roman" w:hAnsi="Times New Roman" w:cs="Times New Roman"/>
                <w:sz w:val="18"/>
                <w:szCs w:val="18"/>
              </w:rPr>
              <w:t xml:space="preserve">, the dependent variable is annualised average (real) net output growth. The corresponding dependent variables in </w:t>
            </w:r>
            <w:r>
              <w:rPr>
                <w:rFonts w:ascii="Times New Roman" w:hAnsi="Times New Roman" w:cs="Times New Roman"/>
                <w:sz w:val="18"/>
                <w:szCs w:val="18"/>
              </w:rPr>
              <w:t>columns (2) and (3)</w:t>
            </w:r>
            <w:r w:rsidRPr="00AF5444">
              <w:rPr>
                <w:rFonts w:ascii="Times New Roman" w:hAnsi="Times New Roman" w:cs="Times New Roman"/>
                <w:sz w:val="18"/>
                <w:szCs w:val="18"/>
              </w:rPr>
              <w:t xml:space="preserve"> are annualised average net output </w:t>
            </w:r>
            <w:r w:rsidR="00B9694E">
              <w:rPr>
                <w:rFonts w:ascii="Times New Roman" w:hAnsi="Times New Roman" w:cs="Times New Roman"/>
                <w:sz w:val="18"/>
                <w:szCs w:val="18"/>
              </w:rPr>
              <w:t>per worker</w:t>
            </w:r>
            <w:r w:rsidRPr="00AF5444">
              <w:rPr>
                <w:rFonts w:ascii="Times New Roman" w:hAnsi="Times New Roman" w:cs="Times New Roman"/>
                <w:sz w:val="18"/>
                <w:szCs w:val="18"/>
              </w:rPr>
              <w:t xml:space="preserve"> growth and employment growth respectively. All regressions are estimated by OLS and robust standard errors are reported, where *** p&lt;0.01, ** p&lt;0.05, * p&lt;0.1.</w:t>
            </w:r>
          </w:p>
        </w:tc>
      </w:tr>
    </w:tbl>
    <w:p w:rsidR="00817EAD" w:rsidRPr="00AC4872" w:rsidRDefault="00817EAD" w:rsidP="00817EAD">
      <w:pPr>
        <w:spacing w:after="0" w:line="360" w:lineRule="auto"/>
        <w:ind w:firstLine="567"/>
        <w:jc w:val="both"/>
        <w:rPr>
          <w:rFonts w:ascii="Times New Roman" w:hAnsi="Times New Roman" w:cs="Times New Roman"/>
        </w:rPr>
      </w:pP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To complete this comparison, we also estimate a similar relationship with the early protected industries acting as the control group. The results from this regression are presented in Table </w:t>
      </w:r>
      <w:r w:rsidR="00EE5A83">
        <w:rPr>
          <w:rFonts w:ascii="Times New Roman" w:hAnsi="Times New Roman" w:cs="Times New Roman"/>
        </w:rPr>
        <w:t>B10</w:t>
      </w:r>
      <w:r>
        <w:rPr>
          <w:rFonts w:ascii="Times New Roman" w:hAnsi="Times New Roman" w:cs="Times New Roman"/>
        </w:rPr>
        <w:t xml:space="preserve">. This amounts to viewing the same data from a different angle: estimating the effect of the tariff relative to the group of early protected industries. The two regressions in Tables </w:t>
      </w:r>
      <w:r w:rsidR="00EE5A83">
        <w:rPr>
          <w:rFonts w:ascii="Times New Roman" w:hAnsi="Times New Roman" w:cs="Times New Roman"/>
        </w:rPr>
        <w:t>B9</w:t>
      </w:r>
      <w:r>
        <w:rPr>
          <w:rFonts w:ascii="Times New Roman" w:hAnsi="Times New Roman" w:cs="Times New Roman"/>
        </w:rPr>
        <w:t xml:space="preserve"> and </w:t>
      </w:r>
      <w:r w:rsidR="00EE5A83">
        <w:rPr>
          <w:rFonts w:ascii="Times New Roman" w:hAnsi="Times New Roman" w:cs="Times New Roman"/>
        </w:rPr>
        <w:t>B10</w:t>
      </w:r>
      <w:r>
        <w:rPr>
          <w:rFonts w:ascii="Times New Roman" w:hAnsi="Times New Roman" w:cs="Times New Roman"/>
        </w:rPr>
        <w:t xml:space="preserve"> are equivalent – one can be attained by a linear transformation of the other. This is clear in that the R-squared values in the two models are identical. The output effect of the General Tariff on the additionally protected industries, relative to the early protected industries</w:t>
      </w:r>
      <w:r w:rsidRPr="00EA32DF">
        <w:rPr>
          <w:rFonts w:ascii="Times New Roman" w:hAnsi="Times New Roman" w:cs="Times New Roman"/>
        </w:rPr>
        <w:t>, is clearly large and well-identified in the 1920s</w:t>
      </w:r>
      <w:r>
        <w:rPr>
          <w:rFonts w:ascii="Times New Roman" w:hAnsi="Times New Roman" w:cs="Times New Roman"/>
        </w:rPr>
        <w:t xml:space="preserve"> (in terms of relative decline) and the 1930s (in terms of relative improvement). The productivity effect of the tariff on additionally protected industries, relative to the early protected group, is identified as a significant loss during the 1920s. Although the difference is not statistically different in the 1930s, the results suggest that, relative to the early protected industries, the productivity position of additionally protected industries underwent a relative improvement during the 1930s, as the relative decline of this group – seen in the 1920s – abates. These two angles also offer an insight on the three-group results in that the three-group classification captures the average of the effects presented in Tables </w:t>
      </w:r>
      <w:r w:rsidR="00EE5A83">
        <w:rPr>
          <w:rFonts w:ascii="Times New Roman" w:hAnsi="Times New Roman" w:cs="Times New Roman"/>
        </w:rPr>
        <w:t>B9</w:t>
      </w:r>
      <w:r>
        <w:rPr>
          <w:rFonts w:ascii="Times New Roman" w:hAnsi="Times New Roman" w:cs="Times New Roman"/>
        </w:rPr>
        <w:t xml:space="preserve"> and </w:t>
      </w:r>
      <w:r w:rsidR="00EE5A83">
        <w:rPr>
          <w:rFonts w:ascii="Times New Roman" w:hAnsi="Times New Roman" w:cs="Times New Roman"/>
        </w:rPr>
        <w:t>B10</w:t>
      </w:r>
      <w:r>
        <w:rPr>
          <w:rFonts w:ascii="Times New Roman" w:hAnsi="Times New Roman" w:cs="Times New Roman"/>
        </w:rPr>
        <w:t>.</w:t>
      </w:r>
    </w:p>
    <w:p w:rsidR="00817EAD" w:rsidRDefault="00817EAD" w:rsidP="00817EAD">
      <w:pPr>
        <w:spacing w:after="0" w:line="360" w:lineRule="auto"/>
        <w:ind w:firstLine="567"/>
        <w:jc w:val="both"/>
        <w:rPr>
          <w:rFonts w:ascii="Times New Roman" w:hAnsi="Times New Roman" w:cs="Times New Roman"/>
        </w:rPr>
      </w:pPr>
    </w:p>
    <w:p w:rsidR="00817EAD" w:rsidRDefault="00817EAD" w:rsidP="00817EAD">
      <w:pPr>
        <w:spacing w:line="240" w:lineRule="auto"/>
        <w:jc w:val="both"/>
        <w:rPr>
          <w:rFonts w:ascii="Times New Roman" w:hAnsi="Times New Roman" w:cs="Times New Roman"/>
        </w:rPr>
      </w:pPr>
      <w:r>
        <w:rPr>
          <w:rFonts w:ascii="Times New Roman" w:hAnsi="Times New Roman" w:cs="Times New Roman"/>
          <w:b/>
        </w:rPr>
        <w:t xml:space="preserve">Table </w:t>
      </w:r>
      <w:r w:rsidR="005464AF">
        <w:rPr>
          <w:rFonts w:ascii="Times New Roman" w:hAnsi="Times New Roman" w:cs="Times New Roman"/>
          <w:b/>
        </w:rPr>
        <w:t>B10</w:t>
      </w:r>
      <w:r>
        <w:rPr>
          <w:rFonts w:ascii="Times New Roman" w:hAnsi="Times New Roman" w:cs="Times New Roman"/>
          <w:b/>
        </w:rPr>
        <w:t>: Difference-in-Difference Results with only Early Industries in the Control Group</w:t>
      </w:r>
    </w:p>
    <w:tbl>
      <w:tblPr>
        <w:tblStyle w:val="TableGrid"/>
        <w:tblW w:w="0" w:type="auto"/>
        <w:tblLook w:val="04A0" w:firstRow="1" w:lastRow="0" w:firstColumn="1" w:lastColumn="0" w:noHBand="0" w:noVBand="1"/>
      </w:tblPr>
      <w:tblGrid>
        <w:gridCol w:w="3085"/>
        <w:gridCol w:w="1417"/>
        <w:gridCol w:w="1417"/>
        <w:gridCol w:w="1417"/>
      </w:tblGrid>
      <w:tr w:rsidR="00817EAD" w:rsidTr="00CD1883">
        <w:tc>
          <w:tcPr>
            <w:tcW w:w="3085" w:type="dxa"/>
            <w:tcBorders>
              <w:top w:val="single" w:sz="12" w:space="0" w:color="auto"/>
              <w:left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p>
        </w:tc>
        <w:tc>
          <w:tcPr>
            <w:tcW w:w="1417" w:type="dxa"/>
            <w:tcBorders>
              <w:top w:val="single" w:sz="12" w:space="0" w:color="auto"/>
              <w:left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w:t>
            </w:r>
            <w:r>
              <w:rPr>
                <w:rFonts w:ascii="Times New Roman" w:hAnsi="Times New Roman" w:cs="Times New Roman"/>
              </w:rPr>
              <w:br/>
              <w:t>Net Output Growth</w:t>
            </w:r>
          </w:p>
        </w:tc>
        <w:tc>
          <w:tcPr>
            <w:tcW w:w="1417" w:type="dxa"/>
            <w:tcBorders>
              <w:top w:val="single" w:sz="12" w:space="0" w:color="auto"/>
              <w:left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w:t>
            </w:r>
          </w:p>
          <w:p w:rsidR="00817EAD" w:rsidRDefault="00817EAD" w:rsidP="00CD1883">
            <w:pPr>
              <w:jc w:val="center"/>
              <w:rPr>
                <w:rFonts w:ascii="Times New Roman" w:hAnsi="Times New Roman" w:cs="Times New Roman"/>
              </w:rPr>
            </w:pPr>
            <w:r>
              <w:rPr>
                <w:rFonts w:ascii="Times New Roman" w:hAnsi="Times New Roman" w:cs="Times New Roman"/>
              </w:rPr>
              <w:t xml:space="preserve">Net Output </w:t>
            </w:r>
            <w:r w:rsidR="00B9694E">
              <w:rPr>
                <w:rFonts w:ascii="Times New Roman" w:hAnsi="Times New Roman" w:cs="Times New Roman"/>
              </w:rPr>
              <w:t>per worker</w:t>
            </w:r>
            <w:r>
              <w:rPr>
                <w:rFonts w:ascii="Times New Roman" w:hAnsi="Times New Roman" w:cs="Times New Roman"/>
              </w:rPr>
              <w:t xml:space="preserve"> Growth</w:t>
            </w:r>
          </w:p>
        </w:tc>
        <w:tc>
          <w:tcPr>
            <w:tcW w:w="1417" w:type="dxa"/>
            <w:tcBorders>
              <w:top w:val="single" w:sz="12" w:space="0" w:color="auto"/>
              <w:left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(3)</w:t>
            </w:r>
          </w:p>
          <w:p w:rsidR="00817EAD" w:rsidRDefault="00817EAD" w:rsidP="00CD1883">
            <w:pPr>
              <w:jc w:val="center"/>
              <w:rPr>
                <w:rFonts w:ascii="Times New Roman" w:hAnsi="Times New Roman" w:cs="Times New Roman"/>
              </w:rPr>
            </w:pPr>
            <w:r>
              <w:rPr>
                <w:rFonts w:ascii="Times New Roman" w:hAnsi="Times New Roman" w:cs="Times New Roman"/>
              </w:rPr>
              <w:t>Employment Growth</w:t>
            </w:r>
          </w:p>
        </w:tc>
      </w:tr>
      <w:tr w:rsidR="00817EAD" w:rsidTr="00CD1883">
        <w:tc>
          <w:tcPr>
            <w:tcW w:w="3085"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D-in-D for &gt;10%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δ</m:t>
                      </m:r>
                    </m:e>
                  </m:acc>
                </m:e>
                <m:sub>
                  <m:r>
                    <w:rPr>
                      <w:rFonts w:ascii="Cambria Math" w:hAnsi="Cambria Math" w:cs="Times New Roman"/>
                    </w:rPr>
                    <m:t>add</m:t>
                  </m:r>
                </m:sub>
              </m:sSub>
            </m:oMath>
          </w:p>
        </w:tc>
        <w:tc>
          <w:tcPr>
            <w:tcW w:w="1417"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4.033*</w:t>
            </w:r>
          </w:p>
          <w:p w:rsidR="00817EAD" w:rsidRDefault="00817EAD" w:rsidP="00CD1883">
            <w:pPr>
              <w:jc w:val="center"/>
              <w:rPr>
                <w:rFonts w:ascii="Times New Roman" w:hAnsi="Times New Roman" w:cs="Times New Roman"/>
              </w:rPr>
            </w:pPr>
            <w:r>
              <w:rPr>
                <w:rFonts w:ascii="Times New Roman" w:hAnsi="Times New Roman" w:cs="Times New Roman"/>
              </w:rPr>
              <w:t>(2.080)</w:t>
            </w:r>
          </w:p>
        </w:tc>
        <w:tc>
          <w:tcPr>
            <w:tcW w:w="1417"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2.310</w:t>
            </w:r>
          </w:p>
          <w:p w:rsidR="00817EAD" w:rsidRDefault="00817EAD" w:rsidP="00CD1883">
            <w:pPr>
              <w:jc w:val="center"/>
              <w:rPr>
                <w:rFonts w:ascii="Times New Roman" w:hAnsi="Times New Roman" w:cs="Times New Roman"/>
              </w:rPr>
            </w:pPr>
            <w:r>
              <w:rPr>
                <w:rFonts w:ascii="Times New Roman" w:hAnsi="Times New Roman" w:cs="Times New Roman"/>
              </w:rPr>
              <w:t>(1.567)</w:t>
            </w:r>
          </w:p>
        </w:tc>
        <w:tc>
          <w:tcPr>
            <w:tcW w:w="1417"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1.669</w:t>
            </w:r>
          </w:p>
          <w:p w:rsidR="00817EAD" w:rsidRDefault="00817EAD" w:rsidP="00CD1883">
            <w:pPr>
              <w:jc w:val="center"/>
              <w:rPr>
                <w:rFonts w:ascii="Times New Roman" w:hAnsi="Times New Roman" w:cs="Times New Roman"/>
              </w:rPr>
            </w:pPr>
            <w:r>
              <w:rPr>
                <w:rFonts w:ascii="Times New Roman" w:hAnsi="Times New Roman" w:cs="Times New Roman"/>
              </w:rPr>
              <w:t>(1.284)</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D-in-D for 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δ</m:t>
                      </m:r>
                    </m:e>
                  </m:acc>
                </m:e>
                <m:sub>
                  <m:r>
                    <w:rPr>
                      <w:rFonts w:ascii="Cambria Math" w:hAnsi="Cambria Math" w:cs="Times New Roman"/>
                    </w:rPr>
                    <m:t>ten</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1.885</w:t>
            </w:r>
          </w:p>
          <w:p w:rsidR="00817EAD" w:rsidRDefault="00817EAD" w:rsidP="00CD1883">
            <w:pPr>
              <w:jc w:val="center"/>
              <w:rPr>
                <w:rFonts w:ascii="Times New Roman" w:hAnsi="Times New Roman" w:cs="Times New Roman"/>
              </w:rPr>
            </w:pPr>
            <w:r>
              <w:rPr>
                <w:rFonts w:ascii="Times New Roman" w:hAnsi="Times New Roman" w:cs="Times New Roman"/>
              </w:rPr>
              <w:t>(3.023)</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-0.083</w:t>
            </w:r>
          </w:p>
          <w:p w:rsidR="00817EAD" w:rsidRDefault="00817EAD" w:rsidP="00CD1883">
            <w:pPr>
              <w:jc w:val="center"/>
              <w:rPr>
                <w:rFonts w:ascii="Times New Roman" w:hAnsi="Times New Roman" w:cs="Times New Roman"/>
              </w:rPr>
            </w:pPr>
            <w:r>
              <w:rPr>
                <w:rFonts w:ascii="Times New Roman" w:hAnsi="Times New Roman" w:cs="Times New Roman"/>
              </w:rPr>
              <w:t>(2.002)</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1.936</w:t>
            </w:r>
          </w:p>
          <w:p w:rsidR="00817EAD" w:rsidRDefault="00817EAD" w:rsidP="00CD1883">
            <w:pPr>
              <w:jc w:val="center"/>
              <w:rPr>
                <w:rFonts w:ascii="Times New Roman" w:hAnsi="Times New Roman" w:cs="Times New Roman"/>
              </w:rPr>
            </w:pPr>
            <w:r>
              <w:rPr>
                <w:rFonts w:ascii="Times New Roman" w:hAnsi="Times New Roman" w:cs="Times New Roman"/>
              </w:rPr>
              <w:t>(2.150)</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D-in-D for Unprotected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δ</m:t>
                      </m:r>
                    </m:e>
                  </m:acc>
                </m:e>
                <m:sub>
                  <m:r>
                    <w:rPr>
                      <w:rFonts w:ascii="Cambria Math" w:hAnsi="Cambria Math" w:cs="Times New Roman"/>
                    </w:rPr>
                    <m:t>unp</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-1.740</w:t>
            </w:r>
          </w:p>
          <w:p w:rsidR="00817EAD" w:rsidRDefault="00817EAD" w:rsidP="00CD1883">
            <w:pPr>
              <w:jc w:val="center"/>
              <w:rPr>
                <w:rFonts w:ascii="Times New Roman" w:hAnsi="Times New Roman" w:cs="Times New Roman"/>
              </w:rPr>
            </w:pPr>
            <w:r>
              <w:rPr>
                <w:rFonts w:ascii="Times New Roman" w:hAnsi="Times New Roman" w:cs="Times New Roman"/>
              </w:rPr>
              <w:t>(3.356)</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-1.101</w:t>
            </w:r>
          </w:p>
          <w:p w:rsidR="00817EAD" w:rsidRDefault="00817EAD" w:rsidP="00CD1883">
            <w:pPr>
              <w:jc w:val="center"/>
              <w:rPr>
                <w:rFonts w:ascii="Times New Roman" w:hAnsi="Times New Roman" w:cs="Times New Roman"/>
              </w:rPr>
            </w:pPr>
            <w:r>
              <w:rPr>
                <w:rFonts w:ascii="Times New Roman" w:hAnsi="Times New Roman" w:cs="Times New Roman"/>
              </w:rPr>
              <w:t>(2.331)</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-0.577</w:t>
            </w:r>
          </w:p>
          <w:p w:rsidR="00817EAD" w:rsidRDefault="00817EAD" w:rsidP="00CD1883">
            <w:pPr>
              <w:jc w:val="center"/>
              <w:rPr>
                <w:rFonts w:ascii="Times New Roman" w:hAnsi="Times New Roman" w:cs="Times New Roman"/>
              </w:rPr>
            </w:pPr>
            <w:r>
              <w:rPr>
                <w:rFonts w:ascii="Times New Roman" w:hAnsi="Times New Roman" w:cs="Times New Roman"/>
              </w:rPr>
              <w:t>(2.190)</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Dummy Variable for &gt;10%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β</m:t>
                      </m:r>
                    </m:e>
                  </m:acc>
                </m:e>
                <m:sub>
                  <m:r>
                    <w:rPr>
                      <w:rFonts w:ascii="Cambria Math" w:hAnsi="Cambria Math" w:cs="Times New Roman"/>
                    </w:rPr>
                    <m:t>add</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-3.394***</w:t>
            </w:r>
          </w:p>
          <w:p w:rsidR="00817EAD" w:rsidRDefault="00817EAD" w:rsidP="00CD1883">
            <w:pPr>
              <w:jc w:val="center"/>
              <w:rPr>
                <w:rFonts w:ascii="Times New Roman" w:hAnsi="Times New Roman" w:cs="Times New Roman"/>
              </w:rPr>
            </w:pPr>
            <w:r>
              <w:rPr>
                <w:rFonts w:ascii="Times New Roman" w:hAnsi="Times New Roman" w:cs="Times New Roman"/>
              </w:rPr>
              <w:t>(1.269)</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-2.108**</w:t>
            </w:r>
          </w:p>
          <w:p w:rsidR="00817EAD" w:rsidRDefault="00817EAD" w:rsidP="00CD1883">
            <w:pPr>
              <w:jc w:val="center"/>
              <w:rPr>
                <w:rFonts w:ascii="Times New Roman" w:hAnsi="Times New Roman" w:cs="Times New Roman"/>
              </w:rPr>
            </w:pPr>
            <w:r>
              <w:rPr>
                <w:rFonts w:ascii="Times New Roman" w:hAnsi="Times New Roman" w:cs="Times New Roman"/>
              </w:rPr>
              <w:t>(0.917)</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-1.217</w:t>
            </w:r>
          </w:p>
          <w:p w:rsidR="00817EAD" w:rsidRDefault="00817EAD" w:rsidP="00CD1883">
            <w:pPr>
              <w:jc w:val="center"/>
              <w:rPr>
                <w:rFonts w:ascii="Times New Roman" w:hAnsi="Times New Roman" w:cs="Times New Roman"/>
              </w:rPr>
            </w:pPr>
            <w:r>
              <w:rPr>
                <w:rFonts w:ascii="Times New Roman" w:hAnsi="Times New Roman" w:cs="Times New Roman"/>
              </w:rPr>
              <w:t>(0.807)</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Dummy Variable for 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β</m:t>
                      </m:r>
                    </m:e>
                  </m:acc>
                </m:e>
                <m:sub>
                  <m:r>
                    <w:rPr>
                      <w:rFonts w:ascii="Cambria Math" w:hAnsi="Cambria Math" w:cs="Times New Roman"/>
                    </w:rPr>
                    <m:t>ten</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-1.886</w:t>
            </w:r>
          </w:p>
          <w:p w:rsidR="00817EAD" w:rsidRDefault="00817EAD" w:rsidP="00CD1883">
            <w:pPr>
              <w:jc w:val="center"/>
              <w:rPr>
                <w:rFonts w:ascii="Times New Roman" w:hAnsi="Times New Roman" w:cs="Times New Roman"/>
              </w:rPr>
            </w:pPr>
            <w:r>
              <w:rPr>
                <w:rFonts w:ascii="Times New Roman" w:hAnsi="Times New Roman" w:cs="Times New Roman"/>
              </w:rPr>
              <w:t>(2.075)</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-0.801</w:t>
            </w:r>
          </w:p>
          <w:p w:rsidR="00817EAD" w:rsidRDefault="00817EAD" w:rsidP="00CD1883">
            <w:pPr>
              <w:jc w:val="center"/>
              <w:rPr>
                <w:rFonts w:ascii="Times New Roman" w:hAnsi="Times New Roman" w:cs="Times New Roman"/>
              </w:rPr>
            </w:pPr>
            <w:r>
              <w:rPr>
                <w:rFonts w:ascii="Times New Roman" w:hAnsi="Times New Roman" w:cs="Times New Roman"/>
              </w:rPr>
              <w:t>(1.312)</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-1.044</w:t>
            </w:r>
          </w:p>
          <w:p w:rsidR="00817EAD" w:rsidRDefault="00817EAD" w:rsidP="00CD1883">
            <w:pPr>
              <w:jc w:val="center"/>
              <w:rPr>
                <w:rFonts w:ascii="Times New Roman" w:hAnsi="Times New Roman" w:cs="Times New Roman"/>
              </w:rPr>
            </w:pPr>
            <w:r>
              <w:rPr>
                <w:rFonts w:ascii="Times New Roman" w:hAnsi="Times New Roman" w:cs="Times New Roman"/>
              </w:rPr>
              <w:t>(1.451)</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Dummy Variable for Unprotected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β</m:t>
                      </m:r>
                    </m:e>
                  </m:acc>
                </m:e>
                <m:sub>
                  <m:r>
                    <w:rPr>
                      <w:rFonts w:ascii="Cambria Math" w:hAnsi="Cambria Math" w:cs="Times New Roman"/>
                    </w:rPr>
                    <m:t>unp</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-1.456</w:t>
            </w:r>
          </w:p>
          <w:p w:rsidR="00817EAD" w:rsidRDefault="00817EAD" w:rsidP="00CD1883">
            <w:pPr>
              <w:jc w:val="center"/>
              <w:rPr>
                <w:rFonts w:ascii="Times New Roman" w:hAnsi="Times New Roman" w:cs="Times New Roman"/>
              </w:rPr>
            </w:pPr>
            <w:r>
              <w:rPr>
                <w:rFonts w:ascii="Times New Roman" w:hAnsi="Times New Roman" w:cs="Times New Roman"/>
              </w:rPr>
              <w:t>(1.954)</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-1.954</w:t>
            </w:r>
          </w:p>
          <w:p w:rsidR="00817EAD" w:rsidRDefault="00817EAD" w:rsidP="00CD1883">
            <w:pPr>
              <w:jc w:val="center"/>
              <w:rPr>
                <w:rFonts w:ascii="Times New Roman" w:hAnsi="Times New Roman" w:cs="Times New Roman"/>
              </w:rPr>
            </w:pPr>
            <w:r>
              <w:rPr>
                <w:rFonts w:ascii="Times New Roman" w:hAnsi="Times New Roman" w:cs="Times New Roman"/>
              </w:rPr>
              <w:t>(1.186)</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0.495</w:t>
            </w:r>
          </w:p>
          <w:p w:rsidR="00817EAD" w:rsidRDefault="00817EAD" w:rsidP="00CD1883">
            <w:pPr>
              <w:jc w:val="center"/>
              <w:rPr>
                <w:rFonts w:ascii="Times New Roman" w:hAnsi="Times New Roman" w:cs="Times New Roman"/>
              </w:rPr>
            </w:pPr>
            <w:r>
              <w:rPr>
                <w:rFonts w:ascii="Times New Roman" w:hAnsi="Times New Roman" w:cs="Times New Roman"/>
              </w:rPr>
              <w:t>(1.168)</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Dummy Variable for 1930-35,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α</m:t>
                      </m:r>
                    </m:e>
                  </m:acc>
                </m:e>
                <m:sub>
                  <m:r>
                    <w:rPr>
                      <w:rFonts w:ascii="Cambria Math" w:hAnsi="Cambria Math" w:cs="Times New Roman"/>
                    </w:rPr>
                    <m:t>1</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0.451</w:t>
            </w:r>
          </w:p>
          <w:p w:rsidR="00817EAD" w:rsidRDefault="00817EAD" w:rsidP="00CD1883">
            <w:pPr>
              <w:jc w:val="center"/>
              <w:rPr>
                <w:rFonts w:ascii="Times New Roman" w:hAnsi="Times New Roman" w:cs="Times New Roman"/>
              </w:rPr>
            </w:pPr>
            <w:r>
              <w:rPr>
                <w:rFonts w:ascii="Times New Roman" w:hAnsi="Times New Roman" w:cs="Times New Roman"/>
              </w:rPr>
              <w:t>(1.957)</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0.376</w:t>
            </w:r>
          </w:p>
          <w:p w:rsidR="00817EAD" w:rsidRDefault="00817EAD" w:rsidP="00CD1883">
            <w:pPr>
              <w:jc w:val="center"/>
              <w:rPr>
                <w:rFonts w:ascii="Times New Roman" w:hAnsi="Times New Roman" w:cs="Times New Roman"/>
              </w:rPr>
            </w:pPr>
            <w:r>
              <w:rPr>
                <w:rFonts w:ascii="Times New Roman" w:hAnsi="Times New Roman" w:cs="Times New Roman"/>
              </w:rPr>
              <w:t>(1.465)</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0.072</w:t>
            </w:r>
          </w:p>
          <w:p w:rsidR="00817EAD" w:rsidRDefault="00817EAD" w:rsidP="00CD1883">
            <w:pPr>
              <w:jc w:val="center"/>
              <w:rPr>
                <w:rFonts w:ascii="Times New Roman" w:hAnsi="Times New Roman" w:cs="Times New Roman"/>
              </w:rPr>
            </w:pPr>
            <w:r>
              <w:rPr>
                <w:rFonts w:ascii="Times New Roman" w:hAnsi="Times New Roman" w:cs="Times New Roman"/>
              </w:rPr>
              <w:t>(1.156)</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rPr>
                <w:rFonts w:ascii="Times New Roman" w:hAnsi="Times New Roman" w:cs="Times New Roman"/>
              </w:rPr>
            </w:pPr>
            <w:r>
              <w:rPr>
                <w:rFonts w:ascii="Times New Roman" w:hAnsi="Times New Roman" w:cs="Times New Roman"/>
              </w:rPr>
              <w:t xml:space="preserve">Constant,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α</m:t>
                      </m:r>
                    </m:e>
                  </m:acc>
                </m:e>
                <m:sub>
                  <m:r>
                    <w:rPr>
                      <w:rFonts w:ascii="Cambria Math" w:hAnsi="Cambria Math" w:cs="Times New Roman"/>
                    </w:rPr>
                    <m:t>0</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4.545***</w:t>
            </w:r>
          </w:p>
          <w:p w:rsidR="00817EAD" w:rsidRDefault="00817EAD" w:rsidP="00CD1883">
            <w:pPr>
              <w:jc w:val="center"/>
              <w:rPr>
                <w:rFonts w:ascii="Times New Roman" w:hAnsi="Times New Roman" w:cs="Times New Roman"/>
              </w:rPr>
            </w:pPr>
            <w:r>
              <w:rPr>
                <w:rFonts w:ascii="Times New Roman" w:hAnsi="Times New Roman" w:cs="Times New Roman"/>
              </w:rPr>
              <w:t>(1.187)</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3.447***</w:t>
            </w:r>
          </w:p>
          <w:p w:rsidR="00817EAD" w:rsidRDefault="00817EAD" w:rsidP="00CD1883">
            <w:pPr>
              <w:jc w:val="center"/>
              <w:rPr>
                <w:rFonts w:ascii="Times New Roman" w:hAnsi="Times New Roman" w:cs="Times New Roman"/>
              </w:rPr>
            </w:pPr>
            <w:r>
              <w:rPr>
                <w:rFonts w:ascii="Times New Roman" w:hAnsi="Times New Roman" w:cs="Times New Roman"/>
              </w:rPr>
              <w:t>(0.864)</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1.048</w:t>
            </w:r>
          </w:p>
          <w:p w:rsidR="00817EAD" w:rsidRDefault="00817EAD" w:rsidP="00CD1883">
            <w:pPr>
              <w:jc w:val="center"/>
              <w:rPr>
                <w:rFonts w:ascii="Times New Roman" w:hAnsi="Times New Roman" w:cs="Times New Roman"/>
              </w:rPr>
            </w:pPr>
            <w:r>
              <w:rPr>
                <w:rFonts w:ascii="Times New Roman" w:hAnsi="Times New Roman" w:cs="Times New Roman"/>
              </w:rPr>
              <w:t>(0.702)</w:t>
            </w: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8B6281" w:rsidRDefault="00817EAD" w:rsidP="00CD1883">
            <w:pPr>
              <w:jc w:val="both"/>
              <w:rPr>
                <w:rFonts w:ascii="Times New Roman" w:hAnsi="Times New Roman" w:cs="Times New Roman"/>
                <w:sz w:val="8"/>
                <w:szCs w:val="8"/>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8B6281" w:rsidRDefault="00817EAD" w:rsidP="00CD1883">
            <w:pPr>
              <w:jc w:val="both"/>
              <w:rPr>
                <w:rFonts w:ascii="Times New Roman" w:hAnsi="Times New Roman" w:cs="Times New Roman"/>
                <w:sz w:val="8"/>
                <w:szCs w:val="8"/>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8B6281" w:rsidRDefault="00817EAD" w:rsidP="00CD1883">
            <w:pPr>
              <w:jc w:val="both"/>
              <w:rPr>
                <w:rFonts w:ascii="Times New Roman" w:hAnsi="Times New Roman" w:cs="Times New Roman"/>
                <w:sz w:val="8"/>
                <w:szCs w:val="8"/>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8B6281" w:rsidRDefault="00817EAD" w:rsidP="00CD1883">
            <w:pPr>
              <w:jc w:val="both"/>
              <w:rPr>
                <w:rFonts w:ascii="Times New Roman" w:hAnsi="Times New Roman" w:cs="Times New Roman"/>
                <w:sz w:val="8"/>
                <w:szCs w:val="8"/>
              </w:rPr>
            </w:pPr>
          </w:p>
        </w:tc>
      </w:tr>
      <w:tr w:rsidR="00817EAD" w:rsidTr="00CD1883">
        <w:tc>
          <w:tcPr>
            <w:tcW w:w="30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both"/>
              <w:rPr>
                <w:rFonts w:ascii="Times New Roman" w:hAnsi="Times New Roman" w:cs="Times New Roman"/>
              </w:rPr>
            </w:pPr>
            <w:r>
              <w:rPr>
                <w:rFonts w:ascii="Times New Roman" w:hAnsi="Times New Roman" w:cs="Times New Roman"/>
              </w:rPr>
              <w:t>Observations</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218</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218</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218</w:t>
            </w:r>
          </w:p>
        </w:tc>
      </w:tr>
      <w:tr w:rsidR="00817EAD" w:rsidTr="00CD1883">
        <w:tc>
          <w:tcPr>
            <w:tcW w:w="3085"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both"/>
              <w:rPr>
                <w:rFonts w:ascii="Times New Roman" w:hAnsi="Times New Roman" w:cs="Times New Roman"/>
              </w:rPr>
            </w:pPr>
            <w:r>
              <w:rPr>
                <w:rFonts w:ascii="Times New Roman" w:hAnsi="Times New Roman" w:cs="Times New Roman"/>
              </w:rPr>
              <w:t>R-squared</w:t>
            </w:r>
          </w:p>
        </w:tc>
        <w:tc>
          <w:tcPr>
            <w:tcW w:w="1417"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0.114</w:t>
            </w:r>
          </w:p>
        </w:tc>
        <w:tc>
          <w:tcPr>
            <w:tcW w:w="1417"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0.089</w:t>
            </w:r>
          </w:p>
        </w:tc>
        <w:tc>
          <w:tcPr>
            <w:tcW w:w="1417"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Default="00817EAD" w:rsidP="00CD1883">
            <w:pPr>
              <w:jc w:val="center"/>
              <w:rPr>
                <w:rFonts w:ascii="Times New Roman" w:hAnsi="Times New Roman" w:cs="Times New Roman"/>
              </w:rPr>
            </w:pPr>
            <w:r>
              <w:rPr>
                <w:rFonts w:ascii="Times New Roman" w:hAnsi="Times New Roman" w:cs="Times New Roman"/>
              </w:rPr>
              <w:t>0.043</w:t>
            </w:r>
          </w:p>
        </w:tc>
      </w:tr>
      <w:tr w:rsidR="00817EAD" w:rsidTr="00CD1883">
        <w:tc>
          <w:tcPr>
            <w:tcW w:w="7336" w:type="dxa"/>
            <w:gridSpan w:val="4"/>
            <w:tcBorders>
              <w:top w:val="single" w:sz="12" w:space="0" w:color="auto"/>
              <w:left w:val="single" w:sz="4" w:space="0" w:color="FFFFFF" w:themeColor="background1"/>
              <w:bottom w:val="single" w:sz="4" w:space="0" w:color="FFFFFF" w:themeColor="background1"/>
              <w:right w:val="single" w:sz="4" w:space="0" w:color="FFFFFF" w:themeColor="background1"/>
            </w:tcBorders>
          </w:tcPr>
          <w:p w:rsidR="00817EAD" w:rsidRPr="00AC4872" w:rsidRDefault="00817EAD" w:rsidP="00CD1883">
            <w:pPr>
              <w:rPr>
                <w:rFonts w:ascii="Times New Roman" w:hAnsi="Times New Roman" w:cs="Times New Roman"/>
                <w:sz w:val="18"/>
                <w:szCs w:val="18"/>
              </w:rPr>
            </w:pPr>
            <w:r>
              <w:rPr>
                <w:rFonts w:ascii="Times New Roman" w:hAnsi="Times New Roman" w:cs="Times New Roman"/>
                <w:i/>
                <w:sz w:val="18"/>
                <w:szCs w:val="18"/>
              </w:rPr>
              <w:t>Note:</w:t>
            </w:r>
            <w:r>
              <w:rPr>
                <w:rFonts w:ascii="Times New Roman" w:hAnsi="Times New Roman" w:cs="Times New Roman"/>
                <w:sz w:val="18"/>
                <w:szCs w:val="18"/>
              </w:rPr>
              <w:t xml:space="preserve"> </w:t>
            </w:r>
            <w:r w:rsidRPr="00AF5444">
              <w:rPr>
                <w:rFonts w:ascii="Times New Roman" w:hAnsi="Times New Roman" w:cs="Times New Roman"/>
                <w:sz w:val="18"/>
                <w:szCs w:val="18"/>
              </w:rPr>
              <w:t>Esti</w:t>
            </w:r>
            <w:r>
              <w:rPr>
                <w:rFonts w:ascii="Times New Roman" w:hAnsi="Times New Roman" w:cs="Times New Roman"/>
                <w:sz w:val="18"/>
                <w:szCs w:val="18"/>
              </w:rPr>
              <w:t>mated regression results for with unprotected industries only in the control group, and three ‘treatment’ groups: additional tariff protected, 10 percent tariff protected, and early protected industries</w:t>
            </w:r>
            <w:r w:rsidRPr="00AF5444">
              <w:rPr>
                <w:rFonts w:ascii="Times New Roman" w:hAnsi="Times New Roman" w:cs="Times New Roman"/>
                <w:sz w:val="18"/>
                <w:szCs w:val="18"/>
              </w:rPr>
              <w:t xml:space="preserve">. In </w:t>
            </w:r>
            <w:r>
              <w:rPr>
                <w:rFonts w:ascii="Times New Roman" w:hAnsi="Times New Roman" w:cs="Times New Roman"/>
                <w:sz w:val="18"/>
                <w:szCs w:val="18"/>
              </w:rPr>
              <w:t>column (1)</w:t>
            </w:r>
            <w:r w:rsidRPr="00AF5444">
              <w:rPr>
                <w:rFonts w:ascii="Times New Roman" w:hAnsi="Times New Roman" w:cs="Times New Roman"/>
                <w:sz w:val="18"/>
                <w:szCs w:val="18"/>
              </w:rPr>
              <w:t xml:space="preserve">, the dependent variable is annualised average (real) net output growth. The corresponding dependent variables in </w:t>
            </w:r>
            <w:r>
              <w:rPr>
                <w:rFonts w:ascii="Times New Roman" w:hAnsi="Times New Roman" w:cs="Times New Roman"/>
                <w:sz w:val="18"/>
                <w:szCs w:val="18"/>
              </w:rPr>
              <w:t>columns (2) and (3)</w:t>
            </w:r>
            <w:r w:rsidRPr="00AF5444">
              <w:rPr>
                <w:rFonts w:ascii="Times New Roman" w:hAnsi="Times New Roman" w:cs="Times New Roman"/>
                <w:sz w:val="18"/>
                <w:szCs w:val="18"/>
              </w:rPr>
              <w:t xml:space="preserve"> are annualised average net output </w:t>
            </w:r>
            <w:r w:rsidR="00B9694E">
              <w:rPr>
                <w:rFonts w:ascii="Times New Roman" w:hAnsi="Times New Roman" w:cs="Times New Roman"/>
                <w:sz w:val="18"/>
                <w:szCs w:val="18"/>
              </w:rPr>
              <w:t>per worker</w:t>
            </w:r>
            <w:r w:rsidRPr="00AF5444">
              <w:rPr>
                <w:rFonts w:ascii="Times New Roman" w:hAnsi="Times New Roman" w:cs="Times New Roman"/>
                <w:sz w:val="18"/>
                <w:szCs w:val="18"/>
              </w:rPr>
              <w:t xml:space="preserve"> growth and employment growth respectively. All regressions are estimated by OLS and robust standard errors are reported, where *** p&lt;0.01, ** p&lt;0.05, * p&lt;0.1.</w:t>
            </w:r>
          </w:p>
        </w:tc>
      </w:tr>
    </w:tbl>
    <w:p w:rsidR="00817EAD" w:rsidRDefault="00817EAD" w:rsidP="00817EAD">
      <w:pPr>
        <w:spacing w:after="0" w:line="360" w:lineRule="auto"/>
        <w:jc w:val="both"/>
        <w:rPr>
          <w:rFonts w:ascii="Times New Roman" w:hAnsi="Times New Roman" w:cs="Times New Roman"/>
        </w:rPr>
      </w:pPr>
    </w:p>
    <w:p w:rsidR="00817EAD" w:rsidRDefault="005464AF" w:rsidP="00817EAD">
      <w:pPr>
        <w:spacing w:after="0" w:line="360" w:lineRule="auto"/>
        <w:jc w:val="both"/>
        <w:rPr>
          <w:rFonts w:ascii="Times New Roman" w:hAnsi="Times New Roman" w:cs="Times New Roman"/>
        </w:rPr>
      </w:pPr>
      <w:r>
        <w:rPr>
          <w:rFonts w:ascii="Times New Roman" w:hAnsi="Times New Roman" w:cs="Times New Roman"/>
          <w:b/>
        </w:rPr>
        <w:t>B</w:t>
      </w:r>
      <w:r w:rsidR="00817EAD">
        <w:rPr>
          <w:rFonts w:ascii="Times New Roman" w:hAnsi="Times New Roman" w:cs="Times New Roman"/>
          <w:b/>
        </w:rPr>
        <w:t>.</w:t>
      </w:r>
      <w:r>
        <w:rPr>
          <w:rFonts w:ascii="Times New Roman" w:hAnsi="Times New Roman" w:cs="Times New Roman"/>
          <w:b/>
        </w:rPr>
        <w:t>6</w:t>
      </w:r>
      <w:r w:rsidR="00817EAD">
        <w:rPr>
          <w:rFonts w:ascii="Times New Roman" w:hAnsi="Times New Roman" w:cs="Times New Roman"/>
          <w:b/>
        </w:rPr>
        <w:tab/>
        <w:t>Three-Group Regression with Adjusted Group Definitions</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In the main body of the paper, we investigate the differences between industries in receipt of the 10 percent tariff and those with additional protection. However, additional duties varied in size. As appendix A shows, industries received </w:t>
      </w:r>
      <w:r>
        <w:rPr>
          <w:rFonts w:ascii="Times New Roman" w:hAnsi="Times New Roman" w:cs="Times New Roman"/>
          <w:i/>
        </w:rPr>
        <w:t>ad valorem</w:t>
      </w:r>
      <w:r>
        <w:rPr>
          <w:rFonts w:ascii="Times New Roman" w:hAnsi="Times New Roman" w:cs="Times New Roman"/>
        </w:rPr>
        <w:t xml:space="preserve"> tariff protection ranging from 10 percent to 33 percent. In this appendix, we estimate the robustness of our results to changes in the groupings of industries. This provides some insights about the extent to which the benefits of tariff protection were related to the tariff rate provided to each industry. </w:t>
      </w:r>
    </w:p>
    <w:p w:rsidR="00817EAD"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First, we consider whether industries with tariff rates equal to or in excess of 20 percent  (henceforth the ‘</w:t>
      </w:r>
      <w:r>
        <w:rPr>
          <w:rFonts w:ascii="Times New Roman" w:hAnsi="Times New Roman" w:cs="Times New Roman"/>
          <w:i/>
        </w:rPr>
        <w:t xml:space="preserve">t </w:t>
      </w:r>
      <w:r>
        <w:rPr>
          <w:rFonts w:ascii="Times New Roman" w:hAnsi="Times New Roman" w:cs="Times New Roman"/>
        </w:rPr>
        <w:t xml:space="preserve">≥ 20’ group) behaved differently to those with tariff rates greater than or equal to 10 percent, but less than 20 percent (henceforth the ‘10 ≤ </w:t>
      </w:r>
      <w:r>
        <w:rPr>
          <w:rFonts w:ascii="Times New Roman" w:hAnsi="Times New Roman" w:cs="Times New Roman"/>
          <w:i/>
        </w:rPr>
        <w:t xml:space="preserve">t </w:t>
      </w:r>
      <w:r>
        <w:rPr>
          <w:rFonts w:ascii="Times New Roman" w:hAnsi="Times New Roman" w:cs="Times New Roman"/>
        </w:rPr>
        <w:t xml:space="preserve">&lt; 20’ group). Within our sample, 59 newly protected industries lie in the </w:t>
      </w:r>
      <w:r>
        <w:rPr>
          <w:rFonts w:ascii="Times New Roman" w:hAnsi="Times New Roman" w:cs="Times New Roman"/>
          <w:i/>
        </w:rPr>
        <w:t xml:space="preserve">t </w:t>
      </w:r>
      <w:r>
        <w:rPr>
          <w:rFonts w:ascii="Times New Roman" w:hAnsi="Times New Roman" w:cs="Times New Roman"/>
        </w:rPr>
        <w:t xml:space="preserve">≥ 20 group, while 16 industries are in the 10 ≤ </w:t>
      </w:r>
      <w:r>
        <w:rPr>
          <w:rFonts w:ascii="Times New Roman" w:hAnsi="Times New Roman" w:cs="Times New Roman"/>
          <w:i/>
        </w:rPr>
        <w:t xml:space="preserve">t </w:t>
      </w:r>
      <w:r>
        <w:rPr>
          <w:rFonts w:ascii="Times New Roman" w:hAnsi="Times New Roman" w:cs="Times New Roman"/>
        </w:rPr>
        <w:t xml:space="preserve">&lt; 20 group. The results are presented in columns (1)-(3) of Table </w:t>
      </w:r>
      <w:r w:rsidR="00EE5A83">
        <w:rPr>
          <w:rFonts w:ascii="Times New Roman" w:hAnsi="Times New Roman" w:cs="Times New Roman"/>
        </w:rPr>
        <w:t>B11</w:t>
      </w:r>
      <w:r>
        <w:rPr>
          <w:rFonts w:ascii="Times New Roman" w:hAnsi="Times New Roman" w:cs="Times New Roman"/>
        </w:rPr>
        <w:t xml:space="preserve">, and illustrate that the treatment effect on output and productivity remains significant, at the 10 percent level, for industries in the </w:t>
      </w:r>
      <w:r>
        <w:rPr>
          <w:rFonts w:ascii="Times New Roman" w:hAnsi="Times New Roman" w:cs="Times New Roman"/>
          <w:i/>
        </w:rPr>
        <w:t xml:space="preserve">t </w:t>
      </w:r>
      <w:r>
        <w:rPr>
          <w:rFonts w:ascii="Times New Roman" w:hAnsi="Times New Roman" w:cs="Times New Roman"/>
        </w:rPr>
        <w:t xml:space="preserve">≥ 20 group. Moreover, in comparison to industries in receipt of the 10 percent tariff only (see table 2), the difference-in-difference coefficients for the 10 ≤ </w:t>
      </w:r>
      <w:r>
        <w:rPr>
          <w:rFonts w:ascii="Times New Roman" w:hAnsi="Times New Roman" w:cs="Times New Roman"/>
          <w:i/>
        </w:rPr>
        <w:t xml:space="preserve">t </w:t>
      </w:r>
      <w:r>
        <w:rPr>
          <w:rFonts w:ascii="Times New Roman" w:hAnsi="Times New Roman" w:cs="Times New Roman"/>
        </w:rPr>
        <w:t>&lt; 20 group are quantitatively larger. Thus, the results in columns (1)-(3) indicate that the higher rates of additional protection were associated with stronger output and productivity benefits.</w:t>
      </w:r>
    </w:p>
    <w:p w:rsidR="00817EAD" w:rsidRDefault="00817EAD" w:rsidP="00817EAD">
      <w:pPr>
        <w:spacing w:after="0" w:line="360" w:lineRule="auto"/>
        <w:ind w:firstLine="567"/>
        <w:jc w:val="both"/>
        <w:rPr>
          <w:rFonts w:ascii="Times New Roman" w:hAnsi="Times New Roman" w:cs="Times New Roman"/>
        </w:rPr>
      </w:pPr>
    </w:p>
    <w:p w:rsidR="00817EAD" w:rsidRDefault="00817EAD" w:rsidP="00817EAD">
      <w:pPr>
        <w:spacing w:after="0" w:line="360" w:lineRule="auto"/>
        <w:jc w:val="both"/>
        <w:rPr>
          <w:rFonts w:ascii="Times New Roman" w:hAnsi="Times New Roman" w:cs="Times New Roman"/>
        </w:rPr>
      </w:pPr>
      <w:r>
        <w:rPr>
          <w:rFonts w:ascii="Times New Roman" w:hAnsi="Times New Roman" w:cs="Times New Roman"/>
          <w:b/>
        </w:rPr>
        <w:t xml:space="preserve">Table </w:t>
      </w:r>
      <w:r w:rsidR="005464AF">
        <w:rPr>
          <w:rFonts w:ascii="Times New Roman" w:hAnsi="Times New Roman" w:cs="Times New Roman"/>
          <w:b/>
        </w:rPr>
        <w:t>B11</w:t>
      </w:r>
      <w:r>
        <w:rPr>
          <w:rFonts w:ascii="Times New Roman" w:hAnsi="Times New Roman" w:cs="Times New Roman"/>
          <w:b/>
        </w:rPr>
        <w:t>: Difference-in-Difference Results with Altered Classifications</w:t>
      </w:r>
    </w:p>
    <w:tbl>
      <w:tblPr>
        <w:tblStyle w:val="TableGrid"/>
        <w:tblW w:w="9271" w:type="dxa"/>
        <w:tblLook w:val="04A0" w:firstRow="1" w:lastRow="0" w:firstColumn="1" w:lastColumn="0" w:noHBand="0" w:noVBand="1"/>
      </w:tblPr>
      <w:tblGrid>
        <w:gridCol w:w="2319"/>
        <w:gridCol w:w="1113"/>
        <w:gridCol w:w="1113"/>
        <w:gridCol w:w="1250"/>
        <w:gridCol w:w="1113"/>
        <w:gridCol w:w="1113"/>
        <w:gridCol w:w="1088"/>
        <w:gridCol w:w="162"/>
      </w:tblGrid>
      <w:tr w:rsidR="00817EAD" w:rsidRPr="00C3416D" w:rsidTr="00CD1883">
        <w:tc>
          <w:tcPr>
            <w:tcW w:w="2319" w:type="dxa"/>
            <w:tcBorders>
              <w:top w:val="single" w:sz="12" w:space="0" w:color="auto"/>
              <w:left w:val="single" w:sz="4" w:space="0" w:color="FFFFFF" w:themeColor="background1"/>
              <w:right w:val="single" w:sz="4" w:space="0" w:color="FFFFFF" w:themeColor="background1"/>
            </w:tcBorders>
          </w:tcPr>
          <w:p w:rsidR="00817EAD" w:rsidRPr="007F4850" w:rsidRDefault="00817EAD" w:rsidP="00CD1883">
            <w:pPr>
              <w:jc w:val="both"/>
              <w:rPr>
                <w:rFonts w:ascii="Times New Roman" w:hAnsi="Times New Roman" w:cs="Times New Roman"/>
                <w:sz w:val="20"/>
                <w:szCs w:val="20"/>
              </w:rPr>
            </w:pPr>
          </w:p>
        </w:tc>
        <w:tc>
          <w:tcPr>
            <w:tcW w:w="1113" w:type="dxa"/>
            <w:tcBorders>
              <w:top w:val="single" w:sz="12" w:space="0" w:color="auto"/>
              <w:left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(1)</w:t>
            </w:r>
          </w:p>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Net Output Growth</w:t>
            </w:r>
          </w:p>
        </w:tc>
        <w:tc>
          <w:tcPr>
            <w:tcW w:w="1113" w:type="dxa"/>
            <w:tcBorders>
              <w:top w:val="single" w:sz="12" w:space="0" w:color="auto"/>
              <w:left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(2)</w:t>
            </w:r>
          </w:p>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 xml:space="preserve">Net Output </w:t>
            </w:r>
            <w:r w:rsidR="00B9694E">
              <w:rPr>
                <w:rFonts w:ascii="Times New Roman" w:hAnsi="Times New Roman" w:cs="Times New Roman"/>
                <w:sz w:val="20"/>
                <w:szCs w:val="20"/>
              </w:rPr>
              <w:t>per worker</w:t>
            </w:r>
            <w:r w:rsidRPr="007F4850">
              <w:rPr>
                <w:rFonts w:ascii="Times New Roman" w:hAnsi="Times New Roman" w:cs="Times New Roman"/>
                <w:sz w:val="20"/>
                <w:szCs w:val="20"/>
              </w:rPr>
              <w:t xml:space="preserve"> Growth</w:t>
            </w:r>
          </w:p>
        </w:tc>
        <w:tc>
          <w:tcPr>
            <w:tcW w:w="1250" w:type="dxa"/>
            <w:tcBorders>
              <w:top w:val="single" w:sz="12" w:space="0" w:color="auto"/>
              <w:left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(3)</w:t>
            </w:r>
          </w:p>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Employment Growth</w:t>
            </w:r>
          </w:p>
        </w:tc>
        <w:tc>
          <w:tcPr>
            <w:tcW w:w="1113" w:type="dxa"/>
            <w:tcBorders>
              <w:top w:val="single" w:sz="12" w:space="0" w:color="auto"/>
              <w:left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(4)</w:t>
            </w:r>
          </w:p>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Net Output Growth</w:t>
            </w:r>
          </w:p>
        </w:tc>
        <w:tc>
          <w:tcPr>
            <w:tcW w:w="1113" w:type="dxa"/>
            <w:tcBorders>
              <w:top w:val="single" w:sz="12" w:space="0" w:color="auto"/>
              <w:left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(5)</w:t>
            </w:r>
          </w:p>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 xml:space="preserve">Net Output </w:t>
            </w:r>
            <w:r w:rsidR="00B9694E">
              <w:rPr>
                <w:rFonts w:ascii="Times New Roman" w:hAnsi="Times New Roman" w:cs="Times New Roman"/>
                <w:sz w:val="20"/>
                <w:szCs w:val="20"/>
              </w:rPr>
              <w:t>per worker</w:t>
            </w:r>
            <w:r w:rsidRPr="007F4850">
              <w:rPr>
                <w:rFonts w:ascii="Times New Roman" w:hAnsi="Times New Roman" w:cs="Times New Roman"/>
                <w:sz w:val="20"/>
                <w:szCs w:val="20"/>
              </w:rPr>
              <w:t xml:space="preserve"> Growth</w:t>
            </w:r>
          </w:p>
        </w:tc>
        <w:tc>
          <w:tcPr>
            <w:tcW w:w="1250" w:type="dxa"/>
            <w:gridSpan w:val="2"/>
            <w:tcBorders>
              <w:top w:val="single" w:sz="12" w:space="0" w:color="auto"/>
              <w:left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(6)</w:t>
            </w:r>
          </w:p>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Employment Growth</w:t>
            </w:r>
          </w:p>
        </w:tc>
      </w:tr>
      <w:tr w:rsidR="00817EAD" w:rsidRPr="00C3416D" w:rsidTr="00CD1883">
        <w:tc>
          <w:tcPr>
            <w:tcW w:w="2319" w:type="dxa"/>
            <w:tcBorders>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 xml:space="preserve">D-in-D for </w:t>
            </w:r>
            <w:r>
              <w:rPr>
                <w:rFonts w:ascii="Times New Roman" w:hAnsi="Times New Roman" w:cs="Times New Roman"/>
                <w:sz w:val="20"/>
                <w:szCs w:val="20"/>
              </w:rPr>
              <w:t>≥2</w:t>
            </w:r>
            <w:r w:rsidRPr="007F4850">
              <w:rPr>
                <w:rFonts w:ascii="Times New Roman" w:hAnsi="Times New Roman" w:cs="Times New Roman"/>
                <w:sz w:val="20"/>
                <w:szCs w:val="20"/>
              </w:rPr>
              <w:t xml:space="preserve">0% Protected Industries, </w:t>
            </w:r>
            <m:oMath>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δ</m:t>
                      </m:r>
                    </m:e>
                  </m:acc>
                </m:e>
                <m:sub>
                  <m:r>
                    <w:rPr>
                      <w:rFonts w:ascii="Cambria Math" w:hAnsi="Cambria Math" w:cs="Times New Roman"/>
                      <w:sz w:val="20"/>
                      <w:szCs w:val="20"/>
                    </w:rPr>
                    <m:t>add</m:t>
                  </m:r>
                </m:sub>
              </m:sSub>
            </m:oMath>
          </w:p>
        </w:tc>
        <w:tc>
          <w:tcPr>
            <w:tcW w:w="1113"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3.709*</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(1.900)</w:t>
            </w:r>
          </w:p>
        </w:tc>
        <w:tc>
          <w:tcPr>
            <w:tcW w:w="1113"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2.673*</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(1.390)</w:t>
            </w:r>
          </w:p>
        </w:tc>
        <w:tc>
          <w:tcPr>
            <w:tcW w:w="1250" w:type="dxa"/>
            <w:tcBorders>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0.987</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(1.204)</w:t>
            </w:r>
          </w:p>
        </w:tc>
        <w:tc>
          <w:tcPr>
            <w:tcW w:w="1113" w:type="dxa"/>
            <w:tcBorders>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113" w:type="dxa"/>
            <w:tcBorders>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250" w:type="dxa"/>
            <w:gridSpan w:val="2"/>
            <w:tcBorders>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r>
      <w:tr w:rsidR="00817EAD" w:rsidRPr="00C3416D" w:rsidTr="00CD1883">
        <w:tc>
          <w:tcPr>
            <w:tcW w:w="23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D-in-D for 10</w:t>
            </w:r>
            <w:r>
              <w:rPr>
                <w:rFonts w:ascii="Times New Roman" w:hAnsi="Times New Roman" w:cs="Times New Roman"/>
                <w:sz w:val="20"/>
                <w:szCs w:val="20"/>
              </w:rPr>
              <w:t>≤</w:t>
            </w:r>
            <w:r>
              <w:rPr>
                <w:rFonts w:ascii="Times New Roman" w:hAnsi="Times New Roman" w:cs="Times New Roman"/>
                <w:i/>
                <w:sz w:val="20"/>
                <w:szCs w:val="20"/>
              </w:rPr>
              <w:t>t</w:t>
            </w:r>
            <w:r>
              <w:rPr>
                <w:rFonts w:ascii="Times New Roman" w:hAnsi="Times New Roman" w:cs="Times New Roman"/>
                <w:sz w:val="20"/>
                <w:szCs w:val="20"/>
              </w:rPr>
              <w:t>&lt;20%</w:t>
            </w:r>
            <w:r w:rsidRPr="007F4850">
              <w:rPr>
                <w:rFonts w:ascii="Times New Roman" w:hAnsi="Times New Roman" w:cs="Times New Roman"/>
                <w:sz w:val="20"/>
                <w:szCs w:val="20"/>
              </w:rPr>
              <w:t xml:space="preserve"> Protected Industries, </w:t>
            </w:r>
            <m:oMath>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δ</m:t>
                      </m:r>
                    </m:e>
                  </m:acc>
                </m:e>
                <m:sub>
                  <m:r>
                    <w:rPr>
                      <w:rFonts w:ascii="Cambria Math" w:hAnsi="Cambria Math" w:cs="Times New Roman"/>
                      <w:sz w:val="20"/>
                      <w:szCs w:val="20"/>
                    </w:rPr>
                    <m:t>ten</m:t>
                  </m:r>
                </m:sub>
              </m:sSub>
            </m:oMath>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3.674</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(2.654)</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2.181</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(1.864)</w:t>
            </w:r>
          </w:p>
        </w:tc>
        <w:tc>
          <w:tcPr>
            <w:tcW w:w="1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1.443</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(1.772)</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3.674</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(2.666)</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2.181</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(1.873)</w:t>
            </w:r>
          </w:p>
        </w:tc>
        <w:tc>
          <w:tcPr>
            <w:tcW w:w="12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1.443</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(1.781)</w:t>
            </w:r>
          </w:p>
        </w:tc>
      </w:tr>
      <w:tr w:rsidR="00817EAD" w:rsidRPr="00C3416D" w:rsidTr="00CD1883">
        <w:tc>
          <w:tcPr>
            <w:tcW w:w="23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 xml:space="preserve">D-in-D for </w:t>
            </w:r>
            <w:r>
              <w:rPr>
                <w:rFonts w:ascii="Times New Roman" w:hAnsi="Times New Roman" w:cs="Times New Roman"/>
                <w:sz w:val="20"/>
                <w:szCs w:val="20"/>
              </w:rPr>
              <w:t>=2</w:t>
            </w:r>
            <w:r w:rsidRPr="007F4850">
              <w:rPr>
                <w:rFonts w:ascii="Times New Roman" w:hAnsi="Times New Roman" w:cs="Times New Roman"/>
                <w:sz w:val="20"/>
                <w:szCs w:val="20"/>
              </w:rPr>
              <w:t xml:space="preserve">0% Protected Industries, </w:t>
            </w:r>
            <m:oMath>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δ</m:t>
                      </m:r>
                    </m:e>
                  </m:acc>
                </m:e>
                <m:sub>
                  <m:r>
                    <w:rPr>
                      <w:rFonts w:ascii="Cambria Math" w:hAnsi="Cambria Math" w:cs="Times New Roman"/>
                      <w:sz w:val="20"/>
                      <w:szCs w:val="20"/>
                    </w:rPr>
                    <m:t>add</m:t>
                  </m:r>
                </m:sub>
              </m:sSub>
            </m:oMath>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3.729*</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(1.922)</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2.896**</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(1.430)</w:t>
            </w:r>
          </w:p>
        </w:tc>
        <w:tc>
          <w:tcPr>
            <w:tcW w:w="12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0.774</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(1.218)</w:t>
            </w:r>
          </w:p>
        </w:tc>
      </w:tr>
      <w:tr w:rsidR="00817EAD" w:rsidRPr="00C3416D" w:rsidTr="00CD1883">
        <w:tc>
          <w:tcPr>
            <w:tcW w:w="23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 xml:space="preserve">D-in-D for </w:t>
            </w:r>
            <w:r>
              <w:rPr>
                <w:rFonts w:ascii="Times New Roman" w:hAnsi="Times New Roman" w:cs="Times New Roman"/>
                <w:sz w:val="20"/>
                <w:szCs w:val="20"/>
              </w:rPr>
              <w:t>&gt;20%</w:t>
            </w:r>
            <w:r w:rsidRPr="007F4850">
              <w:rPr>
                <w:rFonts w:ascii="Times New Roman" w:hAnsi="Times New Roman" w:cs="Times New Roman"/>
                <w:sz w:val="20"/>
                <w:szCs w:val="20"/>
              </w:rPr>
              <w:t xml:space="preserve"> Protected Industries, </w:t>
            </w:r>
            <m:oMath>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δ</m:t>
                      </m:r>
                    </m:e>
                  </m:acc>
                </m:e>
                <m:sub>
                  <m:r>
                    <w:rPr>
                      <w:rFonts w:ascii="Cambria Math" w:hAnsi="Cambria Math" w:cs="Times New Roman"/>
                      <w:sz w:val="20"/>
                      <w:szCs w:val="20"/>
                    </w:rPr>
                    <m:t>ten</m:t>
                  </m:r>
                </m:sub>
              </m:sSub>
            </m:oMath>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3.635</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(2.468)</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1.881</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(1.648)</w:t>
            </w:r>
          </w:p>
        </w:tc>
        <w:tc>
          <w:tcPr>
            <w:tcW w:w="12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1.741</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(1.843)</w:t>
            </w:r>
          </w:p>
        </w:tc>
      </w:tr>
      <w:tr w:rsidR="00817EAD" w:rsidRPr="00C3416D" w:rsidTr="00CD1883">
        <w:tc>
          <w:tcPr>
            <w:tcW w:w="23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 xml:space="preserve">Dummy Variable for </w:t>
            </w:r>
            <w:r>
              <w:rPr>
                <w:rFonts w:ascii="Times New Roman" w:hAnsi="Times New Roman" w:cs="Times New Roman"/>
                <w:sz w:val="20"/>
                <w:szCs w:val="20"/>
              </w:rPr>
              <w:t>≥2</w:t>
            </w:r>
            <w:r w:rsidRPr="007F4850">
              <w:rPr>
                <w:rFonts w:ascii="Times New Roman" w:hAnsi="Times New Roman" w:cs="Times New Roman"/>
                <w:sz w:val="20"/>
                <w:szCs w:val="20"/>
              </w:rPr>
              <w:t xml:space="preserve">0% Protected Industries, </w:t>
            </w:r>
            <m:oMath>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β</m:t>
                      </m:r>
                    </m:e>
                  </m:acc>
                </m:e>
                <m:sub>
                  <m:r>
                    <w:rPr>
                      <w:rFonts w:ascii="Cambria Math" w:hAnsi="Cambria Math" w:cs="Times New Roman"/>
                      <w:sz w:val="20"/>
                      <w:szCs w:val="20"/>
                    </w:rPr>
                    <m:t>add</m:t>
                  </m:r>
                </m:sub>
              </m:sSub>
            </m:oMath>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-2.809**</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(1.143)</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-2.009**</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(0.792)</w:t>
            </w:r>
          </w:p>
        </w:tc>
        <w:tc>
          <w:tcPr>
            <w:tcW w:w="1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-0.728</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(0.733)</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2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r>
      <w:tr w:rsidR="00817EAD" w:rsidRPr="00C3416D" w:rsidTr="00CD1883">
        <w:tc>
          <w:tcPr>
            <w:tcW w:w="23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Dummy Variable for 10</w:t>
            </w:r>
            <w:r>
              <w:rPr>
                <w:rFonts w:ascii="Times New Roman" w:hAnsi="Times New Roman" w:cs="Times New Roman"/>
                <w:sz w:val="20"/>
                <w:szCs w:val="20"/>
              </w:rPr>
              <w:t>≤</w:t>
            </w:r>
            <w:r>
              <w:rPr>
                <w:rFonts w:ascii="Times New Roman" w:hAnsi="Times New Roman" w:cs="Times New Roman"/>
                <w:i/>
                <w:sz w:val="20"/>
                <w:szCs w:val="20"/>
              </w:rPr>
              <w:t>t</w:t>
            </w:r>
            <w:r>
              <w:rPr>
                <w:rFonts w:ascii="Times New Roman" w:hAnsi="Times New Roman" w:cs="Times New Roman"/>
                <w:sz w:val="20"/>
                <w:szCs w:val="20"/>
              </w:rPr>
              <w:t>&lt;20%</w:t>
            </w:r>
            <w:r w:rsidRPr="007F4850">
              <w:rPr>
                <w:rFonts w:ascii="Times New Roman" w:hAnsi="Times New Roman" w:cs="Times New Roman"/>
                <w:sz w:val="20"/>
                <w:szCs w:val="20"/>
              </w:rPr>
              <w:t xml:space="preserve"> Protected Industries, </w:t>
            </w:r>
            <m:oMath>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β</m:t>
                      </m:r>
                    </m:e>
                  </m:acc>
                </m:e>
                <m:sub>
                  <m:r>
                    <w:rPr>
                      <w:rFonts w:ascii="Cambria Math" w:hAnsi="Cambria Math" w:cs="Times New Roman"/>
                      <w:sz w:val="20"/>
                      <w:szCs w:val="20"/>
                    </w:rPr>
                    <m:t>ten</m:t>
                  </m:r>
                </m:sub>
              </m:sSub>
            </m:oMath>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-1.818</w:t>
            </w:r>
            <w:r>
              <w:rPr>
                <w:rFonts w:ascii="Times New Roman" w:hAnsi="Times New Roman" w:cs="Times New Roman"/>
                <w:sz w:val="20"/>
                <w:szCs w:val="20"/>
              </w:rPr>
              <w:br/>
              <w:t>(1.709)</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-0.822</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(1.073)</w:t>
            </w:r>
          </w:p>
        </w:tc>
        <w:tc>
          <w:tcPr>
            <w:tcW w:w="1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-0.950</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(1.153)</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-1.818</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(1.717)</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-0.822</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(1.078)</w:t>
            </w:r>
          </w:p>
        </w:tc>
        <w:tc>
          <w:tcPr>
            <w:tcW w:w="12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-0.950</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(1.159)</w:t>
            </w:r>
          </w:p>
        </w:tc>
      </w:tr>
      <w:tr w:rsidR="00817EAD" w:rsidRPr="00C3416D" w:rsidTr="00CD1883">
        <w:tc>
          <w:tcPr>
            <w:tcW w:w="23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 xml:space="preserve">Dummy Variable for </w:t>
            </w:r>
            <w:r>
              <w:rPr>
                <w:rFonts w:ascii="Times New Roman" w:hAnsi="Times New Roman" w:cs="Times New Roman"/>
                <w:sz w:val="20"/>
                <w:szCs w:val="20"/>
              </w:rPr>
              <w:t>=2</w:t>
            </w:r>
            <w:r w:rsidRPr="007F4850">
              <w:rPr>
                <w:rFonts w:ascii="Times New Roman" w:hAnsi="Times New Roman" w:cs="Times New Roman"/>
                <w:sz w:val="20"/>
                <w:szCs w:val="20"/>
              </w:rPr>
              <w:t xml:space="preserve">0% Protected Industries, </w:t>
            </w:r>
            <m:oMath>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β</m:t>
                      </m:r>
                    </m:e>
                  </m:acc>
                </m:e>
                <m:sub>
                  <m:r>
                    <w:rPr>
                      <w:rFonts w:ascii="Cambria Math" w:hAnsi="Cambria Math" w:cs="Times New Roman"/>
                      <w:sz w:val="20"/>
                      <w:szCs w:val="20"/>
                    </w:rPr>
                    <m:t>add</m:t>
                  </m:r>
                </m:sub>
              </m:sSub>
            </m:oMath>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-2.740**</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(1.156)</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-2.158***</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(0.820)</w:t>
            </w:r>
          </w:p>
        </w:tc>
        <w:tc>
          <w:tcPr>
            <w:tcW w:w="12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-0.505</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(0.757)</w:t>
            </w:r>
          </w:p>
        </w:tc>
      </w:tr>
      <w:tr w:rsidR="00817EAD" w:rsidRPr="00C3416D" w:rsidTr="00CD1883">
        <w:tc>
          <w:tcPr>
            <w:tcW w:w="23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 xml:space="preserve">Dummy Variable for </w:t>
            </w:r>
            <w:r>
              <w:rPr>
                <w:rFonts w:ascii="Times New Roman" w:hAnsi="Times New Roman" w:cs="Times New Roman"/>
                <w:sz w:val="20"/>
                <w:szCs w:val="20"/>
              </w:rPr>
              <w:t>&gt;20%</w:t>
            </w:r>
            <w:r w:rsidRPr="007F4850">
              <w:rPr>
                <w:rFonts w:ascii="Times New Roman" w:hAnsi="Times New Roman" w:cs="Times New Roman"/>
                <w:sz w:val="20"/>
                <w:szCs w:val="20"/>
              </w:rPr>
              <w:t xml:space="preserve"> Protected Industries, </w:t>
            </w:r>
            <m:oMath>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β</m:t>
                      </m:r>
                    </m:e>
                  </m:acc>
                </m:e>
                <m:sub>
                  <m:r>
                    <w:rPr>
                      <w:rFonts w:ascii="Cambria Math" w:hAnsi="Cambria Math" w:cs="Times New Roman"/>
                      <w:sz w:val="20"/>
                      <w:szCs w:val="20"/>
                    </w:rPr>
                    <m:t>ten</m:t>
                  </m:r>
                </m:sub>
              </m:sSub>
            </m:oMath>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-3.054*</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(1.608)</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-1.484</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(0.907)</w:t>
            </w:r>
          </w:p>
        </w:tc>
        <w:tc>
          <w:tcPr>
            <w:tcW w:w="12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-1.515</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(1.168)</w:t>
            </w:r>
          </w:p>
        </w:tc>
      </w:tr>
      <w:tr w:rsidR="00817EAD" w:rsidRPr="00C3416D" w:rsidTr="00CD1883">
        <w:tc>
          <w:tcPr>
            <w:tcW w:w="23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Dummy Variable for 1930-</w:t>
            </w:r>
            <w:r>
              <w:rPr>
                <w:rFonts w:ascii="Times New Roman" w:hAnsi="Times New Roman" w:cs="Times New Roman"/>
                <w:sz w:val="20"/>
                <w:szCs w:val="20"/>
              </w:rPr>
              <w:t>35</w:t>
            </w:r>
            <w:r w:rsidRPr="007F4850">
              <w:rPr>
                <w:rFonts w:ascii="Times New Roman" w:hAnsi="Times New Roman" w:cs="Times New Roman"/>
                <w:sz w:val="20"/>
                <w:szCs w:val="20"/>
              </w:rPr>
              <w:t xml:space="preserve">, </w:t>
            </w:r>
            <m:oMath>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α</m:t>
                      </m:r>
                    </m:e>
                  </m:acc>
                </m:e>
                <m:sub>
                  <m:r>
                    <w:rPr>
                      <w:rFonts w:ascii="Cambria Math" w:hAnsi="Cambria Math" w:cs="Times New Roman"/>
                      <w:sz w:val="20"/>
                      <w:szCs w:val="20"/>
                    </w:rPr>
                    <m:t>1</m:t>
                  </m:r>
                </m:sub>
              </m:sSub>
            </m:oMath>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0.241</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(1.783)</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-0.188</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(1.287)</w:t>
            </w:r>
          </w:p>
        </w:tc>
        <w:tc>
          <w:tcPr>
            <w:tcW w:w="1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0.431</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(1.067)</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0.241</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(1.791)</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-0.188</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(1.293)</w:t>
            </w:r>
          </w:p>
        </w:tc>
        <w:tc>
          <w:tcPr>
            <w:tcW w:w="12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0.431</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(1.072)</w:t>
            </w:r>
          </w:p>
        </w:tc>
      </w:tr>
      <w:tr w:rsidR="00817EAD" w:rsidRPr="00C3416D" w:rsidTr="00CD1883">
        <w:tc>
          <w:tcPr>
            <w:tcW w:w="23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 xml:space="preserve">Constant, </w:t>
            </w:r>
            <m:oMath>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α</m:t>
                      </m:r>
                    </m:e>
                  </m:acc>
                </m:e>
                <m:sub>
                  <m:r>
                    <w:rPr>
                      <w:rFonts w:ascii="Cambria Math" w:hAnsi="Cambria Math" w:cs="Times New Roman"/>
                      <w:sz w:val="20"/>
                      <w:szCs w:val="20"/>
                    </w:rPr>
                    <m:t>0</m:t>
                  </m:r>
                </m:sub>
              </m:sSub>
            </m:oMath>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4.118***</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(1.049)</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3.244***</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(0.728)</w:t>
            </w:r>
          </w:p>
        </w:tc>
        <w:tc>
          <w:tcPr>
            <w:tcW w:w="1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0.821</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(0.599)</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4.118***</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(1.054)</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3.244***</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(0.731)</w:t>
            </w:r>
          </w:p>
        </w:tc>
        <w:tc>
          <w:tcPr>
            <w:tcW w:w="12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Default="00817EAD" w:rsidP="00CD1883">
            <w:pPr>
              <w:jc w:val="center"/>
              <w:rPr>
                <w:rFonts w:ascii="Times New Roman" w:hAnsi="Times New Roman" w:cs="Times New Roman"/>
                <w:sz w:val="20"/>
                <w:szCs w:val="20"/>
              </w:rPr>
            </w:pPr>
            <w:r>
              <w:rPr>
                <w:rFonts w:ascii="Times New Roman" w:hAnsi="Times New Roman" w:cs="Times New Roman"/>
                <w:sz w:val="20"/>
                <w:szCs w:val="20"/>
              </w:rPr>
              <w:t>0.821</w:t>
            </w:r>
          </w:p>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(0.602)</w:t>
            </w:r>
          </w:p>
        </w:tc>
      </w:tr>
      <w:tr w:rsidR="00817EAD" w:rsidRPr="00C3416D" w:rsidTr="00CD1883">
        <w:tc>
          <w:tcPr>
            <w:tcW w:w="23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p>
        </w:tc>
        <w:tc>
          <w:tcPr>
            <w:tcW w:w="1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p>
        </w:tc>
        <w:tc>
          <w:tcPr>
            <w:tcW w:w="12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p>
        </w:tc>
      </w:tr>
      <w:tr w:rsidR="00817EAD" w:rsidRPr="00C3416D" w:rsidTr="00CD1883">
        <w:tc>
          <w:tcPr>
            <w:tcW w:w="23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Observations</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21</w:t>
            </w:r>
            <w:r>
              <w:rPr>
                <w:rFonts w:ascii="Times New Roman" w:hAnsi="Times New Roman" w:cs="Times New Roman"/>
                <w:sz w:val="20"/>
                <w:szCs w:val="20"/>
              </w:rPr>
              <w:t>8</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21</w:t>
            </w:r>
            <w:r>
              <w:rPr>
                <w:rFonts w:ascii="Times New Roman" w:hAnsi="Times New Roman" w:cs="Times New Roman"/>
                <w:sz w:val="20"/>
                <w:szCs w:val="20"/>
              </w:rPr>
              <w:t>8</w:t>
            </w:r>
          </w:p>
        </w:tc>
        <w:tc>
          <w:tcPr>
            <w:tcW w:w="1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21</w:t>
            </w:r>
            <w:r>
              <w:rPr>
                <w:rFonts w:ascii="Times New Roman" w:hAnsi="Times New Roman" w:cs="Times New Roman"/>
                <w:sz w:val="20"/>
                <w:szCs w:val="20"/>
              </w:rPr>
              <w:t>8</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218</w:t>
            </w:r>
          </w:p>
        </w:tc>
        <w:tc>
          <w:tcPr>
            <w:tcW w:w="11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218</w:t>
            </w:r>
          </w:p>
        </w:tc>
        <w:tc>
          <w:tcPr>
            <w:tcW w:w="12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218</w:t>
            </w:r>
          </w:p>
        </w:tc>
      </w:tr>
      <w:tr w:rsidR="00817EAD" w:rsidRPr="00C3416D" w:rsidTr="00CD1883">
        <w:tc>
          <w:tcPr>
            <w:tcW w:w="2319"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Pr="007F4850" w:rsidRDefault="00817EAD" w:rsidP="00CD1883">
            <w:pPr>
              <w:rPr>
                <w:rFonts w:ascii="Times New Roman" w:hAnsi="Times New Roman" w:cs="Times New Roman"/>
                <w:sz w:val="20"/>
                <w:szCs w:val="20"/>
              </w:rPr>
            </w:pPr>
            <w:r w:rsidRPr="007F4850">
              <w:rPr>
                <w:rFonts w:ascii="Times New Roman" w:hAnsi="Times New Roman" w:cs="Times New Roman"/>
                <w:sz w:val="20"/>
                <w:szCs w:val="20"/>
              </w:rPr>
              <w:t>R-squared</w:t>
            </w:r>
          </w:p>
        </w:tc>
        <w:tc>
          <w:tcPr>
            <w:tcW w:w="1113"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0.0</w:t>
            </w:r>
            <w:r>
              <w:rPr>
                <w:rFonts w:ascii="Times New Roman" w:hAnsi="Times New Roman" w:cs="Times New Roman"/>
                <w:sz w:val="20"/>
                <w:szCs w:val="20"/>
              </w:rPr>
              <w:t>96</w:t>
            </w:r>
          </w:p>
        </w:tc>
        <w:tc>
          <w:tcPr>
            <w:tcW w:w="1113"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0.0</w:t>
            </w:r>
            <w:r>
              <w:rPr>
                <w:rFonts w:ascii="Times New Roman" w:hAnsi="Times New Roman" w:cs="Times New Roman"/>
                <w:sz w:val="20"/>
                <w:szCs w:val="20"/>
              </w:rPr>
              <w:t>71</w:t>
            </w:r>
          </w:p>
        </w:tc>
        <w:tc>
          <w:tcPr>
            <w:tcW w:w="1250"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sidRPr="007F4850">
              <w:rPr>
                <w:rFonts w:ascii="Times New Roman" w:hAnsi="Times New Roman" w:cs="Times New Roman"/>
                <w:sz w:val="20"/>
                <w:szCs w:val="20"/>
              </w:rPr>
              <w:t>0.0</w:t>
            </w:r>
            <w:r>
              <w:rPr>
                <w:rFonts w:ascii="Times New Roman" w:hAnsi="Times New Roman" w:cs="Times New Roman"/>
                <w:sz w:val="20"/>
                <w:szCs w:val="20"/>
              </w:rPr>
              <w:t>32</w:t>
            </w:r>
          </w:p>
        </w:tc>
        <w:tc>
          <w:tcPr>
            <w:tcW w:w="1113"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0.096</w:t>
            </w:r>
          </w:p>
        </w:tc>
        <w:tc>
          <w:tcPr>
            <w:tcW w:w="1113"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0.072</w:t>
            </w:r>
          </w:p>
        </w:tc>
        <w:tc>
          <w:tcPr>
            <w:tcW w:w="1250" w:type="dxa"/>
            <w:gridSpan w:val="2"/>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817EAD" w:rsidRPr="007F4850" w:rsidRDefault="00817EAD" w:rsidP="00CD1883">
            <w:pPr>
              <w:jc w:val="center"/>
              <w:rPr>
                <w:rFonts w:ascii="Times New Roman" w:hAnsi="Times New Roman" w:cs="Times New Roman"/>
                <w:sz w:val="20"/>
                <w:szCs w:val="20"/>
              </w:rPr>
            </w:pPr>
            <w:r>
              <w:rPr>
                <w:rFonts w:ascii="Times New Roman" w:hAnsi="Times New Roman" w:cs="Times New Roman"/>
                <w:sz w:val="20"/>
                <w:szCs w:val="20"/>
              </w:rPr>
              <w:t>0.035</w:t>
            </w:r>
          </w:p>
        </w:tc>
      </w:tr>
      <w:tr w:rsidR="00817EAD" w:rsidRPr="00C3416D" w:rsidTr="00CD1883">
        <w:trPr>
          <w:gridAfter w:val="1"/>
          <w:wAfter w:w="162" w:type="dxa"/>
        </w:trPr>
        <w:tc>
          <w:tcPr>
            <w:tcW w:w="9109" w:type="dxa"/>
            <w:gridSpan w:val="7"/>
            <w:tcBorders>
              <w:top w:val="single" w:sz="12" w:space="0" w:color="auto"/>
              <w:left w:val="single" w:sz="4" w:space="0" w:color="FFFFFF" w:themeColor="background1"/>
              <w:bottom w:val="single" w:sz="4" w:space="0" w:color="FFFFFF" w:themeColor="background1"/>
              <w:right w:val="single" w:sz="4" w:space="0" w:color="FFFFFF" w:themeColor="background1"/>
            </w:tcBorders>
          </w:tcPr>
          <w:p w:rsidR="00817EAD" w:rsidRPr="00C3416D" w:rsidRDefault="00817EAD" w:rsidP="00CD1883">
            <w:pPr>
              <w:jc w:val="both"/>
              <w:rPr>
                <w:rFonts w:ascii="Times New Roman" w:hAnsi="Times New Roman" w:cs="Times New Roman"/>
                <w:i/>
                <w:sz w:val="18"/>
                <w:szCs w:val="18"/>
              </w:rPr>
            </w:pPr>
            <w:r w:rsidRPr="00C3416D">
              <w:rPr>
                <w:rFonts w:ascii="Times New Roman" w:hAnsi="Times New Roman" w:cs="Times New Roman"/>
                <w:i/>
                <w:sz w:val="18"/>
                <w:szCs w:val="18"/>
              </w:rPr>
              <w:t>Note:</w:t>
            </w:r>
            <w:r w:rsidRPr="00C3416D">
              <w:rPr>
                <w:rFonts w:ascii="Times New Roman" w:hAnsi="Times New Roman" w:cs="Times New Roman"/>
                <w:sz w:val="18"/>
                <w:szCs w:val="18"/>
              </w:rPr>
              <w:t xml:space="preserve"> Estimated regression results for the three-group classification. In column (1), the dependent variable is annualised average (real) net output growth. The corresponding dependent variables in columns (2) and (3) are annualised average net output </w:t>
            </w:r>
            <w:r w:rsidR="00B9694E">
              <w:rPr>
                <w:rFonts w:ascii="Times New Roman" w:hAnsi="Times New Roman" w:cs="Times New Roman"/>
                <w:sz w:val="18"/>
                <w:szCs w:val="18"/>
              </w:rPr>
              <w:t>per worker</w:t>
            </w:r>
            <w:r w:rsidRPr="00C3416D">
              <w:rPr>
                <w:rFonts w:ascii="Times New Roman" w:hAnsi="Times New Roman" w:cs="Times New Roman"/>
                <w:sz w:val="18"/>
                <w:szCs w:val="18"/>
              </w:rPr>
              <w:t xml:space="preserve"> growth and employment growth respectively. All regressions are estimated by OLS and robust standard errors are reported, where *** p&lt;0.01, ** p&lt;0.05, * p&lt;0.1. </w:t>
            </w:r>
          </w:p>
        </w:tc>
      </w:tr>
    </w:tbl>
    <w:p w:rsidR="00817EAD" w:rsidRDefault="00817EAD" w:rsidP="00817EAD">
      <w:pPr>
        <w:spacing w:after="0" w:line="360" w:lineRule="auto"/>
        <w:ind w:firstLine="567"/>
        <w:jc w:val="both"/>
        <w:rPr>
          <w:rFonts w:ascii="Times New Roman" w:hAnsi="Times New Roman" w:cs="Times New Roman"/>
        </w:rPr>
      </w:pPr>
    </w:p>
    <w:p w:rsidR="00817EAD" w:rsidRPr="008D6F61" w:rsidRDefault="00817EAD"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Of the 59 industries that comprise the </w:t>
      </w:r>
      <w:r>
        <w:rPr>
          <w:rFonts w:ascii="Times New Roman" w:hAnsi="Times New Roman" w:cs="Times New Roman"/>
          <w:i/>
        </w:rPr>
        <w:t>t</w:t>
      </w:r>
      <w:r>
        <w:rPr>
          <w:rFonts w:ascii="Times New Roman" w:hAnsi="Times New Roman" w:cs="Times New Roman"/>
        </w:rPr>
        <w:t xml:space="preserve">≥20 group, 46 received tariff protection at the 20 percent </w:t>
      </w:r>
      <w:r>
        <w:rPr>
          <w:rFonts w:ascii="Times New Roman" w:hAnsi="Times New Roman" w:cs="Times New Roman"/>
          <w:i/>
        </w:rPr>
        <w:t>ad valorem</w:t>
      </w:r>
      <w:r>
        <w:rPr>
          <w:rFonts w:ascii="Times New Roman" w:hAnsi="Times New Roman" w:cs="Times New Roman"/>
        </w:rPr>
        <w:t xml:space="preserve"> rate. In columns (4)-(6) we extend the results from columns (1)-(3) and estimate the regression with three treatment groups: (i) the 10≤</w:t>
      </w:r>
      <w:r>
        <w:rPr>
          <w:rFonts w:ascii="Times New Roman" w:hAnsi="Times New Roman" w:cs="Times New Roman"/>
          <w:i/>
        </w:rPr>
        <w:t>t</w:t>
      </w:r>
      <w:r>
        <w:rPr>
          <w:rFonts w:ascii="Times New Roman" w:hAnsi="Times New Roman" w:cs="Times New Roman"/>
        </w:rPr>
        <w:t>&lt;20 group; (ii) a group including newly protected industries that were protected at the 20 percent rate; and (iii) a group including industries that received tariffs in excess of 20 percent (henceforth the ‘</w:t>
      </w:r>
      <w:r>
        <w:rPr>
          <w:rFonts w:ascii="Times New Roman" w:hAnsi="Times New Roman" w:cs="Times New Roman"/>
          <w:i/>
        </w:rPr>
        <w:t>t</w:t>
      </w:r>
      <w:r>
        <w:rPr>
          <w:rFonts w:ascii="Times New Roman" w:hAnsi="Times New Roman" w:cs="Times New Roman"/>
        </w:rPr>
        <w:t xml:space="preserve">&gt;20’ group). The results in columns (4) and (5) indicate that the tariff did have a significant positive impact on the growth of industries protected at the 20 percent rate. The difference-in-difference coefficient for these industries is 3.73 percentage points for output growth and 2.90 percentage points for labour productivity growth; these coefficients are significant at the 10 and 5 percent levels respectively. Although the corresponding coefficients for the </w:t>
      </w:r>
      <w:r>
        <w:rPr>
          <w:rFonts w:ascii="Times New Roman" w:hAnsi="Times New Roman" w:cs="Times New Roman"/>
          <w:i/>
        </w:rPr>
        <w:t>t</w:t>
      </w:r>
      <w:r>
        <w:rPr>
          <w:rFonts w:ascii="Times New Roman" w:hAnsi="Times New Roman" w:cs="Times New Roman"/>
        </w:rPr>
        <w:t xml:space="preserve">&gt;20 group are statistically insignificant, they remain positive and the coefficient for output growth – in column (4) – is quantitatively similar to the difference-in-difference coefficient for the 20 percent protect industries. All in all, the results in columns (4)-(6) indicate that although the </w:t>
      </w:r>
      <w:r>
        <w:rPr>
          <w:rFonts w:ascii="Times New Roman" w:hAnsi="Times New Roman" w:cs="Times New Roman"/>
          <w:i/>
        </w:rPr>
        <w:t>t</w:t>
      </w:r>
      <w:r>
        <w:rPr>
          <w:rFonts w:ascii="Times New Roman" w:hAnsi="Times New Roman" w:cs="Times New Roman"/>
        </w:rPr>
        <w:t>&gt;20 industries may not have benefited from tariff protection as much as industries protected at the 20 percent level, they did derive some economic benefit from the policy for output and productivity growth.</w:t>
      </w:r>
    </w:p>
    <w:p w:rsidR="00817EAD" w:rsidRDefault="00817EAD" w:rsidP="00817EAD">
      <w:pPr>
        <w:spacing w:after="0" w:line="360" w:lineRule="auto"/>
        <w:jc w:val="both"/>
        <w:rPr>
          <w:rFonts w:ascii="Times New Roman" w:hAnsi="Times New Roman" w:cs="Times New Roman"/>
        </w:rPr>
      </w:pPr>
    </w:p>
    <w:p w:rsidR="00817EAD" w:rsidRDefault="005464AF" w:rsidP="00817EAD">
      <w:pPr>
        <w:spacing w:after="0" w:line="360" w:lineRule="auto"/>
        <w:jc w:val="both"/>
        <w:rPr>
          <w:rFonts w:ascii="Times New Roman" w:hAnsi="Times New Roman" w:cs="Times New Roman"/>
          <w:b/>
        </w:rPr>
      </w:pPr>
      <w:r>
        <w:rPr>
          <w:rFonts w:ascii="Times New Roman" w:hAnsi="Times New Roman" w:cs="Times New Roman"/>
          <w:b/>
        </w:rPr>
        <w:t>B</w:t>
      </w:r>
      <w:r w:rsidR="00817EAD" w:rsidRPr="000E3EFE">
        <w:rPr>
          <w:rFonts w:ascii="Times New Roman" w:hAnsi="Times New Roman" w:cs="Times New Roman"/>
          <w:b/>
        </w:rPr>
        <w:t>.</w:t>
      </w:r>
      <w:r>
        <w:rPr>
          <w:rFonts w:ascii="Times New Roman" w:hAnsi="Times New Roman" w:cs="Times New Roman"/>
          <w:b/>
        </w:rPr>
        <w:t>7</w:t>
      </w:r>
      <w:r w:rsidR="00817EAD">
        <w:rPr>
          <w:rFonts w:ascii="Times New Roman" w:hAnsi="Times New Roman" w:cs="Times New Roman"/>
          <w:b/>
        </w:rPr>
        <w:tab/>
        <w:t>Three-Group Classification and Outliers</w:t>
      </w:r>
    </w:p>
    <w:p w:rsidR="00817EAD" w:rsidRDefault="00EE5A83" w:rsidP="00817EAD">
      <w:pPr>
        <w:spacing w:after="0" w:line="360" w:lineRule="auto"/>
        <w:ind w:firstLine="567"/>
        <w:jc w:val="both"/>
        <w:rPr>
          <w:rFonts w:ascii="Times New Roman" w:hAnsi="Times New Roman" w:cs="Times New Roman"/>
        </w:rPr>
      </w:pPr>
      <w:r>
        <w:rPr>
          <w:rFonts w:ascii="Times New Roman" w:hAnsi="Times New Roman" w:cs="Times New Roman"/>
        </w:rPr>
        <w:t xml:space="preserve">Figures </w:t>
      </w:r>
      <w:r w:rsidR="00817EAD">
        <w:rPr>
          <w:rFonts w:ascii="Times New Roman" w:hAnsi="Times New Roman" w:cs="Times New Roman"/>
        </w:rPr>
        <w:t xml:space="preserve">3 and 4 indicate that there may be outliers in our dataset that could have implications for the robustness of our results. In this section we account for this, by running regressions with outlying observations removed from the sample. Because we run regressions with three different dependent variables of interest, we are careful to ensure that we remove the same industries from the sample for each regression. That is, to qualify as an outlier, the industry must be an outlier in terms of output, productivity </w:t>
      </w:r>
      <w:r w:rsidR="00817EAD">
        <w:rPr>
          <w:rFonts w:ascii="Times New Roman" w:hAnsi="Times New Roman" w:cs="Times New Roman"/>
          <w:i/>
        </w:rPr>
        <w:t xml:space="preserve">and </w:t>
      </w:r>
      <w:r w:rsidR="00817EAD">
        <w:rPr>
          <w:rFonts w:ascii="Times New Roman" w:hAnsi="Times New Roman" w:cs="Times New Roman"/>
        </w:rPr>
        <w:t>employment growth. Consequently, this means we do not adopt a formal statistical procedure to select outliers. Instead, we rely on scatterplots</w:t>
      </w:r>
      <w:r w:rsidR="00A714FC">
        <w:rPr>
          <w:rFonts w:ascii="Times New Roman" w:hAnsi="Times New Roman" w:cs="Times New Roman"/>
        </w:rPr>
        <w:t xml:space="preserve"> for all three dependent variables</w:t>
      </w:r>
      <w:r w:rsidR="00817EAD">
        <w:rPr>
          <w:rFonts w:ascii="Times New Roman" w:hAnsi="Times New Roman" w:cs="Times New Roman"/>
        </w:rPr>
        <w:t xml:space="preserve"> to inform our choice.</w:t>
      </w:r>
      <w:r>
        <w:rPr>
          <w:rFonts w:ascii="Times New Roman" w:hAnsi="Times New Roman" w:cs="Times New Roman"/>
        </w:rPr>
        <w:t xml:space="preserve"> </w:t>
      </w:r>
      <w:r w:rsidR="00817EAD">
        <w:rPr>
          <w:rFonts w:ascii="Times New Roman" w:hAnsi="Times New Roman" w:cs="Times New Roman"/>
        </w:rPr>
        <w:t>Based on visual inspection</w:t>
      </w:r>
      <w:r w:rsidR="00A714FC">
        <w:rPr>
          <w:rFonts w:ascii="Times New Roman" w:hAnsi="Times New Roman" w:cs="Times New Roman"/>
        </w:rPr>
        <w:t xml:space="preserve"> of all scatterplots</w:t>
      </w:r>
      <w:r w:rsidR="00817EAD">
        <w:rPr>
          <w:rFonts w:ascii="Times New Roman" w:hAnsi="Times New Roman" w:cs="Times New Roman"/>
        </w:rPr>
        <w:t xml:space="preserve">, only one industry appears to qualify as an outlier for output, productivity and employment growth: sugar and glucose. For this reason, we estimate our baseline three-group regression with this industry removed. The results are presented in table </w:t>
      </w:r>
      <w:r>
        <w:rPr>
          <w:rFonts w:ascii="Times New Roman" w:hAnsi="Times New Roman" w:cs="Times New Roman"/>
        </w:rPr>
        <w:t>B12</w:t>
      </w:r>
      <w:r w:rsidR="00817EAD">
        <w:rPr>
          <w:rFonts w:ascii="Times New Roman" w:hAnsi="Times New Roman" w:cs="Times New Roman"/>
        </w:rPr>
        <w:t xml:space="preserve"> for the 1924-30 and 1930-35 periods.</w:t>
      </w:r>
    </w:p>
    <w:p w:rsidR="00EE5A83" w:rsidRDefault="00EE5A83" w:rsidP="00EE5A83">
      <w:pPr>
        <w:spacing w:after="0" w:line="360" w:lineRule="auto"/>
        <w:ind w:firstLine="567"/>
        <w:jc w:val="both"/>
        <w:rPr>
          <w:rFonts w:ascii="Times New Roman" w:hAnsi="Times New Roman" w:cs="Times New Roman"/>
        </w:rPr>
      </w:pPr>
      <w:r>
        <w:rPr>
          <w:rFonts w:ascii="Times New Roman" w:hAnsi="Times New Roman" w:cs="Times New Roman"/>
        </w:rPr>
        <w:t xml:space="preserve">The results presented in Table B12 indicate that our headline results are robust to the removal of the sugar and glucose industry – a potential outlier – from our sample. In particular, the difference-in-difference coefficient on additionally protected industries for output growth remains significant at the 5 percent level, and the corresponding coefficient for productivity growth is significant at the 10 percent level. Nevertheless, the quantitative values of the difference-in-difference coefficients are smaller than those presented in table 2 (for the full sample). </w:t>
      </w:r>
    </w:p>
    <w:p w:rsidR="00EE5A83" w:rsidRDefault="00EE5A83" w:rsidP="00EE5A83">
      <w:pPr>
        <w:spacing w:after="0" w:line="360" w:lineRule="auto"/>
        <w:ind w:firstLine="567"/>
        <w:jc w:val="both"/>
        <w:rPr>
          <w:rFonts w:ascii="Times New Roman" w:hAnsi="Times New Roman" w:cs="Times New Roman"/>
        </w:rPr>
      </w:pPr>
      <w:r>
        <w:rPr>
          <w:rFonts w:ascii="Times New Roman" w:hAnsi="Times New Roman" w:cs="Times New Roman"/>
        </w:rPr>
        <w:t>The disaggregated sectoral classification, informed by Barna (1952), is primarily included in the regression to capture time-varying, industry-specific influences, as well as potential non-random tariff assignment. However, because these control variables allow for a high level of disaggregation amongst sectors, they may additionally account for worries about outlying industries. Table B4 indicates that, in effect, a number of industries receive an industry-specific control variable. As Tables 2, B7 and B8 indicate, our headline results remain robust to the inclusion of these disaggregated sectoral control variables.</w:t>
      </w:r>
    </w:p>
    <w:p w:rsidR="00EE5A83" w:rsidRDefault="00EE5A83" w:rsidP="00817EAD">
      <w:pPr>
        <w:spacing w:after="0" w:line="360" w:lineRule="auto"/>
        <w:ind w:firstLine="567"/>
        <w:jc w:val="both"/>
        <w:rPr>
          <w:rFonts w:ascii="Times New Roman" w:hAnsi="Times New Roman" w:cs="Times New Roman"/>
        </w:rPr>
      </w:pPr>
    </w:p>
    <w:p w:rsidR="00C8137C" w:rsidRDefault="00C8137C" w:rsidP="00C8137C">
      <w:pPr>
        <w:spacing w:after="0" w:line="240" w:lineRule="auto"/>
        <w:jc w:val="both"/>
        <w:rPr>
          <w:rFonts w:ascii="Times New Roman" w:hAnsi="Times New Roman" w:cs="Times New Roman"/>
        </w:rPr>
      </w:pPr>
      <w:r>
        <w:rPr>
          <w:rFonts w:ascii="Times New Roman" w:hAnsi="Times New Roman" w:cs="Times New Roman"/>
          <w:b/>
        </w:rPr>
        <w:t xml:space="preserve">Table </w:t>
      </w:r>
      <w:r w:rsidR="005464AF">
        <w:rPr>
          <w:rFonts w:ascii="Times New Roman" w:hAnsi="Times New Roman" w:cs="Times New Roman"/>
          <w:b/>
        </w:rPr>
        <w:t>B12</w:t>
      </w:r>
      <w:r>
        <w:rPr>
          <w:rFonts w:ascii="Times New Roman" w:hAnsi="Times New Roman" w:cs="Times New Roman"/>
          <w:b/>
        </w:rPr>
        <w:t>: Difference-in-Difference Results for Three-Group Regression (1924-30 and 1930-35) with the Sugar and Glucose Industry Removed from the Sample</w:t>
      </w:r>
    </w:p>
    <w:tbl>
      <w:tblPr>
        <w:tblStyle w:val="TableGrid"/>
        <w:tblW w:w="7621" w:type="dxa"/>
        <w:tblLook w:val="04A0" w:firstRow="1" w:lastRow="0" w:firstColumn="1" w:lastColumn="0" w:noHBand="0" w:noVBand="1"/>
      </w:tblPr>
      <w:tblGrid>
        <w:gridCol w:w="3369"/>
        <w:gridCol w:w="1417"/>
        <w:gridCol w:w="1418"/>
        <w:gridCol w:w="1417"/>
      </w:tblGrid>
      <w:tr w:rsidR="00C8137C" w:rsidRPr="00C3416D" w:rsidTr="007D5E0C">
        <w:tc>
          <w:tcPr>
            <w:tcW w:w="3369" w:type="dxa"/>
            <w:tcBorders>
              <w:top w:val="single" w:sz="12" w:space="0" w:color="auto"/>
              <w:left w:val="single" w:sz="4" w:space="0" w:color="FFFFFF" w:themeColor="background1"/>
              <w:right w:val="single" w:sz="4" w:space="0" w:color="FFFFFF" w:themeColor="background1"/>
            </w:tcBorders>
          </w:tcPr>
          <w:p w:rsidR="00C8137C" w:rsidRPr="00C3416D" w:rsidRDefault="00C8137C" w:rsidP="007D5E0C">
            <w:pPr>
              <w:jc w:val="both"/>
              <w:rPr>
                <w:rFonts w:ascii="Times New Roman" w:hAnsi="Times New Roman" w:cs="Times New Roman"/>
              </w:rPr>
            </w:pPr>
          </w:p>
        </w:tc>
        <w:tc>
          <w:tcPr>
            <w:tcW w:w="1417" w:type="dxa"/>
            <w:tcBorders>
              <w:top w:val="single" w:sz="12" w:space="0" w:color="auto"/>
              <w:left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(1)</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Net Output Growth</w:t>
            </w:r>
          </w:p>
        </w:tc>
        <w:tc>
          <w:tcPr>
            <w:tcW w:w="1418" w:type="dxa"/>
            <w:tcBorders>
              <w:top w:val="single" w:sz="12" w:space="0" w:color="auto"/>
              <w:left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(2)</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 xml:space="preserve">Net Output </w:t>
            </w:r>
            <w:r w:rsidR="00B9694E">
              <w:rPr>
                <w:rFonts w:ascii="Times New Roman" w:hAnsi="Times New Roman" w:cs="Times New Roman"/>
              </w:rPr>
              <w:t>per worker</w:t>
            </w:r>
            <w:r w:rsidRPr="00C3416D">
              <w:rPr>
                <w:rFonts w:ascii="Times New Roman" w:hAnsi="Times New Roman" w:cs="Times New Roman"/>
              </w:rPr>
              <w:t xml:space="preserve"> Growth</w:t>
            </w:r>
          </w:p>
        </w:tc>
        <w:tc>
          <w:tcPr>
            <w:tcW w:w="1417" w:type="dxa"/>
            <w:tcBorders>
              <w:top w:val="single" w:sz="12" w:space="0" w:color="auto"/>
              <w:left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(3)</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Employment Growth</w:t>
            </w:r>
          </w:p>
        </w:tc>
      </w:tr>
      <w:tr w:rsidR="00C8137C" w:rsidRPr="00C3416D" w:rsidTr="007D5E0C">
        <w:tc>
          <w:tcPr>
            <w:tcW w:w="3369" w:type="dxa"/>
            <w:tcBorders>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rPr>
                <w:rFonts w:ascii="Times New Roman" w:hAnsi="Times New Roman" w:cs="Times New Roman"/>
              </w:rPr>
            </w:pPr>
            <w:r w:rsidRPr="00C3416D">
              <w:rPr>
                <w:rFonts w:ascii="Times New Roman" w:hAnsi="Times New Roman" w:cs="Times New Roman"/>
              </w:rPr>
              <w:t xml:space="preserve">D-in-D for &gt;10%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δ</m:t>
                      </m:r>
                    </m:e>
                  </m:acc>
                </m:e>
                <m:sub>
                  <m:r>
                    <w:rPr>
                      <w:rFonts w:ascii="Cambria Math" w:hAnsi="Cambria Math" w:cs="Times New Roman"/>
                    </w:rPr>
                    <m:t>add</m:t>
                  </m:r>
                </m:sub>
              </m:sSub>
            </m:oMath>
          </w:p>
        </w:tc>
        <w:tc>
          <w:tcPr>
            <w:tcW w:w="1417" w:type="dxa"/>
            <w:tcBorders>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3.</w:t>
            </w:r>
            <w:r>
              <w:rPr>
                <w:rFonts w:ascii="Times New Roman" w:hAnsi="Times New Roman" w:cs="Times New Roman"/>
              </w:rPr>
              <w:t>604</w:t>
            </w:r>
            <w:r w:rsidRPr="00C3416D">
              <w:rPr>
                <w:rFonts w:ascii="Times New Roman" w:hAnsi="Times New Roman" w:cs="Times New Roman"/>
              </w:rPr>
              <w:t>**</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717</w:t>
            </w:r>
            <w:r w:rsidRPr="00C3416D">
              <w:rPr>
                <w:rFonts w:ascii="Times New Roman" w:hAnsi="Times New Roman" w:cs="Times New Roman"/>
              </w:rPr>
              <w:t>)</w:t>
            </w:r>
          </w:p>
        </w:tc>
        <w:tc>
          <w:tcPr>
            <w:tcW w:w="1418" w:type="dxa"/>
            <w:tcBorders>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920</w:t>
            </w:r>
            <w:r w:rsidRPr="00C3416D">
              <w:rPr>
                <w:rFonts w:ascii="Times New Roman" w:hAnsi="Times New Roman" w:cs="Times New Roman"/>
              </w:rPr>
              <w:t>*</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1.127</w:t>
            </w:r>
            <w:r w:rsidRPr="00C3416D">
              <w:rPr>
                <w:rFonts w:ascii="Times New Roman" w:hAnsi="Times New Roman" w:cs="Times New Roman"/>
              </w:rPr>
              <w:t>)</w:t>
            </w:r>
          </w:p>
        </w:tc>
        <w:tc>
          <w:tcPr>
            <w:tcW w:w="1417" w:type="dxa"/>
            <w:tcBorders>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Pr>
                <w:rFonts w:ascii="Times New Roman" w:hAnsi="Times New Roman" w:cs="Times New Roman"/>
              </w:rPr>
              <w:t>1.642</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1.150</w:t>
            </w:r>
            <w:r w:rsidRPr="00C3416D">
              <w:rPr>
                <w:rFonts w:ascii="Times New Roman" w:hAnsi="Times New Roman" w:cs="Times New Roman"/>
              </w:rPr>
              <w:t>)</w:t>
            </w:r>
          </w:p>
        </w:tc>
      </w:tr>
      <w:tr w:rsidR="00C8137C" w:rsidRPr="00C3416D" w:rsidTr="007D5E0C">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rPr>
                <w:rFonts w:ascii="Times New Roman" w:hAnsi="Times New Roman" w:cs="Times New Roman"/>
              </w:rPr>
            </w:pPr>
            <w:r w:rsidRPr="00C3416D">
              <w:rPr>
                <w:rFonts w:ascii="Times New Roman" w:hAnsi="Times New Roman" w:cs="Times New Roman"/>
              </w:rPr>
              <w:t xml:space="preserve">D-in-D for 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δ</m:t>
                      </m:r>
                    </m:e>
                  </m:acc>
                </m:e>
                <m:sub>
                  <m:r>
                    <w:rPr>
                      <w:rFonts w:ascii="Cambria Math" w:hAnsi="Cambria Math" w:cs="Times New Roman"/>
                    </w:rPr>
                    <m:t>ten</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457</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2.778</w:t>
            </w:r>
            <w:r w:rsidRPr="00C3416D">
              <w:rPr>
                <w:rFonts w:ascii="Times New Roman" w:hAnsi="Times New Roman" w:cs="Times New Roman"/>
              </w:rPr>
              <w:t>)</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Pr>
                <w:rFonts w:ascii="Times New Roman" w:hAnsi="Times New Roman" w:cs="Times New Roman"/>
              </w:rPr>
              <w:t>-0.472</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778</w:t>
            </w:r>
            <w:r w:rsidRPr="00C3416D">
              <w:rPr>
                <w:rFonts w:ascii="Times New Roman" w:hAnsi="Times New Roman" w:cs="Times New Roman"/>
              </w:rPr>
              <w:t>)</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Pr>
                <w:rFonts w:ascii="Times New Roman" w:hAnsi="Times New Roman" w:cs="Times New Roman"/>
              </w:rPr>
              <w:t>1.910</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2.066</w:t>
            </w:r>
            <w:r w:rsidRPr="00C3416D">
              <w:rPr>
                <w:rFonts w:ascii="Times New Roman" w:hAnsi="Times New Roman" w:cs="Times New Roman"/>
              </w:rPr>
              <w:t>)</w:t>
            </w:r>
          </w:p>
        </w:tc>
      </w:tr>
      <w:tr w:rsidR="00C8137C" w:rsidRPr="00C3416D" w:rsidTr="007D5E0C">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rPr>
                <w:rFonts w:ascii="Times New Roman" w:hAnsi="Times New Roman" w:cs="Times New Roman"/>
              </w:rPr>
            </w:pPr>
            <w:r w:rsidRPr="00C3416D">
              <w:rPr>
                <w:rFonts w:ascii="Times New Roman" w:hAnsi="Times New Roman" w:cs="Times New Roman"/>
              </w:rPr>
              <w:t xml:space="preserve">Dummy Variable for &gt;10%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β</m:t>
                      </m:r>
                    </m:e>
                  </m:acc>
                </m:e>
                <m:sub>
                  <m:r>
                    <w:rPr>
                      <w:rFonts w:ascii="Cambria Math" w:hAnsi="Cambria Math" w:cs="Times New Roman"/>
                    </w:rPr>
                    <m:t>add</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2.478</w:t>
            </w:r>
            <w:r w:rsidRPr="00C3416D">
              <w:rPr>
                <w:rFonts w:ascii="Times New Roman" w:hAnsi="Times New Roman" w:cs="Times New Roman"/>
              </w:rPr>
              <w:t>***</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0.926</w:t>
            </w:r>
            <w:r w:rsidRPr="00C3416D">
              <w:rPr>
                <w:rFonts w:ascii="Times New Roman" w:hAnsi="Times New Roman" w:cs="Times New Roman"/>
              </w:rPr>
              <w:t>)</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217</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0.797</w:t>
            </w:r>
            <w:r w:rsidRPr="00C3416D">
              <w:rPr>
                <w:rFonts w:ascii="Times New Roman" w:hAnsi="Times New Roman" w:cs="Times New Roman"/>
              </w:rPr>
              <w:t>)</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217</w:t>
            </w:r>
            <w:r w:rsidRPr="00C3416D">
              <w:rPr>
                <w:rFonts w:ascii="Times New Roman" w:hAnsi="Times New Roman" w:cs="Times New Roman"/>
              </w:rPr>
              <w:t>*</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710</w:t>
            </w:r>
            <w:r w:rsidRPr="00C3416D">
              <w:rPr>
                <w:rFonts w:ascii="Times New Roman" w:hAnsi="Times New Roman" w:cs="Times New Roman"/>
              </w:rPr>
              <w:t>)</w:t>
            </w:r>
          </w:p>
        </w:tc>
      </w:tr>
      <w:tr w:rsidR="00C8137C" w:rsidRPr="00C3416D" w:rsidTr="007D5E0C">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rPr>
                <w:rFonts w:ascii="Times New Roman" w:hAnsi="Times New Roman" w:cs="Times New Roman"/>
              </w:rPr>
            </w:pPr>
            <w:r w:rsidRPr="00C3416D">
              <w:rPr>
                <w:rFonts w:ascii="Times New Roman" w:hAnsi="Times New Roman" w:cs="Times New Roman"/>
              </w:rPr>
              <w:t xml:space="preserve">Dummy Variable for 10% Protected Industries,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β</m:t>
                      </m:r>
                    </m:e>
                  </m:acc>
                </m:e>
                <m:sub>
                  <m:r>
                    <w:rPr>
                      <w:rFonts w:ascii="Cambria Math" w:hAnsi="Cambria Math" w:cs="Times New Roman"/>
                    </w:rPr>
                    <m:t>ten</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0.970</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1.879</w:t>
            </w:r>
            <w:r w:rsidRPr="00C3416D">
              <w:rPr>
                <w:rFonts w:ascii="Times New Roman" w:hAnsi="Times New Roman" w:cs="Times New Roman"/>
              </w:rPr>
              <w:t>)</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Pr>
                <w:rFonts w:ascii="Times New Roman" w:hAnsi="Times New Roman" w:cs="Times New Roman"/>
              </w:rPr>
              <w:t>0.090</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1.257</w:t>
            </w:r>
            <w:r w:rsidRPr="00C3416D">
              <w:rPr>
                <w:rFonts w:ascii="Times New Roman" w:hAnsi="Times New Roman" w:cs="Times New Roman"/>
              </w:rPr>
              <w:t>)</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044</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394</w:t>
            </w:r>
            <w:r w:rsidRPr="00C3416D">
              <w:rPr>
                <w:rFonts w:ascii="Times New Roman" w:hAnsi="Times New Roman" w:cs="Times New Roman"/>
              </w:rPr>
              <w:t>)</w:t>
            </w:r>
          </w:p>
        </w:tc>
      </w:tr>
      <w:tr w:rsidR="00C8137C" w:rsidRPr="00C3416D" w:rsidTr="007D5E0C">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rPr>
                <w:rFonts w:ascii="Times New Roman" w:hAnsi="Times New Roman" w:cs="Times New Roman"/>
              </w:rPr>
            </w:pPr>
            <w:r w:rsidRPr="00C3416D">
              <w:rPr>
                <w:rFonts w:ascii="Times New Roman" w:hAnsi="Times New Roman" w:cs="Times New Roman"/>
              </w:rPr>
              <w:t>Dummy Variable for 1930-</w:t>
            </w:r>
            <w:r>
              <w:rPr>
                <w:rFonts w:ascii="Times New Roman" w:hAnsi="Times New Roman" w:cs="Times New Roman"/>
              </w:rPr>
              <w:t>35</w:t>
            </w:r>
            <w:r w:rsidRPr="00C3416D">
              <w:rPr>
                <w:rFonts w:ascii="Times New Roman" w:hAnsi="Times New Roman" w:cs="Times New Roman"/>
              </w:rPr>
              <w:t xml:space="preserve">,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α</m:t>
                      </m:r>
                    </m:e>
                  </m:acc>
                </m:e>
                <m:sub>
                  <m:r>
                    <w:rPr>
                      <w:rFonts w:ascii="Cambria Math" w:hAnsi="Cambria Math" w:cs="Times New Roman"/>
                    </w:rPr>
                    <m:t>1</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Pr>
                <w:rFonts w:ascii="Times New Roman" w:hAnsi="Times New Roman" w:cs="Times New Roman"/>
              </w:rPr>
              <w:t>0.879</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1.567</w:t>
            </w:r>
            <w:r w:rsidRPr="00C3416D">
              <w:rPr>
                <w:rFonts w:ascii="Times New Roman" w:hAnsi="Times New Roman" w:cs="Times New Roman"/>
              </w:rPr>
              <w:t>)</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Pr>
                <w:rFonts w:ascii="Times New Roman" w:hAnsi="Times New Roman" w:cs="Times New Roman"/>
              </w:rPr>
              <w:t>0.765</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899</w:t>
            </w:r>
            <w:r w:rsidRPr="00C3416D">
              <w:rPr>
                <w:rFonts w:ascii="Times New Roman" w:hAnsi="Times New Roman" w:cs="Times New Roman"/>
              </w:rPr>
              <w:t>)</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099</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1.006</w:t>
            </w:r>
            <w:r w:rsidRPr="00C3416D">
              <w:rPr>
                <w:rFonts w:ascii="Times New Roman" w:hAnsi="Times New Roman" w:cs="Times New Roman"/>
              </w:rPr>
              <w:t>)</w:t>
            </w:r>
          </w:p>
        </w:tc>
      </w:tr>
      <w:tr w:rsidR="00C8137C" w:rsidRPr="00C3416D" w:rsidTr="007D5E0C">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rPr>
                <w:rFonts w:ascii="Times New Roman" w:hAnsi="Times New Roman" w:cs="Times New Roman"/>
              </w:rPr>
            </w:pPr>
            <w:r w:rsidRPr="00C3416D">
              <w:rPr>
                <w:rFonts w:ascii="Times New Roman" w:hAnsi="Times New Roman" w:cs="Times New Roman"/>
              </w:rPr>
              <w:t xml:space="preserve">Constant, </w:t>
            </w:r>
            <m:oMath>
              <m:sSub>
                <m:sSubPr>
                  <m:ctrlPr>
                    <w:rPr>
                      <w:rFonts w:ascii="Cambria Math" w:hAnsi="Cambria Math" w:cs="Times New Roman"/>
                      <w:i/>
                    </w:rPr>
                  </m:ctrlPr>
                </m:sSubPr>
                <m:e>
                  <m:acc>
                    <m:accPr>
                      <m:ctrlPr>
                        <w:rPr>
                          <w:rFonts w:ascii="Cambria Math" w:hAnsi="Cambria Math" w:cs="Times New Roman"/>
                          <w:i/>
                        </w:rPr>
                      </m:ctrlPr>
                    </m:accPr>
                    <m:e>
                      <m:r>
                        <w:rPr>
                          <w:rFonts w:ascii="Cambria Math" w:hAnsi="Cambria Math" w:cs="Times New Roman"/>
                        </w:rPr>
                        <m:t>α</m:t>
                      </m:r>
                    </m:e>
                  </m:acc>
                </m:e>
                <m:sub>
                  <m:r>
                    <w:rPr>
                      <w:rFonts w:ascii="Cambria Math" w:hAnsi="Cambria Math" w:cs="Times New Roman"/>
                    </w:rPr>
                    <m:t>0</m:t>
                  </m:r>
                </m:sub>
              </m:sSub>
            </m:oMath>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Pr>
                <w:rFonts w:ascii="Times New Roman" w:hAnsi="Times New Roman" w:cs="Times New Roman"/>
              </w:rPr>
              <w:t>3.629</w:t>
            </w:r>
            <w:r w:rsidRPr="00C3416D">
              <w:rPr>
                <w:rFonts w:ascii="Times New Roman" w:hAnsi="Times New Roman" w:cs="Times New Roman"/>
              </w:rPr>
              <w:t>***</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w:t>
            </w:r>
            <w:r>
              <w:rPr>
                <w:rFonts w:ascii="Times New Roman" w:hAnsi="Times New Roman" w:cs="Times New Roman"/>
              </w:rPr>
              <w:t>0.812</w:t>
            </w:r>
            <w:r w:rsidRPr="00C3416D">
              <w:rPr>
                <w:rFonts w:ascii="Times New Roman" w:hAnsi="Times New Roman" w:cs="Times New Roman"/>
              </w:rPr>
              <w:t>)</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Pr>
                <w:rFonts w:ascii="Times New Roman" w:hAnsi="Times New Roman" w:cs="Times New Roman"/>
              </w:rPr>
              <w:t>2.556</w:t>
            </w:r>
            <w:r w:rsidRPr="00C3416D">
              <w:rPr>
                <w:rFonts w:ascii="Times New Roman" w:hAnsi="Times New Roman" w:cs="Times New Roman"/>
              </w:rPr>
              <w:t>***</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635</w:t>
            </w:r>
            <w:r w:rsidRPr="00C3416D">
              <w:rPr>
                <w:rFonts w:ascii="Times New Roman" w:hAnsi="Times New Roman" w:cs="Times New Roman"/>
              </w:rPr>
              <w:t>)</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1.</w:t>
            </w:r>
            <w:r>
              <w:rPr>
                <w:rFonts w:ascii="Times New Roman" w:hAnsi="Times New Roman" w:cs="Times New Roman"/>
              </w:rPr>
              <w:t>048</w:t>
            </w:r>
            <w:r w:rsidRPr="00C3416D">
              <w:rPr>
                <w:rFonts w:ascii="Times New Roman" w:hAnsi="Times New Roman" w:cs="Times New Roman"/>
              </w:rPr>
              <w:t>*</w:t>
            </w:r>
          </w:p>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588</w:t>
            </w:r>
            <w:r w:rsidRPr="00C3416D">
              <w:rPr>
                <w:rFonts w:ascii="Times New Roman" w:hAnsi="Times New Roman" w:cs="Times New Roman"/>
              </w:rPr>
              <w:t>)</w:t>
            </w:r>
          </w:p>
        </w:tc>
      </w:tr>
      <w:tr w:rsidR="00C8137C" w:rsidRPr="00C3416D" w:rsidTr="007D5E0C">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rPr>
                <w:rFonts w:ascii="Times New Roman" w:hAnsi="Times New Roman" w:cs="Times New Roman"/>
                <w:sz w:val="8"/>
                <w:szCs w:val="8"/>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sz w:val="8"/>
                <w:szCs w:val="8"/>
              </w:rPr>
            </w:pP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sz w:val="8"/>
                <w:szCs w:val="8"/>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sz w:val="8"/>
                <w:szCs w:val="8"/>
              </w:rPr>
            </w:pPr>
          </w:p>
        </w:tc>
      </w:tr>
      <w:tr w:rsidR="00C8137C" w:rsidRPr="00C3416D" w:rsidTr="007D5E0C">
        <w:tc>
          <w:tcPr>
            <w:tcW w:w="3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rPr>
                <w:rFonts w:ascii="Times New Roman" w:hAnsi="Times New Roman" w:cs="Times New Roman"/>
              </w:rPr>
            </w:pPr>
            <w:r w:rsidRPr="00C3416D">
              <w:rPr>
                <w:rFonts w:ascii="Times New Roman" w:hAnsi="Times New Roman" w:cs="Times New Roman"/>
              </w:rPr>
              <w:t>Observations</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2</w:t>
            </w:r>
            <w:r>
              <w:rPr>
                <w:rFonts w:ascii="Times New Roman" w:hAnsi="Times New Roman" w:cs="Times New Roman"/>
              </w:rPr>
              <w:t>16</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2</w:t>
            </w:r>
            <w:r>
              <w:rPr>
                <w:rFonts w:ascii="Times New Roman" w:hAnsi="Times New Roman" w:cs="Times New Roman"/>
              </w:rPr>
              <w:t>16</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2</w:t>
            </w:r>
            <w:r>
              <w:rPr>
                <w:rFonts w:ascii="Times New Roman" w:hAnsi="Times New Roman" w:cs="Times New Roman"/>
              </w:rPr>
              <w:t>16</w:t>
            </w:r>
          </w:p>
        </w:tc>
      </w:tr>
      <w:tr w:rsidR="00C8137C" w:rsidRPr="00C3416D" w:rsidTr="007D5E0C">
        <w:tc>
          <w:tcPr>
            <w:tcW w:w="3369"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C8137C" w:rsidRPr="00C3416D" w:rsidRDefault="00C8137C" w:rsidP="007D5E0C">
            <w:pPr>
              <w:rPr>
                <w:rFonts w:ascii="Times New Roman" w:hAnsi="Times New Roman" w:cs="Times New Roman"/>
              </w:rPr>
            </w:pPr>
            <w:r w:rsidRPr="00C3416D">
              <w:rPr>
                <w:rFonts w:ascii="Times New Roman" w:hAnsi="Times New Roman" w:cs="Times New Roman"/>
              </w:rPr>
              <w:t>R-squared</w:t>
            </w:r>
          </w:p>
        </w:tc>
        <w:tc>
          <w:tcPr>
            <w:tcW w:w="1417"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0.</w:t>
            </w:r>
            <w:r>
              <w:rPr>
                <w:rFonts w:ascii="Times New Roman" w:hAnsi="Times New Roman" w:cs="Times New Roman"/>
              </w:rPr>
              <w:t>111</w:t>
            </w:r>
          </w:p>
        </w:tc>
        <w:tc>
          <w:tcPr>
            <w:tcW w:w="1418"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0.0</w:t>
            </w:r>
            <w:r>
              <w:rPr>
                <w:rFonts w:ascii="Times New Roman" w:hAnsi="Times New Roman" w:cs="Times New Roman"/>
              </w:rPr>
              <w:t>73</w:t>
            </w:r>
          </w:p>
        </w:tc>
        <w:tc>
          <w:tcPr>
            <w:tcW w:w="1417"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rsidR="00C8137C" w:rsidRPr="00C3416D" w:rsidRDefault="00C8137C" w:rsidP="007D5E0C">
            <w:pPr>
              <w:jc w:val="center"/>
              <w:rPr>
                <w:rFonts w:ascii="Times New Roman" w:hAnsi="Times New Roman" w:cs="Times New Roman"/>
              </w:rPr>
            </w:pPr>
            <w:r w:rsidRPr="00C3416D">
              <w:rPr>
                <w:rFonts w:ascii="Times New Roman" w:hAnsi="Times New Roman" w:cs="Times New Roman"/>
              </w:rPr>
              <w:t>0.04</w:t>
            </w:r>
            <w:r>
              <w:rPr>
                <w:rFonts w:ascii="Times New Roman" w:hAnsi="Times New Roman" w:cs="Times New Roman"/>
              </w:rPr>
              <w:t>3</w:t>
            </w:r>
          </w:p>
        </w:tc>
      </w:tr>
      <w:tr w:rsidR="00C8137C" w:rsidRPr="00C3416D" w:rsidTr="007D5E0C">
        <w:tc>
          <w:tcPr>
            <w:tcW w:w="7621" w:type="dxa"/>
            <w:gridSpan w:val="4"/>
            <w:tcBorders>
              <w:top w:val="single" w:sz="12" w:space="0" w:color="auto"/>
              <w:left w:val="single" w:sz="4" w:space="0" w:color="FFFFFF" w:themeColor="background1"/>
              <w:bottom w:val="single" w:sz="4" w:space="0" w:color="FFFFFF" w:themeColor="background1"/>
              <w:right w:val="single" w:sz="4" w:space="0" w:color="FFFFFF" w:themeColor="background1"/>
            </w:tcBorders>
          </w:tcPr>
          <w:p w:rsidR="00C8137C" w:rsidRPr="00C3416D" w:rsidRDefault="00C8137C" w:rsidP="007D5E0C">
            <w:pPr>
              <w:jc w:val="both"/>
              <w:rPr>
                <w:rFonts w:ascii="Times New Roman" w:hAnsi="Times New Roman" w:cs="Times New Roman"/>
                <w:sz w:val="18"/>
                <w:szCs w:val="18"/>
              </w:rPr>
            </w:pPr>
            <w:r w:rsidRPr="00C3416D">
              <w:rPr>
                <w:rFonts w:ascii="Times New Roman" w:hAnsi="Times New Roman" w:cs="Times New Roman"/>
                <w:i/>
                <w:sz w:val="18"/>
                <w:szCs w:val="18"/>
              </w:rPr>
              <w:t>Note:</w:t>
            </w:r>
            <w:r w:rsidRPr="00C3416D">
              <w:rPr>
                <w:rFonts w:ascii="Times New Roman" w:hAnsi="Times New Roman" w:cs="Times New Roman"/>
                <w:sz w:val="18"/>
                <w:szCs w:val="18"/>
              </w:rPr>
              <w:t xml:space="preserve"> Estimated regression results for the three-group classification</w:t>
            </w:r>
            <w:r>
              <w:rPr>
                <w:rFonts w:ascii="Times New Roman" w:hAnsi="Times New Roman" w:cs="Times New Roman"/>
                <w:sz w:val="18"/>
                <w:szCs w:val="18"/>
              </w:rPr>
              <w:t xml:space="preserve"> with Sugar and Glucose industry removed from sample</w:t>
            </w:r>
            <w:r w:rsidRPr="00C3416D">
              <w:rPr>
                <w:rFonts w:ascii="Times New Roman" w:hAnsi="Times New Roman" w:cs="Times New Roman"/>
                <w:sz w:val="18"/>
                <w:szCs w:val="18"/>
              </w:rPr>
              <w:t xml:space="preserve">. In column (1), the dependent variable is annualised average (real) net output growth. The corresponding dependent variables in columns (2) and (3) are annualised average net output </w:t>
            </w:r>
            <w:r w:rsidR="00B9694E">
              <w:rPr>
                <w:rFonts w:ascii="Times New Roman" w:hAnsi="Times New Roman" w:cs="Times New Roman"/>
                <w:sz w:val="18"/>
                <w:szCs w:val="18"/>
              </w:rPr>
              <w:t>per worker</w:t>
            </w:r>
            <w:r w:rsidRPr="00C3416D">
              <w:rPr>
                <w:rFonts w:ascii="Times New Roman" w:hAnsi="Times New Roman" w:cs="Times New Roman"/>
                <w:sz w:val="18"/>
                <w:szCs w:val="18"/>
              </w:rPr>
              <w:t xml:space="preserve"> growth and employment growth respectively. All regressions are estimated by OLS and robust standard errors are reported, where *** p&lt;0.01, ** p&lt;0.05, * p&lt;0.1. </w:t>
            </w:r>
          </w:p>
        </w:tc>
      </w:tr>
    </w:tbl>
    <w:p w:rsidR="00C8137C" w:rsidRDefault="00C8137C" w:rsidP="00817EAD">
      <w:pPr>
        <w:spacing w:after="0" w:line="360" w:lineRule="auto"/>
        <w:ind w:firstLine="567"/>
        <w:jc w:val="both"/>
        <w:rPr>
          <w:rFonts w:ascii="Times New Roman" w:hAnsi="Times New Roman" w:cs="Times New Roman"/>
        </w:rPr>
      </w:pPr>
    </w:p>
    <w:p w:rsidR="00817EAD" w:rsidRPr="000E3EFE" w:rsidRDefault="00817EAD" w:rsidP="00817EAD">
      <w:pPr>
        <w:spacing w:after="0" w:line="360" w:lineRule="auto"/>
        <w:jc w:val="both"/>
        <w:rPr>
          <w:rFonts w:ascii="Times New Roman" w:hAnsi="Times New Roman" w:cs="Times New Roman"/>
        </w:rPr>
      </w:pPr>
    </w:p>
    <w:p w:rsidR="00817EAD" w:rsidRPr="00C40785" w:rsidRDefault="005464AF" w:rsidP="00817EAD">
      <w:pPr>
        <w:spacing w:after="0" w:line="360" w:lineRule="auto"/>
        <w:jc w:val="both"/>
        <w:rPr>
          <w:rFonts w:ascii="Times New Roman" w:hAnsi="Times New Roman" w:cs="Times New Roman"/>
          <w:b/>
        </w:rPr>
      </w:pPr>
      <w:r>
        <w:rPr>
          <w:rFonts w:ascii="Times New Roman" w:hAnsi="Times New Roman" w:cs="Times New Roman"/>
          <w:b/>
        </w:rPr>
        <w:t>B</w:t>
      </w:r>
      <w:r w:rsidR="00817EAD">
        <w:rPr>
          <w:rFonts w:ascii="Times New Roman" w:hAnsi="Times New Roman" w:cs="Times New Roman"/>
          <w:b/>
        </w:rPr>
        <w:t>.</w:t>
      </w:r>
      <w:r>
        <w:rPr>
          <w:rFonts w:ascii="Times New Roman" w:hAnsi="Times New Roman" w:cs="Times New Roman"/>
          <w:b/>
        </w:rPr>
        <w:t>8</w:t>
      </w:r>
      <w:r w:rsidR="00817EAD">
        <w:rPr>
          <w:rFonts w:ascii="Times New Roman" w:hAnsi="Times New Roman" w:cs="Times New Roman"/>
          <w:b/>
        </w:rPr>
        <w:t xml:space="preserve"> </w:t>
      </w:r>
      <w:r w:rsidR="00817EAD">
        <w:rPr>
          <w:rFonts w:ascii="Times New Roman" w:hAnsi="Times New Roman" w:cs="Times New Roman"/>
          <w:b/>
        </w:rPr>
        <w:tab/>
        <w:t>Three-Group Classification and Weighted Regression</w:t>
      </w:r>
    </w:p>
    <w:p w:rsidR="00817EAD" w:rsidRDefault="00817EAD" w:rsidP="00817EAD">
      <w:pPr>
        <w:spacing w:after="0" w:line="360" w:lineRule="auto"/>
        <w:jc w:val="both"/>
        <w:rPr>
          <w:rFonts w:ascii="Times New Roman" w:hAnsi="Times New Roman" w:cs="Times New Roman"/>
        </w:rPr>
      </w:pPr>
      <w:r>
        <w:rPr>
          <w:rFonts w:ascii="Times New Roman" w:hAnsi="Times New Roman" w:cs="Times New Roman"/>
        </w:rPr>
        <w:tab/>
        <w:t>In this appendix, we document the robustness of our headline results to the weighting of industry growth rates by the size of each industry’s output. To implement this, we construct weights for industry growth rates using the ratio of net output (in constant prices) for each industry in 1924 relative to the mean level of net output (in constant prices) across industries in the same year</w:t>
      </w:r>
      <w:r>
        <w:rPr>
          <w:rStyle w:val="FootnoteReference"/>
          <w:rFonts w:ascii="Times New Roman" w:hAnsi="Times New Roman" w:cs="Times New Roman"/>
        </w:rPr>
        <w:footnoteReference w:id="27"/>
      </w:r>
      <w:r>
        <w:rPr>
          <w:rFonts w:ascii="Times New Roman" w:hAnsi="Times New Roman" w:cs="Times New Roman"/>
        </w:rPr>
        <w:t>. This scheme therefore places a larger weight on industries that were large in size – measured in terms of their net output – and a smaller weight on industries that produced with smaller scale.</w:t>
      </w:r>
    </w:p>
    <w:p w:rsidR="00817EAD" w:rsidRDefault="00817EAD" w:rsidP="00817EAD">
      <w:pPr>
        <w:spacing w:after="0" w:line="360" w:lineRule="auto"/>
        <w:jc w:val="both"/>
        <w:rPr>
          <w:rFonts w:ascii="Times New Roman" w:hAnsi="Times New Roman" w:cs="Times New Roman"/>
        </w:rPr>
      </w:pPr>
      <w:r>
        <w:rPr>
          <w:rFonts w:ascii="Times New Roman" w:hAnsi="Times New Roman" w:cs="Times New Roman"/>
        </w:rPr>
        <w:tab/>
        <w:t xml:space="preserve">The regression results with weighted growth rates are presented in table </w:t>
      </w:r>
      <w:r w:rsidR="00EE5A83">
        <w:rPr>
          <w:rFonts w:ascii="Times New Roman" w:hAnsi="Times New Roman" w:cs="Times New Roman"/>
        </w:rPr>
        <w:t>B13</w:t>
      </w:r>
      <w:r>
        <w:rPr>
          <w:rFonts w:ascii="Times New Roman" w:hAnsi="Times New Roman" w:cs="Times New Roman"/>
        </w:rPr>
        <w:t xml:space="preserve">. As in table 2, columns (2)-(5) report estimated regression coefficients with the additional control variables included in the regression. Panel A of table </w:t>
      </w:r>
      <w:r w:rsidR="00EE5A83">
        <w:rPr>
          <w:rFonts w:ascii="Times New Roman" w:hAnsi="Times New Roman" w:cs="Times New Roman"/>
        </w:rPr>
        <w:t>B13</w:t>
      </w:r>
      <w:r>
        <w:rPr>
          <w:rFonts w:ascii="Times New Roman" w:hAnsi="Times New Roman" w:cs="Times New Roman"/>
        </w:rPr>
        <w:t xml:space="preserve"> illustrates that the estimated treatment effect of the tariff on weighted output growth lies between 3.84 and 5.02 percentage points per annum for the additionally protected industries. In all but one of the five regressions, the result is significant at the 5 percent level. The estimated treatment effect is significant at the 10 percent level when the Census of Production sectoral classification is used in the set of controls.</w:t>
      </w:r>
    </w:p>
    <w:p w:rsidR="00EE5A83" w:rsidRPr="00C3416D" w:rsidRDefault="00EE5A83" w:rsidP="00EE5A83">
      <w:pPr>
        <w:spacing w:line="240" w:lineRule="auto"/>
        <w:jc w:val="both"/>
        <w:rPr>
          <w:rFonts w:ascii="Times New Roman" w:hAnsi="Times New Roman" w:cs="Times New Roman"/>
          <w:b/>
        </w:rPr>
      </w:pPr>
      <w:r>
        <w:rPr>
          <w:rFonts w:ascii="Times New Roman" w:hAnsi="Times New Roman" w:cs="Times New Roman"/>
          <w:b/>
        </w:rPr>
        <w:t>Table B13</w:t>
      </w:r>
      <w:r w:rsidRPr="00C3416D">
        <w:rPr>
          <w:rFonts w:ascii="Times New Roman" w:hAnsi="Times New Roman" w:cs="Times New Roman"/>
          <w:b/>
        </w:rPr>
        <w:t xml:space="preserve">: </w:t>
      </w:r>
      <w:r>
        <w:rPr>
          <w:rFonts w:ascii="Times New Roman" w:hAnsi="Times New Roman" w:cs="Times New Roman"/>
          <w:b/>
        </w:rPr>
        <w:t xml:space="preserve">Three-Group </w:t>
      </w:r>
      <w:r w:rsidRPr="00C3416D">
        <w:rPr>
          <w:rFonts w:ascii="Times New Roman" w:hAnsi="Times New Roman" w:cs="Times New Roman"/>
          <w:b/>
        </w:rPr>
        <w:t xml:space="preserve">Difference-in-Difference Results </w:t>
      </w:r>
      <w:r>
        <w:rPr>
          <w:rFonts w:ascii="Times New Roman" w:hAnsi="Times New Roman" w:cs="Times New Roman"/>
          <w:b/>
        </w:rPr>
        <w:t xml:space="preserve">with Weighted Growth Rates </w:t>
      </w:r>
    </w:p>
    <w:tbl>
      <w:tblPr>
        <w:tblStyle w:val="LightShading"/>
        <w:tblW w:w="9322" w:type="dxa"/>
        <w:tblLayout w:type="fixed"/>
        <w:tblLook w:val="04A0" w:firstRow="1" w:lastRow="0" w:firstColumn="1" w:lastColumn="0" w:noHBand="0" w:noVBand="1"/>
      </w:tblPr>
      <w:tblGrid>
        <w:gridCol w:w="2516"/>
        <w:gridCol w:w="1361"/>
        <w:gridCol w:w="1361"/>
        <w:gridCol w:w="1361"/>
        <w:gridCol w:w="1361"/>
        <w:gridCol w:w="1362"/>
      </w:tblGrid>
      <w:tr w:rsidR="00EE5A83" w:rsidRPr="00C3416D" w:rsidTr="007568A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EE5A83" w:rsidRPr="00C3416D" w:rsidRDefault="00EE5A83" w:rsidP="007568A0">
            <w:pPr>
              <w:jc w:val="center"/>
              <w:rPr>
                <w:rFonts w:ascii="Times New Roman" w:hAnsi="Times New Roman" w:cs="Times New Roman"/>
                <w:i/>
                <w:sz w:val="18"/>
                <w:szCs w:val="18"/>
              </w:rPr>
            </w:pPr>
            <w:r w:rsidRPr="00C3416D">
              <w:rPr>
                <w:rFonts w:ascii="Times New Roman" w:hAnsi="Times New Roman" w:cs="Times New Roman"/>
                <w:b w:val="0"/>
                <w:i/>
                <w:sz w:val="18"/>
                <w:szCs w:val="18"/>
              </w:rPr>
              <w:t>Panel A: Net Output Growth</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EE5A83" w:rsidRPr="00C3416D" w:rsidRDefault="00EE5A83" w:rsidP="007568A0">
            <w:pPr>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tcBorders>
              <w:top w:val="single" w:sz="4" w:space="0" w:color="auto"/>
            </w:tcBorders>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4.922**</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(2.184)</w:t>
            </w:r>
          </w:p>
        </w:tc>
        <w:tc>
          <w:tcPr>
            <w:tcW w:w="1361" w:type="dxa"/>
            <w:tcBorders>
              <w:top w:val="single" w:sz="4" w:space="0" w:color="auto"/>
            </w:tcBorders>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4.707*</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(2.486)</w:t>
            </w:r>
          </w:p>
        </w:tc>
        <w:tc>
          <w:tcPr>
            <w:tcW w:w="1361" w:type="dxa"/>
            <w:tcBorders>
              <w:top w:val="single" w:sz="4" w:space="0" w:color="auto"/>
            </w:tcBorders>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3.844**</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(1.772)</w:t>
            </w:r>
          </w:p>
        </w:tc>
        <w:tc>
          <w:tcPr>
            <w:tcW w:w="1361" w:type="dxa"/>
            <w:tcBorders>
              <w:top w:val="single" w:sz="4" w:space="0" w:color="auto"/>
            </w:tcBorders>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4.436**</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(2.191)</w:t>
            </w:r>
          </w:p>
        </w:tc>
        <w:tc>
          <w:tcPr>
            <w:tcW w:w="1362" w:type="dxa"/>
            <w:tcBorders>
              <w:top w:val="single" w:sz="4" w:space="0" w:color="auto"/>
            </w:tcBorders>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5.023**</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(2.223)</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2.048</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(2.235)</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0.899</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(3.593)</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3.073</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(2.225)</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1.565</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(2.372)</w:t>
            </w:r>
          </w:p>
        </w:tc>
        <w:tc>
          <w:tcPr>
            <w:tcW w:w="1362"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1.830</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(2.418)</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-2.330**</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(0.929)</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-1.942**</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(0.911)</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-2.378**</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(0.912)</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-1.817**</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(0.856)</w:t>
            </w:r>
          </w:p>
        </w:tc>
        <w:tc>
          <w:tcPr>
            <w:tcW w:w="1362"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-2.373**</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(0.931)</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-2.157**</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(0.897)</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-2.592**</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(1.310)</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-3.388***</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(0.961)</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-1.796*</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(1.009)</w:t>
            </w:r>
          </w:p>
        </w:tc>
        <w:tc>
          <w:tcPr>
            <w:tcW w:w="1362"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-2.196**</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(0.940)</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1930-35,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-0.589</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(1.882)</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4.222</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(2.982)</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-1.909</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(1.513)</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-1.429</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(2.737)</w:t>
            </w:r>
          </w:p>
        </w:tc>
        <w:tc>
          <w:tcPr>
            <w:tcW w:w="1362"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-0.458</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(2.493)</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3.215***</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(0.718)</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-0.303</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(1.279)</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1.810**</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(0.870)</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3.816***</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(1.123)</w:t>
            </w:r>
          </w:p>
        </w:tc>
        <w:tc>
          <w:tcPr>
            <w:tcW w:w="1362"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3.380***</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(0.902)</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Census of Production Sectors</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2"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w:t>
            </w:r>
            <w:r>
              <w:rPr>
                <w:rFonts w:ascii="Times New Roman" w:hAnsi="Times New Roman" w:cs="Times New Roman"/>
                <w:sz w:val="18"/>
                <w:szCs w:val="18"/>
              </w:rPr>
              <w:t>064</w:t>
            </w:r>
          </w:p>
        </w:tc>
        <w:tc>
          <w:tcPr>
            <w:tcW w:w="1361" w:type="dxa"/>
            <w:tcBorders>
              <w:bottom w:val="single" w:sz="12"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0.154</w:t>
            </w:r>
          </w:p>
        </w:tc>
        <w:tc>
          <w:tcPr>
            <w:tcW w:w="1361" w:type="dxa"/>
            <w:tcBorders>
              <w:bottom w:val="single" w:sz="12"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0.682</w:t>
            </w:r>
          </w:p>
        </w:tc>
        <w:tc>
          <w:tcPr>
            <w:tcW w:w="1361" w:type="dxa"/>
            <w:tcBorders>
              <w:bottom w:val="single" w:sz="12"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0.083</w:t>
            </w:r>
          </w:p>
        </w:tc>
        <w:tc>
          <w:tcPr>
            <w:tcW w:w="1362" w:type="dxa"/>
            <w:tcBorders>
              <w:bottom w:val="single" w:sz="12"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w:t>
            </w:r>
            <w:r>
              <w:rPr>
                <w:rFonts w:ascii="Times New Roman" w:hAnsi="Times New Roman" w:cs="Times New Roman"/>
                <w:sz w:val="18"/>
                <w:szCs w:val="18"/>
              </w:rPr>
              <w:t>071</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EE5A83" w:rsidRPr="00C3416D" w:rsidRDefault="00EE5A83" w:rsidP="007568A0">
            <w:pPr>
              <w:jc w:val="center"/>
              <w:rPr>
                <w:rFonts w:ascii="Times New Roman" w:hAnsi="Times New Roman" w:cs="Times New Roman"/>
                <w:i/>
                <w:sz w:val="18"/>
                <w:szCs w:val="18"/>
              </w:rPr>
            </w:pPr>
            <w:r w:rsidRPr="00C3416D">
              <w:rPr>
                <w:rFonts w:ascii="Times New Roman" w:hAnsi="Times New Roman" w:cs="Times New Roman"/>
                <w:b w:val="0"/>
                <w:i/>
                <w:sz w:val="18"/>
                <w:szCs w:val="18"/>
              </w:rPr>
              <w:t xml:space="preserve">Panel B: Net Output </w:t>
            </w:r>
            <w:r w:rsidR="00B9694E">
              <w:rPr>
                <w:rFonts w:ascii="Times New Roman" w:hAnsi="Times New Roman" w:cs="Times New Roman"/>
                <w:b w:val="0"/>
                <w:i/>
                <w:sz w:val="18"/>
                <w:szCs w:val="18"/>
              </w:rPr>
              <w:t>per worker</w:t>
            </w:r>
            <w:r w:rsidRPr="00C3416D">
              <w:rPr>
                <w:rFonts w:ascii="Times New Roman" w:hAnsi="Times New Roman" w:cs="Times New Roman"/>
                <w:b w:val="0"/>
                <w:i/>
                <w:sz w:val="18"/>
                <w:szCs w:val="18"/>
              </w:rPr>
              <w:t xml:space="preserve"> Growth</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EE5A83" w:rsidRPr="00C3416D" w:rsidRDefault="00EE5A83" w:rsidP="007568A0">
            <w:pPr>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tcBorders>
              <w:top w:val="single" w:sz="4" w:space="0" w:color="auto"/>
            </w:tcBorders>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2.419*</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(1.449)</w:t>
            </w:r>
          </w:p>
        </w:tc>
        <w:tc>
          <w:tcPr>
            <w:tcW w:w="1361" w:type="dxa"/>
            <w:tcBorders>
              <w:top w:val="single" w:sz="4" w:space="0" w:color="auto"/>
            </w:tcBorders>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2.438</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(1.486)</w:t>
            </w:r>
          </w:p>
        </w:tc>
        <w:tc>
          <w:tcPr>
            <w:tcW w:w="1361" w:type="dxa"/>
            <w:tcBorders>
              <w:top w:val="single" w:sz="4" w:space="0" w:color="auto"/>
            </w:tcBorders>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2.537*</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(1.501)</w:t>
            </w:r>
          </w:p>
        </w:tc>
        <w:tc>
          <w:tcPr>
            <w:tcW w:w="1361" w:type="dxa"/>
            <w:tcBorders>
              <w:top w:val="single" w:sz="4" w:space="0" w:color="auto"/>
            </w:tcBorders>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2.214</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(1.463)</w:t>
            </w:r>
          </w:p>
        </w:tc>
        <w:tc>
          <w:tcPr>
            <w:tcW w:w="1362" w:type="dxa"/>
            <w:tcBorders>
              <w:top w:val="single" w:sz="4" w:space="0" w:color="auto"/>
            </w:tcBorders>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2.425*</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(1.430)</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-0.250</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(1.330)</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-1.990</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(2.051)</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1.490</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(1.587)</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-0.430</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(1.518)</w:t>
            </w:r>
          </w:p>
        </w:tc>
        <w:tc>
          <w:tcPr>
            <w:tcW w:w="1362"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-0.564</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(1.393)</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-0.833</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(0.575)</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-0.830</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(0.626)</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-1.124</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(0.873)</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-0.674</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(0.558)</w:t>
            </w:r>
          </w:p>
        </w:tc>
        <w:tc>
          <w:tcPr>
            <w:tcW w:w="1362"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-0.785</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(0.574)</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-0.876</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(0.612)</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-1.401*</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(0.720)</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-1.244</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(0.884)</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-0.861</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(0.681)</w:t>
            </w:r>
          </w:p>
        </w:tc>
        <w:tc>
          <w:tcPr>
            <w:tcW w:w="1362"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-0.792</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(0.618)</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1930-35,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0.627</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(1.098)</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3.678*</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(2.223)</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-0.864</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(1.284)</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0.278</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(2.080)</w:t>
            </w:r>
          </w:p>
        </w:tc>
        <w:tc>
          <w:tcPr>
            <w:tcW w:w="1362"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1.137</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(1.359)</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1.922***</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(0.433)</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1.555</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(0.974)</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0.716</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(0.673)</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2.328**</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(0.898)</w:t>
            </w:r>
          </w:p>
        </w:tc>
        <w:tc>
          <w:tcPr>
            <w:tcW w:w="1362"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1.671***</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(0.531)</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8"/>
                <w:szCs w:val="8"/>
              </w:rPr>
            </w:pP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Census of Production Sectors</w:t>
            </w: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8"/>
                <w:szCs w:val="8"/>
              </w:rPr>
            </w:pP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8"/>
                <w:szCs w:val="8"/>
              </w:rPr>
            </w:pP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2"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0.06</w:t>
            </w:r>
            <w:r>
              <w:rPr>
                <w:rFonts w:ascii="Times New Roman" w:hAnsi="Times New Roman" w:cs="Times New Roman"/>
                <w:sz w:val="18"/>
                <w:szCs w:val="18"/>
              </w:rPr>
              <w:t>4</w:t>
            </w:r>
          </w:p>
        </w:tc>
        <w:tc>
          <w:tcPr>
            <w:tcW w:w="1361" w:type="dxa"/>
            <w:tcBorders>
              <w:bottom w:val="single" w:sz="12"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w:t>
            </w:r>
            <w:r>
              <w:rPr>
                <w:rFonts w:ascii="Times New Roman" w:hAnsi="Times New Roman" w:cs="Times New Roman"/>
                <w:sz w:val="18"/>
                <w:szCs w:val="18"/>
              </w:rPr>
              <w:t>215</w:t>
            </w:r>
          </w:p>
        </w:tc>
        <w:tc>
          <w:tcPr>
            <w:tcW w:w="1361" w:type="dxa"/>
            <w:tcBorders>
              <w:bottom w:val="single" w:sz="12"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w:t>
            </w:r>
            <w:r>
              <w:rPr>
                <w:rFonts w:ascii="Times New Roman" w:hAnsi="Times New Roman" w:cs="Times New Roman"/>
                <w:sz w:val="18"/>
                <w:szCs w:val="18"/>
              </w:rPr>
              <w:t>554</w:t>
            </w:r>
          </w:p>
        </w:tc>
        <w:tc>
          <w:tcPr>
            <w:tcW w:w="1361" w:type="dxa"/>
            <w:tcBorders>
              <w:bottom w:val="single" w:sz="12"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w:t>
            </w:r>
            <w:r>
              <w:rPr>
                <w:rFonts w:ascii="Times New Roman" w:hAnsi="Times New Roman" w:cs="Times New Roman"/>
                <w:sz w:val="18"/>
                <w:szCs w:val="18"/>
              </w:rPr>
              <w:t>092</w:t>
            </w:r>
          </w:p>
        </w:tc>
        <w:tc>
          <w:tcPr>
            <w:tcW w:w="1362" w:type="dxa"/>
            <w:tcBorders>
              <w:bottom w:val="single" w:sz="12"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w:t>
            </w:r>
            <w:r>
              <w:rPr>
                <w:rFonts w:ascii="Times New Roman" w:hAnsi="Times New Roman" w:cs="Times New Roman"/>
                <w:sz w:val="18"/>
                <w:szCs w:val="18"/>
              </w:rPr>
              <w:t>076</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9322" w:type="dxa"/>
            <w:gridSpan w:val="6"/>
            <w:tcBorders>
              <w:top w:val="single" w:sz="12" w:space="0" w:color="auto"/>
              <w:bottom w:val="nil"/>
            </w:tcBorders>
            <w:shd w:val="clear" w:color="auto" w:fill="auto"/>
          </w:tcPr>
          <w:p w:rsidR="00EE5A83" w:rsidRPr="00C3416D" w:rsidRDefault="00EE5A83" w:rsidP="007568A0">
            <w:pPr>
              <w:jc w:val="center"/>
              <w:rPr>
                <w:rFonts w:ascii="Times New Roman" w:hAnsi="Times New Roman" w:cs="Times New Roman"/>
                <w:i/>
                <w:sz w:val="18"/>
                <w:szCs w:val="18"/>
              </w:rPr>
            </w:pPr>
            <w:r w:rsidRPr="00C3416D">
              <w:rPr>
                <w:rFonts w:ascii="Times New Roman" w:hAnsi="Times New Roman" w:cs="Times New Roman"/>
                <w:b w:val="0"/>
                <w:i/>
                <w:sz w:val="18"/>
                <w:szCs w:val="18"/>
              </w:rPr>
              <w:t>Panel C: Employment Growth</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tcBorders>
              <w:top w:val="nil"/>
              <w:bottom w:val="single" w:sz="4" w:space="0" w:color="auto"/>
            </w:tcBorders>
            <w:shd w:val="clear" w:color="auto" w:fill="auto"/>
          </w:tcPr>
          <w:p w:rsidR="00EE5A83" w:rsidRPr="00C3416D" w:rsidRDefault="00EE5A83" w:rsidP="007568A0">
            <w:pPr>
              <w:jc w:val="both"/>
              <w:rPr>
                <w:rFonts w:ascii="Times New Roman" w:hAnsi="Times New Roman" w:cs="Times New Roman"/>
                <w:b w:val="0"/>
                <w:sz w:val="18"/>
                <w:szCs w:val="18"/>
              </w:rPr>
            </w:pPr>
          </w:p>
        </w:tc>
        <w:tc>
          <w:tcPr>
            <w:tcW w:w="1361" w:type="dxa"/>
            <w:tcBorders>
              <w:bottom w:val="single" w:sz="4"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(1)</w:t>
            </w:r>
          </w:p>
        </w:tc>
        <w:tc>
          <w:tcPr>
            <w:tcW w:w="1361" w:type="dxa"/>
            <w:tcBorders>
              <w:bottom w:val="single" w:sz="4"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w:t>
            </w:r>
          </w:p>
        </w:tc>
        <w:tc>
          <w:tcPr>
            <w:tcW w:w="1361" w:type="dxa"/>
            <w:tcBorders>
              <w:bottom w:val="single" w:sz="4"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3</w:t>
            </w:r>
            <w:r w:rsidRPr="00C3416D">
              <w:rPr>
                <w:rFonts w:ascii="Times New Roman" w:hAnsi="Times New Roman" w:cs="Times New Roman"/>
                <w:sz w:val="18"/>
                <w:szCs w:val="18"/>
              </w:rPr>
              <w:t>)</w:t>
            </w:r>
          </w:p>
        </w:tc>
        <w:tc>
          <w:tcPr>
            <w:tcW w:w="1361" w:type="dxa"/>
            <w:tcBorders>
              <w:bottom w:val="single" w:sz="4"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4</w:t>
            </w:r>
            <w:r w:rsidRPr="00C3416D">
              <w:rPr>
                <w:rFonts w:ascii="Times New Roman" w:hAnsi="Times New Roman" w:cs="Times New Roman"/>
                <w:sz w:val="18"/>
                <w:szCs w:val="18"/>
              </w:rPr>
              <w:t>)</w:t>
            </w:r>
          </w:p>
        </w:tc>
        <w:tc>
          <w:tcPr>
            <w:tcW w:w="1362" w:type="dxa"/>
            <w:tcBorders>
              <w:bottom w:val="single" w:sz="4" w:space="0" w:color="auto"/>
            </w:tcBorders>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w:t>
            </w:r>
            <w:r>
              <w:rPr>
                <w:rFonts w:ascii="Times New Roman" w:hAnsi="Times New Roman" w:cs="Times New Roman"/>
                <w:sz w:val="18"/>
                <w:szCs w:val="18"/>
              </w:rPr>
              <w:t>5</w:t>
            </w:r>
            <w:r w:rsidRPr="00C3416D">
              <w:rPr>
                <w:rFonts w:ascii="Times New Roman" w:hAnsi="Times New Roman" w:cs="Times New Roman"/>
                <w:sz w:val="18"/>
                <w:szCs w:val="18"/>
              </w:rPr>
              <w:t>)</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tcBorders>
              <w:top w:val="single" w:sz="4" w:space="0" w:color="auto"/>
            </w:tcBorders>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tcBorders>
              <w:top w:val="single" w:sz="4" w:space="0" w:color="auto"/>
            </w:tcBorders>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2.477*</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(1.484)</w:t>
            </w:r>
          </w:p>
        </w:tc>
        <w:tc>
          <w:tcPr>
            <w:tcW w:w="1361" w:type="dxa"/>
            <w:tcBorders>
              <w:top w:val="single" w:sz="4" w:space="0" w:color="auto"/>
            </w:tcBorders>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2.236</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(1.647)</w:t>
            </w:r>
          </w:p>
        </w:tc>
        <w:tc>
          <w:tcPr>
            <w:tcW w:w="1361" w:type="dxa"/>
            <w:tcBorders>
              <w:top w:val="single" w:sz="4" w:space="0" w:color="auto"/>
            </w:tcBorders>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1.253</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(1.295)</w:t>
            </w:r>
          </w:p>
        </w:tc>
        <w:tc>
          <w:tcPr>
            <w:tcW w:w="1361" w:type="dxa"/>
            <w:tcBorders>
              <w:top w:val="single" w:sz="4" w:space="0" w:color="auto"/>
            </w:tcBorders>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2.191</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(1.466)</w:t>
            </w:r>
          </w:p>
        </w:tc>
        <w:tc>
          <w:tcPr>
            <w:tcW w:w="1362" w:type="dxa"/>
            <w:tcBorders>
              <w:top w:val="single" w:sz="4" w:space="0" w:color="auto"/>
            </w:tcBorders>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2.573*</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(1.543)</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D-in-D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δ</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2.285</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(1.472)</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2.905</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(2.383)</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1.515</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(1.503)</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1.981</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(1.546)</w:t>
            </w:r>
          </w:p>
        </w:tc>
        <w:tc>
          <w:tcPr>
            <w:tcW w:w="1362"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2.385</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(1.649)</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&gt;10%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add</m:t>
                  </m:r>
                </m:sub>
              </m:sSub>
            </m:oMath>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-1.452*</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(0.811)</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-1.065</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(0.798)</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-1.198</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(1.013)</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-1.102</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(0.757)</w:t>
            </w:r>
          </w:p>
        </w:tc>
        <w:tc>
          <w:tcPr>
            <w:tcW w:w="1362"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-1.542*</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(0.819)</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10% Protected Industries,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β</m:t>
                      </m:r>
                    </m:e>
                  </m:acc>
                  <m:ctrlPr>
                    <w:rPr>
                      <w:rFonts w:ascii="Cambria Math" w:hAnsi="Cambria Math" w:cs="Times New Roman"/>
                      <w:b w:val="0"/>
                      <w:i/>
                      <w:sz w:val="18"/>
                      <w:szCs w:val="18"/>
                    </w:rPr>
                  </m:ctrlPr>
                </m:e>
                <m:sub>
                  <m:r>
                    <m:rPr>
                      <m:sty m:val="bi"/>
                    </m:rPr>
                    <w:rPr>
                      <w:rFonts w:ascii="Cambria Math" w:hAnsi="Cambria Math" w:cs="Times New Roman"/>
                      <w:sz w:val="18"/>
                      <w:szCs w:val="18"/>
                    </w:rPr>
                    <m:t>ten</m:t>
                  </m:r>
                </m:sub>
              </m:sSub>
            </m:oMath>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-1.254*</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(0.719)</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-1.168</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(1.119)</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-2.072**</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(1.018)</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-0.915</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(0.848)</w:t>
            </w:r>
          </w:p>
        </w:tc>
        <w:tc>
          <w:tcPr>
            <w:tcW w:w="1362"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-1.373*</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(0.768)</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Dummy Variable for 1930-35,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1</m:t>
                  </m:r>
                </m:sub>
              </m:sSub>
            </m:oMath>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-1.239</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(1.280)</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0.516</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(2.014)</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-1.001</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(1.007)</w:t>
            </w:r>
          </w:p>
        </w:tc>
        <w:tc>
          <w:tcPr>
            <w:tcW w:w="1361"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-1.719</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(1.808)</w:t>
            </w:r>
          </w:p>
        </w:tc>
        <w:tc>
          <w:tcPr>
            <w:tcW w:w="1362" w:type="dxa"/>
            <w:shd w:val="clear" w:color="auto" w:fill="auto"/>
          </w:tcPr>
          <w:p w:rsidR="00EE5A83"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-1.627</w:t>
            </w:r>
          </w:p>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(1.835)</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 xml:space="preserve">Constant, </w:t>
            </w:r>
            <m:oMath>
              <m:sSub>
                <m:sSubPr>
                  <m:ctrlPr>
                    <w:rPr>
                      <w:rFonts w:ascii="Cambria Math" w:hAnsi="Cambria Math" w:cs="Times New Roman"/>
                      <w:bCs w:val="0"/>
                      <w:i/>
                      <w:sz w:val="18"/>
                      <w:szCs w:val="18"/>
                    </w:rPr>
                  </m:ctrlPr>
                </m:sSubPr>
                <m:e>
                  <m:acc>
                    <m:accPr>
                      <m:ctrlPr>
                        <w:rPr>
                          <w:rFonts w:ascii="Cambria Math" w:hAnsi="Cambria Math" w:cs="Times New Roman"/>
                          <w:b w:val="0"/>
                          <w:i/>
                          <w:sz w:val="18"/>
                          <w:szCs w:val="18"/>
                        </w:rPr>
                      </m:ctrlPr>
                    </m:accPr>
                    <m:e>
                      <m:r>
                        <m:rPr>
                          <m:sty m:val="bi"/>
                        </m:rPr>
                        <w:rPr>
                          <w:rFonts w:ascii="Cambria Math" w:hAnsi="Cambria Math" w:cs="Times New Roman"/>
                          <w:sz w:val="18"/>
                          <w:szCs w:val="18"/>
                        </w:rPr>
                        <m:t>α</m:t>
                      </m:r>
                    </m:e>
                  </m:acc>
                  <m:ctrlPr>
                    <w:rPr>
                      <w:rFonts w:ascii="Cambria Math" w:hAnsi="Cambria Math" w:cs="Times New Roman"/>
                      <w:b w:val="0"/>
                      <w:i/>
                      <w:sz w:val="18"/>
                      <w:szCs w:val="18"/>
                    </w:rPr>
                  </m:ctrlPr>
                </m:e>
                <m:sub>
                  <m:r>
                    <m:rPr>
                      <m:sty m:val="bi"/>
                    </m:rPr>
                    <w:rPr>
                      <w:rFonts w:ascii="Cambria Math" w:hAnsi="Cambria Math" w:cs="Times New Roman"/>
                      <w:sz w:val="18"/>
                      <w:szCs w:val="18"/>
                    </w:rPr>
                    <m:t>0</m:t>
                  </m:r>
                </m:sub>
              </m:sSub>
            </m:oMath>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1.271**</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(0.571)</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-1.842</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(1.474)</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1.054</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(0.814)</w:t>
            </w:r>
          </w:p>
        </w:tc>
        <w:tc>
          <w:tcPr>
            <w:tcW w:w="1361"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1.466</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(0.947)</w:t>
            </w:r>
          </w:p>
        </w:tc>
        <w:tc>
          <w:tcPr>
            <w:tcW w:w="1362" w:type="dxa"/>
            <w:shd w:val="clear" w:color="auto" w:fill="auto"/>
          </w:tcPr>
          <w:p w:rsidR="00EE5A83"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1.678**</w:t>
            </w:r>
          </w:p>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(0.828)</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Control Variables Included</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None</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Census of Production Sectors</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Disagg. (Barna) Sectors</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KS Dummies</w:t>
            </w:r>
          </w:p>
        </w:tc>
        <w:tc>
          <w:tcPr>
            <w:tcW w:w="1362"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Elect. Dummies</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1"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c>
          <w:tcPr>
            <w:tcW w:w="1362" w:type="dxa"/>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8"/>
                <w:szCs w:val="8"/>
              </w:rPr>
            </w:pP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6" w:type="dxa"/>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Observations</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1"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c>
          <w:tcPr>
            <w:tcW w:w="1362" w:type="dxa"/>
            <w:shd w:val="clear" w:color="auto" w:fill="auto"/>
          </w:tcPr>
          <w:p w:rsidR="00EE5A83" w:rsidRPr="00C3416D" w:rsidRDefault="00EE5A83" w:rsidP="007568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218</w:t>
            </w:r>
          </w:p>
        </w:tc>
      </w:tr>
      <w:tr w:rsidR="00EE5A83" w:rsidRPr="00C3416D" w:rsidTr="007568A0">
        <w:tc>
          <w:tcPr>
            <w:cnfStyle w:val="001000000000" w:firstRow="0" w:lastRow="0" w:firstColumn="1" w:lastColumn="0" w:oddVBand="0" w:evenVBand="0" w:oddHBand="0" w:evenHBand="0" w:firstRowFirstColumn="0" w:firstRowLastColumn="0" w:lastRowFirstColumn="0" w:lastRowLastColumn="0"/>
            <w:tcW w:w="2516" w:type="dxa"/>
            <w:tcBorders>
              <w:bottom w:val="single" w:sz="12" w:space="0" w:color="auto"/>
            </w:tcBorders>
            <w:shd w:val="clear" w:color="auto" w:fill="auto"/>
          </w:tcPr>
          <w:p w:rsidR="00EE5A83" w:rsidRPr="00C3416D" w:rsidRDefault="00EE5A83" w:rsidP="007568A0">
            <w:pPr>
              <w:rPr>
                <w:rFonts w:ascii="Times New Roman" w:hAnsi="Times New Roman" w:cs="Times New Roman"/>
                <w:b w:val="0"/>
                <w:sz w:val="18"/>
                <w:szCs w:val="18"/>
              </w:rPr>
            </w:pPr>
            <w:r w:rsidRPr="00C3416D">
              <w:rPr>
                <w:rFonts w:ascii="Times New Roman" w:hAnsi="Times New Roman" w:cs="Times New Roman"/>
                <w:b w:val="0"/>
                <w:sz w:val="18"/>
                <w:szCs w:val="18"/>
              </w:rPr>
              <w:t>R-squared</w:t>
            </w:r>
          </w:p>
        </w:tc>
        <w:tc>
          <w:tcPr>
            <w:tcW w:w="1361" w:type="dxa"/>
            <w:tcBorders>
              <w:bottom w:val="single" w:sz="12"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w:t>
            </w:r>
            <w:r>
              <w:rPr>
                <w:rFonts w:ascii="Times New Roman" w:hAnsi="Times New Roman" w:cs="Times New Roman"/>
                <w:sz w:val="18"/>
                <w:szCs w:val="18"/>
              </w:rPr>
              <w:t>19</w:t>
            </w:r>
          </w:p>
        </w:tc>
        <w:tc>
          <w:tcPr>
            <w:tcW w:w="1361" w:type="dxa"/>
            <w:tcBorders>
              <w:bottom w:val="single" w:sz="12"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w:t>
            </w:r>
            <w:r>
              <w:rPr>
                <w:rFonts w:ascii="Times New Roman" w:hAnsi="Times New Roman" w:cs="Times New Roman"/>
                <w:sz w:val="18"/>
                <w:szCs w:val="18"/>
              </w:rPr>
              <w:t>113</w:t>
            </w:r>
          </w:p>
        </w:tc>
        <w:tc>
          <w:tcPr>
            <w:tcW w:w="1361" w:type="dxa"/>
            <w:tcBorders>
              <w:bottom w:val="single" w:sz="12"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w:t>
            </w:r>
            <w:r>
              <w:rPr>
                <w:rFonts w:ascii="Times New Roman" w:hAnsi="Times New Roman" w:cs="Times New Roman"/>
                <w:sz w:val="18"/>
                <w:szCs w:val="18"/>
              </w:rPr>
              <w:t>651</w:t>
            </w:r>
          </w:p>
        </w:tc>
        <w:tc>
          <w:tcPr>
            <w:tcW w:w="1361" w:type="dxa"/>
            <w:tcBorders>
              <w:bottom w:val="single" w:sz="12"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0.039</w:t>
            </w:r>
          </w:p>
        </w:tc>
        <w:tc>
          <w:tcPr>
            <w:tcW w:w="1362" w:type="dxa"/>
            <w:tcBorders>
              <w:bottom w:val="single" w:sz="12" w:space="0" w:color="auto"/>
            </w:tcBorders>
            <w:shd w:val="clear" w:color="auto" w:fill="auto"/>
          </w:tcPr>
          <w:p w:rsidR="00EE5A83" w:rsidRPr="00C3416D" w:rsidRDefault="00EE5A83" w:rsidP="007568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3416D">
              <w:rPr>
                <w:rFonts w:ascii="Times New Roman" w:hAnsi="Times New Roman" w:cs="Times New Roman"/>
                <w:sz w:val="18"/>
                <w:szCs w:val="18"/>
              </w:rPr>
              <w:t>0.0</w:t>
            </w:r>
            <w:r>
              <w:rPr>
                <w:rFonts w:ascii="Times New Roman" w:hAnsi="Times New Roman" w:cs="Times New Roman"/>
                <w:sz w:val="18"/>
                <w:szCs w:val="18"/>
              </w:rPr>
              <w:t>24</w:t>
            </w:r>
          </w:p>
        </w:tc>
      </w:tr>
      <w:tr w:rsidR="00EE5A83" w:rsidRPr="00C3416D" w:rsidTr="00756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gridSpan w:val="6"/>
            <w:tcBorders>
              <w:bottom w:val="single" w:sz="4" w:space="0" w:color="FFFFFF" w:themeColor="background1"/>
            </w:tcBorders>
            <w:shd w:val="clear" w:color="auto" w:fill="auto"/>
          </w:tcPr>
          <w:p w:rsidR="00EE5A83" w:rsidRPr="00C3416D" w:rsidRDefault="00EE5A83" w:rsidP="007568A0">
            <w:pPr>
              <w:jc w:val="both"/>
              <w:rPr>
                <w:rFonts w:ascii="Times New Roman" w:hAnsi="Times New Roman" w:cs="Times New Roman"/>
                <w:sz w:val="18"/>
                <w:szCs w:val="18"/>
              </w:rPr>
            </w:pPr>
            <w:r w:rsidRPr="00C3416D">
              <w:rPr>
                <w:rFonts w:ascii="Times New Roman" w:hAnsi="Times New Roman" w:cs="Times New Roman"/>
                <w:b w:val="0"/>
                <w:i/>
                <w:sz w:val="18"/>
                <w:szCs w:val="18"/>
              </w:rPr>
              <w:t>Notes:</w:t>
            </w:r>
            <w:r w:rsidRPr="00C3416D">
              <w:rPr>
                <w:rFonts w:ascii="Times New Roman" w:hAnsi="Times New Roman" w:cs="Times New Roman"/>
                <w:b w:val="0"/>
                <w:sz w:val="18"/>
                <w:szCs w:val="18"/>
              </w:rPr>
              <w:t xml:space="preserve"> Estimated regression results for the three-group classification</w:t>
            </w:r>
            <w:r>
              <w:rPr>
                <w:rFonts w:ascii="Times New Roman" w:hAnsi="Times New Roman" w:cs="Times New Roman"/>
                <w:b w:val="0"/>
                <w:sz w:val="18"/>
                <w:szCs w:val="18"/>
              </w:rPr>
              <w:t xml:space="preserve"> with growth rates weighted by the 1924 net output (in constant prices) relative to the mean across industries in the same year</w:t>
            </w:r>
            <w:r w:rsidRPr="00C3416D">
              <w:rPr>
                <w:rFonts w:ascii="Times New Roman" w:hAnsi="Times New Roman" w:cs="Times New Roman"/>
                <w:b w:val="0"/>
                <w:sz w:val="18"/>
                <w:szCs w:val="18"/>
              </w:rPr>
              <w:t>. In panel A, the dependent variable is annualised average (real) net output</w:t>
            </w:r>
            <w:r>
              <w:rPr>
                <w:rFonts w:ascii="Times New Roman" w:hAnsi="Times New Roman" w:cs="Times New Roman"/>
                <w:b w:val="0"/>
                <w:sz w:val="18"/>
                <w:szCs w:val="18"/>
              </w:rPr>
              <w:t xml:space="preserve"> weighted</w:t>
            </w:r>
            <w:r w:rsidRPr="00C3416D">
              <w:rPr>
                <w:rFonts w:ascii="Times New Roman" w:hAnsi="Times New Roman" w:cs="Times New Roman"/>
                <w:b w:val="0"/>
                <w:sz w:val="18"/>
                <w:szCs w:val="18"/>
              </w:rPr>
              <w:t xml:space="preserve"> growth. The corresponding dependent variables in panels B and C are annualised average net output </w:t>
            </w:r>
            <w:r w:rsidR="00B9694E">
              <w:rPr>
                <w:rFonts w:ascii="Times New Roman" w:hAnsi="Times New Roman" w:cs="Times New Roman"/>
                <w:b w:val="0"/>
                <w:sz w:val="18"/>
                <w:szCs w:val="18"/>
              </w:rPr>
              <w:t>per worker</w:t>
            </w:r>
            <w:r w:rsidRPr="00C3416D">
              <w:rPr>
                <w:rFonts w:ascii="Times New Roman" w:hAnsi="Times New Roman" w:cs="Times New Roman"/>
                <w:b w:val="0"/>
                <w:sz w:val="18"/>
                <w:szCs w:val="18"/>
              </w:rPr>
              <w:t xml:space="preserve"> </w:t>
            </w:r>
            <w:r>
              <w:rPr>
                <w:rFonts w:ascii="Times New Roman" w:hAnsi="Times New Roman" w:cs="Times New Roman"/>
                <w:b w:val="0"/>
                <w:sz w:val="18"/>
                <w:szCs w:val="18"/>
              </w:rPr>
              <w:t xml:space="preserve">weighted </w:t>
            </w:r>
            <w:r w:rsidRPr="00C3416D">
              <w:rPr>
                <w:rFonts w:ascii="Times New Roman" w:hAnsi="Times New Roman" w:cs="Times New Roman"/>
                <w:b w:val="0"/>
                <w:sz w:val="18"/>
                <w:szCs w:val="18"/>
              </w:rPr>
              <w:t xml:space="preserve">growth and employment </w:t>
            </w:r>
            <w:r>
              <w:rPr>
                <w:rFonts w:ascii="Times New Roman" w:hAnsi="Times New Roman" w:cs="Times New Roman"/>
                <w:b w:val="0"/>
                <w:sz w:val="18"/>
                <w:szCs w:val="18"/>
              </w:rPr>
              <w:t xml:space="preserve">weighted </w:t>
            </w:r>
            <w:r w:rsidRPr="00C3416D">
              <w:rPr>
                <w:rFonts w:ascii="Times New Roman" w:hAnsi="Times New Roman" w:cs="Times New Roman"/>
                <w:b w:val="0"/>
                <w:sz w:val="18"/>
                <w:szCs w:val="18"/>
              </w:rPr>
              <w:t>growth</w:t>
            </w:r>
            <w:r>
              <w:rPr>
                <w:rFonts w:ascii="Times New Roman" w:hAnsi="Times New Roman" w:cs="Times New Roman"/>
                <w:b w:val="0"/>
                <w:sz w:val="18"/>
                <w:szCs w:val="18"/>
              </w:rPr>
              <w:t>,</w:t>
            </w:r>
            <w:r w:rsidRPr="00C3416D">
              <w:rPr>
                <w:rFonts w:ascii="Times New Roman" w:hAnsi="Times New Roman" w:cs="Times New Roman"/>
                <w:b w:val="0"/>
                <w:sz w:val="18"/>
                <w:szCs w:val="18"/>
              </w:rPr>
              <w:t xml:space="preserve"> respectively. All regressions are estimated by OLS and robust standard errors are reported, where </w:t>
            </w:r>
            <w:r>
              <w:rPr>
                <w:rFonts w:ascii="Times New Roman" w:hAnsi="Times New Roman" w:cs="Times New Roman"/>
                <w:b w:val="0"/>
                <w:sz w:val="18"/>
                <w:szCs w:val="18"/>
              </w:rPr>
              <w:t>*** p&lt;0.01, ** p&lt;0.05, * p&lt;0.1.</w:t>
            </w:r>
          </w:p>
        </w:tc>
      </w:tr>
    </w:tbl>
    <w:p w:rsidR="00EE5A83" w:rsidRDefault="00EE5A83" w:rsidP="00817EAD">
      <w:pPr>
        <w:spacing w:after="0" w:line="360" w:lineRule="auto"/>
        <w:jc w:val="both"/>
        <w:rPr>
          <w:rFonts w:ascii="Times New Roman" w:hAnsi="Times New Roman" w:cs="Times New Roman"/>
        </w:rPr>
      </w:pPr>
    </w:p>
    <w:p w:rsidR="00817EAD" w:rsidRDefault="00817EAD" w:rsidP="00EE5A83">
      <w:pPr>
        <w:spacing w:after="0" w:line="360" w:lineRule="auto"/>
        <w:ind w:firstLine="720"/>
        <w:jc w:val="both"/>
        <w:rPr>
          <w:rFonts w:ascii="Times New Roman" w:hAnsi="Times New Roman" w:cs="Times New Roman"/>
        </w:rPr>
      </w:pPr>
      <w:r>
        <w:rPr>
          <w:rFonts w:ascii="Times New Roman" w:hAnsi="Times New Roman" w:cs="Times New Roman"/>
        </w:rPr>
        <w:t xml:space="preserve">In panel B of table </w:t>
      </w:r>
      <w:r w:rsidR="00EE5A83">
        <w:rPr>
          <w:rFonts w:ascii="Times New Roman" w:hAnsi="Times New Roman" w:cs="Times New Roman"/>
        </w:rPr>
        <w:t>B12</w:t>
      </w:r>
      <w:r>
        <w:rPr>
          <w:rFonts w:ascii="Times New Roman" w:hAnsi="Times New Roman" w:cs="Times New Roman"/>
        </w:rPr>
        <w:t>, the estimated treatment effect on the weighted productivity growth of additionally protected industries is between 2.21 and 2.54 percentage points per annum. This figure is significant at the 10 percent level in three of the five regressions, including the baseline regression, as well as the regression with the disaggregated Barna (1952) sectoral classification used in the set of control variables.</w:t>
      </w:r>
    </w:p>
    <w:p w:rsidR="00C8137C" w:rsidRDefault="00C8137C" w:rsidP="00817EAD">
      <w:pPr>
        <w:spacing w:after="0" w:line="360" w:lineRule="auto"/>
        <w:jc w:val="both"/>
        <w:rPr>
          <w:rFonts w:ascii="Times New Roman" w:hAnsi="Times New Roman" w:cs="Times New Roman"/>
        </w:rPr>
      </w:pPr>
    </w:p>
    <w:p w:rsidR="005A357E" w:rsidRPr="005A0128" w:rsidRDefault="005A357E" w:rsidP="005A0128">
      <w:pPr>
        <w:spacing w:line="240" w:lineRule="auto"/>
        <w:ind w:left="284" w:hanging="284"/>
        <w:jc w:val="both"/>
        <w:rPr>
          <w:rFonts w:ascii="Times New Roman" w:hAnsi="Times New Roman" w:cs="Times New Roman"/>
          <w:b/>
          <w:sz w:val="18"/>
          <w:szCs w:val="18"/>
        </w:rPr>
      </w:pPr>
    </w:p>
    <w:sectPr w:rsidR="005A357E" w:rsidRPr="005A0128" w:rsidSect="002517B1">
      <w:footerReference w:type="default" r:id="rId14"/>
      <w:pgSz w:w="11906" w:h="16838"/>
      <w:pgMar w:top="993" w:right="1440" w:bottom="993" w:left="1440" w:header="708"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36AE" w:rsidRDefault="009B36AE" w:rsidP="006F67AB">
      <w:pPr>
        <w:spacing w:after="0" w:line="240" w:lineRule="auto"/>
      </w:pPr>
      <w:r>
        <w:separator/>
      </w:r>
    </w:p>
  </w:endnote>
  <w:endnote w:type="continuationSeparator" w:id="0">
    <w:p w:rsidR="009B36AE" w:rsidRDefault="009B36AE" w:rsidP="006F67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ode">
    <w:altName w:val="Code"/>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9429326"/>
      <w:docPartObj>
        <w:docPartGallery w:val="Page Numbers (Bottom of Page)"/>
        <w:docPartUnique/>
      </w:docPartObj>
    </w:sdtPr>
    <w:sdtEndPr>
      <w:rPr>
        <w:rFonts w:ascii="Times New Roman" w:hAnsi="Times New Roman" w:cs="Times New Roman"/>
        <w:noProof/>
        <w:sz w:val="16"/>
        <w:szCs w:val="16"/>
      </w:rPr>
    </w:sdtEndPr>
    <w:sdtContent>
      <w:p w:rsidR="009B36AE" w:rsidRPr="004F3A85" w:rsidRDefault="009B36AE">
        <w:pPr>
          <w:pStyle w:val="Footer"/>
          <w:jc w:val="right"/>
          <w:rPr>
            <w:rFonts w:ascii="Times New Roman" w:hAnsi="Times New Roman" w:cs="Times New Roman"/>
            <w:sz w:val="16"/>
            <w:szCs w:val="16"/>
          </w:rPr>
        </w:pPr>
        <w:r w:rsidRPr="004F3A85">
          <w:rPr>
            <w:rFonts w:ascii="Times New Roman" w:hAnsi="Times New Roman" w:cs="Times New Roman"/>
            <w:sz w:val="16"/>
            <w:szCs w:val="16"/>
          </w:rPr>
          <w:fldChar w:fldCharType="begin"/>
        </w:r>
        <w:r w:rsidRPr="004F3A85">
          <w:rPr>
            <w:rFonts w:ascii="Times New Roman" w:hAnsi="Times New Roman" w:cs="Times New Roman"/>
            <w:sz w:val="16"/>
            <w:szCs w:val="16"/>
          </w:rPr>
          <w:instrText xml:space="preserve"> PAGE   \* MERGEFORMAT </w:instrText>
        </w:r>
        <w:r w:rsidRPr="004F3A85">
          <w:rPr>
            <w:rFonts w:ascii="Times New Roman" w:hAnsi="Times New Roman" w:cs="Times New Roman"/>
            <w:sz w:val="16"/>
            <w:szCs w:val="16"/>
          </w:rPr>
          <w:fldChar w:fldCharType="separate"/>
        </w:r>
        <w:r w:rsidR="00E645BA">
          <w:rPr>
            <w:rFonts w:ascii="Times New Roman" w:hAnsi="Times New Roman" w:cs="Times New Roman"/>
            <w:noProof/>
            <w:sz w:val="16"/>
            <w:szCs w:val="16"/>
          </w:rPr>
          <w:t>21</w:t>
        </w:r>
        <w:r w:rsidRPr="004F3A85">
          <w:rPr>
            <w:rFonts w:ascii="Times New Roman" w:hAnsi="Times New Roman" w:cs="Times New Roman"/>
            <w:noProof/>
            <w:sz w:val="16"/>
            <w:szCs w:val="16"/>
          </w:rPr>
          <w:fldChar w:fldCharType="end"/>
        </w:r>
      </w:p>
    </w:sdtContent>
  </w:sdt>
  <w:p w:rsidR="009B36AE" w:rsidRDefault="009B36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0456304"/>
      <w:docPartObj>
        <w:docPartGallery w:val="Page Numbers (Bottom of Page)"/>
        <w:docPartUnique/>
      </w:docPartObj>
    </w:sdtPr>
    <w:sdtEndPr>
      <w:rPr>
        <w:rFonts w:ascii="Times New Roman" w:hAnsi="Times New Roman" w:cs="Times New Roman"/>
        <w:noProof/>
        <w:sz w:val="16"/>
        <w:szCs w:val="16"/>
      </w:rPr>
    </w:sdtEndPr>
    <w:sdtContent>
      <w:p w:rsidR="009B36AE" w:rsidRPr="004F3A85" w:rsidRDefault="009B36AE">
        <w:pPr>
          <w:pStyle w:val="Footer"/>
          <w:jc w:val="right"/>
          <w:rPr>
            <w:rFonts w:ascii="Times New Roman" w:hAnsi="Times New Roman" w:cs="Times New Roman"/>
            <w:sz w:val="16"/>
            <w:szCs w:val="16"/>
          </w:rPr>
        </w:pPr>
        <w:r w:rsidRPr="004F3A85">
          <w:rPr>
            <w:rFonts w:ascii="Times New Roman" w:hAnsi="Times New Roman" w:cs="Times New Roman"/>
            <w:sz w:val="16"/>
            <w:szCs w:val="16"/>
          </w:rPr>
          <w:fldChar w:fldCharType="begin"/>
        </w:r>
        <w:r w:rsidRPr="004F3A85">
          <w:rPr>
            <w:rFonts w:ascii="Times New Roman" w:hAnsi="Times New Roman" w:cs="Times New Roman"/>
            <w:sz w:val="16"/>
            <w:szCs w:val="16"/>
          </w:rPr>
          <w:instrText xml:space="preserve"> PAGE   \* MERGEFORMAT </w:instrText>
        </w:r>
        <w:r w:rsidRPr="004F3A85">
          <w:rPr>
            <w:rFonts w:ascii="Times New Roman" w:hAnsi="Times New Roman" w:cs="Times New Roman"/>
            <w:sz w:val="16"/>
            <w:szCs w:val="16"/>
          </w:rPr>
          <w:fldChar w:fldCharType="separate"/>
        </w:r>
        <w:r w:rsidR="00E51F29">
          <w:rPr>
            <w:rFonts w:ascii="Times New Roman" w:hAnsi="Times New Roman" w:cs="Times New Roman"/>
            <w:noProof/>
            <w:sz w:val="16"/>
            <w:szCs w:val="16"/>
          </w:rPr>
          <w:t>51</w:t>
        </w:r>
        <w:r w:rsidRPr="004F3A85">
          <w:rPr>
            <w:rFonts w:ascii="Times New Roman" w:hAnsi="Times New Roman" w:cs="Times New Roman"/>
            <w:noProof/>
            <w:sz w:val="16"/>
            <w:szCs w:val="16"/>
          </w:rPr>
          <w:fldChar w:fldCharType="end"/>
        </w:r>
      </w:p>
    </w:sdtContent>
  </w:sdt>
  <w:p w:rsidR="009B36AE" w:rsidRDefault="009B36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36AE" w:rsidRDefault="009B36AE" w:rsidP="006F67AB">
      <w:pPr>
        <w:spacing w:after="0" w:line="240" w:lineRule="auto"/>
      </w:pPr>
      <w:r>
        <w:separator/>
      </w:r>
    </w:p>
  </w:footnote>
  <w:footnote w:type="continuationSeparator" w:id="0">
    <w:p w:rsidR="009B36AE" w:rsidRDefault="009B36AE" w:rsidP="006F67AB">
      <w:pPr>
        <w:spacing w:after="0" w:line="240" w:lineRule="auto"/>
      </w:pPr>
      <w:r>
        <w:continuationSeparator/>
      </w:r>
    </w:p>
  </w:footnote>
  <w:footnote w:id="1">
    <w:p w:rsidR="009B36AE" w:rsidRPr="003E12AA" w:rsidRDefault="009B36AE" w:rsidP="003E12AA">
      <w:pPr>
        <w:pStyle w:val="FootnoteText"/>
        <w:jc w:val="both"/>
        <w:rPr>
          <w:rFonts w:ascii="Times New Roman" w:hAnsi="Times New Roman" w:cs="Times New Roman"/>
        </w:rPr>
      </w:pPr>
      <w:r w:rsidRPr="003E12AA">
        <w:rPr>
          <w:rStyle w:val="FootnoteReference"/>
          <w:rFonts w:ascii="Times New Roman" w:hAnsi="Times New Roman" w:cs="Times New Roman"/>
        </w:rPr>
        <w:t>*</w:t>
      </w:r>
      <w:r w:rsidRPr="003E12AA">
        <w:rPr>
          <w:rFonts w:ascii="Times New Roman" w:hAnsi="Times New Roman" w:cs="Times New Roman"/>
        </w:rPr>
        <w:t xml:space="preserve"> We thank the Editor and anonymous referees for useful comments. The majority of this paper was written while Lloyd was a member of Gonville &amp; Caius College, University of Cambridge. The views expressed here are those of the authors, and do not reflect the position of the Bank of England or its Committees.</w:t>
      </w:r>
    </w:p>
  </w:footnote>
  <w:footnote w:id="2">
    <w:p w:rsidR="009B36AE" w:rsidRPr="004276E4" w:rsidRDefault="009B36AE" w:rsidP="00C62335">
      <w:pPr>
        <w:pStyle w:val="FootnoteText"/>
        <w:jc w:val="both"/>
        <w:rPr>
          <w:rFonts w:ascii="Times New Roman" w:hAnsi="Times New Roman" w:cs="Times New Roman"/>
        </w:rPr>
      </w:pPr>
      <w:r w:rsidRPr="004276E4">
        <w:rPr>
          <w:rStyle w:val="FootnoteReference"/>
          <w:rFonts w:ascii="Times New Roman" w:hAnsi="Times New Roman" w:cs="Times New Roman"/>
        </w:rPr>
        <w:footnoteRef/>
      </w:r>
      <w:r w:rsidRPr="004276E4">
        <w:rPr>
          <w:rFonts w:ascii="Times New Roman" w:hAnsi="Times New Roman" w:cs="Times New Roman"/>
        </w:rPr>
        <w:t xml:space="preserve"> The difference-in-difference model is now part of the standard econometrics toolkit. We provide a brief outline of the model in the Supplementary material.</w:t>
      </w:r>
    </w:p>
  </w:footnote>
  <w:footnote w:id="3">
    <w:p w:rsidR="009B36AE" w:rsidRPr="00161201" w:rsidRDefault="009B36AE" w:rsidP="00C62335">
      <w:pPr>
        <w:pStyle w:val="FootnoteText"/>
        <w:jc w:val="both"/>
        <w:rPr>
          <w:rFonts w:ascii="Times New Roman" w:hAnsi="Times New Roman" w:cs="Times New Roman"/>
        </w:rPr>
      </w:pPr>
      <w:r w:rsidRPr="004276E4">
        <w:rPr>
          <w:rStyle w:val="FootnoteReference"/>
          <w:rFonts w:ascii="Times New Roman" w:hAnsi="Times New Roman" w:cs="Times New Roman"/>
        </w:rPr>
        <w:footnoteRef/>
      </w:r>
      <w:r>
        <w:rPr>
          <w:rFonts w:ascii="Times New Roman" w:hAnsi="Times New Roman" w:cs="Times New Roman"/>
        </w:rPr>
        <w:t xml:space="preserve"> The 0-10 per</w:t>
      </w:r>
      <w:r w:rsidRPr="004276E4">
        <w:rPr>
          <w:rFonts w:ascii="Times New Roman" w:hAnsi="Times New Roman" w:cs="Times New Roman"/>
        </w:rPr>
        <w:t>cent group is a hybrid group of newly-protected (treated) and non-protected (control) industries. This grouping does not fit well in the difference-in-difference model – this is discussed further below and in the Supplementary material.</w:t>
      </w:r>
    </w:p>
  </w:footnote>
  <w:footnote w:id="4">
    <w:p w:rsidR="009B36AE" w:rsidRPr="00767645" w:rsidRDefault="009B36AE" w:rsidP="00F019CE">
      <w:pPr>
        <w:pStyle w:val="FootnoteText"/>
        <w:jc w:val="both"/>
        <w:rPr>
          <w:rFonts w:ascii="Times New Roman" w:hAnsi="Times New Roman" w:cs="Times New Roman"/>
        </w:rPr>
      </w:pPr>
      <w:r w:rsidRPr="00767645">
        <w:rPr>
          <w:rStyle w:val="FootnoteReference"/>
          <w:rFonts w:ascii="Times New Roman" w:hAnsi="Times New Roman" w:cs="Times New Roman"/>
        </w:rPr>
        <w:footnoteRef/>
      </w:r>
      <w:r w:rsidRPr="00767645">
        <w:rPr>
          <w:rFonts w:ascii="Times New Roman" w:hAnsi="Times New Roman" w:cs="Times New Roman"/>
        </w:rPr>
        <w:t xml:space="preserve"> See Lampe and Sharp (2014) for a survey of the literature on the relationship between trade and growth.</w:t>
      </w:r>
    </w:p>
  </w:footnote>
  <w:footnote w:id="5">
    <w:p w:rsidR="009B36AE" w:rsidRDefault="009B36AE" w:rsidP="00C62335">
      <w:pPr>
        <w:pStyle w:val="FootnoteText"/>
        <w:jc w:val="both"/>
      </w:pPr>
      <w:r w:rsidRPr="004276E4">
        <w:rPr>
          <w:rStyle w:val="FootnoteReference"/>
          <w:rFonts w:ascii="Times New Roman" w:hAnsi="Times New Roman" w:cs="Times New Roman"/>
        </w:rPr>
        <w:footnoteRef/>
      </w:r>
      <w:r w:rsidRPr="004276E4">
        <w:rPr>
          <w:rFonts w:ascii="Times New Roman" w:hAnsi="Times New Roman" w:cs="Times New Roman"/>
        </w:rPr>
        <w:t xml:space="preserve"> Although non-tariff barriers, such as quotas, were being used fairly extensively by some countries during the 1930s, this was not </w:t>
      </w:r>
      <w:r>
        <w:rPr>
          <w:rFonts w:ascii="Times New Roman" w:hAnsi="Times New Roman" w:cs="Times New Roman"/>
        </w:rPr>
        <w:t>a major</w:t>
      </w:r>
      <w:r w:rsidRPr="004276E4">
        <w:rPr>
          <w:rFonts w:ascii="Times New Roman" w:hAnsi="Times New Roman" w:cs="Times New Roman"/>
        </w:rPr>
        <w:t xml:space="preserve"> feature of UK trade policy. The evidence suggests that the use of quotas was most extensive in the gold bloc economies (Irwin, 2012).</w:t>
      </w:r>
      <w:r>
        <w:rPr>
          <w:rFonts w:ascii="Times New Roman" w:hAnsi="Times New Roman" w:cs="Times New Roman"/>
        </w:rPr>
        <w:t xml:space="preserve"> </w:t>
      </w:r>
      <w:r w:rsidRPr="0031032E">
        <w:rPr>
          <w:rFonts w:ascii="Times New Roman" w:eastAsia="Times New Roman" w:hAnsi="Times New Roman" w:cs="Times New Roman"/>
          <w:sz w:val="18"/>
          <w:szCs w:val="18"/>
          <w:lang w:eastAsia="en-GB"/>
        </w:rPr>
        <w:t>De Bromhead</w:t>
      </w:r>
      <w:r>
        <w:rPr>
          <w:rFonts w:ascii="Times New Roman" w:eastAsia="Times New Roman" w:hAnsi="Times New Roman" w:cs="Times New Roman"/>
          <w:sz w:val="18"/>
          <w:szCs w:val="18"/>
          <w:lang w:eastAsia="en-GB"/>
        </w:rPr>
        <w:t xml:space="preserve"> </w:t>
      </w:r>
      <w:r w:rsidRPr="00023012">
        <w:rPr>
          <w:rFonts w:ascii="Times New Roman" w:eastAsia="Times New Roman" w:hAnsi="Times New Roman" w:cs="Times New Roman"/>
          <w:i/>
          <w:sz w:val="18"/>
          <w:szCs w:val="18"/>
          <w:lang w:eastAsia="en-GB"/>
        </w:rPr>
        <w:t>et al</w:t>
      </w:r>
      <w:r>
        <w:rPr>
          <w:rFonts w:ascii="Times New Roman" w:eastAsia="Times New Roman" w:hAnsi="Times New Roman" w:cs="Times New Roman"/>
          <w:sz w:val="18"/>
          <w:szCs w:val="18"/>
          <w:lang w:eastAsia="en-GB"/>
        </w:rPr>
        <w:t>. (2017) show that many of the UK Quotas impacted on agricultural goods.</w:t>
      </w:r>
    </w:p>
  </w:footnote>
  <w:footnote w:id="6">
    <w:p w:rsidR="009B36AE" w:rsidRPr="00823C52" w:rsidRDefault="009B36AE" w:rsidP="00F019CE">
      <w:pPr>
        <w:pStyle w:val="FootnoteText"/>
        <w:jc w:val="both"/>
        <w:rPr>
          <w:rFonts w:ascii="Times New Roman" w:hAnsi="Times New Roman" w:cs="Times New Roman"/>
        </w:rPr>
      </w:pPr>
      <w:r w:rsidRPr="00823C52">
        <w:rPr>
          <w:rStyle w:val="FootnoteReference"/>
          <w:rFonts w:ascii="Times New Roman" w:hAnsi="Times New Roman" w:cs="Times New Roman"/>
        </w:rPr>
        <w:footnoteRef/>
      </w:r>
      <w:r w:rsidRPr="00823C52">
        <w:rPr>
          <w:rFonts w:ascii="Times New Roman" w:hAnsi="Times New Roman" w:cs="Times New Roman"/>
        </w:rPr>
        <w:t xml:space="preserve"> Mitchell (</w:t>
      </w:r>
      <w:r>
        <w:rPr>
          <w:rFonts w:ascii="Times New Roman" w:hAnsi="Times New Roman" w:cs="Times New Roman"/>
        </w:rPr>
        <w:t>2005</w:t>
      </w:r>
      <w:r w:rsidRPr="00823C52">
        <w:rPr>
          <w:rFonts w:ascii="Times New Roman" w:hAnsi="Times New Roman" w:cs="Times New Roman"/>
        </w:rPr>
        <w:t>) notes a handful of exceptions to this, such as the association representing the Iron and Steel industry.</w:t>
      </w:r>
    </w:p>
  </w:footnote>
  <w:footnote w:id="7">
    <w:p w:rsidR="009B36AE" w:rsidRPr="00D43598" w:rsidRDefault="009B36AE" w:rsidP="00C62335">
      <w:pPr>
        <w:pStyle w:val="FootnoteText"/>
        <w:jc w:val="both"/>
        <w:rPr>
          <w:rFonts w:ascii="Times New Roman" w:hAnsi="Times New Roman" w:cs="Times New Roman"/>
        </w:rPr>
      </w:pPr>
      <w:r w:rsidRPr="00D43598">
        <w:rPr>
          <w:rStyle w:val="FootnoteReference"/>
          <w:rFonts w:ascii="Times New Roman" w:hAnsi="Times New Roman" w:cs="Times New Roman"/>
        </w:rPr>
        <w:footnoteRef/>
      </w:r>
      <w:r w:rsidRPr="00D43598">
        <w:rPr>
          <w:rFonts w:ascii="Times New Roman" w:hAnsi="Times New Roman" w:cs="Times New Roman"/>
        </w:rPr>
        <w:t xml:space="preserve"> The two time periods (1924-30 and 1930-35) are used because of data availability. The Censuses of Production, our source of industry-level data, were carried out in 1924, 1930 and 1935 only. Kitson and Solomou (1990) and Broadberry and Crafts (2011) use data for the same two time periods.</w:t>
      </w:r>
    </w:p>
  </w:footnote>
  <w:footnote w:id="8">
    <w:p w:rsidR="009B36AE" w:rsidRPr="00C40ABF" w:rsidRDefault="009B36AE" w:rsidP="00C62335">
      <w:pPr>
        <w:pStyle w:val="FootnoteText"/>
        <w:jc w:val="both"/>
        <w:rPr>
          <w:rFonts w:ascii="Times New Roman" w:hAnsi="Times New Roman" w:cs="Times New Roman"/>
        </w:rPr>
      </w:pPr>
      <w:r w:rsidRPr="00D970E5">
        <w:rPr>
          <w:rStyle w:val="FootnoteReference"/>
          <w:rFonts w:ascii="Times New Roman" w:hAnsi="Times New Roman" w:cs="Times New Roman"/>
        </w:rPr>
        <w:footnoteRef/>
      </w:r>
      <w:r w:rsidRPr="00D970E5">
        <w:rPr>
          <w:rFonts w:ascii="Times New Roman" w:hAnsi="Times New Roman" w:cs="Times New Roman"/>
        </w:rPr>
        <w:t xml:space="preserve"> </w:t>
      </w:r>
      <w:r w:rsidRPr="008D2EB0">
        <w:rPr>
          <w:rFonts w:ascii="Times New Roman" w:hAnsi="Times New Roman" w:cs="Times New Roman"/>
        </w:rPr>
        <w:t>At this stage, it should be noted that heterogeneity in our control group (i.e. including unprotected and early protected industries) poses a potential problem for the application of the difference</w:t>
      </w:r>
      <w:r>
        <w:rPr>
          <w:rFonts w:ascii="Times New Roman" w:hAnsi="Times New Roman" w:cs="Times New Roman"/>
        </w:rPr>
        <w:t>-in-difference methodology. In Appendix B.5</w:t>
      </w:r>
      <w:r w:rsidRPr="008D2EB0">
        <w:rPr>
          <w:rFonts w:ascii="Times New Roman" w:hAnsi="Times New Roman" w:cs="Times New Roman"/>
        </w:rPr>
        <w:t xml:space="preserve">, we explore the sensitivity of our results to this assumption and find that </w:t>
      </w:r>
      <w:r>
        <w:rPr>
          <w:rFonts w:ascii="Times New Roman" w:hAnsi="Times New Roman" w:cs="Times New Roman"/>
        </w:rPr>
        <w:t>the</w:t>
      </w:r>
      <w:r w:rsidRPr="008D2EB0">
        <w:rPr>
          <w:rFonts w:ascii="Times New Roman" w:hAnsi="Times New Roman" w:cs="Times New Roman"/>
        </w:rPr>
        <w:t xml:space="preserve"> results are robust in this dimension.</w:t>
      </w:r>
    </w:p>
  </w:footnote>
  <w:footnote w:id="9">
    <w:p w:rsidR="009B36AE" w:rsidRPr="00EE5A83" w:rsidRDefault="009B36AE">
      <w:pPr>
        <w:pStyle w:val="FootnoteText"/>
        <w:rPr>
          <w:rFonts w:ascii="Times New Roman" w:hAnsi="Times New Roman" w:cs="Times New Roman"/>
        </w:rPr>
      </w:pPr>
      <w:r w:rsidRPr="00EE5A83">
        <w:rPr>
          <w:rStyle w:val="FootnoteReference"/>
          <w:rFonts w:ascii="Times New Roman" w:hAnsi="Times New Roman" w:cs="Times New Roman"/>
        </w:rPr>
        <w:footnoteRef/>
      </w:r>
      <w:r w:rsidRPr="00EE5A83">
        <w:rPr>
          <w:rFonts w:ascii="Times New Roman" w:hAnsi="Times New Roman" w:cs="Times New Roman"/>
        </w:rPr>
        <w:t xml:space="preserve"> Corresponding descriptive statistics are presented in Appendix B.1.</w:t>
      </w:r>
    </w:p>
  </w:footnote>
  <w:footnote w:id="10">
    <w:p w:rsidR="009B36AE" w:rsidRPr="00CF378D" w:rsidRDefault="009B36AE" w:rsidP="00C62335">
      <w:pPr>
        <w:pStyle w:val="FootnoteText"/>
        <w:jc w:val="both"/>
        <w:rPr>
          <w:rFonts w:ascii="Times New Roman" w:hAnsi="Times New Roman" w:cs="Times New Roman"/>
        </w:rPr>
      </w:pPr>
      <w:r w:rsidRPr="00CF378D">
        <w:rPr>
          <w:rStyle w:val="FootnoteReference"/>
          <w:rFonts w:ascii="Times New Roman" w:hAnsi="Times New Roman" w:cs="Times New Roman"/>
        </w:rPr>
        <w:footnoteRef/>
      </w:r>
      <w:r w:rsidRPr="00CF378D">
        <w:rPr>
          <w:rFonts w:ascii="Times New Roman" w:hAnsi="Times New Roman" w:cs="Times New Roman"/>
        </w:rPr>
        <w:t xml:space="preserve"> We show that our results are robust when the control group is varied to contain only unprotected industries and only early p</w:t>
      </w:r>
      <w:r>
        <w:rPr>
          <w:rFonts w:ascii="Times New Roman" w:hAnsi="Times New Roman" w:cs="Times New Roman"/>
        </w:rPr>
        <w:t>rotected industries in turn in A</w:t>
      </w:r>
      <w:r w:rsidRPr="00CF378D">
        <w:rPr>
          <w:rFonts w:ascii="Times New Roman" w:hAnsi="Times New Roman" w:cs="Times New Roman"/>
        </w:rPr>
        <w:t xml:space="preserve">ppendix </w:t>
      </w:r>
      <w:r>
        <w:rPr>
          <w:rFonts w:ascii="Times New Roman" w:hAnsi="Times New Roman" w:cs="Times New Roman"/>
        </w:rPr>
        <w:t>B.5</w:t>
      </w:r>
      <w:r w:rsidRPr="00CF378D">
        <w:rPr>
          <w:rFonts w:ascii="Times New Roman" w:hAnsi="Times New Roman" w:cs="Times New Roman"/>
        </w:rPr>
        <w:t>.</w:t>
      </w:r>
    </w:p>
  </w:footnote>
  <w:footnote w:id="11">
    <w:p w:rsidR="009B36AE" w:rsidRPr="00347625" w:rsidRDefault="009B36AE">
      <w:pPr>
        <w:pStyle w:val="FootnoteText"/>
        <w:rPr>
          <w:rFonts w:ascii="Times New Roman" w:hAnsi="Times New Roman" w:cs="Times New Roman"/>
        </w:rPr>
      </w:pPr>
      <w:r w:rsidRPr="00347625">
        <w:rPr>
          <w:rStyle w:val="FootnoteReference"/>
          <w:rFonts w:ascii="Times New Roman" w:hAnsi="Times New Roman" w:cs="Times New Roman"/>
        </w:rPr>
        <w:footnoteRef/>
      </w:r>
      <w:r w:rsidRPr="00347625">
        <w:rPr>
          <w:rFonts w:ascii="Times New Roman" w:hAnsi="Times New Roman" w:cs="Times New Roman"/>
        </w:rPr>
        <w:t xml:space="preserve"> Corresponding descriptive statistics are presented in Appendix B.1.</w:t>
      </w:r>
    </w:p>
  </w:footnote>
  <w:footnote w:id="12">
    <w:p w:rsidR="009B36AE" w:rsidRPr="00A714FC" w:rsidRDefault="009B36AE" w:rsidP="00A714FC">
      <w:pPr>
        <w:pStyle w:val="FootnoteText"/>
        <w:jc w:val="both"/>
        <w:rPr>
          <w:rFonts w:ascii="Times New Roman" w:hAnsi="Times New Roman" w:cs="Times New Roman"/>
        </w:rPr>
      </w:pPr>
      <w:r w:rsidRPr="00A714FC">
        <w:rPr>
          <w:rStyle w:val="FootnoteReference"/>
          <w:rFonts w:ascii="Times New Roman" w:hAnsi="Times New Roman" w:cs="Times New Roman"/>
        </w:rPr>
        <w:footnoteRef/>
      </w:r>
      <w:r w:rsidRPr="00A714FC">
        <w:rPr>
          <w:rFonts w:ascii="Times New Roman" w:hAnsi="Times New Roman" w:cs="Times New Roman"/>
        </w:rPr>
        <w:t xml:space="preserve"> In Figures 3 and 4, we label “Sugar and Glucose” to emphasise that they may potentially act as outliers in our econometric setup. We present formal analysis in Appendix B.7 to reflect this. Importantly, our headline results are robust to the removal of Sugar &amp; Glucose from our sample.</w:t>
      </w:r>
      <w:r>
        <w:rPr>
          <w:rFonts w:ascii="Times New Roman" w:hAnsi="Times New Roman" w:cs="Times New Roman"/>
        </w:rPr>
        <w:t xml:space="preserve"> Appendix B.8 also shows that our headline results are robust to the weighting of industries by their size.</w:t>
      </w:r>
    </w:p>
  </w:footnote>
  <w:footnote w:id="13">
    <w:p w:rsidR="009B36AE" w:rsidRPr="006123A3" w:rsidRDefault="009B36AE" w:rsidP="00C62335">
      <w:pPr>
        <w:pStyle w:val="FootnoteText"/>
        <w:jc w:val="both"/>
        <w:rPr>
          <w:rFonts w:ascii="Times New Roman" w:hAnsi="Times New Roman" w:cs="Times New Roman"/>
        </w:rPr>
      </w:pPr>
      <w:r w:rsidRPr="006123A3">
        <w:rPr>
          <w:rStyle w:val="FootnoteReference"/>
          <w:rFonts w:ascii="Times New Roman" w:hAnsi="Times New Roman" w:cs="Times New Roman"/>
        </w:rPr>
        <w:footnoteRef/>
      </w:r>
      <w:r w:rsidRPr="006123A3">
        <w:rPr>
          <w:rFonts w:ascii="Times New Roman" w:hAnsi="Times New Roman" w:cs="Times New Roman"/>
        </w:rPr>
        <w:t xml:space="preserve"> We present similar robustness exercises for the two-group classification in appendix </w:t>
      </w:r>
      <w:r>
        <w:rPr>
          <w:rFonts w:ascii="Times New Roman" w:hAnsi="Times New Roman" w:cs="Times New Roman"/>
        </w:rPr>
        <w:t>B</w:t>
      </w:r>
      <w:r w:rsidRPr="006123A3">
        <w:rPr>
          <w:rFonts w:ascii="Times New Roman" w:hAnsi="Times New Roman" w:cs="Times New Roman"/>
        </w:rPr>
        <w:t>.</w:t>
      </w:r>
      <w:r>
        <w:rPr>
          <w:rFonts w:ascii="Times New Roman" w:hAnsi="Times New Roman" w:cs="Times New Roman"/>
        </w:rPr>
        <w:t>3</w:t>
      </w:r>
      <w:r w:rsidRPr="006123A3">
        <w:rPr>
          <w:rFonts w:ascii="Times New Roman" w:hAnsi="Times New Roman" w:cs="Times New Roman"/>
        </w:rPr>
        <w:t>.</w:t>
      </w:r>
    </w:p>
  </w:footnote>
  <w:footnote w:id="14">
    <w:p w:rsidR="009B36AE" w:rsidRPr="005C2958" w:rsidRDefault="009B36AE" w:rsidP="00C62335">
      <w:pPr>
        <w:pStyle w:val="FootnoteText"/>
        <w:jc w:val="both"/>
        <w:rPr>
          <w:rFonts w:ascii="Times New Roman" w:hAnsi="Times New Roman" w:cs="Times New Roman"/>
        </w:rPr>
      </w:pPr>
      <w:r w:rsidRPr="005C2958">
        <w:rPr>
          <w:rStyle w:val="FootnoteReference"/>
          <w:rFonts w:ascii="Times New Roman" w:hAnsi="Times New Roman" w:cs="Times New Roman"/>
        </w:rPr>
        <w:footnoteRef/>
      </w:r>
      <w:r w:rsidRPr="005C2958">
        <w:rPr>
          <w:rFonts w:ascii="Times New Roman" w:hAnsi="Times New Roman" w:cs="Times New Roman"/>
        </w:rPr>
        <w:t xml:space="preserve"> The descriptive statistics for the</w:t>
      </w:r>
      <w:r>
        <w:rPr>
          <w:rFonts w:ascii="Times New Roman" w:hAnsi="Times New Roman" w:cs="Times New Roman"/>
        </w:rPr>
        <w:t xml:space="preserve"> period</w:t>
      </w:r>
      <w:r w:rsidRPr="005C2958">
        <w:rPr>
          <w:rFonts w:ascii="Times New Roman" w:hAnsi="Times New Roman" w:cs="Times New Roman"/>
        </w:rPr>
        <w:t xml:space="preserve"> </w:t>
      </w:r>
      <w:r>
        <w:rPr>
          <w:rFonts w:ascii="Times New Roman" w:hAnsi="Times New Roman" w:cs="Times New Roman"/>
        </w:rPr>
        <w:t>1930-48 are provided in A</w:t>
      </w:r>
      <w:r w:rsidRPr="005C2958">
        <w:rPr>
          <w:rFonts w:ascii="Times New Roman" w:hAnsi="Times New Roman" w:cs="Times New Roman"/>
        </w:rPr>
        <w:t xml:space="preserve">ppendix </w:t>
      </w:r>
      <w:r>
        <w:rPr>
          <w:rFonts w:ascii="Times New Roman" w:hAnsi="Times New Roman" w:cs="Times New Roman"/>
        </w:rPr>
        <w:t>B.1</w:t>
      </w:r>
      <w:r w:rsidRPr="005C2958">
        <w:rPr>
          <w:rFonts w:ascii="Times New Roman" w:hAnsi="Times New Roman" w:cs="Times New Roman"/>
        </w:rPr>
        <w:t>, where the distribution of industries across tariff groups is also provided.</w:t>
      </w:r>
    </w:p>
  </w:footnote>
  <w:footnote w:id="15">
    <w:p w:rsidR="009B36AE" w:rsidRPr="006123A3" w:rsidRDefault="009B36AE" w:rsidP="00C62335">
      <w:pPr>
        <w:pStyle w:val="FootnoteText"/>
        <w:jc w:val="both"/>
        <w:rPr>
          <w:rFonts w:ascii="Times New Roman" w:hAnsi="Times New Roman" w:cs="Times New Roman"/>
        </w:rPr>
      </w:pPr>
      <w:r w:rsidRPr="006123A3">
        <w:rPr>
          <w:rStyle w:val="FootnoteReference"/>
          <w:rFonts w:ascii="Times New Roman" w:hAnsi="Times New Roman" w:cs="Times New Roman"/>
        </w:rPr>
        <w:footnoteRef/>
      </w:r>
      <w:r w:rsidRPr="006123A3">
        <w:rPr>
          <w:rFonts w:ascii="Times New Roman" w:hAnsi="Times New Roman" w:cs="Times New Roman"/>
        </w:rPr>
        <w:t xml:space="preserve"> We report robustness exercises for </w:t>
      </w:r>
      <w:r>
        <w:rPr>
          <w:rFonts w:ascii="Times New Roman" w:hAnsi="Times New Roman" w:cs="Times New Roman"/>
        </w:rPr>
        <w:t>this regression in appendix B.4 showing that this result is robust to the inclusion of controls.</w:t>
      </w:r>
    </w:p>
  </w:footnote>
  <w:footnote w:id="16">
    <w:p w:rsidR="009B36AE" w:rsidRPr="003E12AA" w:rsidRDefault="009B36AE" w:rsidP="003E12AA">
      <w:pPr>
        <w:pStyle w:val="FootnoteText"/>
        <w:jc w:val="both"/>
        <w:rPr>
          <w:rFonts w:ascii="Times New Roman" w:hAnsi="Times New Roman" w:cs="Times New Roman"/>
        </w:rPr>
      </w:pPr>
      <w:r w:rsidRPr="003E12AA">
        <w:rPr>
          <w:rStyle w:val="FootnoteReference"/>
          <w:rFonts w:ascii="Times New Roman" w:hAnsi="Times New Roman" w:cs="Times New Roman"/>
        </w:rPr>
        <w:t>*</w:t>
      </w:r>
      <w:r w:rsidRPr="003E12AA">
        <w:rPr>
          <w:rFonts w:ascii="Times New Roman" w:hAnsi="Times New Roman" w:cs="Times New Roman"/>
        </w:rPr>
        <w:t xml:space="preserve"> We thank the Editor and anonymous referees for useful comments. The majority of this paper was written while Lloyd was a member of Gonville &amp; Caius College, University of Cambridge. The views expressed here are those of the authors, and do not reflect the position of the Bank of England or its Committees.</w:t>
      </w:r>
    </w:p>
  </w:footnote>
  <w:footnote w:id="17">
    <w:p w:rsidR="009B36AE" w:rsidRPr="0051233D" w:rsidRDefault="009B36AE" w:rsidP="00817EAD">
      <w:pPr>
        <w:spacing w:after="0" w:line="240" w:lineRule="auto"/>
        <w:rPr>
          <w:rFonts w:ascii="Times New Roman" w:hAnsi="Times New Roman" w:cs="Times New Roman"/>
          <w:sz w:val="20"/>
          <w:szCs w:val="20"/>
        </w:rPr>
      </w:pPr>
      <w:r w:rsidRPr="0051233D">
        <w:rPr>
          <w:rStyle w:val="Heading4Char"/>
          <w:rFonts w:ascii="Times New Roman" w:hAnsi="Times New Roman" w:cs="Times New Roman"/>
          <w:b w:val="0"/>
          <w:i w:val="0"/>
          <w:sz w:val="20"/>
          <w:szCs w:val="20"/>
          <w:vertAlign w:val="superscript"/>
        </w:rPr>
        <w:footnoteRef/>
      </w:r>
      <w:r w:rsidRPr="0051233D">
        <w:rPr>
          <w:rFonts w:ascii="Times New Roman" w:hAnsi="Times New Roman" w:cs="Times New Roman"/>
          <w:sz w:val="20"/>
          <w:szCs w:val="20"/>
        </w:rPr>
        <w:t xml:space="preserve"> Although NIESR (1945, pp. 50-52) references jute as an exemption from the Import Duties Act, 1932, the Census of Production refers to manufactures made “wholly or partly of […] jute”, for which the tariff rate was 20%.</w:t>
      </w:r>
    </w:p>
  </w:footnote>
  <w:footnote w:id="18">
    <w:p w:rsidR="009B36AE" w:rsidRPr="0051233D" w:rsidRDefault="009B36AE" w:rsidP="00817EAD">
      <w:pPr>
        <w:spacing w:after="0" w:line="240" w:lineRule="auto"/>
        <w:rPr>
          <w:rFonts w:ascii="Times New Roman" w:hAnsi="Times New Roman" w:cs="Times New Roman"/>
          <w:sz w:val="20"/>
          <w:szCs w:val="20"/>
        </w:rPr>
      </w:pPr>
      <w:r w:rsidRPr="0051233D">
        <w:rPr>
          <w:rStyle w:val="Heading4Char"/>
          <w:rFonts w:ascii="Times New Roman" w:hAnsi="Times New Roman" w:cs="Times New Roman"/>
          <w:b w:val="0"/>
          <w:i w:val="0"/>
          <w:sz w:val="20"/>
          <w:szCs w:val="20"/>
          <w:vertAlign w:val="superscript"/>
        </w:rPr>
        <w:footnoteRef/>
      </w:r>
      <w:r w:rsidRPr="0051233D">
        <w:rPr>
          <w:rFonts w:ascii="Times New Roman" w:hAnsi="Times New Roman" w:cs="Times New Roman"/>
          <w:b/>
          <w:i/>
          <w:sz w:val="20"/>
          <w:szCs w:val="20"/>
          <w:vertAlign w:val="superscript"/>
        </w:rPr>
        <w:t xml:space="preserve"> </w:t>
      </w:r>
      <w:r w:rsidRPr="0051233D">
        <w:rPr>
          <w:rFonts w:ascii="Times New Roman" w:hAnsi="Times New Roman" w:cs="Times New Roman"/>
          <w:sz w:val="20"/>
          <w:szCs w:val="20"/>
        </w:rPr>
        <w:t>The main product for this industry is pig iron. (Source: Kitson and Solomou, 199</w:t>
      </w:r>
      <w:r>
        <w:rPr>
          <w:rFonts w:ascii="Times New Roman" w:hAnsi="Times New Roman" w:cs="Times New Roman"/>
          <w:sz w:val="20"/>
          <w:szCs w:val="20"/>
        </w:rPr>
        <w:t>0</w:t>
      </w:r>
      <w:r w:rsidRPr="0051233D">
        <w:rPr>
          <w:rFonts w:ascii="Times New Roman" w:hAnsi="Times New Roman" w:cs="Times New Roman"/>
          <w:sz w:val="20"/>
          <w:szCs w:val="20"/>
        </w:rPr>
        <w:t>)</w:t>
      </w:r>
    </w:p>
  </w:footnote>
  <w:footnote w:id="19">
    <w:p w:rsidR="009B36AE" w:rsidRPr="0051233D" w:rsidRDefault="009B36AE" w:rsidP="00817EAD">
      <w:pPr>
        <w:spacing w:after="0" w:line="240" w:lineRule="auto"/>
        <w:rPr>
          <w:sz w:val="20"/>
          <w:szCs w:val="20"/>
        </w:rPr>
      </w:pPr>
      <w:r w:rsidRPr="0051233D">
        <w:rPr>
          <w:rStyle w:val="Heading4Char"/>
          <w:rFonts w:ascii="Times New Roman" w:hAnsi="Times New Roman" w:cs="Times New Roman"/>
          <w:b w:val="0"/>
          <w:i w:val="0"/>
          <w:sz w:val="20"/>
          <w:szCs w:val="20"/>
          <w:vertAlign w:val="superscript"/>
        </w:rPr>
        <w:footnoteRef/>
      </w:r>
      <w:r w:rsidRPr="0051233D">
        <w:rPr>
          <w:rFonts w:ascii="Times New Roman" w:hAnsi="Times New Roman" w:cs="Times New Roman"/>
          <w:b/>
          <w:i/>
          <w:sz w:val="20"/>
          <w:szCs w:val="20"/>
          <w:vertAlign w:val="superscript"/>
        </w:rPr>
        <w:t xml:space="preserve"> </w:t>
      </w:r>
      <w:r w:rsidRPr="0051233D">
        <w:rPr>
          <w:rFonts w:ascii="Times New Roman" w:hAnsi="Times New Roman" w:cs="Times New Roman"/>
          <w:sz w:val="20"/>
          <w:szCs w:val="20"/>
        </w:rPr>
        <w:t>“There are two different rates of duty applied to nearly all iron and steel products according to whether the goods are or are not imported from a Cartel country and covered by a quota certificate. All products from Cartel countries eligible for the preferential rate are subject to an ad valorem duty of 10%. Products imported from other countries are subject to duties as follows:” higher ad valorem rates. (Source: NIESR, 1945, p. 44)</w:t>
      </w:r>
    </w:p>
  </w:footnote>
  <w:footnote w:id="20">
    <w:p w:rsidR="009B36AE" w:rsidRPr="0051233D" w:rsidRDefault="009B36AE" w:rsidP="00817EAD">
      <w:pPr>
        <w:spacing w:after="0" w:line="240" w:lineRule="auto"/>
        <w:rPr>
          <w:rFonts w:ascii="Times New Roman" w:hAnsi="Times New Roman" w:cs="Times New Roman"/>
          <w:sz w:val="20"/>
          <w:szCs w:val="20"/>
        </w:rPr>
      </w:pPr>
      <w:r w:rsidRPr="0051233D">
        <w:rPr>
          <w:rStyle w:val="Heading4Char"/>
          <w:rFonts w:ascii="Times New Roman" w:hAnsi="Times New Roman" w:cs="Times New Roman"/>
          <w:b w:val="0"/>
          <w:i w:val="0"/>
          <w:sz w:val="20"/>
          <w:szCs w:val="20"/>
          <w:vertAlign w:val="superscript"/>
        </w:rPr>
        <w:footnoteRef/>
      </w:r>
      <w:r w:rsidRPr="0051233D">
        <w:rPr>
          <w:rFonts w:ascii="Times New Roman" w:hAnsi="Times New Roman" w:cs="Times New Roman"/>
          <w:b/>
          <w:i/>
          <w:sz w:val="20"/>
          <w:szCs w:val="20"/>
          <w:vertAlign w:val="superscript"/>
        </w:rPr>
        <w:t xml:space="preserve"> </w:t>
      </w:r>
      <w:r w:rsidRPr="0051233D">
        <w:rPr>
          <w:rFonts w:ascii="Times New Roman" w:hAnsi="Times New Roman" w:cs="Times New Roman"/>
          <w:sz w:val="20"/>
          <w:szCs w:val="20"/>
        </w:rPr>
        <w:t>Pig iron smelted with charcoal was exempt from the Import Duties Act, 1932 (CET, p. 15), but smelting with charcoal was largely replaced with coke smelting in the 19</w:t>
      </w:r>
      <w:r w:rsidRPr="0051233D">
        <w:rPr>
          <w:rFonts w:ascii="Times New Roman" w:hAnsi="Times New Roman" w:cs="Times New Roman"/>
          <w:sz w:val="20"/>
          <w:szCs w:val="20"/>
          <w:vertAlign w:val="superscript"/>
        </w:rPr>
        <w:t>th</w:t>
      </w:r>
      <w:r w:rsidRPr="0051233D">
        <w:rPr>
          <w:rFonts w:ascii="Times New Roman" w:hAnsi="Times New Roman" w:cs="Times New Roman"/>
          <w:sz w:val="20"/>
          <w:szCs w:val="20"/>
        </w:rPr>
        <w:t xml:space="preserve"> century.</w:t>
      </w:r>
    </w:p>
  </w:footnote>
  <w:footnote w:id="21">
    <w:p w:rsidR="009B36AE" w:rsidRPr="0051233D" w:rsidRDefault="009B36AE" w:rsidP="00817EAD">
      <w:pPr>
        <w:spacing w:after="0" w:line="240" w:lineRule="auto"/>
        <w:rPr>
          <w:rFonts w:ascii="Times New Roman" w:hAnsi="Times New Roman" w:cs="Times New Roman"/>
          <w:sz w:val="20"/>
          <w:szCs w:val="20"/>
        </w:rPr>
      </w:pPr>
      <w:r w:rsidRPr="0051233D">
        <w:rPr>
          <w:rStyle w:val="Heading4Char"/>
          <w:rFonts w:ascii="Times New Roman" w:hAnsi="Times New Roman" w:cs="Times New Roman"/>
          <w:b w:val="0"/>
          <w:i w:val="0"/>
          <w:sz w:val="20"/>
          <w:szCs w:val="20"/>
          <w:vertAlign w:val="superscript"/>
        </w:rPr>
        <w:footnoteRef/>
      </w:r>
      <w:r w:rsidRPr="0051233D">
        <w:rPr>
          <w:rFonts w:ascii="Times New Roman" w:hAnsi="Times New Roman" w:cs="Times New Roman"/>
          <w:b/>
          <w:i/>
          <w:sz w:val="20"/>
          <w:szCs w:val="20"/>
          <w:vertAlign w:val="superscript"/>
        </w:rPr>
        <w:t xml:space="preserve"> </w:t>
      </w:r>
      <w:r w:rsidRPr="0051233D">
        <w:rPr>
          <w:rFonts w:ascii="Times New Roman" w:hAnsi="Times New Roman" w:cs="Times New Roman"/>
          <w:sz w:val="20"/>
          <w:szCs w:val="20"/>
        </w:rPr>
        <w:t>The main products for this industry are steel ingots and castings, steel bars, rods and angles. (Source: Kitson and Solomou, 199</w:t>
      </w:r>
      <w:r>
        <w:rPr>
          <w:rFonts w:ascii="Times New Roman" w:hAnsi="Times New Roman" w:cs="Times New Roman"/>
          <w:sz w:val="20"/>
          <w:szCs w:val="20"/>
        </w:rPr>
        <w:t>0</w:t>
      </w:r>
      <w:r w:rsidRPr="0051233D">
        <w:rPr>
          <w:rFonts w:ascii="Times New Roman" w:hAnsi="Times New Roman" w:cs="Times New Roman"/>
          <w:sz w:val="20"/>
          <w:szCs w:val="20"/>
        </w:rPr>
        <w:t>)</w:t>
      </w:r>
    </w:p>
  </w:footnote>
  <w:footnote w:id="22">
    <w:p w:rsidR="009B36AE" w:rsidRPr="009A1458" w:rsidRDefault="009B36AE" w:rsidP="00817EAD">
      <w:pPr>
        <w:spacing w:after="0" w:line="240" w:lineRule="auto"/>
        <w:rPr>
          <w:rFonts w:ascii="Times New Roman" w:hAnsi="Times New Roman" w:cs="Times New Roman"/>
        </w:rPr>
      </w:pPr>
      <w:r w:rsidRPr="0051233D">
        <w:rPr>
          <w:rStyle w:val="Heading4Char"/>
          <w:rFonts w:ascii="Times New Roman" w:hAnsi="Times New Roman" w:cs="Times New Roman"/>
          <w:b w:val="0"/>
          <w:i w:val="0"/>
          <w:sz w:val="20"/>
          <w:szCs w:val="20"/>
          <w:vertAlign w:val="superscript"/>
        </w:rPr>
        <w:footnoteRef/>
      </w:r>
      <w:r w:rsidRPr="0051233D">
        <w:rPr>
          <w:rFonts w:ascii="Times New Roman" w:hAnsi="Times New Roman" w:cs="Times New Roman"/>
          <w:b/>
          <w:i/>
          <w:sz w:val="20"/>
          <w:szCs w:val="20"/>
          <w:vertAlign w:val="superscript"/>
        </w:rPr>
        <w:t xml:space="preserve"> </w:t>
      </w:r>
      <w:r w:rsidRPr="0051233D">
        <w:rPr>
          <w:rFonts w:ascii="Times New Roman" w:hAnsi="Times New Roman" w:cs="Times New Roman"/>
          <w:sz w:val="20"/>
          <w:szCs w:val="20"/>
        </w:rPr>
        <w:t>The main products for this industry are iron and steel castings. (Source: Kitson and Solomou, 199</w:t>
      </w:r>
      <w:r>
        <w:rPr>
          <w:rFonts w:ascii="Times New Roman" w:hAnsi="Times New Roman" w:cs="Times New Roman"/>
          <w:sz w:val="20"/>
          <w:szCs w:val="20"/>
        </w:rPr>
        <w:t>0</w:t>
      </w:r>
      <w:r w:rsidRPr="0051233D">
        <w:rPr>
          <w:rFonts w:ascii="Times New Roman" w:hAnsi="Times New Roman" w:cs="Times New Roman"/>
          <w:sz w:val="20"/>
          <w:szCs w:val="20"/>
        </w:rPr>
        <w:t>)</w:t>
      </w:r>
    </w:p>
  </w:footnote>
  <w:footnote w:id="23">
    <w:p w:rsidR="009B36AE" w:rsidRPr="00FE4FED" w:rsidRDefault="009B36AE" w:rsidP="00817EAD">
      <w:pPr>
        <w:spacing w:after="0" w:line="240" w:lineRule="auto"/>
        <w:rPr>
          <w:rFonts w:ascii="Times New Roman" w:hAnsi="Times New Roman" w:cs="Times New Roman"/>
          <w:sz w:val="20"/>
          <w:szCs w:val="20"/>
        </w:rPr>
      </w:pPr>
      <w:r w:rsidRPr="00FE4FED">
        <w:rPr>
          <w:rStyle w:val="Heading4Char"/>
          <w:rFonts w:ascii="Times New Roman" w:hAnsi="Times New Roman" w:cs="Times New Roman"/>
          <w:b w:val="0"/>
          <w:i w:val="0"/>
          <w:sz w:val="20"/>
          <w:szCs w:val="20"/>
          <w:vertAlign w:val="superscript"/>
        </w:rPr>
        <w:footnoteRef/>
      </w:r>
      <w:r w:rsidRPr="00FE4FED">
        <w:rPr>
          <w:rFonts w:ascii="Times New Roman" w:hAnsi="Times New Roman" w:cs="Times New Roman"/>
          <w:b/>
          <w:i/>
          <w:sz w:val="20"/>
          <w:szCs w:val="20"/>
          <w:vertAlign w:val="superscript"/>
        </w:rPr>
        <w:t xml:space="preserve"> </w:t>
      </w:r>
      <w:r w:rsidRPr="00FE4FED">
        <w:rPr>
          <w:rFonts w:ascii="Times New Roman" w:hAnsi="Times New Roman" w:cs="Times New Roman"/>
          <w:sz w:val="20"/>
          <w:szCs w:val="20"/>
        </w:rPr>
        <w:t>In personal correspondence Professor David Edgerton has pointed out that most of the output of the British Aircraft industry went to the RAF. Imperial Airways, the chosen instrument, bought British. The firms that joined together to form British Airways did buy Dutch, German and US aircraft on a very small scale.</w:t>
      </w:r>
    </w:p>
  </w:footnote>
  <w:footnote w:id="24">
    <w:p w:rsidR="009B36AE" w:rsidRPr="0051233D" w:rsidRDefault="009B36AE" w:rsidP="00817EAD">
      <w:pPr>
        <w:spacing w:after="0" w:line="240" w:lineRule="auto"/>
        <w:jc w:val="both"/>
        <w:rPr>
          <w:rFonts w:ascii="Times New Roman" w:hAnsi="Times New Roman" w:cs="Times New Roman"/>
          <w:sz w:val="20"/>
          <w:szCs w:val="20"/>
        </w:rPr>
      </w:pPr>
      <w:r w:rsidRPr="0051233D">
        <w:rPr>
          <w:rStyle w:val="Heading4Char"/>
          <w:rFonts w:ascii="Times New Roman" w:hAnsi="Times New Roman" w:cs="Times New Roman"/>
          <w:b w:val="0"/>
          <w:i w:val="0"/>
          <w:sz w:val="20"/>
          <w:szCs w:val="20"/>
          <w:vertAlign w:val="superscript"/>
        </w:rPr>
        <w:footnoteRef/>
      </w:r>
      <w:r w:rsidRPr="0051233D">
        <w:rPr>
          <w:rFonts w:ascii="Times New Roman" w:hAnsi="Times New Roman" w:cs="Times New Roman"/>
          <w:b/>
          <w:i/>
          <w:sz w:val="20"/>
          <w:szCs w:val="20"/>
          <w:vertAlign w:val="superscript"/>
        </w:rPr>
        <w:t xml:space="preserve"> </w:t>
      </w:r>
      <w:r w:rsidRPr="0051233D">
        <w:rPr>
          <w:rFonts w:ascii="Times New Roman" w:hAnsi="Times New Roman" w:cs="Times New Roman"/>
          <w:sz w:val="20"/>
          <w:szCs w:val="20"/>
        </w:rPr>
        <w:t>The annual growth rates for each group in table A1 are not weighted by industry size. The figures reported here differ from Kitson and Solomou (1990) who report weighted growth rates.</w:t>
      </w:r>
    </w:p>
  </w:footnote>
  <w:footnote w:id="25">
    <w:p w:rsidR="009B36AE" w:rsidRPr="0051233D" w:rsidRDefault="009B36AE" w:rsidP="00817EAD">
      <w:pPr>
        <w:spacing w:after="0" w:line="240" w:lineRule="auto"/>
        <w:jc w:val="both"/>
        <w:rPr>
          <w:rFonts w:ascii="Times New Roman" w:hAnsi="Times New Roman" w:cs="Times New Roman"/>
          <w:sz w:val="20"/>
          <w:szCs w:val="20"/>
        </w:rPr>
      </w:pPr>
      <w:r w:rsidRPr="0051233D">
        <w:rPr>
          <w:rStyle w:val="Heading4Char"/>
          <w:rFonts w:ascii="Times New Roman" w:hAnsi="Times New Roman" w:cs="Times New Roman"/>
          <w:b w:val="0"/>
          <w:i w:val="0"/>
          <w:sz w:val="20"/>
          <w:szCs w:val="20"/>
          <w:vertAlign w:val="superscript"/>
        </w:rPr>
        <w:footnoteRef/>
      </w:r>
      <w:r w:rsidRPr="0051233D">
        <w:rPr>
          <w:rFonts w:ascii="Times New Roman" w:hAnsi="Times New Roman" w:cs="Times New Roman"/>
          <w:b/>
          <w:i/>
          <w:sz w:val="20"/>
          <w:szCs w:val="20"/>
          <w:vertAlign w:val="superscript"/>
        </w:rPr>
        <w:t xml:space="preserve"> </w:t>
      </w:r>
      <w:r w:rsidRPr="0051233D">
        <w:rPr>
          <w:rFonts w:ascii="Times New Roman" w:hAnsi="Times New Roman" w:cs="Times New Roman"/>
          <w:sz w:val="20"/>
          <w:szCs w:val="20"/>
        </w:rPr>
        <w:t>There are 12 dummy variables to avoid the problem of perfect multicollinearity.</w:t>
      </w:r>
    </w:p>
  </w:footnote>
  <w:footnote w:id="26">
    <w:p w:rsidR="009B36AE" w:rsidRPr="0051233D" w:rsidRDefault="009B36AE" w:rsidP="00817EAD">
      <w:pPr>
        <w:spacing w:after="0" w:line="240" w:lineRule="auto"/>
        <w:jc w:val="both"/>
        <w:rPr>
          <w:rFonts w:ascii="Times New Roman" w:hAnsi="Times New Roman" w:cs="Times New Roman"/>
          <w:sz w:val="20"/>
          <w:szCs w:val="20"/>
        </w:rPr>
      </w:pPr>
      <w:r w:rsidRPr="0051233D">
        <w:rPr>
          <w:rStyle w:val="Heading4Char"/>
          <w:rFonts w:ascii="Times New Roman" w:hAnsi="Times New Roman" w:cs="Times New Roman"/>
          <w:b w:val="0"/>
          <w:i w:val="0"/>
          <w:sz w:val="20"/>
          <w:szCs w:val="20"/>
          <w:vertAlign w:val="superscript"/>
        </w:rPr>
        <w:footnoteRef/>
      </w:r>
      <w:r w:rsidRPr="0051233D">
        <w:rPr>
          <w:rFonts w:ascii="Times New Roman" w:hAnsi="Times New Roman" w:cs="Times New Roman"/>
          <w:b/>
          <w:i/>
          <w:sz w:val="20"/>
          <w:szCs w:val="20"/>
          <w:vertAlign w:val="superscript"/>
        </w:rPr>
        <w:t xml:space="preserve"> </w:t>
      </w:r>
      <w:r w:rsidRPr="0051233D">
        <w:rPr>
          <w:rFonts w:ascii="Times New Roman" w:hAnsi="Times New Roman" w:cs="Times New Roman"/>
          <w:sz w:val="20"/>
          <w:szCs w:val="20"/>
        </w:rPr>
        <w:t xml:space="preserve">Early protected and unprotected industries may have evolved differently for a number of reasons. For example, as appendix A shows, some of the early protected industries received specific, not </w:t>
      </w:r>
      <w:r w:rsidRPr="0051233D">
        <w:rPr>
          <w:rFonts w:ascii="Times New Roman" w:hAnsi="Times New Roman" w:cs="Times New Roman"/>
          <w:i/>
          <w:sz w:val="20"/>
          <w:szCs w:val="20"/>
        </w:rPr>
        <w:t>ad valorem</w:t>
      </w:r>
      <w:r w:rsidRPr="0051233D">
        <w:rPr>
          <w:rFonts w:ascii="Times New Roman" w:hAnsi="Times New Roman" w:cs="Times New Roman"/>
          <w:sz w:val="20"/>
          <w:szCs w:val="20"/>
        </w:rPr>
        <w:t xml:space="preserve">, tariff protection in the 1920s. In the context of declining commodity and industrial prices in the early 1930s, this could have effects on the </w:t>
      </w:r>
      <w:r w:rsidRPr="0051233D">
        <w:rPr>
          <w:rFonts w:ascii="Times New Roman" w:hAnsi="Times New Roman" w:cs="Times New Roman"/>
          <w:i/>
          <w:sz w:val="20"/>
          <w:szCs w:val="20"/>
        </w:rPr>
        <w:t xml:space="preserve">ad valorem </w:t>
      </w:r>
      <w:r w:rsidRPr="0051233D">
        <w:rPr>
          <w:rFonts w:ascii="Times New Roman" w:hAnsi="Times New Roman" w:cs="Times New Roman"/>
          <w:sz w:val="20"/>
          <w:szCs w:val="20"/>
        </w:rPr>
        <w:t>equivalent tariffs that these early protected industries received, implying that they might not have been expected to evolve in a similar manner to unprotected industries.</w:t>
      </w:r>
    </w:p>
  </w:footnote>
  <w:footnote w:id="27">
    <w:p w:rsidR="009B36AE" w:rsidRPr="00E7771D" w:rsidRDefault="009B36AE" w:rsidP="00817EAD">
      <w:pPr>
        <w:pStyle w:val="FootnoteText"/>
        <w:rPr>
          <w:rFonts w:ascii="Times New Roman" w:hAnsi="Times New Roman" w:cs="Times New Roman"/>
        </w:rPr>
      </w:pPr>
      <w:r>
        <w:rPr>
          <w:rStyle w:val="FootnoteReference"/>
        </w:rPr>
        <w:footnoteRef/>
      </w:r>
      <w:r>
        <w:t xml:space="preserve"> </w:t>
      </w:r>
      <w:r w:rsidRPr="00E7771D">
        <w:rPr>
          <w:rFonts w:ascii="Times New Roman" w:hAnsi="Times New Roman" w:cs="Times New Roman"/>
        </w:rPr>
        <w:t xml:space="preserve">We also investigated the sensitivity of our results to weighting the growth rates using industry </w:t>
      </w:r>
      <w:r>
        <w:rPr>
          <w:rFonts w:ascii="Times New Roman" w:hAnsi="Times New Roman" w:cs="Times New Roman"/>
        </w:rPr>
        <w:t xml:space="preserve">weights </w:t>
      </w:r>
      <w:r w:rsidRPr="00E7771D">
        <w:rPr>
          <w:rFonts w:ascii="Times New Roman" w:hAnsi="Times New Roman" w:cs="Times New Roman"/>
        </w:rPr>
        <w:t xml:space="preserve">in 1930. </w:t>
      </w:r>
      <w:r>
        <w:rPr>
          <w:rFonts w:ascii="Times New Roman" w:hAnsi="Times New Roman" w:cs="Times New Roman"/>
        </w:rPr>
        <w:t xml:space="preserve">The </w:t>
      </w:r>
      <w:r w:rsidRPr="00E7771D">
        <w:rPr>
          <w:rFonts w:ascii="Times New Roman" w:hAnsi="Times New Roman" w:cs="Times New Roman"/>
        </w:rPr>
        <w:t>results, for 1930-35 and 1930-48 using the three-group classification, are robust to the weighting of growth rates with the net output (in constant prices) of industries in 1930.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A84027"/>
    <w:multiLevelType w:val="hybridMultilevel"/>
    <w:tmpl w:val="A5367940"/>
    <w:lvl w:ilvl="0" w:tplc="5D7A9F3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A14227F"/>
    <w:multiLevelType w:val="hybridMultilevel"/>
    <w:tmpl w:val="6F64F08E"/>
    <w:lvl w:ilvl="0" w:tplc="F816188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67AB"/>
    <w:rsid w:val="0000094B"/>
    <w:rsid w:val="00006EBE"/>
    <w:rsid w:val="00023012"/>
    <w:rsid w:val="00026701"/>
    <w:rsid w:val="00032656"/>
    <w:rsid w:val="000326A9"/>
    <w:rsid w:val="000537DC"/>
    <w:rsid w:val="000539F5"/>
    <w:rsid w:val="000616AD"/>
    <w:rsid w:val="00066B0A"/>
    <w:rsid w:val="00074A5B"/>
    <w:rsid w:val="00084356"/>
    <w:rsid w:val="000A46D9"/>
    <w:rsid w:val="000A61C0"/>
    <w:rsid w:val="000A7695"/>
    <w:rsid w:val="000B1DCB"/>
    <w:rsid w:val="000C43FF"/>
    <w:rsid w:val="000E5BBD"/>
    <w:rsid w:val="000E60DB"/>
    <w:rsid w:val="000E6154"/>
    <w:rsid w:val="000F078E"/>
    <w:rsid w:val="000F2B81"/>
    <w:rsid w:val="001221E2"/>
    <w:rsid w:val="00127049"/>
    <w:rsid w:val="00132FE8"/>
    <w:rsid w:val="00161201"/>
    <w:rsid w:val="00171C87"/>
    <w:rsid w:val="00172B5E"/>
    <w:rsid w:val="00183225"/>
    <w:rsid w:val="001858AE"/>
    <w:rsid w:val="00197234"/>
    <w:rsid w:val="001978FA"/>
    <w:rsid w:val="001A1E29"/>
    <w:rsid w:val="001A75A8"/>
    <w:rsid w:val="001B3637"/>
    <w:rsid w:val="00200A5D"/>
    <w:rsid w:val="002032BD"/>
    <w:rsid w:val="00221F25"/>
    <w:rsid w:val="00230943"/>
    <w:rsid w:val="00231A27"/>
    <w:rsid w:val="00234E65"/>
    <w:rsid w:val="00237FEF"/>
    <w:rsid w:val="002402CF"/>
    <w:rsid w:val="00242D57"/>
    <w:rsid w:val="002517B1"/>
    <w:rsid w:val="00254B37"/>
    <w:rsid w:val="00264B29"/>
    <w:rsid w:val="00277BA1"/>
    <w:rsid w:val="00280454"/>
    <w:rsid w:val="00286703"/>
    <w:rsid w:val="00290C87"/>
    <w:rsid w:val="002B66CD"/>
    <w:rsid w:val="002D1D8D"/>
    <w:rsid w:val="002E32E3"/>
    <w:rsid w:val="002F270D"/>
    <w:rsid w:val="002F4BC7"/>
    <w:rsid w:val="002F6D12"/>
    <w:rsid w:val="00306C64"/>
    <w:rsid w:val="00307AE9"/>
    <w:rsid w:val="0031032E"/>
    <w:rsid w:val="003331CA"/>
    <w:rsid w:val="00336ADA"/>
    <w:rsid w:val="003428DF"/>
    <w:rsid w:val="00344D8D"/>
    <w:rsid w:val="00347625"/>
    <w:rsid w:val="00352C2E"/>
    <w:rsid w:val="00357615"/>
    <w:rsid w:val="003648A9"/>
    <w:rsid w:val="00366484"/>
    <w:rsid w:val="00391AA6"/>
    <w:rsid w:val="0039495F"/>
    <w:rsid w:val="00395951"/>
    <w:rsid w:val="003B3011"/>
    <w:rsid w:val="003B5E7F"/>
    <w:rsid w:val="003C2AF7"/>
    <w:rsid w:val="003C7621"/>
    <w:rsid w:val="003C782D"/>
    <w:rsid w:val="003D3201"/>
    <w:rsid w:val="003E12AA"/>
    <w:rsid w:val="003F2397"/>
    <w:rsid w:val="00413455"/>
    <w:rsid w:val="004215C0"/>
    <w:rsid w:val="004276E4"/>
    <w:rsid w:val="00437E3A"/>
    <w:rsid w:val="00444C8B"/>
    <w:rsid w:val="004478F3"/>
    <w:rsid w:val="004504C6"/>
    <w:rsid w:val="0045287A"/>
    <w:rsid w:val="00453888"/>
    <w:rsid w:val="00474504"/>
    <w:rsid w:val="00474FD5"/>
    <w:rsid w:val="00494FC4"/>
    <w:rsid w:val="004B452B"/>
    <w:rsid w:val="004B76F4"/>
    <w:rsid w:val="004C019F"/>
    <w:rsid w:val="004C677E"/>
    <w:rsid w:val="004D2C17"/>
    <w:rsid w:val="004E1D1C"/>
    <w:rsid w:val="004F0721"/>
    <w:rsid w:val="004F399F"/>
    <w:rsid w:val="004F3A85"/>
    <w:rsid w:val="00505D94"/>
    <w:rsid w:val="00506EEB"/>
    <w:rsid w:val="00510296"/>
    <w:rsid w:val="00515E9E"/>
    <w:rsid w:val="00525B74"/>
    <w:rsid w:val="005464AF"/>
    <w:rsid w:val="005477D3"/>
    <w:rsid w:val="0056091C"/>
    <w:rsid w:val="00565F25"/>
    <w:rsid w:val="005817E2"/>
    <w:rsid w:val="0059686D"/>
    <w:rsid w:val="005A0128"/>
    <w:rsid w:val="005A357E"/>
    <w:rsid w:val="005A7E46"/>
    <w:rsid w:val="005C2958"/>
    <w:rsid w:val="005C657B"/>
    <w:rsid w:val="005D15D5"/>
    <w:rsid w:val="005E2F31"/>
    <w:rsid w:val="005E4FED"/>
    <w:rsid w:val="005F1513"/>
    <w:rsid w:val="005F4039"/>
    <w:rsid w:val="005F6EC8"/>
    <w:rsid w:val="00600335"/>
    <w:rsid w:val="0060679A"/>
    <w:rsid w:val="006123A3"/>
    <w:rsid w:val="00617671"/>
    <w:rsid w:val="00626DAD"/>
    <w:rsid w:val="006447AA"/>
    <w:rsid w:val="00674DFD"/>
    <w:rsid w:val="006A7F5B"/>
    <w:rsid w:val="006B399F"/>
    <w:rsid w:val="006D0C45"/>
    <w:rsid w:val="006E00E1"/>
    <w:rsid w:val="006E43F3"/>
    <w:rsid w:val="006F016D"/>
    <w:rsid w:val="006F1318"/>
    <w:rsid w:val="006F67AB"/>
    <w:rsid w:val="00712EB3"/>
    <w:rsid w:val="007166D4"/>
    <w:rsid w:val="00726E14"/>
    <w:rsid w:val="00746456"/>
    <w:rsid w:val="007568A0"/>
    <w:rsid w:val="00757D70"/>
    <w:rsid w:val="00763363"/>
    <w:rsid w:val="00765BC3"/>
    <w:rsid w:val="0076600B"/>
    <w:rsid w:val="00766C00"/>
    <w:rsid w:val="00767282"/>
    <w:rsid w:val="00767645"/>
    <w:rsid w:val="007A53B0"/>
    <w:rsid w:val="007B0DA7"/>
    <w:rsid w:val="007B7149"/>
    <w:rsid w:val="007D5E0C"/>
    <w:rsid w:val="007E7B8A"/>
    <w:rsid w:val="007F6215"/>
    <w:rsid w:val="00813E52"/>
    <w:rsid w:val="00814531"/>
    <w:rsid w:val="0081460E"/>
    <w:rsid w:val="0081540C"/>
    <w:rsid w:val="00817EAD"/>
    <w:rsid w:val="00820EE7"/>
    <w:rsid w:val="00821F0F"/>
    <w:rsid w:val="00822A3D"/>
    <w:rsid w:val="00823397"/>
    <w:rsid w:val="00823C52"/>
    <w:rsid w:val="008322D6"/>
    <w:rsid w:val="0083714D"/>
    <w:rsid w:val="00885352"/>
    <w:rsid w:val="008A4D9B"/>
    <w:rsid w:val="008B5C7F"/>
    <w:rsid w:val="008B5F79"/>
    <w:rsid w:val="008B6281"/>
    <w:rsid w:val="008C4A19"/>
    <w:rsid w:val="008D2EB0"/>
    <w:rsid w:val="008E380F"/>
    <w:rsid w:val="008F4C72"/>
    <w:rsid w:val="009120C2"/>
    <w:rsid w:val="00912D99"/>
    <w:rsid w:val="00913816"/>
    <w:rsid w:val="00914166"/>
    <w:rsid w:val="00921DA8"/>
    <w:rsid w:val="00927A1A"/>
    <w:rsid w:val="00943AF9"/>
    <w:rsid w:val="00960A3A"/>
    <w:rsid w:val="00974A65"/>
    <w:rsid w:val="00980DE8"/>
    <w:rsid w:val="009A309A"/>
    <w:rsid w:val="009B13BE"/>
    <w:rsid w:val="009B36AE"/>
    <w:rsid w:val="009C4C2A"/>
    <w:rsid w:val="009D0EC6"/>
    <w:rsid w:val="009E438D"/>
    <w:rsid w:val="00A02E74"/>
    <w:rsid w:val="00A2295D"/>
    <w:rsid w:val="00A368BB"/>
    <w:rsid w:val="00A37D2B"/>
    <w:rsid w:val="00A67E6C"/>
    <w:rsid w:val="00A714FC"/>
    <w:rsid w:val="00A93939"/>
    <w:rsid w:val="00AB5924"/>
    <w:rsid w:val="00AC4872"/>
    <w:rsid w:val="00AD283F"/>
    <w:rsid w:val="00AD68E1"/>
    <w:rsid w:val="00AF5444"/>
    <w:rsid w:val="00AF56FB"/>
    <w:rsid w:val="00B00809"/>
    <w:rsid w:val="00B07ADA"/>
    <w:rsid w:val="00B1247A"/>
    <w:rsid w:val="00B70077"/>
    <w:rsid w:val="00B73CF4"/>
    <w:rsid w:val="00B80811"/>
    <w:rsid w:val="00B86878"/>
    <w:rsid w:val="00B913EE"/>
    <w:rsid w:val="00B9449F"/>
    <w:rsid w:val="00B9694E"/>
    <w:rsid w:val="00BD0BBA"/>
    <w:rsid w:val="00BD453A"/>
    <w:rsid w:val="00BE4341"/>
    <w:rsid w:val="00BF20F6"/>
    <w:rsid w:val="00C05FEF"/>
    <w:rsid w:val="00C10AE8"/>
    <w:rsid w:val="00C25AA8"/>
    <w:rsid w:val="00C3416D"/>
    <w:rsid w:val="00C55FCC"/>
    <w:rsid w:val="00C62335"/>
    <w:rsid w:val="00C8137C"/>
    <w:rsid w:val="00C92207"/>
    <w:rsid w:val="00CC6DD7"/>
    <w:rsid w:val="00CD0D60"/>
    <w:rsid w:val="00CD1883"/>
    <w:rsid w:val="00CE405F"/>
    <w:rsid w:val="00CF2E23"/>
    <w:rsid w:val="00CF378D"/>
    <w:rsid w:val="00D13635"/>
    <w:rsid w:val="00D441B4"/>
    <w:rsid w:val="00D55F37"/>
    <w:rsid w:val="00D757C4"/>
    <w:rsid w:val="00D92DA0"/>
    <w:rsid w:val="00D970E5"/>
    <w:rsid w:val="00DA101D"/>
    <w:rsid w:val="00DB3144"/>
    <w:rsid w:val="00DC2B5B"/>
    <w:rsid w:val="00DC61F3"/>
    <w:rsid w:val="00DD162E"/>
    <w:rsid w:val="00DE0550"/>
    <w:rsid w:val="00E062CB"/>
    <w:rsid w:val="00E33BA3"/>
    <w:rsid w:val="00E43D40"/>
    <w:rsid w:val="00E46C03"/>
    <w:rsid w:val="00E51F29"/>
    <w:rsid w:val="00E645BA"/>
    <w:rsid w:val="00E65717"/>
    <w:rsid w:val="00E74BD2"/>
    <w:rsid w:val="00E83380"/>
    <w:rsid w:val="00E8410B"/>
    <w:rsid w:val="00EA5D5E"/>
    <w:rsid w:val="00EC1862"/>
    <w:rsid w:val="00EC1ADE"/>
    <w:rsid w:val="00EC1F3E"/>
    <w:rsid w:val="00EE0B70"/>
    <w:rsid w:val="00EE5A83"/>
    <w:rsid w:val="00EF03C9"/>
    <w:rsid w:val="00F019CE"/>
    <w:rsid w:val="00F03D7F"/>
    <w:rsid w:val="00F0510C"/>
    <w:rsid w:val="00F054FD"/>
    <w:rsid w:val="00F05C5D"/>
    <w:rsid w:val="00F10FDF"/>
    <w:rsid w:val="00F27020"/>
    <w:rsid w:val="00F41392"/>
    <w:rsid w:val="00F4219D"/>
    <w:rsid w:val="00F4332E"/>
    <w:rsid w:val="00F478AC"/>
    <w:rsid w:val="00F47935"/>
    <w:rsid w:val="00F5371A"/>
    <w:rsid w:val="00F64DF3"/>
    <w:rsid w:val="00F67505"/>
    <w:rsid w:val="00F72C3D"/>
    <w:rsid w:val="00F77DEB"/>
    <w:rsid w:val="00F80D93"/>
    <w:rsid w:val="00F8133D"/>
    <w:rsid w:val="00F91FC1"/>
    <w:rsid w:val="00F93969"/>
    <w:rsid w:val="00F94C0C"/>
    <w:rsid w:val="00FF7013"/>
    <w:rsid w:val="00FF74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CA3F2B"/>
  <w15:docId w15:val="{C6627C11-95AC-45C6-BC13-04DD1C7F2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6703"/>
  </w:style>
  <w:style w:type="paragraph" w:styleId="Heading1">
    <w:name w:val="heading 1"/>
    <w:basedOn w:val="Normal"/>
    <w:next w:val="Normal"/>
    <w:link w:val="Heading1Char"/>
    <w:uiPriority w:val="9"/>
    <w:qFormat/>
    <w:rsid w:val="00286703"/>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286703"/>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semiHidden/>
    <w:unhideWhenUsed/>
    <w:qFormat/>
    <w:rsid w:val="00286703"/>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286703"/>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286703"/>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286703"/>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286703"/>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286703"/>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286703"/>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6F67A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F67AB"/>
    <w:rPr>
      <w:sz w:val="20"/>
      <w:szCs w:val="20"/>
    </w:rPr>
  </w:style>
  <w:style w:type="character" w:styleId="FootnoteReference">
    <w:name w:val="footnote reference"/>
    <w:basedOn w:val="DefaultParagraphFont"/>
    <w:uiPriority w:val="99"/>
    <w:semiHidden/>
    <w:unhideWhenUsed/>
    <w:rsid w:val="006F67AB"/>
    <w:rPr>
      <w:vertAlign w:val="superscript"/>
    </w:rPr>
  </w:style>
  <w:style w:type="character" w:styleId="PlaceholderText">
    <w:name w:val="Placeholder Text"/>
    <w:basedOn w:val="DefaultParagraphFont"/>
    <w:uiPriority w:val="99"/>
    <w:semiHidden/>
    <w:rsid w:val="006F67AB"/>
    <w:rPr>
      <w:color w:val="808080"/>
    </w:rPr>
  </w:style>
  <w:style w:type="paragraph" w:styleId="BalloonText">
    <w:name w:val="Balloon Text"/>
    <w:basedOn w:val="Normal"/>
    <w:link w:val="BalloonTextChar"/>
    <w:uiPriority w:val="99"/>
    <w:semiHidden/>
    <w:unhideWhenUsed/>
    <w:rsid w:val="006F67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67AB"/>
    <w:rPr>
      <w:rFonts w:ascii="Tahoma" w:hAnsi="Tahoma" w:cs="Tahoma"/>
      <w:sz w:val="16"/>
      <w:szCs w:val="16"/>
    </w:rPr>
  </w:style>
  <w:style w:type="table" w:styleId="TableGrid">
    <w:name w:val="Table Grid"/>
    <w:basedOn w:val="TableNormal"/>
    <w:uiPriority w:val="59"/>
    <w:rsid w:val="00B808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B8081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
    <w:name w:val="Heading 1 Char"/>
    <w:basedOn w:val="DefaultParagraphFont"/>
    <w:link w:val="Heading1"/>
    <w:uiPriority w:val="9"/>
    <w:rsid w:val="00286703"/>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286703"/>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semiHidden/>
    <w:rsid w:val="00286703"/>
    <w:rPr>
      <w:rFonts w:asciiTheme="majorHAnsi" w:eastAsiaTheme="majorEastAsia" w:hAnsiTheme="majorHAnsi" w:cstheme="majorBidi"/>
      <w:b/>
      <w:bCs/>
    </w:rPr>
  </w:style>
  <w:style w:type="character" w:customStyle="1" w:styleId="Heading4Char">
    <w:name w:val="Heading 4 Char"/>
    <w:basedOn w:val="DefaultParagraphFont"/>
    <w:link w:val="Heading4"/>
    <w:uiPriority w:val="9"/>
    <w:semiHidden/>
    <w:rsid w:val="00286703"/>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286703"/>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286703"/>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286703"/>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286703"/>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286703"/>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286703"/>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286703"/>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286703"/>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286703"/>
    <w:rPr>
      <w:rFonts w:asciiTheme="majorHAnsi" w:eastAsiaTheme="majorEastAsia" w:hAnsiTheme="majorHAnsi" w:cstheme="majorBidi"/>
      <w:i/>
      <w:iCs/>
      <w:spacing w:val="13"/>
      <w:sz w:val="24"/>
      <w:szCs w:val="24"/>
    </w:rPr>
  </w:style>
  <w:style w:type="character" w:styleId="Strong">
    <w:name w:val="Strong"/>
    <w:uiPriority w:val="22"/>
    <w:qFormat/>
    <w:rsid w:val="00286703"/>
    <w:rPr>
      <w:b/>
      <w:bCs/>
    </w:rPr>
  </w:style>
  <w:style w:type="character" w:styleId="Emphasis">
    <w:name w:val="Emphasis"/>
    <w:uiPriority w:val="20"/>
    <w:qFormat/>
    <w:rsid w:val="00286703"/>
    <w:rPr>
      <w:b/>
      <w:bCs/>
      <w:i/>
      <w:iCs/>
      <w:spacing w:val="10"/>
      <w:bdr w:val="none" w:sz="0" w:space="0" w:color="auto"/>
      <w:shd w:val="clear" w:color="auto" w:fill="auto"/>
    </w:rPr>
  </w:style>
  <w:style w:type="paragraph" w:styleId="NoSpacing">
    <w:name w:val="No Spacing"/>
    <w:basedOn w:val="Normal"/>
    <w:uiPriority w:val="1"/>
    <w:qFormat/>
    <w:rsid w:val="00286703"/>
    <w:pPr>
      <w:spacing w:after="0" w:line="240" w:lineRule="auto"/>
    </w:pPr>
  </w:style>
  <w:style w:type="paragraph" w:styleId="ListParagraph">
    <w:name w:val="List Paragraph"/>
    <w:basedOn w:val="Normal"/>
    <w:uiPriority w:val="34"/>
    <w:qFormat/>
    <w:rsid w:val="00286703"/>
    <w:pPr>
      <w:ind w:left="720"/>
      <w:contextualSpacing/>
    </w:pPr>
  </w:style>
  <w:style w:type="paragraph" w:styleId="Quote">
    <w:name w:val="Quote"/>
    <w:basedOn w:val="Normal"/>
    <w:next w:val="Normal"/>
    <w:link w:val="QuoteChar"/>
    <w:uiPriority w:val="29"/>
    <w:qFormat/>
    <w:rsid w:val="00286703"/>
    <w:pPr>
      <w:spacing w:before="200" w:after="0"/>
      <w:ind w:left="360" w:right="360"/>
    </w:pPr>
    <w:rPr>
      <w:i/>
      <w:iCs/>
    </w:rPr>
  </w:style>
  <w:style w:type="character" w:customStyle="1" w:styleId="QuoteChar">
    <w:name w:val="Quote Char"/>
    <w:basedOn w:val="DefaultParagraphFont"/>
    <w:link w:val="Quote"/>
    <w:uiPriority w:val="29"/>
    <w:rsid w:val="00286703"/>
    <w:rPr>
      <w:i/>
      <w:iCs/>
    </w:rPr>
  </w:style>
  <w:style w:type="paragraph" w:styleId="IntenseQuote">
    <w:name w:val="Intense Quote"/>
    <w:basedOn w:val="Normal"/>
    <w:next w:val="Normal"/>
    <w:link w:val="IntenseQuoteChar"/>
    <w:uiPriority w:val="30"/>
    <w:qFormat/>
    <w:rsid w:val="00286703"/>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286703"/>
    <w:rPr>
      <w:b/>
      <w:bCs/>
      <w:i/>
      <w:iCs/>
    </w:rPr>
  </w:style>
  <w:style w:type="character" w:styleId="SubtleEmphasis">
    <w:name w:val="Subtle Emphasis"/>
    <w:uiPriority w:val="19"/>
    <w:qFormat/>
    <w:rsid w:val="00286703"/>
    <w:rPr>
      <w:i/>
      <w:iCs/>
    </w:rPr>
  </w:style>
  <w:style w:type="character" w:styleId="IntenseEmphasis">
    <w:name w:val="Intense Emphasis"/>
    <w:uiPriority w:val="21"/>
    <w:qFormat/>
    <w:rsid w:val="00286703"/>
    <w:rPr>
      <w:b/>
      <w:bCs/>
    </w:rPr>
  </w:style>
  <w:style w:type="character" w:styleId="SubtleReference">
    <w:name w:val="Subtle Reference"/>
    <w:uiPriority w:val="31"/>
    <w:qFormat/>
    <w:rsid w:val="00286703"/>
    <w:rPr>
      <w:smallCaps/>
    </w:rPr>
  </w:style>
  <w:style w:type="character" w:styleId="IntenseReference">
    <w:name w:val="Intense Reference"/>
    <w:uiPriority w:val="32"/>
    <w:qFormat/>
    <w:rsid w:val="00286703"/>
    <w:rPr>
      <w:smallCaps/>
      <w:spacing w:val="5"/>
      <w:u w:val="single"/>
    </w:rPr>
  </w:style>
  <w:style w:type="character" w:styleId="BookTitle">
    <w:name w:val="Book Title"/>
    <w:uiPriority w:val="33"/>
    <w:qFormat/>
    <w:rsid w:val="00286703"/>
    <w:rPr>
      <w:i/>
      <w:iCs/>
      <w:smallCaps/>
      <w:spacing w:val="5"/>
    </w:rPr>
  </w:style>
  <w:style w:type="paragraph" w:styleId="TOCHeading">
    <w:name w:val="TOC Heading"/>
    <w:basedOn w:val="Heading1"/>
    <w:next w:val="Normal"/>
    <w:uiPriority w:val="39"/>
    <w:semiHidden/>
    <w:unhideWhenUsed/>
    <w:qFormat/>
    <w:rsid w:val="00286703"/>
    <w:pPr>
      <w:outlineLvl w:val="9"/>
    </w:pPr>
    <w:rPr>
      <w:lang w:bidi="en-US"/>
    </w:rPr>
  </w:style>
  <w:style w:type="paragraph" w:styleId="Header">
    <w:name w:val="header"/>
    <w:basedOn w:val="Normal"/>
    <w:link w:val="HeaderChar"/>
    <w:uiPriority w:val="99"/>
    <w:unhideWhenUsed/>
    <w:rsid w:val="004F3A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3A85"/>
  </w:style>
  <w:style w:type="paragraph" w:styleId="Footer">
    <w:name w:val="footer"/>
    <w:basedOn w:val="Normal"/>
    <w:link w:val="FooterChar"/>
    <w:uiPriority w:val="99"/>
    <w:unhideWhenUsed/>
    <w:rsid w:val="004F3A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3A85"/>
  </w:style>
  <w:style w:type="character" w:styleId="Hyperlink">
    <w:name w:val="Hyperlink"/>
    <w:basedOn w:val="DefaultParagraphFont"/>
    <w:uiPriority w:val="99"/>
    <w:unhideWhenUsed/>
    <w:rsid w:val="00F10FDF"/>
    <w:rPr>
      <w:color w:val="0000FF" w:themeColor="hyperlink"/>
      <w:u w:val="single"/>
    </w:rPr>
  </w:style>
  <w:style w:type="character" w:styleId="CommentReference">
    <w:name w:val="annotation reference"/>
    <w:basedOn w:val="DefaultParagraphFont"/>
    <w:uiPriority w:val="99"/>
    <w:semiHidden/>
    <w:unhideWhenUsed/>
    <w:rsid w:val="00600335"/>
    <w:rPr>
      <w:sz w:val="16"/>
      <w:szCs w:val="16"/>
    </w:rPr>
  </w:style>
  <w:style w:type="paragraph" w:styleId="CommentText">
    <w:name w:val="annotation text"/>
    <w:basedOn w:val="Normal"/>
    <w:link w:val="CommentTextChar"/>
    <w:uiPriority w:val="99"/>
    <w:semiHidden/>
    <w:unhideWhenUsed/>
    <w:rsid w:val="00600335"/>
    <w:pPr>
      <w:spacing w:line="240" w:lineRule="auto"/>
    </w:pPr>
    <w:rPr>
      <w:sz w:val="20"/>
      <w:szCs w:val="20"/>
    </w:rPr>
  </w:style>
  <w:style w:type="character" w:customStyle="1" w:styleId="CommentTextChar">
    <w:name w:val="Comment Text Char"/>
    <w:basedOn w:val="DefaultParagraphFont"/>
    <w:link w:val="CommentText"/>
    <w:uiPriority w:val="99"/>
    <w:semiHidden/>
    <w:rsid w:val="00600335"/>
    <w:rPr>
      <w:sz w:val="20"/>
      <w:szCs w:val="20"/>
    </w:rPr>
  </w:style>
  <w:style w:type="paragraph" w:styleId="CommentSubject">
    <w:name w:val="annotation subject"/>
    <w:basedOn w:val="CommentText"/>
    <w:next w:val="CommentText"/>
    <w:link w:val="CommentSubjectChar"/>
    <w:uiPriority w:val="99"/>
    <w:semiHidden/>
    <w:unhideWhenUsed/>
    <w:rsid w:val="00600335"/>
    <w:rPr>
      <w:b/>
      <w:bCs/>
    </w:rPr>
  </w:style>
  <w:style w:type="character" w:customStyle="1" w:styleId="CommentSubjectChar">
    <w:name w:val="Comment Subject Char"/>
    <w:basedOn w:val="CommentTextChar"/>
    <w:link w:val="CommentSubject"/>
    <w:uiPriority w:val="99"/>
    <w:semiHidden/>
    <w:rsid w:val="00600335"/>
    <w:rPr>
      <w:b/>
      <w:bCs/>
      <w:sz w:val="20"/>
      <w:szCs w:val="20"/>
    </w:rPr>
  </w:style>
  <w:style w:type="paragraph" w:styleId="HTMLPreformatted">
    <w:name w:val="HTML Preformatted"/>
    <w:basedOn w:val="Normal"/>
    <w:link w:val="HTMLPreformattedChar"/>
    <w:uiPriority w:val="99"/>
    <w:unhideWhenUsed/>
    <w:rsid w:val="00817E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817EAD"/>
    <w:rPr>
      <w:rFonts w:ascii="Courier New" w:eastAsia="Times New Roman" w:hAnsi="Courier New" w:cs="Courier New"/>
      <w:sz w:val="20"/>
      <w:szCs w:val="20"/>
      <w:lang w:eastAsia="en-GB"/>
    </w:rPr>
  </w:style>
  <w:style w:type="paragraph" w:customStyle="1" w:styleId="Default">
    <w:name w:val="Default"/>
    <w:rsid w:val="00197234"/>
    <w:pPr>
      <w:autoSpaceDE w:val="0"/>
      <w:autoSpaceDN w:val="0"/>
      <w:adjustRightInd w:val="0"/>
      <w:spacing w:after="0" w:line="240" w:lineRule="auto"/>
    </w:pPr>
    <w:rPr>
      <w:rFonts w:ascii="Code" w:eastAsiaTheme="minorHAnsi" w:hAnsi="Code" w:cs="Code"/>
      <w:color w:val="000000"/>
      <w:sz w:val="24"/>
      <w:szCs w:val="24"/>
    </w:rPr>
  </w:style>
  <w:style w:type="character" w:styleId="FollowedHyperlink">
    <w:name w:val="FollowedHyperlink"/>
    <w:basedOn w:val="DefaultParagraphFont"/>
    <w:uiPriority w:val="99"/>
    <w:semiHidden/>
    <w:unhideWhenUsed/>
    <w:rsid w:val="00565F2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825335">
      <w:bodyDiv w:val="1"/>
      <w:marLeft w:val="0"/>
      <w:marRight w:val="0"/>
      <w:marTop w:val="0"/>
      <w:marBottom w:val="0"/>
      <w:divBdr>
        <w:top w:val="none" w:sz="0" w:space="0" w:color="auto"/>
        <w:left w:val="none" w:sz="0" w:space="0" w:color="auto"/>
        <w:bottom w:val="none" w:sz="0" w:space="0" w:color="auto"/>
        <w:right w:val="none" w:sz="0" w:space="0" w:color="auto"/>
      </w:divBdr>
      <w:divsChild>
        <w:div w:id="1286807933">
          <w:marLeft w:val="0"/>
          <w:marRight w:val="0"/>
          <w:marTop w:val="0"/>
          <w:marBottom w:val="0"/>
          <w:divBdr>
            <w:top w:val="none" w:sz="0" w:space="0" w:color="auto"/>
            <w:left w:val="none" w:sz="0" w:space="0" w:color="auto"/>
            <w:bottom w:val="none" w:sz="0" w:space="0" w:color="auto"/>
            <w:right w:val="none" w:sz="0" w:space="0" w:color="auto"/>
          </w:divBdr>
        </w:div>
        <w:div w:id="1305357199">
          <w:marLeft w:val="0"/>
          <w:marRight w:val="0"/>
          <w:marTop w:val="0"/>
          <w:marBottom w:val="0"/>
          <w:divBdr>
            <w:top w:val="none" w:sz="0" w:space="0" w:color="auto"/>
            <w:left w:val="none" w:sz="0" w:space="0" w:color="auto"/>
            <w:bottom w:val="none" w:sz="0" w:space="0" w:color="auto"/>
            <w:right w:val="none" w:sz="0" w:space="0" w:color="auto"/>
          </w:divBdr>
        </w:div>
      </w:divsChild>
    </w:div>
    <w:div w:id="588198168">
      <w:bodyDiv w:val="1"/>
      <w:marLeft w:val="0"/>
      <w:marRight w:val="0"/>
      <w:marTop w:val="0"/>
      <w:marBottom w:val="0"/>
      <w:divBdr>
        <w:top w:val="none" w:sz="0" w:space="0" w:color="auto"/>
        <w:left w:val="none" w:sz="0" w:space="0" w:color="auto"/>
        <w:bottom w:val="none" w:sz="0" w:space="0" w:color="auto"/>
        <w:right w:val="none" w:sz="0" w:space="0" w:color="auto"/>
      </w:divBdr>
      <w:divsChild>
        <w:div w:id="1315721473">
          <w:marLeft w:val="0"/>
          <w:marRight w:val="0"/>
          <w:marTop w:val="0"/>
          <w:marBottom w:val="0"/>
          <w:divBdr>
            <w:top w:val="none" w:sz="0" w:space="0" w:color="auto"/>
            <w:left w:val="none" w:sz="0" w:space="0" w:color="auto"/>
            <w:bottom w:val="none" w:sz="0" w:space="0" w:color="auto"/>
            <w:right w:val="none" w:sz="0" w:space="0" w:color="auto"/>
          </w:divBdr>
        </w:div>
        <w:div w:id="672100924">
          <w:marLeft w:val="0"/>
          <w:marRight w:val="0"/>
          <w:marTop w:val="0"/>
          <w:marBottom w:val="0"/>
          <w:divBdr>
            <w:top w:val="none" w:sz="0" w:space="0" w:color="auto"/>
            <w:left w:val="none" w:sz="0" w:space="0" w:color="auto"/>
            <w:bottom w:val="none" w:sz="0" w:space="0" w:color="auto"/>
            <w:right w:val="none" w:sz="0" w:space="0" w:color="auto"/>
          </w:divBdr>
        </w:div>
        <w:div w:id="272593415">
          <w:marLeft w:val="0"/>
          <w:marRight w:val="0"/>
          <w:marTop w:val="0"/>
          <w:marBottom w:val="0"/>
          <w:divBdr>
            <w:top w:val="none" w:sz="0" w:space="0" w:color="auto"/>
            <w:left w:val="none" w:sz="0" w:space="0" w:color="auto"/>
            <w:bottom w:val="none" w:sz="0" w:space="0" w:color="auto"/>
            <w:right w:val="none" w:sz="0" w:space="0" w:color="auto"/>
          </w:divBdr>
        </w:div>
      </w:divsChild>
    </w:div>
    <w:div w:id="590823065">
      <w:bodyDiv w:val="1"/>
      <w:marLeft w:val="0"/>
      <w:marRight w:val="0"/>
      <w:marTop w:val="0"/>
      <w:marBottom w:val="0"/>
      <w:divBdr>
        <w:top w:val="none" w:sz="0" w:space="0" w:color="auto"/>
        <w:left w:val="none" w:sz="0" w:space="0" w:color="auto"/>
        <w:bottom w:val="none" w:sz="0" w:space="0" w:color="auto"/>
        <w:right w:val="none" w:sz="0" w:space="0" w:color="auto"/>
      </w:divBdr>
      <w:divsChild>
        <w:div w:id="700210730">
          <w:marLeft w:val="0"/>
          <w:marRight w:val="0"/>
          <w:marTop w:val="0"/>
          <w:marBottom w:val="0"/>
          <w:divBdr>
            <w:top w:val="none" w:sz="0" w:space="0" w:color="auto"/>
            <w:left w:val="none" w:sz="0" w:space="0" w:color="auto"/>
            <w:bottom w:val="none" w:sz="0" w:space="0" w:color="auto"/>
            <w:right w:val="none" w:sz="0" w:space="0" w:color="auto"/>
          </w:divBdr>
        </w:div>
      </w:divsChild>
    </w:div>
    <w:div w:id="1615093708">
      <w:bodyDiv w:val="1"/>
      <w:marLeft w:val="0"/>
      <w:marRight w:val="0"/>
      <w:marTop w:val="0"/>
      <w:marBottom w:val="0"/>
      <w:divBdr>
        <w:top w:val="none" w:sz="0" w:space="0" w:color="auto"/>
        <w:left w:val="none" w:sz="0" w:space="0" w:color="auto"/>
        <w:bottom w:val="none" w:sz="0" w:space="0" w:color="auto"/>
        <w:right w:val="none" w:sz="0" w:space="0" w:color="auto"/>
      </w:divBdr>
      <w:divsChild>
        <w:div w:id="15688327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theses.lse.ac.uk/1829/1/U202398.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622848-BBE2-471B-AA1A-A5B27F1AD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19686</Words>
  <Characters>112213</Characters>
  <Application>Microsoft Office Word</Application>
  <DocSecurity>4</DocSecurity>
  <Lines>935</Lines>
  <Paragraphs>263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131636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spl40</dc:creator>
  <cp:lastModifiedBy>ss19</cp:lastModifiedBy>
  <cp:revision>2</cp:revision>
  <cp:lastPrinted>2018-09-10T10:30:00Z</cp:lastPrinted>
  <dcterms:created xsi:type="dcterms:W3CDTF">2019-01-17T15:51:00Z</dcterms:created>
  <dcterms:modified xsi:type="dcterms:W3CDTF">2019-01-17T15:51:00Z</dcterms:modified>
</cp:coreProperties>
</file>