
<file path=[Content_Types].xml><?xml version="1.0" encoding="utf-8"?>
<Types xmlns="http://schemas.openxmlformats.org/package/2006/content-types">
  <Default Extension="bin" ContentType="application/vnd.openxmlformats-officedocument.oleObject"/>
  <Default Extension="png" ContentType="image/png"/>
  <Default Extension="emf" ContentType="image/x-emf"/>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activeX/activeX1.xml" ContentType="application/vnd.ms-office.activeX+xml"/>
  <Override PartName="/word/activeX/activeX1.bin" ContentType="application/vnd.ms-office.activeX"/>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AB8A07D" w14:textId="77777777" w:rsidR="00626FDB" w:rsidRDefault="00626FDB">
      <w:pPr>
        <w:pStyle w:val="ElsGraphAbs"/>
      </w:pPr>
      <w:bookmarkStart w:id="0" w:name="_Hlk506212485"/>
      <w:bookmarkEnd w:id="0"/>
      <w:r>
        <w:t>Graphical Abstract</w:t>
      </w:r>
    </w:p>
    <w:p w14:paraId="67F18478" w14:textId="77777777" w:rsidR="00626FDB" w:rsidRDefault="00AF17AE">
      <w:pPr>
        <w:pStyle w:val="ElsGraphText"/>
      </w:pPr>
      <w:r>
        <w:rPr>
          <w:noProof/>
        </w:rPr>
        <mc:AlternateContent>
          <mc:Choice Requires="wpg">
            <w:drawing>
              <wp:anchor distT="0" distB="0" distL="114300" distR="114300" simplePos="0" relativeHeight="251659264" behindDoc="0" locked="0" layoutInCell="1" allowOverlap="1" wp14:anchorId="55F8458D" wp14:editId="5B001752">
                <wp:simplePos x="0" y="0"/>
                <wp:positionH relativeFrom="column">
                  <wp:posOffset>0</wp:posOffset>
                </wp:positionH>
                <wp:positionV relativeFrom="paragraph">
                  <wp:posOffset>655320</wp:posOffset>
                </wp:positionV>
                <wp:extent cx="6400800" cy="1981200"/>
                <wp:effectExtent l="7620" t="5080" r="11430" b="13970"/>
                <wp:wrapTopAndBottom/>
                <wp:docPr id="8" name="Group 86"/>
                <wp:cNvGraphicFramePr>
                  <a:graphicFrameLocks xmlns:a="http://schemas.openxmlformats.org/drawingml/2006/main" noChangeAspect="1"/>
                </wp:cNvGraphicFramePr>
                <a:graphic xmlns:a="http://schemas.openxmlformats.org/drawingml/2006/main">
                  <a:graphicData uri="http://schemas.microsoft.com/office/word/2010/wordprocessingGroup">
                    <wpg:wgp>
                      <wpg:cNvGrpSpPr>
                        <a:grpSpLocks noChangeAspect="1"/>
                      </wpg:cNvGrpSpPr>
                      <wpg:grpSpPr bwMode="auto">
                        <a:xfrm>
                          <a:off x="0" y="0"/>
                          <a:ext cx="6400800" cy="1981200"/>
                          <a:chOff x="912" y="3672"/>
                          <a:chExt cx="10080" cy="3120"/>
                        </a:xfrm>
                      </wpg:grpSpPr>
                      <wps:wsp>
                        <wps:cNvPr id="9" name="Text Box 87"/>
                        <wps:cNvSpPr txBox="1">
                          <a:spLocks noChangeAspect="1" noChangeArrowheads="1"/>
                        </wps:cNvSpPr>
                        <wps:spPr bwMode="auto">
                          <a:xfrm>
                            <a:off x="912" y="3672"/>
                            <a:ext cx="10080" cy="312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43C08A7B" w14:textId="347D7CE6" w:rsidR="00D27132" w:rsidRDefault="00D27132">
                              <w:pPr>
                                <w:pStyle w:val="ElsGraphTitle"/>
                              </w:pPr>
                              <w:r>
                                <w:t>Novel non-ATP competitive small molecule targeting the CK2 α/β interface</w:t>
                              </w:r>
                            </w:p>
                            <w:p w14:paraId="4C8D7071" w14:textId="2C07FBDB" w:rsidR="00D27132" w:rsidRDefault="00D27132">
                              <w:pPr>
                                <w:pStyle w:val="ElsGraphAuthor"/>
                              </w:pPr>
                              <w:r>
                                <w:t xml:space="preserve">Paul </w:t>
                              </w:r>
                              <w:proofErr w:type="spellStart"/>
                              <w:r>
                                <w:t>Brear</w:t>
                              </w:r>
                              <w:r>
                                <w:rPr>
                                  <w:vertAlign w:val="superscript"/>
                                </w:rPr>
                                <w:t>a</w:t>
                              </w:r>
                              <w:proofErr w:type="spellEnd"/>
                              <w:r>
                                <w:t xml:space="preserve">, Andrew </w:t>
                              </w:r>
                              <w:proofErr w:type="spellStart"/>
                              <w:r>
                                <w:t>North</w:t>
                              </w:r>
                              <w:r>
                                <w:rPr>
                                  <w:vertAlign w:val="superscript"/>
                                </w:rPr>
                                <w:t>b</w:t>
                              </w:r>
                              <w:proofErr w:type="spellEnd"/>
                              <w:r>
                                <w:t xml:space="preserve">, Jessica </w:t>
                              </w:r>
                              <w:proofErr w:type="spellStart"/>
                              <w:r>
                                <w:t>Iegre</w:t>
                              </w:r>
                              <w:r>
                                <w:rPr>
                                  <w:vertAlign w:val="superscript"/>
                                </w:rPr>
                                <w:t>b</w:t>
                              </w:r>
                              <w:proofErr w:type="spellEnd"/>
                              <w:r>
                                <w:t xml:space="preserve">, Kathy </w:t>
                              </w:r>
                              <w:proofErr w:type="spellStart"/>
                              <w:r>
                                <w:t>Hadje</w:t>
                              </w:r>
                              <w:proofErr w:type="spellEnd"/>
                              <w:r>
                                <w:t xml:space="preserve"> </w:t>
                              </w:r>
                              <w:proofErr w:type="spellStart"/>
                              <w:r>
                                <w:t>Georgiou</w:t>
                              </w:r>
                              <w:r>
                                <w:rPr>
                                  <w:vertAlign w:val="superscript"/>
                                </w:rPr>
                                <w:t>b</w:t>
                              </w:r>
                              <w:proofErr w:type="spellEnd"/>
                              <w:r>
                                <w:t xml:space="preserve">, Alexandra </w:t>
                              </w:r>
                              <w:proofErr w:type="spellStart"/>
                              <w:r>
                                <w:t>Lubin</w:t>
                              </w:r>
                              <w:r>
                                <w:rPr>
                                  <w:vertAlign w:val="superscript"/>
                                </w:rPr>
                                <w:t>b</w:t>
                              </w:r>
                              <w:proofErr w:type="spellEnd"/>
                              <w:r>
                                <w:t xml:space="preserve">, Laura </w:t>
                              </w:r>
                              <w:proofErr w:type="spellStart"/>
                              <w:r>
                                <w:t>Carro</w:t>
                              </w:r>
                              <w:r>
                                <w:rPr>
                                  <w:vertAlign w:val="superscript"/>
                                </w:rPr>
                                <w:t>b</w:t>
                              </w:r>
                              <w:proofErr w:type="spellEnd"/>
                              <w:r>
                                <w:t xml:space="preserve">, William </w:t>
                              </w:r>
                              <w:proofErr w:type="spellStart"/>
                              <w:r>
                                <w:t>Green</w:t>
                              </w:r>
                              <w:r>
                                <w:rPr>
                                  <w:vertAlign w:val="superscript"/>
                                </w:rPr>
                                <w:t>b</w:t>
                              </w:r>
                              <w:proofErr w:type="spellEnd"/>
                              <w:r>
                                <w:t xml:space="preserve">, Hannah </w:t>
                              </w:r>
                              <w:proofErr w:type="spellStart"/>
                              <w:r>
                                <w:t>Sore</w:t>
                              </w:r>
                              <w:r>
                                <w:rPr>
                                  <w:vertAlign w:val="superscript"/>
                                </w:rPr>
                                <w:t>b</w:t>
                              </w:r>
                              <w:proofErr w:type="spellEnd"/>
                              <w:r>
                                <w:t xml:space="preserve">, Marko </w:t>
                              </w:r>
                              <w:proofErr w:type="spellStart"/>
                              <w:r>
                                <w:t>Hyvönen</w:t>
                              </w:r>
                              <w:r>
                                <w:rPr>
                                  <w:vertAlign w:val="superscript"/>
                                </w:rPr>
                                <w:t>a</w:t>
                              </w:r>
                              <w:proofErr w:type="spellEnd"/>
                              <w:r>
                                <w:t xml:space="preserve"> and David </w:t>
                              </w:r>
                              <w:proofErr w:type="spellStart"/>
                              <w:r>
                                <w:t>Spring</w:t>
                              </w:r>
                              <w:r>
                                <w:rPr>
                                  <w:vertAlign w:val="superscript"/>
                                </w:rPr>
                                <w:t>b</w:t>
                              </w:r>
                              <w:proofErr w:type="spellEnd"/>
                            </w:p>
                            <w:p w14:paraId="70A00BC2" w14:textId="2D3C0286" w:rsidR="00D27132" w:rsidRDefault="00D27132" w:rsidP="008655E8">
                              <w:pPr>
                                <w:pStyle w:val="ElsAffiliation"/>
                              </w:pPr>
                              <w:r>
                                <w:rPr>
                                  <w:vertAlign w:val="superscript"/>
                                </w:rPr>
                                <w:t xml:space="preserve">a </w:t>
                              </w:r>
                              <w:r>
                                <w:t xml:space="preserve">Department of Biochemistry, University of Cambridge, Sanger Building, 80 Tennis Court Road, Old Addenbrooke’s Site, Cambridge, CB2 1GA, UK </w:t>
                              </w:r>
                            </w:p>
                            <w:p w14:paraId="691F7E22" w14:textId="46F00684" w:rsidR="00D27132" w:rsidRDefault="00D27132" w:rsidP="008655E8">
                              <w:pPr>
                                <w:pStyle w:val="ElsAffiliation"/>
                              </w:pPr>
                              <w:r>
                                <w:rPr>
                                  <w:vertAlign w:val="superscript"/>
                                </w:rPr>
                                <w:t xml:space="preserve">b </w:t>
                              </w:r>
                              <w:r>
                                <w:t xml:space="preserve">Department of Chemistry, University of Cambridge, </w:t>
                              </w:r>
                              <w:proofErr w:type="spellStart"/>
                              <w:r>
                                <w:t>Lensfield</w:t>
                              </w:r>
                              <w:proofErr w:type="spellEnd"/>
                              <w:r>
                                <w:t xml:space="preserve"> Road, Cambridge, CB2 1EW, UK  </w:t>
                              </w:r>
                            </w:p>
                            <w:p w14:paraId="7836CB72" w14:textId="7961DAE0" w:rsidR="00D27132" w:rsidRDefault="00910D32" w:rsidP="008655E8">
                              <w:pPr>
                                <w:pStyle w:val="ElsGraphPlaceholder"/>
                              </w:pPr>
                              <w:r>
                                <w:object w:dxaOrig="4541" w:dyaOrig="2918" w14:anchorId="2958530B">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112.2pt;height:71.4pt" o:ole="">
                                    <v:imagedata r:id="rId8" o:title=""/>
                                  </v:shape>
                                  <o:OLEObject Type="Embed" ProgID="ChemDraw.Document.6.0" ShapeID="_x0000_i1026" DrawAspect="Content" ObjectID="_1587793427" r:id="rId9"/>
                                </w:object>
                              </w:r>
                            </w:p>
                          </w:txbxContent>
                        </wps:txbx>
                        <wps:bodyPr rot="0" vert="horz" wrap="square" lIns="45720" tIns="45720" rIns="45720" bIns="45720" anchor="t" anchorCtr="0" upright="1">
                          <a:noAutofit/>
                        </wps:bodyPr>
                      </wps:wsp>
                      <wps:wsp>
                        <wps:cNvPr id="10" name="Text Box 88"/>
                        <wps:cNvSpPr txBox="1">
                          <a:spLocks noChangeAspect="1" noChangeArrowheads="1"/>
                        </wps:cNvSpPr>
                        <wps:spPr bwMode="auto">
                          <a:xfrm>
                            <a:off x="6672" y="3672"/>
                            <a:ext cx="4320" cy="600"/>
                          </a:xfrm>
                          <a:prstGeom prst="rect">
                            <a:avLst/>
                          </a:prstGeom>
                          <a:solidFill>
                            <a:srgbClr val="00FFFF">
                              <a:alpha val="50000"/>
                            </a:srgbClr>
                          </a:solidFill>
                          <a:ln w="9525">
                            <a:solidFill>
                              <a:srgbClr val="000000"/>
                            </a:solidFill>
                            <a:miter lim="800000"/>
                            <a:headEnd/>
                            <a:tailEnd/>
                          </a:ln>
                        </wps:spPr>
                        <wps:txbx>
                          <w:txbxContent>
                            <w:p w14:paraId="3506A653" w14:textId="77777777" w:rsidR="00D27132" w:rsidRDefault="00D27132">
                              <w:r>
                                <w:t>Leave this area blank for abstract info.</w:t>
                              </w:r>
                            </w:p>
                          </w:txbxContent>
                        </wps:txbx>
                        <wps:bodyPr rot="0" vert="horz" wrap="square" lIns="45720" tIns="45720" rIns="4572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55F8458D" id="Group 86" o:spid="_x0000_s1026" style="position:absolute;margin-left:0;margin-top:51.6pt;width:7in;height:156pt;z-index:251659264" coordorigin="912,3672" coordsize="10080,31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">
                <o:lock v:ext="edit" aspectratio="t"/>
                <v:shapetype id="_x0000_t202" coordsize="21600,21600" o:spt="202" path="m,l,21600r21600,l21600,xe">
                  <v:stroke joinstyle="miter"/>
                  <v:path gradientshapeok="t" o:connecttype="rect"/>
                </v:shapetype>
                <v:shape id="Text Box 87" o:spid="_x0000_s1027" type="#_x0000_t202" style="position:absolute;left:912;top:3672;width:10080;height:31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" filled="f">
                  <o:lock v:ext="edit" aspectratio="t"/>
                  <v:textbox inset="3.6pt,,3.6pt">
                    <w:txbxContent>
                      <w:p w14:paraId="43C08A7B" w14:textId="347D7CE6" w:rsidR="00D27132" w:rsidRDefault="00D27132">
                        <w:pPr>
                          <w:pStyle w:val="ElsGraphTitle"/>
                        </w:pPr>
                        <w:r>
                          <w:t>Novel non-ATP competitive small molecule targeting the CK2 α/β interface</w:t>
                        </w:r>
                      </w:p>
                      <w:p w14:paraId="4C8D7071" w14:textId="2C07FBDB" w:rsidR="00D27132" w:rsidRDefault="00D27132">
                        <w:pPr>
                          <w:pStyle w:val="ElsGraphAuthor"/>
                        </w:pPr>
                        <w:r>
                          <w:t xml:space="preserve">Paul </w:t>
                        </w:r>
                        <w:proofErr w:type="spellStart"/>
                        <w:r>
                          <w:t>Brear</w:t>
                        </w:r>
                        <w:r>
                          <w:rPr>
                            <w:vertAlign w:val="superscript"/>
                          </w:rPr>
                          <w:t>a</w:t>
                        </w:r>
                        <w:proofErr w:type="spellEnd"/>
                        <w:r>
                          <w:t xml:space="preserve">, Andrew </w:t>
                        </w:r>
                        <w:proofErr w:type="spellStart"/>
                        <w:r>
                          <w:t>North</w:t>
                        </w:r>
                        <w:r>
                          <w:rPr>
                            <w:vertAlign w:val="superscript"/>
                          </w:rPr>
                          <w:t>b</w:t>
                        </w:r>
                        <w:proofErr w:type="spellEnd"/>
                        <w:r>
                          <w:t xml:space="preserve">, Jessica </w:t>
                        </w:r>
                        <w:proofErr w:type="spellStart"/>
                        <w:r>
                          <w:t>Iegre</w:t>
                        </w:r>
                        <w:r>
                          <w:rPr>
                            <w:vertAlign w:val="superscript"/>
                          </w:rPr>
                          <w:t>b</w:t>
                        </w:r>
                        <w:proofErr w:type="spellEnd"/>
                        <w:r>
                          <w:t xml:space="preserve">, Kathy </w:t>
                        </w:r>
                        <w:proofErr w:type="spellStart"/>
                        <w:r>
                          <w:t>Hadje</w:t>
                        </w:r>
                        <w:proofErr w:type="spellEnd"/>
                        <w:r>
                          <w:t xml:space="preserve"> </w:t>
                        </w:r>
                        <w:proofErr w:type="spellStart"/>
                        <w:r>
                          <w:t>Georgiou</w:t>
                        </w:r>
                        <w:r>
                          <w:rPr>
                            <w:vertAlign w:val="superscript"/>
                          </w:rPr>
                          <w:t>b</w:t>
                        </w:r>
                        <w:proofErr w:type="spellEnd"/>
                        <w:r>
                          <w:t xml:space="preserve">, Alexandra </w:t>
                        </w:r>
                        <w:proofErr w:type="spellStart"/>
                        <w:r>
                          <w:t>Lubin</w:t>
                        </w:r>
                        <w:r>
                          <w:rPr>
                            <w:vertAlign w:val="superscript"/>
                          </w:rPr>
                          <w:t>b</w:t>
                        </w:r>
                        <w:proofErr w:type="spellEnd"/>
                        <w:r>
                          <w:t xml:space="preserve">, Laura </w:t>
                        </w:r>
                        <w:proofErr w:type="spellStart"/>
                        <w:r>
                          <w:t>Carro</w:t>
                        </w:r>
                        <w:r>
                          <w:rPr>
                            <w:vertAlign w:val="superscript"/>
                          </w:rPr>
                          <w:t>b</w:t>
                        </w:r>
                        <w:proofErr w:type="spellEnd"/>
                        <w:r>
                          <w:t xml:space="preserve">, William </w:t>
                        </w:r>
                        <w:proofErr w:type="spellStart"/>
                        <w:r>
                          <w:t>Green</w:t>
                        </w:r>
                        <w:r>
                          <w:rPr>
                            <w:vertAlign w:val="superscript"/>
                          </w:rPr>
                          <w:t>b</w:t>
                        </w:r>
                        <w:proofErr w:type="spellEnd"/>
                        <w:r>
                          <w:t xml:space="preserve">, Hannah </w:t>
                        </w:r>
                        <w:proofErr w:type="spellStart"/>
                        <w:r>
                          <w:t>Sore</w:t>
                        </w:r>
                        <w:r>
                          <w:rPr>
                            <w:vertAlign w:val="superscript"/>
                          </w:rPr>
                          <w:t>b</w:t>
                        </w:r>
                        <w:proofErr w:type="spellEnd"/>
                        <w:r>
                          <w:t xml:space="preserve">, Marko </w:t>
                        </w:r>
                        <w:proofErr w:type="spellStart"/>
                        <w:r>
                          <w:t>Hyvönen</w:t>
                        </w:r>
                        <w:r>
                          <w:rPr>
                            <w:vertAlign w:val="superscript"/>
                          </w:rPr>
                          <w:t>a</w:t>
                        </w:r>
                        <w:proofErr w:type="spellEnd"/>
                        <w:r>
                          <w:t xml:space="preserve"> and David </w:t>
                        </w:r>
                        <w:proofErr w:type="spellStart"/>
                        <w:r>
                          <w:t>Spring</w:t>
                        </w:r>
                        <w:r>
                          <w:rPr>
                            <w:vertAlign w:val="superscript"/>
                          </w:rPr>
                          <w:t>b</w:t>
                        </w:r>
                        <w:proofErr w:type="spellEnd"/>
                      </w:p>
                      <w:p w14:paraId="70A00BC2" w14:textId="2D3C0286" w:rsidR="00D27132" w:rsidRDefault="00D27132" w:rsidP="008655E8">
                        <w:pPr>
                          <w:pStyle w:val="ElsAffiliation"/>
                        </w:pPr>
                        <w:r>
                          <w:rPr>
                            <w:vertAlign w:val="superscript"/>
                          </w:rPr>
                          <w:t xml:space="preserve">a </w:t>
                        </w:r>
                        <w:r>
                          <w:t xml:space="preserve">Department of Biochemistry, University of Cambridge, Sanger Building, 80 Tennis Court Road, Old Addenbrooke’s Site, Cambridge, CB2 1GA, UK </w:t>
                        </w:r>
                      </w:p>
                      <w:p w14:paraId="691F7E22" w14:textId="46F00684" w:rsidR="00D27132" w:rsidRDefault="00D27132" w:rsidP="008655E8">
                        <w:pPr>
                          <w:pStyle w:val="ElsAffiliation"/>
                        </w:pPr>
                        <w:r>
                          <w:rPr>
                            <w:vertAlign w:val="superscript"/>
                          </w:rPr>
                          <w:t xml:space="preserve">b </w:t>
                        </w:r>
                        <w:r>
                          <w:t xml:space="preserve">Department of Chemistry, University of Cambridge, </w:t>
                        </w:r>
                        <w:proofErr w:type="spellStart"/>
                        <w:r>
                          <w:t>Lensfield</w:t>
                        </w:r>
                        <w:proofErr w:type="spellEnd"/>
                        <w:r>
                          <w:t xml:space="preserve"> Road, Cambridge, CB2 1EW, UK  </w:t>
                        </w:r>
                      </w:p>
                      <w:p w14:paraId="7836CB72" w14:textId="7961DAE0" w:rsidR="00D27132" w:rsidRDefault="00910D32" w:rsidP="008655E8">
                        <w:pPr>
                          <w:pStyle w:val="ElsGraphPlaceholder"/>
                        </w:pPr>
                        <w:r>
                          <w:object w:dxaOrig="4541" w:dyaOrig="2918" w14:anchorId="2958530B">
                            <v:shape id="_x0000_i1026" type="#_x0000_t75" style="width:112.5pt;height:71.25pt" o:ole="">
                              <v:imagedata r:id="rId10" o:title=""/>
                            </v:shape>
                            <o:OLEObject Type="Embed" ProgID="ChemDraw.Document.6.0" ShapeID="_x0000_i1026" DrawAspect="Content" ObjectID="_1587149226" r:id="rId11"/>
                          </w:object>
                        </w:r>
                      </w:p>
                    </w:txbxContent>
                  </v:textbox>
                </v:shape>
                <v:shape id="Text Box 88" o:spid="_x0000_s1028" type="#_x0000_t202" style="position:absolute;left:6672;top:3672;width:4320;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" fillcolor="aqua">
                  <v:fill opacity="32896f"/>
                  <o:lock v:ext="edit" aspectratio="t"/>
                  <v:textbox inset="3.6pt,,3.6pt">
                    <w:txbxContent>
                      <w:p w14:paraId="3506A653" w14:textId="77777777" w:rsidR="00D27132" w:rsidRDefault="00D27132">
                        <w:r>
                          <w:t>Leave this area blank for abstract info.</w:t>
                        </w:r>
                      </w:p>
                    </w:txbxContent>
                  </v:textbox>
                </v:shape>
                <w10:wrap type="topAndBottom"/>
              </v:group>
            </w:pict>
          </mc:Fallback>
        </mc:AlternateContent>
      </w:r>
      <w:r w:rsidR="00626FDB">
        <w:t>To create your abstract, type over the instructions in the template box below.</w:t>
      </w:r>
      <w:r w:rsidR="00626FDB">
        <w:br/>
        <w:t>Fonts or abstract dimensions should not be changed or altered.</w:t>
      </w:r>
    </w:p>
    <w:p w14:paraId="3773DE1D" w14:textId="77777777" w:rsidR="00626FDB" w:rsidRDefault="00626FDB">
      <w:pPr>
        <w:sectPr w:rsidR="00626FDB">
          <w:pgSz w:w="11906" w:h="16838"/>
          <w:pgMar w:top="1692" w:right="912" w:bottom="1692" w:left="912" w:header="1200" w:footer="1200" w:gutter="0"/>
          <w:pgNumType w:start="2"/>
          <w:cols w:space="720"/>
        </w:sectPr>
      </w:pPr>
    </w:p>
    <w:tbl>
      <w:tblPr>
        <w:tblW w:w="0" w:type="auto"/>
        <w:tblLayout w:type="fixed"/>
        <w:tblLook w:val="0000" w:firstRow="0" w:lastRow="0" w:firstColumn="0" w:lastColumn="0" w:noHBand="0" w:noVBand="0"/>
      </w:tblPr>
      <w:tblGrid>
        <w:gridCol w:w="1458"/>
        <w:gridCol w:w="7650"/>
        <w:gridCol w:w="1440"/>
      </w:tblGrid>
      <w:tr w:rsidR="00626FDB" w14:paraId="6EB27D08" w14:textId="77777777">
        <w:trPr>
          <w:cantSplit/>
          <w:trHeight w:val="1530"/>
        </w:trPr>
        <w:tc>
          <w:tcPr>
            <w:tcW w:w="1458" w:type="dxa"/>
          </w:tcPr>
          <w:p w14:paraId="731CD54D" w14:textId="77777777" w:rsidR="00626FDB" w:rsidRDefault="00AF17AE">
            <w:pPr>
              <w:rPr>
                <w:sz w:val="30"/>
              </w:rPr>
            </w:pPr>
            <w:r>
              <w:rPr>
                <w:noProof/>
                <w:sz w:val="20"/>
                <w:vertAlign w:val="superscript"/>
              </w:rPr>
              <w:lastRenderedPageBreak/>
              <mc:AlternateContent>
                <mc:Choice Requires="wps">
                  <w:drawing>
                    <wp:anchor distT="0" distB="0" distL="114300" distR="114300" simplePos="0" relativeHeight="251657216" behindDoc="0" locked="0" layoutInCell="1" allowOverlap="1" wp14:anchorId="497CBCFB" wp14:editId="516ACE69">
                      <wp:simplePos x="0" y="0"/>
                      <wp:positionH relativeFrom="column">
                        <wp:posOffset>0</wp:posOffset>
                      </wp:positionH>
                      <wp:positionV relativeFrom="paragraph">
                        <wp:posOffset>-38100</wp:posOffset>
                      </wp:positionV>
                      <wp:extent cx="5715000" cy="0"/>
                      <wp:effectExtent l="10160" t="9525" r="8890" b="9525"/>
                      <wp:wrapNone/>
                      <wp:docPr id="7" name="Line 5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7150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4DF2492" id="Line 51" o:spid="_x0000_s1026" style="position:absolute;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0,-3pt" to="450pt,-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"/>
                  </w:pict>
                </mc:Fallback>
              </mc:AlternateContent>
            </w:r>
            <w:r>
              <w:rPr>
                <w:noProof/>
                <w:sz w:val="20"/>
              </w:rPr>
              <mc:AlternateContent>
                <mc:Choice Requires="wps">
                  <w:drawing>
                    <wp:anchor distT="0" distB="0" distL="114300" distR="114300" simplePos="0" relativeHeight="251656192" behindDoc="0" locked="0" layoutInCell="1" allowOverlap="1" wp14:anchorId="097D7B33" wp14:editId="2DEBF9F8">
                      <wp:simplePos x="0" y="0"/>
                      <wp:positionH relativeFrom="column">
                        <wp:posOffset>0</wp:posOffset>
                      </wp:positionH>
                      <wp:positionV relativeFrom="paragraph">
                        <wp:posOffset>914400</wp:posOffset>
                      </wp:positionV>
                      <wp:extent cx="6600825" cy="0"/>
                      <wp:effectExtent l="19685" t="19050" r="27940" b="19050"/>
                      <wp:wrapNone/>
                      <wp:docPr id="6" name="Line 5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600825" cy="0"/>
                              </a:xfrm>
                              <a:prstGeom prst="line">
                                <a:avLst/>
                              </a:prstGeom>
                              <a:noFill/>
                              <a:ln w="3810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C5184A2" id="Line 50" o:spid="_x0000_s1026" style="position:absolute;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0,1in" to="519.75pt,1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" strokeweight="3pt"/>
                  </w:pict>
                </mc:Fallback>
              </mc:AlternateContent>
            </w:r>
            <w:r>
              <w:rPr>
                <w:noProof/>
              </w:rPr>
              <w:drawing>
                <wp:inline distT="0" distB="0" distL="0" distR="0" wp14:anchorId="50E1598A" wp14:editId="7034D0AE">
                  <wp:extent cx="838200" cy="876300"/>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838200" cy="876300"/>
                          </a:xfrm>
                          <a:prstGeom prst="rect">
                            <a:avLst/>
                          </a:prstGeom>
                          <a:noFill/>
                          <a:ln>
                            <a:noFill/>
                          </a:ln>
                        </pic:spPr>
                      </pic:pic>
                    </a:graphicData>
                  </a:graphic>
                </wp:inline>
              </w:drawing>
            </w:r>
          </w:p>
        </w:tc>
        <w:tc>
          <w:tcPr>
            <w:tcW w:w="7650" w:type="dxa"/>
            <w:vAlign w:val="center"/>
          </w:tcPr>
          <w:p w14:paraId="342FD1DA" w14:textId="77777777" w:rsidR="00626FDB" w:rsidRDefault="00626FDB">
            <w:pPr>
              <w:jc w:val="center"/>
              <w:outlineLvl w:val="0"/>
              <w:rPr>
                <w:sz w:val="19"/>
                <w:lang w:val="en-GB"/>
              </w:rPr>
            </w:pPr>
            <w:r>
              <w:br/>
            </w:r>
            <w:r>
              <w:rPr>
                <w:sz w:val="28"/>
              </w:rPr>
              <w:t>Bioorganic &amp; Medicinal Chemistry</w:t>
            </w:r>
            <w:r>
              <w:br/>
            </w:r>
            <w:r>
              <w:rPr>
                <w:rFonts w:ascii="Univers" w:hAnsi="Univers"/>
                <w:spacing w:val="20"/>
                <w:sz w:val="17"/>
              </w:rPr>
              <w:t>journal homepage: www.elsevier.com</w:t>
            </w:r>
          </w:p>
        </w:tc>
        <w:tc>
          <w:tcPr>
            <w:tcW w:w="1440" w:type="dxa"/>
          </w:tcPr>
          <w:p w14:paraId="29925ACF" w14:textId="77777777" w:rsidR="00626FDB" w:rsidRDefault="00626FDB">
            <w:pPr>
              <w:outlineLvl w:val="0"/>
              <w:rPr>
                <w:sz w:val="19"/>
                <w:lang w:val="en-GB"/>
              </w:rPr>
            </w:pPr>
          </w:p>
        </w:tc>
      </w:tr>
    </w:tbl>
    <w:p w14:paraId="507380D6" w14:textId="31E391B1" w:rsidR="00626FDB" w:rsidRDefault="00D52058">
      <w:pPr>
        <w:pStyle w:val="ElsArticleTitle"/>
      </w:pPr>
      <w:bookmarkStart w:id="1" w:name="_Hlk506209609"/>
      <w:r>
        <w:t>Novel non-</w:t>
      </w:r>
      <w:r w:rsidR="001E4A8F">
        <w:t>ATP competitive</w:t>
      </w:r>
      <w:r>
        <w:t xml:space="preserve"> small molecule</w:t>
      </w:r>
      <w:r w:rsidR="00AC19D4">
        <w:t>s</w:t>
      </w:r>
      <w:r>
        <w:t xml:space="preserve"> </w:t>
      </w:r>
      <w:r w:rsidR="00AC19D4">
        <w:t>targeting</w:t>
      </w:r>
      <w:r>
        <w:t xml:space="preserve"> the CK2</w:t>
      </w:r>
      <w:r w:rsidR="00AC19D4">
        <w:t xml:space="preserve"> α/β</w:t>
      </w:r>
      <w:r>
        <w:t xml:space="preserve"> interface</w:t>
      </w:r>
      <w:bookmarkEnd w:id="1"/>
      <w:r>
        <w:t xml:space="preserve"> </w:t>
      </w:r>
    </w:p>
    <w:p w14:paraId="7A225EFD" w14:textId="5C58D628" w:rsidR="00626FDB" w:rsidRDefault="00D52058">
      <w:pPr>
        <w:pStyle w:val="ElsAuthor"/>
      </w:pPr>
      <w:r>
        <w:t>Paul</w:t>
      </w:r>
      <w:r w:rsidR="00626FDB">
        <w:t xml:space="preserve"> </w:t>
      </w:r>
      <w:proofErr w:type="spellStart"/>
      <w:r>
        <w:t>Brear</w:t>
      </w:r>
      <w:r w:rsidR="00626FDB">
        <w:rPr>
          <w:vertAlign w:val="superscript"/>
        </w:rPr>
        <w:t>a</w:t>
      </w:r>
      <w:proofErr w:type="spellEnd"/>
      <w:r w:rsidR="00626FDB">
        <w:t xml:space="preserve">, </w:t>
      </w:r>
      <w:r>
        <w:t>Andrew</w:t>
      </w:r>
      <w:r w:rsidR="00626FDB">
        <w:t xml:space="preserve"> </w:t>
      </w:r>
      <w:proofErr w:type="spellStart"/>
      <w:r>
        <w:t>North</w:t>
      </w:r>
      <w:r>
        <w:rPr>
          <w:vertAlign w:val="superscript"/>
        </w:rPr>
        <w:t>b</w:t>
      </w:r>
      <w:proofErr w:type="spellEnd"/>
      <w:r>
        <w:t>,</w:t>
      </w:r>
      <w:r w:rsidR="00CE5E1A">
        <w:t xml:space="preserve"> Jessica </w:t>
      </w:r>
      <w:proofErr w:type="spellStart"/>
      <w:r w:rsidR="00CE5E1A">
        <w:t>Iegre</w:t>
      </w:r>
      <w:r w:rsidR="00CE5E1A">
        <w:rPr>
          <w:vertAlign w:val="superscript"/>
        </w:rPr>
        <w:t>b</w:t>
      </w:r>
      <w:proofErr w:type="spellEnd"/>
      <w:r w:rsidR="00CE5E1A">
        <w:t xml:space="preserve">, Kathy </w:t>
      </w:r>
      <w:proofErr w:type="spellStart"/>
      <w:r w:rsidR="00CE5E1A">
        <w:t>Hadje</w:t>
      </w:r>
      <w:proofErr w:type="spellEnd"/>
      <w:r w:rsidR="00CE5E1A">
        <w:t xml:space="preserve"> </w:t>
      </w:r>
      <w:proofErr w:type="spellStart"/>
      <w:r w:rsidR="00CE5E1A">
        <w:t>Georgiou</w:t>
      </w:r>
      <w:r w:rsidR="00CE5E1A">
        <w:rPr>
          <w:vertAlign w:val="superscript"/>
        </w:rPr>
        <w:t>b</w:t>
      </w:r>
      <w:proofErr w:type="spellEnd"/>
      <w:r w:rsidR="00CE5E1A">
        <w:t xml:space="preserve">, Alexandra </w:t>
      </w:r>
      <w:proofErr w:type="spellStart"/>
      <w:r w:rsidR="00CE5E1A">
        <w:t>Lubin</w:t>
      </w:r>
      <w:r w:rsidR="00CE5E1A">
        <w:rPr>
          <w:vertAlign w:val="superscript"/>
        </w:rPr>
        <w:t>b</w:t>
      </w:r>
      <w:proofErr w:type="spellEnd"/>
      <w:r w:rsidR="00CE5E1A">
        <w:t xml:space="preserve">, Laura </w:t>
      </w:r>
      <w:proofErr w:type="spellStart"/>
      <w:r w:rsidR="00CE5E1A">
        <w:t>Carro</w:t>
      </w:r>
      <w:r w:rsidR="00CE5E1A">
        <w:rPr>
          <w:vertAlign w:val="superscript"/>
        </w:rPr>
        <w:t>b</w:t>
      </w:r>
      <w:proofErr w:type="spellEnd"/>
      <w:r w:rsidR="00CE5E1A">
        <w:t xml:space="preserve">, William </w:t>
      </w:r>
      <w:proofErr w:type="spellStart"/>
      <w:r w:rsidR="00CE5E1A">
        <w:t>Green</w:t>
      </w:r>
      <w:r w:rsidR="00CE5E1A">
        <w:rPr>
          <w:vertAlign w:val="superscript"/>
        </w:rPr>
        <w:t>b</w:t>
      </w:r>
      <w:proofErr w:type="spellEnd"/>
      <w:r w:rsidR="00CE5E1A">
        <w:t xml:space="preserve">, Hannah </w:t>
      </w:r>
      <w:proofErr w:type="spellStart"/>
      <w:r w:rsidR="00CE5E1A">
        <w:t>Sore</w:t>
      </w:r>
      <w:r w:rsidR="00CE5E1A">
        <w:rPr>
          <w:vertAlign w:val="superscript"/>
        </w:rPr>
        <w:t>b</w:t>
      </w:r>
      <w:proofErr w:type="spellEnd"/>
      <w:r w:rsidR="00CE5E1A">
        <w:t xml:space="preserve">, Marko </w:t>
      </w:r>
      <w:proofErr w:type="spellStart"/>
      <w:r w:rsidR="00CE5E1A">
        <w:t>Hyv</w:t>
      </w:r>
      <w:r w:rsidR="003D636F">
        <w:t>önen</w:t>
      </w:r>
      <w:r w:rsidR="003D636F">
        <w:rPr>
          <w:vertAlign w:val="superscript"/>
        </w:rPr>
        <w:t>a</w:t>
      </w:r>
      <w:proofErr w:type="spellEnd"/>
      <w:r w:rsidR="00626FDB">
        <w:t xml:space="preserve"> and </w:t>
      </w:r>
      <w:r w:rsidR="003D636F">
        <w:t>David</w:t>
      </w:r>
      <w:r w:rsidR="00626FDB">
        <w:t xml:space="preserve"> </w:t>
      </w:r>
      <w:proofErr w:type="spellStart"/>
      <w:r w:rsidR="003D636F">
        <w:t>Spring</w:t>
      </w:r>
      <w:r w:rsidR="00626FDB">
        <w:rPr>
          <w:vertAlign w:val="superscript"/>
        </w:rPr>
        <w:t>b</w:t>
      </w:r>
      <w:proofErr w:type="spellEnd"/>
      <w:r w:rsidR="003D636F">
        <w:rPr>
          <w:vertAlign w:val="superscript"/>
        </w:rPr>
        <w:t xml:space="preserve">, </w:t>
      </w:r>
      <w:r w:rsidR="003D636F" w:rsidRPr="00503324">
        <w:rPr>
          <w:vertAlign w:val="superscript"/>
        </w:rPr>
        <w:footnoteReference w:customMarkFollows="1" w:id="2"/>
        <w:sym w:font="Symbol" w:char="F02A"/>
      </w:r>
    </w:p>
    <w:p w14:paraId="13A31A88" w14:textId="77777777" w:rsidR="00626FDB" w:rsidRDefault="00626FDB">
      <w:pPr>
        <w:pStyle w:val="ElsAffiliation"/>
      </w:pPr>
      <w:r>
        <w:rPr>
          <w:vertAlign w:val="superscript"/>
        </w:rPr>
        <w:t>a</w:t>
      </w:r>
      <w:r w:rsidR="00D52058">
        <w:rPr>
          <w:vertAlign w:val="superscript"/>
        </w:rPr>
        <w:t xml:space="preserve"> </w:t>
      </w:r>
      <w:r w:rsidR="00D52058">
        <w:t xml:space="preserve">Department of Biochemistry, University of Cambridge, Sanger Building, 80 Tennis Court Road, Old Addenbrooke’s Site, Cambridge, CB2 1GA, UK </w:t>
      </w:r>
    </w:p>
    <w:p w14:paraId="733D8861" w14:textId="77777777" w:rsidR="00626FDB" w:rsidRDefault="00626FDB">
      <w:pPr>
        <w:pStyle w:val="ElsAffiliation"/>
      </w:pPr>
      <w:r>
        <w:rPr>
          <w:vertAlign w:val="superscript"/>
        </w:rPr>
        <w:t>b</w:t>
      </w:r>
      <w:r w:rsidR="00D52058">
        <w:rPr>
          <w:vertAlign w:val="superscript"/>
        </w:rPr>
        <w:t xml:space="preserve"> </w:t>
      </w:r>
      <w:r w:rsidR="00D52058">
        <w:t>Department of Chemistry, University of Cambridge</w:t>
      </w:r>
      <w:r w:rsidR="00CE5E1A">
        <w:t xml:space="preserve">, </w:t>
      </w:r>
      <w:proofErr w:type="spellStart"/>
      <w:r w:rsidR="00CE5E1A">
        <w:t>Lensfield</w:t>
      </w:r>
      <w:proofErr w:type="spellEnd"/>
      <w:r w:rsidR="00CE5E1A">
        <w:t xml:space="preserve"> Road, Cambridge, CB2 1EW, UK</w:t>
      </w:r>
      <w:r w:rsidR="00D52058">
        <w:t xml:space="preserve">  </w:t>
      </w:r>
    </w:p>
    <w:p w14:paraId="1AA5DB31" w14:textId="77777777" w:rsidR="00626FDB" w:rsidRDefault="00626FDB">
      <w:pPr>
        <w:pStyle w:val="ElsAffiliation"/>
      </w:pPr>
    </w:p>
    <w:tbl>
      <w:tblPr>
        <w:tblpPr w:leftFromText="187" w:rightFromText="187" w:bottomFromText="187" w:vertAnchor="text" w:tblpY="1"/>
        <w:tblOverlap w:val="never"/>
        <w:tblW w:w="0" w:type="auto"/>
        <w:tblBorders>
          <w:top w:val="single" w:sz="4" w:space="0" w:color="auto"/>
          <w:bottom w:val="single" w:sz="4" w:space="0" w:color="auto"/>
          <w:insideH w:val="single" w:sz="4" w:space="0" w:color="auto"/>
        </w:tblBorders>
        <w:tblCellMar>
          <w:left w:w="0" w:type="dxa"/>
          <w:right w:w="0" w:type="dxa"/>
        </w:tblCellMar>
        <w:tblLook w:val="0000" w:firstRow="0" w:lastRow="0" w:firstColumn="0" w:lastColumn="0" w:noHBand="0" w:noVBand="0"/>
      </w:tblPr>
      <w:tblGrid>
        <w:gridCol w:w="3468"/>
        <w:gridCol w:w="6840"/>
      </w:tblGrid>
      <w:tr w:rsidR="00626FDB" w14:paraId="5532025E" w14:textId="77777777">
        <w:trPr>
          <w:trHeight w:val="710"/>
        </w:trPr>
        <w:tc>
          <w:tcPr>
            <w:tcW w:w="3468" w:type="dxa"/>
            <w:vAlign w:val="center"/>
          </w:tcPr>
          <w:p w14:paraId="67D69448" w14:textId="77777777" w:rsidR="00626FDB" w:rsidRDefault="00626FDB">
            <w:pPr>
              <w:pStyle w:val="ElsArticleinfoHead"/>
              <w:rPr>
                <w:noProof/>
              </w:rPr>
            </w:pPr>
            <w:r>
              <w:rPr>
                <w:noProof/>
              </w:rPr>
              <w:t>ARTICLE INFO</w:t>
            </w:r>
          </w:p>
        </w:tc>
        <w:tc>
          <w:tcPr>
            <w:tcW w:w="6840" w:type="dxa"/>
            <w:tcMar>
              <w:left w:w="240" w:type="dxa"/>
            </w:tcMar>
            <w:vAlign w:val="center"/>
          </w:tcPr>
          <w:p w14:paraId="2E0371D0" w14:textId="77777777" w:rsidR="00626FDB" w:rsidRDefault="00626FDB">
            <w:pPr>
              <w:pStyle w:val="ElsAbstractHead"/>
            </w:pPr>
            <w:r>
              <w:t>ABSTRACT</w:t>
            </w:r>
          </w:p>
        </w:tc>
      </w:tr>
      <w:tr w:rsidR="00626FDB" w14:paraId="0DCF9B97" w14:textId="77777777">
        <w:trPr>
          <w:cantSplit/>
          <w:trHeight w:val="1051"/>
        </w:trPr>
        <w:tc>
          <w:tcPr>
            <w:tcW w:w="3468" w:type="dxa"/>
            <w:tcMar>
              <w:top w:w="72" w:type="dxa"/>
            </w:tcMar>
          </w:tcPr>
          <w:p w14:paraId="7A91A6C3" w14:textId="77777777" w:rsidR="00626FDB" w:rsidRDefault="00626FDB">
            <w:pPr>
              <w:pStyle w:val="ElsArticlehistory"/>
            </w:pPr>
            <w:r>
              <w:t>Article history:</w:t>
            </w:r>
          </w:p>
          <w:p w14:paraId="40B78625" w14:textId="77777777" w:rsidR="00626FDB" w:rsidRDefault="00626FDB">
            <w:pPr>
              <w:pStyle w:val="ElsArticlehistory"/>
              <w:rPr>
                <w:i w:val="0"/>
                <w:iCs/>
              </w:rPr>
            </w:pPr>
            <w:r>
              <w:rPr>
                <w:i w:val="0"/>
                <w:iCs/>
              </w:rPr>
              <w:t>Received</w:t>
            </w:r>
          </w:p>
          <w:p w14:paraId="5BA2044B" w14:textId="77777777" w:rsidR="00626FDB" w:rsidRDefault="00626FDB">
            <w:pPr>
              <w:pStyle w:val="ElsArticlehistory"/>
              <w:rPr>
                <w:i w:val="0"/>
                <w:iCs/>
              </w:rPr>
            </w:pPr>
            <w:r>
              <w:rPr>
                <w:i w:val="0"/>
                <w:iCs/>
              </w:rPr>
              <w:t>Received in revised form</w:t>
            </w:r>
          </w:p>
          <w:p w14:paraId="718B9CB1" w14:textId="77777777" w:rsidR="00626FDB" w:rsidRDefault="00626FDB">
            <w:pPr>
              <w:pStyle w:val="ElsArticlehistory"/>
              <w:rPr>
                <w:i w:val="0"/>
                <w:iCs/>
              </w:rPr>
            </w:pPr>
            <w:r>
              <w:rPr>
                <w:i w:val="0"/>
                <w:iCs/>
              </w:rPr>
              <w:t>Accepted</w:t>
            </w:r>
          </w:p>
          <w:p w14:paraId="14071E47" w14:textId="77777777" w:rsidR="00626FDB" w:rsidRDefault="00626FDB">
            <w:pPr>
              <w:pStyle w:val="ElsArticlehistory"/>
            </w:pPr>
            <w:r>
              <w:rPr>
                <w:i w:val="0"/>
                <w:iCs/>
              </w:rPr>
              <w:t>Available online</w:t>
            </w:r>
          </w:p>
        </w:tc>
        <w:tc>
          <w:tcPr>
            <w:tcW w:w="6840" w:type="dxa"/>
            <w:vMerge w:val="restart"/>
            <w:tcMar>
              <w:left w:w="240" w:type="dxa"/>
            </w:tcMar>
          </w:tcPr>
          <w:p w14:paraId="70213387" w14:textId="611B5B0F" w:rsidR="00626FDB" w:rsidRDefault="003D636F">
            <w:pPr>
              <w:pStyle w:val="ElsAbstractText"/>
            </w:pPr>
            <w:r>
              <w:rPr>
                <w:rStyle w:val="Strong"/>
              </w:rPr>
              <w:t>Increased CK2 levels are prevalent in many cancers</w:t>
            </w:r>
            <w:r w:rsidR="00736CE8">
              <w:rPr>
                <w:rStyle w:val="Strong"/>
              </w:rPr>
              <w:t>.</w:t>
            </w:r>
            <w:r>
              <w:rPr>
                <w:rStyle w:val="Strong"/>
              </w:rPr>
              <w:t xml:space="preserve"> </w:t>
            </w:r>
            <w:r w:rsidR="00736CE8">
              <w:rPr>
                <w:rStyle w:val="Strong"/>
              </w:rPr>
              <w:t>C</w:t>
            </w:r>
            <w:r>
              <w:rPr>
                <w:rStyle w:val="Strong"/>
              </w:rPr>
              <w:t>ombined with the critical role CK2 plays in many cell-</w:t>
            </w:r>
            <w:r w:rsidR="00F17237">
              <w:rPr>
                <w:rStyle w:val="Strong"/>
              </w:rPr>
              <w:t>signaling</w:t>
            </w:r>
            <w:r>
              <w:rPr>
                <w:rStyle w:val="Strong"/>
              </w:rPr>
              <w:t xml:space="preserve"> pathways,</w:t>
            </w:r>
            <w:r w:rsidR="00503324">
              <w:rPr>
                <w:rStyle w:val="Strong"/>
              </w:rPr>
              <w:t xml:space="preserve"> this</w:t>
            </w:r>
            <w:r>
              <w:rPr>
                <w:rStyle w:val="Strong"/>
              </w:rPr>
              <w:t xml:space="preserve"> makes it a prime target for down regulation to fight tumour growth. Herein, we report a fragment-based approach to inhibit</w:t>
            </w:r>
            <w:r w:rsidR="00EC3650">
              <w:rPr>
                <w:rStyle w:val="Strong"/>
              </w:rPr>
              <w:t>ing the interaction between CK2α and CK2β</w:t>
            </w:r>
            <w:r>
              <w:rPr>
                <w:rStyle w:val="Strong"/>
              </w:rPr>
              <w:t xml:space="preserve"> at the </w:t>
            </w:r>
            <w:r>
              <w:rPr>
                <w:rStyle w:val="Strong"/>
                <w:rFonts w:cstheme="minorHAnsi"/>
              </w:rPr>
              <w:t>α</w:t>
            </w:r>
            <w:r>
              <w:rPr>
                <w:rStyle w:val="Strong"/>
              </w:rPr>
              <w:t>-</w:t>
            </w:r>
            <w:r>
              <w:rPr>
                <w:rStyle w:val="Strong"/>
                <w:rFonts w:cstheme="minorHAnsi"/>
              </w:rPr>
              <w:t>β</w:t>
            </w:r>
            <w:r>
              <w:rPr>
                <w:rStyle w:val="Strong"/>
              </w:rPr>
              <w:t xml:space="preserve"> interface of the holoenzyme. A fragment</w:t>
            </w:r>
            <w:r w:rsidR="00BA5C91">
              <w:rPr>
                <w:rStyle w:val="Strong"/>
              </w:rPr>
              <w:t>, CAM187,</w:t>
            </w:r>
            <w:r>
              <w:rPr>
                <w:rStyle w:val="Strong"/>
              </w:rPr>
              <w:t xml:space="preserve"> with an IC</w:t>
            </w:r>
            <w:r>
              <w:rPr>
                <w:rStyle w:val="Strong"/>
                <w:vertAlign w:val="subscript"/>
              </w:rPr>
              <w:t>50</w:t>
            </w:r>
            <w:r>
              <w:rPr>
                <w:rStyle w:val="Strong"/>
              </w:rPr>
              <w:t xml:space="preserve"> of 44 </w:t>
            </w:r>
            <w:proofErr w:type="spellStart"/>
            <w:r>
              <w:rPr>
                <w:rStyle w:val="Strong"/>
                <w:rFonts w:cstheme="minorHAnsi"/>
              </w:rPr>
              <w:t>μ</w:t>
            </w:r>
            <w:r>
              <w:rPr>
                <w:rStyle w:val="Strong"/>
              </w:rPr>
              <w:t>M</w:t>
            </w:r>
            <w:proofErr w:type="spellEnd"/>
            <w:r>
              <w:rPr>
                <w:rStyle w:val="Strong"/>
              </w:rPr>
              <w:t xml:space="preserve"> and a molecular weight of only </w:t>
            </w:r>
            <w:r w:rsidR="00736CE8">
              <w:rPr>
                <w:rStyle w:val="Strong"/>
              </w:rPr>
              <w:t>257 gmol</w:t>
            </w:r>
            <w:r w:rsidR="00736CE8">
              <w:rPr>
                <w:rStyle w:val="Strong"/>
                <w:vertAlign w:val="superscript"/>
              </w:rPr>
              <w:t>-1</w:t>
            </w:r>
            <w:r>
              <w:rPr>
                <w:rStyle w:val="Strong"/>
              </w:rPr>
              <w:t xml:space="preserve"> has been identified as the most promising compound. Importantly, the lead fragment only bound at the interface and was not observed in the ATP binding site of the protein</w:t>
            </w:r>
            <w:r w:rsidR="008269E5">
              <w:rPr>
                <w:rStyle w:val="Strong"/>
              </w:rPr>
              <w:t xml:space="preserve"> when co-</w:t>
            </w:r>
            <w:proofErr w:type="spellStart"/>
            <w:r w:rsidR="008269E5">
              <w:rPr>
                <w:rStyle w:val="Strong"/>
              </w:rPr>
              <w:t>crystallised</w:t>
            </w:r>
            <w:proofErr w:type="spellEnd"/>
            <w:r w:rsidR="008269E5">
              <w:rPr>
                <w:rStyle w:val="Strong"/>
              </w:rPr>
              <w:t xml:space="preserve"> with CK2α</w:t>
            </w:r>
            <w:r>
              <w:rPr>
                <w:rStyle w:val="Strong"/>
              </w:rPr>
              <w:t xml:space="preserve">. </w:t>
            </w:r>
            <w:r w:rsidRPr="000E1484">
              <w:rPr>
                <w:rStyle w:val="Strong"/>
              </w:rPr>
              <w:t>The fragment-like molecules discovered in this study represent unique scaffolds to CK2 inhibition and leave room for further optimisation.</w:t>
            </w:r>
          </w:p>
          <w:p w14:paraId="44C2A28D" w14:textId="77777777" w:rsidR="00626FDB" w:rsidRDefault="00626FDB">
            <w:pPr>
              <w:pStyle w:val="ElsAbstractText"/>
              <w:jc w:val="right"/>
              <w:rPr>
                <w:sz w:val="16"/>
              </w:rPr>
            </w:pPr>
            <w:r>
              <w:rPr>
                <w:szCs w:val="14"/>
              </w:rPr>
              <w:t>2009 Elsevier Ltd. All rights reserved</w:t>
            </w:r>
            <w:r>
              <w:rPr>
                <w:sz w:val="16"/>
                <w:szCs w:val="14"/>
              </w:rPr>
              <w:t>.</w:t>
            </w:r>
          </w:p>
          <w:p w14:paraId="79E2D343" w14:textId="77777777" w:rsidR="00626FDB" w:rsidRDefault="00626FDB">
            <w:pPr>
              <w:pStyle w:val="ElsAbstractText"/>
            </w:pPr>
          </w:p>
        </w:tc>
      </w:tr>
      <w:tr w:rsidR="00626FDB" w14:paraId="5EE41510" w14:textId="77777777">
        <w:trPr>
          <w:cantSplit/>
          <w:trHeight w:val="1385"/>
        </w:trPr>
        <w:tc>
          <w:tcPr>
            <w:tcW w:w="3468" w:type="dxa"/>
            <w:tcMar>
              <w:top w:w="72" w:type="dxa"/>
              <w:left w:w="0" w:type="dxa"/>
            </w:tcMar>
            <w:vAlign w:val="center"/>
          </w:tcPr>
          <w:p w14:paraId="7090B935" w14:textId="77777777" w:rsidR="00626FDB" w:rsidRDefault="00626FDB">
            <w:pPr>
              <w:pStyle w:val="ElsKeywordHead"/>
            </w:pPr>
            <w:r>
              <w:t>Keywords:</w:t>
            </w:r>
          </w:p>
          <w:p w14:paraId="7B1E1FC9" w14:textId="6D2FFB48" w:rsidR="00626FDB" w:rsidRDefault="000D2F56">
            <w:pPr>
              <w:pStyle w:val="ElsKeyword"/>
            </w:pPr>
            <w:r>
              <w:t>CK2</w:t>
            </w:r>
          </w:p>
          <w:p w14:paraId="4DB653D6" w14:textId="6613A9A2" w:rsidR="00626FDB" w:rsidRDefault="000D2F56">
            <w:pPr>
              <w:pStyle w:val="ElsKeyword"/>
              <w:rPr>
                <w:iCs/>
              </w:rPr>
            </w:pPr>
            <w:r>
              <w:t>Protein-protein interaction</w:t>
            </w:r>
          </w:p>
          <w:p w14:paraId="6D7EF1AC" w14:textId="7E50E6D7" w:rsidR="00626FDB" w:rsidRPr="000D2F56" w:rsidRDefault="000D2F56">
            <w:pPr>
              <w:pStyle w:val="ElsKeyword"/>
              <w:rPr>
                <w:iCs/>
              </w:rPr>
            </w:pPr>
            <w:r>
              <w:t>Fragment based drug discovery</w:t>
            </w:r>
          </w:p>
          <w:p w14:paraId="3A0A3797" w14:textId="77777777" w:rsidR="00626FDB" w:rsidRDefault="00626FDB">
            <w:pPr>
              <w:pStyle w:val="ElsKeyword"/>
              <w:rPr>
                <w:i/>
              </w:rPr>
            </w:pPr>
          </w:p>
        </w:tc>
        <w:tc>
          <w:tcPr>
            <w:tcW w:w="6840" w:type="dxa"/>
            <w:vMerge/>
          </w:tcPr>
          <w:p w14:paraId="3503691C" w14:textId="77777777" w:rsidR="00626FDB" w:rsidRDefault="00626FDB">
            <w:pPr>
              <w:spacing w:after="80" w:line="200" w:lineRule="exact"/>
            </w:pPr>
          </w:p>
        </w:tc>
      </w:tr>
    </w:tbl>
    <w:p w14:paraId="6F08E1FF" w14:textId="77777777" w:rsidR="00626FDB" w:rsidRDefault="00626FDB">
      <w:pPr>
        <w:pStyle w:val="ElsCorrespondingAuthor"/>
        <w:spacing w:before="60" w:after="200" w:line="240" w:lineRule="auto"/>
        <w:rPr>
          <w:szCs w:val="24"/>
        </w:rPr>
        <w:sectPr w:rsidR="00626FDB">
          <w:headerReference w:type="even" r:id="rId13"/>
          <w:pgSz w:w="11906" w:h="16838" w:code="9"/>
          <w:pgMar w:top="1440" w:right="766" w:bottom="1238" w:left="766" w:header="720" w:footer="240" w:gutter="0"/>
          <w:cols w:space="720"/>
        </w:sectPr>
      </w:pPr>
    </w:p>
    <w:p w14:paraId="42D2F603" w14:textId="77777777" w:rsidR="00626FDB" w:rsidRDefault="00F17237">
      <w:pPr>
        <w:pStyle w:val="ElsHeading1"/>
      </w:pPr>
      <w:bookmarkStart w:id="2" w:name="InstructionText"/>
      <w:r>
        <w:t>Introduction</w:t>
      </w:r>
    </w:p>
    <w:p w14:paraId="3234AD07" w14:textId="77777777" w:rsidR="00FC6E19" w:rsidRPr="00FC6E19" w:rsidRDefault="00FC6E19" w:rsidP="00FC6E19">
      <w:pPr>
        <w:pStyle w:val="ElsHeading2"/>
      </w:pPr>
      <w:r>
        <w:t>CK2 as a potential target</w:t>
      </w:r>
    </w:p>
    <w:p w14:paraId="29DEBA83" w14:textId="645C711E" w:rsidR="0039430E" w:rsidRPr="0039430E" w:rsidRDefault="0039430E" w:rsidP="0039430E">
      <w:pPr>
        <w:pStyle w:val="ElsParagraph"/>
      </w:pPr>
      <w:r w:rsidRPr="0039430E">
        <w:t>CK2 is a ubiquitous protein kinase and is overexpressed in a large range of cancers.</w:t>
      </w:r>
      <w:r w:rsidRPr="00E03CEE">
        <w:rPr>
          <w:vertAlign w:val="superscript"/>
        </w:rPr>
        <w:fldChar w:fldCharType="begin" w:fldLock="1"/>
      </w:r>
      <w:r w:rsidRPr="00E03CEE">
        <w:rPr>
          <w:vertAlign w:val="superscript"/>
        </w:rPr>
        <w:instrText>ADDIN CSL_CITATION { "citationItems" : [ { "id" : "ITEM-1", "itemData" : { "author" : [ { "dropping-particle" : "", "family" : "Guerra and   Olaf-Georg  Issinger", "given" : "Barbara", "non-dropping-particle" : "", "parse-names" : false, "suffix" : "" } ], "container-title" : "Current Medicinal Chemistry", "id" : "ITEM-1", "issue" : "19", "issued" : { "date-parts" : [ [ "2016", "7", "31" ] ] }, "title" : "Protein Kinase CK2 in Human Diseases", "type" : "article-journal", "volume" : "15" }, "uris" : [ "http://www.mendeley.com/documents/?uuid=50c30321-80aa-4d38-87a7-3de2982625ae" ] } ], "mendeley" : { "formattedCitation" : "&lt;sup&gt;1&lt;/sup&gt;", "plainTextFormattedCitation" : "1", "previouslyFormattedCitation" : "&lt;sup&gt;1&lt;/sup&gt;" }, "properties" : {  }, "schema" : "https://github.com/citation-style-language/schema/raw/master/csl-citation.json" }</w:instrText>
      </w:r>
      <w:r w:rsidRPr="00E03CEE">
        <w:rPr>
          <w:vertAlign w:val="superscript"/>
        </w:rPr>
        <w:fldChar w:fldCharType="separate"/>
      </w:r>
      <w:r w:rsidRPr="00E03CEE">
        <w:rPr>
          <w:noProof/>
          <w:vertAlign w:val="superscript"/>
        </w:rPr>
        <w:t>1</w:t>
      </w:r>
      <w:r w:rsidRPr="00E03CEE">
        <w:rPr>
          <w:vertAlign w:val="superscript"/>
        </w:rPr>
        <w:fldChar w:fldCharType="end"/>
      </w:r>
      <w:r w:rsidRPr="0039430E">
        <w:t xml:space="preserve"> As a protein kinase, CK2 phosphorylates many substrates involved in cell growth.</w:t>
      </w:r>
      <w:r w:rsidRPr="00E03CEE">
        <w:rPr>
          <w:vertAlign w:val="superscript"/>
        </w:rPr>
        <w:fldChar w:fldCharType="begin" w:fldLock="1"/>
      </w:r>
      <w:r w:rsidRPr="00E03CEE">
        <w:rPr>
          <w:vertAlign w:val="superscript"/>
        </w:rPr>
        <w:instrText>ADDIN CSL_CITATION { "citationItems" : [ { "id" : "ITEM-1", "itemData" : { "DOI" : "10.1002/(SICI)1522-2683(19990201)20:2&lt;391::AID-ELPS391&gt;3.0.CO;2-N", "ISSN" : "0173-0835", "author" : [ { "dropping-particle" : "", "family" : "Guerra", "given" : "Barbara", "non-dropping-particle" : "", "parse-names" : false, "suffix" : "" }, { "dropping-particle" : "", "family" : "Issinger", "given" : "Olaf-Georg", "non-dropping-particle" : "", "parse-names" : false, "suffix" : "" } ], "container-title" : "Electrophoresis", "id" : "ITEM-1", "issue" : "2", "issued" : { "date-parts" : [ [ "1999", "2", "1" ] ] }, "page" : "391-408", "publisher" : "Wiley Subscription Services, Inc., A Wiley Company", "title" : "Protein kinase CK2 and its role in cellular proliferation, development and pathology", "type" : "article-journal", "volume" : "20" }, "uris" : [ "http://www.mendeley.com/documents/?uuid=dddf0c3c-a12c-3dd5-9695-17854efacba8" ] } ], "mendeley" : { "formattedCitation" : "&lt;sup&gt;2&lt;/sup&gt;", "plainTextFormattedCitation" : "2", "previouslyFormattedCitation" : "&lt;sup&gt;2&lt;/sup&gt;" }, "properties" : {  }, "schema" : "https://github.com/citation-style-language/schema/raw/master/csl-citation.json" }</w:instrText>
      </w:r>
      <w:r w:rsidRPr="00E03CEE">
        <w:rPr>
          <w:vertAlign w:val="superscript"/>
        </w:rPr>
        <w:fldChar w:fldCharType="separate"/>
      </w:r>
      <w:r w:rsidRPr="00E03CEE">
        <w:rPr>
          <w:noProof/>
          <w:vertAlign w:val="superscript"/>
        </w:rPr>
        <w:t>2</w:t>
      </w:r>
      <w:r w:rsidRPr="00E03CEE">
        <w:rPr>
          <w:vertAlign w:val="superscript"/>
        </w:rPr>
        <w:fldChar w:fldCharType="end"/>
      </w:r>
      <w:r w:rsidRPr="0039430E">
        <w:t xml:space="preserve"> Unnaturally high quantities of CK2 and its associated activity have been observed in many tumours.</w:t>
      </w:r>
      <w:r w:rsidRPr="00E03CEE">
        <w:rPr>
          <w:vertAlign w:val="superscript"/>
        </w:rPr>
        <w:fldChar w:fldCharType="begin" w:fldLock="1"/>
      </w:r>
      <w:r w:rsidRPr="00E03CEE">
        <w:rPr>
          <w:vertAlign w:val="superscript"/>
        </w:rPr>
        <w:instrText>ADDIN CSL_CITATION { "citationItems" : [ { "id" : "ITEM-1", "itemData" : { "DOI" : "10.3390/ph10010018", "ISSN" : "1424-8247", "abstract" : "CK2 genes are overexpressed in many human cancers, and most often overexpression is associated with worse prognosis. Site-specific expression in mice leads to cancer development (e.g., breast, lymphoma) indicating the oncogenic nature of CK2. CK2 is involved in many key aspects of cancer including inhibition of apoptosis, modulation of signaling pathways, DNA damage response, and cell cycle regulation. A number of CK2 inhibitors are now available and have been shown to have activity against various cancers in vitro and in pre-clinical models. Some of these inhibitors are now undergoing exploration in clinical trials as well. In this review, we will examine some of the major cancers in which CK2 inhibition has promise based on in vitro and pre-clinical studies, the proposed cellular and signaling mechanisms of anti-cancer activity by CK2 inhibitors, and the current or recent clinical trials using CK2 inhibitors.", "author" : [ { "dropping-particle" : "", "family" : "Chua", "given" : "Melissa", "non-dropping-particle" : "", "parse-names" : false, "suffix" : "" }, { "dropping-particle" : "", "family" : "Ortega", "given" : "Charina", "non-dropping-particle" : "", "parse-names" : false, "suffix" : "" }, { "dropping-particle" : "", "family" : "Sheikh", "given" : "Ayesha", "non-dropping-particle" : "", "parse-names" : false, "suffix" : "" }, { "dropping-particle" : "", "family" : "Lee", "given" : "Migi", "non-dropping-particle" : "", "parse-names" : false, "suffix" : "" }, { "dropping-particle" : "", "family" : "Abdul-Rassoul", "given" : "Hussein", "non-dropping-particle" : "", "parse-names" : false, "suffix" : "" }, { "dropping-particle" : "", "family" : "Hartshorn", "given" : "Kevan", "non-dropping-particle" : "", "parse-names" : false, "suffix" : "" }, { "dropping-particle" : "", "family" : "Dominguez", "given" : "Isabel", "non-dropping-particle" : "", "parse-names" : false, "suffix" : "" } ], "container-title" : "Pharmaceuticals", "id" : "ITEM-1", "issue" : "1", "issued" : { "date-parts" : [ [ "2017", "1", "28" ] ] }, "page" : "18", "publisher" : "Multidisciplinary Digital Publishing Institute", "title" : "CK2 in Cancer: Cellular and Biochemical Mechanisms and Potential Therapeutic Target", "type" : "article-journal", "volume" : "10" }, "uris" : [ "http://www.mendeley.com/documents/?uuid=6ad3212a-10b3-396f-b028-0e7fb0fbd2ec" ] } ], "mendeley" : { "formattedCitation" : "&lt;sup&gt;3&lt;/sup&gt;", "plainTextFormattedCitation" : "3", "previouslyFormattedCitation" : "&lt;sup&gt;3&lt;/sup&gt;" }, "properties" : {  }, "schema" : "https://github.com/citation-style-language/schema/raw/master/csl-citation.json" }</w:instrText>
      </w:r>
      <w:r w:rsidRPr="00E03CEE">
        <w:rPr>
          <w:vertAlign w:val="superscript"/>
        </w:rPr>
        <w:fldChar w:fldCharType="separate"/>
      </w:r>
      <w:r w:rsidRPr="00E03CEE">
        <w:rPr>
          <w:noProof/>
          <w:vertAlign w:val="superscript"/>
        </w:rPr>
        <w:t>3</w:t>
      </w:r>
      <w:r w:rsidRPr="00E03CEE">
        <w:rPr>
          <w:vertAlign w:val="superscript"/>
        </w:rPr>
        <w:fldChar w:fldCharType="end"/>
      </w:r>
      <w:r w:rsidRPr="0039430E">
        <w:t xml:space="preserve"> In healthy cells, CK2 is diffused in the various cellular compartments and is up regulated during cell proliferation</w:t>
      </w:r>
      <w:r w:rsidR="004B45D6">
        <w:t>,</w:t>
      </w:r>
      <w:r w:rsidRPr="0039430E">
        <w:t xml:space="preserve"> but readily returns to normal levels. However, in tumour cells there are high levels of CK2 about the nucleus, and during cell proliferation, CK2 finds homoeostasis at its new high level.</w:t>
      </w:r>
      <w:r w:rsidRPr="00E03CEE">
        <w:rPr>
          <w:vertAlign w:val="superscript"/>
        </w:rPr>
        <w:fldChar w:fldCharType="begin" w:fldLock="1"/>
      </w:r>
      <w:r w:rsidRPr="00E03CEE">
        <w:rPr>
          <w:vertAlign w:val="superscript"/>
        </w:rPr>
        <w:instrText>ADDIN CSL_CITATION { "citationItems" : [ { "id" : "ITEM-1", "itemData" : { "DOI" : "10.1016/S1357-2725(99)00050-3", "ISSN" : "13572725", "abstract" : "CK2 is a messenger-independent protein serine/threonine kinase that has been implicated in cell growth and proliferation. Our recent analysis of squamous cell carcinomas of the head and neck (SCCHN) revealed a significant elevation in CK2 activity in these tumor cells relative to normal mucosa of the upper aerodigestive tract and suggested a correlation with aggressive tumor behavior and poor clinical outcome. In order to further define the distribution of CK2 in these tissues, we have examined the immunohistochemical staining pattern of surgical specimens of both SCCHN tumors and normal upper aerodigestive tract mucosa using a monoclonal antibody directed against the catalytic subunit CK2-\u03b1 of the kinase, and have compared these data with the subcellular distribution of CK2 activity in these same tissues. These measurements showed that CK2 is predominantly localized to the nuclei of the tumor cells, which agreed closely with the immunohistochemical staining pattern of CK2-\u03b1 in tumor cells. The chiefly nuclear distribution of CK2-\u03b1 immunostaining found consistently in SCCHN tumor cells and tumor-infiltrating lymphocytes contrasted with a relatively more predominant cytosolic staining pattern exhibited by various cellular constituents of normal oropharyngeal mucosa. The immunostaining pattern of CK2-\u03b1 revealed that staining was observed in the cells stained for the proliferation-marker Ki-67; however, strong distinct immunostaining for CK2-\u03b1 was also observed in large numbers of other cells in these same tumors, suggesting that CK2 elevation in these tumors is not a reflection of proliferative activity alone, but may also relate to the pathobiological behavior of the tumor.", "author" : [ { "dropping-particle" : "", "family" : "Faust", "given" : "Russell A", "non-dropping-particle" : "", "parse-names" : false, "suffix" : "" }, { "dropping-particle" : "", "family" : "Niehans", "given" : "Gloria", "non-dropping-particle" : "", "parse-names" : false, "suffix" : "" }, { "dropping-particle" : "", "family" : "Gapany", "given" : "Markus", "non-dropping-particle" : "", "parse-names" : false, "suffix" : "" }, { "dropping-particle" : "", "family" : "Hoistad", "given" : "Dick", "non-dropping-particle" : "", "parse-names" : false, "suffix" : "" }, { "dropping-particle" : "", "family" : "Knapp", "given" : "Dennis", "non-dropping-particle" : "", "parse-names" : false, "suffix" : "" }, { "dropping-particle" : "", "family" : "Cherwitz", "given" : "David", "non-dropping-particle" : "", "parse-names" : false, "suffix" : "" }, { "dropping-particle" : "", "family" : "Davis", "given" : "Alan", "non-dropping-particle" : "", "parse-names" : false, "suffix" : "" }, { "dropping-particle" : "", "family" : "Adams", "given" : "George L", "non-dropping-particle" : "", "parse-names" : false, "suffix" : "" }, { "dropping-particle" : "", "family" : "Ahmed", "given" : "Khalil", "non-dropping-particle" : "", "parse-names" : false, "suffix" : "" } ], "container-title" : "The International Journal of Biochemistry &amp; Cell Biology", "id" : "ITEM-1", "issue" : "9", "issued" : { "date-parts" : [ [ "1999" ] ] }, "page" : "941-949", "title" : "Subcellular immunolocalization of protein kinase CK2 in normal and carcinoma cells", "type" : "article-journal", "volume" : "31" }, "uris" : [ "http://www.mendeley.com/documents/?uuid=a15613cd-03e4-36d5-b7db-225da9320637" ] } ], "mendeley" : { "formattedCitation" : "&lt;sup&gt;4&lt;/sup&gt;", "plainTextFormattedCitation" : "4", "previouslyFormattedCitation" : "&lt;sup&gt;4&lt;/sup&gt;" }, "properties" : {  }, "schema" : "https://github.com/citation-style-language/schema/raw/master/csl-citation.json" }</w:instrText>
      </w:r>
      <w:r w:rsidRPr="00E03CEE">
        <w:rPr>
          <w:vertAlign w:val="superscript"/>
        </w:rPr>
        <w:fldChar w:fldCharType="separate"/>
      </w:r>
      <w:r w:rsidRPr="00E03CEE">
        <w:rPr>
          <w:noProof/>
          <w:vertAlign w:val="superscript"/>
        </w:rPr>
        <w:t>4</w:t>
      </w:r>
      <w:r w:rsidRPr="00E03CEE">
        <w:rPr>
          <w:vertAlign w:val="superscript"/>
        </w:rPr>
        <w:fldChar w:fldCharType="end"/>
      </w:r>
      <w:r w:rsidR="00B557D2">
        <w:rPr>
          <w:vertAlign w:val="superscript"/>
        </w:rPr>
        <w:t>,</w:t>
      </w:r>
      <w:r w:rsidR="00B557D2">
        <w:rPr>
          <w:vertAlign w:val="superscript"/>
        </w:rPr>
        <w:fldChar w:fldCharType="begin" w:fldLock="1"/>
      </w:r>
      <w:r w:rsidR="00B557D2">
        <w:rPr>
          <w:vertAlign w:val="superscript"/>
        </w:rPr>
        <w:instrText>ADDIN CSL_CITATION { "citationItems" : [ { "id" : "ITEM-1", "itemData" : { "DOI" : "10.1016/J.ADVENZREG.2008.04.002", "ISSN" : "0065-2571", "author" : [ { "dropping-particle" : "", "family" : "Ahmad", "given" : "Kashif A.", "non-dropping-particle" : "", "parse-names" : false, "suffix" : "" }, { "dropping-particle" : "", "family" : "Wang", "given" : "Guixia", "non-dropping-particle" : "", "parse-names" : false, "suffix" : "" }, { "dropping-particle" : "", "family" : "Unger", "given" : "Gretchen", "non-dropping-particle" : "", "parse-names" : false, "suffix" : "" }, { "dropping-particle" : "", "family" : "Slaton", "given" : "Joel", "non-dropping-particle" : "", "parse-names" : false, "suffix" : "" }, { "dropping-particle" : "", "family" : "Ahmed", "given" : "Khalil", "non-dropping-particle" : "", "parse-names" : false, "suffix" : "" } ], "container-title" : "Advances in Enzyme Regulation", "id" : "ITEM-1", "issue" : "1", "issued" : { "date-parts" : [ [ "2008", "1", "1" ] ] }, "page" : "179-187", "publisher" : "Pergamon", "title" : "Protein kinase CK2 \u2013 A key suppressor of apoptosis", "type" : "article-journal", "volume" : "48" }, "uris" : [ "http://www.mendeley.com/documents/?uuid=a7b1557b-0e83-3866-adbb-8e8dc822c346" ] } ], "mendeley" : { "formattedCitation" : "&lt;sup&gt;5&lt;/sup&gt;", "plainTextFormattedCitation" : "5", "previouslyFormattedCitation" : "&lt;sup&gt;5&lt;/sup&gt;" }, "properties" : {  }, "schema" : "https://github.com/citation-style-language/schema/raw/master/csl-citation.json" }</w:instrText>
      </w:r>
      <w:r w:rsidR="00B557D2">
        <w:rPr>
          <w:vertAlign w:val="superscript"/>
        </w:rPr>
        <w:fldChar w:fldCharType="separate"/>
      </w:r>
      <w:r w:rsidR="00B557D2" w:rsidRPr="00B557D2">
        <w:rPr>
          <w:noProof/>
          <w:vertAlign w:val="superscript"/>
        </w:rPr>
        <w:t>5</w:t>
      </w:r>
      <w:r w:rsidR="00B557D2">
        <w:rPr>
          <w:vertAlign w:val="superscript"/>
        </w:rPr>
        <w:fldChar w:fldCharType="end"/>
      </w:r>
      <w:r w:rsidRPr="0039430E">
        <w:t xml:space="preserve"> CK2, as well as being involved in cell proliferation and growth, also suppresses apoptosis</w:t>
      </w:r>
      <w:r w:rsidR="004B45D6">
        <w:t>,</w:t>
      </w:r>
      <w:r w:rsidRPr="0039430E">
        <w:t xml:space="preserve"> linking CK2 to the cancer phenotype.</w:t>
      </w:r>
      <w:r w:rsidRPr="00E03CEE">
        <w:rPr>
          <w:vertAlign w:val="superscript"/>
        </w:rPr>
        <w:fldChar w:fldCharType="begin" w:fldLock="1"/>
      </w:r>
      <w:r w:rsidR="00747D0C">
        <w:rPr>
          <w:vertAlign w:val="superscript"/>
        </w:rPr>
        <w:instrText>ADDIN CSL_CITATION { "citationItems" : [ { "id" : "ITEM-1", "itemData" : { "DOI" : "10.1016/S0962-8924(02)02279-1", "ISSN" : "09628924", "author" : [ { "dropping-particle" : "", "family" : "Ahmed", "given" : "K", "non-dropping-particle" : "", "parse-names" : false, "suffix" : "" }, { "dropping-particle" : "", "family" : "Gerber", "given" : "Delphine A", "non-dropping-particle" : "", "parse-names" : false, "suffix" : "" }, { "dropping-particle" : "", "family" : "Cochet", "given" : "Claude", "non-dropping-particle" : "", "parse-names" : false, "suffix" : "" } ], "container-title" : "Trends in Cell Biology", "id" : "ITEM-1", "issue" : "5", "issued" : { "date-parts" : [ [ "2002", "5", "1" ] ] }, "page" : "226-230", "publisher" : "Elsevier", "title" : "Joining the cell survival squad: an emerging role for protein kinase CK2", "type" : "article-journal", "volume" : "12" }, "uris" : [ "http://www.mendeley.com/documents/?uuid=ed29a6fe-55bb-3df9-aa26-f06e478c9472" ] } ], "mendeley" : { "formattedCitation" : "&lt;sup&gt;6&lt;/sup&gt;", "plainTextFormattedCitation" : "6", "previouslyFormattedCitation" : "&lt;sup&gt;6&lt;/sup&gt;" }, "properties" : {  }, "schema" : "https://github.com/citation-style-language/schema/raw/master/csl-citation.json" }</w:instrText>
      </w:r>
      <w:r w:rsidRPr="00E03CEE">
        <w:rPr>
          <w:vertAlign w:val="superscript"/>
        </w:rPr>
        <w:fldChar w:fldCharType="separate"/>
      </w:r>
      <w:r w:rsidR="00B557D2" w:rsidRPr="00B557D2">
        <w:rPr>
          <w:noProof/>
          <w:vertAlign w:val="superscript"/>
        </w:rPr>
        <w:t>6</w:t>
      </w:r>
      <w:r w:rsidRPr="00E03CEE">
        <w:rPr>
          <w:vertAlign w:val="superscript"/>
        </w:rPr>
        <w:fldChar w:fldCharType="end"/>
      </w:r>
    </w:p>
    <w:p w14:paraId="60A60CAE" w14:textId="2598C9CB" w:rsidR="00FC6E19" w:rsidRDefault="00FC6E19" w:rsidP="00FC6E19">
      <w:pPr>
        <w:pStyle w:val="ElsParagraph"/>
        <w:rPr>
          <w:lang w:eastAsia="en-GB"/>
        </w:rPr>
      </w:pPr>
      <w:r w:rsidRPr="007123EA">
        <w:rPr>
          <w:lang w:eastAsia="en-GB"/>
        </w:rPr>
        <w:t xml:space="preserve">CK2 inhibition may be a particularly effective form </w:t>
      </w:r>
      <w:r>
        <w:rPr>
          <w:lang w:eastAsia="en-GB"/>
        </w:rPr>
        <w:t xml:space="preserve">of </w:t>
      </w:r>
      <w:r w:rsidRPr="007123EA">
        <w:rPr>
          <w:lang w:eastAsia="en-GB"/>
        </w:rPr>
        <w:t>treatment as it has a pivotal and indispensable role in the cell</w:t>
      </w:r>
      <w:r>
        <w:rPr>
          <w:lang w:eastAsia="en-GB"/>
        </w:rPr>
        <w:t>s</w:t>
      </w:r>
      <w:r w:rsidRPr="007123EA">
        <w:rPr>
          <w:lang w:eastAsia="en-GB"/>
        </w:rPr>
        <w:t>. If inhibited below the high critical threshold</w:t>
      </w:r>
      <w:r w:rsidR="004B45D6">
        <w:rPr>
          <w:lang w:eastAsia="en-GB"/>
        </w:rPr>
        <w:t>,</w:t>
      </w:r>
      <w:r w:rsidRPr="007123EA">
        <w:rPr>
          <w:lang w:eastAsia="en-GB"/>
        </w:rPr>
        <w:t xml:space="preserve"> the cancerous cell would no longer be malignant as there are no alternative signaling pathways which could by-pass the need for CK2.</w:t>
      </w:r>
      <w:r w:rsidR="00B06106">
        <w:rPr>
          <w:lang w:eastAsia="en-GB"/>
        </w:rPr>
        <w:fldChar w:fldCharType="begin" w:fldLock="1"/>
      </w:r>
      <w:r w:rsidR="00B06106">
        <w:rPr>
          <w:lang w:eastAsia="en-GB"/>
        </w:rPr>
        <w:instrText>ADDIN CSL_CITATION { "citationItems" : [ { "id" : "ITEM-1", "itemData" : { "DOI" : "10.1002/biof.96", "ISSN" : "09516433", "author" : [ { "dropping-particle" : "", "family" : "Trembley", "given" : "Janeen H.", "non-dropping-particle" : "", "parse-names" : false, "suffix" : "" }, { "dropping-particle" : "", "family" : "Chen", "given" : "Zhong", "non-dropping-particle" : "", "parse-names" : false, "suffix" : "" }, { "dropping-particle" : "", "family" : "Unger", "given" : "Gretchen", "non-dropping-particle" : "", "parse-names" : false, "suffix" : "" }, { "dropping-particle" : "", "family" : "Slaton", "given" : "Joel", "non-dropping-particle" : "", "parse-names" : false, "suffix" : "" }, { "dropping-particle" : "", "family" : "Kren", "given" : "Betsy T.", "non-dropping-particle" : "", "parse-names" : false, "suffix" : "" }, { "dropping-particle" : "", "family" : "Waes", "given" : "Carter", "non-dropping-particle" : "Van", "parse-names" : false, "suffix" : "" }, { "dropping-particle" : "", "family" : "Ahmed", "given" : "Khalil", "non-dropping-particle" : "", "parse-names" : false, "suffix" : "" } ], "container-title" : "BioFactors", "id" : "ITEM-1", "issue" : "3", "issued" : { "date-parts" : [ [ "2010", "4", "28" ] ] }, "page" : "187-195", "publisher" : "Wiley Subscription Services, Inc., A Wiley Company", "title" : "Emergence of protein kinase CK2 as a key target in cancer therapy", "type" : "article-journal", "volume" : "36" }, "uris" : [ "http://www.mendeley.com/documents/?uuid=b1a2aaa1-b854-378f-a736-807e1d2d0555" ] } ], "mendeley" : { "formattedCitation" : "&lt;sup&gt;7&lt;/sup&gt;", "plainTextFormattedCitation" : "7", "previouslyFormattedCitation" : "&lt;sup&gt;7&lt;/sup&gt;" }, "properties" : {  }, "schema" : "https://github.com/citation-style-language/schema/raw/master/csl-citation.json" }</w:instrText>
      </w:r>
      <w:r w:rsidR="00B06106">
        <w:rPr>
          <w:lang w:eastAsia="en-GB"/>
        </w:rPr>
        <w:fldChar w:fldCharType="separate"/>
      </w:r>
      <w:r w:rsidR="00B06106" w:rsidRPr="00B06106">
        <w:rPr>
          <w:noProof/>
          <w:vertAlign w:val="superscript"/>
          <w:lang w:eastAsia="en-GB"/>
        </w:rPr>
        <w:t>7</w:t>
      </w:r>
      <w:r w:rsidR="00B06106">
        <w:rPr>
          <w:lang w:eastAsia="en-GB"/>
        </w:rPr>
        <w:fldChar w:fldCharType="end"/>
      </w:r>
      <w:r w:rsidRPr="007123EA">
        <w:rPr>
          <w:lang w:eastAsia="en-GB"/>
        </w:rPr>
        <w:t xml:space="preserve"> Due to the role of CK2 in cell growth, proliferation, and apoptosis, its down regulation </w:t>
      </w:r>
      <w:r w:rsidR="008269E5">
        <w:rPr>
          <w:lang w:eastAsia="en-GB"/>
        </w:rPr>
        <w:t>is</w:t>
      </w:r>
      <w:r w:rsidRPr="007123EA">
        <w:rPr>
          <w:lang w:eastAsia="en-GB"/>
        </w:rPr>
        <w:t xml:space="preserve"> catastrophic to cancer cells.</w:t>
      </w:r>
      <w:r w:rsidR="008269E5">
        <w:rPr>
          <w:lang w:eastAsia="en-GB"/>
        </w:rPr>
        <w:t xml:space="preserve"> Its validation as an anti-cancer target is shown in the </w:t>
      </w:r>
      <w:r w:rsidR="00364AD7">
        <w:rPr>
          <w:lang w:eastAsia="en-GB"/>
        </w:rPr>
        <w:t xml:space="preserve">fact </w:t>
      </w:r>
      <w:r w:rsidR="009351ED">
        <w:rPr>
          <w:lang w:eastAsia="en-GB"/>
        </w:rPr>
        <w:t>CK2 inhibitors have entered clinical trials.</w:t>
      </w:r>
      <w:r w:rsidR="009351ED">
        <w:rPr>
          <w:lang w:eastAsia="en-GB"/>
        </w:rPr>
        <w:fldChar w:fldCharType="begin" w:fldLock="1"/>
      </w:r>
      <w:r w:rsidR="00B06106">
        <w:rPr>
          <w:lang w:eastAsia="en-GB"/>
        </w:rPr>
        <w:instrText>ADDIN CSL_CITATION { "citationItems" : [ { "id" : "ITEM-1", "itemData" : { "DOI" : "10.3389/fphar.2015.00070", "ISSN" : "1663-9812", "abstract" : "The casein kinase 2 (CK2) protein kinase is a pro-survival kinase and therapeutic target in treatment of various human cancers. CK2 overexpression has been demonstrated in hematological malignancies, including chronic lymphocytic leukemia, chronic myeloid leukemia, acute lymphoblastic leukemia, acute myeloid leukemia, and multiple myeloma. CX-4945, also known as Silmitasertib, is an orally administered, highly specific, ATP-competitive inhibitor of CK2. CX-4945 induces cytotoxicity and apoptosis and is currently being evaluated in clinical trials for treatment of many cancer types. In the past two years, the focus on the therapeutic potential of CX-4945 has shifted from solid tumors to hematological malignancies. CX-4945 exerts anti-proliferative effects in hematological tumors by downregulating CK2 expression and suppressing activation of CK2-mediated PI3K/Akt/mTOR signaling pathways. Furthermore, combination of CX-4945 with other inhibitors yielded synergistic effects in cell death induction. These new findings demonstrate that CK2 overexpression contributes to blood cancer cell survival and resistance to chemotherapy. Combinatorial use of CX-4945 is a promising therapeutic tool for treatment of hematological malignancies.", "author" : [ { "dropping-particle" : "", "family" : "Chon", "given" : "Hae J.", "non-dropping-particle" : "", "parse-names" : false, "suffix" : "" }, { "dropping-particle" : "", "family" : "Bae", "given" : "Kyoung J.", "non-dropping-particle" : "", "parse-names" : false, "suffix" : "" }, { "dropping-particle" : "", "family" : "Lee", "given" : "Yura", "non-dropping-particle" : "", "parse-names" : false, "suffix" : "" }, { "dropping-particle" : "", "family" : "Kim", "given" : "Jiyeon", "non-dropping-particle" : "", "parse-names" : false, "suffix" : "" } ], "container-title" : "Frontiers in Pharmacology", "id" : "ITEM-1", "issued" : { "date-parts" : [ [ "2015", "3", "31" ] ] }, "page" : "70", "publisher" : "Frontiers", "title" : "The casein kinase 2 inhibitor, CX-4945, as an anti-cancer drug in treatment of human hematological malignancies", "type" : "article-journal", "volume" : "6" }, "uris" : [ "http://www.mendeley.com/documents/?uuid=a35ba53b-544e-350c-b026-ce8bf4b2a848" ] } ], "mendeley" : { "formattedCitation" : "&lt;sup&gt;8&lt;/sup&gt;", "plainTextFormattedCitation" : "8", "previouslyFormattedCitation" : "&lt;sup&gt;8&lt;/sup&gt;" }, "properties" : {  }, "schema" : "https://github.com/citation-style-language/schema/raw/master/csl-citation.json" }</w:instrText>
      </w:r>
      <w:r w:rsidR="009351ED">
        <w:rPr>
          <w:lang w:eastAsia="en-GB"/>
        </w:rPr>
        <w:fldChar w:fldCharType="separate"/>
      </w:r>
      <w:r w:rsidR="00B06106" w:rsidRPr="00B06106">
        <w:rPr>
          <w:noProof/>
          <w:vertAlign w:val="superscript"/>
          <w:lang w:eastAsia="en-GB"/>
        </w:rPr>
        <w:t>8</w:t>
      </w:r>
      <w:r w:rsidR="009351ED">
        <w:rPr>
          <w:lang w:eastAsia="en-GB"/>
        </w:rPr>
        <w:fldChar w:fldCharType="end"/>
      </w:r>
      <w:r w:rsidR="008269E5">
        <w:rPr>
          <w:lang w:eastAsia="en-GB"/>
        </w:rPr>
        <w:t xml:space="preserve"> </w:t>
      </w:r>
    </w:p>
    <w:p w14:paraId="5D4147ED" w14:textId="77777777" w:rsidR="00273B59" w:rsidRDefault="00273B59" w:rsidP="00273B59">
      <w:pPr>
        <w:pStyle w:val="ElsHeading2"/>
        <w:rPr>
          <w:lang w:eastAsia="en-GB"/>
        </w:rPr>
      </w:pPr>
      <w:r>
        <w:rPr>
          <w:lang w:eastAsia="en-GB"/>
        </w:rPr>
        <w:t xml:space="preserve">CK2 inhibition strategies </w:t>
      </w:r>
    </w:p>
    <w:p w14:paraId="2C712B56" w14:textId="0A838C49" w:rsidR="00273B59" w:rsidRPr="00736CE8" w:rsidRDefault="0040088D" w:rsidP="00273B59">
      <w:pPr>
        <w:pStyle w:val="ElsParagraph"/>
      </w:pPr>
      <w:r>
        <w:t>Previous research into CK2 inhibition has focused on small molecules that inhibit the</w:t>
      </w:r>
      <w:r w:rsidR="00EC3650">
        <w:t xml:space="preserve"> kinase activity at the</w:t>
      </w:r>
      <w:r>
        <w:t xml:space="preserve"> ATP-binding site.</w:t>
      </w:r>
      <w:r>
        <w:fldChar w:fldCharType="begin" w:fldLock="1"/>
      </w:r>
      <w:r w:rsidR="00B06106">
        <w:instrText>ADDIN CSL_CITATION { "citationItems" : [ { "id" : "ITEM-1", "itemData" : { "DOI" : "10.1016/J.CHEMBIOL.2009.01.004", "ISSN" : "1074-5521", "abstract" : "Protein kinases are central components of signal transduction cascades often dysregulated in cancer, and they represent some of the most promising drug targets. However, the target selectivity is a major concern because most described kinase inhibitors target the highly conserved ATP-binding pocket. Recently, new classes of inhibitors that do not compete with ATP and exhibit different mechanisms of action have been described. Overexpression of protein kinase CK2 is an unfavorable prognostic marker in several cancers. Consequently, CK2 has emerged as a relevant therapeutic target. Several classes of ATP-competitive inhibitors have been identified, showing variable effectiveness. The molecular architecture of this multisubunit enzyme could offer alternative strategies to inhibit CK2 functions, and this review illustrates these emerging possibilities.", "author" : [ { "dropping-particle" : "", "family" : "Prudent", "given" : "Renaud", "non-dropping-particle" : "", "parse-names" : false, "suffix" : "" }, { "dropping-particle" : "", "family" : "Cochet", "given" : "Claude", "non-dropping-particle" : "", "parse-names" : false, "suffix" : "" } ], "container-title" : "Chemistry &amp; Biology", "id" : "ITEM-1", "issue" : "2", "issued" : { "date-parts" : [ [ "2009", "2", "27" ] ] }, "page" : "112-120", "publisher" : "Cell Press", "title" : "New Protein Kinase CK2 Inhibitors: Jumping out of the Catalytic Box", "type" : "article-journal", "volume" : "16" }, "uris" : [ "http://www.mendeley.com/documents/?uuid=05a2918e-c4f8-35df-9476-4b8b1c219c9f" ] }, { "id" : "ITEM-2", "itemData" : { "DOI" : "10.1042/BJ20030674", "ISSN" : "1470-8728", "PMID" : "12816539", "abstract" : "IQA [[5-oxo-5,6-dihydro-indolo(1,2-a)quinazolin-7-yl]acetic acid] is a novel ATP/GTP site-directed inhibitor of CK2 ('casein kinase 2'), a pleiotropic and constitutively active protein kinase whose activity is abnormally high in transformed cells. The K (i) value of IQA (0.17 microM) is lower than those of other CK2 inhibitors reported so far. Tested at 10 microM concentration in the presence of 100 microM ATP, IQA almost suppresses CK2 activity in vitro, whereas it is ineffective or weakly effective on a panel of 44 protein kinases and on phosphoinositide 3-kinase. In comparison, other CK2 inhibitors, notably apigenin and quercetin, are more promiscuous. The in vivo efficacy of IQA has been assessed by using the fact that treatment of Jurkat cells with IQA inhibits endogenous CK2 in a dose-dependent manner. IQA has been co-crystallized with maize CK2alpha, which is &gt;70% identical with its human homologue, and the structure of the complex has been determined at 1.68 A (1 A=0.1 nm) resolution. The inhibitor lies in the same plane occupied by the purine moiety of ATP with its more hydrophobic side facing the hinge region. Major contributions to the interaction are provided by hydrophobic forces and non-polar interactions involving the aromatic portion of the inhibitor and the hydrophobic residues surrounding the ATP-binding pocket, with special reference to the side chains of V53 (Val53), I66, M163 and I174. Consequently, mutants of human CK2alpha in which either V66 (the homologue of maize CK2alpha I66) or I174 is replaced by alanine are considerably less sensitive to IQA inhibition when compared with wild-type. These results provide new tools for deciphering the enigmatic role of CK2 in living cells and may pave the way for the development of drugs depending on CK2 activity.", "author" : [ { "dropping-particle" : "", "family" : "Sarno", "given" : "Stefania", "non-dropping-particle" : "", "parse-names" : false, "suffix" : "" }, { "dropping-particle" : "", "family" : "Moliner", "given" : "Erika", "non-dropping-particle" : "de", "parse-names" : false, "suffix" : "" }, { "dropping-particle" : "", "family" : "Ruzzene", "given" : "Maria", "non-dropping-particle" : "", "parse-names" : false, "suffix" : "" }, { "dropping-particle" : "", "family" : "Pagano", "given" : "Mario A", "non-dropping-particle" : "", "parse-names" : false, "suffix" : "" }, { "dropping-particle" : "", "family" : "Battistutta", "given" : "Roberto", "non-dropping-particle" : "", "parse-names" : false, "suffix" : "" }, { "dropping-particle" : "", "family" : "Bain", "given" : "Jenny", "non-dropping-particle" : "", "parse-names" : false, "suffix" : "" }, { "dropping-particle" : "", "family" : "Fabbro", "given" : "Doriano", "non-dropping-particle" : "", "parse-names" : false, "suffix" : "" }, { "dropping-particle" : "", "family" : "Schoepfer", "given" : "Joseph", "non-dropping-particle" : "", "parse-names" : false, "suffix" : "" }, { "dropping-particle" : "", "family" : "Elliott", "given" : "Matthew", "non-dropping-particle" : "", "parse-names" : false, "suffix" : "" }, { "dropping-particle" : "", "family" : "Furet", "given" : "Pascal", "non-dropping-particle" : "", "parse-names" : false, "suffix" : "" }, { "dropping-particle" : "", "family" : "Meggio", "given" : "Flavio", "non-dropping-particle" : "", "parse-names" : false, "suffix" : "" }, { "dropping-particle" : "", "family" : "Zanotti", "given" : "Giuseppe", "non-dropping-particle" : "", "parse-names" : false, "suffix" : "" }, { "dropping-particle" : "", "family" : "Pinna", "given" : "Lorenzo A", "non-dropping-particle" : "", "parse-names" : false, "suffix" : "" } ], "container-title" : "The Biochemical journal", "id" : "ITEM-2", "issue" : "Pt 3", "issued" : { "date-parts" : [ [ "2003", "9", "15" ] ] }, "page" : "639-46", "publisher" : "Portland Press Limited", "title" : "Biochemical and three-dimensional-structural study of the specific inhibition of protein kinase CK2 by [5-oxo-5,6-dihydroindolo-(1,2-a)quinazolin-7-yl]acetic acid (IQA).", "type" : "article-journal", "volume" : "374" }, "uris" : [ "http://www.mendeley.com/documents/?uuid=7bc96fab-252f-3d47-bfe7-416040792b01" ] }, { "id" : "ITEM-3", "itemData" : { "DOI" : "10.1158/0008-5472.CAN-10-1893", "ISSN" : "1538-7445", "PMID" : "21159648", "abstract" : "Malignant transformation and maintenance of the malignant phenotype depends on oncogenic and non-oncogenic proteins that are essential to mediate oncogene signaling and to support the altered physiologic demands induced by transformation. Protein kinase CK2 supports key prosurvival signaling pathways and represents a prototypical non-oncogene. In this study, we describe CX-4945, a potent and selective orally bioavailable small molecule inhibitor of CK2. The antiproliferative activity of CX-4945 against cancer cells correlated with expression levels of the CK2\u03b1 catalytic subunit. Attenuation of PI3K/Akt signaling by CX-4945 was evidenced by dephosphorylation of Akt on the CK2-specific S129 site and the canonical S473 and T308 regulatory sites. CX-4945 caused cell-cycle arrest and selectively induced apoptosis in cancer cells relative to normal cells. In models of angiogenesis, CX-4945 inhibited human umbilical vein endothelial cell migration, tube formation, and blocked CK2-dependent hypoxia-induced factor 1 alpha (HIF-1\u03b1) transcription in cancer cells. When administered orally in murine xenograft models, CX-4945 was well tolerated and demonstrated robust antitumor activity with concomitant reductions of the mechanism-based biomarker phospho-p21 (T145). The observed antiproliferative and anti-angiogenic responses to CX-4945 in tumor cells and endothelial cells collectively illustrate that this compound exerts its antitumor effects through inhibition of CK2-dependent signaling in multiple pathways. Finally, CX-4945 is the first orally bioavailable small molecule inhibitor of CK2 to advance into human clinical trials, thereby paving the way for an entirely new class of targeted treatment for cancer.", "author" : [ { "dropping-particle" : "", "family" : "Siddiqui-Jain", "given" : "Adam", "non-dropping-particle" : "", "parse-names" : false, "suffix" : "" }, { "dropping-particle" : "", "family" : "Drygin", "given" : "Denis", "non-dropping-particle" : "", "parse-names" : false, "suffix" : "" }, { "dropping-particle" : "", "family" : "Streiner", "given" : "Nicole", "non-dropping-particle" : "", "parse-names" : false, "suffix" : "" }, { "dropping-particle" : "", "family" : "Chua", "given" : "Peter", "non-dropping-particle" : "", "parse-names" : false, "suffix" : "" }, { "dropping-particle" : "", "family" : "Pierre", "given" : "Fabrice", "non-dropping-particle" : "", "parse-names" : false, "suffix" : "" }, { "dropping-particle" : "", "family" : "O'Brien", "given" : "Sean E", "non-dropping-particle" : "", "parse-names" : false, "suffix" : "" }, { "dropping-particle" : "", "family" : "Bliesath", "given" : "Josh", "non-dropping-particle" : "", "parse-names" : false, "suffix" : "" }, { "dropping-particle" : "", "family" : "Omori", "given" : "Mayuko", "non-dropping-particle" : "", "parse-names" : false, "suffix" : "" }, { "dropping-particle" : "", "family" : "Huser", "given" : "Nanni", "non-dropping-particle" : "", "parse-names" : false, "suffix" : "" }, { "dropping-particle" : "", "family" : "Ho", "given" : "Caroline", "non-dropping-particle" : "", "parse-names" : false, "suffix" : "" }, { "dropping-particle" : "", "family" : "Proffitt", "given" : "Chris", "non-dropping-particle" : "", "parse-names" : false, "suffix" : "" }, { "dropping-particle" : "", "family" : "Schwaebe", "given" : "Michael K", "non-dropping-particle" : "", "parse-names" : false, "suffix" : "" }, { "dropping-particle" : "", "family" : "Ryckman", "given" : "David M", "non-dropping-particle" : "", "parse-names" : false, "suffix" : "" }, { "dropping-particle" : "", "family" : "Rice", "given" : "William G", "non-dropping-particle" : "", "parse-names" : false, "suffix" : "" }, { "dropping-particle" : "", "family" : "Anderes", "given" : "Kenna", "non-dropping-particle" : "", "parse-names" : false, "suffix" : "" } ], "container-title" : "Cancer research", "id" : "ITEM-3", "issue" : "24", "issued" : { "date-parts" : [ [ "2010", "12", "15" ] ] }, "page" : "10288-98", "publisher" : "American Association for Cancer Research", "title" : "CX-4945, an orally bioavailable selective inhibitor of protein kinase CK2, inhibits prosurvival and angiogenic signaling and exhibits antitumor efficacy.", "type" : "article-journal", "volume" : "70" }, "uris" : [ "http://www.mendeley.com/documents/?uuid=58cab1df-37f3-3fe2-99c1-d890f62cd241" ] } ], "mendeley" : { "formattedCitation" : "&lt;sup&gt;9\u201311&lt;/sup&gt;", "plainTextFormattedCitation" : "9\u201311", "previouslyFormattedCitation" : "&lt;sup&gt;9\u201311&lt;/sup&gt;" }, "properties" : {  }, "schema" : "https://github.com/citation-style-language/schema/raw/master/csl-citation.json" }</w:instrText>
      </w:r>
      <w:r>
        <w:fldChar w:fldCharType="separate"/>
      </w:r>
      <w:r w:rsidR="00B06106" w:rsidRPr="00B06106">
        <w:rPr>
          <w:noProof/>
          <w:vertAlign w:val="superscript"/>
        </w:rPr>
        <w:t>9–11</w:t>
      </w:r>
      <w:r>
        <w:fldChar w:fldCharType="end"/>
      </w:r>
      <w:r>
        <w:t xml:space="preserve">  Strategies </w:t>
      </w:r>
      <w:r w:rsidR="004A1DE9">
        <w:t>that</w:t>
      </w:r>
      <w:r>
        <w:t xml:space="preserve"> focus on the ATP-binding site for inhibition often suffer from off-target action due to the highly conserved nature of the ATP pocket across the genome.</w:t>
      </w:r>
      <w:r>
        <w:fldChar w:fldCharType="begin" w:fldLock="1"/>
      </w:r>
      <w:r w:rsidR="00B06106">
        <w:instrText>ADDIN CSL_CITATION { "citationItems" : [ { "id" : "ITEM-1", "itemData" : { "DOI" : "10.1007/s00018-009-9155-x", "ISSN" : "1420-682X", "author" : [ { "dropping-particle" : "", "family" : "Battistutta", "given" : "R.", "non-dropping-particle" : "", "parse-names" : false, "suffix" : "" } ], "container-title" : "Cellular and Molecular Life Sciences", "id" : "ITEM-1", "issue" : "11-12", "issued" : { "date-parts" : [ [ "2009", "6", "24" ] ] }, "page" : "1868-1889", "publisher" : "Birkh\u00e4user-Verlag", "title" : "Protein Kinase CK2 in Health and Disease", "type" : "article-journal", "volume" : "66" }, "uris" : [ "http://www.mendeley.com/documents/?uuid=817db09d-2c4d-3a8f-8cdd-aceb9b0224e4" ] }, { "id" : "ITEM-2", "itemData" : { "DOI" : "10.1038/nbt1068", "ISSN" : "1087-0156", "author" : [ { "dropping-particle" : "", "family" : "Fabian", "given" : "Miles A", "non-dropping-particle" : "", "parse-names" : false, "suffix" : "" }, { "dropping-particle" : "", "family" : "Biggs", "given" : "William H", "non-dropping-particle" : "", "parse-names" : false, "suffix" : "" }, { "dropping-particle" : "", "family" : "Treiber", "given" : "Daniel K", "non-dropping-particle" : "", "parse-names" : false, "suffix" : "" }, { "dropping-particle" : "", "family" : "Atteridge", "given" : "Corey E", "non-dropping-particle" : "", "parse-names" : false, "suffix" : "" }, { "dropping-particle" : "", "family" : "Azimioara", "given" : "Mihai D", "non-dropping-particle" : "", "parse-names" : false, "suffix" : "" }, { "dropping-particle" : "", "family" : "Benedetti", "given" : "Michael G", "non-dropping-particle" : "", "parse-names" : false, "suffix" : "" }, { "dropping-particle" : "", "family" : "Carter", "given" : "Todd A", "non-dropping-particle" : "", "parse-names" : false, "suffix" : "" }, { "dropping-particle" : "", "family" : "Ciceri", "given" : "Pietro", "non-dropping-particle" : "", "parse-names" : false, "suffix" : "" }, { "dropping-particle" : "", "family" : "Edeen", "given" : "Philip T", "non-dropping-particle" : "", "parse-names" : false, "suffix" : "" }, { "dropping-particle" : "", "family" : "Floyd", "given" : "Mark", "non-dropping-particle" : "", "parse-names" : false, "suffix" : "" }, { "dropping-particle" : "", "family" : "Ford", "given" : "Julia M", "non-dropping-particle" : "", "parse-names" : false, "suffix" : "" }, { "dropping-particle" : "", "family" : "Galvin", "given" : "Margaret", "non-dropping-particle" : "", "parse-names" : false, "suffix" : "" }, { "dropping-particle" : "", "family" : "Gerlach", "given" : "Jay L", "non-dropping-particle" : "", "parse-names" : false, "suffix" : "" }, { "dropping-particle" : "", "family" : "Grotzfeld", "given" : "Robert M", "non-dropping-particle" : "", "parse-names" : false, "suffix" : "" }, { "dropping-particle" : "", "family" : "Herrgard", "given" : "Sanna", "non-dropping-particle" : "", "parse-names" : false, "suffix" : "" }, { "dropping-particle" : "", "family" : "Insko", "given" : "Darren E", "non-dropping-particle" : "", "parse-names" : false, "suffix" : "" }, { "dropping-particle" : "", "family" : "Insko", "given" : "Michael A", "non-dropping-particle" : "", "parse-names" : false, "suffix" : "" }, { "dropping-particle" : "", "family" : "Lai", "given" : "Andiliy G", "non-dropping-particle" : "", "parse-names" : false, "suffix" : "" }, { "dropping-particle" : "", "family" : "L\u00e9lias", "given" : "Jean-Michel", "non-dropping-particle" : "", "parse-names" : false, "suffix" : "" }, { "dropping-particle" : "", "family" : "Mehta", "given" : "Shamal A", "non-dropping-particle" : "", "parse-names" : false, "suffix" : "" }, { "dropping-particle" : "V", "family" : "Milanov", "given" : "Zdravko", "non-dropping-particle" : "", "parse-names" : false, "suffix" : "" }, { "dropping-particle" : "", "family" : "Velasco", "given" : "Anne Marie", "non-dropping-particle" : "", "parse-names" : false, "suffix" : "" }, { "dropping-particle" : "", "family" : "Wodicka", "given" : "Lisa M", "non-dropping-particle" : "", "parse-names" : false, "suffix" : "" }, { "dropping-particle" : "", "family" : "Patel", "given" : "Hitesh K", "non-dropping-particle" : "", "parse-names" : false, "suffix" : "" }, { "dropping-particle" : "", "family" : "Zarrinkar", "given" : "Patrick P", "non-dropping-particle" : "", "parse-names" : false, "suffix" : "" }, { "dropping-particle" : "", "family" : "Lockhart", "given" : "David J", "non-dropping-particle" : "", "parse-names" : false, "suffix" : "" } ], "container-title" : "Nature Biotechnology", "id" : "ITEM-2", "issue" : "3", "issued" : { "date-parts" : [ [ "2005", "3", "13" ] ] }, "page" : "329-336", "publisher" : "Nature Publishing Group", "title" : "A small molecule\u2013kinase interaction map for clinical kinase inhibitors", "type" : "article-journal", "volume" : "23" }, "uris" : [ "http://www.mendeley.com/documents/?uuid=04d924a7-c6e6-36ac-8389-836714ecb0b0" ] } ], "mendeley" : { "formattedCitation" : "&lt;sup&gt;12,13&lt;/sup&gt;", "plainTextFormattedCitation" : "12,13", "previouslyFormattedCitation" : "&lt;sup&gt;12,13&lt;/sup&gt;" }, "properties" : {  }, "schema" : "https://github.com/citation-style-language/schema/raw/master/csl-citation.json" }</w:instrText>
      </w:r>
      <w:r>
        <w:fldChar w:fldCharType="separate"/>
      </w:r>
      <w:r w:rsidR="00B06106" w:rsidRPr="00B06106">
        <w:rPr>
          <w:noProof/>
          <w:vertAlign w:val="superscript"/>
        </w:rPr>
        <w:t>12,13</w:t>
      </w:r>
      <w:r>
        <w:fldChar w:fldCharType="end"/>
      </w:r>
      <w:r w:rsidR="00736CE8">
        <w:t xml:space="preserve"> Indeed, the current clinical candidate</w:t>
      </w:r>
      <w:r w:rsidR="009C72EE">
        <w:t>, CX4945,</w:t>
      </w:r>
      <w:r w:rsidR="00736CE8">
        <w:t xml:space="preserve"> inhibit</w:t>
      </w:r>
      <w:r w:rsidR="009C72EE">
        <w:t>s</w:t>
      </w:r>
      <w:r w:rsidR="00736CE8">
        <w:t xml:space="preserve"> CK2 at the ATP pocket</w:t>
      </w:r>
      <w:r w:rsidR="009C72EE">
        <w:t xml:space="preserve"> and</w:t>
      </w:r>
      <w:r w:rsidR="00736CE8">
        <w:t xml:space="preserve"> shows off</w:t>
      </w:r>
      <w:r w:rsidR="001C5404">
        <w:t>-</w:t>
      </w:r>
      <w:r w:rsidR="00736CE8">
        <w:t xml:space="preserve">target activity </w:t>
      </w:r>
      <w:r w:rsidR="004A1DE9">
        <w:t>against</w:t>
      </w:r>
      <w:r w:rsidR="00736CE8">
        <w:t xml:space="preserve"> 13 proteins w</w:t>
      </w:r>
      <w:r w:rsidR="001C5404">
        <w:t>ith</w:t>
      </w:r>
      <w:r w:rsidR="00736CE8">
        <w:t xml:space="preserve"> nanomolar IC</w:t>
      </w:r>
      <w:r w:rsidR="00736CE8">
        <w:rPr>
          <w:vertAlign w:val="subscript"/>
        </w:rPr>
        <w:t>50</w:t>
      </w:r>
      <w:r w:rsidR="00736CE8">
        <w:t xml:space="preserve">. </w:t>
      </w:r>
      <w:r w:rsidR="009C72EE">
        <w:t>Additionally, in</w:t>
      </w:r>
      <w:r w:rsidR="00736CE8">
        <w:t xml:space="preserve"> </w:t>
      </w:r>
      <w:r w:rsidR="00EC3650">
        <w:t>one study</w:t>
      </w:r>
      <w:r w:rsidR="009C72EE">
        <w:t xml:space="preserve"> CX4945</w:t>
      </w:r>
      <w:r w:rsidR="00EC3650">
        <w:t xml:space="preserve"> was shown to</w:t>
      </w:r>
      <w:r w:rsidR="00736CE8">
        <w:t xml:space="preserve"> inhibit CLK2 more potently than CK2 (3.8 </w:t>
      </w:r>
      <w:proofErr w:type="spellStart"/>
      <w:r w:rsidR="00736CE8">
        <w:t>nM</w:t>
      </w:r>
      <w:proofErr w:type="spellEnd"/>
      <w:r w:rsidR="00736CE8">
        <w:t xml:space="preserve"> compared to 14.7 </w:t>
      </w:r>
      <w:proofErr w:type="spellStart"/>
      <w:r w:rsidR="00736CE8">
        <w:t>nM</w:t>
      </w:r>
      <w:proofErr w:type="spellEnd"/>
      <w:r w:rsidR="00736CE8">
        <w:t>)</w:t>
      </w:r>
      <w:r w:rsidR="00A81EF2">
        <w:t>.</w:t>
      </w:r>
      <w:r w:rsidR="00A81EF2">
        <w:fldChar w:fldCharType="begin" w:fldLock="1"/>
      </w:r>
      <w:r w:rsidR="00B06106">
        <w:instrText>ADDIN CSL_CITATION { "citationItems" : [ { "id" : "ITEM-1", "itemData" : { "DOI" : "10.1039/C6SC02335E", "ISSN" : "2041-6520", "abstract" : "&lt;p&gt;CAM4066, a specific CK2\u03b1 kinase inhibitor, is anchored in the cryptic \u03b1D pocket outside the active site and inserts a \u201cwarhead\u201d into the active site, blocking ATP binding and thereby inhibiting the kinase.&lt;/p&gt;", "author" : [ { "dropping-particle" : "", "family" : "Brear", "given" : "Paul", "non-dropping-particle" : "", "parse-names" : false, "suffix" : "" }, { "dropping-particle" : "", "family" : "Fusco", "given" : "Claudia", "non-dropping-particle" : "De", "parse-names" : false, "suffix" : "" }, { "dropping-particle" : "", "family" : "Hadje Georgiou", "given" : "Kathy", "non-dropping-particle" : "", "parse-names" : false, "suffix" : "" }, { "dropping-particle" : "", "family" : "Francis-Newton", "given" : "Nicola J.", "non-dropping-particle" : "", "parse-names" : false, "suffix" : "" }, { "dropping-particle" : "", "family" : "Stubbs", "given" : "Christopher J.", "non-dropping-particle" : "", "parse-names" : false, "suffix" : "" }, { "dropping-particle" : "", "family" : "Sore", "given" : "Hannah F.", "non-dropping-particle" : "", "parse-names" : false, "suffix" : "" }, { "dropping-particle" : "", "family" : "Venkitaraman", "given" : "Ashok R.", "non-dropping-particle" : "", "parse-names" : false, "suffix" : "" }, { "dropping-particle" : "", "family" : "Abell", "given" : "Chris", "non-dropping-particle" : "", "parse-names" : false, "suffix" : "" }, { "dropping-particle" : "", "family" : "Spring", "given" : "David R.", "non-dropping-particle" : "", "parse-names" : false, "suffix" : "" }, { "dropping-particle" : "", "family" : "Hyv\u00f6nen", "given" : "Marko", "non-dropping-particle" : "", "parse-names" : false, "suffix" : "" } ], "container-title" : "Chemical Science", "id" : "ITEM-1", "issue" : "11", "issued" : { "date-parts" : [ [ "2016", "10", "18" ] ] }, "page" : "6839-6845", "publisher" : "The Royal Society of Chemistry", "title" : "Specific inhibition of CK2\u03b1 from an anchor outside the active site", "type" : "article-journal", "volume" : "7" }, "uris" : [ "http://www.mendeley.com/documents/?uuid=488a47af-0158-35f3-aaaa-c868b696fd61" ] } ], "mendeley" : { "formattedCitation" : "&lt;sup&gt;14&lt;/sup&gt;", "plainTextFormattedCitation" : "14", "previouslyFormattedCitation" : "&lt;sup&gt;14&lt;/sup&gt;" }, "properties" : {  }, "schema" : "https://github.com/citation-style-language/schema/raw/master/csl-citation.json" }</w:instrText>
      </w:r>
      <w:r w:rsidR="00A81EF2">
        <w:fldChar w:fldCharType="separate"/>
      </w:r>
      <w:r w:rsidR="00B06106" w:rsidRPr="00B06106">
        <w:rPr>
          <w:noProof/>
          <w:vertAlign w:val="superscript"/>
        </w:rPr>
        <w:t>14</w:t>
      </w:r>
      <w:r w:rsidR="00A81EF2">
        <w:fldChar w:fldCharType="end"/>
      </w:r>
    </w:p>
    <w:p w14:paraId="7A116B11" w14:textId="1AC51860" w:rsidR="003B38A0" w:rsidRDefault="004B45D6" w:rsidP="00273B59">
      <w:pPr>
        <w:pStyle w:val="ElsParagraph"/>
        <w:rPr>
          <w:lang w:eastAsia="en-GB"/>
        </w:rPr>
      </w:pPr>
      <w:r>
        <w:rPr>
          <w:lang w:eastAsia="en-GB"/>
        </w:rPr>
        <w:t>Alternative s</w:t>
      </w:r>
      <w:r w:rsidR="003B38A0">
        <w:rPr>
          <w:lang w:eastAsia="en-GB"/>
        </w:rPr>
        <w:t>trategies</w:t>
      </w:r>
      <w:r>
        <w:rPr>
          <w:lang w:eastAsia="en-GB"/>
        </w:rPr>
        <w:t xml:space="preserve"> </w:t>
      </w:r>
      <w:r w:rsidR="006F6D1F">
        <w:rPr>
          <w:lang w:eastAsia="en-GB"/>
        </w:rPr>
        <w:t>to selectively</w:t>
      </w:r>
      <w:r w:rsidR="003B38A0">
        <w:rPr>
          <w:lang w:eastAsia="en-GB"/>
        </w:rPr>
        <w:t xml:space="preserve"> inhibit CK2 have recently</w:t>
      </w:r>
      <w:r w:rsidR="009F2A73">
        <w:rPr>
          <w:lang w:eastAsia="en-GB"/>
        </w:rPr>
        <w:t xml:space="preserve"> been</w:t>
      </w:r>
      <w:r w:rsidR="003B38A0">
        <w:rPr>
          <w:lang w:eastAsia="en-GB"/>
        </w:rPr>
        <w:t xml:space="preserve"> </w:t>
      </w:r>
      <w:r w:rsidR="006F6D1F">
        <w:rPr>
          <w:lang w:eastAsia="en-GB"/>
        </w:rPr>
        <w:t>explored;</w:t>
      </w:r>
      <w:r w:rsidR="009F2A73">
        <w:rPr>
          <w:lang w:eastAsia="en-GB"/>
        </w:rPr>
        <w:t xml:space="preserve"> these</w:t>
      </w:r>
      <w:r w:rsidR="003B38A0">
        <w:rPr>
          <w:lang w:eastAsia="en-GB"/>
        </w:rPr>
        <w:t xml:space="preserve"> exploit other aspects of the protein unique to CK2. </w:t>
      </w:r>
      <w:r w:rsidR="00EC3650">
        <w:rPr>
          <w:lang w:eastAsia="en-GB"/>
        </w:rPr>
        <w:t>T</w:t>
      </w:r>
      <w:r w:rsidR="003B38A0">
        <w:rPr>
          <w:lang w:eastAsia="en-GB"/>
        </w:rPr>
        <w:t>he αD pocket</w:t>
      </w:r>
      <w:r w:rsidR="006F6D1F">
        <w:rPr>
          <w:lang w:eastAsia="en-GB"/>
        </w:rPr>
        <w:t>,</w:t>
      </w:r>
      <w:r w:rsidR="003B38A0">
        <w:rPr>
          <w:lang w:eastAsia="en-GB"/>
        </w:rPr>
        <w:t xml:space="preserve"> </w:t>
      </w:r>
      <w:r w:rsidR="00BD5A6A">
        <w:rPr>
          <w:lang w:eastAsia="en-GB"/>
        </w:rPr>
        <w:t>which is unique to CK2</w:t>
      </w:r>
      <w:r w:rsidR="006F6D1F">
        <w:rPr>
          <w:lang w:eastAsia="en-GB"/>
        </w:rPr>
        <w:t>,</w:t>
      </w:r>
      <w:r w:rsidR="00BD5A6A">
        <w:rPr>
          <w:lang w:eastAsia="en-GB"/>
        </w:rPr>
        <w:t xml:space="preserve"> was discovered</w:t>
      </w:r>
      <w:r w:rsidR="00BF56BB">
        <w:rPr>
          <w:lang w:eastAsia="en-GB"/>
        </w:rPr>
        <w:t xml:space="preserve"> near the ATP site.</w:t>
      </w:r>
      <w:r w:rsidR="006F6D1F">
        <w:rPr>
          <w:lang w:eastAsia="en-GB"/>
        </w:rPr>
        <w:t xml:space="preserve"> It has been exploited by</w:t>
      </w:r>
      <w:r w:rsidR="00BD5A6A">
        <w:rPr>
          <w:lang w:eastAsia="en-GB"/>
        </w:rPr>
        <w:t xml:space="preserve"> link</w:t>
      </w:r>
      <w:r w:rsidR="006F6D1F">
        <w:rPr>
          <w:lang w:eastAsia="en-GB"/>
        </w:rPr>
        <w:t>ing</w:t>
      </w:r>
      <w:r w:rsidR="00BD5A6A">
        <w:rPr>
          <w:lang w:eastAsia="en-GB"/>
        </w:rPr>
        <w:t xml:space="preserve"> a low affinity ATP site fragment to an elaborated fragment in the </w:t>
      </w:r>
      <w:r w:rsidR="009C72EE">
        <w:rPr>
          <w:lang w:eastAsia="en-GB"/>
        </w:rPr>
        <w:t>α</w:t>
      </w:r>
      <w:r w:rsidR="00BD5A6A">
        <w:rPr>
          <w:lang w:eastAsia="en-GB"/>
        </w:rPr>
        <w:t>D site. This led to a novel and selective CK2 inhibitor</w:t>
      </w:r>
      <w:r w:rsidR="00BF56BB">
        <w:rPr>
          <w:lang w:eastAsia="en-GB"/>
        </w:rPr>
        <w:t>.</w:t>
      </w:r>
      <w:r w:rsidR="00F531DC">
        <w:rPr>
          <w:lang w:eastAsia="en-GB"/>
        </w:rPr>
        <w:fldChar w:fldCharType="begin" w:fldLock="1"/>
      </w:r>
      <w:r w:rsidR="00B06106">
        <w:rPr>
          <w:lang w:eastAsia="en-GB"/>
        </w:rPr>
        <w:instrText>ADDIN CSL_CITATION { "citationItems" : [ { "id" : "ITEM-1", "itemData" : { "DOI" : "10.1039/C6SC02335E", "ISSN" : "2041-6520", "abstract" : "&lt;p&gt;CAM4066, a specific CK2\u03b1 kinase inhibitor, is anchored in the cryptic \u03b1D pocket outside the active site and inserts a \u201cwarhead\u201d into the active site, blocking ATP binding and thereby inhibiting the kinase.&lt;/p&gt;", "author" : [ { "dropping-particle" : "", "family" : "Brear", "given" : "Paul", "non-dropping-particle" : "", "parse-names" : false, "suffix" : "" }, { "dropping-particle" : "", "family" : "Fusco", "given" : "Claudia", "non-dropping-particle" : "De", "parse-names" : false, "suffix" : "" }, { "dropping-particle" : "", "family" : "Hadje Georgiou", "given" : "Kathy", "non-dropping-particle" : "", "parse-names" : false, "suffix" : "" }, { "dropping-particle" : "", "family" : "Francis-Newton", "given" : "Nicola J.", "non-dropping-particle" : "", "parse-names" : false, "suffix" : "" }, { "dropping-particle" : "", "family" : "Stubbs", "given" : "Christopher J.", "non-dropping-particle" : "", "parse-names" : false, "suffix" : "" }, { "dropping-particle" : "", "family" : "Sore", "given" : "Hannah F.", "non-dropping-particle" : "", "parse-names" : false, "suffix" : "" }, { "dropping-particle" : "", "family" : "Venkitaraman", "given" : "Ashok R.", "non-dropping-particle" : "", "parse-names" : false, "suffix" : "" }, { "dropping-particle" : "", "family" : "Abell", "given" : "Chris", "non-dropping-particle" : "", "parse-names" : false, "suffix" : "" }, { "dropping-particle" : "", "family" : "Spring", "given" : "David R.", "non-dropping-particle" : "", "parse-names" : false, "suffix" : "" }, { "dropping-particle" : "", "family" : "Hyv\u00f6nen", "given" : "Marko", "non-dropping-particle" : "", "parse-names" : false, "suffix" : "" } ], "container-title" : "Chemical Science", "id" : "ITEM-1", "issue" : "11", "issued" : { "date-parts" : [ [ "2016", "10", "18" ] ] }, "page" : "6839-6845", "publisher" : "The Royal Society of Chemistry", "title" : "Specific inhibition of CK2\u03b1 from an anchor outside the active site", "type" : "article-journal", "volume" : "7" }, "uris" : [ "http://www.mendeley.com/documents/?uuid=488a47af-0158-35f3-aaaa-c868b696fd61" ] } ], "mendeley" : { "formattedCitation" : "&lt;sup&gt;14&lt;/sup&gt;", "plainTextFormattedCitation" : "14", "previouslyFormattedCitation" : "&lt;sup&gt;14&lt;/sup&gt;" }, "properties" : {  }, "schema" : "https://github.com/citation-style-language/schema/raw/master/csl-citation.json" }</w:instrText>
      </w:r>
      <w:r w:rsidR="00F531DC">
        <w:rPr>
          <w:lang w:eastAsia="en-GB"/>
        </w:rPr>
        <w:fldChar w:fldCharType="separate"/>
      </w:r>
      <w:r w:rsidR="00B06106" w:rsidRPr="00B06106">
        <w:rPr>
          <w:noProof/>
          <w:vertAlign w:val="superscript"/>
          <w:lang w:eastAsia="en-GB"/>
        </w:rPr>
        <w:t>14</w:t>
      </w:r>
      <w:r w:rsidR="00F531DC">
        <w:rPr>
          <w:lang w:eastAsia="en-GB"/>
        </w:rPr>
        <w:fldChar w:fldCharType="end"/>
      </w:r>
      <w:r w:rsidR="00F531DC">
        <w:rPr>
          <w:vertAlign w:val="superscript"/>
          <w:lang w:eastAsia="en-GB"/>
        </w:rPr>
        <w:t>,</w:t>
      </w:r>
      <w:r w:rsidR="00BF56BB">
        <w:rPr>
          <w:lang w:eastAsia="en-GB"/>
        </w:rPr>
        <w:fldChar w:fldCharType="begin" w:fldLock="1"/>
      </w:r>
      <w:r w:rsidR="00B06106">
        <w:rPr>
          <w:lang w:eastAsia="en-GB"/>
        </w:rPr>
        <w:instrText>ADDIN CSL_CITATION { "citationItems" : [ { "id" : "ITEM-1", "itemData" : { "DOI" : "10.1016/J.BMC.2017.04.037", "ISSN" : "0968-0896", "abstract" : "Recently we reported the discovery of a potent and selective CK2\u03b1 inhibitor CAM4066. This compound inhibits CK2 activity by exploiting a pocket located outside the ATP binding site (\u03b1D pocket). Here we describe in detail the journey that led to the discovery of CAM4066 using the challenging fragment linking strategy. Specifically, we aimed to develop inhibitors by linking a high-affinity fragment anchored in the \u03b1D site to a weakly binding warhead fragment occupying the ATP site. Moreover, we describe the remarkable impact that molecular modelling had on the development of this novel chemical tool. The work described herein shows potential for the development of a novel class of CK2 inhibitors.", "author" : [ { "dropping-particle" : "", "family" : "Fusco", "given" : "Claudia", "non-dropping-particle" : "De", "parse-names" : false, "suffix" : "" }, { "dropping-particle" : "", "family" : "Brear", "given" : "Paul", "non-dropping-particle" : "", "parse-names" : false, "suffix" : "" }, { "dropping-particle" : "", "family" : "Iegre", "given" : "Jessica", "non-dropping-particle" : "", "parse-names" : false, "suffix" : "" }, { "dropping-particle" : "", "family" : "Georgiou", "given" : "Kathy Hadje", "non-dropping-particle" : "", "parse-names" : false, "suffix" : "" }, { "dropping-particle" : "", "family" : "Sore", "given" : "Hannah F.", "non-dropping-particle" : "", "parse-names" : false, "suffix" : "" }, { "dropping-particle" : "", "family" : "Hyv\u00f6nen", "given" : "Marko", "non-dropping-particle" : "", "parse-names" : false, "suffix" : "" }, { "dropping-particle" : "", "family" : "Spring", "given" : "David R.", "non-dropping-particle" : "", "parse-names" : false, "suffix" : "" } ], "container-title" : "Bioorganic &amp; Medicinal Chemistry", "id" : "ITEM-1", "issue" : "13", "issued" : { "date-parts" : [ [ "2017", "7", "1" ] ] }, "page" : "3471-3482", "publisher" : "Pergamon", "title" : "A fragment-based approach leading to the discovery of a novel binding site and the selective CK2 inhibitor CAM4066", "type" : "article-journal", "volume" : "25" }, "uris" : [ "http://www.mendeley.com/documents/?uuid=6c6d5f8b-9ae0-3485-a01c-1aafd186f386" ] } ], "mendeley" : { "formattedCitation" : "&lt;sup&gt;15&lt;/sup&gt;", "plainTextFormattedCitation" : "15", "previouslyFormattedCitation" : "&lt;sup&gt;15&lt;/sup&gt;" }, "properties" : {  }, "schema" : "https://github.com/citation-style-language/schema/raw/master/csl-citation.json" }</w:instrText>
      </w:r>
      <w:r w:rsidR="00BF56BB">
        <w:rPr>
          <w:lang w:eastAsia="en-GB"/>
        </w:rPr>
        <w:fldChar w:fldCharType="separate"/>
      </w:r>
      <w:r w:rsidR="00B06106" w:rsidRPr="00B06106">
        <w:rPr>
          <w:noProof/>
          <w:vertAlign w:val="superscript"/>
          <w:lang w:eastAsia="en-GB"/>
        </w:rPr>
        <w:t>15</w:t>
      </w:r>
      <w:r w:rsidR="00BF56BB">
        <w:rPr>
          <w:lang w:eastAsia="en-GB"/>
        </w:rPr>
        <w:fldChar w:fldCharType="end"/>
      </w:r>
    </w:p>
    <w:p w14:paraId="4ADFB03B" w14:textId="40C2E5DF" w:rsidR="00AB5852" w:rsidRDefault="009351ED" w:rsidP="00273B59">
      <w:pPr>
        <w:pStyle w:val="ElsParagraph"/>
        <w:rPr>
          <w:lang w:eastAsia="en-GB"/>
        </w:rPr>
      </w:pPr>
      <w:r>
        <w:rPr>
          <w:lang w:eastAsia="en-GB"/>
        </w:rPr>
        <w:t>One of the other areas</w:t>
      </w:r>
      <w:r w:rsidR="00DB046E">
        <w:rPr>
          <w:lang w:eastAsia="en-GB"/>
        </w:rPr>
        <w:t xml:space="preserve"> to probe for non-ATP site inhibition is the protein-protein interaction (PPI) interface between the catalytic</w:t>
      </w:r>
      <w:r w:rsidR="002F4C8C">
        <w:rPr>
          <w:lang w:eastAsia="en-GB"/>
        </w:rPr>
        <w:t xml:space="preserve"> and regulatory</w:t>
      </w:r>
      <w:r w:rsidR="00DB046E">
        <w:rPr>
          <w:lang w:eastAsia="en-GB"/>
        </w:rPr>
        <w:t xml:space="preserve"> subunits of CK2: CK2α and CK2β. To date three </w:t>
      </w:r>
      <w:r w:rsidR="00C025C9">
        <w:rPr>
          <w:lang w:eastAsia="en-GB"/>
        </w:rPr>
        <w:t xml:space="preserve">small molecules and a </w:t>
      </w:r>
      <w:r w:rsidR="00CD592E">
        <w:rPr>
          <w:lang w:eastAsia="en-GB"/>
        </w:rPr>
        <w:t>peptide</w:t>
      </w:r>
      <w:r w:rsidR="00DB046E">
        <w:rPr>
          <w:lang w:eastAsia="en-GB"/>
        </w:rPr>
        <w:t xml:space="preserve"> have been shown to bind in the </w:t>
      </w:r>
      <w:r w:rsidR="00AC2B47">
        <w:rPr>
          <w:lang w:eastAsia="en-GB"/>
        </w:rPr>
        <w:t xml:space="preserve">interface pocket on CK2α. </w:t>
      </w:r>
      <w:r w:rsidR="00C66AF1">
        <w:rPr>
          <w:lang w:eastAsia="en-GB"/>
        </w:rPr>
        <w:t xml:space="preserve">The fragment, </w:t>
      </w:r>
      <w:r w:rsidR="00AC2B47">
        <w:rPr>
          <w:lang w:eastAsia="en-GB"/>
        </w:rPr>
        <w:t>DRB</w:t>
      </w:r>
      <w:r w:rsidR="00C66AF1">
        <w:rPr>
          <w:lang w:eastAsia="en-GB"/>
        </w:rPr>
        <w:t>,</w:t>
      </w:r>
      <w:r w:rsidR="00AC2B47">
        <w:rPr>
          <w:lang w:eastAsia="en-GB"/>
        </w:rPr>
        <w:t xml:space="preserve"> </w:t>
      </w:r>
      <w:r w:rsidR="00DF3FC3">
        <w:rPr>
          <w:lang w:eastAsia="en-GB"/>
        </w:rPr>
        <w:t>binds at</w:t>
      </w:r>
      <w:r w:rsidR="00AC2B47">
        <w:rPr>
          <w:lang w:eastAsia="en-GB"/>
        </w:rPr>
        <w:t xml:space="preserve"> </w:t>
      </w:r>
      <w:r w:rsidR="004928A4">
        <w:rPr>
          <w:lang w:eastAsia="en-GB"/>
        </w:rPr>
        <w:t>both the ATP and the α</w:t>
      </w:r>
      <w:r w:rsidR="002F4C8C">
        <w:rPr>
          <w:lang w:eastAsia="en-GB"/>
        </w:rPr>
        <w:t>/</w:t>
      </w:r>
      <w:r w:rsidR="004928A4">
        <w:rPr>
          <w:lang w:eastAsia="en-GB"/>
        </w:rPr>
        <w:t>β interface site</w:t>
      </w:r>
      <w:r w:rsidR="009F2A73">
        <w:rPr>
          <w:lang w:eastAsia="en-GB"/>
        </w:rPr>
        <w:t xml:space="preserve"> (</w:t>
      </w:r>
      <w:r w:rsidR="009F2A73">
        <w:rPr>
          <w:b/>
          <w:lang w:eastAsia="en-GB"/>
        </w:rPr>
        <w:t>Figure 1</w:t>
      </w:r>
      <w:r w:rsidR="009F2A73" w:rsidRPr="00C66AF1">
        <w:rPr>
          <w:lang w:eastAsia="en-GB"/>
        </w:rPr>
        <w:t>)</w:t>
      </w:r>
      <w:r w:rsidR="004928A4">
        <w:rPr>
          <w:lang w:eastAsia="en-GB"/>
        </w:rPr>
        <w:t>.</w:t>
      </w:r>
      <w:r w:rsidR="00197CCD">
        <w:rPr>
          <w:lang w:eastAsia="en-GB"/>
        </w:rPr>
        <w:fldChar w:fldCharType="begin" w:fldLock="1"/>
      </w:r>
      <w:r w:rsidR="00B06106">
        <w:rPr>
          <w:lang w:eastAsia="en-GB"/>
        </w:rPr>
        <w:instrText>ADDIN CSL_CITATION { "citationItems" : [ { "id" : "ITEM-1", "itemData" : { "DOI" : "10.1016/j.chembiol.2007.12.012", "ISSN" : "10745521", "author" : [ { "dropping-particle" : "", "family" : "Raaf", "given" : "Jennifer", "non-dropping-particle" : "", "parse-names" : false, "suffix" : "" }, { "dropping-particle" : "", "family" : "Brunstein", "given" : "Elena", "non-dropping-particle" : "", "parse-names" : false, "suffix" : "" }, { "dropping-particle" : "", "family" : "Issinger", "given" : "Olaf-Georg", "non-dropping-particle" : "", "parse-names" : false, "suffix" : "" }, { "dropping-particle" : "", "family" : "Niefind", "given" : "Karsten", "non-dropping-particle" : "", "parse-names" : false, "suffix" : "" } ], "container-title" : "Chemistry &amp; Biology", "id" : "ITEM-1", "issue" : "2", "issued" : { "date-parts" : [ [ "2008", "2" ] ] }, "page" : "111-117", "title" : "The CK2\u03b1/CK2\u03b2 Interface of Human Protein Kinase CK2 Harbors a Binding Pocket for Small Molecules", "type" : "article-journal", "volume" : "15" }, "uris" : [ "http://www.mendeley.com/documents/?uuid=7e8d6d7a-6a64-3676-8c51-5833c867e2f7" ] } ], "mendeley" : { "formattedCitation" : "&lt;sup&gt;16&lt;/sup&gt;", "plainTextFormattedCitation" : "16", "previouslyFormattedCitation" : "&lt;sup&gt;16&lt;/sup&gt;" }, "properties" : {  }, "schema" : "https://github.com/citation-style-language/schema/raw/master/csl-citation.json" }</w:instrText>
      </w:r>
      <w:r w:rsidR="00197CCD">
        <w:rPr>
          <w:lang w:eastAsia="en-GB"/>
        </w:rPr>
        <w:fldChar w:fldCharType="separate"/>
      </w:r>
      <w:r w:rsidR="00B06106" w:rsidRPr="00B06106">
        <w:rPr>
          <w:noProof/>
          <w:vertAlign w:val="superscript"/>
          <w:lang w:eastAsia="en-GB"/>
        </w:rPr>
        <w:t>16</w:t>
      </w:r>
      <w:r w:rsidR="00197CCD">
        <w:rPr>
          <w:lang w:eastAsia="en-GB"/>
        </w:rPr>
        <w:fldChar w:fldCharType="end"/>
      </w:r>
      <w:r w:rsidR="004928A4">
        <w:rPr>
          <w:lang w:eastAsia="en-GB"/>
        </w:rPr>
        <w:t xml:space="preserve"> </w:t>
      </w:r>
      <w:r w:rsidR="00197CCD">
        <w:rPr>
          <w:lang w:eastAsia="en-GB"/>
        </w:rPr>
        <w:t>W16</w:t>
      </w:r>
      <w:r w:rsidR="00CD592E">
        <w:rPr>
          <w:lang w:eastAsia="en-GB"/>
        </w:rPr>
        <w:t xml:space="preserve"> and a </w:t>
      </w:r>
      <w:proofErr w:type="spellStart"/>
      <w:r w:rsidR="00CD592E">
        <w:rPr>
          <w:lang w:eastAsia="en-GB"/>
        </w:rPr>
        <w:t>diazodinaphthalene</w:t>
      </w:r>
      <w:proofErr w:type="spellEnd"/>
      <w:r w:rsidR="00DF3FC3">
        <w:rPr>
          <w:lang w:eastAsia="en-GB"/>
        </w:rPr>
        <w:t xml:space="preserve"> </w:t>
      </w:r>
      <w:r w:rsidR="006F6D1F">
        <w:rPr>
          <w:lang w:eastAsia="en-GB"/>
        </w:rPr>
        <w:t xml:space="preserve">compound </w:t>
      </w:r>
      <w:r w:rsidR="00DF3FC3">
        <w:rPr>
          <w:lang w:eastAsia="en-GB"/>
        </w:rPr>
        <w:t>are believed to bind at</w:t>
      </w:r>
      <w:r w:rsidR="00197CCD">
        <w:rPr>
          <w:lang w:eastAsia="en-GB"/>
        </w:rPr>
        <w:t xml:space="preserve"> the interface</w:t>
      </w:r>
      <w:r w:rsidR="00DF3FC3">
        <w:rPr>
          <w:lang w:eastAsia="en-GB"/>
        </w:rPr>
        <w:t xml:space="preserve"> site although no crystal structures have</w:t>
      </w:r>
      <w:r w:rsidR="006F6D1F">
        <w:rPr>
          <w:lang w:eastAsia="en-GB"/>
        </w:rPr>
        <w:t xml:space="preserve"> been published to</w:t>
      </w:r>
      <w:r w:rsidR="00DF3FC3">
        <w:rPr>
          <w:lang w:eastAsia="en-GB"/>
        </w:rPr>
        <w:t xml:space="preserve"> validated this</w:t>
      </w:r>
      <w:r w:rsidR="006F6D1F">
        <w:rPr>
          <w:lang w:eastAsia="en-GB"/>
        </w:rPr>
        <w:t>. Additionally,</w:t>
      </w:r>
      <w:r w:rsidR="00197CCD">
        <w:rPr>
          <w:lang w:eastAsia="en-GB"/>
        </w:rPr>
        <w:t xml:space="preserve"> </w:t>
      </w:r>
      <w:r w:rsidR="006F6D1F">
        <w:rPr>
          <w:lang w:eastAsia="en-GB"/>
        </w:rPr>
        <w:t xml:space="preserve">W16 and the </w:t>
      </w:r>
      <w:proofErr w:type="spellStart"/>
      <w:r w:rsidR="006F6D1F">
        <w:rPr>
          <w:lang w:eastAsia="en-GB"/>
        </w:rPr>
        <w:t>diazodinaphthalene</w:t>
      </w:r>
      <w:proofErr w:type="spellEnd"/>
      <w:r w:rsidR="006F6D1F">
        <w:rPr>
          <w:lang w:eastAsia="en-GB"/>
        </w:rPr>
        <w:t xml:space="preserve"> compound</w:t>
      </w:r>
      <w:r w:rsidR="001C5404">
        <w:rPr>
          <w:lang w:eastAsia="en-GB"/>
        </w:rPr>
        <w:t xml:space="preserve"> are</w:t>
      </w:r>
      <w:r w:rsidR="00197CCD">
        <w:rPr>
          <w:lang w:eastAsia="en-GB"/>
        </w:rPr>
        <w:t xml:space="preserve"> large molecule</w:t>
      </w:r>
      <w:r w:rsidR="001C5404">
        <w:rPr>
          <w:lang w:eastAsia="en-GB"/>
        </w:rPr>
        <w:t>s</w:t>
      </w:r>
      <w:r w:rsidR="00197CCD">
        <w:rPr>
          <w:lang w:eastAsia="en-GB"/>
        </w:rPr>
        <w:t xml:space="preserve"> </w:t>
      </w:r>
      <w:r w:rsidR="00C66AF1">
        <w:rPr>
          <w:lang w:eastAsia="en-GB"/>
        </w:rPr>
        <w:t xml:space="preserve">with some undesirable physicochemical properties, therefore do not make ideal lead candidates for further </w:t>
      </w:r>
      <w:r w:rsidR="002A3174">
        <w:rPr>
          <w:noProof/>
          <w:lang w:eastAsia="en-GB"/>
        </w:rPr>
        <w:lastRenderedPageBreak/>
        <mc:AlternateContent>
          <mc:Choice Requires="wps">
            <w:drawing>
              <wp:anchor distT="45720" distB="45720" distL="114300" distR="114300" simplePos="0" relativeHeight="251700224" behindDoc="0" locked="0" layoutInCell="1" allowOverlap="1" wp14:anchorId="1E6BEDC1" wp14:editId="22D76495">
                <wp:simplePos x="0" y="0"/>
                <wp:positionH relativeFrom="margin">
                  <wp:posOffset>-86014</wp:posOffset>
                </wp:positionH>
                <wp:positionV relativeFrom="paragraph">
                  <wp:posOffset>1600200</wp:posOffset>
                </wp:positionV>
                <wp:extent cx="3162300" cy="428625"/>
                <wp:effectExtent l="0" t="0" r="0" b="9525"/>
                <wp:wrapSquare wrapText="bothSides"/>
                <wp:docPr id="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162300" cy="428625"/>
                        </a:xfrm>
                        <a:prstGeom prst="rect">
                          <a:avLst/>
                        </a:prstGeom>
                        <a:solidFill>
                          <a:srgbClr val="FFFFFF"/>
                        </a:solidFill>
                        <a:ln w="9525">
                          <a:noFill/>
                          <a:miter lim="800000"/>
                          <a:headEnd/>
                          <a:tailEnd/>
                        </a:ln>
                      </wps:spPr>
                      <wps:txbx>
                        <w:txbxContent>
                          <w:p w14:paraId="2BB8907E" w14:textId="5510629A" w:rsidR="00D27132" w:rsidRDefault="00D27132" w:rsidP="00C176A4">
                            <w:pPr>
                              <w:pStyle w:val="ElsFigureCaption"/>
                            </w:pPr>
                            <w:r>
                              <w:rPr>
                                <w:b/>
                              </w:rPr>
                              <w:t xml:space="preserve">Figure 1 </w:t>
                            </w:r>
                            <w:r>
                              <w:t xml:space="preserve">Three previous inhibitors of the CK2 interface: DRB, W16, and the </w:t>
                            </w:r>
                            <w:proofErr w:type="spellStart"/>
                            <w:r>
                              <w:t>diazodinaphthalene</w:t>
                            </w:r>
                            <w:proofErr w:type="spellEnd"/>
                            <w:r>
                              <w:t xml:space="preserve"> compound</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1E6BEDC1" id="Text Box 2" o:spid="_x0000_s1029" type="#_x0000_t202" style="position:absolute;left:0;text-align:left;margin-left:-6.75pt;margin-top:126pt;width:249pt;height:33.75pt;z-index:251700224;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" stroked="f">
                <v:textbox>
                  <w:txbxContent>
                    <w:p w14:paraId="2BB8907E" w14:textId="5510629A" w:rsidR="00D27132" w:rsidRDefault="00D27132" w:rsidP="00C176A4">
                      <w:pPr>
                        <w:pStyle w:val="ElsFigureCaption"/>
                      </w:pPr>
                      <w:r>
                        <w:rPr>
                          <w:b/>
                        </w:rPr>
                        <w:t xml:space="preserve">Figure 1 </w:t>
                      </w:r>
                      <w:r>
                        <w:t xml:space="preserve">Three previous inhibitors of the CK2 interface: DRB, W16, and the </w:t>
                      </w:r>
                      <w:proofErr w:type="spellStart"/>
                      <w:r>
                        <w:t>diazodinaphthalene</w:t>
                      </w:r>
                      <w:proofErr w:type="spellEnd"/>
                      <w:r>
                        <w:t xml:space="preserve"> compound</w:t>
                      </w:r>
                    </w:p>
                  </w:txbxContent>
                </v:textbox>
                <w10:wrap type="square" anchorx="margin"/>
              </v:shape>
            </w:pict>
          </mc:Fallback>
        </mc:AlternateContent>
      </w:r>
      <w:r w:rsidR="00C66AF1">
        <w:rPr>
          <w:lang w:eastAsia="en-GB"/>
        </w:rPr>
        <w:t>drug discovery</w:t>
      </w:r>
      <w:r w:rsidR="00B80240">
        <w:rPr>
          <w:lang w:eastAsia="en-GB"/>
        </w:rPr>
        <w:t xml:space="preserve"> (</w:t>
      </w:r>
      <w:r w:rsidR="00DF3FC3">
        <w:rPr>
          <w:b/>
          <w:lang w:eastAsia="en-GB"/>
        </w:rPr>
        <w:t xml:space="preserve">Figure </w:t>
      </w:r>
      <w:r w:rsidR="00D05925">
        <w:rPr>
          <w:noProof/>
        </w:rPr>
        <w:object w:dxaOrig="1440" w:dyaOrig="1440" w14:anchorId="5F435285">
          <v:shape id="_x0000_s1031" type="#_x0000_t75" style="position:absolute;left:0;text-align:left;margin-left:-5.1pt;margin-top:2.45pt;width:251.3pt;height:117.65pt;z-index:251687936;mso-position-horizontal-relative:text;mso-position-vertical-relative:text">
            <v:imagedata r:id="rId14" o:title=""/>
            <w10:wrap type="square"/>
          </v:shape>
          <o:OLEObject Type="Embed" ProgID="ChemDraw.Document.6.0" ShapeID="_x0000_s1031" DrawAspect="Content" ObjectID="_1587793428" r:id="rId15"/>
        </w:object>
      </w:r>
      <w:r w:rsidR="00DF3FC3">
        <w:rPr>
          <w:b/>
          <w:lang w:eastAsia="en-GB"/>
        </w:rPr>
        <w:t>1</w:t>
      </w:r>
      <w:r w:rsidR="00B80240">
        <w:rPr>
          <w:lang w:eastAsia="en-GB"/>
        </w:rPr>
        <w:t>)</w:t>
      </w:r>
      <w:r w:rsidR="00197CCD">
        <w:rPr>
          <w:lang w:eastAsia="en-GB"/>
        </w:rPr>
        <w:t>.</w:t>
      </w:r>
      <w:r w:rsidR="00197CCD">
        <w:rPr>
          <w:lang w:eastAsia="en-GB"/>
        </w:rPr>
        <w:fldChar w:fldCharType="begin" w:fldLock="1"/>
      </w:r>
      <w:r w:rsidR="00B06106">
        <w:rPr>
          <w:lang w:eastAsia="en-GB"/>
        </w:rPr>
        <w:instrText>ADDIN CSL_CITATION { "citationItems" : [ { "id" : "ITEM-1", "itemData" : { "DOI" : "10.1007/s11010-008-9821-6", "ISSN" : "0300-8177", "author" : [ { "dropping-particle" : "", "family" : "Laudet", "given" : "B\u00e9atrice", "non-dropping-particle" : "", "parse-names" : false, "suffix" : "" }, { "dropping-particle" : "", "family" : "Moucadel", "given" : "Virginie", "non-dropping-particle" : "", "parse-names" : false, "suffix" : "" }, { "dropping-particle" : "", "family" : "Prudent", "given" : "Renaud", "non-dropping-particle" : "", "parse-names" : false, "suffix" : "" }, { "dropping-particle" : "", "family" : "Filhol", "given" : "Odile", "non-dropping-particle" : "", "parse-names" : false, "suffix" : "" }, { "dropping-particle" : "", "family" : "Wong", "given" : "Yung-Sing", "non-dropping-particle" : "", "parse-names" : false, "suffix" : "" }, { "dropping-particle" : "", "family" : "Royer", "given" : "Daniel", "non-dropping-particle" : "", "parse-names" : false, "suffix" : "" }, { "dropping-particle" : "", "family" : "Cochet", "given" : "Claude", "non-dropping-particle" : "", "parse-names" : false, "suffix" : "" } ], "container-title" : "Molecular and Cellular Biochemistry", "id" : "ITEM-1", "issue" : "1-2", "issued" : { "date-parts" : [ [ "2008", "9", "14" ] ] }, "page" : "63-69", "publisher" : "Springer US", "title" : "Identification of chemical inhibitors of protein-kinase CK2 subunit interaction", "type" : "article-journal", "volume" : "316" }, "uris" : [ "http://www.mendeley.com/documents/?uuid=8d3a9556-ec30-3890-af9a-46387f0a857d" ] } ], "mendeley" : { "formattedCitation" : "&lt;sup&gt;17&lt;/sup&gt;", "plainTextFormattedCitation" : "17", "previouslyFormattedCitation" : "&lt;sup&gt;17&lt;/sup&gt;" }, "properties" : {  }, "schema" : "https://github.com/citation-style-language/schema/raw/master/csl-citation.json" }</w:instrText>
      </w:r>
      <w:r w:rsidR="00197CCD">
        <w:rPr>
          <w:lang w:eastAsia="en-GB"/>
        </w:rPr>
        <w:fldChar w:fldCharType="separate"/>
      </w:r>
      <w:r w:rsidR="00B06106" w:rsidRPr="00B06106">
        <w:rPr>
          <w:noProof/>
          <w:vertAlign w:val="superscript"/>
          <w:lang w:eastAsia="en-GB"/>
        </w:rPr>
        <w:t>17</w:t>
      </w:r>
      <w:r w:rsidR="00197CCD">
        <w:rPr>
          <w:lang w:eastAsia="en-GB"/>
        </w:rPr>
        <w:fldChar w:fldCharType="end"/>
      </w:r>
      <w:r w:rsidR="00CD592E">
        <w:rPr>
          <w:vertAlign w:val="superscript"/>
          <w:lang w:eastAsia="en-GB"/>
        </w:rPr>
        <w:t>,</w:t>
      </w:r>
      <w:r w:rsidR="00CD592E">
        <w:rPr>
          <w:lang w:eastAsia="en-GB"/>
        </w:rPr>
        <w:fldChar w:fldCharType="begin" w:fldLock="1"/>
      </w:r>
      <w:r w:rsidR="00B06106">
        <w:rPr>
          <w:lang w:eastAsia="en-GB"/>
        </w:rPr>
        <w:instrText>ADDIN CSL_CITATION { "citationItems" : [ { "id" : "ITEM-1", "itemData" : { "ISSN" : "1949-2553", "abstract" : "Virginie Moucadel 1,2,3,* , Renaud Prudent 1,2,3,* , C&amp;eacute;line F. Sautel 1,2,3 , Florence Teillet 1,2,3 , Caroline Barette 4 , Laurence Lafanechere 4 , Veronique Receveur-Brechot 5 and Claude Cochet 1,2,3 1 From INSERM, U1036, Biology of Cancer and Infection, Grenoble, F-38054, France 2 CEA, DSV/iRTSV, Biology of Cancer and Infection, Grenoble, F-38054, France 3 UJF-Grenoble 1, Biology of Cancer and Infection, Grenoble, F-38041, France 4 CEA, iRTSV/CMBA, Grenoble, F-38054, France 5 IMR Laboratory CNRS UPR3243, IMM, F-13402 Marseille cedex 20, France * Both authors contributed equally to this work Received: November 24, 2011; Accepted: November 29, 2011; Published: December 14, 2011; Keywords: Protein-kinase CK2, Inhibitors, Azonaphthalene, Cancer, SAXS Correspondence: Claude Cochet, email: // // Abstract INTRODUCTION: Due to its physiological role into promoting cell survival and its dysregulation in most cancer cells, protein kinase CK2 is a relevant physiopathological target for development of chemical inhibitors. We report the discovery of azonaphthalene derivatives, as a new family of highly specific CK2 inhibitors. First, we demonstrated that CK2 inhibition (IC 50 = 0.4 &amp;micro;M) was highly specific, reversible and non ATP-competitive. Small Angle X-ray Scattering experiments showed that this inhibition was due to large conformational change of CK2&amp;alpha; upon binding of these inhibitors. We showed that several compounds of the family were cell-potent CK2 inhibitors promoting cell cycle arrest of human glioblastoma U373 cells. Finally, in vitro and in vivo assays showed that these compounds could decrease U373 cell tumor mass by 83 % emphasizing their efficacy against these apoptosis-resistant tumors. In contrast, Azonaphthalene derivatives inactive on CK2 activity showed no effect in colony formation and tumor regression assays. These findings illustrate the emergence of nonclassical CK2 inhibitors and provide exciting opportunities for the development of novel allosteric CK2 inhibitors. BACKGROUND: CK2 is an emerging therapeutic target and ATP-competitive inhibitors have been identi\ufb01ed. CK2 is endowed with specific structural features providing alternative strategies for inhibition. RESULTS : Azonaphthalene compounds are allosteric CK2 inhibitors showing antitumor activity. CONCLUSION : CK2 may be targeted allosterically. SIGNIFICANCE : These inhibitors provide a foundation for a new paradigm for specific CK2 inhibition.", "author" : [ { "dropping-particle" : "", "family" : "Moucadel", "given" : "Virginie", "non-dropping-particle" : "", "parse-names" : false, "suffix" : "" }, { "dropping-particle" : "", "family" : "Prudent", "given" : "Renaud", "non-dropping-particle" : "", "parse-names" : false, "suffix" : "" }, { "dropping-particle" : "", "family" : "Sautel", "given" : "C\u00e9line F.", "non-dropping-particle" : "", "parse-names" : false, "suffix" : "" }, { "dropping-particle" : "", "family" : "Teillet", "given" : "Florence", "non-dropping-particle" : "", "parse-names" : false, "suffix" : "" }, { "dropping-particle" : "", "family" : "Barette", "given" : "Caroline", "non-dropping-particle" : "", "parse-names" : false, "suffix" : "" }, { "dropping-particle" : "", "family" : "Lafanechere", "given" : "Laurence", "non-dropping-particle" : "", "parse-names" : false, "suffix" : "" }, { "dropping-particle" : "", "family" : "Receveur-Brechot", "given" : "Veronique", "non-dropping-particle" : "", "parse-names" : false, "suffix" : "" }, { "dropping-particle" : "", "family" : "Cochet", "given" : "Claude", "non-dropping-particle" : "", "parse-names" : false, "suffix" : "" } ], "container-title" : "Oncotarget", "id" : "ITEM-1", "issue" : "12", "issued" : { "date-parts" : [ [ "2011" ] ] }, "page" : "997-1010", "publisher" : "Impact Journals", "title" : "Antitumoral activity of allosteric inhibitors of Protein kinase CK2", "type" : "article-journal", "volume" : "2" }, "uris" : [ "http://www.mendeley.com/documents/?uuid=0e2dd28c-871f-3398-9b5a-5d759fac49fb" ] } ], "mendeley" : { "formattedCitation" : "&lt;sup&gt;18&lt;/sup&gt;", "plainTextFormattedCitation" : "18", "previouslyFormattedCitation" : "&lt;sup&gt;18&lt;/sup&gt;" }, "properties" : {  }, "schema" : "https://github.com/citation-style-language/schema/raw/master/csl-citation.json" }</w:instrText>
      </w:r>
      <w:r w:rsidR="00CD592E">
        <w:rPr>
          <w:lang w:eastAsia="en-GB"/>
        </w:rPr>
        <w:fldChar w:fldCharType="separate"/>
      </w:r>
      <w:r w:rsidR="00B06106" w:rsidRPr="00B06106">
        <w:rPr>
          <w:noProof/>
          <w:vertAlign w:val="superscript"/>
          <w:lang w:eastAsia="en-GB"/>
        </w:rPr>
        <w:t>18</w:t>
      </w:r>
      <w:r w:rsidR="00CD592E">
        <w:rPr>
          <w:lang w:eastAsia="en-GB"/>
        </w:rPr>
        <w:fldChar w:fldCharType="end"/>
      </w:r>
      <w:r w:rsidR="00702BA6">
        <w:rPr>
          <w:lang w:eastAsia="en-GB"/>
        </w:rPr>
        <w:t xml:space="preserve"> Finally, </w:t>
      </w:r>
      <w:r w:rsidR="00AB5852">
        <w:rPr>
          <w:lang w:eastAsia="en-GB"/>
        </w:rPr>
        <w:t xml:space="preserve">a </w:t>
      </w:r>
      <w:r w:rsidR="002F4C8C">
        <w:rPr>
          <w:lang w:eastAsia="en-GB"/>
        </w:rPr>
        <w:t>cyclic</w:t>
      </w:r>
      <w:r w:rsidR="00AB5852">
        <w:rPr>
          <w:lang w:eastAsia="en-GB"/>
        </w:rPr>
        <w:t xml:space="preserve"> peptide, Pc, was </w:t>
      </w:r>
      <w:r w:rsidR="00D05925">
        <w:rPr>
          <w:noProof/>
        </w:rPr>
        <w:object w:dxaOrig="1440" w:dyaOrig="1440" w14:anchorId="6824722B">
          <v:shape id="_x0000_s1033" type="#_x0000_t75" style="position:absolute;left:0;text-align:left;margin-left:267.65pt;margin-top:192.6pt;width:250.2pt;height:61.05pt;z-index:251692032;mso-position-horizontal-relative:text;mso-position-vertical-relative:text">
            <v:imagedata r:id="rId16" o:title=""/>
            <w10:wrap type="square"/>
          </v:shape>
          <o:OLEObject Type="Embed" ProgID="ChemDraw.Document.6.0" ShapeID="_x0000_s1033" DrawAspect="Content" ObjectID="_1587793429" r:id="rId17"/>
        </w:object>
      </w:r>
      <w:r w:rsidR="002A3174">
        <w:rPr>
          <w:noProof/>
        </w:rPr>
        <mc:AlternateContent>
          <mc:Choice Requires="wps">
            <w:drawing>
              <wp:anchor distT="45720" distB="45720" distL="114300" distR="114300" simplePos="0" relativeHeight="251694080" behindDoc="0" locked="0" layoutInCell="1" allowOverlap="1" wp14:anchorId="7FCEC5C4" wp14:editId="752CEAA3">
                <wp:simplePos x="0" y="0"/>
                <wp:positionH relativeFrom="margin">
                  <wp:align>right</wp:align>
                </wp:positionH>
                <wp:positionV relativeFrom="paragraph">
                  <wp:posOffset>1889298</wp:posOffset>
                </wp:positionV>
                <wp:extent cx="3152775" cy="533400"/>
                <wp:effectExtent l="0" t="0" r="9525" b="0"/>
                <wp:wrapSquare wrapText="bothSides"/>
                <wp:docPr id="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152775" cy="533400"/>
                        </a:xfrm>
                        <a:prstGeom prst="rect">
                          <a:avLst/>
                        </a:prstGeom>
                        <a:solidFill>
                          <a:srgbClr val="FFFFFF"/>
                        </a:solidFill>
                        <a:ln w="9525">
                          <a:noFill/>
                          <a:miter lim="800000"/>
                          <a:headEnd/>
                          <a:tailEnd/>
                        </a:ln>
                      </wps:spPr>
                      <wps:txbx>
                        <w:txbxContent>
                          <w:p w14:paraId="02D01778" w14:textId="4BDF4A80" w:rsidR="00D27132" w:rsidRDefault="00D27132" w:rsidP="00C176A4">
                            <w:pPr>
                              <w:pStyle w:val="ElsFigureCaption"/>
                            </w:pPr>
                            <w:r w:rsidRPr="007448FA">
                              <w:rPr>
                                <w:b/>
                              </w:rPr>
                              <w:t>Scheme 1</w:t>
                            </w:r>
                            <w:r>
                              <w:t xml:space="preserve"> </w:t>
                            </w:r>
                            <w:r w:rsidRPr="00891B10">
                              <w:t>(a) CH</w:t>
                            </w:r>
                            <w:r w:rsidRPr="002F4C8C">
                              <w:rPr>
                                <w:vertAlign w:val="subscript"/>
                              </w:rPr>
                              <w:t>2</w:t>
                            </w:r>
                            <w:r w:rsidRPr="00891B10">
                              <w:t>Cl</w:t>
                            </w:r>
                            <w:r w:rsidRPr="002F4C8C">
                              <w:rPr>
                                <w:vertAlign w:val="subscript"/>
                              </w:rPr>
                              <w:t>2</w:t>
                            </w:r>
                            <w:r w:rsidRPr="00891B10">
                              <w:t xml:space="preserve">, </w:t>
                            </w:r>
                            <w:proofErr w:type="spellStart"/>
                            <w:r w:rsidRPr="00891B10">
                              <w:t>Py</w:t>
                            </w:r>
                            <w:proofErr w:type="spellEnd"/>
                            <w:r w:rsidRPr="00891B10">
                              <w:t>, Tf</w:t>
                            </w:r>
                            <w:r w:rsidRPr="002F4C8C">
                              <w:rPr>
                                <w:vertAlign w:val="subscript"/>
                              </w:rPr>
                              <w:t>2</w:t>
                            </w:r>
                            <w:r w:rsidRPr="00891B10">
                              <w:t xml:space="preserve">O, (b) </w:t>
                            </w:r>
                            <w:proofErr w:type="spellStart"/>
                            <w:r w:rsidRPr="00891B10">
                              <w:t>ArB</w:t>
                            </w:r>
                            <w:proofErr w:type="spellEnd"/>
                            <w:r w:rsidRPr="00891B10">
                              <w:t>(OH)</w:t>
                            </w:r>
                            <w:r w:rsidRPr="002F4C8C">
                              <w:rPr>
                                <w:vertAlign w:val="subscript"/>
                              </w:rPr>
                              <w:t>2</w:t>
                            </w:r>
                            <w:r w:rsidRPr="00891B10">
                              <w:t>, K</w:t>
                            </w:r>
                            <w:r w:rsidRPr="002F4C8C">
                              <w:rPr>
                                <w:vertAlign w:val="subscript"/>
                              </w:rPr>
                              <w:t>2</w:t>
                            </w:r>
                            <w:r w:rsidRPr="00891B10">
                              <w:t>CO</w:t>
                            </w:r>
                            <w:r w:rsidRPr="002F4C8C">
                              <w:rPr>
                                <w:vertAlign w:val="subscript"/>
                              </w:rPr>
                              <w:t>3</w:t>
                            </w:r>
                            <w:r w:rsidRPr="00891B10">
                              <w:t>, DCE, Pd(PPh</w:t>
                            </w:r>
                            <w:r w:rsidRPr="002F4C8C">
                              <w:rPr>
                                <w:vertAlign w:val="subscript"/>
                              </w:rPr>
                              <w:t>3</w:t>
                            </w:r>
                            <w:r w:rsidRPr="00891B10">
                              <w:t>)</w:t>
                            </w:r>
                            <w:r w:rsidRPr="002F4C8C">
                              <w:rPr>
                                <w:vertAlign w:val="subscript"/>
                              </w:rPr>
                              <w:t>4</w:t>
                            </w:r>
                            <w:r w:rsidRPr="00891B10">
                              <w:t>, (c) LiAlH</w:t>
                            </w:r>
                            <w:r w:rsidRPr="002F4C8C">
                              <w:rPr>
                                <w:vertAlign w:val="subscript"/>
                              </w:rPr>
                              <w:t>4</w:t>
                            </w:r>
                            <w:r w:rsidRPr="00891B10">
                              <w:t>, Et</w:t>
                            </w:r>
                            <w:r w:rsidRPr="002F4C8C">
                              <w:rPr>
                                <w:vertAlign w:val="subscript"/>
                              </w:rPr>
                              <w:t>2</w:t>
                            </w:r>
                            <w:r w:rsidRPr="00891B10">
                              <w:t>O, AlCl</w:t>
                            </w:r>
                            <w:r w:rsidRPr="002F4C8C">
                              <w:rPr>
                                <w:vertAlign w:val="subscript"/>
                              </w:rPr>
                              <w:t>3</w:t>
                            </w:r>
                            <w:r w:rsidRPr="00891B10">
                              <w:t>. Full procedures are detailed in the Supporting Information</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7FCEC5C4" id="_x0000_s1030" type="#_x0000_t202" style="position:absolute;left:0;text-align:left;margin-left:197.05pt;margin-top:148.75pt;width:248.25pt;height:42pt;z-index:251694080;visibility:visible;mso-wrap-style:square;mso-width-percent:0;mso-height-percent:0;mso-wrap-distance-left:9pt;mso-wrap-distance-top:3.6pt;mso-wrap-distance-right:9pt;mso-wrap-distance-bottom:3.6pt;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" stroked="f">
                <v:textbox>
                  <w:txbxContent>
                    <w:p w14:paraId="02D01778" w14:textId="4BDF4A80" w:rsidR="00D27132" w:rsidRDefault="00D27132" w:rsidP="00C176A4">
                      <w:pPr>
                        <w:pStyle w:val="ElsFigureCaption"/>
                      </w:pPr>
                      <w:r w:rsidRPr="007448FA">
                        <w:rPr>
                          <w:b/>
                        </w:rPr>
                        <w:t>Scheme 1</w:t>
                      </w:r>
                      <w:r>
                        <w:t xml:space="preserve"> </w:t>
                      </w:r>
                      <w:r w:rsidRPr="00891B10">
                        <w:t>(a) CH</w:t>
                      </w:r>
                      <w:r w:rsidRPr="002F4C8C">
                        <w:rPr>
                          <w:vertAlign w:val="subscript"/>
                        </w:rPr>
                        <w:t>2</w:t>
                      </w:r>
                      <w:r w:rsidRPr="00891B10">
                        <w:t>Cl</w:t>
                      </w:r>
                      <w:r w:rsidRPr="002F4C8C">
                        <w:rPr>
                          <w:vertAlign w:val="subscript"/>
                        </w:rPr>
                        <w:t>2</w:t>
                      </w:r>
                      <w:r w:rsidRPr="00891B10">
                        <w:t xml:space="preserve">, </w:t>
                      </w:r>
                      <w:proofErr w:type="spellStart"/>
                      <w:r w:rsidRPr="00891B10">
                        <w:t>Py</w:t>
                      </w:r>
                      <w:proofErr w:type="spellEnd"/>
                      <w:r w:rsidRPr="00891B10">
                        <w:t>, Tf</w:t>
                      </w:r>
                      <w:r w:rsidRPr="002F4C8C">
                        <w:rPr>
                          <w:vertAlign w:val="subscript"/>
                        </w:rPr>
                        <w:t>2</w:t>
                      </w:r>
                      <w:r w:rsidRPr="00891B10">
                        <w:t xml:space="preserve">O, (b) </w:t>
                      </w:r>
                      <w:proofErr w:type="spellStart"/>
                      <w:r w:rsidRPr="00891B10">
                        <w:t>ArB</w:t>
                      </w:r>
                      <w:proofErr w:type="spellEnd"/>
                      <w:r w:rsidRPr="00891B10">
                        <w:t>(OH)</w:t>
                      </w:r>
                      <w:r w:rsidRPr="002F4C8C">
                        <w:rPr>
                          <w:vertAlign w:val="subscript"/>
                        </w:rPr>
                        <w:t>2</w:t>
                      </w:r>
                      <w:r w:rsidRPr="00891B10">
                        <w:t>, K</w:t>
                      </w:r>
                      <w:r w:rsidRPr="002F4C8C">
                        <w:rPr>
                          <w:vertAlign w:val="subscript"/>
                        </w:rPr>
                        <w:t>2</w:t>
                      </w:r>
                      <w:r w:rsidRPr="00891B10">
                        <w:t>CO</w:t>
                      </w:r>
                      <w:r w:rsidRPr="002F4C8C">
                        <w:rPr>
                          <w:vertAlign w:val="subscript"/>
                        </w:rPr>
                        <w:t>3</w:t>
                      </w:r>
                      <w:r w:rsidRPr="00891B10">
                        <w:t>, DCE, Pd(PPh</w:t>
                      </w:r>
                      <w:r w:rsidRPr="002F4C8C">
                        <w:rPr>
                          <w:vertAlign w:val="subscript"/>
                        </w:rPr>
                        <w:t>3</w:t>
                      </w:r>
                      <w:r w:rsidRPr="00891B10">
                        <w:t>)</w:t>
                      </w:r>
                      <w:r w:rsidRPr="002F4C8C">
                        <w:rPr>
                          <w:vertAlign w:val="subscript"/>
                        </w:rPr>
                        <w:t>4</w:t>
                      </w:r>
                      <w:r w:rsidRPr="00891B10">
                        <w:t>, (c) LiAlH</w:t>
                      </w:r>
                      <w:r w:rsidRPr="002F4C8C">
                        <w:rPr>
                          <w:vertAlign w:val="subscript"/>
                        </w:rPr>
                        <w:t>4</w:t>
                      </w:r>
                      <w:r w:rsidRPr="00891B10">
                        <w:t>, Et</w:t>
                      </w:r>
                      <w:r w:rsidRPr="002F4C8C">
                        <w:rPr>
                          <w:vertAlign w:val="subscript"/>
                        </w:rPr>
                        <w:t>2</w:t>
                      </w:r>
                      <w:r w:rsidRPr="00891B10">
                        <w:t>O, AlCl</w:t>
                      </w:r>
                      <w:r w:rsidRPr="002F4C8C">
                        <w:rPr>
                          <w:vertAlign w:val="subscript"/>
                        </w:rPr>
                        <w:t>3</w:t>
                      </w:r>
                      <w:r w:rsidRPr="00891B10">
                        <w:t>. Full procedures are detailed in the Supporting Information</w:t>
                      </w:r>
                    </w:p>
                  </w:txbxContent>
                </v:textbox>
                <w10:wrap type="square" anchorx="margin"/>
              </v:shape>
            </w:pict>
          </mc:Fallback>
        </mc:AlternateContent>
      </w:r>
      <w:r w:rsidR="00AB5852">
        <w:rPr>
          <w:lang w:eastAsia="en-GB"/>
        </w:rPr>
        <w:t xml:space="preserve">found to inhibit the </w:t>
      </w:r>
      <w:r w:rsidR="00DF3FC3">
        <w:rPr>
          <w:lang w:eastAsia="en-GB"/>
        </w:rPr>
        <w:t>interaction between CK2α and CK2β</w:t>
      </w:r>
      <w:r w:rsidR="00AB5852">
        <w:rPr>
          <w:lang w:eastAsia="en-GB"/>
        </w:rPr>
        <w:t>.</w:t>
      </w:r>
      <w:r w:rsidR="00AB5852">
        <w:rPr>
          <w:lang w:eastAsia="en-GB"/>
        </w:rPr>
        <w:fldChar w:fldCharType="begin" w:fldLock="1"/>
      </w:r>
      <w:r w:rsidR="00B06106">
        <w:rPr>
          <w:lang w:eastAsia="en-GB"/>
        </w:rPr>
        <w:instrText>ADDIN CSL_CITATION { "citationItems" : [ { "id" : "ITEM-1", "itemData" : { "DOI" : "10.1039/C5CP06276D", "ISSN" : "1463-9076", "abstract" : "&lt;p&gt;The structural mechanisms of cyclic peptide inhibitors disrupting CK2\u03b1/CK2\u03b2 interaction have been deeply studied by means of comparative molecular dynamics simulation methods.&lt;/p&gt;", "author" : [ { "dropping-particle" : "", "family" : "Zhou", "given" : "Yue", "non-dropping-particle" : "", "parse-names" : false, "suffix" : "" }, { "dropping-particle" : "", "family" : "Zhang", "given" : "Na", "non-dropping-particle" : "", "parse-names" : false, "suffix" : "" }, { "dropping-particle" : "", "family" : "Chen", "given" : "Wenjuan", "non-dropping-particle" : "", "parse-names" : false, "suffix" : "" }, { "dropping-particle" : "", "family" : "Zhao", "given" : "Lijiao", "non-dropping-particle" : "", "parse-names" : false, "suffix" : "" }, { "dropping-particle" : "", "family" : "Zhong", "given" : "Rugang", "non-dropping-particle" : "", "parse-names" : false, "suffix" : "" } ], "container-title" : "Physical Chemistry Chemical Physics", "id" : "ITEM-1", "issue" : "13", "issued" : { "date-parts" : [ [ "2016", "3", "23" ] ] }, "page" : "9202-9210", "publisher" : "Royal Society of Chemistry", "title" : "Underlying mechanisms of cyclic peptide inhibitors interrupting the interaction of CK2\u03b1/CK2\u03b2: comparative molecular dynamics simulation studies", "type" : "article-journal", "volume" : "18" }, "uris" : [ "http://www.mendeley.com/documents/?uuid=69b0087b-5a85-34aa-bdec-7eaf27bdfc91" ] } ], "mendeley" : { "formattedCitation" : "&lt;sup&gt;19&lt;/sup&gt;", "plainTextFormattedCitation" : "19", "previouslyFormattedCitation" : "&lt;sup&gt;19&lt;/sup&gt;" }, "properties" : {  }, "schema" : "https://github.com/citation-style-language/schema/raw/master/csl-citation.json" }</w:instrText>
      </w:r>
      <w:r w:rsidR="00AB5852">
        <w:rPr>
          <w:lang w:eastAsia="en-GB"/>
        </w:rPr>
        <w:fldChar w:fldCharType="separate"/>
      </w:r>
      <w:r w:rsidR="00B06106" w:rsidRPr="00B06106">
        <w:rPr>
          <w:noProof/>
          <w:vertAlign w:val="superscript"/>
          <w:lang w:eastAsia="en-GB"/>
        </w:rPr>
        <w:t>19</w:t>
      </w:r>
      <w:r w:rsidR="00AB5852">
        <w:rPr>
          <w:lang w:eastAsia="en-GB"/>
        </w:rPr>
        <w:fldChar w:fldCharType="end"/>
      </w:r>
    </w:p>
    <w:p w14:paraId="3838754B" w14:textId="739A16F8" w:rsidR="00AB5852" w:rsidRDefault="00AB5852" w:rsidP="00AB5852">
      <w:pPr>
        <w:pStyle w:val="ElsHeading2"/>
        <w:rPr>
          <w:lang w:eastAsia="en-GB"/>
        </w:rPr>
      </w:pPr>
      <w:r>
        <w:rPr>
          <w:lang w:eastAsia="en-GB"/>
        </w:rPr>
        <w:t>Ideal chemical fragment</w:t>
      </w:r>
    </w:p>
    <w:p w14:paraId="173B25E3" w14:textId="284B1903" w:rsidR="00987FE8" w:rsidRDefault="006A1385" w:rsidP="00AB5852">
      <w:pPr>
        <w:pStyle w:val="ElsParagraph"/>
        <w:rPr>
          <w:lang w:eastAsia="en-GB"/>
        </w:rPr>
      </w:pPr>
      <w:r>
        <w:rPr>
          <w:noProof/>
        </w:rPr>
        <mc:AlternateContent>
          <mc:Choice Requires="wps">
            <w:drawing>
              <wp:anchor distT="45720" distB="45720" distL="114300" distR="114300" simplePos="0" relativeHeight="251696128" behindDoc="0" locked="0" layoutInCell="1" allowOverlap="1" wp14:anchorId="194DE3BE" wp14:editId="4421E851">
                <wp:simplePos x="0" y="0"/>
                <wp:positionH relativeFrom="margin">
                  <wp:posOffset>3402965</wp:posOffset>
                </wp:positionH>
                <wp:positionV relativeFrom="paragraph">
                  <wp:posOffset>584200</wp:posOffset>
                </wp:positionV>
                <wp:extent cx="3152775" cy="441960"/>
                <wp:effectExtent l="0" t="0" r="9525" b="0"/>
                <wp:wrapSquare wrapText="bothSides"/>
                <wp:docPr id="4"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152775" cy="441960"/>
                        </a:xfrm>
                        <a:prstGeom prst="rect">
                          <a:avLst/>
                        </a:prstGeom>
                        <a:solidFill>
                          <a:srgbClr val="FFFFFF"/>
                        </a:solidFill>
                        <a:ln w="9525">
                          <a:noFill/>
                          <a:miter lim="800000"/>
                          <a:headEnd/>
                          <a:tailEnd/>
                        </a:ln>
                      </wps:spPr>
                      <wps:txbx>
                        <w:txbxContent>
                          <w:p w14:paraId="5D24A0A6" w14:textId="11166730" w:rsidR="00D27132" w:rsidRDefault="00D27132" w:rsidP="00C176A4">
                            <w:pPr>
                              <w:pStyle w:val="ElsFigureCaption"/>
                            </w:pPr>
                            <w:r w:rsidRPr="007448FA">
                              <w:rPr>
                                <w:b/>
                              </w:rPr>
                              <w:t xml:space="preserve">Scheme </w:t>
                            </w:r>
                            <w:r>
                              <w:rPr>
                                <w:b/>
                              </w:rPr>
                              <w:t>2</w:t>
                            </w:r>
                            <w:r>
                              <w:t xml:space="preserve"> (a) Indole-4-boronic acid, K</w:t>
                            </w:r>
                            <w:r>
                              <w:rPr>
                                <w:vertAlign w:val="subscript"/>
                              </w:rPr>
                              <w:t>3</w:t>
                            </w:r>
                            <w:r>
                              <w:t>PO</w:t>
                            </w:r>
                            <w:r>
                              <w:rPr>
                                <w:vertAlign w:val="subscript"/>
                              </w:rPr>
                              <w:t>4</w:t>
                            </w:r>
                            <w:r>
                              <w:t>, PCy</w:t>
                            </w:r>
                            <w:r>
                              <w:rPr>
                                <w:vertAlign w:val="subscript"/>
                              </w:rPr>
                              <w:t>3</w:t>
                            </w:r>
                            <w:r>
                              <w:t>, Pd</w:t>
                            </w:r>
                            <w:r>
                              <w:rPr>
                                <w:vertAlign w:val="subscript"/>
                              </w:rPr>
                              <w:t>2</w:t>
                            </w:r>
                            <w:r>
                              <w:t>(dba)</w:t>
                            </w:r>
                            <w:r>
                              <w:rPr>
                                <w:vertAlign w:val="subscript"/>
                              </w:rPr>
                              <w:t>3</w:t>
                            </w:r>
                            <w:r>
                              <w:t>, 1,4-dioxane, (b) LiAlH</w:t>
                            </w:r>
                            <w:r>
                              <w:rPr>
                                <w:vertAlign w:val="subscript"/>
                              </w:rPr>
                              <w:t>4</w:t>
                            </w:r>
                            <w:r>
                              <w:t>, AlCl</w:t>
                            </w:r>
                            <w:r>
                              <w:rPr>
                                <w:vertAlign w:val="subscript"/>
                              </w:rPr>
                              <w:t>3</w:t>
                            </w:r>
                            <w:r>
                              <w:t>, Et</w:t>
                            </w:r>
                            <w:r>
                              <w:rPr>
                                <w:vertAlign w:val="subscript"/>
                              </w:rPr>
                              <w:t>2</w:t>
                            </w:r>
                            <w:r>
                              <w:t>O</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194DE3BE" id="Text Box 4" o:spid="_x0000_s1031" type="#_x0000_t202" style="position:absolute;left:0;text-align:left;margin-left:267.95pt;margin-top:46pt;width:248.25pt;height:34.8pt;z-index:251696128;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" stroked="f">
                <v:textbox>
                  <w:txbxContent>
                    <w:p w14:paraId="5D24A0A6" w14:textId="11166730" w:rsidR="00D27132" w:rsidRDefault="00D27132" w:rsidP="00C176A4">
                      <w:pPr>
                        <w:pStyle w:val="ElsFigureCaption"/>
                      </w:pPr>
                      <w:r w:rsidRPr="007448FA">
                        <w:rPr>
                          <w:b/>
                        </w:rPr>
                        <w:t xml:space="preserve">Scheme </w:t>
                      </w:r>
                      <w:r>
                        <w:rPr>
                          <w:b/>
                        </w:rPr>
                        <w:t>2</w:t>
                      </w:r>
                      <w:r>
                        <w:t xml:space="preserve"> (a) Indole-4-boronic acid, K</w:t>
                      </w:r>
                      <w:r>
                        <w:rPr>
                          <w:vertAlign w:val="subscript"/>
                        </w:rPr>
                        <w:t>3</w:t>
                      </w:r>
                      <w:r>
                        <w:t>PO</w:t>
                      </w:r>
                      <w:r>
                        <w:rPr>
                          <w:vertAlign w:val="subscript"/>
                        </w:rPr>
                        <w:t>4</w:t>
                      </w:r>
                      <w:r>
                        <w:t>, PCy</w:t>
                      </w:r>
                      <w:r>
                        <w:rPr>
                          <w:vertAlign w:val="subscript"/>
                        </w:rPr>
                        <w:t>3</w:t>
                      </w:r>
                      <w:r>
                        <w:t>, Pd</w:t>
                      </w:r>
                      <w:r>
                        <w:rPr>
                          <w:vertAlign w:val="subscript"/>
                        </w:rPr>
                        <w:t>2</w:t>
                      </w:r>
                      <w:r>
                        <w:t>(dba)</w:t>
                      </w:r>
                      <w:r>
                        <w:rPr>
                          <w:vertAlign w:val="subscript"/>
                        </w:rPr>
                        <w:t>3</w:t>
                      </w:r>
                      <w:r>
                        <w:t>, 1,4-dioxane, (b) LiAlH</w:t>
                      </w:r>
                      <w:r>
                        <w:rPr>
                          <w:vertAlign w:val="subscript"/>
                        </w:rPr>
                        <w:t>4</w:t>
                      </w:r>
                      <w:r>
                        <w:t>, AlCl</w:t>
                      </w:r>
                      <w:r>
                        <w:rPr>
                          <w:vertAlign w:val="subscript"/>
                        </w:rPr>
                        <w:t>3</w:t>
                      </w:r>
                      <w:r>
                        <w:t>, Et</w:t>
                      </w:r>
                      <w:r>
                        <w:rPr>
                          <w:vertAlign w:val="subscript"/>
                        </w:rPr>
                        <w:t>2</w:t>
                      </w:r>
                      <w:r>
                        <w:t>O</w:t>
                      </w:r>
                    </w:p>
                  </w:txbxContent>
                </v:textbox>
                <w10:wrap type="square" anchorx="margin"/>
              </v:shape>
            </w:pict>
          </mc:Fallback>
        </mc:AlternateContent>
      </w:r>
      <w:r w:rsidR="00702BA6">
        <w:rPr>
          <w:lang w:eastAsia="en-GB"/>
        </w:rPr>
        <w:t xml:space="preserve"> </w:t>
      </w:r>
      <w:r w:rsidR="000F5DE2">
        <w:rPr>
          <w:lang w:eastAsia="en-GB"/>
        </w:rPr>
        <w:t>The fragment</w:t>
      </w:r>
      <w:r w:rsidR="0044269F">
        <w:rPr>
          <w:lang w:eastAsia="en-GB"/>
        </w:rPr>
        <w:t xml:space="preserve">-based approach to drug discovery </w:t>
      </w:r>
      <w:proofErr w:type="spellStart"/>
      <w:r w:rsidR="0044269F">
        <w:rPr>
          <w:lang w:eastAsia="en-GB"/>
        </w:rPr>
        <w:t>utili</w:t>
      </w:r>
      <w:r w:rsidR="002A3174">
        <w:rPr>
          <w:lang w:eastAsia="en-GB"/>
        </w:rPr>
        <w:t>s</w:t>
      </w:r>
      <w:r w:rsidR="0044269F">
        <w:rPr>
          <w:lang w:eastAsia="en-GB"/>
        </w:rPr>
        <w:t>es</w:t>
      </w:r>
      <w:proofErr w:type="spellEnd"/>
      <w:r w:rsidR="0044269F">
        <w:rPr>
          <w:lang w:eastAsia="en-GB"/>
        </w:rPr>
        <w:t xml:space="preserve"> small </w:t>
      </w:r>
      <w:r w:rsidR="00015A7F">
        <w:rPr>
          <w:lang w:eastAsia="en-GB"/>
        </w:rPr>
        <w:t>compounds (molecular weight ≤ 300 gmol</w:t>
      </w:r>
      <w:r w:rsidR="00015A7F">
        <w:rPr>
          <w:vertAlign w:val="superscript"/>
          <w:lang w:eastAsia="en-GB"/>
        </w:rPr>
        <w:t>-1</w:t>
      </w:r>
      <w:r w:rsidR="00015A7F">
        <w:rPr>
          <w:lang w:eastAsia="en-GB"/>
        </w:rPr>
        <w:t>)</w:t>
      </w:r>
      <w:r w:rsidR="00CB1434">
        <w:rPr>
          <w:lang w:eastAsia="en-GB"/>
        </w:rPr>
        <w:t xml:space="preserve"> to identify starting points against </w:t>
      </w:r>
      <w:r w:rsidR="00015A7F">
        <w:rPr>
          <w:lang w:eastAsia="en-GB"/>
        </w:rPr>
        <w:t>any</w:t>
      </w:r>
      <w:r w:rsidR="00CB1434">
        <w:rPr>
          <w:lang w:eastAsia="en-GB"/>
        </w:rPr>
        <w:t xml:space="preserve"> target of interest</w:t>
      </w:r>
      <w:r w:rsidR="0044269F">
        <w:rPr>
          <w:lang w:eastAsia="en-GB"/>
        </w:rPr>
        <w:t>.</w:t>
      </w:r>
      <w:r w:rsidR="00482B89">
        <w:rPr>
          <w:lang w:eastAsia="en-GB"/>
        </w:rPr>
        <w:fldChar w:fldCharType="begin" w:fldLock="1"/>
      </w:r>
      <w:r w:rsidR="00B06106">
        <w:rPr>
          <w:lang w:eastAsia="en-GB"/>
        </w:rPr>
        <w:instrText>ADDIN CSL_CITATION { "citationItems" : [ { "id" : "ITEM-1", "itemData" : { "DOI" : "10.1021/acs.jmedchem.6b01123", "ISSN" : "0022-2623", "abstract" : "Fragment-based drug discovery (FBDD) is now well-established as a technology for generating new chemical leads and drugs. This Miniperspective provides a tabulated overview of the fragment-to-lead literature published in the year 2015, together with a commentary on trends observed across the FBDD field during this time. It is hoped that this tabulated summary will provide a useful point of reference for both FBDD practitioners and the wider medicinal chemistry community.", "author" : [ { "dropping-particle" : "", "family" : "Johnson", "given" : "Christopher N.", "non-dropping-particle" : "", "parse-names" : false, "suffix" : "" }, { "dropping-particle" : "", "family" : "Erlanson", "given" : "Daniel A.", "non-dropping-particle" : "", "parse-names" : false, "suffix" : "" }, { "dropping-particle" : "", "family" : "Murray", "given" : "Christopher W.", "non-dropping-particle" : "", "parse-names" : false, "suffix" : "" }, { "dropping-particle" : "", "family" : "Rees", "given" : "David C.", "non-dropping-particle" : "", "parse-names" : false, "suffix" : "" } ], "container-title" : "Journal of Medicinal Chemistry", "id" : "ITEM-1", "issue" : "1", "issued" : { "date-parts" : [ [ "2017", "1", "12" ] ] }, "page" : "89-99", "publisher" : "American Chemical Society", "title" : "Fragment-to-Lead Medicinal Chemistry Publications in 2015", "type" : "article-journal", "volume" : "60" }, "uris" : [ "http://www.mendeley.com/documents/?uuid=b6f79bd8-8144-389c-8cab-ed971ae79e5a" ] } ], "mendeley" : { "formattedCitation" : "&lt;sup&gt;20&lt;/sup&gt;", "plainTextFormattedCitation" : "20", "previouslyFormattedCitation" : "&lt;sup&gt;20&lt;/sup&gt;" }, "properties" : {  }, "schema" : "https://github.com/citation-style-language/schema/raw/master/csl-citation.json" }</w:instrText>
      </w:r>
      <w:r w:rsidR="00482B89">
        <w:rPr>
          <w:lang w:eastAsia="en-GB"/>
        </w:rPr>
        <w:fldChar w:fldCharType="separate"/>
      </w:r>
      <w:r w:rsidR="00B06106" w:rsidRPr="00B06106">
        <w:rPr>
          <w:noProof/>
          <w:vertAlign w:val="superscript"/>
          <w:lang w:eastAsia="en-GB"/>
        </w:rPr>
        <w:t>20</w:t>
      </w:r>
      <w:r w:rsidR="00482B89">
        <w:rPr>
          <w:lang w:eastAsia="en-GB"/>
        </w:rPr>
        <w:fldChar w:fldCharType="end"/>
      </w:r>
      <w:r w:rsidR="0044269F">
        <w:rPr>
          <w:lang w:eastAsia="en-GB"/>
        </w:rPr>
        <w:t xml:space="preserve"> Although </w:t>
      </w:r>
      <w:r w:rsidR="00015A7F">
        <w:rPr>
          <w:lang w:eastAsia="en-GB"/>
        </w:rPr>
        <w:t>fragments</w:t>
      </w:r>
      <w:r w:rsidR="0044269F">
        <w:rPr>
          <w:lang w:eastAsia="en-GB"/>
        </w:rPr>
        <w:t xml:space="preserve"> may bind with weak affinity </w:t>
      </w:r>
      <w:r w:rsidR="00015A7F">
        <w:rPr>
          <w:lang w:eastAsia="en-GB"/>
        </w:rPr>
        <w:t>they</w:t>
      </w:r>
      <w:r w:rsidR="00987FE8">
        <w:rPr>
          <w:lang w:eastAsia="en-GB"/>
        </w:rPr>
        <w:t xml:space="preserve"> tend to have high intrinsic binding energy</w:t>
      </w:r>
      <w:r w:rsidR="00015A7F">
        <w:rPr>
          <w:lang w:eastAsia="en-GB"/>
        </w:rPr>
        <w:t>,</w:t>
      </w:r>
      <w:r w:rsidR="00987FE8">
        <w:rPr>
          <w:lang w:eastAsia="en-GB"/>
        </w:rPr>
        <w:t xml:space="preserve"> </w:t>
      </w:r>
      <w:r w:rsidR="00015A7F">
        <w:rPr>
          <w:lang w:eastAsia="en-GB"/>
        </w:rPr>
        <w:t>high</w:t>
      </w:r>
      <w:r w:rsidR="00987FE8">
        <w:rPr>
          <w:lang w:eastAsia="en-GB"/>
        </w:rPr>
        <w:t xml:space="preserve"> ligand efficiency</w:t>
      </w:r>
      <w:r w:rsidR="00015A7F">
        <w:rPr>
          <w:lang w:eastAsia="en-GB"/>
        </w:rPr>
        <w:t>, and readily optimizable physiochemical properties</w:t>
      </w:r>
      <w:r w:rsidR="00987FE8">
        <w:rPr>
          <w:lang w:eastAsia="en-GB"/>
        </w:rPr>
        <w:t xml:space="preserve">. These fragments </w:t>
      </w:r>
      <w:r w:rsidR="00015A7F">
        <w:rPr>
          <w:lang w:eastAsia="en-GB"/>
        </w:rPr>
        <w:t>can</w:t>
      </w:r>
      <w:r w:rsidR="00987FE8">
        <w:rPr>
          <w:lang w:eastAsia="en-GB"/>
        </w:rPr>
        <w:t xml:space="preserve"> then</w:t>
      </w:r>
      <w:r w:rsidR="00015A7F">
        <w:rPr>
          <w:lang w:eastAsia="en-GB"/>
        </w:rPr>
        <w:t xml:space="preserve"> be</w:t>
      </w:r>
      <w:r w:rsidR="00987FE8">
        <w:rPr>
          <w:lang w:eastAsia="en-GB"/>
        </w:rPr>
        <w:t xml:space="preserve"> </w:t>
      </w:r>
      <w:r w:rsidR="00015A7F">
        <w:rPr>
          <w:lang w:eastAsia="en-GB"/>
        </w:rPr>
        <w:t>expanded</w:t>
      </w:r>
      <w:r w:rsidR="00987FE8">
        <w:rPr>
          <w:lang w:eastAsia="en-GB"/>
        </w:rPr>
        <w:t xml:space="preserve"> to </w:t>
      </w:r>
      <w:r w:rsidR="00015A7F">
        <w:rPr>
          <w:lang w:eastAsia="en-GB"/>
        </w:rPr>
        <w:t>increase the potency whist maintaining the compound’s drug-like properties</w:t>
      </w:r>
      <w:r w:rsidR="00987FE8">
        <w:rPr>
          <w:lang w:eastAsia="en-GB"/>
        </w:rPr>
        <w:t>.</w:t>
      </w:r>
      <w:r w:rsidR="00987FE8">
        <w:rPr>
          <w:lang w:eastAsia="en-GB"/>
        </w:rPr>
        <w:fldChar w:fldCharType="begin" w:fldLock="1"/>
      </w:r>
      <w:r w:rsidR="00B06106">
        <w:rPr>
          <w:lang w:eastAsia="en-GB"/>
        </w:rPr>
        <w:instrText>ADDIN CSL_CITATION { "citationItems" : [ { "id" : "ITEM-1", "itemData" : { "DOI" : "10.1016/J.COPBIO.2007.09.003", "ISSN" : "0958-1669", "abstract" : "Fragment-based approaches have provided a new paradigm for small-molecule drug discovery. The methodology is complementary to high-throughput screening approaches, starting from fragments of low molecular complexity and high ligand efficiency, and building up to more potent inhibitors. The approach, which depends heavily on a number of biophysical techniques, is now being taken up by more groups in both industry and academia. This article describes key aspects of the process and highlights recent developments and applications.", "author" : [ { "dropping-particle" : "", "family" : "Ciulli", "given" : "Alessio", "non-dropping-particle" : "", "parse-names" : false, "suffix" : "" }, { "dropping-particle" : "", "family" : "Abell", "given" : "Chris", "non-dropping-particle" : "", "parse-names" : false, "suffix" : "" } ], "container-title" : "Current Opinion in Biotechnology", "id" : "ITEM-1", "issue" : "6", "issued" : { "date-parts" : [ [ "2007", "12", "1" ] ] }, "page" : "489-496", "publisher" : "Elsevier Current Trends", "title" : "Fragment-based approaches to enzyme inhibition", "type" : "article-journal", "volume" : "18" }, "uris" : [ "http://www.mendeley.com/documents/?uuid=830ee7af-69f5-39f7-8576-4061e58840ed" ] } ], "mendeley" : { "formattedCitation" : "&lt;sup&gt;21&lt;/sup&gt;", "plainTextFormattedCitation" : "21", "previouslyFormattedCitation" : "&lt;sup&gt;21&lt;/sup&gt;" }, "properties" : {  }, "schema" : "https://github.com/citation-style-language/schema/raw/master/csl-citation.json" }</w:instrText>
      </w:r>
      <w:r w:rsidR="00987FE8">
        <w:rPr>
          <w:lang w:eastAsia="en-GB"/>
        </w:rPr>
        <w:fldChar w:fldCharType="separate"/>
      </w:r>
      <w:r w:rsidR="00B06106" w:rsidRPr="00B06106">
        <w:rPr>
          <w:noProof/>
          <w:vertAlign w:val="superscript"/>
          <w:lang w:eastAsia="en-GB"/>
        </w:rPr>
        <w:t>21</w:t>
      </w:r>
      <w:r w:rsidR="00987FE8">
        <w:rPr>
          <w:lang w:eastAsia="en-GB"/>
        </w:rPr>
        <w:fldChar w:fldCharType="end"/>
      </w:r>
    </w:p>
    <w:p w14:paraId="664578F0" w14:textId="397B46D5" w:rsidR="00197CCD" w:rsidRDefault="00987FE8" w:rsidP="00127E01">
      <w:pPr>
        <w:pStyle w:val="ElsParagraph"/>
        <w:rPr>
          <w:lang w:eastAsia="en-GB"/>
        </w:rPr>
      </w:pPr>
      <w:r>
        <w:rPr>
          <w:lang w:eastAsia="en-GB"/>
        </w:rPr>
        <w:t>Due to the usefulness of fragments as a tool for drug discovery</w:t>
      </w:r>
      <w:r w:rsidR="0058412F">
        <w:rPr>
          <w:lang w:eastAsia="en-GB"/>
        </w:rPr>
        <w:t>,</w:t>
      </w:r>
      <w:r>
        <w:rPr>
          <w:lang w:eastAsia="en-GB"/>
        </w:rPr>
        <w:t xml:space="preserve"> work has been done</w:t>
      </w:r>
      <w:r w:rsidR="006E5F96">
        <w:rPr>
          <w:lang w:eastAsia="en-GB"/>
        </w:rPr>
        <w:t xml:space="preserve"> to</w:t>
      </w:r>
      <w:r>
        <w:rPr>
          <w:lang w:eastAsia="en-GB"/>
        </w:rPr>
        <w:t xml:space="preserve"> explore the idea of the ideal chemical fragment.</w:t>
      </w:r>
      <w:r w:rsidR="001872D0">
        <w:rPr>
          <w:lang w:eastAsia="en-GB"/>
        </w:rPr>
        <w:t xml:space="preserve"> Studies have suggested that a ‘Rule of Three’</w:t>
      </w:r>
      <w:r w:rsidR="007416FA">
        <w:rPr>
          <w:lang w:eastAsia="en-GB"/>
        </w:rPr>
        <w:fldChar w:fldCharType="begin" w:fldLock="1"/>
      </w:r>
      <w:r w:rsidR="00B06106">
        <w:rPr>
          <w:lang w:eastAsia="en-GB"/>
        </w:rPr>
        <w:instrText>ADDIN CSL_CITATION { "citationItems" : [ { "id" : "ITEM-1", "itemData" : { "DOI" : "10.1016/S1359-6446(03)02831-9", "ISSN" : "1359-6446", "author" : [ { "dropping-particle" : "", "family" : "Congreve", "given" : "Miles", "non-dropping-particle" : "", "parse-names" : false, "suffix" : "" }, { "dropping-particle" : "", "family" : "Carr", "given" : "Robin", "non-dropping-particle" : "", "parse-names" : false, "suffix" : "" }, { "dropping-particle" : "", "family" : "Murray", "given" : "Chris", "non-dropping-particle" : "", "parse-names" : false, "suffix" : "" }, { "dropping-particle" : "", "family" : "Jhoti", "given" : "Harren", "non-dropping-particle" : "", "parse-names" : false, "suffix" : "" } ], "container-title" : "Drug Discovery Today", "id" : "ITEM-1", "issue" : "19", "issued" : { "date-parts" : [ [ "2003", "10", "1" ] ] }, "page" : "876-877", "publisher" : "Elsevier Current Trends", "title" : "A \u2018Rule of Three\u2019 for fragment-based lead discovery?", "type" : "article-journal", "volume" : "8" }, "uris" : [ "http://www.mendeley.com/documents/?uuid=4fd3b164-3c81-3bae-bcbf-3ef16e2d4d74" ] } ], "mendeley" : { "formattedCitation" : "&lt;sup&gt;22&lt;/sup&gt;", "plainTextFormattedCitation" : "22", "previouslyFormattedCitation" : "&lt;sup&gt;22&lt;/sup&gt;" }, "properties" : {  }, "schema" : "https://github.com/citation-style-language/schema/raw/master/csl-citation.json" }</w:instrText>
      </w:r>
      <w:r w:rsidR="007416FA">
        <w:rPr>
          <w:lang w:eastAsia="en-GB"/>
        </w:rPr>
        <w:fldChar w:fldCharType="separate"/>
      </w:r>
      <w:r w:rsidR="00B06106" w:rsidRPr="00B06106">
        <w:rPr>
          <w:noProof/>
          <w:vertAlign w:val="superscript"/>
          <w:lang w:eastAsia="en-GB"/>
        </w:rPr>
        <w:t>22</w:t>
      </w:r>
      <w:r w:rsidR="007416FA">
        <w:rPr>
          <w:lang w:eastAsia="en-GB"/>
        </w:rPr>
        <w:fldChar w:fldCharType="end"/>
      </w:r>
      <w:r w:rsidR="0090546F">
        <w:rPr>
          <w:lang w:eastAsia="en-GB"/>
        </w:rPr>
        <w:t xml:space="preserve"> (mirroring Lipinski’s Rule of Five</w:t>
      </w:r>
      <w:r w:rsidR="0090546F">
        <w:rPr>
          <w:lang w:eastAsia="en-GB"/>
        </w:rPr>
        <w:fldChar w:fldCharType="begin" w:fldLock="1"/>
      </w:r>
      <w:r w:rsidR="00B06106">
        <w:rPr>
          <w:lang w:eastAsia="en-GB"/>
        </w:rPr>
        <w:instrText>ADDIN CSL_CITATION { "citationItems" : [ { "id" : "ITEM-1", "itemData" : { "DOI" : "10.1016/S0169-409X(00)00129-0", "ISSN" : "0169-409X", "abstract" : "Experimental and computational approaches to estimate solubility and permeability in discovery and development settings are described. In the discovery setting `the rule of 5' predicts that poor absorption or permeation is more likely when there are more than 5 H-bond donors, 10 H-bond acceptors, the molecular weight (MWT) is greater than 500 and the calculated Log P (CLogP) is greater than 5 (or MlogP&gt;4.15). Computational methodology for the rule-based Moriguchi Log P (MLogP) calculation is described. Turbidimetric solubility measurement is described and applied to known drugs. High throughput screening (HTS) leads tend to have higher MWT and Log P and lower turbidimetric solubility than leads in the pre-HTS era. In the development setting, solubility calculations focus on exact value prediction and are difficult because of polymorphism. Recent work on linear free energy relationships and Log P approaches are critically reviewed. Useful predictions are possible in closely related analog series when coupled with experimental thermodynamic solubility measurements.", "author" : [ { "dropping-particle" : "", "family" : "Lipinski", "given" : "Christopher A", "non-dropping-particle" : "", "parse-names" : false, "suffix" : "" }, { "dropping-particle" : "", "family" : "Lombardo", "given" : "Franco", "non-dropping-particle" : "", "parse-names" : false, "suffix" : "" }, { "dropping-particle" : "", "family" : "Dominy", "given" : "Beryl W", "non-dropping-particle" : "", "parse-names" : false, "suffix" : "" }, { "dropping-particle" : "", "family" : "Feeney", "given" : "Paul J", "non-dropping-particle" : "", "parse-names" : false, "suffix" : "" } ], "container-title" : "Advanced Drug Delivery Reviews", "id" : "ITEM-1", "issue" : "1-3", "issued" : { "date-parts" : [ [ "2001", "3", "1" ] ] }, "page" : "3-26", "publisher" : "Elsevier", "title" : "Experimental and computational approaches to estimate solubility and permeability in drug discovery and development settings", "type" : "article-journal", "volume" : "46" }, "uris" : [ "http://www.mendeley.com/documents/?uuid=68f3077a-012b-3e9a-806e-60799cbc3139" ] } ], "mendeley" : { "formattedCitation" : "&lt;sup&gt;23&lt;/sup&gt;", "plainTextFormattedCitation" : "23", "previouslyFormattedCitation" : "&lt;sup&gt;23&lt;/sup&gt;" }, "properties" : {  }, "schema" : "https://github.com/citation-style-language/schema/raw/master/csl-citation.json" }</w:instrText>
      </w:r>
      <w:r w:rsidR="0090546F">
        <w:rPr>
          <w:lang w:eastAsia="en-GB"/>
        </w:rPr>
        <w:fldChar w:fldCharType="separate"/>
      </w:r>
      <w:r w:rsidR="00B06106" w:rsidRPr="00B06106">
        <w:rPr>
          <w:noProof/>
          <w:vertAlign w:val="superscript"/>
          <w:lang w:eastAsia="en-GB"/>
        </w:rPr>
        <w:t>23</w:t>
      </w:r>
      <w:r w:rsidR="0090546F">
        <w:rPr>
          <w:lang w:eastAsia="en-GB"/>
        </w:rPr>
        <w:fldChar w:fldCharType="end"/>
      </w:r>
      <w:r w:rsidR="0090546F">
        <w:rPr>
          <w:lang w:eastAsia="en-GB"/>
        </w:rPr>
        <w:t xml:space="preserve">) is a useful method for measuring how ‘fragment-like’ molecules are. </w:t>
      </w:r>
    </w:p>
    <w:p w14:paraId="7A31C677" w14:textId="2DE5E4DB" w:rsidR="00197CCD" w:rsidRPr="003B38A0" w:rsidRDefault="00744ED2" w:rsidP="009C7571">
      <w:pPr>
        <w:pStyle w:val="ElsParagraph"/>
        <w:rPr>
          <w:lang w:eastAsia="en-GB"/>
        </w:rPr>
      </w:pPr>
      <w:r>
        <w:rPr>
          <w:lang w:eastAsia="en-GB"/>
        </w:rPr>
        <w:t>Herein</w:t>
      </w:r>
      <w:r w:rsidR="00C66AF1">
        <w:rPr>
          <w:lang w:eastAsia="en-GB"/>
        </w:rPr>
        <w:t>,</w:t>
      </w:r>
      <w:r>
        <w:rPr>
          <w:lang w:eastAsia="en-GB"/>
        </w:rPr>
        <w:t xml:space="preserve"> we report the discovery of a novel fragment which binds to the CK2α/CK2β interface pocket.</w:t>
      </w:r>
      <w:r w:rsidR="00472333">
        <w:rPr>
          <w:lang w:eastAsia="en-GB"/>
        </w:rPr>
        <w:t xml:space="preserve"> This </w:t>
      </w:r>
      <w:r w:rsidR="0080516F">
        <w:rPr>
          <w:lang w:eastAsia="en-GB"/>
        </w:rPr>
        <w:t xml:space="preserve">lead fragment could be modified to give new CK2 inhibitors </w:t>
      </w:r>
      <w:r w:rsidR="002852E7">
        <w:rPr>
          <w:lang w:eastAsia="en-GB"/>
        </w:rPr>
        <w:t>that</w:t>
      </w:r>
      <w:r w:rsidR="0080516F">
        <w:rPr>
          <w:lang w:eastAsia="en-GB"/>
        </w:rPr>
        <w:t xml:space="preserve"> show limited off-target activity.</w:t>
      </w:r>
    </w:p>
    <w:p w14:paraId="1A72BF5F" w14:textId="70C11785" w:rsidR="005723F2" w:rsidRDefault="005723F2">
      <w:pPr>
        <w:pStyle w:val="ElsHeading1"/>
      </w:pPr>
      <w:r>
        <w:t>Material and methods</w:t>
      </w:r>
    </w:p>
    <w:p w14:paraId="67D3291C" w14:textId="538977FC" w:rsidR="005723F2" w:rsidRDefault="005723F2" w:rsidP="005723F2">
      <w:pPr>
        <w:pStyle w:val="ElsHeading2"/>
      </w:pPr>
      <w:r>
        <w:t>Chemistry</w:t>
      </w:r>
    </w:p>
    <w:p w14:paraId="2F5A6DB8" w14:textId="46C59A95" w:rsidR="005723F2" w:rsidRDefault="005723F2" w:rsidP="005723F2">
      <w:pPr>
        <w:pStyle w:val="ElsHeading3"/>
      </w:pPr>
      <w:r>
        <w:t>Experimental Procedures</w:t>
      </w:r>
    </w:p>
    <w:p w14:paraId="1965D8A1" w14:textId="05069847" w:rsidR="00994E1C" w:rsidRPr="00267426" w:rsidRDefault="00CC6DC4" w:rsidP="00994E1C">
      <w:pPr>
        <w:pStyle w:val="ElsParagraph"/>
      </w:pPr>
      <w:r>
        <w:t xml:space="preserve">Compounds </w:t>
      </w:r>
      <w:r w:rsidR="00D248FC">
        <w:rPr>
          <w:b/>
        </w:rPr>
        <w:t>2</w:t>
      </w:r>
      <w:r w:rsidR="00F56F2D">
        <w:rPr>
          <w:b/>
        </w:rPr>
        <w:t xml:space="preserve">, </w:t>
      </w:r>
      <w:r w:rsidR="00D248FC">
        <w:rPr>
          <w:b/>
        </w:rPr>
        <w:t>4</w:t>
      </w:r>
      <w:r w:rsidR="00F56F2D">
        <w:rPr>
          <w:b/>
        </w:rPr>
        <w:t xml:space="preserve">, </w:t>
      </w:r>
      <w:r w:rsidR="00F56F2D" w:rsidRPr="00F56F2D">
        <w:t>and</w:t>
      </w:r>
      <w:r w:rsidR="00F56F2D">
        <w:rPr>
          <w:b/>
        </w:rPr>
        <w:t xml:space="preserve"> </w:t>
      </w:r>
      <w:r w:rsidR="00D248FC">
        <w:rPr>
          <w:b/>
        </w:rPr>
        <w:t>5</w:t>
      </w:r>
      <w:r>
        <w:rPr>
          <w:b/>
        </w:rPr>
        <w:t xml:space="preserve"> </w:t>
      </w:r>
      <w:r>
        <w:t xml:space="preserve">were </w:t>
      </w:r>
      <w:proofErr w:type="spellStart"/>
      <w:r>
        <w:t>synthesised</w:t>
      </w:r>
      <w:proofErr w:type="spellEnd"/>
      <w:r>
        <w:t xml:space="preserve"> from commercially available 3-chloro-4-bromobenzonitrile. This was subjected to a Suzuki-</w:t>
      </w:r>
      <w:proofErr w:type="spellStart"/>
      <w:r>
        <w:t>Miyaura</w:t>
      </w:r>
      <w:proofErr w:type="spellEnd"/>
      <w:r>
        <w:t xml:space="preserve"> </w:t>
      </w:r>
      <w:r w:rsidR="00F56F2D">
        <w:t xml:space="preserve">cross-coupling with the relevant aryl boronic acid to produce a </w:t>
      </w:r>
      <w:proofErr w:type="spellStart"/>
      <w:r w:rsidR="00F56F2D">
        <w:t>biaryl</w:t>
      </w:r>
      <w:proofErr w:type="spellEnd"/>
      <w:r w:rsidR="00F56F2D">
        <w:t xml:space="preserve"> nitrile. This nitrile was reduced to give the final compounds. Compound </w:t>
      </w:r>
      <w:r w:rsidR="00D248FC">
        <w:rPr>
          <w:b/>
        </w:rPr>
        <w:t>3</w:t>
      </w:r>
      <w:r w:rsidR="00F56F2D">
        <w:rPr>
          <w:b/>
        </w:rPr>
        <w:t xml:space="preserve"> </w:t>
      </w:r>
      <w:r w:rsidR="00F56F2D">
        <w:t xml:space="preserve">was </w:t>
      </w:r>
      <w:proofErr w:type="spellStart"/>
      <w:r w:rsidR="00F56F2D">
        <w:t>synthesised</w:t>
      </w:r>
      <w:proofErr w:type="spellEnd"/>
      <w:r w:rsidR="00F56F2D">
        <w:t xml:space="preserve"> using a similar procedure</w:t>
      </w:r>
      <w:r w:rsidR="00E70B83">
        <w:t>;</w:t>
      </w:r>
      <w:r w:rsidR="00F56F2D">
        <w:t xml:space="preserve"> </w:t>
      </w:r>
      <w:r w:rsidR="00E70B83">
        <w:t>h</w:t>
      </w:r>
      <w:r w:rsidR="00F56F2D">
        <w:t>owever</w:t>
      </w:r>
      <w:r w:rsidR="00E70B83">
        <w:t>,</w:t>
      </w:r>
      <w:r w:rsidR="00F56F2D">
        <w:t xml:space="preserve"> starting from commercially available 3-chloro-4-hydroxybenzonitrile. This was </w:t>
      </w:r>
      <w:proofErr w:type="spellStart"/>
      <w:r w:rsidR="00F56F2D">
        <w:t>triflated</w:t>
      </w:r>
      <w:proofErr w:type="spellEnd"/>
      <w:r w:rsidR="00F56F2D">
        <w:t xml:space="preserve"> and then subjected to the above reactions as detailed in</w:t>
      </w:r>
      <w:r w:rsidR="00994E1C">
        <w:t xml:space="preserve"> </w:t>
      </w:r>
      <w:r w:rsidR="00267426">
        <w:rPr>
          <w:b/>
        </w:rPr>
        <w:t>Scheme 1</w:t>
      </w:r>
      <w:r w:rsidR="00267426">
        <w:t>.</w:t>
      </w:r>
    </w:p>
    <w:p w14:paraId="2830492C" w14:textId="39B04AFF" w:rsidR="001133D9" w:rsidRDefault="001133D9" w:rsidP="001133D9">
      <w:pPr>
        <w:pStyle w:val="ElsParagraph"/>
      </w:pPr>
      <w:r>
        <w:t xml:space="preserve">Compound </w:t>
      </w:r>
      <w:r w:rsidR="00B60B36">
        <w:rPr>
          <w:b/>
        </w:rPr>
        <w:t>7</w:t>
      </w:r>
      <w:r>
        <w:t xml:space="preserve"> was </w:t>
      </w:r>
      <w:proofErr w:type="spellStart"/>
      <w:r>
        <w:t>synthesised</w:t>
      </w:r>
      <w:proofErr w:type="spellEnd"/>
      <w:r>
        <w:t xml:space="preserve"> from commercially available 3-chloro-5-bromobenzonitrile and indole-4-boronic acid </w:t>
      </w:r>
      <w:r>
        <w:rPr>
          <w:i/>
        </w:rPr>
        <w:t>via</w:t>
      </w:r>
      <w:r>
        <w:t xml:space="preserve"> Suzuki-</w:t>
      </w:r>
      <w:proofErr w:type="spellStart"/>
      <w:r>
        <w:t>Miyaura</w:t>
      </w:r>
      <w:proofErr w:type="spellEnd"/>
      <w:r>
        <w:t xml:space="preserve"> cross-coupling followed by nitrile reduction as shown in</w:t>
      </w:r>
      <w:r w:rsidR="007448FA">
        <w:t xml:space="preserve"> </w:t>
      </w:r>
      <w:r w:rsidR="007448FA">
        <w:rPr>
          <w:b/>
        </w:rPr>
        <w:t>Scheme 2</w:t>
      </w:r>
    </w:p>
    <w:p w14:paraId="7A78CC47" w14:textId="07CB8FB2" w:rsidR="00CC28D8" w:rsidRDefault="00CC28D8" w:rsidP="00CC28D8">
      <w:pPr>
        <w:pStyle w:val="ElsHeading3"/>
      </w:pPr>
      <w:r>
        <w:t>Detailed procedures and characterization</w:t>
      </w:r>
    </w:p>
    <w:p w14:paraId="6F03D66E" w14:textId="173C5FBC" w:rsidR="00127E01" w:rsidRDefault="00CC28D8" w:rsidP="00267426">
      <w:pPr>
        <w:pStyle w:val="ElsParagraph"/>
      </w:pPr>
      <w:r>
        <w:t xml:space="preserve">Detailed procedures and </w:t>
      </w:r>
      <w:proofErr w:type="spellStart"/>
      <w:r>
        <w:t>characteri</w:t>
      </w:r>
      <w:r w:rsidR="003A63D6">
        <w:t>s</w:t>
      </w:r>
      <w:r>
        <w:t>ation</w:t>
      </w:r>
      <w:proofErr w:type="spellEnd"/>
      <w:r>
        <w:t xml:space="preserve"> of all compounds reported in this paper and their precursors can be found in the Supporting </w:t>
      </w:r>
      <w:r w:rsidR="003A63D6">
        <w:t>I</w:t>
      </w:r>
      <w:r>
        <w:t>nformation</w:t>
      </w:r>
      <w:r w:rsidR="00267426">
        <w:t>.</w:t>
      </w:r>
    </w:p>
    <w:p w14:paraId="6A972FF5" w14:textId="6046CDAD" w:rsidR="00CC28D8" w:rsidRDefault="00955FAC" w:rsidP="00127E01">
      <w:pPr>
        <w:pStyle w:val="ElsHeading2"/>
      </w:pPr>
      <w:r>
        <w:t>Biological assays</w:t>
      </w:r>
    </w:p>
    <w:p w14:paraId="286574AC" w14:textId="261CC49B" w:rsidR="00231DB8" w:rsidRPr="00F25339" w:rsidRDefault="00955FAC" w:rsidP="005A2E02">
      <w:pPr>
        <w:pStyle w:val="ElsParagraph"/>
      </w:pPr>
      <w:r>
        <w:t>Protein expression and purification, X-ray crystallography,</w:t>
      </w:r>
      <w:r w:rsidR="00AC19D4">
        <w:t xml:space="preserve"> and FP assays</w:t>
      </w:r>
      <w:r>
        <w:t xml:space="preserve"> can be found in the Supporting </w:t>
      </w:r>
      <w:r w:rsidR="003A63D6">
        <w:t>I</w:t>
      </w:r>
      <w:r>
        <w:t>nformation of</w:t>
      </w:r>
      <w:r w:rsidR="00AC19D4">
        <w:t xml:space="preserve"> this paper and</w:t>
      </w:r>
      <w:r>
        <w:t xml:space="preserve"> our recently published papers.</w:t>
      </w:r>
      <w:r>
        <w:fldChar w:fldCharType="begin" w:fldLock="1"/>
      </w:r>
      <w:r w:rsidR="00B06106">
        <w:instrText>ADDIN CSL_CITATION { "citationItems" : [ { "id" : "ITEM-1", "itemData" : { "DOI" : "10.1039/C6SC02335E", "ISSN" : "2041-6520", "abstract" : "&lt;p&gt;CAM4066, a specific CK2\u03b1 kinase inhibitor, is anchored in the cryptic \u03b1D pocket outside the active site and inserts a \u201cwarhead\u201d into the active site, blocking ATP binding and thereby inhibiting the kinase.&lt;/p&gt;", "author" : [ { "dropping-particle" : "", "family" : "Brear", "given" : "Paul", "non-dropping-particle" : "", "parse-names" : false, "suffix" : "" }, { "dropping-particle" : "", "family" : "Fusco", "given" : "Claudia", "non-dropping-particle" : "De", "parse-names" : false, "suffix" : "" }, { "dropping-particle" : "", "family" : "Hadje Georgiou", "given" : "Kathy", "non-dropping-particle" : "", "parse-names" : false, "suffix" : "" }, { "dropping-particle" : "", "family" : "Francis-Newton", "given" : "Nicola J.", "non-dropping-particle" : "", "parse-names" : false, "suffix" : "" }, { "dropping-particle" : "", "family" : "Stubbs", "given" : "Christopher J.", "non-dropping-particle" : "", "parse-names" : false, "suffix" : "" }, { "dropping-particle" : "", "family" : "Sore", "given" : "Hannah F.", "non-dropping-particle" : "", "parse-names" : false, "suffix" : "" }, { "dropping-particle" : "", "family" : "Venkitaraman", "given" : "Ashok R.", "non-dropping-particle" : "", "parse-names" : false, "suffix" : "" }, { "dropping-particle" : "", "family" : "Abell", "given" : "Chris", "non-dropping-particle" : "", "parse-names" : false, "suffix" : "" }, { "dropping-particle" : "", "family" : "Spring", "given" : "David R.", "non-dropping-particle" : "", "parse-names" : false, "suffix" : "" }, { "dropping-particle" : "", "family" : "Hyv\u00f6nen", "given" : "Marko", "non-dropping-particle" : "", "parse-names" : false, "suffix" : "" } ], "container-title" : "Chemical Science", "id" : "ITEM-1", "issue" : "11", "issued" : { "date-parts" : [ [ "2016", "10", "18" ] ] }, "page" : "6839-6845", "publisher" : "The Royal Society of Chemistry", "title" : "Specific inhibition of CK2\u03b1 from an anchor outside the active site", "type" : "article-journal", "volume" : "7" }, "uris" : [ "http://www.mendeley.com/documents/?uuid=488a47af-0158-35f3-aaaa-c868b696fd61" ] }, { "id" : "ITEM-2", "itemData" : { "DOI" : "10.1016/J.BMC.2017.04.037", "ISSN" : "0968-0896", "abstract" : "Recently we reported the discovery of a potent and selective CK2\u03b1 inhibitor CAM4066. This compound inhibits CK2 activity by exploiting a pocket located outside the ATP binding site (\u03b1D pocket). Here we describe in detail the journey that led to the discovery of CAM4066 using the challenging fragment linking strategy. Specifically, we aimed to develop inhibitors by linking a high-affinity fragment anchored in the \u03b1D site to a weakly binding warhead fragment occupying the ATP site. Moreover, we describe the remarkable impact that molecular modelling had on the development of this novel chemical tool. The work described herein shows potential for the development of a novel class of CK2 inhibitors.", "author" : [ { "dropping-particle" : "", "family" : "Fusco", "given" : "Claudia", "non-dropping-particle" : "De", "parse-names" : false, "suffix" : "" }, { "dropping-particle" : "", "family" : "Brear", "given" : "Paul", "non-dropping-particle" : "", "parse-names" : false, "suffix" : "" }, { "dropping-particle" : "", "family" : "Iegre", "given" : "Jessica", "non-dropping-particle" : "", "parse-names" : false, "suffix" : "" }, { "dropping-particle" : "", "family" : "Georgiou", "given" : "Kathy Hadje", "non-dropping-particle" : "", "parse-names" : false, "suffix" : "" }, { "dropping-particle" : "", "family" : "Sore", "given" : "Hannah F.", "non-dropping-particle" : "", "parse-names" : false, "suffix" : "" }, { "dropping-particle" : "", "family" : "Hyv\u00f6nen", "given" : "Marko", "non-dropping-particle" : "", "parse-names" : false, "suffix" : "" }, { "dropping-particle" : "", "family" : "Spring", "given" : "David R.", "non-dropping-particle" : "", "parse-names" : false, "suffix" : "" } ], "container-title" : "Bioorganic &amp; Medicinal Chemistry", "id" : "ITEM-2", "issue" : "13", "issued" : { "date-parts" : [ [ "2017", "7", "1" ] ] }, "page" : "3471-3482", "publisher" : "Pergamon", "title" : "A fragment-based approach leading to the discovery of a novel binding site and the selective CK2 inhibitor CAM4066", "type" : "article-journal", "volume" : "25" }, "uris" : [ "http://www.mendeley.com/documents/?uuid=6c6d5f8b-9ae0-3485-a01c-1aafd186f386" ] } ], "mendeley" : { "formattedCitation" : "&lt;sup&gt;14,15&lt;/sup&gt;", "plainTextFormattedCitation" : "14,15", "previouslyFormattedCitation" : "&lt;sup&gt;14,15&lt;/sup&gt;" }, "properties" : {  }, "schema" : "https://github.com/citation-style-language/schema/raw/master/csl-citation.json" }</w:instrText>
      </w:r>
      <w:r>
        <w:fldChar w:fldCharType="separate"/>
      </w:r>
      <w:r w:rsidR="00B06106" w:rsidRPr="00B06106">
        <w:rPr>
          <w:noProof/>
          <w:vertAlign w:val="superscript"/>
        </w:rPr>
        <w:t>14,15</w:t>
      </w:r>
      <w:r>
        <w:fldChar w:fldCharType="end"/>
      </w:r>
    </w:p>
    <w:p w14:paraId="49C41DD0" w14:textId="1A09E9AC" w:rsidR="00626FDB" w:rsidRDefault="00D05925">
      <w:pPr>
        <w:pStyle w:val="ElsHeading1"/>
      </w:pPr>
      <w:r>
        <w:rPr>
          <w:noProof/>
        </w:rPr>
        <w:object w:dxaOrig="1440" w:dyaOrig="1440" w14:anchorId="42017C8D">
          <v:shape id="_x0000_s1032" type="#_x0000_t75" style="position:absolute;left:0;text-align:left;margin-left:.7pt;margin-top:.3pt;width:250.3pt;height:141.4pt;z-index:251689984">
            <v:imagedata r:id="rId18" o:title=""/>
            <w10:wrap type="square"/>
          </v:shape>
          <o:OLEObject Type="Embed" ProgID="ChemDraw.Document.6.0" ShapeID="_x0000_s1032" DrawAspect="Content" ObjectID="_1587793430" r:id="rId19"/>
        </w:object>
      </w:r>
      <w:r w:rsidR="00864295">
        <w:t>Results and Discussion</w:t>
      </w:r>
    </w:p>
    <w:p w14:paraId="7015C3DE" w14:textId="2707AE6D" w:rsidR="008B6011" w:rsidRDefault="008B6011" w:rsidP="008B6011">
      <w:pPr>
        <w:pStyle w:val="ElsHeading2"/>
      </w:pPr>
      <w:r>
        <w:t>Initial hits of NMR154</w:t>
      </w:r>
    </w:p>
    <w:p w14:paraId="0D5453F1" w14:textId="30DC977E" w:rsidR="00B90344" w:rsidRPr="00D05925" w:rsidRDefault="00517F52" w:rsidP="00C965DF">
      <w:pPr>
        <w:pStyle w:val="ElsParagraph"/>
      </w:pPr>
      <w:r>
        <w:t xml:space="preserve">The </w:t>
      </w:r>
      <w:r w:rsidRPr="00D05925">
        <w:t>Abell</w:t>
      </w:r>
      <w:r w:rsidR="006F7A83" w:rsidRPr="00D05925">
        <w:t xml:space="preserve"> Research</w:t>
      </w:r>
      <w:r w:rsidRPr="00D05925">
        <w:t xml:space="preserve"> </w:t>
      </w:r>
      <w:r w:rsidR="006F7A83" w:rsidRPr="00D05925">
        <w:t>G</w:t>
      </w:r>
      <w:r w:rsidRPr="00D05925">
        <w:t>roup</w:t>
      </w:r>
      <w:r w:rsidR="006F7A83" w:rsidRPr="00D05925">
        <w:t xml:space="preserve"> (at Cambridge University)</w:t>
      </w:r>
      <w:r w:rsidRPr="00E05986">
        <w:t xml:space="preserve"> conducted initial high throughput screening of fragments from their </w:t>
      </w:r>
      <w:r w:rsidR="00AC19D4" w:rsidRPr="00E05986">
        <w:t>fragment</w:t>
      </w:r>
      <w:r w:rsidRPr="00E05986">
        <w:t xml:space="preserve"> library against CK2 using an FP</w:t>
      </w:r>
      <w:r w:rsidR="005B4041" w:rsidRPr="00E05986">
        <w:t xml:space="preserve"> </w:t>
      </w:r>
      <w:r w:rsidR="005B4041" w:rsidRPr="00D05925">
        <w:t>(fluor</w:t>
      </w:r>
      <w:r w:rsidR="00A76B3A" w:rsidRPr="00D05925">
        <w:t>escence polarization)</w:t>
      </w:r>
      <w:r w:rsidRPr="00E05986">
        <w:t xml:space="preserve"> assay. This library consisted of over 400 compounds from the Abell </w:t>
      </w:r>
      <w:r w:rsidR="006F7A83" w:rsidRPr="00D05925">
        <w:t>G</w:t>
      </w:r>
      <w:r w:rsidRPr="00D05925">
        <w:t xml:space="preserve">roup. The </w:t>
      </w:r>
      <w:r w:rsidR="004944D8" w:rsidRPr="00D05925">
        <w:t>most promising</w:t>
      </w:r>
      <w:r w:rsidR="009F5374" w:rsidRPr="00D05925">
        <w:t xml:space="preserve"> fragment</w:t>
      </w:r>
      <w:r w:rsidRPr="00D05925">
        <w:t xml:space="preserve"> from this screen was NMR154</w:t>
      </w:r>
      <w:r w:rsidR="004944D8" w:rsidRPr="00D05925">
        <w:t xml:space="preserve"> (</w:t>
      </w:r>
      <w:r w:rsidR="004944D8" w:rsidRPr="00D05925">
        <w:rPr>
          <w:b/>
        </w:rPr>
        <w:t xml:space="preserve">Figure </w:t>
      </w:r>
      <w:r w:rsidR="00267426" w:rsidRPr="00D05925">
        <w:rPr>
          <w:b/>
        </w:rPr>
        <w:t>2</w:t>
      </w:r>
      <w:r w:rsidR="004944D8" w:rsidRPr="00D05925">
        <w:t>)</w:t>
      </w:r>
      <w:r w:rsidRPr="00D05925">
        <w:t>.</w:t>
      </w:r>
      <w:r w:rsidRPr="00E05986">
        <w:fldChar w:fldCharType="begin" w:fldLock="1"/>
      </w:r>
      <w:r w:rsidR="00B06106" w:rsidRPr="00D05925">
        <w:instrText>ADDIN CSL_CITATION { "citationItems" : [ { "id" : "ITEM-1", "itemData" : { "URL" : "https://www.repository.cam.ac.uk/handle/1810/256247", "author" : [ { "dropping-particle" : "", "family" : "Seetoh, W., Stubbs, C., Dickson, C., Hyv\u00f6nen, M., Matak-Vinkovi\u0107, D., &amp; Abell", "given" : "C", "non-dropping-particle" : "", "parse-names" : false, "suffix" : "" } ], "id" : "ITEM-1", "issued" : { "date-parts" : [ [ "0" ] ] }, "title" : "Research Data Supporting \"Achieving small\u2013molecule disruption of the CK2\u03b1/CK2\u03b2 protein\u2013protein interaction within the protein kinase CK2 heterotetramer\" https://doi.org/10.17863/CAM.189", "type" : "webpage" }, "uris" : [ "http://www.mendeley.com/documents/?uuid=75b40647-404f-4481-94eb-d87b106c177e" ] } ], "mendeley" : { "formattedCitation" : "&lt;sup&gt;24&lt;/sup&gt;", "plainTextFormattedCitation" : "24", "previouslyFormattedCitation" : "&lt;sup&gt;24&lt;/sup&gt;" }, "properties" : {  }, "schema" : "https://github.com/citation-style-language/schema/raw/master/csl-citation.json" }</w:instrText>
      </w:r>
      <w:r w:rsidRPr="00D05925">
        <w:fldChar w:fldCharType="separate"/>
      </w:r>
      <w:r w:rsidR="00B06106" w:rsidRPr="00E05986">
        <w:rPr>
          <w:noProof/>
          <w:vertAlign w:val="superscript"/>
        </w:rPr>
        <w:t>24</w:t>
      </w:r>
      <w:r w:rsidRPr="00E05986">
        <w:fldChar w:fldCharType="end"/>
      </w:r>
      <w:r w:rsidRPr="00E05986">
        <w:t xml:space="preserve"> </w:t>
      </w:r>
      <w:r w:rsidR="00B90344" w:rsidRPr="00E05986">
        <w:t>This compound was found to bind in both the ATP pocket and the α-β interface site.</w:t>
      </w:r>
      <w:r w:rsidR="00864295" w:rsidRPr="00D05925">
        <w:t xml:space="preserve"> </w:t>
      </w:r>
    </w:p>
    <w:p w14:paraId="48866BE1" w14:textId="629A3348" w:rsidR="009C5178" w:rsidRDefault="00B90344" w:rsidP="000B4E5D">
      <w:pPr>
        <w:pStyle w:val="ElsParagraph"/>
      </w:pPr>
      <w:r w:rsidRPr="00D05925">
        <w:t>A crystal structure was obtained of NMR154</w:t>
      </w:r>
      <w:r w:rsidR="002A3174" w:rsidRPr="00D05925">
        <w:t>L, the ethyl analogue of NMR154,</w:t>
      </w:r>
      <w:r w:rsidRPr="00D05925">
        <w:t xml:space="preserve"> (</w:t>
      </w:r>
      <w:r w:rsidR="004944D8" w:rsidRPr="00D05925">
        <w:rPr>
          <w:b/>
        </w:rPr>
        <w:t xml:space="preserve">Figure </w:t>
      </w:r>
      <w:r w:rsidR="002A3174" w:rsidRPr="00D05925">
        <w:rPr>
          <w:b/>
        </w:rPr>
        <w:t>3</w:t>
      </w:r>
      <w:r w:rsidR="004944D8" w:rsidRPr="00D05925">
        <w:rPr>
          <w:b/>
        </w:rPr>
        <w:t>a</w:t>
      </w:r>
      <w:r w:rsidRPr="00D05925">
        <w:t>)</w:t>
      </w:r>
      <w:r w:rsidR="00C62BE0" w:rsidRPr="00D05925">
        <w:t xml:space="preserve"> showed a molecule each</w:t>
      </w:r>
      <w:r w:rsidRPr="00D05925">
        <w:t xml:space="preserve"> binding in the interface pocket</w:t>
      </w:r>
      <w:r w:rsidR="00AC19D4" w:rsidRPr="00D05925">
        <w:t xml:space="preserve"> as well as the ATP site and the </w:t>
      </w:r>
      <w:r w:rsidR="002A3174" w:rsidRPr="00D05925">
        <w:t>α</w:t>
      </w:r>
      <w:r w:rsidR="00AC19D4" w:rsidRPr="00D05925">
        <w:t>D site</w:t>
      </w:r>
      <w:r w:rsidRPr="00D05925">
        <w:t>.</w:t>
      </w:r>
      <w:r w:rsidRPr="00E05986">
        <w:t xml:space="preserve"> This showed the dichlorobenzene part of the molecule anchoring in the pocket while the </w:t>
      </w:r>
      <w:proofErr w:type="spellStart"/>
      <w:r w:rsidRPr="00E05986">
        <w:t>ethyl</w:t>
      </w:r>
      <w:r w:rsidRPr="00D05925">
        <w:t>amino</w:t>
      </w:r>
      <w:proofErr w:type="spellEnd"/>
      <w:r w:rsidRPr="00D05925">
        <w:t xml:space="preserve"> moiety </w:t>
      </w:r>
      <w:r w:rsidR="00D65E45" w:rsidRPr="00D05925">
        <w:t>protruded from the pocket</w:t>
      </w:r>
      <w:r w:rsidRPr="00D05925">
        <w:t xml:space="preserve"> to interact with an aspartate residue of the protein</w:t>
      </w:r>
      <w:r w:rsidR="00AB776A" w:rsidRPr="00D05925">
        <w:t xml:space="preserve"> (Asp37</w:t>
      </w:r>
      <w:r w:rsidR="00575C0B" w:rsidRPr="00D05925">
        <w:t xml:space="preserve"> i</w:t>
      </w:r>
      <w:r w:rsidR="00D743D5" w:rsidRPr="00D05925">
        <w:t>s</w:t>
      </w:r>
      <w:r w:rsidR="00575C0B" w:rsidRPr="00D05925">
        <w:t xml:space="preserve"> on the edge of the </w:t>
      </w:r>
      <w:r w:rsidR="00D743D5" w:rsidRPr="00D05925">
        <w:t>α-β interface site</w:t>
      </w:r>
      <w:r w:rsidR="00994568" w:rsidRPr="00D05925">
        <w:t xml:space="preserve"> and forms a s</w:t>
      </w:r>
      <w:r w:rsidR="007E37DF" w:rsidRPr="00D05925">
        <w:t>al</w:t>
      </w:r>
      <w:r w:rsidR="00994568" w:rsidRPr="00D05925">
        <w:t>t bridge with Arg186 from</w:t>
      </w:r>
      <w:r w:rsidR="007E37DF" w:rsidRPr="00D05925">
        <w:t xml:space="preserve"> </w:t>
      </w:r>
      <w:r w:rsidR="00994568" w:rsidRPr="00D05925">
        <w:t>CK2β</w:t>
      </w:r>
      <w:r w:rsidR="00AB776A" w:rsidRPr="00D05925">
        <w:t>)</w:t>
      </w:r>
      <w:r w:rsidRPr="00E05986">
        <w:t>.</w:t>
      </w:r>
    </w:p>
    <w:p w14:paraId="0037FBF7" w14:textId="21392626" w:rsidR="000B4E5D" w:rsidRPr="00881570" w:rsidRDefault="00B90344" w:rsidP="00C176A4">
      <w:pPr>
        <w:pStyle w:val="ElsParagraph"/>
        <w:rPr>
          <w:b/>
        </w:rPr>
      </w:pPr>
      <w:r w:rsidRPr="00F873BF">
        <w:t xml:space="preserve">With this crystal structure in hand, </w:t>
      </w:r>
      <w:r w:rsidR="009C5178">
        <w:t>it was hoped</w:t>
      </w:r>
      <w:r w:rsidR="009F5374">
        <w:t xml:space="preserve"> that</w:t>
      </w:r>
      <w:r w:rsidR="009C5178">
        <w:t xml:space="preserve"> the binding could be improved </w:t>
      </w:r>
      <w:r w:rsidR="000D03BC">
        <w:t xml:space="preserve">by </w:t>
      </w:r>
      <w:r w:rsidR="009F5374">
        <w:t>modifying</w:t>
      </w:r>
      <w:r w:rsidR="000D03BC">
        <w:t xml:space="preserve"> </w:t>
      </w:r>
      <w:r w:rsidR="00C84495">
        <w:t>NMR154</w:t>
      </w:r>
      <w:r w:rsidR="003A71AA">
        <w:t xml:space="preserve"> along a series of vectors</w:t>
      </w:r>
      <w:r w:rsidR="009F5374">
        <w:t>,</w:t>
      </w:r>
      <w:r w:rsidR="003A71AA">
        <w:t xml:space="preserve"> utilizing </w:t>
      </w:r>
      <w:r w:rsidR="00A80C5F">
        <w:t>anchoring in the pocket and increasing the interactions outside the pocket with the protein residues</w:t>
      </w:r>
      <w:r w:rsidR="00A2642A">
        <w:t xml:space="preserve"> </w:t>
      </w:r>
      <w:r w:rsidR="00881570">
        <w:t>(</w:t>
      </w:r>
      <w:r w:rsidR="00881570">
        <w:rPr>
          <w:b/>
        </w:rPr>
        <w:t xml:space="preserve">Figure </w:t>
      </w:r>
      <w:r w:rsidR="002A3174">
        <w:rPr>
          <w:b/>
        </w:rPr>
        <w:t>2</w:t>
      </w:r>
      <w:r w:rsidR="00881570" w:rsidRPr="00AB776A">
        <w:t>).</w:t>
      </w:r>
    </w:p>
    <w:p w14:paraId="55C98A53" w14:textId="77DF533D" w:rsidR="00C965DF" w:rsidRDefault="008B6011" w:rsidP="00C176A4">
      <w:pPr>
        <w:pStyle w:val="ElsHeading2"/>
      </w:pPr>
      <w:r>
        <w:t>Fragment development</w:t>
      </w:r>
    </w:p>
    <w:p w14:paraId="5049CAF7" w14:textId="23BEDEB0" w:rsidR="00B16875" w:rsidRDefault="000D03BC" w:rsidP="00B16875">
      <w:pPr>
        <w:pStyle w:val="ElsParagraph"/>
      </w:pPr>
      <w:r>
        <w:t xml:space="preserve">The first iteration explored was substituting the </w:t>
      </w:r>
      <w:r w:rsidR="00B16875">
        <w:t>methyl</w:t>
      </w:r>
      <w:r w:rsidR="00C84495">
        <w:t>amine</w:t>
      </w:r>
      <w:r>
        <w:t xml:space="preserve"> group</w:t>
      </w:r>
      <w:r w:rsidR="00C965DF">
        <w:t xml:space="preserve"> (</w:t>
      </w:r>
      <w:r w:rsidR="00C84495">
        <w:t>the red box</w:t>
      </w:r>
      <w:r w:rsidR="00C965DF">
        <w:t xml:space="preserve"> in</w:t>
      </w:r>
      <w:r w:rsidR="00881570">
        <w:rPr>
          <w:b/>
        </w:rPr>
        <w:t xml:space="preserve"> </w:t>
      </w:r>
      <w:r w:rsidR="00881570" w:rsidRPr="00AB776A">
        <w:rPr>
          <w:b/>
        </w:rPr>
        <w:t xml:space="preserve">Figure </w:t>
      </w:r>
      <w:r w:rsidR="002A3174">
        <w:rPr>
          <w:b/>
        </w:rPr>
        <w:t>2</w:t>
      </w:r>
      <w:r w:rsidR="00C965DF" w:rsidRPr="002A3174">
        <w:t>)</w:t>
      </w:r>
      <w:r w:rsidR="00C84495">
        <w:t xml:space="preserve"> </w:t>
      </w:r>
      <w:r w:rsidR="009F5374">
        <w:t>to</w:t>
      </w:r>
      <w:r w:rsidR="00C84495">
        <w:t xml:space="preserve"> enhance or pick up new interactions outside the pocket</w:t>
      </w:r>
      <w:r>
        <w:t xml:space="preserve">. </w:t>
      </w:r>
      <w:r w:rsidR="00B90344" w:rsidRPr="00F873BF">
        <w:t xml:space="preserve">An additional 12 compounds were </w:t>
      </w:r>
      <w:proofErr w:type="spellStart"/>
      <w:r w:rsidR="00B90344" w:rsidRPr="00F873BF">
        <w:t>synthesised</w:t>
      </w:r>
      <w:proofErr w:type="spellEnd"/>
      <w:r w:rsidR="00B90344" w:rsidRPr="00F873BF">
        <w:t xml:space="preserve"> with a variety of functionality coupled with alkyl chains of various length</w:t>
      </w:r>
      <w:r w:rsidR="007B5F1C">
        <w:t>s</w:t>
      </w:r>
      <w:r w:rsidR="00B90344" w:rsidRPr="00F873BF">
        <w:t>. Functionality explored were amines, alcohols, amide</w:t>
      </w:r>
      <w:r w:rsidR="003A63D6">
        <w:t>s</w:t>
      </w:r>
      <w:r w:rsidR="00B90344" w:rsidRPr="00F873BF">
        <w:t>, carboxylic acids, dihydroimidazole, aldehyde, carbamate, as well as compounds with bifunctionality like</w:t>
      </w:r>
      <w:r w:rsidR="002A3174">
        <w:t xml:space="preserve"> an</w:t>
      </w:r>
      <w:r w:rsidR="00B90344" w:rsidRPr="00F873BF">
        <w:t xml:space="preserve"> amino alcohol and</w:t>
      </w:r>
      <w:r w:rsidR="002A3174">
        <w:t xml:space="preserve"> a</w:t>
      </w:r>
      <w:r w:rsidR="00B90344" w:rsidRPr="00F873BF">
        <w:t xml:space="preserve"> diol</w:t>
      </w:r>
      <w:r w:rsidR="007B5F1C">
        <w:t>.</w:t>
      </w:r>
      <w:r w:rsidR="007B5F1C" w:rsidRPr="007B5F1C">
        <w:rPr>
          <w:rFonts w:ascii="Segoe UI" w:hAnsi="Segoe UI" w:cs="Segoe UI"/>
          <w:color w:val="000000"/>
          <w:lang w:val="en-GB" w:eastAsia="en-GB"/>
        </w:rPr>
        <w:t xml:space="preserve"> </w:t>
      </w:r>
      <w:r w:rsidR="007B5F1C" w:rsidRPr="007B5F1C">
        <w:t xml:space="preserve">Disappointingly, </w:t>
      </w:r>
      <w:r w:rsidR="00B16875">
        <w:t>only one</w:t>
      </w:r>
      <w:r w:rsidR="007B5F1C" w:rsidRPr="007B5F1C">
        <w:t xml:space="preserve"> of the </w:t>
      </w:r>
      <w:r w:rsidR="00B16875">
        <w:t>m</w:t>
      </w:r>
      <w:r w:rsidR="007B5F1C" w:rsidRPr="007B5F1C">
        <w:t>ethylamino variants</w:t>
      </w:r>
      <w:r w:rsidR="00B16875">
        <w:t xml:space="preserve"> (</w:t>
      </w:r>
      <w:proofErr w:type="spellStart"/>
      <w:r w:rsidR="00B16875">
        <w:t>ethylamino</w:t>
      </w:r>
      <w:proofErr w:type="spellEnd"/>
      <w:r w:rsidR="002A3174">
        <w:t>, NMR154L</w:t>
      </w:r>
      <w:r w:rsidR="00B16875">
        <w:t>)</w:t>
      </w:r>
      <w:r w:rsidR="007B5F1C" w:rsidRPr="007B5F1C">
        <w:t xml:space="preserve"> showed </w:t>
      </w:r>
      <w:r w:rsidR="00B16875">
        <w:t>minimal</w:t>
      </w:r>
      <w:r w:rsidR="007B5F1C" w:rsidRPr="007B5F1C">
        <w:t xml:space="preserve"> improvement compared to NMR154</w:t>
      </w:r>
      <w:r w:rsidR="00B16875">
        <w:t xml:space="preserve"> (</w:t>
      </w:r>
      <w:r w:rsidR="006E2502">
        <w:t>900</w:t>
      </w:r>
      <w:r w:rsidR="00B16875">
        <w:t xml:space="preserve"> </w:t>
      </w:r>
      <w:proofErr w:type="spellStart"/>
      <w:r w:rsidR="00B16875">
        <w:t>μM</w:t>
      </w:r>
      <w:proofErr w:type="spellEnd"/>
      <w:r w:rsidR="00B16875">
        <w:t xml:space="preserve"> vs 700μM)</w:t>
      </w:r>
      <w:r w:rsidR="007B5F1C" w:rsidRPr="007B5F1C">
        <w:t>.</w:t>
      </w:r>
      <w:r w:rsidR="00864295" w:rsidRPr="007123EA">
        <w:t xml:space="preserve"> </w:t>
      </w:r>
      <w:bookmarkStart w:id="3" w:name="_Hlk504746165"/>
      <w:r w:rsidR="007B5F1C" w:rsidRPr="007B5F1C">
        <w:t>As no</w:t>
      </w:r>
      <w:r w:rsidR="00B16875">
        <w:t xml:space="preserve"> significant</w:t>
      </w:r>
      <w:r w:rsidR="007B5F1C" w:rsidRPr="007B5F1C">
        <w:t xml:space="preserve"> improvement in binding affinity was observed with the ethyl</w:t>
      </w:r>
      <w:r w:rsidR="00B16875">
        <w:t>ene</w:t>
      </w:r>
      <w:r w:rsidR="007B5F1C" w:rsidRPr="007B5F1C">
        <w:t xml:space="preserve"> analogue</w:t>
      </w:r>
      <w:r w:rsidR="00222170">
        <w:t xml:space="preserve">, </w:t>
      </w:r>
      <w:r w:rsidR="007B5F1C" w:rsidRPr="007B5F1C">
        <w:t>the second iteration of compounds</w:t>
      </w:r>
      <w:r w:rsidR="00B16875">
        <w:t xml:space="preserve"> continued </w:t>
      </w:r>
      <w:r w:rsidR="007E37DF">
        <w:rPr>
          <w:noProof/>
        </w:rPr>
        <w:lastRenderedPageBreak/>
        <mc:AlternateContent>
          <mc:Choice Requires="wps">
            <w:drawing>
              <wp:anchor distT="45720" distB="45720" distL="114300" distR="114300" simplePos="0" relativeHeight="251685888" behindDoc="0" locked="0" layoutInCell="1" allowOverlap="1" wp14:anchorId="48CB9676" wp14:editId="6C71D356">
                <wp:simplePos x="0" y="0"/>
                <wp:positionH relativeFrom="margin">
                  <wp:align>right</wp:align>
                </wp:positionH>
                <wp:positionV relativeFrom="paragraph">
                  <wp:posOffset>3374390</wp:posOffset>
                </wp:positionV>
                <wp:extent cx="6568440" cy="548640"/>
                <wp:effectExtent l="0" t="0" r="3810" b="3810"/>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568440" cy="548640"/>
                        </a:xfrm>
                        <a:prstGeom prst="rect">
                          <a:avLst/>
                        </a:prstGeom>
                        <a:solidFill>
                          <a:srgbClr val="FFFFFF"/>
                        </a:solidFill>
                        <a:ln w="9525">
                          <a:noFill/>
                          <a:miter lim="800000"/>
                          <a:headEnd/>
                          <a:tailEnd/>
                        </a:ln>
                      </wps:spPr>
                      <wps:txbx>
                        <w:txbxContent>
                          <w:p w14:paraId="7A69BC85" w14:textId="625AF4A5" w:rsidR="00D27132" w:rsidRDefault="00D27132" w:rsidP="00E96E82">
                            <w:pPr>
                              <w:pStyle w:val="ElsFigureCaption"/>
                            </w:pPr>
                            <w:r>
                              <w:rPr>
                                <w:b/>
                              </w:rPr>
                              <w:t xml:space="preserve">Figure </w:t>
                            </w:r>
                            <w:r w:rsidR="002A3174">
                              <w:rPr>
                                <w:b/>
                              </w:rPr>
                              <w:t>2</w:t>
                            </w:r>
                            <w:r>
                              <w:rPr>
                                <w:b/>
                              </w:rPr>
                              <w:t xml:space="preserve"> </w:t>
                            </w:r>
                            <w:r>
                              <w:t xml:space="preserve">A selection of the analogues of NMR154 </w:t>
                            </w:r>
                            <w:proofErr w:type="spellStart"/>
                            <w:r>
                              <w:t>synthesised</w:t>
                            </w:r>
                            <w:proofErr w:type="spellEnd"/>
                            <w:r>
                              <w:t>. The analogues in the blue box maintained all the features of NMR154 but added additional functionality onto the nitrogen. The red box shows analogues which kept the dichlorobenzene moiety but substituted the methylamine for the groups shown. Finally, the green box shows substitutions made to the chlorine highlighted in green</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48CB9676" id="_x0000_t202" coordsize="21600,21600" o:spt="202" path="m,l,21600r21600,l21600,xe">
                <v:stroke joinstyle="miter"/>
                <v:path gradientshapeok="t" o:connecttype="rect"/>
              </v:shapetype>
              <v:shape id="_x0000_s1032" type="#_x0000_t202" style="position:absolute;left:0;text-align:left;margin-left:466pt;margin-top:265.7pt;width:517.2pt;height:43.2pt;z-index:251685888;visibility:visible;mso-wrap-style:square;mso-width-percent:0;mso-height-percent:0;mso-wrap-distance-left:9pt;mso-wrap-distance-top:3.6pt;mso-wrap-distance-right:9pt;mso-wrap-distance-bottom:3.6pt;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" stroked="f">
                <v:textbox>
                  <w:txbxContent>
                    <w:p w14:paraId="7A69BC85" w14:textId="625AF4A5" w:rsidR="00D27132" w:rsidRDefault="00D27132" w:rsidP="00E96E82">
                      <w:pPr>
                        <w:pStyle w:val="ElsFigureCaption"/>
                      </w:pPr>
                      <w:r>
                        <w:rPr>
                          <w:b/>
                        </w:rPr>
                        <w:t xml:space="preserve">Figure </w:t>
                      </w:r>
                      <w:r w:rsidR="002A3174">
                        <w:rPr>
                          <w:b/>
                        </w:rPr>
                        <w:t>2</w:t>
                      </w:r>
                      <w:r>
                        <w:rPr>
                          <w:b/>
                        </w:rPr>
                        <w:t xml:space="preserve"> </w:t>
                      </w:r>
                      <w:r>
                        <w:t xml:space="preserve">A selection of the analogues of NMR154 </w:t>
                      </w:r>
                      <w:proofErr w:type="spellStart"/>
                      <w:r>
                        <w:t>synthesised</w:t>
                      </w:r>
                      <w:proofErr w:type="spellEnd"/>
                      <w:r>
                        <w:t>. The analogues in the blue box maintained all the features of NMR154 but added additional functionality onto the nitrogen. The red box shows analogues which kept the dichlorobenzene moiety but substituted the methylamine for the groups shown. Finally, the green box shows substitutions made to the chlorine highlighted in green</w:t>
                      </w:r>
                    </w:p>
                  </w:txbxContent>
                </v:textbox>
                <w10:wrap type="square" anchorx="margin"/>
              </v:shape>
            </w:pict>
          </mc:Fallback>
        </mc:AlternateContent>
      </w:r>
      <w:r w:rsidR="00D05925">
        <w:rPr>
          <w:noProof/>
        </w:rPr>
        <w:object w:dxaOrig="1440" w:dyaOrig="1440" w14:anchorId="12E757CB">
          <v:shape id="_x0000_s1036" type="#_x0000_t75" style="position:absolute;left:0;text-align:left;margin-left:-.05pt;margin-top:.2pt;width:518pt;height:260.5pt;z-index:251654142;mso-position-horizontal-relative:text;mso-position-vertical-relative:text">
            <v:imagedata r:id="rId20" o:title=""/>
            <w10:wrap type="square"/>
          </v:shape>
          <o:OLEObject Type="Embed" ProgID="ChemDraw.Document.6.0" ShapeID="_x0000_s1036" DrawAspect="Content" ObjectID="_1587793431" r:id="rId21"/>
        </w:object>
      </w:r>
      <w:r w:rsidR="00B16875">
        <w:t>to</w:t>
      </w:r>
      <w:r w:rsidR="007B5F1C" w:rsidRPr="007B5F1C">
        <w:t xml:space="preserve"> use </w:t>
      </w:r>
      <w:r w:rsidR="00B16875">
        <w:t>the</w:t>
      </w:r>
      <w:r w:rsidR="007B5F1C" w:rsidRPr="007B5F1C">
        <w:t xml:space="preserve"> methylene linkage</w:t>
      </w:r>
      <w:r w:rsidR="00B16875">
        <w:t>.</w:t>
      </w:r>
      <w:r w:rsidR="007B5F1C" w:rsidRPr="007B5F1C">
        <w:t xml:space="preserve"> </w:t>
      </w:r>
      <w:r w:rsidR="00B16875">
        <w:t>I</w:t>
      </w:r>
      <w:r w:rsidR="007B5F1C" w:rsidRPr="007B5F1C">
        <w:t xml:space="preserve">n addition, these analogues were easier to </w:t>
      </w:r>
      <w:proofErr w:type="spellStart"/>
      <w:r w:rsidR="007B5F1C" w:rsidRPr="007B5F1C">
        <w:t>synthesis</w:t>
      </w:r>
      <w:r w:rsidR="002A3174">
        <w:t>e</w:t>
      </w:r>
      <w:proofErr w:type="spellEnd"/>
      <w:r w:rsidR="007B5F1C" w:rsidRPr="007B5F1C">
        <w:t xml:space="preserve"> as they required only a reduction of the nitrile to obtain the final compounds.</w:t>
      </w:r>
      <w:r w:rsidR="007B5F1C">
        <w:t xml:space="preserve"> </w:t>
      </w:r>
    </w:p>
    <w:p w14:paraId="11050814" w14:textId="49F05377" w:rsidR="00864295" w:rsidRDefault="009F5374" w:rsidP="00B16875">
      <w:pPr>
        <w:pStyle w:val="ElsParagraph"/>
      </w:pPr>
      <w:r>
        <w:t>Following</w:t>
      </w:r>
      <w:r w:rsidR="007B5F1C">
        <w:t xml:space="preserve"> </w:t>
      </w:r>
      <w:r w:rsidR="00B16875">
        <w:t>exploration of the methylene linkage</w:t>
      </w:r>
      <w:r>
        <w:t>,</w:t>
      </w:r>
      <w:r w:rsidR="007B5F1C">
        <w:t xml:space="preserve"> </w:t>
      </w:r>
      <w:r w:rsidR="00B16875">
        <w:t>substitution on the amine was explored next</w:t>
      </w:r>
      <w:r w:rsidR="007B5F1C">
        <w:rPr>
          <w:rFonts w:ascii="Segoe UI" w:hAnsi="Segoe UI" w:cs="Segoe UI"/>
          <w:color w:val="000000"/>
          <w:szCs w:val="19"/>
          <w:lang w:val="en-GB" w:eastAsia="en-GB"/>
        </w:rPr>
        <w:t xml:space="preserve"> </w:t>
      </w:r>
      <w:r w:rsidR="00C965DF">
        <w:t xml:space="preserve">(the </w:t>
      </w:r>
      <w:r w:rsidR="00C84495">
        <w:t>blue box</w:t>
      </w:r>
      <w:r w:rsidR="00C965DF">
        <w:t xml:space="preserve"> in</w:t>
      </w:r>
      <w:r w:rsidR="0012673D">
        <w:t xml:space="preserve"> </w:t>
      </w:r>
      <w:r w:rsidR="0012673D">
        <w:rPr>
          <w:b/>
        </w:rPr>
        <w:t xml:space="preserve">Figure </w:t>
      </w:r>
      <w:r w:rsidR="00DE16BB">
        <w:rPr>
          <w:b/>
        </w:rPr>
        <w:t>2</w:t>
      </w:r>
      <w:r w:rsidR="00C965DF">
        <w:t>)</w:t>
      </w:r>
      <w:bookmarkEnd w:id="3"/>
      <w:r w:rsidR="000D03BC">
        <w:t>.</w:t>
      </w:r>
      <w:r w:rsidR="00AD107C" w:rsidRPr="00AD107C">
        <w:t xml:space="preserve"> In this iteration 26 compounds were made. </w:t>
      </w:r>
      <w:r w:rsidR="000D03BC">
        <w:t xml:space="preserve">It was hoped </w:t>
      </w:r>
      <w:r w:rsidR="00577E11">
        <w:t xml:space="preserve">that </w:t>
      </w:r>
      <w:r w:rsidR="000D03BC">
        <w:t>elaborating off this position</w:t>
      </w:r>
      <w:r w:rsidR="00AD107C" w:rsidRPr="00AD107C">
        <w:t xml:space="preserve"> </w:t>
      </w:r>
      <w:r w:rsidR="00577E11">
        <w:t>would</w:t>
      </w:r>
      <w:r w:rsidR="00AD107C" w:rsidRPr="00AD107C">
        <w:t xml:space="preserve"> exploit any</w:t>
      </w:r>
      <w:r w:rsidR="000D03BC">
        <w:t xml:space="preserve"> new</w:t>
      </w:r>
      <w:r w:rsidR="00AD107C" w:rsidRPr="00AD107C">
        <w:t xml:space="preserve"> H-bond interactions</w:t>
      </w:r>
      <w:r w:rsidR="00DE16BB">
        <w:t>,</w:t>
      </w:r>
      <w:r w:rsidR="00AD107C" w:rsidRPr="00AD107C">
        <w:t xml:space="preserve"> </w:t>
      </w:r>
      <w:r w:rsidR="000D03BC">
        <w:t>in addition to maintaining the interaction w</w:t>
      </w:r>
      <w:r w:rsidR="0088010E">
        <w:t>ith</w:t>
      </w:r>
      <w:r w:rsidR="000D03BC">
        <w:t xml:space="preserve"> Asp37</w:t>
      </w:r>
      <w:r w:rsidR="00AD107C" w:rsidRPr="00AD107C">
        <w:t>. Thus, a variety of alcohols were chosen as well as a carbamide, amine, imidazole, amide,</w:t>
      </w:r>
      <w:r w:rsidR="00EF3F36">
        <w:t xml:space="preserve"> and</w:t>
      </w:r>
      <w:r w:rsidR="00AD107C" w:rsidRPr="00AD107C">
        <w:t xml:space="preserve"> morpholine. </w:t>
      </w:r>
      <w:r w:rsidR="007B5F1C">
        <w:t>Again, none</w:t>
      </w:r>
      <w:r w:rsidR="00B16875">
        <w:t xml:space="preserve"> of the nitrogen substituted analogues</w:t>
      </w:r>
      <w:r w:rsidR="007B5F1C">
        <w:t xml:space="preserve"> showed</w:t>
      </w:r>
      <w:r w:rsidR="00B16875">
        <w:t xml:space="preserve"> an</w:t>
      </w:r>
      <w:r w:rsidR="007B5F1C">
        <w:t xml:space="preserve"> improvement upon NMR154</w:t>
      </w:r>
      <w:r w:rsidR="00AC19D4">
        <w:t xml:space="preserve"> (details given in Supporting Information).</w:t>
      </w:r>
    </w:p>
    <w:p w14:paraId="39BA10D0" w14:textId="4F292B2B" w:rsidR="00AD107C" w:rsidRDefault="00AD107C" w:rsidP="00AD107C">
      <w:pPr>
        <w:pStyle w:val="ElsParagraph"/>
      </w:pPr>
      <w:r w:rsidRPr="007123EA">
        <w:t>Having investigated var</w:t>
      </w:r>
      <w:r w:rsidR="00577E11">
        <w:t>iations of</w:t>
      </w:r>
      <w:r w:rsidRPr="007123EA">
        <w:t xml:space="preserve"> the</w:t>
      </w:r>
      <w:r w:rsidR="00E70D5A">
        <w:t xml:space="preserve"> methylene linkage and</w:t>
      </w:r>
      <w:r w:rsidRPr="007123EA">
        <w:t xml:space="preserve"> amino group substitu</w:t>
      </w:r>
      <w:r w:rsidR="00E70D5A">
        <w:t>tion</w:t>
      </w:r>
      <w:r>
        <w:t>,</w:t>
      </w:r>
      <w:r w:rsidRPr="007123EA">
        <w:t xml:space="preserve"> </w:t>
      </w:r>
      <w:r>
        <w:t>further studies</w:t>
      </w:r>
      <w:r w:rsidRPr="007123EA">
        <w:t xml:space="preserve"> </w:t>
      </w:r>
      <w:r>
        <w:t>were</w:t>
      </w:r>
      <w:r w:rsidRPr="007123EA">
        <w:t xml:space="preserve"> made into varying other parts of the </w:t>
      </w:r>
      <w:r>
        <w:t>benzene</w:t>
      </w:r>
      <w:r w:rsidRPr="007123EA">
        <w:t xml:space="preserve"> ring</w:t>
      </w:r>
      <w:r w:rsidR="00C965DF">
        <w:t xml:space="preserve"> (the vectors highlighted in green in</w:t>
      </w:r>
      <w:r w:rsidR="00AB776A">
        <w:t xml:space="preserve"> </w:t>
      </w:r>
      <w:r w:rsidR="00AB776A">
        <w:rPr>
          <w:b/>
        </w:rPr>
        <w:t xml:space="preserve">Figure </w:t>
      </w:r>
      <w:r w:rsidR="00DE16BB">
        <w:rPr>
          <w:b/>
        </w:rPr>
        <w:t>2</w:t>
      </w:r>
      <w:r w:rsidR="00C965DF">
        <w:t>)</w:t>
      </w:r>
      <w:r w:rsidRPr="007123EA">
        <w:t xml:space="preserve">. </w:t>
      </w:r>
      <w:r w:rsidR="007B5F1C">
        <w:rPr>
          <w:lang w:val="en-GB" w:eastAsia="en-GB"/>
        </w:rPr>
        <w:t xml:space="preserve">From the crystal structures we expected that modification of the substituents and the aryl group itself would result in a better fit </w:t>
      </w:r>
      <w:r w:rsidR="00577E11">
        <w:rPr>
          <w:lang w:val="en-GB" w:eastAsia="en-GB"/>
        </w:rPr>
        <w:t>in</w:t>
      </w:r>
      <w:r w:rsidR="007B5F1C">
        <w:rPr>
          <w:lang w:val="en-GB" w:eastAsia="en-GB"/>
        </w:rPr>
        <w:t xml:space="preserve"> the pocket and therefore increased binding</w:t>
      </w:r>
      <w:r w:rsidR="00577E11">
        <w:rPr>
          <w:lang w:val="en-GB" w:eastAsia="en-GB"/>
        </w:rPr>
        <w:t xml:space="preserve"> affinity</w:t>
      </w:r>
      <w:r w:rsidR="007B5F1C">
        <w:rPr>
          <w:lang w:val="en-GB" w:eastAsia="en-GB"/>
        </w:rPr>
        <w:t>.</w:t>
      </w:r>
      <w:r w:rsidRPr="007123EA">
        <w:t xml:space="preserve"> At total of 16 compounds were </w:t>
      </w:r>
      <w:proofErr w:type="spellStart"/>
      <w:r w:rsidRPr="007123EA">
        <w:t>synthesised</w:t>
      </w:r>
      <w:proofErr w:type="spellEnd"/>
      <w:r>
        <w:t xml:space="preserve">. A selection of aromatic and aliphatic groups </w:t>
      </w:r>
      <w:proofErr w:type="gramStart"/>
      <w:r>
        <w:t>w</w:t>
      </w:r>
      <w:r w:rsidR="0088010E">
        <w:t>ere</w:t>
      </w:r>
      <w:proofErr w:type="gramEnd"/>
      <w:r>
        <w:t xml:space="preserve"> chosen including a variety of substituted benzene rings,</w:t>
      </w:r>
      <w:r w:rsidR="00DE16BB">
        <w:t xml:space="preserve"> a</w:t>
      </w:r>
      <w:r>
        <w:t xml:space="preserve"> naphthalene, and</w:t>
      </w:r>
      <w:r w:rsidR="00DE16BB">
        <w:t xml:space="preserve"> a</w:t>
      </w:r>
      <w:r>
        <w:t xml:space="preserve"> pyrrole. A range of ethers were also tested with alkyl groups and an amine. </w:t>
      </w:r>
    </w:p>
    <w:p w14:paraId="19AD5115" w14:textId="7C7C2307" w:rsidR="00AD107C" w:rsidRDefault="009F3B24" w:rsidP="00AD107C">
      <w:pPr>
        <w:pStyle w:val="ElsParagraph"/>
      </w:pPr>
      <w:r>
        <w:t>Pleasingly, t</w:t>
      </w:r>
      <w:r w:rsidR="00AD107C">
        <w:t xml:space="preserve">his </w:t>
      </w:r>
      <w:r>
        <w:t>substitution</w:t>
      </w:r>
      <w:r w:rsidR="00AD107C">
        <w:t xml:space="preserve"> showed the greatest improvement in inhibition with all the </w:t>
      </w:r>
      <w:proofErr w:type="spellStart"/>
      <w:r w:rsidR="00AD107C">
        <w:t>dibenzene</w:t>
      </w:r>
      <w:proofErr w:type="spellEnd"/>
      <w:r w:rsidR="00AD107C">
        <w:t xml:space="preserve"> compounds showing an IC</w:t>
      </w:r>
      <w:r w:rsidR="00AD107C">
        <w:rPr>
          <w:vertAlign w:val="subscript"/>
        </w:rPr>
        <w:t>50</w:t>
      </w:r>
      <w:r w:rsidR="00AD107C">
        <w:t xml:space="preserve"> of less than </w:t>
      </w:r>
      <w:r w:rsidR="00932E11">
        <w:t>500</w:t>
      </w:r>
      <w:r w:rsidR="00AD107C">
        <w:t xml:space="preserve"> </w:t>
      </w:r>
      <w:proofErr w:type="spellStart"/>
      <w:r w:rsidR="00932E11">
        <w:t>μ</w:t>
      </w:r>
      <w:r w:rsidR="00AD107C">
        <w:t>M</w:t>
      </w:r>
      <w:proofErr w:type="spellEnd"/>
      <w:r w:rsidR="00400DA5">
        <w:t xml:space="preserve"> (see Supplementary Information)</w:t>
      </w:r>
      <w:r w:rsidR="00AD107C">
        <w:rPr>
          <w:rStyle w:val="Strong"/>
          <w:rFonts w:ascii="Book Antiqua" w:hAnsi="Book Antiqua"/>
        </w:rPr>
        <w:t>.</w:t>
      </w:r>
      <w:r w:rsidR="00AD107C">
        <w:t xml:space="preserve"> Unfortunately, the pyrrole and aliphatic compounds showed no improvement. This would suggest that the greatest improvement to be made to </w:t>
      </w:r>
      <w:r w:rsidR="00932E11">
        <w:t>NMR154</w:t>
      </w:r>
      <w:r w:rsidR="00AD107C">
        <w:t xml:space="preserve"> </w:t>
      </w:r>
      <w:r w:rsidR="00577E11">
        <w:t>would be</w:t>
      </w:r>
      <w:r w:rsidR="00AD107C">
        <w:t xml:space="preserve"> to more firmly anchor it into the pocket rather than to </w:t>
      </w:r>
      <w:proofErr w:type="spellStart"/>
      <w:r w:rsidR="00D34A5A">
        <w:t>utilis</w:t>
      </w:r>
      <w:r w:rsidR="00577E11">
        <w:t>ing</w:t>
      </w:r>
      <w:proofErr w:type="spellEnd"/>
      <w:r w:rsidR="00AD107C">
        <w:t xml:space="preserve"> bonding interactions with residues outside the pocket.</w:t>
      </w:r>
    </w:p>
    <w:p w14:paraId="2912EB38" w14:textId="1337DEA1" w:rsidR="00C965DF" w:rsidRDefault="008B6011" w:rsidP="000B4E5D">
      <w:pPr>
        <w:pStyle w:val="ElsParagraph"/>
      </w:pPr>
      <w:r>
        <w:t xml:space="preserve">A crystal structure of </w:t>
      </w:r>
      <w:r w:rsidR="007754E4">
        <w:rPr>
          <w:b/>
        </w:rPr>
        <w:t>3</w:t>
      </w:r>
      <w:r>
        <w:t xml:space="preserve"> binding in the pocke</w:t>
      </w:r>
      <w:r w:rsidR="00EF3F36">
        <w:t>t</w:t>
      </w:r>
      <w:r>
        <w:t xml:space="preserve"> was obtained</w:t>
      </w:r>
      <w:r w:rsidR="007B5F1C">
        <w:t xml:space="preserve"> (</w:t>
      </w:r>
      <w:r w:rsidR="007B5F1C">
        <w:rPr>
          <w:b/>
        </w:rPr>
        <w:t xml:space="preserve">Figure </w:t>
      </w:r>
      <w:r w:rsidR="00DE16BB">
        <w:rPr>
          <w:b/>
        </w:rPr>
        <w:t>3</w:t>
      </w:r>
      <w:r w:rsidR="0012673D">
        <w:rPr>
          <w:b/>
        </w:rPr>
        <w:t>b</w:t>
      </w:r>
      <w:r>
        <w:t>). This clearly showed</w:t>
      </w:r>
      <w:r w:rsidR="00577E11">
        <w:t xml:space="preserve"> that</w:t>
      </w:r>
      <w:r>
        <w:t xml:space="preserve"> </w:t>
      </w:r>
      <w:r w:rsidR="00C81959">
        <w:t>the electrostatic interaction between the amino moiety and Asp37</w:t>
      </w:r>
      <w:r w:rsidR="0028403F">
        <w:t xml:space="preserve"> w</w:t>
      </w:r>
      <w:r w:rsidR="00EF3F36">
        <w:t>as</w:t>
      </w:r>
      <w:r w:rsidR="0028403F">
        <w:t xml:space="preserve"> maintained. In addition, the 2-isopropylbenzene moiety is occupying the pocket both in terms of depth and </w:t>
      </w:r>
      <w:r w:rsidR="00D80DDB">
        <w:t>width.</w:t>
      </w:r>
      <w:r w:rsidR="009F3B24">
        <w:t xml:space="preserve"> However, for the </w:t>
      </w:r>
      <w:proofErr w:type="spellStart"/>
      <w:r w:rsidR="009F3B24">
        <w:t>biaryl</w:t>
      </w:r>
      <w:proofErr w:type="spellEnd"/>
      <w:r w:rsidR="009F3B24">
        <w:t xml:space="preserve"> compounds, electron density was also observed in the αD site.</w:t>
      </w:r>
    </w:p>
    <w:p w14:paraId="2684912B" w14:textId="4E580B09" w:rsidR="00D80DDB" w:rsidRDefault="00D80DDB" w:rsidP="00AD107C">
      <w:pPr>
        <w:pStyle w:val="ElsHeading2"/>
      </w:pPr>
      <w:r>
        <w:t xml:space="preserve">Improving </w:t>
      </w:r>
      <w:r w:rsidR="009F3B24">
        <w:t>selectivity for α/β interface binding only</w:t>
      </w:r>
    </w:p>
    <w:p w14:paraId="22AC2B24" w14:textId="04DFD9A9" w:rsidR="00045700" w:rsidRDefault="00045700" w:rsidP="00045700">
      <w:pPr>
        <w:pStyle w:val="ElsParagraph"/>
      </w:pPr>
      <w:r>
        <w:t xml:space="preserve">The αD pocket being deep and narrow </w:t>
      </w:r>
      <w:proofErr w:type="spellStart"/>
      <w:r>
        <w:t>favours</w:t>
      </w:r>
      <w:proofErr w:type="spellEnd"/>
      <w:r>
        <w:t xml:space="preserve"> the </w:t>
      </w:r>
      <w:r>
        <w:rPr>
          <w:i/>
        </w:rPr>
        <w:t>para</w:t>
      </w:r>
      <w:r w:rsidR="00751D98">
        <w:rPr>
          <w:i/>
        </w:rPr>
        <w:t xml:space="preserve"> </w:t>
      </w:r>
      <w:r w:rsidR="00751D98">
        <w:t>disposition of the aryl ring and the methylamino.</w:t>
      </w:r>
      <w:r w:rsidR="00751D98">
        <w:fldChar w:fldCharType="begin" w:fldLock="1"/>
      </w:r>
      <w:r w:rsidR="00B06106">
        <w:instrText>ADDIN CSL_CITATION { "citationItems" : [ { "id" : "ITEM-1", "itemData" : { "DOI" : "10.1016/J.BMC.2017.04.037", "ISSN" : "0968-0896", "abstract" : "Recently we reported the discovery of a potent and selective CK2\u03b1 inhibitor CAM4066. This compound inhibits CK2 activity by exploiting a pocket located outside the ATP binding site (\u03b1D pocket). Here we describe in detail the journey that led to the discovery of CAM4066 using the challenging fragment linking strategy. Specifically, we aimed to develop inhibitors by linking a high-affinity fragment anchored in the \u03b1D site to a weakly binding warhead fragment occupying the ATP site. Moreover, we describe the remarkable impact that molecular modelling had on the development of this novel chemical tool. The work described herein shows potential for the development of a novel class of CK2 inhibitors.", "author" : [ { "dropping-particle" : "", "family" : "Fusco", "given" : "Claudia", "non-dropping-particle" : "De", "parse-names" : false, "suffix" : "" }, { "dropping-particle" : "", "family" : "Brear", "given" : "Paul", "non-dropping-particle" : "", "parse-names" : false, "suffix" : "" }, { "dropping-particle" : "", "family" : "Iegre", "given" : "Jessica", "non-dropping-particle" : "", "parse-names" : false, "suffix" : "" }, { "dropping-particle" : "", "family" : "Georgiou", "given" : "Kathy Hadje", "non-dropping-particle" : "", "parse-names" : false, "suffix" : "" }, { "dropping-particle" : "", "family" : "Sore", "given" : "Hannah F.", "non-dropping-particle" : "", "parse-names" : false, "suffix" : "" }, { "dropping-particle" : "", "family" : "Hyv\u00f6nen", "given" : "Marko", "non-dropping-particle" : "", "parse-names" : false, "suffix" : "" }, { "dropping-particle" : "", "family" : "Spring", "given" : "David R.", "non-dropping-particle" : "", "parse-names" : false, "suffix" : "" } ], "container-title" : "Bioorganic &amp; Medicinal Chemistry", "id" : "ITEM-1", "issue" : "13", "issued" : { "date-parts" : [ [ "2017", "7", "1" ] ] }, "page" : "3471-3482", "publisher" : "Pergamon", "title" : "A fragment-based approach leading to the discovery of a novel binding site and the selective CK2 inhibitor CAM4066", "type" : "article-journal", "volume" : "25" }, "uris" : [ "http://www.mendeley.com/documents/?uuid=6c6d5f8b-9ae0-3485-a01c-1aafd186f386" ] } ], "mendeley" : { "formattedCitation" : "&lt;sup&gt;15&lt;/sup&gt;", "plainTextFormattedCitation" : "15", "previouslyFormattedCitation" : "&lt;sup&gt;15&lt;/sup&gt;" }, "properties" : {  }, "schema" : "https://github.com/citation-style-language/schema/raw/master/csl-citation.json" }</w:instrText>
      </w:r>
      <w:r w:rsidR="00751D98">
        <w:fldChar w:fldCharType="separate"/>
      </w:r>
      <w:r w:rsidR="00B06106" w:rsidRPr="00B06106">
        <w:rPr>
          <w:noProof/>
          <w:vertAlign w:val="superscript"/>
        </w:rPr>
        <w:t>15</w:t>
      </w:r>
      <w:r w:rsidR="00751D98">
        <w:fldChar w:fldCharType="end"/>
      </w:r>
      <w:r w:rsidR="00751D98">
        <w:t xml:space="preserve"> In order to </w:t>
      </w:r>
      <w:r w:rsidR="008E1D4A">
        <w:t xml:space="preserve">improve selectivity so that the fragments only bound at the α/β interface a series </w:t>
      </w:r>
      <w:r w:rsidR="00A212EB">
        <w:t>a</w:t>
      </w:r>
      <w:r w:rsidR="008E1D4A">
        <w:t xml:space="preserve"> </w:t>
      </w:r>
      <w:r w:rsidR="008E1D4A">
        <w:rPr>
          <w:i/>
        </w:rPr>
        <w:t>meta</w:t>
      </w:r>
      <w:r w:rsidR="008E1D4A">
        <w:t xml:space="preserve"> disposed compound w</w:t>
      </w:r>
      <w:r w:rsidR="00A212EB">
        <w:t>as</w:t>
      </w:r>
      <w:r w:rsidR="008E1D4A">
        <w:t xml:space="preserve"> </w:t>
      </w:r>
      <w:proofErr w:type="spellStart"/>
      <w:r w:rsidR="008E1D4A">
        <w:t>synthesised</w:t>
      </w:r>
      <w:proofErr w:type="spellEnd"/>
      <w:r w:rsidR="008E1D4A">
        <w:t xml:space="preserve"> and tested.</w:t>
      </w:r>
    </w:p>
    <w:p w14:paraId="3E6405F5" w14:textId="3747D280" w:rsidR="00967C50" w:rsidRDefault="003902CD" w:rsidP="00712579">
      <w:pPr>
        <w:pStyle w:val="ElsParagraph"/>
        <w:rPr>
          <w:b/>
        </w:rPr>
      </w:pPr>
      <w:r>
        <w:t>This hypothesis was shown to be correct, and the</w:t>
      </w:r>
      <w:r w:rsidR="00080716">
        <w:t xml:space="preserve"> </w:t>
      </w:r>
      <w:r w:rsidR="00080716">
        <w:rPr>
          <w:i/>
        </w:rPr>
        <w:t>meta</w:t>
      </w:r>
      <w:r w:rsidR="002758A6">
        <w:t xml:space="preserve"> </w:t>
      </w:r>
      <w:proofErr w:type="spellStart"/>
      <w:r w:rsidR="002758A6">
        <w:t>biaryl</w:t>
      </w:r>
      <w:proofErr w:type="spellEnd"/>
      <w:r>
        <w:t xml:space="preserve"> compound tested bound exclusively at the interface</w:t>
      </w:r>
      <w:r w:rsidR="00712579">
        <w:t xml:space="preserve"> (</w:t>
      </w:r>
      <w:r w:rsidR="006E2502">
        <w:t>entr</w:t>
      </w:r>
      <w:r w:rsidR="00A212EB">
        <w:t>y</w:t>
      </w:r>
      <w:r w:rsidR="006E2502">
        <w:t xml:space="preserve"> </w:t>
      </w:r>
      <w:r w:rsidR="00A212EB">
        <w:rPr>
          <w:b/>
        </w:rPr>
        <w:t>6</w:t>
      </w:r>
      <w:r w:rsidR="00712579">
        <w:t xml:space="preserve"> in </w:t>
      </w:r>
      <w:r w:rsidR="00712579">
        <w:rPr>
          <w:b/>
        </w:rPr>
        <w:t xml:space="preserve">Table 1). </w:t>
      </w:r>
    </w:p>
    <w:p w14:paraId="45BD3DA7" w14:textId="55DBA7F8" w:rsidR="006E2502" w:rsidRDefault="00712579" w:rsidP="006E2502">
      <w:pPr>
        <w:pStyle w:val="ElsParagraph"/>
      </w:pPr>
      <w:r>
        <w:t xml:space="preserve">Although </w:t>
      </w:r>
      <w:r w:rsidR="00967C50">
        <w:t>having a high IC</w:t>
      </w:r>
      <w:r w:rsidR="00967C50">
        <w:rPr>
          <w:vertAlign w:val="subscript"/>
        </w:rPr>
        <w:t>50</w:t>
      </w:r>
      <w:r w:rsidR="00967C50">
        <w:t xml:space="preserve"> of 3 mM examination of the crystal structure of compound </w:t>
      </w:r>
      <w:r w:rsidR="002758A6">
        <w:rPr>
          <w:b/>
        </w:rPr>
        <w:t>6</w:t>
      </w:r>
      <w:r w:rsidR="00967C50">
        <w:rPr>
          <w:b/>
        </w:rPr>
        <w:t xml:space="preserve"> </w:t>
      </w:r>
      <w:r w:rsidR="00967C50">
        <w:t xml:space="preserve">showed the </w:t>
      </w:r>
      <w:proofErr w:type="spellStart"/>
      <w:r w:rsidR="00967C50">
        <w:t>biaryl</w:t>
      </w:r>
      <w:proofErr w:type="spellEnd"/>
      <w:r w:rsidR="00967C50">
        <w:t xml:space="preserve"> core lying on its side </w:t>
      </w:r>
      <w:r w:rsidR="00F76EC9">
        <w:t>taking up the width of the pocket with the amine interacting with Asp37</w:t>
      </w:r>
      <w:r w:rsidR="00C25E84">
        <w:t xml:space="preserve"> (</w:t>
      </w:r>
      <w:r w:rsidR="00C25E84">
        <w:rPr>
          <w:b/>
        </w:rPr>
        <w:t>Figure 3c</w:t>
      </w:r>
      <w:r w:rsidR="00C25E84">
        <w:t>)</w:t>
      </w:r>
      <w:r w:rsidR="00F76EC9">
        <w:t xml:space="preserve">. It was theorized that increasing the size of the pyrrole to an indole would </w:t>
      </w:r>
      <w:r w:rsidR="00E1552E">
        <w:t xml:space="preserve">occupy more of the depth of the pocket increasing the potency of the fragment. In addition, a chlorine on the benzene ring was removed to decrease the </w:t>
      </w:r>
      <w:proofErr w:type="spellStart"/>
      <w:r w:rsidR="00E1552E" w:rsidRPr="00E05986">
        <w:t>clogP</w:t>
      </w:r>
      <w:proofErr w:type="spellEnd"/>
      <w:r w:rsidR="001A7E2D" w:rsidRPr="00E05986">
        <w:t xml:space="preserve"> </w:t>
      </w:r>
      <w:r w:rsidR="001A7E2D" w:rsidRPr="00D05925">
        <w:t>(calculated logarithm of the partition coefficient)</w:t>
      </w:r>
      <w:r w:rsidR="00E1552E" w:rsidRPr="00D05925">
        <w:t>.</w:t>
      </w:r>
    </w:p>
    <w:p w14:paraId="53F9AD28" w14:textId="038E23AA" w:rsidR="00967C50" w:rsidRPr="003E4054" w:rsidRDefault="00E050A2" w:rsidP="006E2502">
      <w:pPr>
        <w:pStyle w:val="ElsParagraph"/>
      </w:pPr>
      <w:r>
        <w:t>Pleasingly, these judgements were correct</w:t>
      </w:r>
      <w:r w:rsidR="003A2CD7">
        <w:t>,</w:t>
      </w:r>
      <w:r>
        <w:t xml:space="preserve"> and the </w:t>
      </w:r>
      <w:r w:rsidR="003A2CD7">
        <w:t>new fragment</w:t>
      </w:r>
      <w:r w:rsidR="00DE16BB">
        <w:t xml:space="preserve">, </w:t>
      </w:r>
      <w:r w:rsidR="00DE16BB">
        <w:rPr>
          <w:b/>
        </w:rPr>
        <w:t>CAM187</w:t>
      </w:r>
      <w:r w:rsidR="00DE16BB" w:rsidRPr="00DE16BB">
        <w:t>,</w:t>
      </w:r>
      <w:r w:rsidR="003A2CD7">
        <w:t xml:space="preserve"> gave the best IC</w:t>
      </w:r>
      <w:r w:rsidR="003A2CD7">
        <w:rPr>
          <w:vertAlign w:val="subscript"/>
        </w:rPr>
        <w:t xml:space="preserve">50 </w:t>
      </w:r>
      <w:r w:rsidR="003A2CD7">
        <w:t xml:space="preserve">of 44 </w:t>
      </w:r>
      <w:proofErr w:type="spellStart"/>
      <w:r w:rsidR="003A2CD7">
        <w:t>μM</w:t>
      </w:r>
      <w:proofErr w:type="spellEnd"/>
      <w:r w:rsidR="003A2CD7">
        <w:t>. A crystal structure of the fragment</w:t>
      </w:r>
      <w:r w:rsidR="00CC11B1">
        <w:t xml:space="preserve"> using the CK2α construct </w:t>
      </w:r>
      <w:r w:rsidR="00CC11B1" w:rsidRPr="008A3D16">
        <w:rPr>
          <w:rFonts w:cstheme="minorHAnsi"/>
          <w:i/>
          <w:color w:val="000000"/>
        </w:rPr>
        <w:t>CK2a_KA</w:t>
      </w:r>
      <w:r w:rsidR="003A2CD7">
        <w:t xml:space="preserve"> showed it only bound in the interface pocket. The</w:t>
      </w:r>
      <w:r w:rsidR="00BA7889">
        <w:t xml:space="preserve"> Cl fills the phenyl pocket</w:t>
      </w:r>
      <w:r w:rsidR="00254D80">
        <w:t xml:space="preserve"> and the amine interacts with Asp37 as with the </w:t>
      </w:r>
      <w:r w:rsidR="00254D80">
        <w:lastRenderedPageBreak/>
        <w:t>original fragment.</w:t>
      </w:r>
      <w:r w:rsidR="00BA7889">
        <w:t xml:space="preserve"> </w:t>
      </w:r>
      <w:r w:rsidR="00254D80">
        <w:t>Whereas, the</w:t>
      </w:r>
      <w:r w:rsidR="003A2CD7">
        <w:t xml:space="preserve"> indole ring </w:t>
      </w:r>
      <w:r w:rsidR="00C25E84">
        <w:rPr>
          <w:noProof/>
        </w:rPr>
        <mc:AlternateContent>
          <mc:Choice Requires="wps">
            <w:drawing>
              <wp:anchor distT="0" distB="0" distL="114300" distR="114300" simplePos="0" relativeHeight="251678720" behindDoc="0" locked="0" layoutInCell="1" allowOverlap="1" wp14:anchorId="078E2C44" wp14:editId="7E498C49">
                <wp:simplePos x="0" y="0"/>
                <wp:positionH relativeFrom="margin">
                  <wp:align>right</wp:align>
                </wp:positionH>
                <wp:positionV relativeFrom="paragraph">
                  <wp:posOffset>3185795</wp:posOffset>
                </wp:positionV>
                <wp:extent cx="6572250" cy="1051560"/>
                <wp:effectExtent l="0" t="0" r="0" b="0"/>
                <wp:wrapTopAndBottom/>
                <wp:docPr id="1" name="Text Box 1"/>
                <wp:cNvGraphicFramePr/>
                <a:graphic xmlns:a="http://schemas.openxmlformats.org/drawingml/2006/main">
                  <a:graphicData uri="http://schemas.microsoft.com/office/word/2010/wordprocessingShape">
                    <wps:wsp>
                      <wps:cNvSpPr txBox="1"/>
                      <wps:spPr>
                        <a:xfrm>
                          <a:off x="0" y="0"/>
                          <a:ext cx="6572250" cy="1051560"/>
                        </a:xfrm>
                        <a:prstGeom prst="rect">
                          <a:avLst/>
                        </a:prstGeom>
                        <a:solidFill>
                          <a:prstClr val="white"/>
                        </a:solidFill>
                        <a:ln>
                          <a:noFill/>
                        </a:ln>
                      </wps:spPr>
                      <wps:txbx>
                        <w:txbxContent>
                          <w:p w14:paraId="3F55C7E6" w14:textId="1DE9D602" w:rsidR="00D27132" w:rsidRDefault="00D27132" w:rsidP="0036380E">
                            <w:pPr>
                              <w:pStyle w:val="ElsFigureCaption"/>
                              <w:ind w:firstLine="0"/>
                            </w:pPr>
                            <w:bookmarkStart w:id="4" w:name="_Ref505178145"/>
                            <w:r w:rsidRPr="003C0EE9">
                              <w:rPr>
                                <w:b/>
                              </w:rPr>
                              <w:t xml:space="preserve">Figure </w:t>
                            </w:r>
                            <w:bookmarkEnd w:id="4"/>
                            <w:r w:rsidR="002A3174">
                              <w:rPr>
                                <w:b/>
                              </w:rPr>
                              <w:t>3</w:t>
                            </w:r>
                            <w:r>
                              <w:rPr>
                                <w:b/>
                              </w:rPr>
                              <w:t xml:space="preserve"> </w:t>
                            </w:r>
                            <w:r>
                              <w:t xml:space="preserve">A side-by-side depiction of </w:t>
                            </w:r>
                            <w:r w:rsidR="00DE16BB">
                              <w:t>five</w:t>
                            </w:r>
                            <w:r>
                              <w:t xml:space="preserve"> fragments binding in the interface site of CK2α. </w:t>
                            </w:r>
                            <w:r w:rsidRPr="008F3FFD">
                              <w:rPr>
                                <w:b/>
                              </w:rPr>
                              <w:t>a)</w:t>
                            </w:r>
                            <w:r>
                              <w:t xml:space="preserve"> NMR154L binds so that the </w:t>
                            </w:r>
                            <w:proofErr w:type="spellStart"/>
                            <w:r>
                              <w:t>dichloro</w:t>
                            </w:r>
                            <w:proofErr w:type="spellEnd"/>
                            <w:r>
                              <w:t xml:space="preserve"> moiety anchors the fragment into the hydrophobic pocket</w:t>
                            </w:r>
                            <w:r w:rsidR="0047224E">
                              <w:t xml:space="preserve"> (pdb:5CLP)</w:t>
                            </w:r>
                            <w:r>
                              <w:t xml:space="preserve">. The </w:t>
                            </w:r>
                            <w:proofErr w:type="spellStart"/>
                            <w:r>
                              <w:t>ethylamino</w:t>
                            </w:r>
                            <w:proofErr w:type="spellEnd"/>
                            <w:r>
                              <w:t xml:space="preserve"> group juts out of the pocket to form an H-bond with Asp37 outside the </w:t>
                            </w:r>
                            <w:proofErr w:type="spellStart"/>
                            <w:proofErr w:type="gramStart"/>
                            <w:r>
                              <w:t>pocket.</w:t>
                            </w:r>
                            <w:r w:rsidRPr="008F3FFD">
                              <w:rPr>
                                <w:b/>
                              </w:rPr>
                              <w:t>b</w:t>
                            </w:r>
                            <w:proofErr w:type="spellEnd"/>
                            <w:proofErr w:type="gramEnd"/>
                            <w:r w:rsidRPr="008F3FFD">
                              <w:rPr>
                                <w:b/>
                              </w:rPr>
                              <w:t>)</w:t>
                            </w:r>
                            <w:r>
                              <w:t xml:space="preserve"> Compound </w:t>
                            </w:r>
                            <w:r>
                              <w:rPr>
                                <w:b/>
                              </w:rPr>
                              <w:t xml:space="preserve">3 </w:t>
                            </w:r>
                            <w:r>
                              <w:t xml:space="preserve">maintains the H-bond with Asp37. The second aromatic ring provides a better hydrophobic interaction in the pocket as it occupies more of the space. </w:t>
                            </w:r>
                            <w:r w:rsidR="00C25E84">
                              <w:rPr>
                                <w:b/>
                              </w:rPr>
                              <w:t>c</w:t>
                            </w:r>
                            <w:r>
                              <w:rPr>
                                <w:b/>
                              </w:rPr>
                              <w:t xml:space="preserve">) </w:t>
                            </w:r>
                            <w:r>
                              <w:t xml:space="preserve">Compound </w:t>
                            </w:r>
                            <w:r>
                              <w:rPr>
                                <w:b/>
                              </w:rPr>
                              <w:t>6</w:t>
                            </w:r>
                            <w:r>
                              <w:t xml:space="preserve"> shows some promise as an interface binder. The interaction with Asp37 is maintained as well as the </w:t>
                            </w:r>
                            <w:proofErr w:type="spellStart"/>
                            <w:r>
                              <w:t>biaryl</w:t>
                            </w:r>
                            <w:proofErr w:type="spellEnd"/>
                            <w:r>
                              <w:t xml:space="preserve"> core occupying the width of the pocket. It is clear from the image there is an unoccupied area of the pocket beneath the pyrrole ring. This is a potential area for growth. </w:t>
                            </w:r>
                            <w:r w:rsidR="00C25E84">
                              <w:rPr>
                                <w:b/>
                              </w:rPr>
                              <w:t>d</w:t>
                            </w:r>
                            <w:r w:rsidRPr="008F3FFD">
                              <w:rPr>
                                <w:b/>
                              </w:rPr>
                              <w:t>)</w:t>
                            </w:r>
                            <w:r>
                              <w:t xml:space="preserve"> The lead fragment </w:t>
                            </w:r>
                            <w:r>
                              <w:rPr>
                                <w:b/>
                              </w:rPr>
                              <w:t>CAM187 (</w:t>
                            </w:r>
                            <w:r w:rsidR="00A212EB">
                              <w:rPr>
                                <w:b/>
                              </w:rPr>
                              <w:t>7</w:t>
                            </w:r>
                            <w:r>
                              <w:rPr>
                                <w:b/>
                              </w:rPr>
                              <w:t>)</w:t>
                            </w:r>
                            <w:r>
                              <w:t xml:space="preserve">, like its predecessors, forms an H-bond with Asp37. This time with the aid of a bridging water molecule. In indole moiety provides the best hydrophobic interactions out of the molecules tested. It provides both the </w:t>
                            </w:r>
                            <w:proofErr w:type="spellStart"/>
                            <w:r>
                              <w:t>with</w:t>
                            </w:r>
                            <w:proofErr w:type="spellEnd"/>
                            <w:r>
                              <w:t xml:space="preserve"> to fill the pocket as well as the depth to fill it.</w:t>
                            </w:r>
                          </w:p>
                          <w:p w14:paraId="71763643" w14:textId="77777777" w:rsidR="00D27132" w:rsidRPr="003C0EE9" w:rsidRDefault="00D27132" w:rsidP="00FE6945">
                            <w:pPr>
                              <w:pStyle w:val="ElsFigureCaption"/>
                              <w:rPr>
                                <w:noProof/>
                                <w:sz w:val="19"/>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78E2C44" id="Text Box 1" o:spid="_x0000_s1033" type="#_x0000_t202" style="position:absolute;left:0;text-align:left;margin-left:466.3pt;margin-top:250.85pt;width:517.5pt;height:82.8pt;z-index:251678720;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" stroked="f">
                <v:textbox inset="0,0,0,0">
                  <w:txbxContent>
                    <w:p w14:paraId="3F55C7E6" w14:textId="1DE9D602" w:rsidR="00D27132" w:rsidRDefault="00D27132" w:rsidP="0036380E">
                      <w:pPr>
                        <w:pStyle w:val="ElsFigureCaption"/>
                        <w:ind w:firstLine="0"/>
                      </w:pPr>
                      <w:bookmarkStart w:id="6" w:name="_Ref505178145"/>
                      <w:r w:rsidRPr="003C0EE9">
                        <w:rPr>
                          <w:b/>
                        </w:rPr>
                        <w:t xml:space="preserve">Figure </w:t>
                      </w:r>
                      <w:bookmarkEnd w:id="6"/>
                      <w:r w:rsidR="002A3174">
                        <w:rPr>
                          <w:b/>
                        </w:rPr>
                        <w:t>3</w:t>
                      </w:r>
                      <w:r>
                        <w:rPr>
                          <w:b/>
                        </w:rPr>
                        <w:t xml:space="preserve"> </w:t>
                      </w:r>
                      <w:r>
                        <w:t xml:space="preserve">A side-by-side depiction of </w:t>
                      </w:r>
                      <w:r w:rsidR="00DE16BB">
                        <w:t>five</w:t>
                      </w:r>
                      <w:r>
                        <w:t xml:space="preserve"> fragments binding in the interface site of CK2α. </w:t>
                      </w:r>
                      <w:r w:rsidRPr="008F3FFD">
                        <w:rPr>
                          <w:b/>
                        </w:rPr>
                        <w:t>a)</w:t>
                      </w:r>
                      <w:r>
                        <w:t xml:space="preserve"> NMR154L binds so that the </w:t>
                      </w:r>
                      <w:proofErr w:type="spellStart"/>
                      <w:r>
                        <w:t>dichloro</w:t>
                      </w:r>
                      <w:proofErr w:type="spellEnd"/>
                      <w:r>
                        <w:t xml:space="preserve"> moiety anchors the fragment into the hydrophobic pocket</w:t>
                      </w:r>
                      <w:r w:rsidR="0047224E">
                        <w:t xml:space="preserve"> (pdb:5CLP)</w:t>
                      </w:r>
                      <w:r>
                        <w:t xml:space="preserve">. The </w:t>
                      </w:r>
                      <w:proofErr w:type="spellStart"/>
                      <w:r>
                        <w:t>ethylamino</w:t>
                      </w:r>
                      <w:proofErr w:type="spellEnd"/>
                      <w:r>
                        <w:t xml:space="preserve"> group juts out of the pocket to form an H-bond with Asp37 outside the </w:t>
                      </w:r>
                      <w:proofErr w:type="spellStart"/>
                      <w:proofErr w:type="gramStart"/>
                      <w:r>
                        <w:t>pocket.</w:t>
                      </w:r>
                      <w:r w:rsidRPr="008F3FFD">
                        <w:rPr>
                          <w:b/>
                        </w:rPr>
                        <w:t>b</w:t>
                      </w:r>
                      <w:proofErr w:type="spellEnd"/>
                      <w:proofErr w:type="gramEnd"/>
                      <w:r w:rsidRPr="008F3FFD">
                        <w:rPr>
                          <w:b/>
                        </w:rPr>
                        <w:t>)</w:t>
                      </w:r>
                      <w:r>
                        <w:t xml:space="preserve"> Compound </w:t>
                      </w:r>
                      <w:r>
                        <w:rPr>
                          <w:b/>
                        </w:rPr>
                        <w:t xml:space="preserve">3 </w:t>
                      </w:r>
                      <w:r>
                        <w:t xml:space="preserve">maintains the H-bond with Asp37. The second aromatic ring provides a better hydrophobic interaction in the pocket as it occupies more of the space. </w:t>
                      </w:r>
                      <w:r w:rsidR="00C25E84">
                        <w:rPr>
                          <w:b/>
                        </w:rPr>
                        <w:t>c</w:t>
                      </w:r>
                      <w:r>
                        <w:rPr>
                          <w:b/>
                        </w:rPr>
                        <w:t xml:space="preserve">) </w:t>
                      </w:r>
                      <w:r>
                        <w:t xml:space="preserve">Compound </w:t>
                      </w:r>
                      <w:r>
                        <w:rPr>
                          <w:b/>
                        </w:rPr>
                        <w:t>6</w:t>
                      </w:r>
                      <w:r>
                        <w:t xml:space="preserve"> shows some promise as an interface binder. The interaction with Asp37 is maintained as well as the </w:t>
                      </w:r>
                      <w:proofErr w:type="spellStart"/>
                      <w:r>
                        <w:t>biaryl</w:t>
                      </w:r>
                      <w:proofErr w:type="spellEnd"/>
                      <w:r>
                        <w:t xml:space="preserve"> core occupying the width of the pocket. It is clear from the image there is an unoccupied area of the pocket beneath the pyrrole ring. This is a potential area for growth. </w:t>
                      </w:r>
                      <w:r w:rsidR="00C25E84">
                        <w:rPr>
                          <w:b/>
                        </w:rPr>
                        <w:t>d</w:t>
                      </w:r>
                      <w:r w:rsidRPr="008F3FFD">
                        <w:rPr>
                          <w:b/>
                        </w:rPr>
                        <w:t>)</w:t>
                      </w:r>
                      <w:r>
                        <w:t xml:space="preserve"> The lead fragment </w:t>
                      </w:r>
                      <w:r>
                        <w:rPr>
                          <w:b/>
                        </w:rPr>
                        <w:t>CAM187 (</w:t>
                      </w:r>
                      <w:r w:rsidR="00A212EB">
                        <w:rPr>
                          <w:b/>
                        </w:rPr>
                        <w:t>7</w:t>
                      </w:r>
                      <w:r>
                        <w:rPr>
                          <w:b/>
                        </w:rPr>
                        <w:t>)</w:t>
                      </w:r>
                      <w:r>
                        <w:t xml:space="preserve">, like its predecessors, forms an H-bond with Asp37. This time with the aid of a bridging water molecule. In indole moiety provides the best hydrophobic interactions out of the molecules tested. It provides both the </w:t>
                      </w:r>
                      <w:proofErr w:type="spellStart"/>
                      <w:r>
                        <w:t>with</w:t>
                      </w:r>
                      <w:proofErr w:type="spellEnd"/>
                      <w:r>
                        <w:t xml:space="preserve"> to fill the pocket as well as the depth to fill it.</w:t>
                      </w:r>
                    </w:p>
                    <w:p w14:paraId="71763643" w14:textId="77777777" w:rsidR="00D27132" w:rsidRPr="003C0EE9" w:rsidRDefault="00D27132" w:rsidP="00FE6945">
                      <w:pPr>
                        <w:pStyle w:val="ElsFigureCaption"/>
                        <w:rPr>
                          <w:noProof/>
                          <w:sz w:val="19"/>
                        </w:rPr>
                      </w:pPr>
                    </w:p>
                  </w:txbxContent>
                </v:textbox>
                <w10:wrap type="topAndBottom" anchorx="margin"/>
              </v:shape>
            </w:pict>
          </mc:Fallback>
        </mc:AlternateContent>
      </w:r>
      <w:r w:rsidR="00DE16BB">
        <w:rPr>
          <w:noProof/>
        </w:rPr>
        <w:drawing>
          <wp:anchor distT="0" distB="0" distL="114300" distR="114300" simplePos="0" relativeHeight="251728896" behindDoc="0" locked="0" layoutInCell="1" allowOverlap="1" wp14:anchorId="31B46480" wp14:editId="7154AFA9">
            <wp:simplePos x="0" y="0"/>
            <wp:positionH relativeFrom="margin">
              <wp:align>left</wp:align>
            </wp:positionH>
            <wp:positionV relativeFrom="paragraph">
              <wp:posOffset>0</wp:posOffset>
            </wp:positionV>
            <wp:extent cx="6553200" cy="3062605"/>
            <wp:effectExtent l="0" t="0" r="0" b="4445"/>
            <wp:wrapSquare wrapText="bothSides"/>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four crystal structures.jpg"/>
                    <pic:cNvPicPr/>
                  </pic:nvPicPr>
                  <pic:blipFill rotWithShape="1">
                    <a:blip r:embed="rId22" cstate="print">
                      <a:extLst>
                        <a:ext uri="{28A0092B-C50C-407E-A947-70E740481C1C}">
                          <a14:useLocalDpi xmlns:a14="http://schemas.microsoft.com/office/drawing/2010/main" val="0"/>
                        </a:ext>
                      </a:extLst>
                    </a:blip>
                    <a:srcRect t="4407" b="29491"/>
                    <a:stretch/>
                  </pic:blipFill>
                  <pic:spPr bwMode="auto">
                    <a:xfrm>
                      <a:off x="0" y="0"/>
                      <a:ext cx="6553200" cy="306260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254D80">
        <w:t xml:space="preserve"> </w:t>
      </w:r>
      <w:r w:rsidR="00254D80" w:rsidRPr="00D05925">
        <w:t>sits under the β4β5</w:t>
      </w:r>
      <w:r w:rsidR="00254D80" w:rsidRPr="00E05986">
        <w:t xml:space="preserve"> </w:t>
      </w:r>
      <w:r w:rsidR="00254D80" w:rsidRPr="00D05925">
        <w:t>loop and the nitrogen of the indole interacts with</w:t>
      </w:r>
      <w:r w:rsidR="00F35922" w:rsidRPr="00D05925">
        <w:t xml:space="preserve"> the OH group of THR108</w:t>
      </w:r>
      <w:r w:rsidR="00F35922" w:rsidRPr="00E05986">
        <w:t>.</w:t>
      </w:r>
      <w:r w:rsidR="00254D80" w:rsidRPr="00E05986">
        <w:t xml:space="preserve"> </w:t>
      </w:r>
      <w:r w:rsidR="005C7948" w:rsidRPr="00E05986">
        <w:t xml:space="preserve"> (</w:t>
      </w:r>
      <w:r w:rsidR="005C7948" w:rsidRPr="00E05986">
        <w:rPr>
          <w:b/>
        </w:rPr>
        <w:t xml:space="preserve">Figure </w:t>
      </w:r>
      <w:r w:rsidR="00DE16BB" w:rsidRPr="00D05925">
        <w:rPr>
          <w:b/>
        </w:rPr>
        <w:t>3</w:t>
      </w:r>
      <w:r w:rsidR="00C25E84" w:rsidRPr="00D05925">
        <w:rPr>
          <w:b/>
        </w:rPr>
        <w:t>d</w:t>
      </w:r>
      <w:r w:rsidR="005C7948" w:rsidRPr="00D05925">
        <w:t>)</w:t>
      </w:r>
      <w:bookmarkStart w:id="5" w:name="_Ref504905299"/>
      <w:r w:rsidR="002758A6" w:rsidRPr="00D05925">
        <w:t>.</w:t>
      </w:r>
    </w:p>
    <w:p w14:paraId="16299FA4" w14:textId="5DDC153D" w:rsidR="00967C50" w:rsidRDefault="00967C50" w:rsidP="0080007C">
      <w:pPr>
        <w:pStyle w:val="ElsTableCaption"/>
        <w:rPr>
          <w:b/>
        </w:rPr>
      </w:pPr>
    </w:p>
    <w:p w14:paraId="28FD727F" w14:textId="29136694" w:rsidR="0080007C" w:rsidRDefault="0080007C" w:rsidP="0080007C">
      <w:pPr>
        <w:pStyle w:val="ElsTableCaption"/>
      </w:pPr>
      <w:r w:rsidRPr="0080007C">
        <w:rPr>
          <w:b/>
        </w:rPr>
        <w:t xml:space="preserve">Table </w:t>
      </w:r>
      <w:r w:rsidR="00C17073">
        <w:rPr>
          <w:b/>
        </w:rPr>
        <w:fldChar w:fldCharType="begin"/>
      </w:r>
      <w:r w:rsidR="00C17073">
        <w:rPr>
          <w:b/>
        </w:rPr>
        <w:instrText xml:space="preserve"> SEQ Table \* ARABIC </w:instrText>
      </w:r>
      <w:r w:rsidR="00C17073">
        <w:rPr>
          <w:b/>
        </w:rPr>
        <w:fldChar w:fldCharType="separate"/>
      </w:r>
      <w:r w:rsidR="005D04D8">
        <w:rPr>
          <w:b/>
          <w:noProof/>
        </w:rPr>
        <w:t>1</w:t>
      </w:r>
      <w:r w:rsidR="00C17073">
        <w:rPr>
          <w:b/>
        </w:rPr>
        <w:fldChar w:fldCharType="end"/>
      </w:r>
      <w:bookmarkEnd w:id="5"/>
      <w:r>
        <w:t xml:space="preserve"> Summary of compounds with improved binding</w:t>
      </w:r>
    </w:p>
    <w:tbl>
      <w:tblPr>
        <w:tblStyle w:val="TableGrid"/>
        <w:tblW w:w="524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134"/>
        <w:gridCol w:w="2268"/>
        <w:gridCol w:w="709"/>
        <w:gridCol w:w="1134"/>
      </w:tblGrid>
      <w:tr w:rsidR="002E6A0C" w14:paraId="04F3CFBD" w14:textId="77777777" w:rsidTr="000E6AD0">
        <w:tc>
          <w:tcPr>
            <w:tcW w:w="1134" w:type="dxa"/>
            <w:tcBorders>
              <w:top w:val="single" w:sz="4" w:space="0" w:color="auto"/>
              <w:bottom w:val="single" w:sz="4" w:space="0" w:color="auto"/>
            </w:tcBorders>
            <w:vAlign w:val="center"/>
          </w:tcPr>
          <w:p w14:paraId="0683DA78" w14:textId="62B72958" w:rsidR="002E6A0C" w:rsidRPr="00482B89" w:rsidRDefault="002E6A0C" w:rsidP="002B021C">
            <w:pPr>
              <w:pStyle w:val="ElsParagraph"/>
              <w:ind w:firstLine="0"/>
              <w:jc w:val="center"/>
            </w:pPr>
            <w:r w:rsidRPr="00482B89">
              <w:t>Compound</w:t>
            </w:r>
          </w:p>
        </w:tc>
        <w:tc>
          <w:tcPr>
            <w:tcW w:w="2268" w:type="dxa"/>
            <w:tcBorders>
              <w:top w:val="single" w:sz="4" w:space="0" w:color="auto"/>
              <w:bottom w:val="single" w:sz="4" w:space="0" w:color="auto"/>
            </w:tcBorders>
            <w:vAlign w:val="bottom"/>
          </w:tcPr>
          <w:p w14:paraId="0B60E0A0" w14:textId="3F46F408" w:rsidR="002E6A0C" w:rsidRPr="00482B89" w:rsidRDefault="002E6A0C" w:rsidP="00FC0702">
            <w:pPr>
              <w:pStyle w:val="ElsParagraph"/>
              <w:ind w:firstLine="0"/>
              <w:jc w:val="center"/>
            </w:pPr>
            <w:r w:rsidRPr="00482B89">
              <w:t>Structure</w:t>
            </w:r>
          </w:p>
        </w:tc>
        <w:tc>
          <w:tcPr>
            <w:tcW w:w="709" w:type="dxa"/>
            <w:tcBorders>
              <w:top w:val="single" w:sz="4" w:space="0" w:color="auto"/>
              <w:bottom w:val="single" w:sz="4" w:space="0" w:color="auto"/>
            </w:tcBorders>
          </w:tcPr>
          <w:p w14:paraId="1E9601FD" w14:textId="61F86CC1" w:rsidR="002E6A0C" w:rsidRPr="000E6AD0" w:rsidRDefault="002E6A0C" w:rsidP="00AD107C">
            <w:pPr>
              <w:pStyle w:val="ElsParagraph"/>
              <w:ind w:firstLine="0"/>
            </w:pPr>
            <w:proofErr w:type="spellStart"/>
            <w:r>
              <w:t>clogP</w:t>
            </w:r>
            <w:r w:rsidR="000E6AD0">
              <w:rPr>
                <w:vertAlign w:val="superscript"/>
              </w:rPr>
              <w:t>a</w:t>
            </w:r>
            <w:proofErr w:type="spellEnd"/>
          </w:p>
        </w:tc>
        <w:tc>
          <w:tcPr>
            <w:tcW w:w="1134" w:type="dxa"/>
            <w:tcBorders>
              <w:top w:val="single" w:sz="4" w:space="0" w:color="auto"/>
              <w:bottom w:val="single" w:sz="4" w:space="0" w:color="auto"/>
            </w:tcBorders>
          </w:tcPr>
          <w:p w14:paraId="7BD712A9" w14:textId="34DDBCD0" w:rsidR="002E6A0C" w:rsidRPr="000E6AD0" w:rsidRDefault="002E6A0C" w:rsidP="00AD107C">
            <w:pPr>
              <w:pStyle w:val="ElsParagraph"/>
              <w:ind w:firstLine="0"/>
            </w:pPr>
            <w:r>
              <w:t>IC</w:t>
            </w:r>
            <w:r>
              <w:rPr>
                <w:vertAlign w:val="subscript"/>
              </w:rPr>
              <w:t>50</w:t>
            </w:r>
            <w:r w:rsidR="002B021C">
              <w:t xml:space="preserve"> (</w:t>
            </w:r>
            <w:proofErr w:type="spellStart"/>
            <w:r w:rsidR="002B021C">
              <w:t>μ</w:t>
            </w:r>
            <w:proofErr w:type="gramStart"/>
            <w:r w:rsidR="002B021C">
              <w:t>M</w:t>
            </w:r>
            <w:proofErr w:type="spellEnd"/>
            <w:r w:rsidR="002B021C">
              <w:t>)</w:t>
            </w:r>
            <w:r w:rsidR="000E6AD0">
              <w:rPr>
                <w:vertAlign w:val="superscript"/>
              </w:rPr>
              <w:t>b</w:t>
            </w:r>
            <w:proofErr w:type="gramEnd"/>
          </w:p>
        </w:tc>
      </w:tr>
      <w:tr w:rsidR="002E6A0C" w14:paraId="1B010648" w14:textId="77777777" w:rsidTr="000E6AD0">
        <w:trPr>
          <w:trHeight w:val="877"/>
        </w:trPr>
        <w:tc>
          <w:tcPr>
            <w:tcW w:w="1134" w:type="dxa"/>
            <w:tcBorders>
              <w:top w:val="single" w:sz="4" w:space="0" w:color="auto"/>
            </w:tcBorders>
            <w:vAlign w:val="center"/>
          </w:tcPr>
          <w:p w14:paraId="4E4CEE43" w14:textId="76676BFC" w:rsidR="002E6A0C" w:rsidRPr="00482B89" w:rsidRDefault="002E6A0C" w:rsidP="000E6AD0">
            <w:pPr>
              <w:pStyle w:val="ElsParagraph"/>
              <w:ind w:firstLine="0"/>
              <w:jc w:val="center"/>
            </w:pPr>
            <w:r w:rsidRPr="00482B89">
              <w:t>NMR154</w:t>
            </w:r>
          </w:p>
        </w:tc>
        <w:tc>
          <w:tcPr>
            <w:tcW w:w="2268" w:type="dxa"/>
            <w:tcBorders>
              <w:top w:val="single" w:sz="4" w:space="0" w:color="auto"/>
            </w:tcBorders>
            <w:vAlign w:val="bottom"/>
          </w:tcPr>
          <w:p w14:paraId="785D5D19" w14:textId="31B9B5FA" w:rsidR="002E6A0C" w:rsidRDefault="00D05925" w:rsidP="00DA1A76">
            <w:pPr>
              <w:pStyle w:val="ElsParagraph"/>
              <w:ind w:firstLine="0"/>
              <w:jc w:val="center"/>
            </w:pPr>
            <w:r>
              <w:rPr>
                <w:noProof/>
              </w:rPr>
              <w:object w:dxaOrig="1440" w:dyaOrig="1440" w14:anchorId="66E02B32">
                <v:shape id="_x0000_s1041" type="#_x0000_t75" style="position:absolute;left:0;text-align:left;margin-left:-3pt;margin-top:-41.15pt;width:89.5pt;height:40.8pt;z-index:251707392;mso-position-horizontal-relative:text;mso-position-vertical-relative:text">
                  <v:imagedata r:id="rId23" o:title=""/>
                  <w10:wrap type="square"/>
                </v:shape>
                <o:OLEObject Type="Embed" ProgID="ChemDraw.Document.6.0" ShapeID="_x0000_s1041" DrawAspect="Content" ObjectID="_1587793432" r:id="rId24"/>
              </w:object>
            </w:r>
          </w:p>
        </w:tc>
        <w:tc>
          <w:tcPr>
            <w:tcW w:w="709" w:type="dxa"/>
            <w:tcBorders>
              <w:top w:val="single" w:sz="4" w:space="0" w:color="auto"/>
            </w:tcBorders>
            <w:vAlign w:val="center"/>
          </w:tcPr>
          <w:p w14:paraId="30C98357" w14:textId="5E184E8C" w:rsidR="002E6A0C" w:rsidRDefault="002E6A0C" w:rsidP="00FC0702">
            <w:pPr>
              <w:pStyle w:val="ElsParagraph"/>
              <w:ind w:firstLine="0"/>
              <w:jc w:val="left"/>
            </w:pPr>
            <w:r>
              <w:t>2.60</w:t>
            </w:r>
          </w:p>
        </w:tc>
        <w:tc>
          <w:tcPr>
            <w:tcW w:w="1134" w:type="dxa"/>
            <w:tcBorders>
              <w:top w:val="single" w:sz="4" w:space="0" w:color="auto"/>
            </w:tcBorders>
            <w:vAlign w:val="center"/>
          </w:tcPr>
          <w:p w14:paraId="3DC072CD" w14:textId="1A780709" w:rsidR="002E6A0C" w:rsidRDefault="00D148E0" w:rsidP="00FC0702">
            <w:pPr>
              <w:pStyle w:val="ElsParagraph"/>
              <w:ind w:firstLine="0"/>
              <w:jc w:val="left"/>
            </w:pPr>
            <w:r>
              <w:t>9</w:t>
            </w:r>
            <w:r w:rsidR="002B021C">
              <w:t>00</w:t>
            </w:r>
          </w:p>
        </w:tc>
      </w:tr>
      <w:tr w:rsidR="002E6A0C" w14:paraId="33BC1A4C" w14:textId="77777777" w:rsidTr="000E6AD0">
        <w:trPr>
          <w:trHeight w:val="1272"/>
        </w:trPr>
        <w:tc>
          <w:tcPr>
            <w:tcW w:w="1134" w:type="dxa"/>
            <w:vAlign w:val="center"/>
          </w:tcPr>
          <w:p w14:paraId="76FAA56C" w14:textId="6D3ABFDE" w:rsidR="002E6A0C" w:rsidRPr="00482B89" w:rsidRDefault="007754E4" w:rsidP="002B021C">
            <w:pPr>
              <w:pStyle w:val="ElsParagraph"/>
              <w:ind w:firstLine="0"/>
              <w:jc w:val="center"/>
              <w:rPr>
                <w:b/>
              </w:rPr>
            </w:pPr>
            <w:r w:rsidRPr="00482B89">
              <w:rPr>
                <w:b/>
              </w:rPr>
              <w:t>2</w:t>
            </w:r>
          </w:p>
        </w:tc>
        <w:tc>
          <w:tcPr>
            <w:tcW w:w="2268" w:type="dxa"/>
            <w:vAlign w:val="bottom"/>
          </w:tcPr>
          <w:p w14:paraId="08A91B7F" w14:textId="043B1D3D" w:rsidR="002E6A0C" w:rsidRDefault="00D05925" w:rsidP="00FC0702">
            <w:pPr>
              <w:pStyle w:val="ElsParagraph"/>
              <w:ind w:firstLine="0"/>
              <w:jc w:val="center"/>
            </w:pPr>
            <w:r>
              <w:rPr>
                <w:noProof/>
              </w:rPr>
              <w:pict w14:anchorId="60E8E251">
                <v:shape id="_x0000_s1045" type="#_x0000_t75" style="position:absolute;left:0;text-align:left;margin-left:-.55pt;margin-top:-62.95pt;width:106.2pt;height:62.4pt;z-index:251708416;mso-position-horizontal-relative:text;mso-position-vertical-relative:text">
                  <v:imagedata r:id="rId25" o:title=""/>
                  <w10:wrap type="square"/>
                </v:shape>
              </w:pict>
            </w:r>
          </w:p>
        </w:tc>
        <w:tc>
          <w:tcPr>
            <w:tcW w:w="709" w:type="dxa"/>
            <w:vAlign w:val="center"/>
          </w:tcPr>
          <w:p w14:paraId="5A9082F8" w14:textId="02F6B967" w:rsidR="002E6A0C" w:rsidRDefault="002E6A0C" w:rsidP="00FC0702">
            <w:pPr>
              <w:pStyle w:val="ElsParagraph"/>
              <w:ind w:firstLine="0"/>
              <w:jc w:val="left"/>
            </w:pPr>
            <w:r>
              <w:t>3.49</w:t>
            </w:r>
          </w:p>
        </w:tc>
        <w:tc>
          <w:tcPr>
            <w:tcW w:w="1134" w:type="dxa"/>
            <w:vAlign w:val="center"/>
          </w:tcPr>
          <w:p w14:paraId="74FD47E5" w14:textId="1769224C" w:rsidR="002E6A0C" w:rsidRDefault="002B021C" w:rsidP="00FC0702">
            <w:pPr>
              <w:pStyle w:val="ElsParagraph"/>
              <w:ind w:firstLine="0"/>
              <w:jc w:val="left"/>
            </w:pPr>
            <w:r>
              <w:t>150</w:t>
            </w:r>
          </w:p>
        </w:tc>
      </w:tr>
      <w:tr w:rsidR="002E6A0C" w14:paraId="7476D05D" w14:textId="77777777" w:rsidTr="000E6AD0">
        <w:trPr>
          <w:trHeight w:val="1394"/>
        </w:trPr>
        <w:tc>
          <w:tcPr>
            <w:tcW w:w="1134" w:type="dxa"/>
            <w:vAlign w:val="center"/>
          </w:tcPr>
          <w:p w14:paraId="5249A40F" w14:textId="4A3BE71A" w:rsidR="002E6A0C" w:rsidRPr="00482B89" w:rsidRDefault="007754E4" w:rsidP="002B021C">
            <w:pPr>
              <w:pStyle w:val="ElsParagraph"/>
              <w:ind w:firstLine="0"/>
              <w:jc w:val="center"/>
              <w:rPr>
                <w:b/>
              </w:rPr>
            </w:pPr>
            <w:r w:rsidRPr="00482B89">
              <w:rPr>
                <w:b/>
              </w:rPr>
              <w:t>3</w:t>
            </w:r>
          </w:p>
        </w:tc>
        <w:tc>
          <w:tcPr>
            <w:tcW w:w="2268" w:type="dxa"/>
            <w:vAlign w:val="bottom"/>
          </w:tcPr>
          <w:p w14:paraId="6E27B41B" w14:textId="3D63DFEF" w:rsidR="002E6A0C" w:rsidRDefault="00D05925" w:rsidP="00DA1A76">
            <w:pPr>
              <w:pStyle w:val="ElsParagraph"/>
              <w:ind w:firstLine="0"/>
              <w:jc w:val="center"/>
            </w:pPr>
            <w:r>
              <w:rPr>
                <w:noProof/>
              </w:rPr>
              <w:object w:dxaOrig="1440" w:dyaOrig="1440" w14:anchorId="2E142AAA">
                <v:shape id="_x0000_s1049" type="#_x0000_t75" style="position:absolute;left:0;text-align:left;margin-left:-.25pt;margin-top:.05pt;width:106.2pt;height:72.6pt;z-index:251709440;mso-position-horizontal-relative:text;mso-position-vertical-relative:text">
                  <v:imagedata r:id="rId26" o:title=""/>
                  <w10:wrap type="square"/>
                </v:shape>
                <o:OLEObject Type="Embed" ProgID="ChemDraw.Document.6.0" ShapeID="_x0000_s1049" DrawAspect="Content" ObjectID="_1587793433" r:id="rId27"/>
              </w:object>
            </w:r>
          </w:p>
        </w:tc>
        <w:tc>
          <w:tcPr>
            <w:tcW w:w="709" w:type="dxa"/>
            <w:vAlign w:val="center"/>
          </w:tcPr>
          <w:p w14:paraId="043555CA" w14:textId="6DA58690" w:rsidR="002E6A0C" w:rsidRDefault="002E6A0C" w:rsidP="00FC0702">
            <w:pPr>
              <w:pStyle w:val="ElsParagraph"/>
              <w:ind w:firstLine="0"/>
              <w:jc w:val="left"/>
            </w:pPr>
            <w:r>
              <w:t>4.60</w:t>
            </w:r>
          </w:p>
        </w:tc>
        <w:tc>
          <w:tcPr>
            <w:tcW w:w="1134" w:type="dxa"/>
            <w:vAlign w:val="center"/>
          </w:tcPr>
          <w:p w14:paraId="0D28E21B" w14:textId="1EC918D6" w:rsidR="002E6A0C" w:rsidRDefault="002B021C" w:rsidP="00FC0702">
            <w:pPr>
              <w:pStyle w:val="ElsParagraph"/>
              <w:ind w:firstLine="0"/>
              <w:jc w:val="left"/>
            </w:pPr>
            <w:r>
              <w:t>205</w:t>
            </w:r>
          </w:p>
        </w:tc>
      </w:tr>
      <w:tr w:rsidR="002E6A0C" w14:paraId="0B55F000" w14:textId="77777777" w:rsidTr="000E6AD0">
        <w:trPr>
          <w:trHeight w:val="1292"/>
        </w:trPr>
        <w:tc>
          <w:tcPr>
            <w:tcW w:w="1134" w:type="dxa"/>
            <w:vAlign w:val="center"/>
          </w:tcPr>
          <w:p w14:paraId="0D248696" w14:textId="265BA4D9" w:rsidR="002E6A0C" w:rsidRPr="00482B89" w:rsidRDefault="007754E4" w:rsidP="002B021C">
            <w:pPr>
              <w:pStyle w:val="ElsParagraph"/>
              <w:ind w:firstLine="0"/>
              <w:jc w:val="center"/>
              <w:rPr>
                <w:b/>
              </w:rPr>
            </w:pPr>
            <w:r w:rsidRPr="00482B89">
              <w:rPr>
                <w:b/>
              </w:rPr>
              <w:t>4</w:t>
            </w:r>
          </w:p>
        </w:tc>
        <w:tc>
          <w:tcPr>
            <w:tcW w:w="2268" w:type="dxa"/>
            <w:vAlign w:val="bottom"/>
          </w:tcPr>
          <w:p w14:paraId="4D4BD347" w14:textId="13FD0AB1" w:rsidR="002E6A0C" w:rsidRDefault="00D05925" w:rsidP="00FC0702">
            <w:pPr>
              <w:pStyle w:val="ElsParagraph"/>
              <w:ind w:firstLine="0"/>
              <w:jc w:val="center"/>
            </w:pPr>
            <w:r>
              <w:rPr>
                <w:noProof/>
              </w:rPr>
              <w:object w:dxaOrig="1440" w:dyaOrig="1440" w14:anchorId="38711164">
                <v:shape id="_x0000_s1050" type="#_x0000_t75" style="position:absolute;left:0;text-align:left;margin-left:.1pt;margin-top:-57.05pt;width:106.2pt;height:58.8pt;z-index:251711488;mso-position-horizontal-relative:text;mso-position-vertical-relative:text">
                  <v:imagedata r:id="rId28" o:title=""/>
                  <w10:wrap type="square"/>
                </v:shape>
                <o:OLEObject Type="Embed" ProgID="ChemDraw.Document.6.0" ShapeID="_x0000_s1050" DrawAspect="Content" ObjectID="_1587793434" r:id="rId29"/>
              </w:object>
            </w:r>
          </w:p>
        </w:tc>
        <w:tc>
          <w:tcPr>
            <w:tcW w:w="709" w:type="dxa"/>
            <w:vAlign w:val="center"/>
          </w:tcPr>
          <w:p w14:paraId="70F519C4" w14:textId="36604654" w:rsidR="002E6A0C" w:rsidRDefault="002E6A0C" w:rsidP="00FC0702">
            <w:pPr>
              <w:pStyle w:val="ElsParagraph"/>
              <w:ind w:firstLine="0"/>
              <w:jc w:val="left"/>
            </w:pPr>
            <w:r>
              <w:t>3.86</w:t>
            </w:r>
          </w:p>
        </w:tc>
        <w:tc>
          <w:tcPr>
            <w:tcW w:w="1134" w:type="dxa"/>
            <w:vAlign w:val="center"/>
          </w:tcPr>
          <w:p w14:paraId="05EA5F48" w14:textId="07872954" w:rsidR="002E6A0C" w:rsidRDefault="002B021C" w:rsidP="00FC0702">
            <w:pPr>
              <w:pStyle w:val="ElsParagraph"/>
              <w:ind w:firstLine="0"/>
              <w:jc w:val="left"/>
            </w:pPr>
            <w:r>
              <w:t>208</w:t>
            </w:r>
          </w:p>
        </w:tc>
      </w:tr>
      <w:tr w:rsidR="002E6A0C" w14:paraId="3A25E7A5" w14:textId="77777777" w:rsidTr="000E6AD0">
        <w:trPr>
          <w:trHeight w:val="1560"/>
        </w:trPr>
        <w:tc>
          <w:tcPr>
            <w:tcW w:w="1134" w:type="dxa"/>
            <w:vAlign w:val="center"/>
          </w:tcPr>
          <w:p w14:paraId="7AE4F53B" w14:textId="16E968D7" w:rsidR="002E6A0C" w:rsidRPr="00482B89" w:rsidRDefault="007754E4" w:rsidP="002B021C">
            <w:pPr>
              <w:pStyle w:val="ElsParagraph"/>
              <w:ind w:firstLine="0"/>
              <w:jc w:val="center"/>
              <w:rPr>
                <w:b/>
              </w:rPr>
            </w:pPr>
            <w:r w:rsidRPr="00482B89">
              <w:rPr>
                <w:b/>
              </w:rPr>
              <w:t>5</w:t>
            </w:r>
          </w:p>
        </w:tc>
        <w:tc>
          <w:tcPr>
            <w:tcW w:w="2268" w:type="dxa"/>
            <w:vAlign w:val="bottom"/>
          </w:tcPr>
          <w:p w14:paraId="3CA0D258" w14:textId="2CC5E364" w:rsidR="002E6A0C" w:rsidRDefault="00D05925" w:rsidP="00FC0702">
            <w:pPr>
              <w:pStyle w:val="ElsParagraph"/>
              <w:ind w:firstLine="0"/>
              <w:jc w:val="center"/>
            </w:pPr>
            <w:r>
              <w:rPr>
                <w:noProof/>
              </w:rPr>
              <w:object w:dxaOrig="1440" w:dyaOrig="1440" w14:anchorId="28E67A2D">
                <v:shape id="_x0000_s1051" type="#_x0000_t75" style="position:absolute;left:0;text-align:left;margin-left:2.5pt;margin-top:-53.3pt;width:106.2pt;height:62.4pt;z-index:251713536;mso-position-horizontal-relative:text;mso-position-vertical-relative:text">
                  <v:imagedata r:id="rId30" o:title=""/>
                  <w10:wrap type="square"/>
                </v:shape>
                <o:OLEObject Type="Embed" ProgID="ChemDraw.Document.6.0" ShapeID="_x0000_s1051" DrawAspect="Content" ObjectID="_1587793435" r:id="rId31"/>
              </w:object>
            </w:r>
          </w:p>
        </w:tc>
        <w:tc>
          <w:tcPr>
            <w:tcW w:w="709" w:type="dxa"/>
            <w:vAlign w:val="center"/>
          </w:tcPr>
          <w:p w14:paraId="00B241D4" w14:textId="1A2F6D9C" w:rsidR="002E6A0C" w:rsidRDefault="002E6A0C" w:rsidP="00FC0702">
            <w:pPr>
              <w:pStyle w:val="ElsParagraph"/>
              <w:ind w:firstLine="0"/>
              <w:jc w:val="left"/>
            </w:pPr>
            <w:r>
              <w:t>3.19</w:t>
            </w:r>
          </w:p>
        </w:tc>
        <w:tc>
          <w:tcPr>
            <w:tcW w:w="1134" w:type="dxa"/>
            <w:vAlign w:val="center"/>
          </w:tcPr>
          <w:p w14:paraId="51941CE9" w14:textId="690E70BE" w:rsidR="002E6A0C" w:rsidRDefault="002B021C" w:rsidP="00FC0702">
            <w:pPr>
              <w:pStyle w:val="ElsParagraph"/>
              <w:ind w:firstLine="0"/>
              <w:jc w:val="left"/>
            </w:pPr>
            <w:r>
              <w:t>493</w:t>
            </w:r>
          </w:p>
        </w:tc>
      </w:tr>
      <w:tr w:rsidR="003E4054" w14:paraId="434A6B2B" w14:textId="77777777" w:rsidTr="003E4054">
        <w:trPr>
          <w:trHeight w:val="1318"/>
        </w:trPr>
        <w:tc>
          <w:tcPr>
            <w:tcW w:w="1134" w:type="dxa"/>
            <w:vAlign w:val="center"/>
          </w:tcPr>
          <w:p w14:paraId="7A9C4E54" w14:textId="52B3667D" w:rsidR="003E4054" w:rsidRDefault="003E4054" w:rsidP="002B021C">
            <w:pPr>
              <w:pStyle w:val="ElsParagraph"/>
              <w:ind w:firstLine="0"/>
              <w:jc w:val="center"/>
              <w:rPr>
                <w:b/>
              </w:rPr>
            </w:pPr>
            <w:r>
              <w:rPr>
                <w:b/>
              </w:rPr>
              <w:t>6</w:t>
            </w:r>
          </w:p>
        </w:tc>
        <w:tc>
          <w:tcPr>
            <w:tcW w:w="2268" w:type="dxa"/>
            <w:vAlign w:val="bottom"/>
          </w:tcPr>
          <w:p w14:paraId="5975EEF7" w14:textId="2AE86F9A" w:rsidR="003E4054" w:rsidRDefault="00D05925" w:rsidP="003E4054">
            <w:pPr>
              <w:pStyle w:val="ElsParagraph"/>
              <w:ind w:firstLine="0"/>
              <w:jc w:val="center"/>
              <w:rPr>
                <w:noProof/>
              </w:rPr>
            </w:pPr>
            <w:r>
              <w:rPr>
                <w:noProof/>
              </w:rPr>
              <w:object w:dxaOrig="1440" w:dyaOrig="1440" w14:anchorId="149FE991">
                <v:shape id="_x0000_s1058" type="#_x0000_t75" style="position:absolute;left:0;text-align:left;margin-left:18.1pt;margin-top:.45pt;width:84.85pt;height:76.3pt;z-index:251722752;mso-position-horizontal-relative:text;mso-position-vertical-relative:text">
                  <v:imagedata r:id="rId32" o:title=""/>
                  <w10:wrap type="square"/>
                </v:shape>
                <o:OLEObject Type="Embed" ProgID="ChemDraw.Document.6.0" ShapeID="_x0000_s1058" DrawAspect="Content" ObjectID="_1587793436" r:id="rId33"/>
              </w:object>
            </w:r>
          </w:p>
        </w:tc>
        <w:tc>
          <w:tcPr>
            <w:tcW w:w="709" w:type="dxa"/>
            <w:vAlign w:val="center"/>
          </w:tcPr>
          <w:p w14:paraId="1C5D5CB7" w14:textId="4C4C8BF3" w:rsidR="003E4054" w:rsidRDefault="006E2BDB" w:rsidP="00FC0702">
            <w:pPr>
              <w:pStyle w:val="ElsParagraph"/>
              <w:ind w:firstLine="0"/>
              <w:jc w:val="left"/>
            </w:pPr>
            <w:r>
              <w:t>2.91</w:t>
            </w:r>
          </w:p>
        </w:tc>
        <w:tc>
          <w:tcPr>
            <w:tcW w:w="1134" w:type="dxa"/>
            <w:vAlign w:val="center"/>
          </w:tcPr>
          <w:p w14:paraId="44BA89EF" w14:textId="10FC7115" w:rsidR="003E4054" w:rsidRDefault="003E4054" w:rsidP="00FC0702">
            <w:pPr>
              <w:pStyle w:val="ElsParagraph"/>
              <w:ind w:firstLine="0"/>
              <w:jc w:val="left"/>
            </w:pPr>
            <w:r>
              <w:t>3000</w:t>
            </w:r>
          </w:p>
        </w:tc>
      </w:tr>
      <w:tr w:rsidR="00FC0702" w14:paraId="2DD6B8C0" w14:textId="77777777" w:rsidTr="000E6AD0">
        <w:trPr>
          <w:trHeight w:val="1318"/>
        </w:trPr>
        <w:tc>
          <w:tcPr>
            <w:tcW w:w="1134" w:type="dxa"/>
            <w:vAlign w:val="center"/>
          </w:tcPr>
          <w:p w14:paraId="2265C95D" w14:textId="12511D7A" w:rsidR="000B370D" w:rsidRDefault="00A212EB" w:rsidP="002B021C">
            <w:pPr>
              <w:pStyle w:val="ElsParagraph"/>
              <w:ind w:firstLine="0"/>
              <w:jc w:val="center"/>
              <w:rPr>
                <w:b/>
              </w:rPr>
            </w:pPr>
            <w:r>
              <w:rPr>
                <w:b/>
              </w:rPr>
              <w:t>7</w:t>
            </w:r>
          </w:p>
          <w:p w14:paraId="2224D3EE" w14:textId="44497D1D" w:rsidR="00FC0702" w:rsidRPr="00482B89" w:rsidRDefault="00C17073" w:rsidP="002B021C">
            <w:pPr>
              <w:pStyle w:val="ElsParagraph"/>
              <w:ind w:firstLine="0"/>
              <w:jc w:val="center"/>
              <w:rPr>
                <w:b/>
              </w:rPr>
            </w:pPr>
            <w:r>
              <w:rPr>
                <w:b/>
              </w:rPr>
              <w:t>CAM187</w:t>
            </w:r>
          </w:p>
        </w:tc>
        <w:tc>
          <w:tcPr>
            <w:tcW w:w="2268" w:type="dxa"/>
            <w:vAlign w:val="bottom"/>
          </w:tcPr>
          <w:p w14:paraId="79E30695" w14:textId="656623B7" w:rsidR="00FC0702" w:rsidRDefault="00D05925" w:rsidP="00FC0702">
            <w:pPr>
              <w:pStyle w:val="ElsParagraph"/>
              <w:ind w:firstLine="0"/>
              <w:jc w:val="center"/>
            </w:pPr>
            <w:r>
              <w:rPr>
                <w:noProof/>
              </w:rPr>
              <w:object w:dxaOrig="1440" w:dyaOrig="1440" w14:anchorId="53FB6DD6">
                <v:shape id="_x0000_s1052" type="#_x0000_t75" style="position:absolute;left:0;text-align:left;margin-left:-4.7pt;margin-top:-81.4pt;width:105.6pt;height:80.4pt;z-index:251715584;mso-position-horizontal-relative:text;mso-position-vertical-relative:text">
                  <v:imagedata r:id="rId34" o:title=""/>
                  <w10:wrap type="square"/>
                </v:shape>
                <o:OLEObject Type="Embed" ProgID="ChemDraw.Document.6.0" ShapeID="_x0000_s1052" DrawAspect="Content" ObjectID="_1587793437" r:id="rId35"/>
              </w:object>
            </w:r>
          </w:p>
        </w:tc>
        <w:tc>
          <w:tcPr>
            <w:tcW w:w="709" w:type="dxa"/>
            <w:vAlign w:val="center"/>
          </w:tcPr>
          <w:p w14:paraId="15807A04" w14:textId="6D040861" w:rsidR="00FC0702" w:rsidRDefault="00FC0702" w:rsidP="00FC0702">
            <w:pPr>
              <w:pStyle w:val="ElsParagraph"/>
              <w:ind w:firstLine="0"/>
              <w:jc w:val="left"/>
            </w:pPr>
            <w:r>
              <w:t>3.45</w:t>
            </w:r>
          </w:p>
        </w:tc>
        <w:tc>
          <w:tcPr>
            <w:tcW w:w="1134" w:type="dxa"/>
            <w:vAlign w:val="center"/>
          </w:tcPr>
          <w:p w14:paraId="7CD5B6E7" w14:textId="6799806D" w:rsidR="00FC0702" w:rsidRDefault="002B021C" w:rsidP="00FC0702">
            <w:pPr>
              <w:pStyle w:val="ElsParagraph"/>
              <w:ind w:firstLine="0"/>
              <w:jc w:val="left"/>
            </w:pPr>
            <w:r>
              <w:t>44</w:t>
            </w:r>
          </w:p>
        </w:tc>
      </w:tr>
    </w:tbl>
    <w:p w14:paraId="587C9DDF" w14:textId="3B2E8EBC" w:rsidR="00A50428" w:rsidRDefault="00CC2ED0" w:rsidP="00A50428">
      <w:pPr>
        <w:pStyle w:val="ElsParagraph"/>
      </w:pPr>
      <w:r>
        <w:rPr>
          <w:noProof/>
        </w:rPr>
        <mc:AlternateContent>
          <mc:Choice Requires="wps">
            <w:drawing>
              <wp:anchor distT="45720" distB="45720" distL="114300" distR="114300" simplePos="0" relativeHeight="251717632" behindDoc="0" locked="0" layoutInCell="1" allowOverlap="1" wp14:anchorId="0929626B" wp14:editId="04269F34">
                <wp:simplePos x="0" y="0"/>
                <wp:positionH relativeFrom="column">
                  <wp:align>left</wp:align>
                </wp:positionH>
                <wp:positionV relativeFrom="paragraph">
                  <wp:posOffset>193040</wp:posOffset>
                </wp:positionV>
                <wp:extent cx="3169920" cy="365760"/>
                <wp:effectExtent l="0" t="0" r="0" b="0"/>
                <wp:wrapSquare wrapText="bothSides"/>
                <wp:docPr id="1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169920" cy="365760"/>
                        </a:xfrm>
                        <a:prstGeom prst="rect">
                          <a:avLst/>
                        </a:prstGeom>
                        <a:solidFill>
                          <a:srgbClr val="FFFFFF"/>
                        </a:solidFill>
                        <a:ln w="9525">
                          <a:noFill/>
                          <a:miter lim="800000"/>
                          <a:headEnd/>
                          <a:tailEnd/>
                        </a:ln>
                      </wps:spPr>
                      <wps:txbx>
                        <w:txbxContent>
                          <w:p w14:paraId="37C420F6" w14:textId="129E4B48" w:rsidR="00D27132" w:rsidRPr="000E6AD0" w:rsidRDefault="00D27132" w:rsidP="000E6AD0">
                            <w:pPr>
                              <w:pStyle w:val="ElsFigureCaption"/>
                            </w:pPr>
                            <w:r>
                              <w:rPr>
                                <w:vertAlign w:val="superscript"/>
                              </w:rPr>
                              <w:t>a</w:t>
                            </w:r>
                            <w:r>
                              <w:t xml:space="preserve"> calculated of partition coefficient. </w:t>
                            </w:r>
                            <w:r>
                              <w:rPr>
                                <w:vertAlign w:val="superscript"/>
                              </w:rPr>
                              <w:t>b</w:t>
                            </w:r>
                            <w:r>
                              <w:t xml:space="preserve"> </w:t>
                            </w:r>
                            <w:r w:rsidRPr="000E6AD0">
                              <w:t>half maximal inhibitory concentration</w:t>
                            </w:r>
                            <w:r>
                              <w:t>.</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0929626B" id="_x0000_s1034" type="#_x0000_t202" style="position:absolute;left:0;text-align:left;margin-left:0;margin-top:15.2pt;width:249.6pt;height:28.8pt;z-index:251717632;visibility:visible;mso-wrap-style:square;mso-width-percent:0;mso-height-percent:0;mso-wrap-distance-left:9pt;mso-wrap-distance-top:3.6pt;mso-wrap-distance-right:9pt;mso-wrap-distance-bottom:3.6pt;mso-position-horizontal:left;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" stroked="f">
                <v:textbox>
                  <w:txbxContent>
                    <w:p w14:paraId="37C420F6" w14:textId="129E4B48" w:rsidR="00D27132" w:rsidRPr="000E6AD0" w:rsidRDefault="00D27132" w:rsidP="000E6AD0">
                      <w:pPr>
                        <w:pStyle w:val="ElsFigureCaption"/>
                      </w:pPr>
                      <w:r>
                        <w:rPr>
                          <w:vertAlign w:val="superscript"/>
                        </w:rPr>
                        <w:t>a</w:t>
                      </w:r>
                      <w:r>
                        <w:t xml:space="preserve"> calculated of partition coefficient. </w:t>
                      </w:r>
                      <w:r>
                        <w:rPr>
                          <w:vertAlign w:val="superscript"/>
                        </w:rPr>
                        <w:t>b</w:t>
                      </w:r>
                      <w:r>
                        <w:t xml:space="preserve"> </w:t>
                      </w:r>
                      <w:r w:rsidRPr="000E6AD0">
                        <w:t>half maximal inhibitory concentration</w:t>
                      </w:r>
                      <w:r>
                        <w:t>.</w:t>
                      </w:r>
                    </w:p>
                  </w:txbxContent>
                </v:textbox>
                <w10:wrap type="square"/>
              </v:shape>
            </w:pict>
          </mc:Fallback>
        </mc:AlternateContent>
      </w:r>
    </w:p>
    <w:p w14:paraId="1F6C428E" w14:textId="588CFA2C" w:rsidR="00A50428" w:rsidRDefault="00A50428" w:rsidP="00A50428">
      <w:pPr>
        <w:pStyle w:val="ElsParagraph"/>
        <w:rPr>
          <w:lang w:eastAsia="en-GB"/>
        </w:rPr>
      </w:pPr>
      <w:r w:rsidRPr="00DE47B9">
        <w:rPr>
          <w:b/>
          <w:lang w:eastAsia="en-GB"/>
        </w:rPr>
        <w:t>CAM187</w:t>
      </w:r>
      <w:r>
        <w:rPr>
          <w:lang w:eastAsia="en-GB"/>
        </w:rPr>
        <w:t xml:space="preserve"> has advantages over previously discovered interface inhibitors because of its </w:t>
      </w:r>
      <w:r w:rsidR="00C25E84">
        <w:rPr>
          <w:lang w:eastAsia="en-GB"/>
        </w:rPr>
        <w:t>fragment</w:t>
      </w:r>
      <w:r>
        <w:rPr>
          <w:lang w:eastAsia="en-GB"/>
        </w:rPr>
        <w:t xml:space="preserve">-like nature (see </w:t>
      </w:r>
      <w:r>
        <w:rPr>
          <w:b/>
          <w:lang w:eastAsia="en-GB"/>
        </w:rPr>
        <w:t>Table 2</w:t>
      </w:r>
      <w:r>
        <w:rPr>
          <w:lang w:eastAsia="en-GB"/>
        </w:rPr>
        <w:t>). W16</w:t>
      </w:r>
      <w:r w:rsidR="002758A6">
        <w:rPr>
          <w:lang w:eastAsia="en-GB"/>
        </w:rPr>
        <w:t xml:space="preserve"> (IC</w:t>
      </w:r>
      <w:r w:rsidR="002758A6">
        <w:rPr>
          <w:vertAlign w:val="subscript"/>
          <w:lang w:eastAsia="en-GB"/>
        </w:rPr>
        <w:t>50</w:t>
      </w:r>
      <w:r w:rsidR="002758A6">
        <w:rPr>
          <w:lang w:eastAsia="en-GB"/>
        </w:rPr>
        <w:t xml:space="preserve"> ≈ 20 </w:t>
      </w:r>
      <w:proofErr w:type="spellStart"/>
      <w:r w:rsidR="002758A6">
        <w:rPr>
          <w:lang w:eastAsia="en-GB"/>
        </w:rPr>
        <w:t>μM</w:t>
      </w:r>
      <w:proofErr w:type="spellEnd"/>
      <w:r w:rsidR="002758A6">
        <w:rPr>
          <w:lang w:eastAsia="en-GB"/>
        </w:rPr>
        <w:t>)</w:t>
      </w:r>
      <w:r w:rsidR="002758A6">
        <w:rPr>
          <w:lang w:eastAsia="en-GB"/>
        </w:rPr>
        <w:fldChar w:fldCharType="begin" w:fldLock="1"/>
      </w:r>
      <w:r w:rsidR="00B06106">
        <w:rPr>
          <w:lang w:eastAsia="en-GB"/>
        </w:rPr>
        <w:instrText>ADDIN CSL_CITATION { "citationItems" : [ { "id" : "ITEM-1", "itemData" : { "DOI" : "10.1007/s11010-008-9821-6", "ISSN" : "0300-8177", "author" : [ { "dropping-particle" : "", "family" : "Laudet", "given" : "B\u00e9atrice", "non-dropping-particle" : "", "parse-names" : false, "suffix" : "" }, { "dropping-particle" : "", "family" : "Moucadel", "given" : "Virginie", "non-dropping-particle" : "", "parse-names" : false, "suffix" : "" }, { "dropping-particle" : "", "family" : "Prudent", "given" : "Renaud", "non-dropping-particle" : "", "parse-names" : false, "suffix" : "" }, { "dropping-particle" : "", "family" : "Filhol", "given" : "Odile", "non-dropping-particle" : "", "parse-names" : false, "suffix" : "" }, { "dropping-particle" : "", "family" : "Wong", "given" : "Yung-Sing", "non-dropping-particle" : "", "parse-names" : false, "suffix" : "" }, { "dropping-particle" : "", "family" : "Royer", "given" : "Daniel", "non-dropping-particle" : "", "parse-names" : false, "suffix" : "" }, { "dropping-particle" : "", "family" : "Cochet", "given" : "Claude", "non-dropping-particle" : "", "parse-names" : false, "suffix" : "" } ], "container-title" : "Molecular and Cellular Biochemistry", "id" : "ITEM-1", "issue" : "1-2", "issued" : { "date-parts" : [ [ "2008", "9", "14" ] ] }, "page" : "63-69", "publisher" : "Springer US", "title" : "Identification of chemical inhibitors of protein-kinase CK2 subunit interaction", "type" : "article-journal", "volume" : "316" }, "uris" : [ "http://www.mendeley.com/documents/?uuid=8d3a9556-ec30-3890-af9a-46387f0a857d" ] } ], "mendeley" : { "formattedCitation" : "&lt;sup&gt;17&lt;/sup&gt;", "plainTextFormattedCitation" : "17", "previouslyFormattedCitation" : "&lt;sup&gt;17&lt;/sup&gt;" }, "properties" : {  }, "schema" : "https://github.com/citation-style-language/schema/raw/master/csl-citation.json" }</w:instrText>
      </w:r>
      <w:r w:rsidR="002758A6">
        <w:rPr>
          <w:lang w:eastAsia="en-GB"/>
        </w:rPr>
        <w:fldChar w:fldCharType="separate"/>
      </w:r>
      <w:r w:rsidR="00B06106" w:rsidRPr="00B06106">
        <w:rPr>
          <w:noProof/>
          <w:vertAlign w:val="superscript"/>
          <w:lang w:eastAsia="en-GB"/>
        </w:rPr>
        <w:t>17</w:t>
      </w:r>
      <w:r w:rsidR="002758A6">
        <w:rPr>
          <w:lang w:eastAsia="en-GB"/>
        </w:rPr>
        <w:fldChar w:fldCharType="end"/>
      </w:r>
      <w:r>
        <w:rPr>
          <w:lang w:eastAsia="en-GB"/>
        </w:rPr>
        <w:t xml:space="preserve"> and the diazo compound</w:t>
      </w:r>
      <w:r w:rsidR="00F4270B">
        <w:rPr>
          <w:lang w:eastAsia="en-GB"/>
        </w:rPr>
        <w:t xml:space="preserve"> (IC</w:t>
      </w:r>
      <w:r w:rsidR="00F4270B">
        <w:rPr>
          <w:vertAlign w:val="subscript"/>
          <w:lang w:eastAsia="en-GB"/>
        </w:rPr>
        <w:t>50</w:t>
      </w:r>
      <w:r w:rsidR="00F4270B">
        <w:rPr>
          <w:lang w:eastAsia="en-GB"/>
        </w:rPr>
        <w:t xml:space="preserve"> ≈ 0.4 </w:t>
      </w:r>
      <w:proofErr w:type="spellStart"/>
      <w:r w:rsidR="00F4270B">
        <w:rPr>
          <w:lang w:eastAsia="en-GB"/>
        </w:rPr>
        <w:t>μM</w:t>
      </w:r>
      <w:proofErr w:type="spellEnd"/>
      <w:r w:rsidR="00F4270B">
        <w:rPr>
          <w:lang w:eastAsia="en-GB"/>
        </w:rPr>
        <w:t>)</w:t>
      </w:r>
      <w:r w:rsidR="00F4270B">
        <w:rPr>
          <w:lang w:eastAsia="en-GB"/>
        </w:rPr>
        <w:fldChar w:fldCharType="begin" w:fldLock="1"/>
      </w:r>
      <w:r w:rsidR="00B06106">
        <w:rPr>
          <w:lang w:eastAsia="en-GB"/>
        </w:rPr>
        <w:instrText>ADDIN CSL_CITATION { "citationItems" : [ { "id" : "ITEM-1", "itemData" : { "ISSN" : "1949-2553", "abstract" : "Virginie Moucadel 1,2,3,* , Renaud Prudent 1,2,3,* , C&amp;eacute;line F. Sautel 1,2,3 , Florence Teillet 1,2,3 , Caroline Barette 4 , Laurence Lafanechere 4 , Veronique Receveur-Brechot 5 and Claude Cochet 1,2,3 1 From INSERM, U1036, Biology of Cancer and Infection, Grenoble, F-38054, France 2 CEA, DSV/iRTSV, Biology of Cancer and Infection, Grenoble, F-38054, France 3 UJF-Grenoble 1, Biology of Cancer and Infection, Grenoble, F-38041, France 4 CEA, iRTSV/CMBA, Grenoble, F-38054, France 5 IMR Laboratory CNRS UPR3243, IMM, F-13402 Marseille cedex 20, France * Both authors contributed equally to this work Received: November 24, 2011; Accepted: November 29, 2011; Published: December 14, 2011; Keywords: Protein-kinase CK2, Inhibitors, Azonaphthalene, Cancer, SAXS Correspondence: Claude Cochet, email: // // Abstract INTRODUCTION: Due to its physiological role into promoting cell survival and its dysregulation in most cancer cells, protein kinase CK2 is a relevant physiopathological target for development of chemical inhibitors. We report the discovery of azonaphthalene derivatives, as a new family of highly specific CK2 inhibitors. First, we demonstrated that CK2 inhibition (IC 50 = 0.4 &amp;micro;M) was highly specific, reversible and non ATP-competitive. Small Angle X-ray Scattering experiments showed that this inhibition was due to large conformational change of CK2&amp;alpha; upon binding of these inhibitors. We showed that several compounds of the family were cell-potent CK2 inhibitors promoting cell cycle arrest of human glioblastoma U373 cells. Finally, in vitro and in vivo assays showed that these compounds could decrease U373 cell tumor mass by 83 % emphasizing their efficacy against these apoptosis-resistant tumors. In contrast, Azonaphthalene derivatives inactive on CK2 activity showed no effect in colony formation and tumor regression assays. These findings illustrate the emergence of nonclassical CK2 inhibitors and provide exciting opportunities for the development of novel allosteric CK2 inhibitors. BACKGROUND: CK2 is an emerging therapeutic target and ATP-competitive inhibitors have been identi\ufb01ed. CK2 is endowed with specific structural features providing alternative strategies for inhibition. RESULTS : Azonaphthalene compounds are allosteric CK2 inhibitors showing antitumor activity. CONCLUSION : CK2 may be targeted allosterically. SIGNIFICANCE : These inhibitors provide a foundation for a new paradigm for specific CK2 inhibition.", "author" : [ { "dropping-particle" : "", "family" : "Moucadel", "given" : "Virginie", "non-dropping-particle" : "", "parse-names" : false, "suffix" : "" }, { "dropping-particle" : "", "family" : "Prudent", "given" : "Renaud", "non-dropping-particle" : "", "parse-names" : false, "suffix" : "" }, { "dropping-particle" : "", "family" : "Sautel", "given" : "C\u00e9line F.", "non-dropping-particle" : "", "parse-names" : false, "suffix" : "" }, { "dropping-particle" : "", "family" : "Teillet", "given" : "Florence", "non-dropping-particle" : "", "parse-names" : false, "suffix" : "" }, { "dropping-particle" : "", "family" : "Barette", "given" : "Caroline", "non-dropping-particle" : "", "parse-names" : false, "suffix" : "" }, { "dropping-particle" : "", "family" : "Lafanechere", "given" : "Laurence", "non-dropping-particle" : "", "parse-names" : false, "suffix" : "" }, { "dropping-particle" : "", "family" : "Receveur-Brechot", "given" : "Veronique", "non-dropping-particle" : "", "parse-names" : false, "suffix" : "" }, { "dropping-particle" : "", "family" : "Cochet", "given" : "Claude", "non-dropping-particle" : "", "parse-names" : false, "suffix" : "" } ], "container-title" : "Oncotarget", "id" : "ITEM-1", "issue" : "12", "issued" : { "date-parts" : [ [ "2011" ] ] }, "page" : "997-1010", "publisher" : "Impact Journals", "title" : "Antitumoral activity of allosteric inhibitors of Protein kinase CK2", "type" : "article-journal", "volume" : "2" }, "uris" : [ "http://www.mendeley.com/documents/?uuid=0e2dd28c-871f-3398-9b5a-5d759fac49fb" ] } ], "mendeley" : { "formattedCitation" : "&lt;sup&gt;18&lt;/sup&gt;", "plainTextFormattedCitation" : "18", "previouslyFormattedCitation" : "&lt;sup&gt;18&lt;/sup&gt;" }, "properties" : {  }, "schema" : "https://github.com/citation-style-language/schema/raw/master/csl-citation.json" }</w:instrText>
      </w:r>
      <w:r w:rsidR="00F4270B">
        <w:rPr>
          <w:lang w:eastAsia="en-GB"/>
        </w:rPr>
        <w:fldChar w:fldCharType="separate"/>
      </w:r>
      <w:r w:rsidR="00B06106" w:rsidRPr="00B06106">
        <w:rPr>
          <w:noProof/>
          <w:vertAlign w:val="superscript"/>
          <w:lang w:eastAsia="en-GB"/>
        </w:rPr>
        <w:t>18</w:t>
      </w:r>
      <w:r w:rsidR="00F4270B">
        <w:rPr>
          <w:lang w:eastAsia="en-GB"/>
        </w:rPr>
        <w:fldChar w:fldCharType="end"/>
      </w:r>
      <w:r>
        <w:rPr>
          <w:lang w:eastAsia="en-GB"/>
        </w:rPr>
        <w:t xml:space="preserve"> are already </w:t>
      </w:r>
      <w:r w:rsidR="00C25E84">
        <w:rPr>
          <w:lang w:eastAsia="en-GB"/>
        </w:rPr>
        <w:t>at the top end for molecular weight</w:t>
      </w:r>
      <w:r>
        <w:rPr>
          <w:lang w:eastAsia="en-GB"/>
        </w:rPr>
        <w:t xml:space="preserve"> and leave little room for elaboration</w:t>
      </w:r>
      <w:r w:rsidR="00F4270B">
        <w:rPr>
          <w:lang w:eastAsia="en-GB"/>
        </w:rPr>
        <w:t xml:space="preserve"> </w:t>
      </w:r>
      <w:r w:rsidR="00C25E84">
        <w:rPr>
          <w:lang w:eastAsia="en-GB"/>
        </w:rPr>
        <w:t>to</w:t>
      </w:r>
      <w:r w:rsidR="00F4270B">
        <w:rPr>
          <w:lang w:eastAsia="en-GB"/>
        </w:rPr>
        <w:t xml:space="preserve"> improv</w:t>
      </w:r>
      <w:r w:rsidR="008F6F53">
        <w:rPr>
          <w:lang w:eastAsia="en-GB"/>
        </w:rPr>
        <w:t>e</w:t>
      </w:r>
      <w:r w:rsidR="00F4270B">
        <w:rPr>
          <w:lang w:eastAsia="en-GB"/>
        </w:rPr>
        <w:t xml:space="preserve"> their </w:t>
      </w:r>
      <w:r w:rsidR="00C25E84">
        <w:rPr>
          <w:lang w:eastAsia="en-GB"/>
        </w:rPr>
        <w:t>potency</w:t>
      </w:r>
      <w:r w:rsidR="008F6F53">
        <w:rPr>
          <w:lang w:eastAsia="en-GB"/>
        </w:rPr>
        <w:t xml:space="preserve"> and drug-like properties</w:t>
      </w:r>
      <w:r>
        <w:rPr>
          <w:lang w:eastAsia="en-GB"/>
        </w:rPr>
        <w:t xml:space="preserve">. </w:t>
      </w:r>
      <w:r w:rsidR="00F4270B">
        <w:rPr>
          <w:lang w:eastAsia="en-GB"/>
        </w:rPr>
        <w:t>likely exhibit undesired biological properties</w:t>
      </w:r>
      <w:r>
        <w:rPr>
          <w:lang w:eastAsia="en-GB"/>
        </w:rPr>
        <w:t>.</w:t>
      </w:r>
      <w:r w:rsidR="00F4270B">
        <w:rPr>
          <w:lang w:eastAsia="en-GB"/>
        </w:rPr>
        <w:fldChar w:fldCharType="begin" w:fldLock="1"/>
      </w:r>
      <w:r w:rsidR="00B06106">
        <w:rPr>
          <w:lang w:eastAsia="en-GB"/>
        </w:rPr>
        <w:instrText>ADDIN CSL_CITATION { "citationItems" : [ { "id" : "ITEM-1", "itemData" : { "DOI" : "10.1016/J.CHEMBIOL.2007.12.012", "ISSN" : "1074-5521", "abstract" : "The Ser/Thr kinase CK2 (previously called casein kinase 2) is composed of two catalytic chains (CK2\u03b1) attached to a dimer of noncatalytic subunits (CK2\u03b2). CK2 is involved in suppression of apoptosis, cell survival, and tumorigenesis. To investigate these activities and possibly affect them, selective CK2 inhibitors are required. An often-used CK2 inhibitor is 5,6-dichloro-1-\u03b2-D-ribofuranosylbenzimidazole (DRB). In a complex structure with human CK2\u03b1, DRB binds to the canonical ATP cleft, but additionally it occupies an allosteric site that can be alternatively filled by glycerol. Inhibition kinetic studies corroborate the dual binding mode of the inhibitor. Structural comparisons reveal a surprising conformational plasticity of human CK2\u03b1 around both DRB binding sites. After local rearrangement, the allosteric site serves as a CK2\u03b2 interface. This opens the potential to construct molecules interfering with the CK2\u03b1/CK2\u03b2 interaction.", "author" : [ { "dropping-particle" : "", "family" : "Raaf", "given" : "Jennifer", "non-dropping-particle" : "", "parse-names" : false, "suffix" : "" }, { "dropping-particle" : "", "family" : "Brunstein", "given" : "Elena", "non-dropping-particle" : "", "parse-names" : false, "suffix" : "" }, { "dropping-particle" : "", "family" : "Issinger", "given" : "Olaf-Georg", "non-dropping-particle" : "", "parse-names" : false, "suffix" : "" }, { "dropping-particle" : "", "family" : "Niefind", "given" : "Karsten", "non-dropping-particle" : "", "parse-names" : false, "suffix" : "" } ], "container-title" : "Chemistry &amp; Biology", "id" : "ITEM-1", "issue" : "2", "issued" : { "date-parts" : [ [ "2008", "2", "22" ] ] }, "page" : "111-117", "publisher" : "Cell Press", "title" : "The CK2\u03b1/CK2\u03b2 Interface of Human Protein Kinase CK2 Harbors a Binding Pocket for Small Molecules", "type" : "article-journal", "volume" : "15" }, "uris" : [ "http://www.mendeley.com/documents/?uuid=c9567f7c-79e1-3d2e-99e0-106d63f1d171" ] } ], "mendeley" : { "formattedCitation" : "&lt;sup&gt;25&lt;/sup&gt;", "plainTextFormattedCitation" : "25", "previouslyFormattedCitation" : "&lt;sup&gt;25&lt;/sup&gt;" }, "properties" : {  }, "schema" : "https://github.com/citation-style-language/schema/raw/master/csl-citation.json" }</w:instrText>
      </w:r>
      <w:r w:rsidR="00F4270B">
        <w:rPr>
          <w:lang w:eastAsia="en-GB"/>
        </w:rPr>
        <w:fldChar w:fldCharType="separate"/>
      </w:r>
      <w:r w:rsidR="00B06106" w:rsidRPr="00B06106">
        <w:rPr>
          <w:noProof/>
          <w:vertAlign w:val="superscript"/>
          <w:lang w:eastAsia="en-GB"/>
        </w:rPr>
        <w:t>25</w:t>
      </w:r>
      <w:r w:rsidR="00F4270B">
        <w:rPr>
          <w:lang w:eastAsia="en-GB"/>
        </w:rPr>
        <w:fldChar w:fldCharType="end"/>
      </w:r>
      <w:r w:rsidR="0047224E">
        <w:rPr>
          <w:lang w:eastAsia="en-GB"/>
        </w:rPr>
        <w:t xml:space="preserve"> </w:t>
      </w:r>
      <w:r w:rsidR="0047224E" w:rsidRPr="00D05925">
        <w:rPr>
          <w:lang w:eastAsia="en-GB"/>
        </w:rPr>
        <w:t>Further analysis of CAM187 showed that it did n</w:t>
      </w:r>
      <w:r w:rsidR="00BC12A1" w:rsidRPr="00D05925">
        <w:rPr>
          <w:lang w:eastAsia="en-GB"/>
        </w:rPr>
        <w:t xml:space="preserve">ot inhibit the phosphorylation </w:t>
      </w:r>
      <w:r w:rsidR="00BC12A1" w:rsidRPr="00D05925">
        <w:rPr>
          <w:lang w:eastAsia="en-GB"/>
        </w:rPr>
        <w:lastRenderedPageBreak/>
        <w:t xml:space="preserve">activity of CK2α at 100 </w:t>
      </w:r>
      <w:proofErr w:type="spellStart"/>
      <w:r w:rsidR="00BC12A1" w:rsidRPr="00D05925">
        <w:rPr>
          <w:lang w:eastAsia="en-GB"/>
        </w:rPr>
        <w:t>μM</w:t>
      </w:r>
      <w:proofErr w:type="spellEnd"/>
      <w:r w:rsidR="00BC12A1" w:rsidRPr="00D05925">
        <w:rPr>
          <w:lang w:eastAsia="en-GB"/>
        </w:rPr>
        <w:t>. (% inhibition 18% at 100μM). This confirms that CAM187 does not significantly bind in the ATP site of CK2 at these concentrations.</w:t>
      </w:r>
      <w:r w:rsidR="00BC12A1">
        <w:rPr>
          <w:lang w:eastAsia="en-GB"/>
        </w:rPr>
        <w:t xml:space="preserve"> </w:t>
      </w:r>
    </w:p>
    <w:p w14:paraId="736D925F" w14:textId="24394E0C" w:rsidR="00A50428" w:rsidRDefault="00B60B36" w:rsidP="00A50428">
      <w:pPr>
        <w:pStyle w:val="ElsTableCaption"/>
      </w:pPr>
      <w:r>
        <w:rPr>
          <w:noProof/>
        </w:rPr>
        <mc:AlternateContent>
          <mc:Choice Requires="wps">
            <w:drawing>
              <wp:anchor distT="45720" distB="45720" distL="114300" distR="114300" simplePos="0" relativeHeight="251727872" behindDoc="0" locked="0" layoutInCell="1" allowOverlap="1" wp14:anchorId="37F558FC" wp14:editId="1A60D699">
                <wp:simplePos x="0" y="0"/>
                <wp:positionH relativeFrom="margin">
                  <wp:align>left</wp:align>
                </wp:positionH>
                <wp:positionV relativeFrom="paragraph">
                  <wp:posOffset>2432050</wp:posOffset>
                </wp:positionV>
                <wp:extent cx="3162300" cy="1112520"/>
                <wp:effectExtent l="0" t="0" r="0" b="0"/>
                <wp:wrapSquare wrapText="bothSides"/>
                <wp:docPr id="1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162300" cy="1112520"/>
                        </a:xfrm>
                        <a:prstGeom prst="rect">
                          <a:avLst/>
                        </a:prstGeom>
                        <a:solidFill>
                          <a:srgbClr val="FFFFFF"/>
                        </a:solidFill>
                        <a:ln w="9525">
                          <a:noFill/>
                          <a:miter lim="800000"/>
                          <a:headEnd/>
                          <a:tailEnd/>
                        </a:ln>
                      </wps:spPr>
                      <wps:txbx>
                        <w:txbxContent>
                          <w:p w14:paraId="1189ED9E" w14:textId="53F57925" w:rsidR="00D27132" w:rsidRPr="004B68CD" w:rsidRDefault="00D27132" w:rsidP="00A50428">
                            <w:pPr>
                              <w:pStyle w:val="ElsFigureCaption"/>
                              <w:ind w:firstLine="0"/>
                              <w:rPr>
                                <w:vertAlign w:val="superscript"/>
                              </w:rPr>
                            </w:pPr>
                            <w:r>
                              <w:rPr>
                                <w:vertAlign w:val="superscript"/>
                              </w:rPr>
                              <w:t>a</w:t>
                            </w:r>
                            <w:r>
                              <w:t xml:space="preserve"> MW: molecular weight in gmol</w:t>
                            </w:r>
                            <w:r>
                              <w:rPr>
                                <w:vertAlign w:val="superscript"/>
                              </w:rPr>
                              <w:t>-1</w:t>
                            </w:r>
                            <w:r>
                              <w:t xml:space="preserve">, </w:t>
                            </w:r>
                            <w:proofErr w:type="spellStart"/>
                            <w:r>
                              <w:t>clogP</w:t>
                            </w:r>
                            <w:proofErr w:type="spellEnd"/>
                            <w:r>
                              <w:t xml:space="preserve">: calculated log of the partition coefficient, PSA: polar surface area, HBA: hydrogen-bond acceptors, HBD: hydrogen-bond donors, RBC: rotatable bond count, CC: chiral </w:t>
                            </w:r>
                            <w:proofErr w:type="spellStart"/>
                            <w:r>
                              <w:t>centres</w:t>
                            </w:r>
                            <w:proofErr w:type="spellEnd"/>
                            <w:r>
                              <w:t xml:space="preserve">, ATP: does the compound bind in the ATP pocket of CK2? </w:t>
                            </w:r>
                            <w:r>
                              <w:rPr>
                                <w:vertAlign w:val="superscript"/>
                              </w:rPr>
                              <w:t>b</w:t>
                            </w:r>
                            <w:r>
                              <w:t xml:space="preserve"> Ideal range from Congreve </w:t>
                            </w:r>
                            <w:r>
                              <w:rPr>
                                <w:i/>
                              </w:rPr>
                              <w:t>et al.</w:t>
                            </w:r>
                            <w:r>
                              <w:rPr>
                                <w:vertAlign w:val="superscript"/>
                              </w:rPr>
                              <w:t>22</w:t>
                            </w:r>
                            <w:r>
                              <w:t xml:space="preserve"> Green is within ideal range, amber is within 15% of ideal range, red is over 15% from ideal range. </w:t>
                            </w:r>
                            <w:r>
                              <w:rPr>
                                <w:vertAlign w:val="superscript"/>
                              </w:rPr>
                              <w:t xml:space="preserve">c </w:t>
                            </w:r>
                            <w:r>
                              <w:t>Lipinski’s ‘</w:t>
                            </w:r>
                            <w:r w:rsidR="00D42807">
                              <w:t>R</w:t>
                            </w:r>
                            <w:r>
                              <w:t>ul</w:t>
                            </w:r>
                            <w:r w:rsidR="00D42807">
                              <w:t>e of Five’</w:t>
                            </w:r>
                            <w:r w:rsidR="004B68CD">
                              <w:t>.</w:t>
                            </w:r>
                            <w:r w:rsidR="004B68CD">
                              <w:rPr>
                                <w:vertAlign w:val="superscript"/>
                              </w:rPr>
                              <w:t>28</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37F558FC" id="_x0000_s1035" type="#_x0000_t202" style="position:absolute;margin-left:0;margin-top:191.5pt;width:249pt;height:87.6pt;z-index:251727872;visibility:visible;mso-wrap-style:square;mso-width-percent:0;mso-height-percent:0;mso-wrap-distance-left:9pt;mso-wrap-distance-top:3.6pt;mso-wrap-distance-right:9pt;mso-wrap-distance-bottom:3.6pt;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" stroked="f">
                <v:textbox>
                  <w:txbxContent>
                    <w:p w14:paraId="1189ED9E" w14:textId="53F57925" w:rsidR="00D27132" w:rsidRPr="004B68CD" w:rsidRDefault="00D27132" w:rsidP="00A50428">
                      <w:pPr>
                        <w:pStyle w:val="ElsFigureCaption"/>
                        <w:ind w:firstLine="0"/>
                        <w:rPr>
                          <w:vertAlign w:val="superscript"/>
                        </w:rPr>
                      </w:pPr>
                      <w:r>
                        <w:rPr>
                          <w:vertAlign w:val="superscript"/>
                        </w:rPr>
                        <w:t>a</w:t>
                      </w:r>
                      <w:r>
                        <w:t xml:space="preserve"> MW: molecular weight in gmol</w:t>
                      </w:r>
                      <w:r>
                        <w:rPr>
                          <w:vertAlign w:val="superscript"/>
                        </w:rPr>
                        <w:t>-1</w:t>
                      </w:r>
                      <w:r>
                        <w:t xml:space="preserve">, </w:t>
                      </w:r>
                      <w:proofErr w:type="spellStart"/>
                      <w:r>
                        <w:t>clogP</w:t>
                      </w:r>
                      <w:proofErr w:type="spellEnd"/>
                      <w:r>
                        <w:t xml:space="preserve">: calculated log of the partition coefficient, PSA: polar surface area, HBA: hydrogen-bond acceptors, HBD: hydrogen-bond donors, RBC: rotatable bond count, CC: chiral </w:t>
                      </w:r>
                      <w:proofErr w:type="spellStart"/>
                      <w:r>
                        <w:t>centres</w:t>
                      </w:r>
                      <w:proofErr w:type="spellEnd"/>
                      <w:r>
                        <w:t xml:space="preserve">, ATP: does the compound bind in the ATP pocket of CK2? </w:t>
                      </w:r>
                      <w:r>
                        <w:rPr>
                          <w:vertAlign w:val="superscript"/>
                        </w:rPr>
                        <w:t>b</w:t>
                      </w:r>
                      <w:r>
                        <w:t xml:space="preserve"> Ideal range from Congreve </w:t>
                      </w:r>
                      <w:r>
                        <w:rPr>
                          <w:i/>
                        </w:rPr>
                        <w:t>et al.</w:t>
                      </w:r>
                      <w:r>
                        <w:rPr>
                          <w:vertAlign w:val="superscript"/>
                        </w:rPr>
                        <w:t>22</w:t>
                      </w:r>
                      <w:r>
                        <w:t xml:space="preserve"> Green is within ideal range, amber is within 15% of ideal range, red is over 15% from ideal range. </w:t>
                      </w:r>
                      <w:r>
                        <w:rPr>
                          <w:vertAlign w:val="superscript"/>
                        </w:rPr>
                        <w:t xml:space="preserve">c </w:t>
                      </w:r>
                      <w:r>
                        <w:t>Lipinski’s ‘</w:t>
                      </w:r>
                      <w:r w:rsidR="00D42807">
                        <w:t>R</w:t>
                      </w:r>
                      <w:r>
                        <w:t>ul</w:t>
                      </w:r>
                      <w:r w:rsidR="00D42807">
                        <w:t>e of Five’</w:t>
                      </w:r>
                      <w:r w:rsidR="004B68CD">
                        <w:t>.</w:t>
                      </w:r>
                      <w:r w:rsidR="004B68CD">
                        <w:rPr>
                          <w:vertAlign w:val="superscript"/>
                        </w:rPr>
                        <w:t>28</w:t>
                      </w:r>
                    </w:p>
                  </w:txbxContent>
                </v:textbox>
                <w10:wrap type="square" anchorx="margin"/>
              </v:shape>
            </w:pict>
          </mc:Fallback>
        </mc:AlternateContent>
      </w:r>
      <w:r w:rsidR="00A50428" w:rsidRPr="00C17073">
        <w:rPr>
          <w:b/>
        </w:rPr>
        <w:t xml:space="preserve">Table </w:t>
      </w:r>
      <w:r w:rsidR="00A50428" w:rsidRPr="00C17073">
        <w:rPr>
          <w:b/>
        </w:rPr>
        <w:fldChar w:fldCharType="begin"/>
      </w:r>
      <w:r w:rsidR="00A50428" w:rsidRPr="00C17073">
        <w:rPr>
          <w:b/>
        </w:rPr>
        <w:instrText xml:space="preserve"> SEQ Table \* ARABIC </w:instrText>
      </w:r>
      <w:r w:rsidR="00A50428" w:rsidRPr="00C17073">
        <w:rPr>
          <w:b/>
        </w:rPr>
        <w:fldChar w:fldCharType="separate"/>
      </w:r>
      <w:r w:rsidR="005D04D8">
        <w:rPr>
          <w:b/>
          <w:noProof/>
        </w:rPr>
        <w:t>2</w:t>
      </w:r>
      <w:r w:rsidR="00A50428" w:rsidRPr="00C17073">
        <w:rPr>
          <w:b/>
        </w:rPr>
        <w:fldChar w:fldCharType="end"/>
      </w:r>
      <w:r w:rsidR="00A50428">
        <w:t xml:space="preserve"> Comparison of the fragment-</w:t>
      </w:r>
      <w:r w:rsidR="00D42807">
        <w:t xml:space="preserve">like </w:t>
      </w:r>
      <w:r w:rsidR="00A50428">
        <w:t xml:space="preserve">properties of </w:t>
      </w:r>
      <w:r w:rsidR="00D42807">
        <w:t>CAM187 and DRB alongside the drug-like properties of W16 and Diazo.</w:t>
      </w:r>
      <w:r w:rsidR="004B68CD" w:rsidRPr="004B68CD">
        <w:rPr>
          <w:color w:val="FFFFFF" w:themeColor="background1"/>
        </w:rPr>
        <w:fldChar w:fldCharType="begin" w:fldLock="1"/>
      </w:r>
      <w:r w:rsidR="00B06106">
        <w:rPr>
          <w:color w:val="FFFFFF" w:themeColor="background1"/>
        </w:rPr>
        <w:instrText>ADDIN CSL_CITATION { "citationItems" : [ { "id" : "ITEM-1", "itemData" : { "DOI" : "10.1021/JM020017N", "abstract" : "Oral bioavailability measurements in rats for over 1100 drug candidates studied at SmithKline Beecham Pharmaceuticals (now GlaxoSmithKline) have allowed us to analyze the relative importance of molecular properties considered to influence that drug property. Reduced molecular flexibility, as measured by the number of rotatable bonds, and low polar surface area or total hydrogen bond count (sum of donors and acceptors) are found to be important predictors of good oral bioavailability, independent of molecular weight. That on average both the number of rotatable bonds and polar surface area or hydrogen bond count tend to increase with molecular weight may in part explain the success of the molecular weight parameter in predicting oral bioavailability. The commonly applied molecular weight cutoff at 500 does not itself significantly separate compounds with poor oral bioavailability from those with acceptable values in this extensive data set. Our observations suggest that compounds which meet only the two cr...", "author" : [ { "dropping-particle" : "", "family" : "Veber", "given" : "Daniel F.", "non-dropping-particle" : "", "parse-names" : false, "suffix" : "" }, { "dropping-particle" : "", "family" : "Johnson", "given" : "Stephen R.", "non-dropping-particle" : "", "parse-names" : false, "suffix" : "" }, { "dropping-particle" : "", "family" : "Cheng", "given" : "Hung-Yuan", "non-dropping-particle" : "", "parse-names" : false, "suffix" : "" }, { "dropping-particle" : "", "family" : "Smith", "given" : "Brian R.", "non-dropping-particle" : "", "parse-names" : false, "suffix" : "" }, { "dropping-particle" : "", "family" : "Ward", "given" : "Keith W.", "non-dropping-particle" : "", "parse-names" : false, "suffix" : "" }, { "dropping-particle" : "", "family" : "Kopple", "given" : "Kenneth D.", "non-dropping-particle" : "", "parse-names" : false, "suffix" : "" } ], "container-title" : "Journal of Medicinal Chemistry", "id" : "ITEM-1", "issue" : "12", "issued" : { "date-parts" : [ [ "2002" ] ] }, "page" : "2615-2623", "publisher" : "American Chemical Society", "title" : "Molecular Properties That Influence the Oral Bioavailability of Drug Candidates", "type" : "article-journal", "volume" : "45" }, "uris" : [ "http://www.mendeley.com/documents/?uuid=09e2854e-9c83-3362-af37-1d95ab0a9c62" ] } ], "mendeley" : { "formattedCitation" : "&lt;sup&gt;26&lt;/sup&gt;", "plainTextFormattedCitation" : "26", "previouslyFormattedCitation" : "&lt;sup&gt;26&lt;/sup&gt;" }, "properties" : {  }, "schema" : "https://github.com/citation-style-language/schema/raw/master/csl-citation.json" }</w:instrText>
      </w:r>
      <w:r w:rsidR="004B68CD" w:rsidRPr="004B68CD">
        <w:rPr>
          <w:color w:val="FFFFFF" w:themeColor="background1"/>
        </w:rPr>
        <w:fldChar w:fldCharType="separate"/>
      </w:r>
      <w:r w:rsidR="00B06106" w:rsidRPr="00B06106">
        <w:rPr>
          <w:noProof/>
          <w:color w:val="FFFFFF" w:themeColor="background1"/>
          <w:vertAlign w:val="superscript"/>
        </w:rPr>
        <w:t>26</w:t>
      </w:r>
      <w:r w:rsidR="004B68CD" w:rsidRPr="004B68CD">
        <w:rPr>
          <w:color w:val="FFFFFF" w:themeColor="background1"/>
        </w:rPr>
        <w:fldChar w:fldCharType="end"/>
      </w:r>
    </w:p>
    <w:tbl>
      <w:tblPr>
        <w:tblW w:w="5138" w:type="dxa"/>
        <w:tblLook w:val="04A0" w:firstRow="1" w:lastRow="0" w:firstColumn="1" w:lastColumn="0" w:noHBand="0" w:noVBand="1"/>
      </w:tblPr>
      <w:tblGrid>
        <w:gridCol w:w="890"/>
        <w:gridCol w:w="906"/>
        <w:gridCol w:w="587"/>
        <w:gridCol w:w="897"/>
        <w:gridCol w:w="730"/>
        <w:gridCol w:w="580"/>
        <w:gridCol w:w="709"/>
      </w:tblGrid>
      <w:tr w:rsidR="00D27132" w14:paraId="13F93149" w14:textId="77777777" w:rsidTr="00D42807">
        <w:trPr>
          <w:trHeight w:val="279"/>
        </w:trPr>
        <w:tc>
          <w:tcPr>
            <w:tcW w:w="890" w:type="dxa"/>
            <w:tcBorders>
              <w:top w:val="single" w:sz="4" w:space="0" w:color="auto"/>
              <w:left w:val="nil"/>
              <w:bottom w:val="single" w:sz="4" w:space="0" w:color="auto"/>
              <w:right w:val="nil"/>
            </w:tcBorders>
            <w:shd w:val="clear" w:color="auto" w:fill="auto"/>
            <w:noWrap/>
            <w:vAlign w:val="center"/>
            <w:hideMark/>
          </w:tcPr>
          <w:p w14:paraId="4D954DC2" w14:textId="10EE20C6" w:rsidR="00D27132" w:rsidRPr="00D27132" w:rsidRDefault="00D27132" w:rsidP="00D27132">
            <w:pPr>
              <w:jc w:val="center"/>
              <w:rPr>
                <w:color w:val="000000"/>
                <w:sz w:val="18"/>
                <w:szCs w:val="22"/>
                <w:lang w:val="en-GB" w:eastAsia="en-GB"/>
              </w:rPr>
            </w:pPr>
            <w:proofErr w:type="spellStart"/>
            <w:r w:rsidRPr="00D27132">
              <w:rPr>
                <w:color w:val="000000"/>
                <w:sz w:val="18"/>
                <w:szCs w:val="22"/>
              </w:rPr>
              <w:t>Property</w:t>
            </w:r>
            <w:r w:rsidRPr="00D27132">
              <w:rPr>
                <w:color w:val="000000"/>
                <w:sz w:val="18"/>
                <w:szCs w:val="22"/>
                <w:vertAlign w:val="superscript"/>
              </w:rPr>
              <w:t>a</w:t>
            </w:r>
            <w:proofErr w:type="spellEnd"/>
          </w:p>
        </w:tc>
        <w:tc>
          <w:tcPr>
            <w:tcW w:w="906" w:type="dxa"/>
            <w:tcBorders>
              <w:top w:val="single" w:sz="4" w:space="0" w:color="auto"/>
              <w:left w:val="nil"/>
              <w:bottom w:val="single" w:sz="4" w:space="0" w:color="auto"/>
              <w:right w:val="nil"/>
            </w:tcBorders>
            <w:shd w:val="clear" w:color="auto" w:fill="auto"/>
            <w:noWrap/>
            <w:vAlign w:val="center"/>
            <w:hideMark/>
          </w:tcPr>
          <w:p w14:paraId="5B44BCAD" w14:textId="69C0096E" w:rsidR="00D27132" w:rsidRDefault="00D27132" w:rsidP="00D27132">
            <w:pPr>
              <w:jc w:val="center"/>
              <w:rPr>
                <w:color w:val="000000"/>
                <w:sz w:val="18"/>
                <w:szCs w:val="22"/>
              </w:rPr>
            </w:pPr>
            <w:r w:rsidRPr="00D27132">
              <w:rPr>
                <w:color w:val="000000"/>
                <w:sz w:val="18"/>
                <w:szCs w:val="22"/>
              </w:rPr>
              <w:t xml:space="preserve">Ideal </w:t>
            </w:r>
            <w:r>
              <w:rPr>
                <w:color w:val="000000"/>
                <w:sz w:val="18"/>
                <w:szCs w:val="22"/>
              </w:rPr>
              <w:t>Fragment</w:t>
            </w:r>
          </w:p>
          <w:p w14:paraId="73D4E011" w14:textId="12D74268" w:rsidR="00D27132" w:rsidRPr="00D27132" w:rsidRDefault="00D27132" w:rsidP="00D27132">
            <w:pPr>
              <w:jc w:val="center"/>
              <w:rPr>
                <w:color w:val="000000"/>
                <w:sz w:val="18"/>
                <w:szCs w:val="22"/>
              </w:rPr>
            </w:pPr>
            <w:proofErr w:type="spellStart"/>
            <w:r w:rsidRPr="00D27132">
              <w:rPr>
                <w:color w:val="000000"/>
                <w:sz w:val="18"/>
                <w:szCs w:val="22"/>
              </w:rPr>
              <w:t>Range</w:t>
            </w:r>
            <w:r w:rsidRPr="00D27132">
              <w:rPr>
                <w:color w:val="000000"/>
                <w:sz w:val="18"/>
                <w:szCs w:val="22"/>
                <w:vertAlign w:val="superscript"/>
              </w:rPr>
              <w:t>b</w:t>
            </w:r>
            <w:proofErr w:type="spellEnd"/>
          </w:p>
        </w:tc>
        <w:tc>
          <w:tcPr>
            <w:tcW w:w="587" w:type="dxa"/>
            <w:tcBorders>
              <w:top w:val="single" w:sz="4" w:space="0" w:color="auto"/>
              <w:left w:val="nil"/>
              <w:bottom w:val="single" w:sz="4" w:space="0" w:color="auto"/>
              <w:right w:val="nil"/>
            </w:tcBorders>
            <w:shd w:val="clear" w:color="auto" w:fill="auto"/>
            <w:noWrap/>
            <w:vAlign w:val="center"/>
            <w:hideMark/>
          </w:tcPr>
          <w:p w14:paraId="48A4EF26" w14:textId="77777777" w:rsidR="00D27132" w:rsidRPr="00D27132" w:rsidRDefault="00D27132" w:rsidP="00D27132">
            <w:pPr>
              <w:jc w:val="center"/>
              <w:rPr>
                <w:color w:val="000000"/>
                <w:sz w:val="18"/>
                <w:szCs w:val="22"/>
              </w:rPr>
            </w:pPr>
            <w:r w:rsidRPr="00D27132">
              <w:rPr>
                <w:color w:val="000000"/>
                <w:sz w:val="18"/>
                <w:szCs w:val="22"/>
              </w:rPr>
              <w:t>DRB</w:t>
            </w:r>
          </w:p>
        </w:tc>
        <w:tc>
          <w:tcPr>
            <w:tcW w:w="736" w:type="dxa"/>
            <w:tcBorders>
              <w:top w:val="single" w:sz="4" w:space="0" w:color="auto"/>
              <w:left w:val="nil"/>
              <w:bottom w:val="single" w:sz="4" w:space="0" w:color="auto"/>
              <w:right w:val="nil"/>
            </w:tcBorders>
            <w:vAlign w:val="center"/>
          </w:tcPr>
          <w:p w14:paraId="764C2E6C" w14:textId="7E0EE770" w:rsidR="00D27132" w:rsidRPr="00D27132" w:rsidRDefault="00D27132" w:rsidP="00D27132">
            <w:pPr>
              <w:jc w:val="center"/>
              <w:rPr>
                <w:color w:val="000000"/>
                <w:sz w:val="18"/>
                <w:szCs w:val="22"/>
              </w:rPr>
            </w:pPr>
            <w:r w:rsidRPr="00D27132">
              <w:rPr>
                <w:color w:val="000000"/>
                <w:sz w:val="18"/>
                <w:szCs w:val="22"/>
              </w:rPr>
              <w:t>CAM187</w:t>
            </w:r>
          </w:p>
        </w:tc>
        <w:tc>
          <w:tcPr>
            <w:tcW w:w="730" w:type="dxa"/>
            <w:tcBorders>
              <w:top w:val="single" w:sz="4" w:space="0" w:color="auto"/>
              <w:left w:val="nil"/>
              <w:bottom w:val="single" w:sz="4" w:space="0" w:color="auto"/>
              <w:right w:val="nil"/>
            </w:tcBorders>
          </w:tcPr>
          <w:p w14:paraId="1F36F278" w14:textId="0736A6CB" w:rsidR="00D27132" w:rsidRDefault="00D27132" w:rsidP="00D27132">
            <w:pPr>
              <w:jc w:val="center"/>
              <w:rPr>
                <w:color w:val="000000"/>
                <w:sz w:val="18"/>
                <w:szCs w:val="22"/>
              </w:rPr>
            </w:pPr>
            <w:r w:rsidRPr="00D27132">
              <w:rPr>
                <w:color w:val="000000"/>
                <w:sz w:val="18"/>
                <w:szCs w:val="22"/>
              </w:rPr>
              <w:t>Ideal</w:t>
            </w:r>
          </w:p>
          <w:p w14:paraId="56A96774" w14:textId="462804F1" w:rsidR="00D27132" w:rsidRPr="00D27132" w:rsidRDefault="00D27132" w:rsidP="00D27132">
            <w:pPr>
              <w:jc w:val="center"/>
              <w:rPr>
                <w:color w:val="000000"/>
                <w:sz w:val="18"/>
                <w:szCs w:val="22"/>
              </w:rPr>
            </w:pPr>
            <w:r>
              <w:rPr>
                <w:color w:val="000000"/>
                <w:sz w:val="18"/>
                <w:szCs w:val="22"/>
              </w:rPr>
              <w:t>Drug</w:t>
            </w:r>
          </w:p>
          <w:p w14:paraId="5AA1C2E5" w14:textId="768D11C0" w:rsidR="00D27132" w:rsidRPr="00D27132" w:rsidRDefault="00D27132" w:rsidP="00D27132">
            <w:pPr>
              <w:jc w:val="center"/>
              <w:rPr>
                <w:color w:val="000000"/>
                <w:sz w:val="18"/>
                <w:szCs w:val="22"/>
                <w:vertAlign w:val="superscript"/>
              </w:rPr>
            </w:pPr>
            <w:proofErr w:type="spellStart"/>
            <w:r w:rsidRPr="00D27132">
              <w:rPr>
                <w:color w:val="000000"/>
                <w:sz w:val="18"/>
                <w:szCs w:val="22"/>
              </w:rPr>
              <w:t>Range</w:t>
            </w:r>
            <w:r>
              <w:rPr>
                <w:color w:val="000000"/>
                <w:sz w:val="18"/>
                <w:szCs w:val="22"/>
                <w:vertAlign w:val="superscript"/>
              </w:rPr>
              <w:t>c</w:t>
            </w:r>
            <w:proofErr w:type="spellEnd"/>
          </w:p>
        </w:tc>
        <w:tc>
          <w:tcPr>
            <w:tcW w:w="580" w:type="dxa"/>
            <w:tcBorders>
              <w:top w:val="single" w:sz="4" w:space="0" w:color="auto"/>
              <w:left w:val="nil"/>
              <w:bottom w:val="single" w:sz="4" w:space="0" w:color="auto"/>
              <w:right w:val="nil"/>
            </w:tcBorders>
            <w:shd w:val="clear" w:color="auto" w:fill="auto"/>
            <w:noWrap/>
            <w:vAlign w:val="center"/>
            <w:hideMark/>
          </w:tcPr>
          <w:p w14:paraId="7A77721F" w14:textId="41AB106B" w:rsidR="00D27132" w:rsidRPr="00D27132" w:rsidRDefault="00D27132" w:rsidP="00D27132">
            <w:pPr>
              <w:jc w:val="center"/>
              <w:rPr>
                <w:color w:val="000000"/>
                <w:sz w:val="18"/>
                <w:szCs w:val="22"/>
              </w:rPr>
            </w:pPr>
            <w:r w:rsidRPr="00D27132">
              <w:rPr>
                <w:color w:val="000000"/>
                <w:sz w:val="18"/>
                <w:szCs w:val="22"/>
              </w:rPr>
              <w:t>W16</w:t>
            </w:r>
          </w:p>
        </w:tc>
        <w:tc>
          <w:tcPr>
            <w:tcW w:w="709" w:type="dxa"/>
            <w:tcBorders>
              <w:top w:val="single" w:sz="4" w:space="0" w:color="auto"/>
              <w:left w:val="nil"/>
              <w:bottom w:val="single" w:sz="4" w:space="0" w:color="auto"/>
              <w:right w:val="nil"/>
            </w:tcBorders>
            <w:shd w:val="clear" w:color="auto" w:fill="auto"/>
            <w:noWrap/>
            <w:vAlign w:val="center"/>
            <w:hideMark/>
          </w:tcPr>
          <w:p w14:paraId="53620FFD" w14:textId="77777777" w:rsidR="00D27132" w:rsidRPr="00D27132" w:rsidRDefault="00D27132" w:rsidP="00D27132">
            <w:pPr>
              <w:jc w:val="center"/>
              <w:rPr>
                <w:color w:val="000000"/>
                <w:sz w:val="18"/>
                <w:szCs w:val="18"/>
              </w:rPr>
            </w:pPr>
            <w:r w:rsidRPr="00D27132">
              <w:rPr>
                <w:color w:val="000000"/>
                <w:sz w:val="18"/>
                <w:szCs w:val="18"/>
              </w:rPr>
              <w:t>Diazo</w:t>
            </w:r>
          </w:p>
        </w:tc>
      </w:tr>
      <w:tr w:rsidR="00D27132" w14:paraId="02716D05" w14:textId="77777777" w:rsidTr="004B68CD">
        <w:trPr>
          <w:trHeight w:val="279"/>
        </w:trPr>
        <w:tc>
          <w:tcPr>
            <w:tcW w:w="890" w:type="dxa"/>
            <w:tcBorders>
              <w:top w:val="nil"/>
              <w:left w:val="nil"/>
              <w:bottom w:val="nil"/>
              <w:right w:val="nil"/>
            </w:tcBorders>
            <w:shd w:val="clear" w:color="auto" w:fill="auto"/>
            <w:noWrap/>
            <w:vAlign w:val="bottom"/>
            <w:hideMark/>
          </w:tcPr>
          <w:p w14:paraId="59E48646" w14:textId="77777777" w:rsidR="00D27132" w:rsidRPr="00D27132" w:rsidRDefault="00D27132" w:rsidP="00D27132">
            <w:pPr>
              <w:rPr>
                <w:color w:val="000000"/>
                <w:sz w:val="18"/>
                <w:szCs w:val="22"/>
              </w:rPr>
            </w:pPr>
            <w:r w:rsidRPr="00D27132">
              <w:rPr>
                <w:color w:val="000000"/>
                <w:sz w:val="18"/>
                <w:szCs w:val="22"/>
              </w:rPr>
              <w:t>MW</w:t>
            </w:r>
          </w:p>
        </w:tc>
        <w:tc>
          <w:tcPr>
            <w:tcW w:w="906" w:type="dxa"/>
            <w:tcBorders>
              <w:top w:val="nil"/>
              <w:left w:val="nil"/>
              <w:bottom w:val="nil"/>
              <w:right w:val="nil"/>
            </w:tcBorders>
            <w:shd w:val="clear" w:color="auto" w:fill="auto"/>
            <w:noWrap/>
            <w:vAlign w:val="bottom"/>
            <w:hideMark/>
          </w:tcPr>
          <w:p w14:paraId="2F001395" w14:textId="77777777" w:rsidR="00D27132" w:rsidRPr="00D27132" w:rsidRDefault="00D27132" w:rsidP="00D27132">
            <w:pPr>
              <w:jc w:val="center"/>
              <w:rPr>
                <w:color w:val="000000"/>
                <w:sz w:val="18"/>
                <w:szCs w:val="22"/>
              </w:rPr>
            </w:pPr>
            <w:r w:rsidRPr="00D27132">
              <w:rPr>
                <w:color w:val="000000"/>
                <w:sz w:val="18"/>
                <w:szCs w:val="22"/>
              </w:rPr>
              <w:t>&lt;300</w:t>
            </w:r>
          </w:p>
        </w:tc>
        <w:tc>
          <w:tcPr>
            <w:tcW w:w="587" w:type="dxa"/>
            <w:tcBorders>
              <w:top w:val="nil"/>
              <w:left w:val="nil"/>
              <w:bottom w:val="nil"/>
              <w:right w:val="nil"/>
            </w:tcBorders>
            <w:shd w:val="clear" w:color="auto" w:fill="FFC000"/>
            <w:noWrap/>
            <w:vAlign w:val="center"/>
            <w:hideMark/>
          </w:tcPr>
          <w:p w14:paraId="30FC010A" w14:textId="77777777" w:rsidR="00D27132" w:rsidRPr="00D27132" w:rsidRDefault="00D27132" w:rsidP="004B68CD">
            <w:pPr>
              <w:jc w:val="center"/>
              <w:rPr>
                <w:color w:val="000000"/>
                <w:sz w:val="18"/>
                <w:szCs w:val="22"/>
              </w:rPr>
            </w:pPr>
            <w:r w:rsidRPr="00D27132">
              <w:rPr>
                <w:color w:val="000000"/>
                <w:sz w:val="18"/>
                <w:szCs w:val="22"/>
              </w:rPr>
              <w:t>319</w:t>
            </w:r>
          </w:p>
        </w:tc>
        <w:tc>
          <w:tcPr>
            <w:tcW w:w="736" w:type="dxa"/>
            <w:tcBorders>
              <w:top w:val="nil"/>
              <w:left w:val="nil"/>
              <w:bottom w:val="nil"/>
              <w:right w:val="nil"/>
            </w:tcBorders>
            <w:shd w:val="clear" w:color="auto" w:fill="A8D08D" w:themeFill="accent6" w:themeFillTint="99"/>
            <w:vAlign w:val="center"/>
          </w:tcPr>
          <w:p w14:paraId="3A80968F" w14:textId="1CD1BA56" w:rsidR="00D27132" w:rsidRPr="00D27132" w:rsidRDefault="00D27132" w:rsidP="004B68CD">
            <w:pPr>
              <w:jc w:val="center"/>
              <w:rPr>
                <w:color w:val="000000"/>
                <w:sz w:val="18"/>
                <w:szCs w:val="22"/>
              </w:rPr>
            </w:pPr>
            <w:r w:rsidRPr="00D27132">
              <w:rPr>
                <w:color w:val="000000"/>
                <w:sz w:val="18"/>
                <w:szCs w:val="22"/>
              </w:rPr>
              <w:t>257</w:t>
            </w:r>
          </w:p>
        </w:tc>
        <w:tc>
          <w:tcPr>
            <w:tcW w:w="730" w:type="dxa"/>
            <w:tcBorders>
              <w:top w:val="nil"/>
              <w:left w:val="nil"/>
              <w:bottom w:val="nil"/>
              <w:right w:val="nil"/>
            </w:tcBorders>
            <w:shd w:val="clear" w:color="auto" w:fill="auto"/>
            <w:vAlign w:val="center"/>
          </w:tcPr>
          <w:p w14:paraId="4EED9428" w14:textId="194077DF" w:rsidR="00D27132" w:rsidRPr="00D27132" w:rsidRDefault="00D27132" w:rsidP="004B68CD">
            <w:pPr>
              <w:jc w:val="center"/>
              <w:rPr>
                <w:color w:val="000000"/>
                <w:sz w:val="18"/>
                <w:szCs w:val="22"/>
              </w:rPr>
            </w:pPr>
            <w:r w:rsidRPr="00D27132">
              <w:rPr>
                <w:color w:val="000000"/>
                <w:sz w:val="18"/>
                <w:szCs w:val="22"/>
              </w:rPr>
              <w:t>&lt;500</w:t>
            </w:r>
          </w:p>
        </w:tc>
        <w:tc>
          <w:tcPr>
            <w:tcW w:w="580" w:type="dxa"/>
            <w:tcBorders>
              <w:top w:val="nil"/>
              <w:left w:val="nil"/>
              <w:bottom w:val="nil"/>
              <w:right w:val="nil"/>
            </w:tcBorders>
            <w:shd w:val="clear" w:color="auto" w:fill="FF0000"/>
            <w:noWrap/>
            <w:vAlign w:val="center"/>
            <w:hideMark/>
          </w:tcPr>
          <w:p w14:paraId="4EC0A22A" w14:textId="0ABEA5DC" w:rsidR="00D27132" w:rsidRPr="00D27132" w:rsidRDefault="00D27132" w:rsidP="004B68CD">
            <w:pPr>
              <w:jc w:val="center"/>
              <w:rPr>
                <w:color w:val="000000"/>
                <w:sz w:val="18"/>
                <w:szCs w:val="22"/>
              </w:rPr>
            </w:pPr>
            <w:r w:rsidRPr="00D27132">
              <w:rPr>
                <w:color w:val="000000"/>
                <w:sz w:val="18"/>
                <w:szCs w:val="22"/>
              </w:rPr>
              <w:t>611</w:t>
            </w:r>
          </w:p>
        </w:tc>
        <w:tc>
          <w:tcPr>
            <w:tcW w:w="709" w:type="dxa"/>
            <w:tcBorders>
              <w:top w:val="nil"/>
              <w:left w:val="nil"/>
              <w:bottom w:val="nil"/>
              <w:right w:val="nil"/>
            </w:tcBorders>
            <w:shd w:val="clear" w:color="auto" w:fill="A8D08D" w:themeFill="accent6" w:themeFillTint="99"/>
            <w:noWrap/>
            <w:vAlign w:val="center"/>
            <w:hideMark/>
          </w:tcPr>
          <w:p w14:paraId="4F1A14AD" w14:textId="77777777" w:rsidR="00D27132" w:rsidRPr="00D27132" w:rsidRDefault="00D27132" w:rsidP="004B68CD">
            <w:pPr>
              <w:jc w:val="center"/>
              <w:rPr>
                <w:color w:val="000000"/>
                <w:sz w:val="18"/>
                <w:szCs w:val="18"/>
              </w:rPr>
            </w:pPr>
            <w:r w:rsidRPr="00D27132">
              <w:rPr>
                <w:color w:val="000000"/>
                <w:sz w:val="18"/>
                <w:szCs w:val="18"/>
              </w:rPr>
              <w:t>439</w:t>
            </w:r>
          </w:p>
        </w:tc>
      </w:tr>
      <w:tr w:rsidR="00D27132" w14:paraId="6144EAF4" w14:textId="77777777" w:rsidTr="004B68CD">
        <w:trPr>
          <w:trHeight w:val="279"/>
        </w:trPr>
        <w:tc>
          <w:tcPr>
            <w:tcW w:w="890" w:type="dxa"/>
            <w:tcBorders>
              <w:top w:val="nil"/>
              <w:left w:val="nil"/>
              <w:bottom w:val="nil"/>
              <w:right w:val="nil"/>
            </w:tcBorders>
            <w:shd w:val="clear" w:color="auto" w:fill="auto"/>
            <w:noWrap/>
            <w:vAlign w:val="bottom"/>
            <w:hideMark/>
          </w:tcPr>
          <w:p w14:paraId="546FF97C" w14:textId="77777777" w:rsidR="00D27132" w:rsidRPr="00D27132" w:rsidRDefault="00D27132" w:rsidP="00D27132">
            <w:pPr>
              <w:rPr>
                <w:color w:val="000000"/>
                <w:sz w:val="18"/>
                <w:szCs w:val="22"/>
              </w:rPr>
            </w:pPr>
            <w:proofErr w:type="spellStart"/>
            <w:r w:rsidRPr="00D27132">
              <w:rPr>
                <w:color w:val="000000"/>
                <w:sz w:val="18"/>
                <w:szCs w:val="22"/>
              </w:rPr>
              <w:t>clogP</w:t>
            </w:r>
            <w:proofErr w:type="spellEnd"/>
          </w:p>
        </w:tc>
        <w:tc>
          <w:tcPr>
            <w:tcW w:w="906" w:type="dxa"/>
            <w:tcBorders>
              <w:top w:val="nil"/>
              <w:left w:val="nil"/>
              <w:bottom w:val="nil"/>
              <w:right w:val="nil"/>
            </w:tcBorders>
            <w:shd w:val="clear" w:color="auto" w:fill="auto"/>
            <w:noWrap/>
            <w:vAlign w:val="bottom"/>
            <w:hideMark/>
          </w:tcPr>
          <w:p w14:paraId="66C2EB61" w14:textId="77777777" w:rsidR="00D27132" w:rsidRPr="00D27132" w:rsidRDefault="00D27132" w:rsidP="00D27132">
            <w:pPr>
              <w:jc w:val="center"/>
              <w:rPr>
                <w:color w:val="000000"/>
                <w:sz w:val="18"/>
                <w:szCs w:val="22"/>
              </w:rPr>
            </w:pPr>
            <w:r w:rsidRPr="00D27132">
              <w:rPr>
                <w:color w:val="000000"/>
                <w:sz w:val="18"/>
                <w:szCs w:val="22"/>
              </w:rPr>
              <w:t>≤3</w:t>
            </w:r>
          </w:p>
        </w:tc>
        <w:tc>
          <w:tcPr>
            <w:tcW w:w="587" w:type="dxa"/>
            <w:tcBorders>
              <w:top w:val="nil"/>
              <w:left w:val="nil"/>
              <w:bottom w:val="nil"/>
              <w:right w:val="nil"/>
            </w:tcBorders>
            <w:shd w:val="clear" w:color="000000" w:fill="A9D08E"/>
            <w:noWrap/>
            <w:vAlign w:val="center"/>
            <w:hideMark/>
          </w:tcPr>
          <w:p w14:paraId="5ECCD735" w14:textId="77777777" w:rsidR="00D27132" w:rsidRPr="00D27132" w:rsidRDefault="00D27132" w:rsidP="004B68CD">
            <w:pPr>
              <w:jc w:val="center"/>
              <w:rPr>
                <w:color w:val="000000"/>
                <w:sz w:val="18"/>
                <w:szCs w:val="22"/>
              </w:rPr>
            </w:pPr>
            <w:r w:rsidRPr="00D27132">
              <w:rPr>
                <w:color w:val="000000"/>
                <w:sz w:val="18"/>
                <w:szCs w:val="22"/>
              </w:rPr>
              <w:t>2.2</w:t>
            </w:r>
          </w:p>
        </w:tc>
        <w:tc>
          <w:tcPr>
            <w:tcW w:w="736" w:type="dxa"/>
            <w:tcBorders>
              <w:top w:val="nil"/>
              <w:left w:val="nil"/>
              <w:bottom w:val="nil"/>
              <w:right w:val="nil"/>
            </w:tcBorders>
            <w:shd w:val="clear" w:color="auto" w:fill="FFC000"/>
            <w:vAlign w:val="center"/>
          </w:tcPr>
          <w:p w14:paraId="5175AF3D" w14:textId="34E63874" w:rsidR="00D27132" w:rsidRPr="00D27132" w:rsidRDefault="00D27132" w:rsidP="004B68CD">
            <w:pPr>
              <w:jc w:val="center"/>
              <w:rPr>
                <w:color w:val="000000"/>
                <w:sz w:val="18"/>
                <w:szCs w:val="22"/>
              </w:rPr>
            </w:pPr>
            <w:r w:rsidRPr="00D27132">
              <w:rPr>
                <w:color w:val="000000"/>
                <w:sz w:val="18"/>
                <w:szCs w:val="22"/>
              </w:rPr>
              <w:t>3.45</w:t>
            </w:r>
          </w:p>
        </w:tc>
        <w:tc>
          <w:tcPr>
            <w:tcW w:w="730" w:type="dxa"/>
            <w:tcBorders>
              <w:top w:val="nil"/>
              <w:left w:val="nil"/>
              <w:bottom w:val="nil"/>
              <w:right w:val="nil"/>
            </w:tcBorders>
            <w:shd w:val="clear" w:color="auto" w:fill="auto"/>
            <w:vAlign w:val="center"/>
          </w:tcPr>
          <w:p w14:paraId="06B426FE" w14:textId="09C6CB53" w:rsidR="00D27132" w:rsidRPr="00D27132" w:rsidRDefault="00D27132" w:rsidP="004B68CD">
            <w:pPr>
              <w:jc w:val="center"/>
              <w:rPr>
                <w:color w:val="000000"/>
                <w:sz w:val="18"/>
                <w:szCs w:val="22"/>
              </w:rPr>
            </w:pPr>
            <w:r w:rsidRPr="00D27132">
              <w:rPr>
                <w:color w:val="000000"/>
                <w:sz w:val="18"/>
                <w:szCs w:val="22"/>
              </w:rPr>
              <w:t>≤5</w:t>
            </w:r>
          </w:p>
        </w:tc>
        <w:tc>
          <w:tcPr>
            <w:tcW w:w="580" w:type="dxa"/>
            <w:tcBorders>
              <w:top w:val="nil"/>
              <w:left w:val="nil"/>
              <w:bottom w:val="nil"/>
              <w:right w:val="nil"/>
            </w:tcBorders>
            <w:shd w:val="clear" w:color="000000" w:fill="A9D08E"/>
            <w:noWrap/>
            <w:vAlign w:val="center"/>
            <w:hideMark/>
          </w:tcPr>
          <w:p w14:paraId="7368E677" w14:textId="0B5994F5" w:rsidR="00D27132" w:rsidRPr="00D27132" w:rsidRDefault="00D27132" w:rsidP="004B68CD">
            <w:pPr>
              <w:jc w:val="center"/>
              <w:rPr>
                <w:color w:val="000000"/>
                <w:sz w:val="18"/>
                <w:szCs w:val="22"/>
              </w:rPr>
            </w:pPr>
            <w:r w:rsidRPr="00D27132">
              <w:rPr>
                <w:color w:val="000000"/>
                <w:sz w:val="18"/>
                <w:szCs w:val="22"/>
              </w:rPr>
              <w:t>2</w:t>
            </w:r>
          </w:p>
        </w:tc>
        <w:tc>
          <w:tcPr>
            <w:tcW w:w="709" w:type="dxa"/>
            <w:tcBorders>
              <w:top w:val="nil"/>
              <w:left w:val="nil"/>
              <w:bottom w:val="nil"/>
              <w:right w:val="nil"/>
            </w:tcBorders>
            <w:shd w:val="clear" w:color="000000" w:fill="A9D08E"/>
            <w:noWrap/>
            <w:vAlign w:val="center"/>
            <w:hideMark/>
          </w:tcPr>
          <w:p w14:paraId="1A5E57BF" w14:textId="77777777" w:rsidR="00D27132" w:rsidRPr="00D27132" w:rsidRDefault="00D27132" w:rsidP="004B68CD">
            <w:pPr>
              <w:jc w:val="center"/>
              <w:rPr>
                <w:color w:val="000000"/>
                <w:sz w:val="18"/>
                <w:szCs w:val="18"/>
              </w:rPr>
            </w:pPr>
            <w:r w:rsidRPr="00D27132">
              <w:rPr>
                <w:color w:val="000000"/>
                <w:sz w:val="18"/>
                <w:szCs w:val="18"/>
              </w:rPr>
              <w:t>2.2</w:t>
            </w:r>
          </w:p>
        </w:tc>
      </w:tr>
      <w:tr w:rsidR="00D27132" w14:paraId="67B01582" w14:textId="77777777" w:rsidTr="004B68CD">
        <w:trPr>
          <w:trHeight w:val="279"/>
        </w:trPr>
        <w:tc>
          <w:tcPr>
            <w:tcW w:w="890" w:type="dxa"/>
            <w:tcBorders>
              <w:top w:val="nil"/>
              <w:left w:val="nil"/>
              <w:bottom w:val="nil"/>
              <w:right w:val="nil"/>
            </w:tcBorders>
            <w:shd w:val="clear" w:color="auto" w:fill="auto"/>
            <w:noWrap/>
            <w:vAlign w:val="bottom"/>
          </w:tcPr>
          <w:p w14:paraId="2BF66F07" w14:textId="77777777" w:rsidR="00D27132" w:rsidRPr="00D27132" w:rsidRDefault="00D27132" w:rsidP="00D27132">
            <w:pPr>
              <w:rPr>
                <w:color w:val="000000"/>
                <w:sz w:val="18"/>
                <w:szCs w:val="22"/>
              </w:rPr>
            </w:pPr>
            <w:r w:rsidRPr="00D27132">
              <w:rPr>
                <w:color w:val="000000"/>
                <w:sz w:val="18"/>
                <w:szCs w:val="22"/>
              </w:rPr>
              <w:t>PSA</w:t>
            </w:r>
          </w:p>
        </w:tc>
        <w:tc>
          <w:tcPr>
            <w:tcW w:w="906" w:type="dxa"/>
            <w:tcBorders>
              <w:top w:val="nil"/>
              <w:left w:val="nil"/>
              <w:bottom w:val="nil"/>
              <w:right w:val="nil"/>
            </w:tcBorders>
            <w:shd w:val="clear" w:color="auto" w:fill="auto"/>
            <w:noWrap/>
            <w:vAlign w:val="bottom"/>
          </w:tcPr>
          <w:p w14:paraId="280E37F6" w14:textId="77777777" w:rsidR="00D27132" w:rsidRPr="00D27132" w:rsidRDefault="00D27132" w:rsidP="00D27132">
            <w:pPr>
              <w:jc w:val="center"/>
              <w:rPr>
                <w:color w:val="000000"/>
                <w:sz w:val="18"/>
                <w:szCs w:val="22"/>
              </w:rPr>
            </w:pPr>
            <w:r w:rsidRPr="00D27132">
              <w:rPr>
                <w:color w:val="000000"/>
                <w:sz w:val="18"/>
                <w:szCs w:val="22"/>
              </w:rPr>
              <w:t>≤ 60</w:t>
            </w:r>
          </w:p>
        </w:tc>
        <w:tc>
          <w:tcPr>
            <w:tcW w:w="587" w:type="dxa"/>
            <w:tcBorders>
              <w:top w:val="nil"/>
              <w:left w:val="nil"/>
              <w:bottom w:val="nil"/>
              <w:right w:val="nil"/>
            </w:tcBorders>
            <w:shd w:val="clear" w:color="auto" w:fill="FF0000"/>
            <w:noWrap/>
            <w:vAlign w:val="center"/>
          </w:tcPr>
          <w:p w14:paraId="448598BB" w14:textId="77777777" w:rsidR="00D27132" w:rsidRPr="00D27132" w:rsidRDefault="00D27132" w:rsidP="004B68CD">
            <w:pPr>
              <w:jc w:val="center"/>
              <w:rPr>
                <w:sz w:val="18"/>
                <w:szCs w:val="22"/>
              </w:rPr>
            </w:pPr>
            <w:r w:rsidRPr="00D27132">
              <w:rPr>
                <w:sz w:val="18"/>
                <w:szCs w:val="22"/>
              </w:rPr>
              <w:t>87.7</w:t>
            </w:r>
          </w:p>
        </w:tc>
        <w:tc>
          <w:tcPr>
            <w:tcW w:w="736" w:type="dxa"/>
            <w:tcBorders>
              <w:top w:val="nil"/>
              <w:left w:val="nil"/>
              <w:bottom w:val="nil"/>
              <w:right w:val="nil"/>
            </w:tcBorders>
            <w:shd w:val="clear" w:color="auto" w:fill="A8D08D" w:themeFill="accent6" w:themeFillTint="99"/>
            <w:vAlign w:val="center"/>
          </w:tcPr>
          <w:p w14:paraId="2170DAFB" w14:textId="7F10915B" w:rsidR="00D27132" w:rsidRPr="00D27132" w:rsidRDefault="00D27132" w:rsidP="004B68CD">
            <w:pPr>
              <w:jc w:val="center"/>
              <w:rPr>
                <w:sz w:val="18"/>
                <w:szCs w:val="22"/>
              </w:rPr>
            </w:pPr>
            <w:r w:rsidRPr="00D27132">
              <w:rPr>
                <w:color w:val="000000"/>
                <w:sz w:val="18"/>
                <w:szCs w:val="22"/>
              </w:rPr>
              <w:t>41.8</w:t>
            </w:r>
          </w:p>
        </w:tc>
        <w:tc>
          <w:tcPr>
            <w:tcW w:w="730" w:type="dxa"/>
            <w:tcBorders>
              <w:top w:val="nil"/>
              <w:left w:val="nil"/>
              <w:bottom w:val="nil"/>
              <w:right w:val="nil"/>
            </w:tcBorders>
            <w:shd w:val="clear" w:color="auto" w:fill="auto"/>
            <w:vAlign w:val="center"/>
          </w:tcPr>
          <w:p w14:paraId="20E17D62" w14:textId="535AFA20" w:rsidR="00D27132" w:rsidRPr="00D27132" w:rsidRDefault="00D27132" w:rsidP="004B68CD">
            <w:pPr>
              <w:jc w:val="center"/>
              <w:rPr>
                <w:sz w:val="18"/>
                <w:szCs w:val="22"/>
              </w:rPr>
            </w:pPr>
            <w:r w:rsidRPr="00D27132">
              <w:rPr>
                <w:sz w:val="18"/>
                <w:szCs w:val="22"/>
              </w:rPr>
              <w:t>≤140</w:t>
            </w:r>
          </w:p>
        </w:tc>
        <w:tc>
          <w:tcPr>
            <w:tcW w:w="580" w:type="dxa"/>
            <w:tcBorders>
              <w:top w:val="nil"/>
              <w:left w:val="nil"/>
              <w:bottom w:val="nil"/>
              <w:right w:val="nil"/>
            </w:tcBorders>
            <w:shd w:val="clear" w:color="auto" w:fill="A8D08D" w:themeFill="accent6" w:themeFillTint="99"/>
            <w:noWrap/>
            <w:vAlign w:val="center"/>
          </w:tcPr>
          <w:p w14:paraId="544118E5" w14:textId="4848834A" w:rsidR="00D27132" w:rsidRPr="00D27132" w:rsidRDefault="00D27132" w:rsidP="004B68CD">
            <w:pPr>
              <w:jc w:val="center"/>
              <w:rPr>
                <w:sz w:val="18"/>
                <w:szCs w:val="22"/>
              </w:rPr>
            </w:pPr>
            <w:r w:rsidRPr="00D27132">
              <w:rPr>
                <w:sz w:val="18"/>
                <w:szCs w:val="22"/>
              </w:rPr>
              <w:t>133</w:t>
            </w:r>
          </w:p>
        </w:tc>
        <w:tc>
          <w:tcPr>
            <w:tcW w:w="709" w:type="dxa"/>
            <w:tcBorders>
              <w:top w:val="nil"/>
              <w:left w:val="nil"/>
              <w:bottom w:val="nil"/>
              <w:right w:val="nil"/>
            </w:tcBorders>
            <w:shd w:val="clear" w:color="auto" w:fill="FF0000"/>
            <w:noWrap/>
            <w:vAlign w:val="center"/>
          </w:tcPr>
          <w:p w14:paraId="6064F6A9" w14:textId="77777777" w:rsidR="00D27132" w:rsidRPr="00D27132" w:rsidRDefault="00D27132" w:rsidP="004B68CD">
            <w:pPr>
              <w:jc w:val="center"/>
              <w:rPr>
                <w:sz w:val="18"/>
                <w:szCs w:val="18"/>
              </w:rPr>
            </w:pPr>
            <w:r w:rsidRPr="00D27132">
              <w:rPr>
                <w:sz w:val="18"/>
                <w:szCs w:val="18"/>
              </w:rPr>
              <w:t>165</w:t>
            </w:r>
          </w:p>
        </w:tc>
      </w:tr>
      <w:tr w:rsidR="00D27132" w14:paraId="28793425" w14:textId="77777777" w:rsidTr="004B68CD">
        <w:trPr>
          <w:trHeight w:val="279"/>
        </w:trPr>
        <w:tc>
          <w:tcPr>
            <w:tcW w:w="890" w:type="dxa"/>
            <w:tcBorders>
              <w:top w:val="nil"/>
              <w:left w:val="nil"/>
              <w:bottom w:val="nil"/>
              <w:right w:val="nil"/>
            </w:tcBorders>
            <w:shd w:val="clear" w:color="auto" w:fill="auto"/>
            <w:noWrap/>
            <w:vAlign w:val="bottom"/>
            <w:hideMark/>
          </w:tcPr>
          <w:p w14:paraId="6935FFE1" w14:textId="77777777" w:rsidR="00D27132" w:rsidRPr="00D27132" w:rsidRDefault="00D27132" w:rsidP="00D27132">
            <w:pPr>
              <w:rPr>
                <w:color w:val="000000"/>
                <w:sz w:val="18"/>
                <w:szCs w:val="22"/>
              </w:rPr>
            </w:pPr>
            <w:r w:rsidRPr="00D27132">
              <w:rPr>
                <w:color w:val="000000"/>
                <w:sz w:val="18"/>
                <w:szCs w:val="22"/>
              </w:rPr>
              <w:t>HBA</w:t>
            </w:r>
          </w:p>
        </w:tc>
        <w:tc>
          <w:tcPr>
            <w:tcW w:w="906" w:type="dxa"/>
            <w:tcBorders>
              <w:top w:val="nil"/>
              <w:left w:val="nil"/>
              <w:bottom w:val="nil"/>
              <w:right w:val="nil"/>
            </w:tcBorders>
            <w:shd w:val="clear" w:color="auto" w:fill="auto"/>
            <w:noWrap/>
            <w:vAlign w:val="bottom"/>
            <w:hideMark/>
          </w:tcPr>
          <w:p w14:paraId="57A64AE8" w14:textId="77777777" w:rsidR="00D27132" w:rsidRPr="00D27132" w:rsidRDefault="00D27132" w:rsidP="00D27132">
            <w:pPr>
              <w:jc w:val="center"/>
              <w:rPr>
                <w:color w:val="000000"/>
                <w:sz w:val="18"/>
                <w:szCs w:val="22"/>
              </w:rPr>
            </w:pPr>
            <w:r w:rsidRPr="00D27132">
              <w:rPr>
                <w:color w:val="000000"/>
                <w:sz w:val="18"/>
                <w:szCs w:val="22"/>
              </w:rPr>
              <w:t>≤3</w:t>
            </w:r>
          </w:p>
        </w:tc>
        <w:tc>
          <w:tcPr>
            <w:tcW w:w="587" w:type="dxa"/>
            <w:tcBorders>
              <w:top w:val="nil"/>
              <w:left w:val="nil"/>
              <w:bottom w:val="nil"/>
              <w:right w:val="nil"/>
            </w:tcBorders>
            <w:shd w:val="clear" w:color="auto" w:fill="FF0000"/>
            <w:noWrap/>
            <w:vAlign w:val="center"/>
            <w:hideMark/>
          </w:tcPr>
          <w:p w14:paraId="21947CE7" w14:textId="77777777" w:rsidR="00D27132" w:rsidRPr="00D27132" w:rsidRDefault="00D27132" w:rsidP="004B68CD">
            <w:pPr>
              <w:jc w:val="center"/>
              <w:rPr>
                <w:color w:val="000000"/>
                <w:sz w:val="18"/>
                <w:szCs w:val="22"/>
              </w:rPr>
            </w:pPr>
            <w:r w:rsidRPr="00D27132">
              <w:rPr>
                <w:color w:val="000000"/>
                <w:sz w:val="18"/>
                <w:szCs w:val="22"/>
              </w:rPr>
              <w:t>6</w:t>
            </w:r>
          </w:p>
        </w:tc>
        <w:tc>
          <w:tcPr>
            <w:tcW w:w="736" w:type="dxa"/>
            <w:tcBorders>
              <w:top w:val="nil"/>
              <w:left w:val="nil"/>
              <w:bottom w:val="nil"/>
              <w:right w:val="nil"/>
            </w:tcBorders>
            <w:shd w:val="clear" w:color="auto" w:fill="A8D08D" w:themeFill="accent6" w:themeFillTint="99"/>
            <w:vAlign w:val="center"/>
          </w:tcPr>
          <w:p w14:paraId="2ECE8891" w14:textId="39A53A62" w:rsidR="00D27132" w:rsidRPr="00D27132" w:rsidRDefault="00D27132" w:rsidP="004B68CD">
            <w:pPr>
              <w:jc w:val="center"/>
              <w:rPr>
                <w:color w:val="000000"/>
                <w:sz w:val="18"/>
                <w:szCs w:val="22"/>
              </w:rPr>
            </w:pPr>
            <w:r w:rsidRPr="00D27132">
              <w:rPr>
                <w:color w:val="000000"/>
                <w:sz w:val="18"/>
                <w:szCs w:val="22"/>
              </w:rPr>
              <w:t>2</w:t>
            </w:r>
          </w:p>
        </w:tc>
        <w:tc>
          <w:tcPr>
            <w:tcW w:w="730" w:type="dxa"/>
            <w:tcBorders>
              <w:top w:val="nil"/>
              <w:left w:val="nil"/>
              <w:bottom w:val="nil"/>
              <w:right w:val="nil"/>
            </w:tcBorders>
            <w:shd w:val="clear" w:color="auto" w:fill="auto"/>
            <w:vAlign w:val="center"/>
          </w:tcPr>
          <w:p w14:paraId="162D9D38" w14:textId="57B9D730" w:rsidR="00D27132" w:rsidRPr="00D27132" w:rsidRDefault="00D27132" w:rsidP="004B68CD">
            <w:pPr>
              <w:jc w:val="center"/>
              <w:rPr>
                <w:color w:val="000000"/>
                <w:sz w:val="18"/>
                <w:szCs w:val="22"/>
              </w:rPr>
            </w:pPr>
            <w:r w:rsidRPr="00D27132">
              <w:rPr>
                <w:color w:val="000000"/>
                <w:sz w:val="18"/>
                <w:szCs w:val="22"/>
              </w:rPr>
              <w:t>≤10</w:t>
            </w:r>
          </w:p>
        </w:tc>
        <w:tc>
          <w:tcPr>
            <w:tcW w:w="580" w:type="dxa"/>
            <w:tcBorders>
              <w:top w:val="nil"/>
              <w:left w:val="nil"/>
              <w:bottom w:val="nil"/>
              <w:right w:val="nil"/>
            </w:tcBorders>
            <w:shd w:val="clear" w:color="auto" w:fill="FFC000"/>
            <w:noWrap/>
            <w:vAlign w:val="center"/>
            <w:hideMark/>
          </w:tcPr>
          <w:p w14:paraId="58885C7E" w14:textId="0593E7BB" w:rsidR="00D27132" w:rsidRPr="00D27132" w:rsidRDefault="00D27132" w:rsidP="004B68CD">
            <w:pPr>
              <w:jc w:val="center"/>
              <w:rPr>
                <w:color w:val="000000"/>
                <w:sz w:val="18"/>
                <w:szCs w:val="22"/>
              </w:rPr>
            </w:pPr>
            <w:r w:rsidRPr="00D27132">
              <w:rPr>
                <w:color w:val="000000"/>
                <w:sz w:val="18"/>
                <w:szCs w:val="22"/>
              </w:rPr>
              <w:t>11</w:t>
            </w:r>
          </w:p>
        </w:tc>
        <w:tc>
          <w:tcPr>
            <w:tcW w:w="709" w:type="dxa"/>
            <w:tcBorders>
              <w:top w:val="nil"/>
              <w:left w:val="nil"/>
              <w:bottom w:val="nil"/>
              <w:right w:val="nil"/>
            </w:tcBorders>
            <w:shd w:val="clear" w:color="auto" w:fill="A8D08D" w:themeFill="accent6" w:themeFillTint="99"/>
            <w:noWrap/>
            <w:vAlign w:val="center"/>
            <w:hideMark/>
          </w:tcPr>
          <w:p w14:paraId="02513EEB" w14:textId="77777777" w:rsidR="00D27132" w:rsidRPr="00D27132" w:rsidRDefault="00D27132" w:rsidP="004B68CD">
            <w:pPr>
              <w:jc w:val="center"/>
              <w:rPr>
                <w:color w:val="000000"/>
                <w:sz w:val="18"/>
                <w:szCs w:val="18"/>
              </w:rPr>
            </w:pPr>
            <w:r w:rsidRPr="00D27132">
              <w:rPr>
                <w:color w:val="000000"/>
                <w:sz w:val="18"/>
                <w:szCs w:val="18"/>
              </w:rPr>
              <w:t>10</w:t>
            </w:r>
          </w:p>
        </w:tc>
      </w:tr>
      <w:tr w:rsidR="00D27132" w14:paraId="6266430D" w14:textId="77777777" w:rsidTr="004B68CD">
        <w:trPr>
          <w:trHeight w:val="279"/>
        </w:trPr>
        <w:tc>
          <w:tcPr>
            <w:tcW w:w="890" w:type="dxa"/>
            <w:tcBorders>
              <w:top w:val="nil"/>
              <w:left w:val="nil"/>
              <w:bottom w:val="nil"/>
              <w:right w:val="nil"/>
            </w:tcBorders>
            <w:shd w:val="clear" w:color="auto" w:fill="auto"/>
            <w:noWrap/>
            <w:vAlign w:val="bottom"/>
            <w:hideMark/>
          </w:tcPr>
          <w:p w14:paraId="4CD22FBA" w14:textId="77777777" w:rsidR="00D27132" w:rsidRPr="00D27132" w:rsidRDefault="00D27132" w:rsidP="00D27132">
            <w:pPr>
              <w:rPr>
                <w:color w:val="000000"/>
                <w:sz w:val="18"/>
                <w:szCs w:val="22"/>
              </w:rPr>
            </w:pPr>
            <w:r w:rsidRPr="00D27132">
              <w:rPr>
                <w:color w:val="000000"/>
                <w:sz w:val="18"/>
                <w:szCs w:val="22"/>
              </w:rPr>
              <w:t>HBD</w:t>
            </w:r>
          </w:p>
        </w:tc>
        <w:tc>
          <w:tcPr>
            <w:tcW w:w="906" w:type="dxa"/>
            <w:tcBorders>
              <w:top w:val="nil"/>
              <w:left w:val="nil"/>
              <w:bottom w:val="nil"/>
              <w:right w:val="nil"/>
            </w:tcBorders>
            <w:shd w:val="clear" w:color="auto" w:fill="auto"/>
            <w:noWrap/>
            <w:vAlign w:val="bottom"/>
            <w:hideMark/>
          </w:tcPr>
          <w:p w14:paraId="367DBEEC" w14:textId="77777777" w:rsidR="00D27132" w:rsidRPr="00D27132" w:rsidRDefault="00D27132" w:rsidP="00D27132">
            <w:pPr>
              <w:jc w:val="center"/>
              <w:rPr>
                <w:color w:val="000000"/>
                <w:sz w:val="18"/>
                <w:szCs w:val="22"/>
              </w:rPr>
            </w:pPr>
            <w:r w:rsidRPr="00D27132">
              <w:rPr>
                <w:color w:val="000000"/>
                <w:sz w:val="18"/>
                <w:szCs w:val="22"/>
              </w:rPr>
              <w:t>≤3</w:t>
            </w:r>
          </w:p>
        </w:tc>
        <w:tc>
          <w:tcPr>
            <w:tcW w:w="587" w:type="dxa"/>
            <w:tcBorders>
              <w:top w:val="nil"/>
              <w:left w:val="nil"/>
              <w:bottom w:val="nil"/>
              <w:right w:val="nil"/>
            </w:tcBorders>
            <w:shd w:val="clear" w:color="000000" w:fill="A9D08E"/>
            <w:noWrap/>
            <w:vAlign w:val="center"/>
            <w:hideMark/>
          </w:tcPr>
          <w:p w14:paraId="11124119" w14:textId="77777777" w:rsidR="00D27132" w:rsidRPr="00D27132" w:rsidRDefault="00D27132" w:rsidP="004B68CD">
            <w:pPr>
              <w:jc w:val="center"/>
              <w:rPr>
                <w:color w:val="000000"/>
                <w:sz w:val="18"/>
                <w:szCs w:val="22"/>
              </w:rPr>
            </w:pPr>
            <w:r w:rsidRPr="00D27132">
              <w:rPr>
                <w:color w:val="000000"/>
                <w:sz w:val="18"/>
                <w:szCs w:val="22"/>
              </w:rPr>
              <w:t>3</w:t>
            </w:r>
          </w:p>
        </w:tc>
        <w:tc>
          <w:tcPr>
            <w:tcW w:w="736" w:type="dxa"/>
            <w:tcBorders>
              <w:top w:val="nil"/>
              <w:left w:val="nil"/>
              <w:bottom w:val="nil"/>
              <w:right w:val="nil"/>
            </w:tcBorders>
            <w:shd w:val="clear" w:color="auto" w:fill="A8D08D" w:themeFill="accent6" w:themeFillTint="99"/>
            <w:vAlign w:val="center"/>
          </w:tcPr>
          <w:p w14:paraId="472E5FAF" w14:textId="12BD91DA" w:rsidR="00D27132" w:rsidRPr="00D27132" w:rsidRDefault="00D27132" w:rsidP="004B68CD">
            <w:pPr>
              <w:jc w:val="center"/>
              <w:rPr>
                <w:color w:val="000000"/>
                <w:sz w:val="18"/>
                <w:szCs w:val="22"/>
              </w:rPr>
            </w:pPr>
            <w:r w:rsidRPr="00D27132">
              <w:rPr>
                <w:color w:val="000000"/>
                <w:sz w:val="18"/>
                <w:szCs w:val="22"/>
              </w:rPr>
              <w:t>3</w:t>
            </w:r>
          </w:p>
        </w:tc>
        <w:tc>
          <w:tcPr>
            <w:tcW w:w="730" w:type="dxa"/>
            <w:tcBorders>
              <w:top w:val="nil"/>
              <w:left w:val="nil"/>
              <w:bottom w:val="nil"/>
              <w:right w:val="nil"/>
            </w:tcBorders>
            <w:shd w:val="clear" w:color="auto" w:fill="auto"/>
            <w:vAlign w:val="center"/>
          </w:tcPr>
          <w:p w14:paraId="4EFB72D0" w14:textId="67E5AC21" w:rsidR="00D27132" w:rsidRPr="00D27132" w:rsidRDefault="00D27132" w:rsidP="004B68CD">
            <w:pPr>
              <w:jc w:val="center"/>
              <w:rPr>
                <w:color w:val="000000"/>
                <w:sz w:val="18"/>
                <w:szCs w:val="22"/>
              </w:rPr>
            </w:pPr>
            <w:r w:rsidRPr="00D27132">
              <w:rPr>
                <w:color w:val="000000"/>
                <w:sz w:val="18"/>
                <w:szCs w:val="22"/>
              </w:rPr>
              <w:t>≤5</w:t>
            </w:r>
          </w:p>
        </w:tc>
        <w:tc>
          <w:tcPr>
            <w:tcW w:w="580" w:type="dxa"/>
            <w:tcBorders>
              <w:top w:val="nil"/>
              <w:left w:val="nil"/>
              <w:bottom w:val="nil"/>
              <w:right w:val="nil"/>
            </w:tcBorders>
            <w:shd w:val="clear" w:color="000000" w:fill="A9D08E"/>
            <w:noWrap/>
            <w:vAlign w:val="center"/>
            <w:hideMark/>
          </w:tcPr>
          <w:p w14:paraId="04581C00" w14:textId="6EF52E3B" w:rsidR="00D27132" w:rsidRPr="00D27132" w:rsidRDefault="00D27132" w:rsidP="004B68CD">
            <w:pPr>
              <w:jc w:val="center"/>
              <w:rPr>
                <w:color w:val="000000"/>
                <w:sz w:val="18"/>
                <w:szCs w:val="22"/>
              </w:rPr>
            </w:pPr>
            <w:r w:rsidRPr="00D27132">
              <w:rPr>
                <w:color w:val="000000"/>
                <w:sz w:val="18"/>
                <w:szCs w:val="22"/>
              </w:rPr>
              <w:t>1</w:t>
            </w:r>
          </w:p>
        </w:tc>
        <w:tc>
          <w:tcPr>
            <w:tcW w:w="709" w:type="dxa"/>
            <w:tcBorders>
              <w:top w:val="nil"/>
              <w:left w:val="nil"/>
              <w:bottom w:val="nil"/>
              <w:right w:val="nil"/>
            </w:tcBorders>
            <w:shd w:val="clear" w:color="000000" w:fill="A9D08E"/>
            <w:noWrap/>
            <w:vAlign w:val="center"/>
            <w:hideMark/>
          </w:tcPr>
          <w:p w14:paraId="4336DD27" w14:textId="77777777" w:rsidR="00D27132" w:rsidRPr="00D27132" w:rsidRDefault="00D27132" w:rsidP="004B68CD">
            <w:pPr>
              <w:jc w:val="center"/>
              <w:rPr>
                <w:color w:val="000000"/>
                <w:sz w:val="18"/>
                <w:szCs w:val="18"/>
              </w:rPr>
            </w:pPr>
            <w:r w:rsidRPr="00D27132">
              <w:rPr>
                <w:color w:val="000000"/>
                <w:sz w:val="18"/>
                <w:szCs w:val="18"/>
              </w:rPr>
              <w:t>3</w:t>
            </w:r>
          </w:p>
        </w:tc>
      </w:tr>
      <w:tr w:rsidR="00D27132" w14:paraId="7946F470" w14:textId="77777777" w:rsidTr="004B68CD">
        <w:trPr>
          <w:trHeight w:val="279"/>
        </w:trPr>
        <w:tc>
          <w:tcPr>
            <w:tcW w:w="890" w:type="dxa"/>
            <w:tcBorders>
              <w:top w:val="nil"/>
              <w:left w:val="nil"/>
              <w:bottom w:val="nil"/>
              <w:right w:val="nil"/>
            </w:tcBorders>
            <w:shd w:val="clear" w:color="auto" w:fill="auto"/>
            <w:noWrap/>
            <w:vAlign w:val="bottom"/>
            <w:hideMark/>
          </w:tcPr>
          <w:p w14:paraId="082732B3" w14:textId="77777777" w:rsidR="00D27132" w:rsidRPr="00D27132" w:rsidRDefault="00D27132" w:rsidP="00D27132">
            <w:pPr>
              <w:rPr>
                <w:color w:val="000000"/>
                <w:sz w:val="18"/>
                <w:szCs w:val="22"/>
              </w:rPr>
            </w:pPr>
            <w:r w:rsidRPr="00D27132">
              <w:rPr>
                <w:color w:val="000000"/>
                <w:sz w:val="18"/>
                <w:szCs w:val="22"/>
              </w:rPr>
              <w:t>RBC</w:t>
            </w:r>
          </w:p>
        </w:tc>
        <w:tc>
          <w:tcPr>
            <w:tcW w:w="906" w:type="dxa"/>
            <w:tcBorders>
              <w:top w:val="nil"/>
              <w:left w:val="nil"/>
              <w:bottom w:val="nil"/>
              <w:right w:val="nil"/>
            </w:tcBorders>
            <w:shd w:val="clear" w:color="auto" w:fill="auto"/>
            <w:noWrap/>
            <w:vAlign w:val="bottom"/>
            <w:hideMark/>
          </w:tcPr>
          <w:p w14:paraId="62D0C2DC" w14:textId="77777777" w:rsidR="00D27132" w:rsidRPr="00D27132" w:rsidRDefault="00D27132" w:rsidP="00D27132">
            <w:pPr>
              <w:jc w:val="center"/>
              <w:rPr>
                <w:color w:val="000000"/>
                <w:sz w:val="18"/>
                <w:szCs w:val="22"/>
              </w:rPr>
            </w:pPr>
            <w:r w:rsidRPr="00D27132">
              <w:rPr>
                <w:color w:val="000000"/>
                <w:sz w:val="18"/>
                <w:szCs w:val="22"/>
              </w:rPr>
              <w:t>≤3</w:t>
            </w:r>
          </w:p>
        </w:tc>
        <w:tc>
          <w:tcPr>
            <w:tcW w:w="587" w:type="dxa"/>
            <w:tcBorders>
              <w:top w:val="nil"/>
              <w:left w:val="nil"/>
              <w:bottom w:val="nil"/>
              <w:right w:val="nil"/>
            </w:tcBorders>
            <w:shd w:val="clear" w:color="auto" w:fill="FF0000"/>
            <w:noWrap/>
            <w:vAlign w:val="center"/>
            <w:hideMark/>
          </w:tcPr>
          <w:p w14:paraId="7DD056D9" w14:textId="77777777" w:rsidR="00D27132" w:rsidRPr="00D27132" w:rsidRDefault="00D27132" w:rsidP="004B68CD">
            <w:pPr>
              <w:jc w:val="center"/>
              <w:rPr>
                <w:color w:val="000000"/>
                <w:sz w:val="18"/>
                <w:szCs w:val="22"/>
              </w:rPr>
            </w:pPr>
            <w:r w:rsidRPr="00D27132">
              <w:rPr>
                <w:color w:val="000000"/>
                <w:sz w:val="18"/>
                <w:szCs w:val="22"/>
              </w:rPr>
              <w:t>5</w:t>
            </w:r>
          </w:p>
        </w:tc>
        <w:tc>
          <w:tcPr>
            <w:tcW w:w="736" w:type="dxa"/>
            <w:tcBorders>
              <w:top w:val="nil"/>
              <w:left w:val="nil"/>
              <w:bottom w:val="nil"/>
              <w:right w:val="nil"/>
            </w:tcBorders>
            <w:shd w:val="clear" w:color="auto" w:fill="A8D08D" w:themeFill="accent6" w:themeFillTint="99"/>
            <w:vAlign w:val="center"/>
          </w:tcPr>
          <w:p w14:paraId="45E88F77" w14:textId="0D912048" w:rsidR="00D27132" w:rsidRPr="00D27132" w:rsidRDefault="00D27132" w:rsidP="004B68CD">
            <w:pPr>
              <w:jc w:val="center"/>
              <w:rPr>
                <w:color w:val="000000"/>
                <w:sz w:val="18"/>
                <w:szCs w:val="22"/>
              </w:rPr>
            </w:pPr>
            <w:r w:rsidRPr="00D27132">
              <w:rPr>
                <w:color w:val="000000"/>
                <w:sz w:val="18"/>
                <w:szCs w:val="22"/>
              </w:rPr>
              <w:t>3</w:t>
            </w:r>
          </w:p>
        </w:tc>
        <w:tc>
          <w:tcPr>
            <w:tcW w:w="730" w:type="dxa"/>
            <w:tcBorders>
              <w:top w:val="nil"/>
              <w:left w:val="nil"/>
              <w:bottom w:val="nil"/>
              <w:right w:val="nil"/>
            </w:tcBorders>
            <w:shd w:val="clear" w:color="auto" w:fill="auto"/>
            <w:vAlign w:val="center"/>
          </w:tcPr>
          <w:p w14:paraId="360FE3DE" w14:textId="1772C205" w:rsidR="00D27132" w:rsidRPr="00D27132" w:rsidRDefault="00D27132" w:rsidP="004B68CD">
            <w:pPr>
              <w:jc w:val="center"/>
              <w:rPr>
                <w:color w:val="000000"/>
                <w:sz w:val="18"/>
                <w:szCs w:val="22"/>
              </w:rPr>
            </w:pPr>
            <w:r w:rsidRPr="00D27132">
              <w:rPr>
                <w:color w:val="000000"/>
                <w:sz w:val="18"/>
                <w:szCs w:val="22"/>
              </w:rPr>
              <w:t>&lt;10</w:t>
            </w:r>
          </w:p>
        </w:tc>
        <w:tc>
          <w:tcPr>
            <w:tcW w:w="580" w:type="dxa"/>
            <w:tcBorders>
              <w:top w:val="nil"/>
              <w:left w:val="nil"/>
              <w:bottom w:val="nil"/>
              <w:right w:val="nil"/>
            </w:tcBorders>
            <w:shd w:val="clear" w:color="auto" w:fill="A8D08D" w:themeFill="accent6" w:themeFillTint="99"/>
            <w:noWrap/>
            <w:vAlign w:val="center"/>
            <w:hideMark/>
          </w:tcPr>
          <w:p w14:paraId="3CA0B65F" w14:textId="1F706643" w:rsidR="00D27132" w:rsidRPr="00D27132" w:rsidRDefault="00D27132" w:rsidP="004B68CD">
            <w:pPr>
              <w:jc w:val="center"/>
              <w:rPr>
                <w:color w:val="000000"/>
                <w:sz w:val="18"/>
                <w:szCs w:val="22"/>
              </w:rPr>
            </w:pPr>
            <w:r w:rsidRPr="00D27132">
              <w:rPr>
                <w:color w:val="000000"/>
                <w:sz w:val="18"/>
                <w:szCs w:val="22"/>
              </w:rPr>
              <w:t>7</w:t>
            </w:r>
          </w:p>
        </w:tc>
        <w:tc>
          <w:tcPr>
            <w:tcW w:w="709" w:type="dxa"/>
            <w:tcBorders>
              <w:top w:val="nil"/>
              <w:left w:val="nil"/>
              <w:bottom w:val="nil"/>
              <w:right w:val="nil"/>
            </w:tcBorders>
            <w:shd w:val="clear" w:color="auto" w:fill="A8D08D" w:themeFill="accent6" w:themeFillTint="99"/>
            <w:noWrap/>
            <w:vAlign w:val="center"/>
            <w:hideMark/>
          </w:tcPr>
          <w:p w14:paraId="7C8137F2" w14:textId="77777777" w:rsidR="00D27132" w:rsidRPr="00D27132" w:rsidRDefault="00D27132" w:rsidP="004B68CD">
            <w:pPr>
              <w:jc w:val="center"/>
              <w:rPr>
                <w:color w:val="000000"/>
                <w:sz w:val="18"/>
                <w:szCs w:val="18"/>
              </w:rPr>
            </w:pPr>
            <w:r w:rsidRPr="00D27132">
              <w:rPr>
                <w:color w:val="000000"/>
                <w:sz w:val="18"/>
                <w:szCs w:val="18"/>
              </w:rPr>
              <w:t>6</w:t>
            </w:r>
          </w:p>
        </w:tc>
      </w:tr>
      <w:tr w:rsidR="00D27132" w14:paraId="1DCA8B1A" w14:textId="77777777" w:rsidTr="004B68CD">
        <w:trPr>
          <w:trHeight w:val="279"/>
        </w:trPr>
        <w:tc>
          <w:tcPr>
            <w:tcW w:w="890" w:type="dxa"/>
            <w:tcBorders>
              <w:top w:val="nil"/>
              <w:left w:val="nil"/>
              <w:bottom w:val="nil"/>
              <w:right w:val="nil"/>
            </w:tcBorders>
            <w:shd w:val="clear" w:color="auto" w:fill="auto"/>
            <w:noWrap/>
            <w:vAlign w:val="bottom"/>
          </w:tcPr>
          <w:p w14:paraId="321C5AD5" w14:textId="77777777" w:rsidR="00D27132" w:rsidRPr="00D27132" w:rsidRDefault="00D27132" w:rsidP="00D27132">
            <w:pPr>
              <w:rPr>
                <w:color w:val="000000"/>
                <w:sz w:val="18"/>
                <w:szCs w:val="22"/>
              </w:rPr>
            </w:pPr>
            <w:r w:rsidRPr="00D27132">
              <w:rPr>
                <w:color w:val="000000"/>
                <w:sz w:val="18"/>
                <w:szCs w:val="22"/>
              </w:rPr>
              <w:t>CC</w:t>
            </w:r>
          </w:p>
        </w:tc>
        <w:tc>
          <w:tcPr>
            <w:tcW w:w="906" w:type="dxa"/>
            <w:tcBorders>
              <w:top w:val="nil"/>
              <w:left w:val="nil"/>
              <w:bottom w:val="nil"/>
              <w:right w:val="nil"/>
            </w:tcBorders>
            <w:shd w:val="clear" w:color="auto" w:fill="auto"/>
            <w:noWrap/>
            <w:vAlign w:val="bottom"/>
          </w:tcPr>
          <w:p w14:paraId="04D577D2" w14:textId="77777777" w:rsidR="00D27132" w:rsidRPr="00D27132" w:rsidRDefault="00D27132" w:rsidP="00D27132">
            <w:pPr>
              <w:jc w:val="center"/>
              <w:rPr>
                <w:color w:val="000000"/>
                <w:sz w:val="18"/>
                <w:szCs w:val="22"/>
              </w:rPr>
            </w:pPr>
            <w:r w:rsidRPr="00D27132">
              <w:rPr>
                <w:color w:val="000000"/>
                <w:sz w:val="18"/>
                <w:szCs w:val="22"/>
              </w:rPr>
              <w:t>0–1</w:t>
            </w:r>
          </w:p>
        </w:tc>
        <w:tc>
          <w:tcPr>
            <w:tcW w:w="587" w:type="dxa"/>
            <w:tcBorders>
              <w:top w:val="nil"/>
              <w:left w:val="nil"/>
              <w:bottom w:val="nil"/>
              <w:right w:val="nil"/>
            </w:tcBorders>
            <w:shd w:val="clear" w:color="auto" w:fill="FF0000"/>
            <w:noWrap/>
            <w:vAlign w:val="center"/>
          </w:tcPr>
          <w:p w14:paraId="0C626FFC" w14:textId="77777777" w:rsidR="00D27132" w:rsidRPr="00D27132" w:rsidRDefault="00D27132" w:rsidP="004B68CD">
            <w:pPr>
              <w:jc w:val="center"/>
              <w:rPr>
                <w:color w:val="000000"/>
                <w:sz w:val="18"/>
                <w:szCs w:val="22"/>
              </w:rPr>
            </w:pPr>
            <w:r w:rsidRPr="00D27132">
              <w:rPr>
                <w:color w:val="000000"/>
                <w:sz w:val="18"/>
                <w:szCs w:val="22"/>
              </w:rPr>
              <w:t>3</w:t>
            </w:r>
          </w:p>
        </w:tc>
        <w:tc>
          <w:tcPr>
            <w:tcW w:w="736" w:type="dxa"/>
            <w:tcBorders>
              <w:top w:val="nil"/>
              <w:left w:val="nil"/>
              <w:bottom w:val="nil"/>
              <w:right w:val="nil"/>
            </w:tcBorders>
            <w:shd w:val="clear" w:color="auto" w:fill="A8D08D" w:themeFill="accent6" w:themeFillTint="99"/>
            <w:vAlign w:val="center"/>
          </w:tcPr>
          <w:p w14:paraId="47D08FEE" w14:textId="13901398" w:rsidR="00D27132" w:rsidRPr="00D27132" w:rsidRDefault="00D27132" w:rsidP="004B68CD">
            <w:pPr>
              <w:jc w:val="center"/>
              <w:rPr>
                <w:color w:val="000000"/>
                <w:sz w:val="18"/>
                <w:szCs w:val="22"/>
              </w:rPr>
            </w:pPr>
            <w:r w:rsidRPr="00D27132">
              <w:rPr>
                <w:color w:val="000000"/>
                <w:sz w:val="18"/>
                <w:szCs w:val="22"/>
              </w:rPr>
              <w:t>0</w:t>
            </w:r>
          </w:p>
        </w:tc>
        <w:tc>
          <w:tcPr>
            <w:tcW w:w="730" w:type="dxa"/>
            <w:tcBorders>
              <w:top w:val="nil"/>
              <w:left w:val="nil"/>
              <w:bottom w:val="nil"/>
              <w:right w:val="nil"/>
            </w:tcBorders>
            <w:shd w:val="clear" w:color="auto" w:fill="auto"/>
            <w:vAlign w:val="center"/>
          </w:tcPr>
          <w:p w14:paraId="5DEEA7DF" w14:textId="77777777" w:rsidR="00D27132" w:rsidRPr="00D27132" w:rsidRDefault="00D27132" w:rsidP="004B68CD">
            <w:pPr>
              <w:jc w:val="center"/>
              <w:rPr>
                <w:color w:val="000000"/>
                <w:sz w:val="18"/>
                <w:szCs w:val="22"/>
              </w:rPr>
            </w:pPr>
          </w:p>
        </w:tc>
        <w:tc>
          <w:tcPr>
            <w:tcW w:w="580" w:type="dxa"/>
            <w:tcBorders>
              <w:top w:val="nil"/>
              <w:left w:val="nil"/>
              <w:bottom w:val="nil"/>
              <w:right w:val="nil"/>
            </w:tcBorders>
            <w:shd w:val="clear" w:color="auto" w:fill="A8D08D" w:themeFill="accent6" w:themeFillTint="99"/>
            <w:noWrap/>
            <w:vAlign w:val="center"/>
          </w:tcPr>
          <w:p w14:paraId="376ECEF8" w14:textId="1AA59916" w:rsidR="00D27132" w:rsidRPr="00D27132" w:rsidRDefault="00D27132" w:rsidP="004B68CD">
            <w:pPr>
              <w:jc w:val="center"/>
              <w:rPr>
                <w:color w:val="000000"/>
                <w:sz w:val="18"/>
                <w:szCs w:val="22"/>
              </w:rPr>
            </w:pPr>
            <w:r w:rsidRPr="00D27132">
              <w:rPr>
                <w:color w:val="000000"/>
                <w:sz w:val="18"/>
                <w:szCs w:val="22"/>
              </w:rPr>
              <w:t>5</w:t>
            </w:r>
          </w:p>
        </w:tc>
        <w:tc>
          <w:tcPr>
            <w:tcW w:w="709" w:type="dxa"/>
            <w:tcBorders>
              <w:top w:val="nil"/>
              <w:left w:val="nil"/>
              <w:bottom w:val="nil"/>
              <w:right w:val="nil"/>
            </w:tcBorders>
            <w:shd w:val="clear" w:color="auto" w:fill="A8D08D" w:themeFill="accent6" w:themeFillTint="99"/>
            <w:noWrap/>
            <w:vAlign w:val="center"/>
          </w:tcPr>
          <w:p w14:paraId="3106D151" w14:textId="77777777" w:rsidR="00D27132" w:rsidRPr="00D27132" w:rsidRDefault="00D27132" w:rsidP="004B68CD">
            <w:pPr>
              <w:jc w:val="center"/>
              <w:rPr>
                <w:color w:val="000000"/>
                <w:sz w:val="18"/>
                <w:szCs w:val="18"/>
              </w:rPr>
            </w:pPr>
            <w:r w:rsidRPr="00D27132">
              <w:rPr>
                <w:color w:val="000000"/>
                <w:sz w:val="18"/>
                <w:szCs w:val="18"/>
              </w:rPr>
              <w:t>0</w:t>
            </w:r>
          </w:p>
        </w:tc>
      </w:tr>
      <w:tr w:rsidR="00D27132" w14:paraId="7B9FAE79" w14:textId="77777777" w:rsidTr="004B68CD">
        <w:trPr>
          <w:trHeight w:val="279"/>
        </w:trPr>
        <w:tc>
          <w:tcPr>
            <w:tcW w:w="890" w:type="dxa"/>
            <w:tcBorders>
              <w:top w:val="nil"/>
              <w:left w:val="nil"/>
              <w:bottom w:val="nil"/>
              <w:right w:val="nil"/>
            </w:tcBorders>
            <w:shd w:val="clear" w:color="auto" w:fill="auto"/>
            <w:noWrap/>
            <w:vAlign w:val="bottom"/>
            <w:hideMark/>
          </w:tcPr>
          <w:p w14:paraId="7E472E19" w14:textId="77777777" w:rsidR="00D27132" w:rsidRPr="00D27132" w:rsidRDefault="00D27132" w:rsidP="00D27132">
            <w:pPr>
              <w:rPr>
                <w:color w:val="000000"/>
                <w:sz w:val="18"/>
                <w:szCs w:val="22"/>
              </w:rPr>
            </w:pPr>
            <w:r w:rsidRPr="00D27132">
              <w:rPr>
                <w:color w:val="000000"/>
                <w:sz w:val="18"/>
                <w:szCs w:val="22"/>
              </w:rPr>
              <w:t>ATP</w:t>
            </w:r>
          </w:p>
        </w:tc>
        <w:tc>
          <w:tcPr>
            <w:tcW w:w="906" w:type="dxa"/>
            <w:tcBorders>
              <w:top w:val="nil"/>
              <w:left w:val="nil"/>
              <w:bottom w:val="nil"/>
              <w:right w:val="nil"/>
            </w:tcBorders>
            <w:shd w:val="clear" w:color="auto" w:fill="auto"/>
            <w:noWrap/>
            <w:vAlign w:val="bottom"/>
            <w:hideMark/>
          </w:tcPr>
          <w:p w14:paraId="0BC06421" w14:textId="77777777" w:rsidR="00D27132" w:rsidRPr="00D27132" w:rsidRDefault="00D27132" w:rsidP="00D27132">
            <w:pPr>
              <w:jc w:val="center"/>
              <w:rPr>
                <w:color w:val="000000"/>
                <w:sz w:val="18"/>
                <w:szCs w:val="22"/>
              </w:rPr>
            </w:pPr>
            <w:r w:rsidRPr="00D27132">
              <w:rPr>
                <w:color w:val="000000"/>
                <w:sz w:val="18"/>
                <w:szCs w:val="22"/>
              </w:rPr>
              <w:t>No</w:t>
            </w:r>
          </w:p>
        </w:tc>
        <w:tc>
          <w:tcPr>
            <w:tcW w:w="587" w:type="dxa"/>
            <w:tcBorders>
              <w:top w:val="nil"/>
              <w:left w:val="nil"/>
              <w:bottom w:val="nil"/>
              <w:right w:val="nil"/>
            </w:tcBorders>
            <w:shd w:val="clear" w:color="auto" w:fill="FF0000"/>
            <w:noWrap/>
            <w:vAlign w:val="center"/>
            <w:hideMark/>
          </w:tcPr>
          <w:p w14:paraId="6ECE00F4" w14:textId="77777777" w:rsidR="00D27132" w:rsidRPr="00D27132" w:rsidRDefault="00D27132" w:rsidP="004B68CD">
            <w:pPr>
              <w:jc w:val="center"/>
              <w:rPr>
                <w:color w:val="000000"/>
                <w:sz w:val="18"/>
                <w:szCs w:val="22"/>
              </w:rPr>
            </w:pPr>
            <w:r w:rsidRPr="00D27132">
              <w:rPr>
                <w:color w:val="000000"/>
                <w:sz w:val="18"/>
                <w:szCs w:val="22"/>
              </w:rPr>
              <w:t>Yes</w:t>
            </w:r>
          </w:p>
        </w:tc>
        <w:tc>
          <w:tcPr>
            <w:tcW w:w="736" w:type="dxa"/>
            <w:tcBorders>
              <w:top w:val="nil"/>
              <w:left w:val="nil"/>
              <w:bottom w:val="nil"/>
              <w:right w:val="nil"/>
            </w:tcBorders>
            <w:shd w:val="clear" w:color="000000" w:fill="A9D08E"/>
            <w:vAlign w:val="center"/>
          </w:tcPr>
          <w:p w14:paraId="3AF18A2C" w14:textId="194C72DB" w:rsidR="00D27132" w:rsidRPr="00D27132" w:rsidRDefault="00D27132" w:rsidP="004B68CD">
            <w:pPr>
              <w:jc w:val="center"/>
              <w:rPr>
                <w:color w:val="000000"/>
                <w:sz w:val="18"/>
                <w:szCs w:val="22"/>
              </w:rPr>
            </w:pPr>
            <w:r w:rsidRPr="00D27132">
              <w:rPr>
                <w:color w:val="000000"/>
                <w:sz w:val="18"/>
                <w:szCs w:val="22"/>
              </w:rPr>
              <w:t>No</w:t>
            </w:r>
          </w:p>
        </w:tc>
        <w:tc>
          <w:tcPr>
            <w:tcW w:w="730" w:type="dxa"/>
            <w:tcBorders>
              <w:top w:val="nil"/>
              <w:left w:val="nil"/>
              <w:bottom w:val="nil"/>
              <w:right w:val="nil"/>
            </w:tcBorders>
            <w:shd w:val="clear" w:color="auto" w:fill="auto"/>
            <w:vAlign w:val="center"/>
          </w:tcPr>
          <w:p w14:paraId="6888D8C6" w14:textId="4EA72071" w:rsidR="00D27132" w:rsidRPr="00D27132" w:rsidRDefault="00D27132" w:rsidP="004B68CD">
            <w:pPr>
              <w:jc w:val="center"/>
              <w:rPr>
                <w:color w:val="000000"/>
                <w:sz w:val="18"/>
                <w:szCs w:val="22"/>
              </w:rPr>
            </w:pPr>
          </w:p>
        </w:tc>
        <w:tc>
          <w:tcPr>
            <w:tcW w:w="580" w:type="dxa"/>
            <w:tcBorders>
              <w:top w:val="nil"/>
              <w:left w:val="nil"/>
              <w:bottom w:val="nil"/>
              <w:right w:val="nil"/>
            </w:tcBorders>
            <w:shd w:val="clear" w:color="000000" w:fill="A9D08E"/>
            <w:noWrap/>
            <w:vAlign w:val="center"/>
            <w:hideMark/>
          </w:tcPr>
          <w:p w14:paraId="70078EF8" w14:textId="27AB0FC6" w:rsidR="00D27132" w:rsidRPr="00D27132" w:rsidRDefault="00D27132" w:rsidP="004B68CD">
            <w:pPr>
              <w:jc w:val="center"/>
              <w:rPr>
                <w:color w:val="000000"/>
                <w:sz w:val="18"/>
                <w:szCs w:val="22"/>
              </w:rPr>
            </w:pPr>
            <w:r w:rsidRPr="00D27132">
              <w:rPr>
                <w:color w:val="000000"/>
                <w:sz w:val="18"/>
                <w:szCs w:val="22"/>
              </w:rPr>
              <w:t>No</w:t>
            </w:r>
          </w:p>
        </w:tc>
        <w:tc>
          <w:tcPr>
            <w:tcW w:w="709" w:type="dxa"/>
            <w:tcBorders>
              <w:top w:val="nil"/>
              <w:left w:val="nil"/>
              <w:bottom w:val="nil"/>
              <w:right w:val="nil"/>
            </w:tcBorders>
            <w:shd w:val="clear" w:color="000000" w:fill="A9D08E"/>
            <w:noWrap/>
            <w:vAlign w:val="center"/>
            <w:hideMark/>
          </w:tcPr>
          <w:p w14:paraId="6D04A385" w14:textId="77777777" w:rsidR="00D27132" w:rsidRPr="00D27132" w:rsidRDefault="00D27132" w:rsidP="004B68CD">
            <w:pPr>
              <w:jc w:val="center"/>
              <w:rPr>
                <w:color w:val="000000"/>
                <w:sz w:val="18"/>
                <w:szCs w:val="18"/>
              </w:rPr>
            </w:pPr>
            <w:r w:rsidRPr="00D27132">
              <w:rPr>
                <w:color w:val="000000"/>
                <w:sz w:val="18"/>
                <w:szCs w:val="18"/>
              </w:rPr>
              <w:t>No</w:t>
            </w:r>
          </w:p>
        </w:tc>
      </w:tr>
    </w:tbl>
    <w:p w14:paraId="6C177832" w14:textId="3F1F0B4B" w:rsidR="00626FDB" w:rsidRDefault="00AD107C">
      <w:pPr>
        <w:pStyle w:val="ElsHeading1"/>
      </w:pPr>
      <w:r>
        <w:t>Conclusion</w:t>
      </w:r>
    </w:p>
    <w:p w14:paraId="5E3AE8A3" w14:textId="51919660" w:rsidR="005A03A0" w:rsidRDefault="005A03A0" w:rsidP="005A03A0">
      <w:pPr>
        <w:pStyle w:val="ElsParagraph"/>
      </w:pPr>
      <w:r w:rsidRPr="00035CFE">
        <w:t>By screening the NMR compound library an initial hit was found for an inhibitor of</w:t>
      </w:r>
      <w:r w:rsidR="00BA5C91">
        <w:t xml:space="preserve"> the</w:t>
      </w:r>
      <w:r w:rsidRPr="00035CFE">
        <w:t xml:space="preserve"> PPI between the α-β subunits of CK2 with an </w:t>
      </w:r>
      <w:bookmarkStart w:id="6" w:name="_GoBack"/>
      <w:r w:rsidRPr="00D05925">
        <w:t>IC</w:t>
      </w:r>
      <w:r w:rsidRPr="00D05925">
        <w:rPr>
          <w:vertAlign w:val="subscript"/>
        </w:rPr>
        <w:t>50</w:t>
      </w:r>
      <w:r w:rsidRPr="00D05925">
        <w:t xml:space="preserve"> of </w:t>
      </w:r>
      <w:r w:rsidR="006F7A83" w:rsidRPr="00D05925">
        <w:t>9</w:t>
      </w:r>
      <w:r w:rsidRPr="00D05925">
        <w:t xml:space="preserve">00 </w:t>
      </w:r>
      <w:proofErr w:type="spellStart"/>
      <w:r w:rsidR="00932E11" w:rsidRPr="00D05925">
        <w:t>μ</w:t>
      </w:r>
      <w:r w:rsidRPr="00D05925">
        <w:t>M</w:t>
      </w:r>
      <w:bookmarkEnd w:id="6"/>
      <w:proofErr w:type="spellEnd"/>
      <w:r w:rsidRPr="00E05986">
        <w:t>. This</w:t>
      </w:r>
      <w:r w:rsidRPr="00035CFE">
        <w:t xml:space="preserve"> compound was modified and elaborated through several vectors.</w:t>
      </w:r>
      <w:r>
        <w:t xml:space="preserve"> Through five iterations, 6</w:t>
      </w:r>
      <w:r w:rsidR="002254FD">
        <w:t>3</w:t>
      </w:r>
      <w:r>
        <w:t xml:space="preserve"> compounds were </w:t>
      </w:r>
      <w:proofErr w:type="spellStart"/>
      <w:r>
        <w:t>synthesised</w:t>
      </w:r>
      <w:proofErr w:type="spellEnd"/>
      <w:r>
        <w:t xml:space="preserve"> and tested against CK2. </w:t>
      </w:r>
      <w:r w:rsidR="003A63D6">
        <w:t>Through</w:t>
      </w:r>
      <w:r w:rsidRPr="00035CFE">
        <w:t xml:space="preserve"> </w:t>
      </w:r>
      <w:r w:rsidR="003A63D6">
        <w:t>t</w:t>
      </w:r>
      <w:r w:rsidR="00F828AE">
        <w:t>he first three iterations (elaborating at each of the vectors highlighted in</w:t>
      </w:r>
      <w:r w:rsidR="0012673D">
        <w:t xml:space="preserve"> </w:t>
      </w:r>
      <w:r w:rsidR="0012673D">
        <w:rPr>
          <w:b/>
        </w:rPr>
        <w:t xml:space="preserve">Figure </w:t>
      </w:r>
      <w:r w:rsidR="008F6F53">
        <w:rPr>
          <w:b/>
        </w:rPr>
        <w:t>2</w:t>
      </w:r>
      <w:r w:rsidR="003A63D6">
        <w:t>), it was</w:t>
      </w:r>
      <w:r w:rsidRPr="00035CFE">
        <w:t xml:space="preserve"> found that a series </w:t>
      </w:r>
      <w:r>
        <w:t xml:space="preserve">of </w:t>
      </w:r>
      <w:proofErr w:type="spellStart"/>
      <w:r w:rsidRPr="00035CFE">
        <w:t>biaryl</w:t>
      </w:r>
      <w:proofErr w:type="spellEnd"/>
      <w:r w:rsidRPr="00035CFE">
        <w:t xml:space="preserve"> compounds were the best inhibitors of the PPI with the lead compound at that stage</w:t>
      </w:r>
      <w:r>
        <w:t xml:space="preserve"> (</w:t>
      </w:r>
      <w:r>
        <w:rPr>
          <w:b/>
        </w:rPr>
        <w:t>2</w:t>
      </w:r>
      <w:r>
        <w:t>)</w:t>
      </w:r>
      <w:r w:rsidRPr="00035CFE">
        <w:t xml:space="preserve"> giving an IC</w:t>
      </w:r>
      <w:r w:rsidRPr="00035CFE">
        <w:rPr>
          <w:vertAlign w:val="subscript"/>
        </w:rPr>
        <w:t>50</w:t>
      </w:r>
      <w:r w:rsidRPr="00035CFE">
        <w:t xml:space="preserve"> of 150 </w:t>
      </w:r>
      <w:proofErr w:type="spellStart"/>
      <w:r w:rsidR="00C17073">
        <w:t>μ</w:t>
      </w:r>
      <w:r w:rsidRPr="00035CFE">
        <w:t>M</w:t>
      </w:r>
      <w:proofErr w:type="spellEnd"/>
      <w:r w:rsidRPr="00035CFE">
        <w:t xml:space="preserve">. </w:t>
      </w:r>
      <w:proofErr w:type="spellStart"/>
      <w:r w:rsidRPr="00035CFE">
        <w:t>Realising</w:t>
      </w:r>
      <w:proofErr w:type="spellEnd"/>
      <w:r w:rsidRPr="00035CFE">
        <w:t xml:space="preserve"> this trend additional </w:t>
      </w:r>
      <w:proofErr w:type="spellStart"/>
      <w:r w:rsidRPr="00035CFE">
        <w:t>biaryl</w:t>
      </w:r>
      <w:proofErr w:type="spellEnd"/>
      <w:r w:rsidRPr="00035CFE">
        <w:t xml:space="preserve"> compounds were screened against</w:t>
      </w:r>
      <w:r>
        <w:t xml:space="preserve"> CK2 to give the lead compound</w:t>
      </w:r>
      <w:r w:rsidR="00BA5C91">
        <w:t xml:space="preserve">, </w:t>
      </w:r>
      <w:r w:rsidR="00BA5C91" w:rsidRPr="00400DA5">
        <w:rPr>
          <w:b/>
        </w:rPr>
        <w:t>CAM187</w:t>
      </w:r>
      <w:r>
        <w:t xml:space="preserve"> (</w:t>
      </w:r>
      <w:r w:rsidR="002254FD">
        <w:rPr>
          <w:b/>
        </w:rPr>
        <w:t>7</w:t>
      </w:r>
      <w:r>
        <w:t xml:space="preserve">). These compounds affect their binding by the </w:t>
      </w:r>
      <w:proofErr w:type="spellStart"/>
      <w:r>
        <w:t>biaryl</w:t>
      </w:r>
      <w:proofErr w:type="spellEnd"/>
      <w:r>
        <w:t xml:space="preserve"> part of the molecule filling the PPI pocket on the protein and the pendent ammonium group forming an H-bond with an </w:t>
      </w:r>
      <w:r w:rsidR="00D34A5A">
        <w:t>Asp37</w:t>
      </w:r>
      <w:r>
        <w:t xml:space="preserve"> above the pocket.</w:t>
      </w:r>
    </w:p>
    <w:p w14:paraId="67B156CF" w14:textId="7427C102" w:rsidR="00DA1A76" w:rsidRDefault="00BA5C91" w:rsidP="00CC2ED0">
      <w:pPr>
        <w:pStyle w:val="ElsParagraph"/>
      </w:pPr>
      <w:r w:rsidRPr="00DE47B9">
        <w:rPr>
          <w:b/>
        </w:rPr>
        <w:t>CAM187</w:t>
      </w:r>
      <w:r w:rsidR="009F2A73">
        <w:t xml:space="preserve"> </w:t>
      </w:r>
      <w:r w:rsidR="005A03A0">
        <w:t>i</w:t>
      </w:r>
      <w:r w:rsidR="00A345B6">
        <w:t>s</w:t>
      </w:r>
      <w:r w:rsidR="005A03A0">
        <w:t xml:space="preserve"> the first small molecule fragment to inhibit the α-β interface of </w:t>
      </w:r>
      <w:r w:rsidR="00A345B6">
        <w:t>CK2 without</w:t>
      </w:r>
      <w:r w:rsidR="00AC19D4">
        <w:t xml:space="preserve"> also</w:t>
      </w:r>
      <w:r w:rsidR="00A345B6">
        <w:t xml:space="preserve"> binding in the ATP site.</w:t>
      </w:r>
      <w:r w:rsidR="00581AB0">
        <w:t xml:space="preserve"> </w:t>
      </w:r>
      <w:r w:rsidR="00DE47B9">
        <w:t xml:space="preserve">Due to its fragment-like properties, </w:t>
      </w:r>
      <w:r w:rsidR="00DE47B9">
        <w:rPr>
          <w:b/>
        </w:rPr>
        <w:t>CAM187</w:t>
      </w:r>
      <w:r w:rsidR="00DE47B9">
        <w:t xml:space="preserve"> leaves room for further development.</w:t>
      </w:r>
      <w:r w:rsidR="00A345B6">
        <w:t xml:space="preserve"> </w:t>
      </w:r>
      <w:r w:rsidR="00581AB0">
        <w:t>The</w:t>
      </w:r>
      <w:r w:rsidR="00DE47B9">
        <w:t>se</w:t>
      </w:r>
      <w:r w:rsidR="00581AB0">
        <w:t xml:space="preserve"> development</w:t>
      </w:r>
      <w:r w:rsidR="00AC19D4">
        <w:t>s</w:t>
      </w:r>
      <w:r w:rsidR="00A345B6">
        <w:t xml:space="preserve"> could lead to </w:t>
      </w:r>
      <w:r>
        <w:t>drug-like molecules with high potency and selectivity against CK2</w:t>
      </w:r>
      <w:r w:rsidR="00581AB0">
        <w:t xml:space="preserve"> as well as deeper understanding between the structure activity relationship</w:t>
      </w:r>
      <w:r w:rsidR="00DE47B9">
        <w:t>.</w:t>
      </w:r>
    </w:p>
    <w:p w14:paraId="44CE7371" w14:textId="6AC845D8" w:rsidR="00626FDB" w:rsidRDefault="00626FDB">
      <w:pPr>
        <w:pStyle w:val="ElsAcknowledgementsHeading"/>
      </w:pPr>
      <w:r>
        <w:t>Acknowledgments</w:t>
      </w:r>
    </w:p>
    <w:p w14:paraId="3F2F80E8" w14:textId="10BA0594" w:rsidR="00626FDB" w:rsidRPr="00F828AE" w:rsidRDefault="00F828AE" w:rsidP="00F828AE">
      <w:pPr>
        <w:pStyle w:val="ElsParagraph"/>
      </w:pPr>
      <w:r w:rsidRPr="00F828AE">
        <w:rPr>
          <w:rStyle w:val="normaltextrun"/>
        </w:rPr>
        <w:t xml:space="preserve">We would like to thank the X-ray crystallographic facility and the Biophysics facility at the Department of Biochemistry for support and access to equipment. We thank Diamond Light Source for access to </w:t>
      </w:r>
      <w:r w:rsidRPr="00162EC0">
        <w:rPr>
          <w:rStyle w:val="normaltextrun"/>
        </w:rPr>
        <w:t>beamlines</w:t>
      </w:r>
      <w:r w:rsidR="00162EC0" w:rsidRPr="00162EC0">
        <w:rPr>
          <w:rStyle w:val="normaltextrun"/>
        </w:rPr>
        <w:t>.</w:t>
      </w:r>
      <w:r w:rsidR="0036380E">
        <w:rPr>
          <w:rStyle w:val="normaltextrun"/>
        </w:rPr>
        <w:t xml:space="preserve"> </w:t>
      </w:r>
      <w:r w:rsidR="0036380E" w:rsidRPr="0036380E">
        <w:t xml:space="preserve">Instant </w:t>
      </w:r>
      <w:proofErr w:type="spellStart"/>
      <w:r w:rsidR="0036380E" w:rsidRPr="0036380E">
        <w:t>JChem</w:t>
      </w:r>
      <w:proofErr w:type="spellEnd"/>
      <w:r w:rsidR="0036380E" w:rsidRPr="0036380E">
        <w:t xml:space="preserve"> was used for structure database management and searching, Instant </w:t>
      </w:r>
      <w:proofErr w:type="spellStart"/>
      <w:r w:rsidR="0036380E" w:rsidRPr="0036380E">
        <w:t>JChem</w:t>
      </w:r>
      <w:proofErr w:type="spellEnd"/>
      <w:r w:rsidR="0036380E" w:rsidRPr="0036380E">
        <w:t xml:space="preserve"> 16.10.10.0, 2016, </w:t>
      </w:r>
      <w:proofErr w:type="spellStart"/>
      <w:r w:rsidR="0036380E" w:rsidRPr="0036380E">
        <w:t>ChemAxon</w:t>
      </w:r>
      <w:proofErr w:type="spellEnd"/>
      <w:r w:rsidR="0036380E" w:rsidRPr="0036380E">
        <w:t xml:space="preserve"> (</w:t>
      </w:r>
      <w:hyperlink r:id="rId36" w:tgtFrame="_blank" w:history="1">
        <w:r w:rsidR="0036380E" w:rsidRPr="0036380E">
          <w:t>http://www.chemaxon.com</w:t>
        </w:r>
      </w:hyperlink>
      <w:r w:rsidR="0036380E" w:rsidRPr="0036380E">
        <w:t>)</w:t>
      </w:r>
      <w:r w:rsidR="0036380E">
        <w:t>.</w:t>
      </w:r>
      <w:r w:rsidRPr="0036380E">
        <w:rPr>
          <w:rStyle w:val="normaltextrun"/>
        </w:rPr>
        <w:t> </w:t>
      </w:r>
      <w:r w:rsidRPr="00F828AE">
        <w:rPr>
          <w:rStyle w:val="normaltextrun"/>
        </w:rPr>
        <w:t xml:space="preserve">This work was funded by the European Research Council under the European Union’s Seventh Framework </w:t>
      </w:r>
      <w:proofErr w:type="spellStart"/>
      <w:r w:rsidRPr="00F828AE">
        <w:rPr>
          <w:rStyle w:val="normaltextrun"/>
        </w:rPr>
        <w:t>Programme</w:t>
      </w:r>
      <w:proofErr w:type="spellEnd"/>
      <w:r w:rsidRPr="00F828AE">
        <w:rPr>
          <w:rStyle w:val="normaltextrun"/>
        </w:rPr>
        <w:t xml:space="preserve"> (FP7/2007-2013)/ERC grant agreement no [279337/DOS] (to DRS) and the </w:t>
      </w:r>
      <w:proofErr w:type="spellStart"/>
      <w:r w:rsidRPr="00F828AE">
        <w:rPr>
          <w:rStyle w:val="spellingerror"/>
        </w:rPr>
        <w:t>Wellcome</w:t>
      </w:r>
      <w:proofErr w:type="spellEnd"/>
      <w:r w:rsidRPr="00F828AE">
        <w:rPr>
          <w:rStyle w:val="normaltextrun"/>
        </w:rPr>
        <w:t xml:space="preserve"> Trust Strategic (090340/Z/09/Z) and Pathfinder </w:t>
      </w:r>
      <w:r w:rsidRPr="00F828AE">
        <w:rPr>
          <w:rStyle w:val="normaltextrun"/>
        </w:rPr>
        <w:t>(107714/Z/15/Z) Awards (to DRS and MH). In addition, the Spring group research was supported by grants from the Engineering and Physical Sciences Research Council, Biotechnology and Biological Sciences Research Council, Medical Research Council and the Royal Society. JI would like to thank Trinity College, University of Cambridge for funding.</w:t>
      </w:r>
    </w:p>
    <w:p w14:paraId="1C71095E" w14:textId="037DE520" w:rsidR="0024745E" w:rsidRDefault="00626FDB">
      <w:pPr>
        <w:pStyle w:val="ElsReferencesHeading"/>
      </w:pPr>
      <w:r>
        <w:t>References and notes</w:t>
      </w:r>
    </w:p>
    <w:p w14:paraId="3BF3E8B6" w14:textId="14F20D6F" w:rsidR="00B06106" w:rsidRPr="00B06106" w:rsidRDefault="0024745E" w:rsidP="00B06106">
      <w:pPr>
        <w:widowControl w:val="0"/>
        <w:autoSpaceDE w:val="0"/>
        <w:autoSpaceDN w:val="0"/>
        <w:adjustRightInd w:val="0"/>
        <w:ind w:left="640" w:hanging="640"/>
        <w:rPr>
          <w:noProof/>
          <w:sz w:val="16"/>
        </w:rPr>
      </w:pPr>
      <w:r>
        <w:fldChar w:fldCharType="begin" w:fldLock="1"/>
      </w:r>
      <w:r>
        <w:instrText xml:space="preserve">ADDIN Mendeley Bibliography CSL_BIBLIOGRAPHY </w:instrText>
      </w:r>
      <w:r>
        <w:fldChar w:fldCharType="separate"/>
      </w:r>
      <w:r w:rsidR="00B06106" w:rsidRPr="00B06106">
        <w:rPr>
          <w:noProof/>
          <w:sz w:val="16"/>
        </w:rPr>
        <w:t xml:space="preserve">1. </w:t>
      </w:r>
      <w:r w:rsidR="00B06106" w:rsidRPr="00B06106">
        <w:rPr>
          <w:noProof/>
          <w:sz w:val="16"/>
        </w:rPr>
        <w:tab/>
        <w:t xml:space="preserve">Guerra and   Olaf-Georg  Issinger, B. </w:t>
      </w:r>
      <w:r w:rsidR="00B06106" w:rsidRPr="00B06106">
        <w:rPr>
          <w:i/>
          <w:iCs/>
          <w:noProof/>
          <w:sz w:val="16"/>
        </w:rPr>
        <w:t>Curr. Med. Chem.</w:t>
      </w:r>
      <w:r w:rsidR="00B06106" w:rsidRPr="00B06106">
        <w:rPr>
          <w:noProof/>
          <w:sz w:val="16"/>
        </w:rPr>
        <w:t xml:space="preserve"> </w:t>
      </w:r>
      <w:r w:rsidR="00B06106" w:rsidRPr="00B06106">
        <w:rPr>
          <w:b/>
          <w:bCs/>
          <w:noProof/>
          <w:sz w:val="16"/>
        </w:rPr>
        <w:t>2016</w:t>
      </w:r>
      <w:r w:rsidR="00B06106" w:rsidRPr="00B06106">
        <w:rPr>
          <w:noProof/>
          <w:sz w:val="16"/>
        </w:rPr>
        <w:t xml:space="preserve">, </w:t>
      </w:r>
      <w:r w:rsidR="00B06106" w:rsidRPr="00B06106">
        <w:rPr>
          <w:i/>
          <w:iCs/>
          <w:noProof/>
          <w:sz w:val="16"/>
        </w:rPr>
        <w:t>15</w:t>
      </w:r>
      <w:r w:rsidR="00B06106" w:rsidRPr="00B06106">
        <w:rPr>
          <w:noProof/>
          <w:sz w:val="16"/>
        </w:rPr>
        <w:t>.</w:t>
      </w:r>
    </w:p>
    <w:p w14:paraId="17335F58" w14:textId="77777777" w:rsidR="00B06106" w:rsidRPr="00B06106" w:rsidRDefault="00B06106" w:rsidP="00B06106">
      <w:pPr>
        <w:widowControl w:val="0"/>
        <w:autoSpaceDE w:val="0"/>
        <w:autoSpaceDN w:val="0"/>
        <w:adjustRightInd w:val="0"/>
        <w:ind w:left="640" w:hanging="640"/>
        <w:rPr>
          <w:noProof/>
          <w:sz w:val="16"/>
        </w:rPr>
      </w:pPr>
      <w:r w:rsidRPr="00B06106">
        <w:rPr>
          <w:noProof/>
          <w:sz w:val="16"/>
        </w:rPr>
        <w:t xml:space="preserve">2. </w:t>
      </w:r>
      <w:r w:rsidRPr="00B06106">
        <w:rPr>
          <w:noProof/>
          <w:sz w:val="16"/>
        </w:rPr>
        <w:tab/>
        <w:t xml:space="preserve">Guerra, B.; Issinger, O.-G. </w:t>
      </w:r>
      <w:r w:rsidRPr="00B06106">
        <w:rPr>
          <w:i/>
          <w:iCs/>
          <w:noProof/>
          <w:sz w:val="16"/>
        </w:rPr>
        <w:t>Electrophoresis</w:t>
      </w:r>
      <w:r w:rsidRPr="00B06106">
        <w:rPr>
          <w:noProof/>
          <w:sz w:val="16"/>
        </w:rPr>
        <w:t xml:space="preserve"> </w:t>
      </w:r>
      <w:r w:rsidRPr="00B06106">
        <w:rPr>
          <w:b/>
          <w:bCs/>
          <w:noProof/>
          <w:sz w:val="16"/>
        </w:rPr>
        <w:t>1999</w:t>
      </w:r>
      <w:r w:rsidRPr="00B06106">
        <w:rPr>
          <w:noProof/>
          <w:sz w:val="16"/>
        </w:rPr>
        <w:t xml:space="preserve">, </w:t>
      </w:r>
      <w:r w:rsidRPr="00B06106">
        <w:rPr>
          <w:i/>
          <w:iCs/>
          <w:noProof/>
          <w:sz w:val="16"/>
        </w:rPr>
        <w:t>20</w:t>
      </w:r>
      <w:r w:rsidRPr="00B06106">
        <w:rPr>
          <w:noProof/>
          <w:sz w:val="16"/>
        </w:rPr>
        <w:t>, 391–408.</w:t>
      </w:r>
    </w:p>
    <w:p w14:paraId="28DD6E04" w14:textId="77777777" w:rsidR="00B06106" w:rsidRPr="00B06106" w:rsidRDefault="00B06106" w:rsidP="00B06106">
      <w:pPr>
        <w:widowControl w:val="0"/>
        <w:autoSpaceDE w:val="0"/>
        <w:autoSpaceDN w:val="0"/>
        <w:adjustRightInd w:val="0"/>
        <w:ind w:left="640" w:hanging="640"/>
        <w:rPr>
          <w:noProof/>
          <w:sz w:val="16"/>
        </w:rPr>
      </w:pPr>
      <w:r w:rsidRPr="00B06106">
        <w:rPr>
          <w:noProof/>
          <w:sz w:val="16"/>
        </w:rPr>
        <w:t xml:space="preserve">3. </w:t>
      </w:r>
      <w:r w:rsidRPr="00B06106">
        <w:rPr>
          <w:noProof/>
          <w:sz w:val="16"/>
        </w:rPr>
        <w:tab/>
        <w:t xml:space="preserve">Chua, M.; Ortega, C.; Sheikh, A.; Lee, M.; Abdul-Rassoul, H.; Hartshorn, K.; Dominguez, I. </w:t>
      </w:r>
      <w:r w:rsidRPr="00B06106">
        <w:rPr>
          <w:i/>
          <w:iCs/>
          <w:noProof/>
          <w:sz w:val="16"/>
        </w:rPr>
        <w:t>Pharmaceuticals</w:t>
      </w:r>
      <w:r w:rsidRPr="00B06106">
        <w:rPr>
          <w:noProof/>
          <w:sz w:val="16"/>
        </w:rPr>
        <w:t xml:space="preserve"> </w:t>
      </w:r>
      <w:r w:rsidRPr="00B06106">
        <w:rPr>
          <w:b/>
          <w:bCs/>
          <w:noProof/>
          <w:sz w:val="16"/>
        </w:rPr>
        <w:t>2017</w:t>
      </w:r>
      <w:r w:rsidRPr="00B06106">
        <w:rPr>
          <w:noProof/>
          <w:sz w:val="16"/>
        </w:rPr>
        <w:t xml:space="preserve">, </w:t>
      </w:r>
      <w:r w:rsidRPr="00B06106">
        <w:rPr>
          <w:i/>
          <w:iCs/>
          <w:noProof/>
          <w:sz w:val="16"/>
        </w:rPr>
        <w:t>10</w:t>
      </w:r>
      <w:r w:rsidRPr="00B06106">
        <w:rPr>
          <w:noProof/>
          <w:sz w:val="16"/>
        </w:rPr>
        <w:t>, 18.</w:t>
      </w:r>
    </w:p>
    <w:p w14:paraId="51D24806" w14:textId="77777777" w:rsidR="00B06106" w:rsidRPr="00B06106" w:rsidRDefault="00B06106" w:rsidP="00B06106">
      <w:pPr>
        <w:widowControl w:val="0"/>
        <w:autoSpaceDE w:val="0"/>
        <w:autoSpaceDN w:val="0"/>
        <w:adjustRightInd w:val="0"/>
        <w:ind w:left="640" w:hanging="640"/>
        <w:rPr>
          <w:noProof/>
          <w:sz w:val="16"/>
        </w:rPr>
      </w:pPr>
      <w:r w:rsidRPr="00B06106">
        <w:rPr>
          <w:noProof/>
          <w:sz w:val="16"/>
        </w:rPr>
        <w:t xml:space="preserve">4. </w:t>
      </w:r>
      <w:r w:rsidRPr="00B06106">
        <w:rPr>
          <w:noProof/>
          <w:sz w:val="16"/>
        </w:rPr>
        <w:tab/>
        <w:t xml:space="preserve">Faust, R. A.; Niehans, G.; Gapany, M.; Hoistad, D.; Knapp, D.; Cherwitz, D.; Davis, A.; Adams, G. L.; Ahmed, K. </w:t>
      </w:r>
      <w:r w:rsidRPr="00B06106">
        <w:rPr>
          <w:i/>
          <w:iCs/>
          <w:noProof/>
          <w:sz w:val="16"/>
        </w:rPr>
        <w:t>Int. J. Biochem. Cell Biol.</w:t>
      </w:r>
      <w:r w:rsidRPr="00B06106">
        <w:rPr>
          <w:noProof/>
          <w:sz w:val="16"/>
        </w:rPr>
        <w:t xml:space="preserve"> </w:t>
      </w:r>
      <w:r w:rsidRPr="00B06106">
        <w:rPr>
          <w:b/>
          <w:bCs/>
          <w:noProof/>
          <w:sz w:val="16"/>
        </w:rPr>
        <w:t>1999</w:t>
      </w:r>
      <w:r w:rsidRPr="00B06106">
        <w:rPr>
          <w:noProof/>
          <w:sz w:val="16"/>
        </w:rPr>
        <w:t xml:space="preserve">, </w:t>
      </w:r>
      <w:r w:rsidRPr="00B06106">
        <w:rPr>
          <w:i/>
          <w:iCs/>
          <w:noProof/>
          <w:sz w:val="16"/>
        </w:rPr>
        <w:t>31</w:t>
      </w:r>
      <w:r w:rsidRPr="00B06106">
        <w:rPr>
          <w:noProof/>
          <w:sz w:val="16"/>
        </w:rPr>
        <w:t>, 941–949.</w:t>
      </w:r>
    </w:p>
    <w:p w14:paraId="0B21ED58" w14:textId="77777777" w:rsidR="00B06106" w:rsidRPr="00B06106" w:rsidRDefault="00B06106" w:rsidP="00B06106">
      <w:pPr>
        <w:widowControl w:val="0"/>
        <w:autoSpaceDE w:val="0"/>
        <w:autoSpaceDN w:val="0"/>
        <w:adjustRightInd w:val="0"/>
        <w:ind w:left="640" w:hanging="640"/>
        <w:rPr>
          <w:noProof/>
          <w:sz w:val="16"/>
        </w:rPr>
      </w:pPr>
      <w:r w:rsidRPr="00B06106">
        <w:rPr>
          <w:noProof/>
          <w:sz w:val="16"/>
        </w:rPr>
        <w:t xml:space="preserve">5. </w:t>
      </w:r>
      <w:r w:rsidRPr="00B06106">
        <w:rPr>
          <w:noProof/>
          <w:sz w:val="16"/>
        </w:rPr>
        <w:tab/>
        <w:t xml:space="preserve">Ahmad, K. A.; Wang, G.; Unger, G.; Slaton, J.; Ahmed, K. </w:t>
      </w:r>
      <w:r w:rsidRPr="00B06106">
        <w:rPr>
          <w:i/>
          <w:iCs/>
          <w:noProof/>
          <w:sz w:val="16"/>
        </w:rPr>
        <w:t>Adv. Enzyme Regul.</w:t>
      </w:r>
      <w:r w:rsidRPr="00B06106">
        <w:rPr>
          <w:noProof/>
          <w:sz w:val="16"/>
        </w:rPr>
        <w:t xml:space="preserve"> </w:t>
      </w:r>
      <w:r w:rsidRPr="00B06106">
        <w:rPr>
          <w:b/>
          <w:bCs/>
          <w:noProof/>
          <w:sz w:val="16"/>
        </w:rPr>
        <w:t>2008</w:t>
      </w:r>
      <w:r w:rsidRPr="00B06106">
        <w:rPr>
          <w:noProof/>
          <w:sz w:val="16"/>
        </w:rPr>
        <w:t xml:space="preserve">, </w:t>
      </w:r>
      <w:r w:rsidRPr="00B06106">
        <w:rPr>
          <w:i/>
          <w:iCs/>
          <w:noProof/>
          <w:sz w:val="16"/>
        </w:rPr>
        <w:t>48</w:t>
      </w:r>
      <w:r w:rsidRPr="00B06106">
        <w:rPr>
          <w:noProof/>
          <w:sz w:val="16"/>
        </w:rPr>
        <w:t>, 179–187.</w:t>
      </w:r>
    </w:p>
    <w:p w14:paraId="2F9AF04F" w14:textId="77777777" w:rsidR="00B06106" w:rsidRPr="00B06106" w:rsidRDefault="00B06106" w:rsidP="00B06106">
      <w:pPr>
        <w:widowControl w:val="0"/>
        <w:autoSpaceDE w:val="0"/>
        <w:autoSpaceDN w:val="0"/>
        <w:adjustRightInd w:val="0"/>
        <w:ind w:left="640" w:hanging="640"/>
        <w:rPr>
          <w:noProof/>
          <w:sz w:val="16"/>
        </w:rPr>
      </w:pPr>
      <w:r w:rsidRPr="00B06106">
        <w:rPr>
          <w:noProof/>
          <w:sz w:val="16"/>
        </w:rPr>
        <w:t xml:space="preserve">6. </w:t>
      </w:r>
      <w:r w:rsidRPr="00B06106">
        <w:rPr>
          <w:noProof/>
          <w:sz w:val="16"/>
        </w:rPr>
        <w:tab/>
        <w:t xml:space="preserve">Ahmed, K.; Gerber, D. A.; Cochet, C. </w:t>
      </w:r>
      <w:r w:rsidRPr="00B06106">
        <w:rPr>
          <w:i/>
          <w:iCs/>
          <w:noProof/>
          <w:sz w:val="16"/>
        </w:rPr>
        <w:t>Trends Cell Biol.</w:t>
      </w:r>
      <w:r w:rsidRPr="00B06106">
        <w:rPr>
          <w:noProof/>
          <w:sz w:val="16"/>
        </w:rPr>
        <w:t xml:space="preserve"> </w:t>
      </w:r>
      <w:r w:rsidRPr="00B06106">
        <w:rPr>
          <w:b/>
          <w:bCs/>
          <w:noProof/>
          <w:sz w:val="16"/>
        </w:rPr>
        <w:t>2002</w:t>
      </w:r>
      <w:r w:rsidRPr="00B06106">
        <w:rPr>
          <w:noProof/>
          <w:sz w:val="16"/>
        </w:rPr>
        <w:t xml:space="preserve">, </w:t>
      </w:r>
      <w:r w:rsidRPr="00B06106">
        <w:rPr>
          <w:i/>
          <w:iCs/>
          <w:noProof/>
          <w:sz w:val="16"/>
        </w:rPr>
        <w:t>12</w:t>
      </w:r>
      <w:r w:rsidRPr="00B06106">
        <w:rPr>
          <w:noProof/>
          <w:sz w:val="16"/>
        </w:rPr>
        <w:t>, 226–230.</w:t>
      </w:r>
    </w:p>
    <w:p w14:paraId="6601C809" w14:textId="77777777" w:rsidR="00B06106" w:rsidRPr="00B06106" w:rsidRDefault="00B06106" w:rsidP="00B06106">
      <w:pPr>
        <w:widowControl w:val="0"/>
        <w:autoSpaceDE w:val="0"/>
        <w:autoSpaceDN w:val="0"/>
        <w:adjustRightInd w:val="0"/>
        <w:ind w:left="640" w:hanging="640"/>
        <w:rPr>
          <w:noProof/>
          <w:sz w:val="16"/>
        </w:rPr>
      </w:pPr>
      <w:r w:rsidRPr="00B06106">
        <w:rPr>
          <w:noProof/>
          <w:sz w:val="16"/>
        </w:rPr>
        <w:t xml:space="preserve">7. </w:t>
      </w:r>
      <w:r w:rsidRPr="00B06106">
        <w:rPr>
          <w:noProof/>
          <w:sz w:val="16"/>
        </w:rPr>
        <w:tab/>
        <w:t xml:space="preserve">Trembley, J. H.; Chen, Z.; Unger, G.; Slaton, J.; Kren, B. T.; Van Waes, C.; Ahmed, K. </w:t>
      </w:r>
      <w:r w:rsidRPr="00B06106">
        <w:rPr>
          <w:i/>
          <w:iCs/>
          <w:noProof/>
          <w:sz w:val="16"/>
        </w:rPr>
        <w:t>BioFactors</w:t>
      </w:r>
      <w:r w:rsidRPr="00B06106">
        <w:rPr>
          <w:noProof/>
          <w:sz w:val="16"/>
        </w:rPr>
        <w:t xml:space="preserve"> </w:t>
      </w:r>
      <w:r w:rsidRPr="00B06106">
        <w:rPr>
          <w:b/>
          <w:bCs/>
          <w:noProof/>
          <w:sz w:val="16"/>
        </w:rPr>
        <w:t>2010</w:t>
      </w:r>
      <w:r w:rsidRPr="00B06106">
        <w:rPr>
          <w:noProof/>
          <w:sz w:val="16"/>
        </w:rPr>
        <w:t xml:space="preserve">, </w:t>
      </w:r>
      <w:r w:rsidRPr="00B06106">
        <w:rPr>
          <w:i/>
          <w:iCs/>
          <w:noProof/>
          <w:sz w:val="16"/>
        </w:rPr>
        <w:t>36</w:t>
      </w:r>
      <w:r w:rsidRPr="00B06106">
        <w:rPr>
          <w:noProof/>
          <w:sz w:val="16"/>
        </w:rPr>
        <w:t>, 187–195.</w:t>
      </w:r>
    </w:p>
    <w:p w14:paraId="6D63EA17" w14:textId="77777777" w:rsidR="00B06106" w:rsidRPr="00B06106" w:rsidRDefault="00B06106" w:rsidP="00B06106">
      <w:pPr>
        <w:widowControl w:val="0"/>
        <w:autoSpaceDE w:val="0"/>
        <w:autoSpaceDN w:val="0"/>
        <w:adjustRightInd w:val="0"/>
        <w:ind w:left="640" w:hanging="640"/>
        <w:rPr>
          <w:noProof/>
          <w:sz w:val="16"/>
        </w:rPr>
      </w:pPr>
      <w:r w:rsidRPr="00B06106">
        <w:rPr>
          <w:noProof/>
          <w:sz w:val="16"/>
        </w:rPr>
        <w:t xml:space="preserve">8. </w:t>
      </w:r>
      <w:r w:rsidRPr="00B06106">
        <w:rPr>
          <w:noProof/>
          <w:sz w:val="16"/>
        </w:rPr>
        <w:tab/>
        <w:t xml:space="preserve">Chon, H. J.; Bae, K. J.; Lee, Y.; Kim, J. </w:t>
      </w:r>
      <w:r w:rsidRPr="00B06106">
        <w:rPr>
          <w:i/>
          <w:iCs/>
          <w:noProof/>
          <w:sz w:val="16"/>
        </w:rPr>
        <w:t>Front. Pharmacol.</w:t>
      </w:r>
      <w:r w:rsidRPr="00B06106">
        <w:rPr>
          <w:noProof/>
          <w:sz w:val="16"/>
        </w:rPr>
        <w:t xml:space="preserve"> </w:t>
      </w:r>
      <w:r w:rsidRPr="00B06106">
        <w:rPr>
          <w:b/>
          <w:bCs/>
          <w:noProof/>
          <w:sz w:val="16"/>
        </w:rPr>
        <w:t>2015</w:t>
      </w:r>
      <w:r w:rsidRPr="00B06106">
        <w:rPr>
          <w:noProof/>
          <w:sz w:val="16"/>
        </w:rPr>
        <w:t xml:space="preserve">, </w:t>
      </w:r>
      <w:r w:rsidRPr="00B06106">
        <w:rPr>
          <w:i/>
          <w:iCs/>
          <w:noProof/>
          <w:sz w:val="16"/>
        </w:rPr>
        <w:t>6</w:t>
      </w:r>
      <w:r w:rsidRPr="00B06106">
        <w:rPr>
          <w:noProof/>
          <w:sz w:val="16"/>
        </w:rPr>
        <w:t>, 70.</w:t>
      </w:r>
    </w:p>
    <w:p w14:paraId="2D1878FB" w14:textId="77777777" w:rsidR="00B06106" w:rsidRPr="00B06106" w:rsidRDefault="00B06106" w:rsidP="00B06106">
      <w:pPr>
        <w:widowControl w:val="0"/>
        <w:autoSpaceDE w:val="0"/>
        <w:autoSpaceDN w:val="0"/>
        <w:adjustRightInd w:val="0"/>
        <w:ind w:left="640" w:hanging="640"/>
        <w:rPr>
          <w:noProof/>
          <w:sz w:val="16"/>
        </w:rPr>
      </w:pPr>
      <w:r w:rsidRPr="00B06106">
        <w:rPr>
          <w:noProof/>
          <w:sz w:val="16"/>
        </w:rPr>
        <w:t xml:space="preserve">9. </w:t>
      </w:r>
      <w:r w:rsidRPr="00B06106">
        <w:rPr>
          <w:noProof/>
          <w:sz w:val="16"/>
        </w:rPr>
        <w:tab/>
        <w:t xml:space="preserve">Prudent, R.; Cochet, C. </w:t>
      </w:r>
      <w:r w:rsidRPr="00B06106">
        <w:rPr>
          <w:i/>
          <w:iCs/>
          <w:noProof/>
          <w:sz w:val="16"/>
        </w:rPr>
        <w:t>Chem. Biol.</w:t>
      </w:r>
      <w:r w:rsidRPr="00B06106">
        <w:rPr>
          <w:noProof/>
          <w:sz w:val="16"/>
        </w:rPr>
        <w:t xml:space="preserve"> </w:t>
      </w:r>
      <w:r w:rsidRPr="00B06106">
        <w:rPr>
          <w:b/>
          <w:bCs/>
          <w:noProof/>
          <w:sz w:val="16"/>
        </w:rPr>
        <w:t>2009</w:t>
      </w:r>
      <w:r w:rsidRPr="00B06106">
        <w:rPr>
          <w:noProof/>
          <w:sz w:val="16"/>
        </w:rPr>
        <w:t xml:space="preserve">, </w:t>
      </w:r>
      <w:r w:rsidRPr="00B06106">
        <w:rPr>
          <w:i/>
          <w:iCs/>
          <w:noProof/>
          <w:sz w:val="16"/>
        </w:rPr>
        <w:t>16</w:t>
      </w:r>
      <w:r w:rsidRPr="00B06106">
        <w:rPr>
          <w:noProof/>
          <w:sz w:val="16"/>
        </w:rPr>
        <w:t>, 112–120.</w:t>
      </w:r>
    </w:p>
    <w:p w14:paraId="1EE5FC25" w14:textId="77777777" w:rsidR="00B06106" w:rsidRPr="00B06106" w:rsidRDefault="00B06106" w:rsidP="00B06106">
      <w:pPr>
        <w:widowControl w:val="0"/>
        <w:autoSpaceDE w:val="0"/>
        <w:autoSpaceDN w:val="0"/>
        <w:adjustRightInd w:val="0"/>
        <w:ind w:left="640" w:hanging="640"/>
        <w:rPr>
          <w:noProof/>
          <w:sz w:val="16"/>
        </w:rPr>
      </w:pPr>
      <w:r w:rsidRPr="00B06106">
        <w:rPr>
          <w:noProof/>
          <w:sz w:val="16"/>
        </w:rPr>
        <w:t xml:space="preserve">10. </w:t>
      </w:r>
      <w:r w:rsidRPr="00B06106">
        <w:rPr>
          <w:noProof/>
          <w:sz w:val="16"/>
        </w:rPr>
        <w:tab/>
        <w:t xml:space="preserve">Sarno, S.; de Moliner, E.; Ruzzene, M.; Pagano, M. A.; Battistutta, R.; Bain, J.; Fabbro, D.; Schoepfer, J.; Elliott, M.; Furet, P.; Meggio, F.; Zanotti, G.; Pinna, L. A. </w:t>
      </w:r>
      <w:r w:rsidRPr="00B06106">
        <w:rPr>
          <w:i/>
          <w:iCs/>
          <w:noProof/>
          <w:sz w:val="16"/>
        </w:rPr>
        <w:t>Biochem. J.</w:t>
      </w:r>
      <w:r w:rsidRPr="00B06106">
        <w:rPr>
          <w:noProof/>
          <w:sz w:val="16"/>
        </w:rPr>
        <w:t xml:space="preserve"> </w:t>
      </w:r>
      <w:r w:rsidRPr="00B06106">
        <w:rPr>
          <w:b/>
          <w:bCs/>
          <w:noProof/>
          <w:sz w:val="16"/>
        </w:rPr>
        <w:t>2003</w:t>
      </w:r>
      <w:r w:rsidRPr="00B06106">
        <w:rPr>
          <w:noProof/>
          <w:sz w:val="16"/>
        </w:rPr>
        <w:t xml:space="preserve">, </w:t>
      </w:r>
      <w:r w:rsidRPr="00B06106">
        <w:rPr>
          <w:i/>
          <w:iCs/>
          <w:noProof/>
          <w:sz w:val="16"/>
        </w:rPr>
        <w:t>374</w:t>
      </w:r>
      <w:r w:rsidRPr="00B06106">
        <w:rPr>
          <w:noProof/>
          <w:sz w:val="16"/>
        </w:rPr>
        <w:t>, 639–46.</w:t>
      </w:r>
    </w:p>
    <w:p w14:paraId="7806CB70" w14:textId="77777777" w:rsidR="00B06106" w:rsidRPr="00B06106" w:rsidRDefault="00B06106" w:rsidP="00B06106">
      <w:pPr>
        <w:widowControl w:val="0"/>
        <w:autoSpaceDE w:val="0"/>
        <w:autoSpaceDN w:val="0"/>
        <w:adjustRightInd w:val="0"/>
        <w:ind w:left="640" w:hanging="640"/>
        <w:rPr>
          <w:noProof/>
          <w:sz w:val="16"/>
        </w:rPr>
      </w:pPr>
      <w:r w:rsidRPr="00B06106">
        <w:rPr>
          <w:noProof/>
          <w:sz w:val="16"/>
        </w:rPr>
        <w:t xml:space="preserve">11. </w:t>
      </w:r>
      <w:r w:rsidRPr="00B06106">
        <w:rPr>
          <w:noProof/>
          <w:sz w:val="16"/>
        </w:rPr>
        <w:tab/>
        <w:t xml:space="preserve">Siddiqui-Jain, A.; Drygin, D.; Streiner, N.; Chua, P.; Pierre, F.; O’Brien, S. E.; Bliesath, J.; Omori, M.; Huser, N.; Ho, C.; Proffitt, C.; Schwaebe, M. K.; Ryckman, D. M.; Rice, W. G.; Anderes, K. </w:t>
      </w:r>
      <w:r w:rsidRPr="00B06106">
        <w:rPr>
          <w:i/>
          <w:iCs/>
          <w:noProof/>
          <w:sz w:val="16"/>
        </w:rPr>
        <w:t>Cancer Res.</w:t>
      </w:r>
      <w:r w:rsidRPr="00B06106">
        <w:rPr>
          <w:noProof/>
          <w:sz w:val="16"/>
        </w:rPr>
        <w:t xml:space="preserve"> </w:t>
      </w:r>
      <w:r w:rsidRPr="00B06106">
        <w:rPr>
          <w:b/>
          <w:bCs/>
          <w:noProof/>
          <w:sz w:val="16"/>
        </w:rPr>
        <w:t>2010</w:t>
      </w:r>
      <w:r w:rsidRPr="00B06106">
        <w:rPr>
          <w:noProof/>
          <w:sz w:val="16"/>
        </w:rPr>
        <w:t xml:space="preserve">, </w:t>
      </w:r>
      <w:r w:rsidRPr="00B06106">
        <w:rPr>
          <w:i/>
          <w:iCs/>
          <w:noProof/>
          <w:sz w:val="16"/>
        </w:rPr>
        <w:t>70</w:t>
      </w:r>
      <w:r w:rsidRPr="00B06106">
        <w:rPr>
          <w:noProof/>
          <w:sz w:val="16"/>
        </w:rPr>
        <w:t>, 10288–98.</w:t>
      </w:r>
    </w:p>
    <w:p w14:paraId="37B78A23" w14:textId="77777777" w:rsidR="00B06106" w:rsidRPr="00B06106" w:rsidRDefault="00B06106" w:rsidP="00B06106">
      <w:pPr>
        <w:widowControl w:val="0"/>
        <w:autoSpaceDE w:val="0"/>
        <w:autoSpaceDN w:val="0"/>
        <w:adjustRightInd w:val="0"/>
        <w:ind w:left="640" w:hanging="640"/>
        <w:rPr>
          <w:noProof/>
          <w:sz w:val="16"/>
        </w:rPr>
      </w:pPr>
      <w:r w:rsidRPr="00B06106">
        <w:rPr>
          <w:noProof/>
          <w:sz w:val="16"/>
        </w:rPr>
        <w:t xml:space="preserve">12. </w:t>
      </w:r>
      <w:r w:rsidRPr="00B06106">
        <w:rPr>
          <w:noProof/>
          <w:sz w:val="16"/>
        </w:rPr>
        <w:tab/>
        <w:t xml:space="preserve">Battistutta, R. </w:t>
      </w:r>
      <w:r w:rsidRPr="00B06106">
        <w:rPr>
          <w:i/>
          <w:iCs/>
          <w:noProof/>
          <w:sz w:val="16"/>
        </w:rPr>
        <w:t>Cell. Mol. Life Sci.</w:t>
      </w:r>
      <w:r w:rsidRPr="00B06106">
        <w:rPr>
          <w:noProof/>
          <w:sz w:val="16"/>
        </w:rPr>
        <w:t xml:space="preserve"> </w:t>
      </w:r>
      <w:r w:rsidRPr="00B06106">
        <w:rPr>
          <w:b/>
          <w:bCs/>
          <w:noProof/>
          <w:sz w:val="16"/>
        </w:rPr>
        <w:t>2009</w:t>
      </w:r>
      <w:r w:rsidRPr="00B06106">
        <w:rPr>
          <w:noProof/>
          <w:sz w:val="16"/>
        </w:rPr>
        <w:t xml:space="preserve">, </w:t>
      </w:r>
      <w:r w:rsidRPr="00B06106">
        <w:rPr>
          <w:i/>
          <w:iCs/>
          <w:noProof/>
          <w:sz w:val="16"/>
        </w:rPr>
        <w:t>66</w:t>
      </w:r>
      <w:r w:rsidRPr="00B06106">
        <w:rPr>
          <w:noProof/>
          <w:sz w:val="16"/>
        </w:rPr>
        <w:t>, 1868–1889.</w:t>
      </w:r>
    </w:p>
    <w:p w14:paraId="173B43B3" w14:textId="77777777" w:rsidR="00B06106" w:rsidRPr="00B06106" w:rsidRDefault="00B06106" w:rsidP="00B06106">
      <w:pPr>
        <w:widowControl w:val="0"/>
        <w:autoSpaceDE w:val="0"/>
        <w:autoSpaceDN w:val="0"/>
        <w:adjustRightInd w:val="0"/>
        <w:ind w:left="640" w:hanging="640"/>
        <w:rPr>
          <w:noProof/>
          <w:sz w:val="16"/>
        </w:rPr>
      </w:pPr>
      <w:r w:rsidRPr="00B06106">
        <w:rPr>
          <w:noProof/>
          <w:sz w:val="16"/>
        </w:rPr>
        <w:t xml:space="preserve">13. </w:t>
      </w:r>
      <w:r w:rsidRPr="00B06106">
        <w:rPr>
          <w:noProof/>
          <w:sz w:val="16"/>
        </w:rPr>
        <w:tab/>
        <w:t xml:space="preserve">Fabian, M. A.; Biggs, W. H.; Treiber, D. K.; Atteridge, C. E.; Azimioara, M. D.; Benedetti, M. G.; Carter, T. A.; Ciceri, P.; Edeen, P. T.; Floyd, M.; Ford, J. M.; Galvin, M.; Gerlach, J. L.; Grotzfeld, R. M.; Herrgard, S.; Insko, D. E.; Insko, M. A.; Lai, A. G.; Lélias, J.-M.; Mehta, S. A.; Milanov, Z. V; Velasco, A. M.; Wodicka, L. M.; Patel, H. K.; Zarrinkar, P. P.; Lockhart, D. J. </w:t>
      </w:r>
      <w:r w:rsidRPr="00B06106">
        <w:rPr>
          <w:i/>
          <w:iCs/>
          <w:noProof/>
          <w:sz w:val="16"/>
        </w:rPr>
        <w:t>Nat. Biotechnol.</w:t>
      </w:r>
      <w:r w:rsidRPr="00B06106">
        <w:rPr>
          <w:noProof/>
          <w:sz w:val="16"/>
        </w:rPr>
        <w:t xml:space="preserve"> </w:t>
      </w:r>
      <w:r w:rsidRPr="00B06106">
        <w:rPr>
          <w:b/>
          <w:bCs/>
          <w:noProof/>
          <w:sz w:val="16"/>
        </w:rPr>
        <w:t>2005</w:t>
      </w:r>
      <w:r w:rsidRPr="00B06106">
        <w:rPr>
          <w:noProof/>
          <w:sz w:val="16"/>
        </w:rPr>
        <w:t xml:space="preserve">, </w:t>
      </w:r>
      <w:r w:rsidRPr="00B06106">
        <w:rPr>
          <w:i/>
          <w:iCs/>
          <w:noProof/>
          <w:sz w:val="16"/>
        </w:rPr>
        <w:t>23</w:t>
      </w:r>
      <w:r w:rsidRPr="00B06106">
        <w:rPr>
          <w:noProof/>
          <w:sz w:val="16"/>
        </w:rPr>
        <w:t>, 329–336.</w:t>
      </w:r>
    </w:p>
    <w:p w14:paraId="57A0DB7B" w14:textId="77777777" w:rsidR="00B06106" w:rsidRPr="00B06106" w:rsidRDefault="00B06106" w:rsidP="00B06106">
      <w:pPr>
        <w:widowControl w:val="0"/>
        <w:autoSpaceDE w:val="0"/>
        <w:autoSpaceDN w:val="0"/>
        <w:adjustRightInd w:val="0"/>
        <w:ind w:left="640" w:hanging="640"/>
        <w:rPr>
          <w:noProof/>
          <w:sz w:val="16"/>
        </w:rPr>
      </w:pPr>
      <w:r w:rsidRPr="00B06106">
        <w:rPr>
          <w:noProof/>
          <w:sz w:val="16"/>
        </w:rPr>
        <w:t xml:space="preserve">14. </w:t>
      </w:r>
      <w:r w:rsidRPr="00B06106">
        <w:rPr>
          <w:noProof/>
          <w:sz w:val="16"/>
        </w:rPr>
        <w:tab/>
        <w:t xml:space="preserve">Brear, P.; De Fusco, C.; Hadje Georgiou, K.; Francis-Newton, N. J.; Stubbs, C. J.; Sore, H. F.; Venkitaraman, A. R.; Abell, C.; Spring, D. R.; Hyvönen, M. </w:t>
      </w:r>
      <w:r w:rsidRPr="00B06106">
        <w:rPr>
          <w:i/>
          <w:iCs/>
          <w:noProof/>
          <w:sz w:val="16"/>
        </w:rPr>
        <w:t>Chem. Sci.</w:t>
      </w:r>
      <w:r w:rsidRPr="00B06106">
        <w:rPr>
          <w:noProof/>
          <w:sz w:val="16"/>
        </w:rPr>
        <w:t xml:space="preserve"> </w:t>
      </w:r>
      <w:r w:rsidRPr="00B06106">
        <w:rPr>
          <w:b/>
          <w:bCs/>
          <w:noProof/>
          <w:sz w:val="16"/>
        </w:rPr>
        <w:t>2016</w:t>
      </w:r>
      <w:r w:rsidRPr="00B06106">
        <w:rPr>
          <w:noProof/>
          <w:sz w:val="16"/>
        </w:rPr>
        <w:t xml:space="preserve">, </w:t>
      </w:r>
      <w:r w:rsidRPr="00B06106">
        <w:rPr>
          <w:i/>
          <w:iCs/>
          <w:noProof/>
          <w:sz w:val="16"/>
        </w:rPr>
        <w:t>7</w:t>
      </w:r>
      <w:r w:rsidRPr="00B06106">
        <w:rPr>
          <w:noProof/>
          <w:sz w:val="16"/>
        </w:rPr>
        <w:t>, 6839–6845.</w:t>
      </w:r>
    </w:p>
    <w:p w14:paraId="5110D307" w14:textId="77777777" w:rsidR="00B06106" w:rsidRPr="00B06106" w:rsidRDefault="00B06106" w:rsidP="00B06106">
      <w:pPr>
        <w:widowControl w:val="0"/>
        <w:autoSpaceDE w:val="0"/>
        <w:autoSpaceDN w:val="0"/>
        <w:adjustRightInd w:val="0"/>
        <w:ind w:left="640" w:hanging="640"/>
        <w:rPr>
          <w:noProof/>
          <w:sz w:val="16"/>
        </w:rPr>
      </w:pPr>
      <w:r w:rsidRPr="00B06106">
        <w:rPr>
          <w:noProof/>
          <w:sz w:val="16"/>
        </w:rPr>
        <w:t xml:space="preserve">15. </w:t>
      </w:r>
      <w:r w:rsidRPr="00B06106">
        <w:rPr>
          <w:noProof/>
          <w:sz w:val="16"/>
        </w:rPr>
        <w:tab/>
        <w:t xml:space="preserve">De Fusco, C.; Brear, P.; Iegre, J.; Georgiou, K. H.; Sore, H. F.; Hyvönen, M.; Spring, D. R. </w:t>
      </w:r>
      <w:r w:rsidRPr="00B06106">
        <w:rPr>
          <w:i/>
          <w:iCs/>
          <w:noProof/>
          <w:sz w:val="16"/>
        </w:rPr>
        <w:t>Bioorg. Med. Chem.</w:t>
      </w:r>
      <w:r w:rsidRPr="00B06106">
        <w:rPr>
          <w:noProof/>
          <w:sz w:val="16"/>
        </w:rPr>
        <w:t xml:space="preserve"> </w:t>
      </w:r>
      <w:r w:rsidRPr="00B06106">
        <w:rPr>
          <w:b/>
          <w:bCs/>
          <w:noProof/>
          <w:sz w:val="16"/>
        </w:rPr>
        <w:t>2017</w:t>
      </w:r>
      <w:r w:rsidRPr="00B06106">
        <w:rPr>
          <w:noProof/>
          <w:sz w:val="16"/>
        </w:rPr>
        <w:t xml:space="preserve">, </w:t>
      </w:r>
      <w:r w:rsidRPr="00B06106">
        <w:rPr>
          <w:i/>
          <w:iCs/>
          <w:noProof/>
          <w:sz w:val="16"/>
        </w:rPr>
        <w:t>25</w:t>
      </w:r>
      <w:r w:rsidRPr="00B06106">
        <w:rPr>
          <w:noProof/>
          <w:sz w:val="16"/>
        </w:rPr>
        <w:t>, 3471–3482.</w:t>
      </w:r>
    </w:p>
    <w:p w14:paraId="0D7C891D" w14:textId="77777777" w:rsidR="00B06106" w:rsidRPr="00B06106" w:rsidRDefault="00B06106" w:rsidP="00B06106">
      <w:pPr>
        <w:widowControl w:val="0"/>
        <w:autoSpaceDE w:val="0"/>
        <w:autoSpaceDN w:val="0"/>
        <w:adjustRightInd w:val="0"/>
        <w:ind w:left="640" w:hanging="640"/>
        <w:rPr>
          <w:noProof/>
          <w:sz w:val="16"/>
        </w:rPr>
      </w:pPr>
      <w:r w:rsidRPr="00B06106">
        <w:rPr>
          <w:noProof/>
          <w:sz w:val="16"/>
        </w:rPr>
        <w:t xml:space="preserve">16. </w:t>
      </w:r>
      <w:r w:rsidRPr="00B06106">
        <w:rPr>
          <w:noProof/>
          <w:sz w:val="16"/>
        </w:rPr>
        <w:tab/>
        <w:t xml:space="preserve">Raaf, J.; Brunstein, E.; Issinger, O.-G.; Niefind, K. </w:t>
      </w:r>
      <w:r w:rsidRPr="00B06106">
        <w:rPr>
          <w:i/>
          <w:iCs/>
          <w:noProof/>
          <w:sz w:val="16"/>
        </w:rPr>
        <w:t>Chem. Biol.</w:t>
      </w:r>
      <w:r w:rsidRPr="00B06106">
        <w:rPr>
          <w:noProof/>
          <w:sz w:val="16"/>
        </w:rPr>
        <w:t xml:space="preserve"> </w:t>
      </w:r>
      <w:r w:rsidRPr="00B06106">
        <w:rPr>
          <w:b/>
          <w:bCs/>
          <w:noProof/>
          <w:sz w:val="16"/>
        </w:rPr>
        <w:t>2008</w:t>
      </w:r>
      <w:r w:rsidRPr="00B06106">
        <w:rPr>
          <w:noProof/>
          <w:sz w:val="16"/>
        </w:rPr>
        <w:t xml:space="preserve">, </w:t>
      </w:r>
      <w:r w:rsidRPr="00B06106">
        <w:rPr>
          <w:i/>
          <w:iCs/>
          <w:noProof/>
          <w:sz w:val="16"/>
        </w:rPr>
        <w:t>15</w:t>
      </w:r>
      <w:r w:rsidRPr="00B06106">
        <w:rPr>
          <w:noProof/>
          <w:sz w:val="16"/>
        </w:rPr>
        <w:t>, 111–117.</w:t>
      </w:r>
    </w:p>
    <w:p w14:paraId="7DA4E1A4" w14:textId="77777777" w:rsidR="00B06106" w:rsidRPr="00B06106" w:rsidRDefault="00B06106" w:rsidP="00B06106">
      <w:pPr>
        <w:widowControl w:val="0"/>
        <w:autoSpaceDE w:val="0"/>
        <w:autoSpaceDN w:val="0"/>
        <w:adjustRightInd w:val="0"/>
        <w:ind w:left="640" w:hanging="640"/>
        <w:rPr>
          <w:noProof/>
          <w:sz w:val="16"/>
        </w:rPr>
      </w:pPr>
      <w:r w:rsidRPr="00B06106">
        <w:rPr>
          <w:noProof/>
          <w:sz w:val="16"/>
        </w:rPr>
        <w:t xml:space="preserve">17. </w:t>
      </w:r>
      <w:r w:rsidRPr="00B06106">
        <w:rPr>
          <w:noProof/>
          <w:sz w:val="16"/>
        </w:rPr>
        <w:tab/>
        <w:t xml:space="preserve">Laudet, B.; Moucadel, V.; Prudent, R.; Filhol, O.; Wong, Y.-S.; Royer, D.; Cochet, C. </w:t>
      </w:r>
      <w:r w:rsidRPr="00B06106">
        <w:rPr>
          <w:i/>
          <w:iCs/>
          <w:noProof/>
          <w:sz w:val="16"/>
        </w:rPr>
        <w:t>Mol. Cell. Biochem.</w:t>
      </w:r>
      <w:r w:rsidRPr="00B06106">
        <w:rPr>
          <w:noProof/>
          <w:sz w:val="16"/>
        </w:rPr>
        <w:t xml:space="preserve"> </w:t>
      </w:r>
      <w:r w:rsidRPr="00B06106">
        <w:rPr>
          <w:b/>
          <w:bCs/>
          <w:noProof/>
          <w:sz w:val="16"/>
        </w:rPr>
        <w:t>2008</w:t>
      </w:r>
      <w:r w:rsidRPr="00B06106">
        <w:rPr>
          <w:noProof/>
          <w:sz w:val="16"/>
        </w:rPr>
        <w:t xml:space="preserve">, </w:t>
      </w:r>
      <w:r w:rsidRPr="00B06106">
        <w:rPr>
          <w:i/>
          <w:iCs/>
          <w:noProof/>
          <w:sz w:val="16"/>
        </w:rPr>
        <w:t>316</w:t>
      </w:r>
      <w:r w:rsidRPr="00B06106">
        <w:rPr>
          <w:noProof/>
          <w:sz w:val="16"/>
        </w:rPr>
        <w:t>, 63–69.</w:t>
      </w:r>
    </w:p>
    <w:p w14:paraId="3971550D" w14:textId="77777777" w:rsidR="00B06106" w:rsidRPr="00B06106" w:rsidRDefault="00B06106" w:rsidP="00B06106">
      <w:pPr>
        <w:widowControl w:val="0"/>
        <w:autoSpaceDE w:val="0"/>
        <w:autoSpaceDN w:val="0"/>
        <w:adjustRightInd w:val="0"/>
        <w:ind w:left="640" w:hanging="640"/>
        <w:rPr>
          <w:noProof/>
          <w:sz w:val="16"/>
        </w:rPr>
      </w:pPr>
      <w:r w:rsidRPr="00B06106">
        <w:rPr>
          <w:noProof/>
          <w:sz w:val="16"/>
        </w:rPr>
        <w:t xml:space="preserve">18. </w:t>
      </w:r>
      <w:r w:rsidRPr="00B06106">
        <w:rPr>
          <w:noProof/>
          <w:sz w:val="16"/>
        </w:rPr>
        <w:tab/>
        <w:t xml:space="preserve">Moucadel, V.; Prudent, R.; Sautel, C. F.; Teillet, F.; Barette, C.; Lafanechere, L.; Receveur-Brechot, V.; Cochet, C. </w:t>
      </w:r>
      <w:r w:rsidRPr="00B06106">
        <w:rPr>
          <w:i/>
          <w:iCs/>
          <w:noProof/>
          <w:sz w:val="16"/>
        </w:rPr>
        <w:t>Oncotarget</w:t>
      </w:r>
      <w:r w:rsidRPr="00B06106">
        <w:rPr>
          <w:noProof/>
          <w:sz w:val="16"/>
        </w:rPr>
        <w:t xml:space="preserve"> </w:t>
      </w:r>
      <w:r w:rsidRPr="00B06106">
        <w:rPr>
          <w:b/>
          <w:bCs/>
          <w:noProof/>
          <w:sz w:val="16"/>
        </w:rPr>
        <w:t>2011</w:t>
      </w:r>
      <w:r w:rsidRPr="00B06106">
        <w:rPr>
          <w:noProof/>
          <w:sz w:val="16"/>
        </w:rPr>
        <w:t xml:space="preserve">, </w:t>
      </w:r>
      <w:r w:rsidRPr="00B06106">
        <w:rPr>
          <w:i/>
          <w:iCs/>
          <w:noProof/>
          <w:sz w:val="16"/>
        </w:rPr>
        <w:t>2</w:t>
      </w:r>
      <w:r w:rsidRPr="00B06106">
        <w:rPr>
          <w:noProof/>
          <w:sz w:val="16"/>
        </w:rPr>
        <w:t>, 997–1010.</w:t>
      </w:r>
    </w:p>
    <w:p w14:paraId="4BD8B2F5" w14:textId="77777777" w:rsidR="00B06106" w:rsidRPr="00B06106" w:rsidRDefault="00B06106" w:rsidP="00B06106">
      <w:pPr>
        <w:widowControl w:val="0"/>
        <w:autoSpaceDE w:val="0"/>
        <w:autoSpaceDN w:val="0"/>
        <w:adjustRightInd w:val="0"/>
        <w:ind w:left="640" w:hanging="640"/>
        <w:rPr>
          <w:noProof/>
          <w:sz w:val="16"/>
        </w:rPr>
      </w:pPr>
      <w:r w:rsidRPr="00B06106">
        <w:rPr>
          <w:noProof/>
          <w:sz w:val="16"/>
        </w:rPr>
        <w:t xml:space="preserve">19. </w:t>
      </w:r>
      <w:r w:rsidRPr="00B06106">
        <w:rPr>
          <w:noProof/>
          <w:sz w:val="16"/>
        </w:rPr>
        <w:tab/>
        <w:t xml:space="preserve">Zhou, Y.; Zhang, N.; Chen, W.; Zhao, L.; Zhong, R. </w:t>
      </w:r>
      <w:r w:rsidRPr="00B06106">
        <w:rPr>
          <w:i/>
          <w:iCs/>
          <w:noProof/>
          <w:sz w:val="16"/>
        </w:rPr>
        <w:t>Phys. Chem. Chem. Phys.</w:t>
      </w:r>
      <w:r w:rsidRPr="00B06106">
        <w:rPr>
          <w:noProof/>
          <w:sz w:val="16"/>
        </w:rPr>
        <w:t xml:space="preserve"> </w:t>
      </w:r>
      <w:r w:rsidRPr="00B06106">
        <w:rPr>
          <w:b/>
          <w:bCs/>
          <w:noProof/>
          <w:sz w:val="16"/>
        </w:rPr>
        <w:t>2016</w:t>
      </w:r>
      <w:r w:rsidRPr="00B06106">
        <w:rPr>
          <w:noProof/>
          <w:sz w:val="16"/>
        </w:rPr>
        <w:t xml:space="preserve">, </w:t>
      </w:r>
      <w:r w:rsidRPr="00B06106">
        <w:rPr>
          <w:i/>
          <w:iCs/>
          <w:noProof/>
          <w:sz w:val="16"/>
        </w:rPr>
        <w:t>18</w:t>
      </w:r>
      <w:r w:rsidRPr="00B06106">
        <w:rPr>
          <w:noProof/>
          <w:sz w:val="16"/>
        </w:rPr>
        <w:t>, 9202–9210.</w:t>
      </w:r>
    </w:p>
    <w:p w14:paraId="535635AC" w14:textId="77777777" w:rsidR="00B06106" w:rsidRPr="00B06106" w:rsidRDefault="00B06106" w:rsidP="00B06106">
      <w:pPr>
        <w:widowControl w:val="0"/>
        <w:autoSpaceDE w:val="0"/>
        <w:autoSpaceDN w:val="0"/>
        <w:adjustRightInd w:val="0"/>
        <w:ind w:left="640" w:hanging="640"/>
        <w:rPr>
          <w:noProof/>
          <w:sz w:val="16"/>
        </w:rPr>
      </w:pPr>
      <w:r w:rsidRPr="00B06106">
        <w:rPr>
          <w:noProof/>
          <w:sz w:val="16"/>
        </w:rPr>
        <w:t xml:space="preserve">20. </w:t>
      </w:r>
      <w:r w:rsidRPr="00B06106">
        <w:rPr>
          <w:noProof/>
          <w:sz w:val="16"/>
        </w:rPr>
        <w:tab/>
        <w:t xml:space="preserve">Johnson, C. N.; Erlanson, D. A.; Murray, C. W.; Rees, D. C. </w:t>
      </w:r>
      <w:r w:rsidRPr="00B06106">
        <w:rPr>
          <w:i/>
          <w:iCs/>
          <w:noProof/>
          <w:sz w:val="16"/>
        </w:rPr>
        <w:t>J. Med. Chem.</w:t>
      </w:r>
      <w:r w:rsidRPr="00B06106">
        <w:rPr>
          <w:noProof/>
          <w:sz w:val="16"/>
        </w:rPr>
        <w:t xml:space="preserve"> </w:t>
      </w:r>
      <w:r w:rsidRPr="00B06106">
        <w:rPr>
          <w:b/>
          <w:bCs/>
          <w:noProof/>
          <w:sz w:val="16"/>
        </w:rPr>
        <w:t>2017</w:t>
      </w:r>
      <w:r w:rsidRPr="00B06106">
        <w:rPr>
          <w:noProof/>
          <w:sz w:val="16"/>
        </w:rPr>
        <w:t xml:space="preserve">, </w:t>
      </w:r>
      <w:r w:rsidRPr="00B06106">
        <w:rPr>
          <w:i/>
          <w:iCs/>
          <w:noProof/>
          <w:sz w:val="16"/>
        </w:rPr>
        <w:t>60</w:t>
      </w:r>
      <w:r w:rsidRPr="00B06106">
        <w:rPr>
          <w:noProof/>
          <w:sz w:val="16"/>
        </w:rPr>
        <w:t>, 89–99.</w:t>
      </w:r>
    </w:p>
    <w:p w14:paraId="2D55EB11" w14:textId="77777777" w:rsidR="00B06106" w:rsidRPr="00B06106" w:rsidRDefault="00B06106" w:rsidP="00B06106">
      <w:pPr>
        <w:widowControl w:val="0"/>
        <w:autoSpaceDE w:val="0"/>
        <w:autoSpaceDN w:val="0"/>
        <w:adjustRightInd w:val="0"/>
        <w:ind w:left="640" w:hanging="640"/>
        <w:rPr>
          <w:noProof/>
          <w:sz w:val="16"/>
        </w:rPr>
      </w:pPr>
      <w:r w:rsidRPr="00B06106">
        <w:rPr>
          <w:noProof/>
          <w:sz w:val="16"/>
        </w:rPr>
        <w:t xml:space="preserve">21. </w:t>
      </w:r>
      <w:r w:rsidRPr="00B06106">
        <w:rPr>
          <w:noProof/>
          <w:sz w:val="16"/>
        </w:rPr>
        <w:tab/>
        <w:t xml:space="preserve">Ciulli, A.; Abell, C. </w:t>
      </w:r>
      <w:r w:rsidRPr="00B06106">
        <w:rPr>
          <w:i/>
          <w:iCs/>
          <w:noProof/>
          <w:sz w:val="16"/>
        </w:rPr>
        <w:t>Curr. Opin. Biotechnol.</w:t>
      </w:r>
      <w:r w:rsidRPr="00B06106">
        <w:rPr>
          <w:noProof/>
          <w:sz w:val="16"/>
        </w:rPr>
        <w:t xml:space="preserve"> </w:t>
      </w:r>
      <w:r w:rsidRPr="00B06106">
        <w:rPr>
          <w:b/>
          <w:bCs/>
          <w:noProof/>
          <w:sz w:val="16"/>
        </w:rPr>
        <w:t>2007</w:t>
      </w:r>
      <w:r w:rsidRPr="00B06106">
        <w:rPr>
          <w:noProof/>
          <w:sz w:val="16"/>
        </w:rPr>
        <w:t xml:space="preserve">, </w:t>
      </w:r>
      <w:r w:rsidRPr="00B06106">
        <w:rPr>
          <w:i/>
          <w:iCs/>
          <w:noProof/>
          <w:sz w:val="16"/>
        </w:rPr>
        <w:t>18</w:t>
      </w:r>
      <w:r w:rsidRPr="00B06106">
        <w:rPr>
          <w:noProof/>
          <w:sz w:val="16"/>
        </w:rPr>
        <w:t>, 489–496.</w:t>
      </w:r>
    </w:p>
    <w:p w14:paraId="5427AE03" w14:textId="77777777" w:rsidR="00B06106" w:rsidRPr="00B06106" w:rsidRDefault="00B06106" w:rsidP="00B06106">
      <w:pPr>
        <w:widowControl w:val="0"/>
        <w:autoSpaceDE w:val="0"/>
        <w:autoSpaceDN w:val="0"/>
        <w:adjustRightInd w:val="0"/>
        <w:ind w:left="640" w:hanging="640"/>
        <w:rPr>
          <w:noProof/>
          <w:sz w:val="16"/>
        </w:rPr>
      </w:pPr>
      <w:r w:rsidRPr="00B06106">
        <w:rPr>
          <w:noProof/>
          <w:sz w:val="16"/>
        </w:rPr>
        <w:t xml:space="preserve">22. </w:t>
      </w:r>
      <w:r w:rsidRPr="00B06106">
        <w:rPr>
          <w:noProof/>
          <w:sz w:val="16"/>
        </w:rPr>
        <w:tab/>
        <w:t xml:space="preserve">Congreve, M.; Carr, R.; Murray, C.; Jhoti, H. </w:t>
      </w:r>
      <w:r w:rsidRPr="00B06106">
        <w:rPr>
          <w:i/>
          <w:iCs/>
          <w:noProof/>
          <w:sz w:val="16"/>
        </w:rPr>
        <w:t>Drug Discov. Today</w:t>
      </w:r>
      <w:r w:rsidRPr="00B06106">
        <w:rPr>
          <w:noProof/>
          <w:sz w:val="16"/>
        </w:rPr>
        <w:t xml:space="preserve"> </w:t>
      </w:r>
      <w:r w:rsidRPr="00B06106">
        <w:rPr>
          <w:b/>
          <w:bCs/>
          <w:noProof/>
          <w:sz w:val="16"/>
        </w:rPr>
        <w:t>2003</w:t>
      </w:r>
      <w:r w:rsidRPr="00B06106">
        <w:rPr>
          <w:noProof/>
          <w:sz w:val="16"/>
        </w:rPr>
        <w:t xml:space="preserve">, </w:t>
      </w:r>
      <w:r w:rsidRPr="00B06106">
        <w:rPr>
          <w:i/>
          <w:iCs/>
          <w:noProof/>
          <w:sz w:val="16"/>
        </w:rPr>
        <w:t>8</w:t>
      </w:r>
      <w:r w:rsidRPr="00B06106">
        <w:rPr>
          <w:noProof/>
          <w:sz w:val="16"/>
        </w:rPr>
        <w:t>, 876–877.</w:t>
      </w:r>
    </w:p>
    <w:p w14:paraId="114B83D5" w14:textId="77777777" w:rsidR="00B06106" w:rsidRPr="00B06106" w:rsidRDefault="00B06106" w:rsidP="00B06106">
      <w:pPr>
        <w:widowControl w:val="0"/>
        <w:autoSpaceDE w:val="0"/>
        <w:autoSpaceDN w:val="0"/>
        <w:adjustRightInd w:val="0"/>
        <w:ind w:left="640" w:hanging="640"/>
        <w:rPr>
          <w:noProof/>
          <w:sz w:val="16"/>
        </w:rPr>
      </w:pPr>
      <w:r w:rsidRPr="00B06106">
        <w:rPr>
          <w:noProof/>
          <w:sz w:val="16"/>
        </w:rPr>
        <w:t xml:space="preserve">23. </w:t>
      </w:r>
      <w:r w:rsidRPr="00B06106">
        <w:rPr>
          <w:noProof/>
          <w:sz w:val="16"/>
        </w:rPr>
        <w:tab/>
        <w:t xml:space="preserve">Lipinski, C. A.; Lombardo, F.; Dominy, B. W.; Feeney, P. J. </w:t>
      </w:r>
      <w:r w:rsidRPr="00B06106">
        <w:rPr>
          <w:i/>
          <w:iCs/>
          <w:noProof/>
          <w:sz w:val="16"/>
        </w:rPr>
        <w:t>Adv. Drug Deliv. Rev.</w:t>
      </w:r>
      <w:r w:rsidRPr="00B06106">
        <w:rPr>
          <w:noProof/>
          <w:sz w:val="16"/>
        </w:rPr>
        <w:t xml:space="preserve"> </w:t>
      </w:r>
      <w:r w:rsidRPr="00B06106">
        <w:rPr>
          <w:b/>
          <w:bCs/>
          <w:noProof/>
          <w:sz w:val="16"/>
        </w:rPr>
        <w:t>2001</w:t>
      </w:r>
      <w:r w:rsidRPr="00B06106">
        <w:rPr>
          <w:noProof/>
          <w:sz w:val="16"/>
        </w:rPr>
        <w:t xml:space="preserve">, </w:t>
      </w:r>
      <w:r w:rsidRPr="00B06106">
        <w:rPr>
          <w:i/>
          <w:iCs/>
          <w:noProof/>
          <w:sz w:val="16"/>
        </w:rPr>
        <w:t>46</w:t>
      </w:r>
      <w:r w:rsidRPr="00B06106">
        <w:rPr>
          <w:noProof/>
          <w:sz w:val="16"/>
        </w:rPr>
        <w:t>, 3–26.</w:t>
      </w:r>
    </w:p>
    <w:p w14:paraId="190D3495" w14:textId="77777777" w:rsidR="00B06106" w:rsidRPr="00B06106" w:rsidRDefault="00B06106" w:rsidP="00B06106">
      <w:pPr>
        <w:widowControl w:val="0"/>
        <w:autoSpaceDE w:val="0"/>
        <w:autoSpaceDN w:val="0"/>
        <w:adjustRightInd w:val="0"/>
        <w:ind w:left="640" w:hanging="640"/>
        <w:rPr>
          <w:noProof/>
          <w:sz w:val="16"/>
        </w:rPr>
      </w:pPr>
      <w:r w:rsidRPr="00B06106">
        <w:rPr>
          <w:noProof/>
          <w:sz w:val="16"/>
        </w:rPr>
        <w:t xml:space="preserve">24. </w:t>
      </w:r>
      <w:r w:rsidRPr="00B06106">
        <w:rPr>
          <w:noProof/>
          <w:sz w:val="16"/>
        </w:rPr>
        <w:tab/>
        <w:t>Seetoh, W., Stubbs, C., Dickson, C., Hyvönen, M., Matak-Vinković, D., &amp; Abell, C. Research Data Supporting “Achieving small–molecule disruption of the CK2α/CK2β protein–protein interaction within the protein kinase CK2 heterotetramer” https://doi.org/10.17863/CAM.189.</w:t>
      </w:r>
    </w:p>
    <w:p w14:paraId="2AA7066E" w14:textId="77777777" w:rsidR="00B06106" w:rsidRPr="00B06106" w:rsidRDefault="00B06106" w:rsidP="00B06106">
      <w:pPr>
        <w:widowControl w:val="0"/>
        <w:autoSpaceDE w:val="0"/>
        <w:autoSpaceDN w:val="0"/>
        <w:adjustRightInd w:val="0"/>
        <w:ind w:left="640" w:hanging="640"/>
        <w:rPr>
          <w:noProof/>
          <w:sz w:val="16"/>
        </w:rPr>
      </w:pPr>
      <w:r w:rsidRPr="00B06106">
        <w:rPr>
          <w:noProof/>
          <w:sz w:val="16"/>
        </w:rPr>
        <w:t xml:space="preserve">25. </w:t>
      </w:r>
      <w:r w:rsidRPr="00B06106">
        <w:rPr>
          <w:noProof/>
          <w:sz w:val="16"/>
        </w:rPr>
        <w:tab/>
        <w:t xml:space="preserve">Raaf, J.; Brunstein, E.; Issinger, O.-G.; Niefind, K. </w:t>
      </w:r>
      <w:r w:rsidRPr="00B06106">
        <w:rPr>
          <w:i/>
          <w:iCs/>
          <w:noProof/>
          <w:sz w:val="16"/>
        </w:rPr>
        <w:t>Chem. Biol.</w:t>
      </w:r>
      <w:r w:rsidRPr="00B06106">
        <w:rPr>
          <w:noProof/>
          <w:sz w:val="16"/>
        </w:rPr>
        <w:t xml:space="preserve"> </w:t>
      </w:r>
      <w:r w:rsidRPr="00B06106">
        <w:rPr>
          <w:b/>
          <w:bCs/>
          <w:noProof/>
          <w:sz w:val="16"/>
        </w:rPr>
        <w:t>2008</w:t>
      </w:r>
      <w:r w:rsidRPr="00B06106">
        <w:rPr>
          <w:noProof/>
          <w:sz w:val="16"/>
        </w:rPr>
        <w:t xml:space="preserve">, </w:t>
      </w:r>
      <w:r w:rsidRPr="00B06106">
        <w:rPr>
          <w:i/>
          <w:iCs/>
          <w:noProof/>
          <w:sz w:val="16"/>
        </w:rPr>
        <w:t>15</w:t>
      </w:r>
      <w:r w:rsidRPr="00B06106">
        <w:rPr>
          <w:noProof/>
          <w:sz w:val="16"/>
        </w:rPr>
        <w:t>, 111–117.</w:t>
      </w:r>
    </w:p>
    <w:p w14:paraId="64AE7CAE" w14:textId="77777777" w:rsidR="00B06106" w:rsidRPr="00B06106" w:rsidRDefault="00B06106" w:rsidP="00B06106">
      <w:pPr>
        <w:widowControl w:val="0"/>
        <w:autoSpaceDE w:val="0"/>
        <w:autoSpaceDN w:val="0"/>
        <w:adjustRightInd w:val="0"/>
        <w:ind w:left="640" w:hanging="640"/>
        <w:rPr>
          <w:noProof/>
          <w:sz w:val="16"/>
        </w:rPr>
      </w:pPr>
      <w:r w:rsidRPr="00B06106">
        <w:rPr>
          <w:noProof/>
          <w:sz w:val="16"/>
        </w:rPr>
        <w:t xml:space="preserve">26. </w:t>
      </w:r>
      <w:r w:rsidRPr="00B06106">
        <w:rPr>
          <w:noProof/>
          <w:sz w:val="16"/>
        </w:rPr>
        <w:tab/>
        <w:t xml:space="preserve">Veber, D. F.; Johnson, S. R.; Cheng, H.-Y.; Smith, B. R.; Ward, K. W.; Kopple, K. D. </w:t>
      </w:r>
      <w:r w:rsidRPr="00B06106">
        <w:rPr>
          <w:i/>
          <w:iCs/>
          <w:noProof/>
          <w:sz w:val="16"/>
        </w:rPr>
        <w:t>J. Med. Chem.</w:t>
      </w:r>
      <w:r w:rsidRPr="00B06106">
        <w:rPr>
          <w:noProof/>
          <w:sz w:val="16"/>
        </w:rPr>
        <w:t xml:space="preserve"> </w:t>
      </w:r>
      <w:r w:rsidRPr="00B06106">
        <w:rPr>
          <w:b/>
          <w:bCs/>
          <w:noProof/>
          <w:sz w:val="16"/>
        </w:rPr>
        <w:t>2002</w:t>
      </w:r>
      <w:r w:rsidRPr="00B06106">
        <w:rPr>
          <w:noProof/>
          <w:sz w:val="16"/>
        </w:rPr>
        <w:t xml:space="preserve">, </w:t>
      </w:r>
      <w:r w:rsidRPr="00B06106">
        <w:rPr>
          <w:i/>
          <w:iCs/>
          <w:noProof/>
          <w:sz w:val="16"/>
        </w:rPr>
        <w:t>45</w:t>
      </w:r>
      <w:r w:rsidRPr="00B06106">
        <w:rPr>
          <w:noProof/>
          <w:sz w:val="16"/>
        </w:rPr>
        <w:t>, 2615–2623.</w:t>
      </w:r>
    </w:p>
    <w:p w14:paraId="7E01B53E" w14:textId="77777777" w:rsidR="0024745E" w:rsidRDefault="0024745E">
      <w:pPr>
        <w:pStyle w:val="ElsReferencesHeading"/>
      </w:pPr>
      <w:r>
        <w:lastRenderedPageBreak/>
        <w:fldChar w:fldCharType="end"/>
      </w:r>
    </w:p>
    <w:p w14:paraId="2292F852" w14:textId="77777777" w:rsidR="00626FDB" w:rsidRDefault="00626FDB">
      <w:pPr>
        <w:pStyle w:val="ElsReferencesHeading"/>
      </w:pPr>
      <w:r>
        <w:t>Supplementary Material</w:t>
      </w:r>
    </w:p>
    <w:p w14:paraId="7B4D31BC" w14:textId="60CE6785" w:rsidR="00626FDB" w:rsidRPr="00873DFA" w:rsidRDefault="00A737EB" w:rsidP="00873DFA">
      <w:pPr>
        <w:pStyle w:val="ElsParagraph"/>
      </w:pPr>
      <w:r w:rsidRPr="00873DFA">
        <w:t>Supplementary data associated with this article can be found</w:t>
      </w:r>
      <w:r w:rsidR="00873DFA" w:rsidRPr="00873DFA">
        <w:t xml:space="preserve"> in the Supporting Information</w:t>
      </w:r>
      <w:r w:rsidR="00626FDB" w:rsidRPr="00873DFA">
        <w:t>.</w:t>
      </w:r>
    </w:p>
    <w:p w14:paraId="5B79F23B" w14:textId="77F155DE" w:rsidR="00626FDB" w:rsidRDefault="00626FDB">
      <w:pPr>
        <w:pStyle w:val="ElsParagraph"/>
      </w:pPr>
    </w:p>
    <w:p w14:paraId="704EA1DD" w14:textId="77777777" w:rsidR="00626FDB" w:rsidRDefault="00626FDB">
      <w:pPr>
        <w:pStyle w:val="ElsParagraph"/>
      </w:pPr>
    </w:p>
    <w:p w14:paraId="13A492B9" w14:textId="2A2DC6AF" w:rsidR="00626FDB" w:rsidRDefault="00626FDB">
      <w:pPr>
        <w:pStyle w:val="ElsParagraph"/>
        <w:sectPr w:rsidR="00626FDB">
          <w:headerReference w:type="even" r:id="rId37"/>
          <w:type w:val="continuous"/>
          <w:pgSz w:w="11906" w:h="16838" w:code="9"/>
          <w:pgMar w:top="964" w:right="766" w:bottom="1242" w:left="766" w:header="720" w:footer="238" w:gutter="0"/>
          <w:cols w:num="2" w:space="360"/>
        </w:sectPr>
      </w:pPr>
      <w:r>
        <w:object w:dxaOrig="225" w:dyaOrig="225" w14:anchorId="1187C041">
          <v:shape id="_x0000_i1039" type="#_x0000_t75" style="width:224.4pt;height:24pt" o:ole="">
            <v:imagedata r:id="rId38" o:title=""/>
          </v:shape>
          <w:control r:id="rId39" w:name="CommandButton1" w:shapeid="_x0000_i1039"/>
        </w:object>
      </w:r>
    </w:p>
    <w:bookmarkEnd w:id="2"/>
    <w:p w14:paraId="2B9D8B5D" w14:textId="40B07068" w:rsidR="00765783" w:rsidRDefault="00765783">
      <w:pPr>
        <w:pStyle w:val="ElsParagraph"/>
      </w:pPr>
    </w:p>
    <w:sectPr w:rsidR="00765783">
      <w:type w:val="continuous"/>
      <w:pgSz w:w="11906" w:h="16838" w:code="9"/>
      <w:pgMar w:top="964" w:right="766" w:bottom="1242" w:left="766" w:header="720" w:footer="238" w:gutter="0"/>
      <w:cols w:num="2" w:space="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46570E3" w14:textId="77777777" w:rsidR="00D27132" w:rsidRDefault="00D27132">
      <w:r>
        <w:separator/>
      </w:r>
    </w:p>
  </w:endnote>
  <w:endnote w:type="continuationSeparator" w:id="0">
    <w:p w14:paraId="3A9E3305" w14:textId="77777777" w:rsidR="00D27132" w:rsidRDefault="00D2713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Univers">
    <w:altName w:val="Univers"/>
    <w:charset w:val="00"/>
    <w:family w:val="swiss"/>
    <w:pitch w:val="variable"/>
    <w:sig w:usb0="80000287" w:usb1="00000000" w:usb2="00000000" w:usb3="00000000" w:csb0="0000000F" w:csb1="00000000"/>
  </w:font>
  <w:font w:name="Book Antiqua">
    <w:panose1 w:val="02040602050305030304"/>
    <w:charset w:val="00"/>
    <w:family w:val="roman"/>
    <w:pitch w:val="variable"/>
    <w:sig w:usb0="00000287" w:usb1="00000000" w:usb2="00000000" w:usb3="00000000" w:csb0="0000009F"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4E105BB8" w14:textId="77777777" w:rsidR="00D27132" w:rsidRDefault="00D27132">
      <w:r>
        <w:t>———</w:t>
      </w:r>
    </w:p>
  </w:footnote>
  <w:footnote w:type="continuationSeparator" w:id="0">
    <w:p w14:paraId="3D96C6B8" w14:textId="77777777" w:rsidR="00D27132" w:rsidRDefault="00D27132">
      <w:r>
        <w:t>———</w:t>
      </w:r>
    </w:p>
  </w:footnote>
  <w:footnote w:type="continuationNotice" w:id="1">
    <w:p w14:paraId="5D17ACA2" w14:textId="77777777" w:rsidR="00D27132" w:rsidRDefault="00D27132"/>
  </w:footnote>
  <w:footnote w:id="2">
    <w:p w14:paraId="41D7BA4E" w14:textId="77777777" w:rsidR="00D27132" w:rsidRDefault="00D27132" w:rsidP="003D636F">
      <w:pPr>
        <w:pStyle w:val="ElsCorrespondingAuthor"/>
      </w:pPr>
      <w:r>
        <w:sym w:font="Symbol" w:char="F02A"/>
      </w:r>
      <w:r>
        <w:t xml:space="preserve"> Corresponding author. Tel.: +44 1223 336498; fax: +44 1223 336362; e-mail: spring@ch.cam.ac.uk</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4308D1D" w14:textId="77777777" w:rsidR="00D27132" w:rsidRDefault="00D27132">
    <w:pPr>
      <w:framePr w:wrap="around" w:vAnchor="text" w:hAnchor="margin" w:xAlign="outside" w:y="1"/>
    </w:pPr>
    <w:r>
      <w:fldChar w:fldCharType="begin"/>
    </w:r>
    <w:r>
      <w:instrText xml:space="preserve">PAGE  </w:instrText>
    </w:r>
    <w:r>
      <w:fldChar w:fldCharType="separate"/>
    </w:r>
    <w:r>
      <w:rPr>
        <w:noProof/>
      </w:rPr>
      <w:t>4</w:t>
    </w:r>
    <w:r>
      <w:fldChar w:fldCharType="end"/>
    </w:r>
  </w:p>
  <w:p w14:paraId="65A279E9" w14:textId="77777777" w:rsidR="00D27132" w:rsidRDefault="00D27132">
    <w:pPr>
      <w:tabs>
        <w:tab w:val="center" w:pos="4560"/>
        <w:tab w:val="right" w:pos="9120"/>
      </w:tabs>
      <w:ind w:right="360" w:firstLine="360"/>
      <w:jc w:val="center"/>
    </w:pPr>
    <w:r>
      <w:t>Bioorganic &amp; Medicinal Chemistry</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E925073" w14:textId="77777777" w:rsidR="00D27132" w:rsidRDefault="00D27132">
    <w:pPr>
      <w:framePr w:wrap="around" w:vAnchor="text" w:hAnchor="margin" w:xAlign="outside" w:y="1"/>
    </w:pPr>
    <w:r>
      <w:fldChar w:fldCharType="begin"/>
    </w:r>
    <w:r>
      <w:instrText xml:space="preserve">PAGE  </w:instrText>
    </w:r>
    <w:r>
      <w:fldChar w:fldCharType="separate"/>
    </w:r>
    <w:r>
      <w:rPr>
        <w:noProof/>
      </w:rPr>
      <w:t>4</w:t>
    </w:r>
    <w:r>
      <w:fldChar w:fldCharType="end"/>
    </w:r>
  </w:p>
  <w:p w14:paraId="5E2520AB" w14:textId="77777777" w:rsidR="00D27132" w:rsidRDefault="00D27132">
    <w:pPr>
      <w:tabs>
        <w:tab w:val="center" w:pos="4560"/>
        <w:tab w:val="right" w:pos="9120"/>
      </w:tabs>
      <w:ind w:right="360" w:firstLine="360"/>
      <w:jc w:val="center"/>
    </w:pPr>
    <w:r>
      <w:t>Bioorganic &amp; Medicinal Chemistry</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7C"/>
    <w:multiLevelType w:val="singleLevel"/>
    <w:tmpl w:val="D250C032"/>
    <w:lvl w:ilvl="0">
      <w:start w:val="1"/>
      <w:numFmt w:val="decimal"/>
      <w:lvlText w:val="%1."/>
      <w:lvlJc w:val="left"/>
      <w:pPr>
        <w:tabs>
          <w:tab w:val="num" w:pos="1800"/>
        </w:tabs>
        <w:ind w:left="1800" w:hanging="360"/>
      </w:pPr>
    </w:lvl>
  </w:abstractNum>
  <w:abstractNum w:abstractNumId="1" w15:restartNumberingAfterBreak="0">
    <w:nsid w:val="FFFFFF7D"/>
    <w:multiLevelType w:val="singleLevel"/>
    <w:tmpl w:val="B71A055C"/>
    <w:lvl w:ilvl="0">
      <w:start w:val="1"/>
      <w:numFmt w:val="decimal"/>
      <w:lvlText w:val="%1."/>
      <w:lvlJc w:val="left"/>
      <w:pPr>
        <w:tabs>
          <w:tab w:val="num" w:pos="1440"/>
        </w:tabs>
        <w:ind w:left="1440" w:hanging="360"/>
      </w:pPr>
    </w:lvl>
  </w:abstractNum>
  <w:abstractNum w:abstractNumId="2" w15:restartNumberingAfterBreak="0">
    <w:nsid w:val="FFFFFF7E"/>
    <w:multiLevelType w:val="singleLevel"/>
    <w:tmpl w:val="0888C92C"/>
    <w:lvl w:ilvl="0">
      <w:start w:val="1"/>
      <w:numFmt w:val="decimal"/>
      <w:lvlText w:val="%1."/>
      <w:lvlJc w:val="left"/>
      <w:pPr>
        <w:tabs>
          <w:tab w:val="num" w:pos="1080"/>
        </w:tabs>
        <w:ind w:left="1080" w:hanging="360"/>
      </w:pPr>
    </w:lvl>
  </w:abstractNum>
  <w:abstractNum w:abstractNumId="3" w15:restartNumberingAfterBreak="0">
    <w:nsid w:val="FFFFFF7F"/>
    <w:multiLevelType w:val="singleLevel"/>
    <w:tmpl w:val="49A22864"/>
    <w:lvl w:ilvl="0">
      <w:start w:val="1"/>
      <w:numFmt w:val="decimal"/>
      <w:lvlText w:val="%1."/>
      <w:lvlJc w:val="left"/>
      <w:pPr>
        <w:tabs>
          <w:tab w:val="num" w:pos="720"/>
        </w:tabs>
        <w:ind w:left="720" w:hanging="360"/>
      </w:pPr>
    </w:lvl>
  </w:abstractNum>
  <w:abstractNum w:abstractNumId="4" w15:restartNumberingAfterBreak="0">
    <w:nsid w:val="FFFFFF80"/>
    <w:multiLevelType w:val="singleLevel"/>
    <w:tmpl w:val="C8F4CB4E"/>
    <w:lvl w:ilvl="0">
      <w:start w:val="1"/>
      <w:numFmt w:val="bullet"/>
      <w:lvlText w:val=""/>
      <w:lvlJc w:val="left"/>
      <w:pPr>
        <w:tabs>
          <w:tab w:val="num" w:pos="1800"/>
        </w:tabs>
        <w:ind w:left="1800" w:hanging="360"/>
      </w:pPr>
      <w:rPr>
        <w:rFonts w:ascii="Symbol" w:hAnsi="Symbol" w:hint="default"/>
      </w:rPr>
    </w:lvl>
  </w:abstractNum>
  <w:abstractNum w:abstractNumId="5" w15:restartNumberingAfterBreak="0">
    <w:nsid w:val="FFFFFF81"/>
    <w:multiLevelType w:val="singleLevel"/>
    <w:tmpl w:val="A434021A"/>
    <w:lvl w:ilvl="0">
      <w:start w:val="1"/>
      <w:numFmt w:val="bullet"/>
      <w:lvlText w:val=""/>
      <w:lvlJc w:val="left"/>
      <w:pPr>
        <w:tabs>
          <w:tab w:val="num" w:pos="1440"/>
        </w:tabs>
        <w:ind w:left="1440" w:hanging="360"/>
      </w:pPr>
      <w:rPr>
        <w:rFonts w:ascii="Symbol" w:hAnsi="Symbol" w:hint="default"/>
      </w:rPr>
    </w:lvl>
  </w:abstractNum>
  <w:abstractNum w:abstractNumId="6" w15:restartNumberingAfterBreak="0">
    <w:nsid w:val="FFFFFF82"/>
    <w:multiLevelType w:val="singleLevel"/>
    <w:tmpl w:val="B18E2178"/>
    <w:lvl w:ilvl="0">
      <w:start w:val="1"/>
      <w:numFmt w:val="bullet"/>
      <w:lvlText w:val=""/>
      <w:lvlJc w:val="left"/>
      <w:pPr>
        <w:tabs>
          <w:tab w:val="num" w:pos="1080"/>
        </w:tabs>
        <w:ind w:left="1080" w:hanging="360"/>
      </w:pPr>
      <w:rPr>
        <w:rFonts w:ascii="Symbol" w:hAnsi="Symbol" w:hint="default"/>
      </w:rPr>
    </w:lvl>
  </w:abstractNum>
  <w:abstractNum w:abstractNumId="7" w15:restartNumberingAfterBreak="0">
    <w:nsid w:val="FFFFFF83"/>
    <w:multiLevelType w:val="singleLevel"/>
    <w:tmpl w:val="2A22E374"/>
    <w:lvl w:ilvl="0">
      <w:start w:val="1"/>
      <w:numFmt w:val="bullet"/>
      <w:lvlText w:val=""/>
      <w:lvlJc w:val="left"/>
      <w:pPr>
        <w:tabs>
          <w:tab w:val="num" w:pos="720"/>
        </w:tabs>
        <w:ind w:left="720" w:hanging="360"/>
      </w:pPr>
      <w:rPr>
        <w:rFonts w:ascii="Symbol" w:hAnsi="Symbol" w:hint="default"/>
      </w:rPr>
    </w:lvl>
  </w:abstractNum>
  <w:abstractNum w:abstractNumId="8" w15:restartNumberingAfterBreak="0">
    <w:nsid w:val="FFFFFF88"/>
    <w:multiLevelType w:val="singleLevel"/>
    <w:tmpl w:val="F4C85194"/>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072C77D8"/>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034B1227"/>
    <w:multiLevelType w:val="hybridMultilevel"/>
    <w:tmpl w:val="AACCED82"/>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15:restartNumberingAfterBreak="0">
    <w:nsid w:val="04A73AB1"/>
    <w:multiLevelType w:val="singleLevel"/>
    <w:tmpl w:val="462C837C"/>
    <w:lvl w:ilvl="0">
      <w:start w:val="1"/>
      <w:numFmt w:val="bullet"/>
      <w:lvlText w:val=""/>
      <w:lvlJc w:val="left"/>
      <w:pPr>
        <w:tabs>
          <w:tab w:val="num" w:pos="360"/>
        </w:tabs>
        <w:ind w:left="240" w:hanging="240"/>
      </w:pPr>
      <w:rPr>
        <w:rFonts w:ascii="Symbol" w:hAnsi="Symbol" w:hint="default"/>
      </w:rPr>
    </w:lvl>
  </w:abstractNum>
  <w:abstractNum w:abstractNumId="12" w15:restartNumberingAfterBreak="0">
    <w:nsid w:val="10511D3C"/>
    <w:multiLevelType w:val="singleLevel"/>
    <w:tmpl w:val="741E22E4"/>
    <w:lvl w:ilvl="0">
      <w:start w:val="1"/>
      <w:numFmt w:val="lowerLetter"/>
      <w:lvlText w:val="%1."/>
      <w:lvlJc w:val="left"/>
      <w:pPr>
        <w:tabs>
          <w:tab w:val="num" w:pos="1080"/>
        </w:tabs>
        <w:ind w:left="1080" w:hanging="360"/>
      </w:pPr>
      <w:rPr>
        <w:rFonts w:hint="default"/>
      </w:rPr>
    </w:lvl>
  </w:abstractNum>
  <w:abstractNum w:abstractNumId="13" w15:restartNumberingAfterBreak="0">
    <w:nsid w:val="29322B9F"/>
    <w:multiLevelType w:val="multilevel"/>
    <w:tmpl w:val="0EFC4B52"/>
    <w:lvl w:ilvl="0">
      <w:start w:val="1"/>
      <w:numFmt w:val="decimal"/>
      <w:suff w:val="space"/>
      <w:lvlText w:val="%1."/>
      <w:lvlJc w:val="left"/>
      <w:pPr>
        <w:ind w:left="0" w:firstLine="0"/>
      </w:pPr>
    </w:lvl>
    <w:lvl w:ilvl="1">
      <w:start w:val="1"/>
      <w:numFmt w:val="decimal"/>
      <w:suff w:val="space"/>
      <w:lvlText w:val="%1.%2."/>
      <w:lvlJc w:val="left"/>
      <w:pPr>
        <w:ind w:left="0" w:firstLine="0"/>
      </w:pPr>
    </w:lvl>
    <w:lvl w:ilvl="2">
      <w:start w:val="1"/>
      <w:numFmt w:val="decimal"/>
      <w:suff w:val="space"/>
      <w:lvlText w:val="%1.%2.%3."/>
      <w:lvlJc w:val="left"/>
      <w:pPr>
        <w:ind w:left="0" w:firstLine="0"/>
      </w:pPr>
    </w:lvl>
    <w:lvl w:ilvl="3">
      <w:start w:val="1"/>
      <w:numFmt w:val="decimal"/>
      <w:suff w:val="space"/>
      <w:lvlText w:val="%1.%2.%3.%4."/>
      <w:lvlJc w:val="left"/>
      <w:pPr>
        <w:ind w:left="0" w:firstLine="0"/>
      </w:pPr>
    </w:lvl>
    <w:lvl w:ilvl="4">
      <w:start w:val="1"/>
      <w:numFmt w:val="decimal"/>
      <w:lvlText w:val="%1.%2.%3.%4.%5."/>
      <w:lvlJc w:val="left"/>
      <w:pPr>
        <w:tabs>
          <w:tab w:val="num" w:pos="3240"/>
        </w:tabs>
        <w:ind w:left="2232" w:hanging="792"/>
      </w:pPr>
    </w:lvl>
    <w:lvl w:ilvl="5">
      <w:start w:val="1"/>
      <w:numFmt w:val="decimal"/>
      <w:lvlText w:val="%1.%2.%3.%4.%5.%6."/>
      <w:lvlJc w:val="left"/>
      <w:pPr>
        <w:tabs>
          <w:tab w:val="num" w:pos="3600"/>
        </w:tabs>
        <w:ind w:left="2736" w:hanging="936"/>
      </w:pPr>
    </w:lvl>
    <w:lvl w:ilvl="6">
      <w:start w:val="1"/>
      <w:numFmt w:val="decimal"/>
      <w:lvlText w:val="%1.%2.%3.%4.%5.%6.%7."/>
      <w:lvlJc w:val="left"/>
      <w:pPr>
        <w:tabs>
          <w:tab w:val="num" w:pos="4320"/>
        </w:tabs>
        <w:ind w:left="3240" w:hanging="1080"/>
      </w:pPr>
    </w:lvl>
    <w:lvl w:ilvl="7">
      <w:start w:val="1"/>
      <w:numFmt w:val="decimal"/>
      <w:lvlText w:val="%1.%2.%3.%4.%5.%6.%7.%8."/>
      <w:lvlJc w:val="left"/>
      <w:pPr>
        <w:tabs>
          <w:tab w:val="num" w:pos="5040"/>
        </w:tabs>
        <w:ind w:left="3744" w:hanging="1224"/>
      </w:pPr>
    </w:lvl>
    <w:lvl w:ilvl="8">
      <w:start w:val="1"/>
      <w:numFmt w:val="decimal"/>
      <w:lvlText w:val="%1.%2.%3.%4.%5.%6.%7.%8.%9."/>
      <w:lvlJc w:val="left"/>
      <w:pPr>
        <w:tabs>
          <w:tab w:val="num" w:pos="5760"/>
        </w:tabs>
        <w:ind w:left="4320" w:hanging="1440"/>
      </w:pPr>
    </w:lvl>
  </w:abstractNum>
  <w:abstractNum w:abstractNumId="14" w15:restartNumberingAfterBreak="0">
    <w:nsid w:val="2E1D50BE"/>
    <w:multiLevelType w:val="singleLevel"/>
    <w:tmpl w:val="0409000F"/>
    <w:lvl w:ilvl="0">
      <w:start w:val="1"/>
      <w:numFmt w:val="decimal"/>
      <w:lvlText w:val="%1."/>
      <w:lvlJc w:val="left"/>
      <w:pPr>
        <w:tabs>
          <w:tab w:val="num" w:pos="360"/>
        </w:tabs>
        <w:ind w:left="360" w:hanging="360"/>
      </w:pPr>
      <w:rPr>
        <w:rFonts w:hint="default"/>
      </w:rPr>
    </w:lvl>
  </w:abstractNum>
  <w:abstractNum w:abstractNumId="15" w15:restartNumberingAfterBreak="0">
    <w:nsid w:val="2FF46D20"/>
    <w:multiLevelType w:val="multilevel"/>
    <w:tmpl w:val="6CA8E890"/>
    <w:lvl w:ilvl="0">
      <w:start w:val="1"/>
      <w:numFmt w:val="decimal"/>
      <w:lvlText w:val="%1."/>
      <w:lvlJc w:val="left"/>
      <w:pPr>
        <w:tabs>
          <w:tab w:val="num" w:pos="360"/>
        </w:tabs>
        <w:ind w:left="240" w:hanging="240"/>
      </w:pPr>
    </w:lvl>
    <w:lvl w:ilvl="1">
      <w:start w:val="1"/>
      <w:numFmt w:val="decimal"/>
      <w:lvlText w:val="%1.%2."/>
      <w:lvlJc w:val="left"/>
      <w:pPr>
        <w:tabs>
          <w:tab w:val="num" w:pos="600"/>
        </w:tabs>
        <w:ind w:left="480" w:hanging="240"/>
      </w:pPr>
    </w:lvl>
    <w:lvl w:ilvl="2">
      <w:start w:val="1"/>
      <w:numFmt w:val="decimal"/>
      <w:lvlText w:val="%1.%2.%3."/>
      <w:lvlJc w:val="left"/>
      <w:pPr>
        <w:tabs>
          <w:tab w:val="num" w:pos="1200"/>
        </w:tabs>
        <w:ind w:left="720" w:hanging="240"/>
      </w:pPr>
    </w:lvl>
    <w:lvl w:ilvl="3">
      <w:start w:val="1"/>
      <w:numFmt w:val="decimal"/>
      <w:lvlText w:val="%1.%2.%3.%4."/>
      <w:lvlJc w:val="left"/>
      <w:pPr>
        <w:tabs>
          <w:tab w:val="num" w:pos="1440"/>
        </w:tabs>
        <w:ind w:left="960" w:hanging="240"/>
      </w:pPr>
    </w:lvl>
    <w:lvl w:ilvl="4">
      <w:start w:val="1"/>
      <w:numFmt w:val="decimal"/>
      <w:lvlText w:val="%1.%2.%3.%4.%5."/>
      <w:lvlJc w:val="left"/>
      <w:pPr>
        <w:tabs>
          <w:tab w:val="num" w:pos="2040"/>
        </w:tabs>
        <w:ind w:left="1200" w:hanging="240"/>
      </w:pPr>
    </w:lvl>
    <w:lvl w:ilvl="5">
      <w:start w:val="1"/>
      <w:numFmt w:val="decimal"/>
      <w:lvlText w:val="%1.%2.%3.%4.%5.%6."/>
      <w:lvlJc w:val="left"/>
      <w:pPr>
        <w:tabs>
          <w:tab w:val="num" w:pos="2280"/>
        </w:tabs>
        <w:ind w:left="1440" w:hanging="240"/>
      </w:pPr>
    </w:lvl>
    <w:lvl w:ilvl="6">
      <w:start w:val="1"/>
      <w:numFmt w:val="decimal"/>
      <w:lvlText w:val="%1.%2.%3.%4.%5.%6.%7."/>
      <w:lvlJc w:val="left"/>
      <w:pPr>
        <w:tabs>
          <w:tab w:val="num" w:pos="2520"/>
        </w:tabs>
        <w:ind w:left="1680" w:hanging="240"/>
      </w:pPr>
    </w:lvl>
    <w:lvl w:ilvl="7">
      <w:start w:val="1"/>
      <w:numFmt w:val="decimal"/>
      <w:lvlText w:val="%1.%2.%3.%4.%5.%6.%7.%8."/>
      <w:lvlJc w:val="left"/>
      <w:pPr>
        <w:tabs>
          <w:tab w:val="num" w:pos="3120"/>
        </w:tabs>
        <w:ind w:left="1920" w:hanging="240"/>
      </w:pPr>
    </w:lvl>
    <w:lvl w:ilvl="8">
      <w:start w:val="1"/>
      <w:numFmt w:val="decimal"/>
      <w:lvlText w:val="%1..%3.%4.%5.%6.%7.%8.%9."/>
      <w:lvlJc w:val="left"/>
      <w:pPr>
        <w:tabs>
          <w:tab w:val="num" w:pos="3360"/>
        </w:tabs>
        <w:ind w:left="2160" w:hanging="240"/>
      </w:pPr>
    </w:lvl>
  </w:abstractNum>
  <w:abstractNum w:abstractNumId="16" w15:restartNumberingAfterBreak="0">
    <w:nsid w:val="323C5259"/>
    <w:multiLevelType w:val="hybridMultilevel"/>
    <w:tmpl w:val="CD74574E"/>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 w15:restartNumberingAfterBreak="0">
    <w:nsid w:val="326D3F9A"/>
    <w:multiLevelType w:val="singleLevel"/>
    <w:tmpl w:val="8BC469AA"/>
    <w:lvl w:ilvl="0">
      <w:start w:val="1"/>
      <w:numFmt w:val="lowerLetter"/>
      <w:lvlText w:val="%1."/>
      <w:lvlJc w:val="left"/>
      <w:pPr>
        <w:tabs>
          <w:tab w:val="num" w:pos="720"/>
        </w:tabs>
        <w:ind w:left="720" w:hanging="360"/>
      </w:pPr>
      <w:rPr>
        <w:rFonts w:hint="default"/>
      </w:rPr>
    </w:lvl>
  </w:abstractNum>
  <w:abstractNum w:abstractNumId="18" w15:restartNumberingAfterBreak="0">
    <w:nsid w:val="34490A28"/>
    <w:multiLevelType w:val="hybridMultilevel"/>
    <w:tmpl w:val="5C16277A"/>
    <w:lvl w:ilvl="0" w:tplc="54467A9E">
      <w:start w:val="1"/>
      <w:numFmt w:val="lowerLetter"/>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9" w15:restartNumberingAfterBreak="0">
    <w:nsid w:val="34FD0C72"/>
    <w:multiLevelType w:val="singleLevel"/>
    <w:tmpl w:val="0409000F"/>
    <w:lvl w:ilvl="0">
      <w:start w:val="1"/>
      <w:numFmt w:val="decimal"/>
      <w:lvlText w:val="%1."/>
      <w:lvlJc w:val="left"/>
      <w:pPr>
        <w:tabs>
          <w:tab w:val="num" w:pos="360"/>
        </w:tabs>
        <w:ind w:left="360" w:hanging="360"/>
      </w:pPr>
      <w:rPr>
        <w:rFonts w:hint="default"/>
      </w:rPr>
    </w:lvl>
  </w:abstractNum>
  <w:abstractNum w:abstractNumId="20" w15:restartNumberingAfterBreak="0">
    <w:nsid w:val="36F354B3"/>
    <w:multiLevelType w:val="singleLevel"/>
    <w:tmpl w:val="3926CAA2"/>
    <w:lvl w:ilvl="0">
      <w:start w:val="1"/>
      <w:numFmt w:val="upperLetter"/>
      <w:lvlText w:val="%1."/>
      <w:lvlJc w:val="left"/>
      <w:pPr>
        <w:tabs>
          <w:tab w:val="num" w:pos="720"/>
        </w:tabs>
        <w:ind w:left="720" w:hanging="360"/>
      </w:pPr>
      <w:rPr>
        <w:rFonts w:hint="default"/>
      </w:rPr>
    </w:lvl>
  </w:abstractNum>
  <w:abstractNum w:abstractNumId="21" w15:restartNumberingAfterBreak="0">
    <w:nsid w:val="373D5648"/>
    <w:multiLevelType w:val="singleLevel"/>
    <w:tmpl w:val="B030C926"/>
    <w:lvl w:ilvl="0">
      <w:start w:val="1"/>
      <w:numFmt w:val="upperLetter"/>
      <w:lvlText w:val="%1."/>
      <w:lvlJc w:val="left"/>
      <w:pPr>
        <w:tabs>
          <w:tab w:val="num" w:pos="720"/>
        </w:tabs>
        <w:ind w:left="720" w:hanging="360"/>
      </w:pPr>
      <w:rPr>
        <w:rFonts w:hint="default"/>
      </w:rPr>
    </w:lvl>
  </w:abstractNum>
  <w:abstractNum w:abstractNumId="22" w15:restartNumberingAfterBreak="0">
    <w:nsid w:val="3762623B"/>
    <w:multiLevelType w:val="singleLevel"/>
    <w:tmpl w:val="0409000F"/>
    <w:lvl w:ilvl="0">
      <w:start w:val="1"/>
      <w:numFmt w:val="decimal"/>
      <w:lvlText w:val="%1."/>
      <w:lvlJc w:val="left"/>
      <w:pPr>
        <w:tabs>
          <w:tab w:val="num" w:pos="360"/>
        </w:tabs>
        <w:ind w:left="360" w:hanging="360"/>
      </w:pPr>
      <w:rPr>
        <w:rFonts w:hint="default"/>
      </w:rPr>
    </w:lvl>
  </w:abstractNum>
  <w:abstractNum w:abstractNumId="23" w15:restartNumberingAfterBreak="0">
    <w:nsid w:val="3B986FF5"/>
    <w:multiLevelType w:val="multilevel"/>
    <w:tmpl w:val="BAC6F0E8"/>
    <w:lvl w:ilvl="0">
      <w:start w:val="1"/>
      <w:numFmt w:val="decimal"/>
      <w:suff w:val="space"/>
      <w:lvlText w:val="%1."/>
      <w:lvlJc w:val="left"/>
      <w:pPr>
        <w:ind w:left="432" w:hanging="432"/>
      </w:pPr>
      <w:rPr>
        <w:rFonts w:hint="default"/>
      </w:rPr>
    </w:lvl>
    <w:lvl w:ilvl="1">
      <w:start w:val="1"/>
      <w:numFmt w:val="decimal"/>
      <w:suff w:val="space"/>
      <w:lvlText w:val="%1.%2."/>
      <w:lvlJc w:val="left"/>
      <w:pPr>
        <w:ind w:left="0" w:firstLine="0"/>
      </w:pPr>
      <w:rPr>
        <w:rFonts w:hint="default"/>
      </w:rPr>
    </w:lvl>
    <w:lvl w:ilvl="2">
      <w:start w:val="1"/>
      <w:numFmt w:val="decimal"/>
      <w:suff w:val="space"/>
      <w:lvlText w:val="%1.%2.%3."/>
      <w:lvlJc w:val="left"/>
      <w:pPr>
        <w:ind w:left="0" w:firstLine="0"/>
      </w:pPr>
      <w:rPr>
        <w:rFonts w:hint="default"/>
      </w:rPr>
    </w:lvl>
    <w:lvl w:ilvl="3">
      <w:start w:val="1"/>
      <w:numFmt w:val="decimal"/>
      <w:suff w:val="space"/>
      <w:lvlText w:val="%1.%2.%3.%4."/>
      <w:lvlJc w:val="left"/>
      <w:pPr>
        <w:ind w:left="864" w:hanging="86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24" w15:restartNumberingAfterBreak="0">
    <w:nsid w:val="3E7A7E0C"/>
    <w:multiLevelType w:val="singleLevel"/>
    <w:tmpl w:val="E32C900E"/>
    <w:lvl w:ilvl="0">
      <w:start w:val="1"/>
      <w:numFmt w:val="decimal"/>
      <w:lvlText w:val="%1."/>
      <w:lvlJc w:val="left"/>
      <w:pPr>
        <w:tabs>
          <w:tab w:val="num" w:pos="562"/>
        </w:tabs>
        <w:ind w:left="562" w:hanging="360"/>
      </w:pPr>
      <w:rPr>
        <w:rFonts w:hint="default"/>
      </w:rPr>
    </w:lvl>
  </w:abstractNum>
  <w:abstractNum w:abstractNumId="25" w15:restartNumberingAfterBreak="0">
    <w:nsid w:val="4054252C"/>
    <w:multiLevelType w:val="hybridMultilevel"/>
    <w:tmpl w:val="7E723910"/>
    <w:lvl w:ilvl="0" w:tplc="99CA6F30">
      <w:start w:val="1"/>
      <w:numFmt w:val="decimal"/>
      <w:lvlText w:val="%1."/>
      <w:lvlJc w:val="righ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6" w15:restartNumberingAfterBreak="0">
    <w:nsid w:val="41DB2E3C"/>
    <w:multiLevelType w:val="singleLevel"/>
    <w:tmpl w:val="E5E28CB0"/>
    <w:lvl w:ilvl="0">
      <w:start w:val="1"/>
      <w:numFmt w:val="lowerLetter"/>
      <w:lvlText w:val="%1."/>
      <w:lvlJc w:val="left"/>
      <w:pPr>
        <w:tabs>
          <w:tab w:val="num" w:pos="1080"/>
        </w:tabs>
        <w:ind w:left="1080" w:hanging="360"/>
      </w:pPr>
      <w:rPr>
        <w:rFonts w:hint="default"/>
      </w:rPr>
    </w:lvl>
  </w:abstractNum>
  <w:abstractNum w:abstractNumId="27" w15:restartNumberingAfterBreak="0">
    <w:nsid w:val="45311E9D"/>
    <w:multiLevelType w:val="hybridMultilevel"/>
    <w:tmpl w:val="410CE03C"/>
    <w:lvl w:ilvl="0" w:tplc="BB7E510A">
      <w:start w:val="1"/>
      <w:numFmt w:val="decimal"/>
      <w:lvlText w:val="%1."/>
      <w:lvlJc w:val="right"/>
      <w:pPr>
        <w:tabs>
          <w:tab w:val="num" w:pos="340"/>
        </w:tabs>
        <w:ind w:left="340" w:hanging="113"/>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8" w15:restartNumberingAfterBreak="0">
    <w:nsid w:val="473752CF"/>
    <w:multiLevelType w:val="hybridMultilevel"/>
    <w:tmpl w:val="E7ECE6A6"/>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9" w15:restartNumberingAfterBreak="0">
    <w:nsid w:val="4A4A4AFC"/>
    <w:multiLevelType w:val="hybridMultilevel"/>
    <w:tmpl w:val="FA12268C"/>
    <w:lvl w:ilvl="0" w:tplc="0B7603DE">
      <w:start w:val="1"/>
      <w:numFmt w:val="decimal"/>
      <w:pStyle w:val="ElsReferences"/>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0" w15:restartNumberingAfterBreak="0">
    <w:nsid w:val="4D8C455C"/>
    <w:multiLevelType w:val="hybridMultilevel"/>
    <w:tmpl w:val="5BAEB2B0"/>
    <w:lvl w:ilvl="0" w:tplc="99CA6F30">
      <w:start w:val="1"/>
      <w:numFmt w:val="decimal"/>
      <w:lvlText w:val="%1."/>
      <w:lvlJc w:val="righ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1" w15:restartNumberingAfterBreak="0">
    <w:nsid w:val="4E3D4228"/>
    <w:multiLevelType w:val="singleLevel"/>
    <w:tmpl w:val="9430724E"/>
    <w:lvl w:ilvl="0">
      <w:start w:val="1"/>
      <w:numFmt w:val="decimal"/>
      <w:lvlText w:val="%1."/>
      <w:lvlJc w:val="left"/>
      <w:pPr>
        <w:tabs>
          <w:tab w:val="num" w:pos="360"/>
        </w:tabs>
        <w:ind w:left="312" w:hanging="312"/>
      </w:pPr>
    </w:lvl>
  </w:abstractNum>
  <w:abstractNum w:abstractNumId="32" w15:restartNumberingAfterBreak="0">
    <w:nsid w:val="5069112E"/>
    <w:multiLevelType w:val="multilevel"/>
    <w:tmpl w:val="2976199E"/>
    <w:lvl w:ilvl="0">
      <w:start w:val="1"/>
      <w:numFmt w:val="decimal"/>
      <w:pStyle w:val="ElsHeading1"/>
      <w:suff w:val="space"/>
      <w:lvlText w:val="%1."/>
      <w:lvlJc w:val="left"/>
      <w:pPr>
        <w:ind w:left="0" w:firstLine="0"/>
      </w:pPr>
      <w:rPr>
        <w:rFonts w:hint="default"/>
      </w:rPr>
    </w:lvl>
    <w:lvl w:ilvl="1">
      <w:start w:val="1"/>
      <w:numFmt w:val="decimal"/>
      <w:pStyle w:val="ElsHeading2"/>
      <w:suff w:val="space"/>
      <w:lvlText w:val="%1.%2."/>
      <w:lvlJc w:val="left"/>
      <w:pPr>
        <w:ind w:left="0" w:firstLine="0"/>
      </w:pPr>
      <w:rPr>
        <w:rFonts w:hint="default"/>
      </w:rPr>
    </w:lvl>
    <w:lvl w:ilvl="2">
      <w:start w:val="1"/>
      <w:numFmt w:val="decimal"/>
      <w:pStyle w:val="ElsHeading3"/>
      <w:suff w:val="space"/>
      <w:lvlText w:val="%1.%2.%3."/>
      <w:lvlJc w:val="left"/>
      <w:pPr>
        <w:ind w:left="0" w:firstLine="0"/>
      </w:pPr>
      <w:rPr>
        <w:rFonts w:hint="default"/>
      </w:rPr>
    </w:lvl>
    <w:lvl w:ilvl="3">
      <w:start w:val="1"/>
      <w:numFmt w:val="decimal"/>
      <w:pStyle w:val="ElsHeading4"/>
      <w:suff w:val="space"/>
      <w:lvlText w:val="%1.%2.%3.%4."/>
      <w:lvlJc w:val="left"/>
      <w:pPr>
        <w:ind w:left="0" w:firstLine="0"/>
      </w:pPr>
      <w:rPr>
        <w:rFonts w:hint="default"/>
      </w:rPr>
    </w:lvl>
    <w:lvl w:ilvl="4">
      <w:start w:val="1"/>
      <w:numFmt w:val="decimal"/>
      <w:pStyle w:val="ElsHeading5"/>
      <w:suff w:val="space"/>
      <w:lvlText w:val="%1.%2.%3.%4.%5."/>
      <w:lvlJc w:val="left"/>
      <w:pPr>
        <w:ind w:left="0" w:firstLine="0"/>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33" w15:restartNumberingAfterBreak="0">
    <w:nsid w:val="613C789C"/>
    <w:multiLevelType w:val="singleLevel"/>
    <w:tmpl w:val="0809000F"/>
    <w:lvl w:ilvl="0">
      <w:start w:val="1"/>
      <w:numFmt w:val="decimal"/>
      <w:lvlText w:val="%1."/>
      <w:lvlJc w:val="left"/>
      <w:pPr>
        <w:tabs>
          <w:tab w:val="num" w:pos="360"/>
        </w:tabs>
        <w:ind w:left="360" w:hanging="360"/>
      </w:pPr>
    </w:lvl>
  </w:abstractNum>
  <w:abstractNum w:abstractNumId="34" w15:restartNumberingAfterBreak="0">
    <w:nsid w:val="65B806BE"/>
    <w:multiLevelType w:val="hybridMultilevel"/>
    <w:tmpl w:val="EB8A94EC"/>
    <w:lvl w:ilvl="0" w:tplc="99CA6F30">
      <w:start w:val="1"/>
      <w:numFmt w:val="decimal"/>
      <w:lvlText w:val="%1."/>
      <w:lvlJc w:val="right"/>
      <w:pPr>
        <w:tabs>
          <w:tab w:val="num" w:pos="720"/>
        </w:tabs>
        <w:ind w:left="720" w:hanging="360"/>
      </w:pPr>
      <w:rPr>
        <w:rFonts w:hint="default"/>
      </w:rPr>
    </w:lvl>
    <w:lvl w:ilvl="1" w:tplc="B81C9B96">
      <w:start w:val="1"/>
      <w:numFmt w:val="lowerLetter"/>
      <w:lvlText w:val="(%2)"/>
      <w:lvlJc w:val="left"/>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5" w15:restartNumberingAfterBreak="0">
    <w:nsid w:val="67C113F1"/>
    <w:multiLevelType w:val="hybridMultilevel"/>
    <w:tmpl w:val="08946C94"/>
    <w:lvl w:ilvl="0" w:tplc="F47E3F98">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6" w15:restartNumberingAfterBreak="0">
    <w:nsid w:val="6A4777A0"/>
    <w:multiLevelType w:val="hybridMultilevel"/>
    <w:tmpl w:val="0C72AD1A"/>
    <w:lvl w:ilvl="0" w:tplc="04090001">
      <w:start w:val="1"/>
      <w:numFmt w:val="bullet"/>
      <w:lvlText w:val=""/>
      <w:lvlJc w:val="left"/>
      <w:pPr>
        <w:tabs>
          <w:tab w:val="num" w:pos="360"/>
        </w:tabs>
        <w:ind w:left="360" w:hanging="360"/>
      </w:pPr>
      <w:rPr>
        <w:rFonts w:ascii="Symbol" w:hAnsi="Symbol" w:hint="default"/>
      </w:rPr>
    </w:lvl>
    <w:lvl w:ilvl="1" w:tplc="04090003" w:tentative="1">
      <w:start w:val="1"/>
      <w:numFmt w:val="bullet"/>
      <w:lvlText w:val="o"/>
      <w:lvlJc w:val="left"/>
      <w:pPr>
        <w:tabs>
          <w:tab w:val="num" w:pos="1080"/>
        </w:tabs>
        <w:ind w:left="1080" w:hanging="360"/>
      </w:pPr>
      <w:rPr>
        <w:rFonts w:ascii="Courier New" w:hAnsi="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37" w15:restartNumberingAfterBreak="0">
    <w:nsid w:val="6E643668"/>
    <w:multiLevelType w:val="singleLevel"/>
    <w:tmpl w:val="462C837C"/>
    <w:lvl w:ilvl="0">
      <w:start w:val="1"/>
      <w:numFmt w:val="bullet"/>
      <w:lvlText w:val=""/>
      <w:lvlJc w:val="left"/>
      <w:pPr>
        <w:tabs>
          <w:tab w:val="num" w:pos="360"/>
        </w:tabs>
        <w:ind w:left="240" w:hanging="240"/>
      </w:pPr>
      <w:rPr>
        <w:rFonts w:ascii="Symbol" w:hAnsi="Symbol" w:hint="default"/>
      </w:rPr>
    </w:lvl>
  </w:abstractNum>
  <w:abstractNum w:abstractNumId="38" w15:restartNumberingAfterBreak="0">
    <w:nsid w:val="70535D76"/>
    <w:multiLevelType w:val="multilevel"/>
    <w:tmpl w:val="0B0892FC"/>
    <w:lvl w:ilvl="0">
      <w:start w:val="1"/>
      <w:numFmt w:val="bullet"/>
      <w:lvlText w:val=""/>
      <w:lvlJc w:val="left"/>
      <w:pPr>
        <w:tabs>
          <w:tab w:val="num" w:pos="360"/>
        </w:tabs>
        <w:ind w:left="240" w:hanging="240"/>
      </w:pPr>
      <w:rPr>
        <w:rFonts w:ascii="Symbol" w:hAnsi="Symbol" w:hint="default"/>
      </w:rPr>
    </w:lvl>
    <w:lvl w:ilvl="1">
      <w:start w:val="1"/>
      <w:numFmt w:val="bullet"/>
      <w:lvlText w:val="○"/>
      <w:lvlJc w:val="left"/>
      <w:pPr>
        <w:tabs>
          <w:tab w:val="num" w:pos="600"/>
        </w:tabs>
        <w:ind w:left="480" w:hanging="240"/>
      </w:pPr>
      <w:rPr>
        <w:rFonts w:ascii="Times New Roman" w:hAnsi="Times New Roman" w:hint="default"/>
        <w:sz w:val="28"/>
      </w:rPr>
    </w:lvl>
    <w:lvl w:ilvl="2">
      <w:start w:val="1"/>
      <w:numFmt w:val="bullet"/>
      <w:lvlText w:val="–"/>
      <w:lvlJc w:val="left"/>
      <w:pPr>
        <w:tabs>
          <w:tab w:val="num" w:pos="840"/>
        </w:tabs>
        <w:ind w:left="720" w:hanging="240"/>
      </w:pPr>
      <w:rPr>
        <w:rFonts w:ascii="Times New Roman" w:hAnsi="Times New Roman" w:hint="default"/>
      </w:rPr>
    </w:lvl>
    <w:lvl w:ilvl="3">
      <w:start w:val="1"/>
      <w:numFmt w:val="none"/>
      <w:lvlText w:val=""/>
      <w:lvlJc w:val="left"/>
      <w:pPr>
        <w:tabs>
          <w:tab w:val="num" w:pos="1080"/>
        </w:tabs>
        <w:ind w:left="960" w:hanging="240"/>
      </w:pPr>
      <w:rPr>
        <w:rFonts w:hint="default"/>
      </w:rPr>
    </w:lvl>
    <w:lvl w:ilvl="4">
      <w:start w:val="1"/>
      <w:numFmt w:val="none"/>
      <w:lvlText w:val=""/>
      <w:lvlJc w:val="left"/>
      <w:pPr>
        <w:tabs>
          <w:tab w:val="num" w:pos="1320"/>
        </w:tabs>
        <w:ind w:left="1200" w:hanging="240"/>
      </w:pPr>
      <w:rPr>
        <w:rFonts w:hint="default"/>
      </w:rPr>
    </w:lvl>
    <w:lvl w:ilvl="5">
      <w:start w:val="1"/>
      <w:numFmt w:val="none"/>
      <w:lvlText w:val=""/>
      <w:lvlJc w:val="left"/>
      <w:pPr>
        <w:tabs>
          <w:tab w:val="num" w:pos="1560"/>
        </w:tabs>
        <w:ind w:left="1440" w:hanging="240"/>
      </w:pPr>
      <w:rPr>
        <w:rFonts w:hint="default"/>
      </w:rPr>
    </w:lvl>
    <w:lvl w:ilvl="6">
      <w:start w:val="1"/>
      <w:numFmt w:val="none"/>
      <w:lvlText w:val=""/>
      <w:lvlJc w:val="left"/>
      <w:pPr>
        <w:tabs>
          <w:tab w:val="num" w:pos="1800"/>
        </w:tabs>
        <w:ind w:left="1680" w:hanging="240"/>
      </w:pPr>
      <w:rPr>
        <w:rFonts w:hint="default"/>
      </w:rPr>
    </w:lvl>
    <w:lvl w:ilvl="7">
      <w:start w:val="1"/>
      <w:numFmt w:val="none"/>
      <w:lvlText w:val=""/>
      <w:lvlJc w:val="left"/>
      <w:pPr>
        <w:tabs>
          <w:tab w:val="num" w:pos="2040"/>
        </w:tabs>
        <w:ind w:left="1920" w:hanging="240"/>
      </w:pPr>
      <w:rPr>
        <w:rFonts w:hint="default"/>
      </w:rPr>
    </w:lvl>
    <w:lvl w:ilvl="8">
      <w:start w:val="1"/>
      <w:numFmt w:val="none"/>
      <w:lvlText w:val=""/>
      <w:lvlJc w:val="left"/>
      <w:pPr>
        <w:tabs>
          <w:tab w:val="num" w:pos="2280"/>
        </w:tabs>
        <w:ind w:left="2160" w:hanging="240"/>
      </w:pPr>
      <w:rPr>
        <w:rFonts w:hint="default"/>
      </w:rPr>
    </w:lvl>
  </w:abstractNum>
  <w:abstractNum w:abstractNumId="39" w15:restartNumberingAfterBreak="0">
    <w:nsid w:val="768108AC"/>
    <w:multiLevelType w:val="hybridMultilevel"/>
    <w:tmpl w:val="B082F9E6"/>
    <w:lvl w:ilvl="0" w:tplc="99CA6F30">
      <w:start w:val="1"/>
      <w:numFmt w:val="decimal"/>
      <w:lvlText w:val="%1."/>
      <w:lvlJc w:val="righ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0" w15:restartNumberingAfterBreak="0">
    <w:nsid w:val="76851235"/>
    <w:multiLevelType w:val="hybridMultilevel"/>
    <w:tmpl w:val="08D2A0B8"/>
    <w:lvl w:ilvl="0" w:tplc="0409000F">
      <w:start w:val="1"/>
      <w:numFmt w:val="decimal"/>
      <w:lvlText w:val="%1."/>
      <w:lvlJc w:val="left"/>
      <w:pPr>
        <w:tabs>
          <w:tab w:val="num" w:pos="720"/>
        </w:tabs>
        <w:ind w:left="720" w:hanging="360"/>
      </w:pPr>
    </w:lvl>
    <w:lvl w:ilvl="1" w:tplc="46E080F6">
      <w:start w:val="3"/>
      <w:numFmt w:val="decimal"/>
      <w:lvlText w:val="%2)"/>
      <w:lvlJc w:val="left"/>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1" w15:restartNumberingAfterBreak="0">
    <w:nsid w:val="77EC77CB"/>
    <w:multiLevelType w:val="multilevel"/>
    <w:tmpl w:val="6CA8E890"/>
    <w:lvl w:ilvl="0">
      <w:start w:val="1"/>
      <w:numFmt w:val="decimal"/>
      <w:lvlText w:val="%1."/>
      <w:lvlJc w:val="left"/>
      <w:pPr>
        <w:tabs>
          <w:tab w:val="num" w:pos="360"/>
        </w:tabs>
        <w:ind w:left="240" w:hanging="240"/>
      </w:pPr>
    </w:lvl>
    <w:lvl w:ilvl="1">
      <w:start w:val="1"/>
      <w:numFmt w:val="decimal"/>
      <w:lvlText w:val="%1.%2."/>
      <w:lvlJc w:val="left"/>
      <w:pPr>
        <w:tabs>
          <w:tab w:val="num" w:pos="600"/>
        </w:tabs>
        <w:ind w:left="480" w:hanging="240"/>
      </w:pPr>
    </w:lvl>
    <w:lvl w:ilvl="2">
      <w:start w:val="1"/>
      <w:numFmt w:val="decimal"/>
      <w:lvlText w:val="%1.%2.%3."/>
      <w:lvlJc w:val="left"/>
      <w:pPr>
        <w:tabs>
          <w:tab w:val="num" w:pos="1200"/>
        </w:tabs>
        <w:ind w:left="720" w:hanging="240"/>
      </w:pPr>
    </w:lvl>
    <w:lvl w:ilvl="3">
      <w:start w:val="1"/>
      <w:numFmt w:val="decimal"/>
      <w:lvlText w:val="%1.%2.%3.%4."/>
      <w:lvlJc w:val="left"/>
      <w:pPr>
        <w:tabs>
          <w:tab w:val="num" w:pos="1440"/>
        </w:tabs>
        <w:ind w:left="960" w:hanging="240"/>
      </w:pPr>
    </w:lvl>
    <w:lvl w:ilvl="4">
      <w:start w:val="1"/>
      <w:numFmt w:val="decimal"/>
      <w:lvlText w:val="%1.%2.%3.%4.%5."/>
      <w:lvlJc w:val="left"/>
      <w:pPr>
        <w:tabs>
          <w:tab w:val="num" w:pos="2040"/>
        </w:tabs>
        <w:ind w:left="1200" w:hanging="240"/>
      </w:pPr>
    </w:lvl>
    <w:lvl w:ilvl="5">
      <w:start w:val="1"/>
      <w:numFmt w:val="decimal"/>
      <w:lvlText w:val="%1.%2.%3.%4.%5.%6."/>
      <w:lvlJc w:val="left"/>
      <w:pPr>
        <w:tabs>
          <w:tab w:val="num" w:pos="2280"/>
        </w:tabs>
        <w:ind w:left="1440" w:hanging="240"/>
      </w:pPr>
    </w:lvl>
    <w:lvl w:ilvl="6">
      <w:start w:val="1"/>
      <w:numFmt w:val="decimal"/>
      <w:lvlText w:val="%1.%2.%3.%4.%5.%6.%7."/>
      <w:lvlJc w:val="left"/>
      <w:pPr>
        <w:tabs>
          <w:tab w:val="num" w:pos="2520"/>
        </w:tabs>
        <w:ind w:left="1680" w:hanging="240"/>
      </w:pPr>
    </w:lvl>
    <w:lvl w:ilvl="7">
      <w:start w:val="1"/>
      <w:numFmt w:val="decimal"/>
      <w:lvlText w:val="%1.%2.%3.%4.%5.%6.%7.%8."/>
      <w:lvlJc w:val="left"/>
      <w:pPr>
        <w:tabs>
          <w:tab w:val="num" w:pos="3120"/>
        </w:tabs>
        <w:ind w:left="1920" w:hanging="240"/>
      </w:pPr>
    </w:lvl>
    <w:lvl w:ilvl="8">
      <w:start w:val="1"/>
      <w:numFmt w:val="decimal"/>
      <w:lvlText w:val="%1..%3.%4.%5.%6.%7.%8.%9."/>
      <w:lvlJc w:val="left"/>
      <w:pPr>
        <w:tabs>
          <w:tab w:val="num" w:pos="3360"/>
        </w:tabs>
        <w:ind w:left="2160" w:hanging="240"/>
      </w:pPr>
    </w:lvl>
  </w:abstractNum>
  <w:num w:numId="1">
    <w:abstractNumId w:val="13"/>
  </w:num>
  <w:num w:numId="2">
    <w:abstractNumId w:val="13"/>
  </w:num>
  <w:num w:numId="3">
    <w:abstractNumId w:val="13"/>
  </w:num>
  <w:num w:numId="4">
    <w:abstractNumId w:val="13"/>
  </w:num>
  <w:num w:numId="5">
    <w:abstractNumId w:val="38"/>
  </w:num>
  <w:num w:numId="6">
    <w:abstractNumId w:val="11"/>
  </w:num>
  <w:num w:numId="7">
    <w:abstractNumId w:val="37"/>
  </w:num>
  <w:num w:numId="8">
    <w:abstractNumId w:val="33"/>
  </w:num>
  <w:num w:numId="9">
    <w:abstractNumId w:val="15"/>
  </w:num>
  <w:num w:numId="10">
    <w:abstractNumId w:val="31"/>
  </w:num>
  <w:num w:numId="11">
    <w:abstractNumId w:val="10"/>
  </w:num>
  <w:num w:numId="12">
    <w:abstractNumId w:val="28"/>
  </w:num>
  <w:num w:numId="13">
    <w:abstractNumId w:val="9"/>
  </w:num>
  <w:num w:numId="14">
    <w:abstractNumId w:val="7"/>
  </w:num>
  <w:num w:numId="15">
    <w:abstractNumId w:val="6"/>
  </w:num>
  <w:num w:numId="16">
    <w:abstractNumId w:val="5"/>
  </w:num>
  <w:num w:numId="17">
    <w:abstractNumId w:val="4"/>
  </w:num>
  <w:num w:numId="18">
    <w:abstractNumId w:val="8"/>
  </w:num>
  <w:num w:numId="19">
    <w:abstractNumId w:val="3"/>
  </w:num>
  <w:num w:numId="20">
    <w:abstractNumId w:val="2"/>
  </w:num>
  <w:num w:numId="21">
    <w:abstractNumId w:val="1"/>
  </w:num>
  <w:num w:numId="22">
    <w:abstractNumId w:val="0"/>
  </w:num>
  <w:num w:numId="23">
    <w:abstractNumId w:val="24"/>
  </w:num>
  <w:num w:numId="24">
    <w:abstractNumId w:val="14"/>
  </w:num>
  <w:num w:numId="25">
    <w:abstractNumId w:val="22"/>
  </w:num>
  <w:num w:numId="26">
    <w:abstractNumId w:val="26"/>
  </w:num>
  <w:num w:numId="27">
    <w:abstractNumId w:val="19"/>
  </w:num>
  <w:num w:numId="28">
    <w:abstractNumId w:val="17"/>
  </w:num>
  <w:num w:numId="29">
    <w:abstractNumId w:val="21"/>
  </w:num>
  <w:num w:numId="30">
    <w:abstractNumId w:val="20"/>
  </w:num>
  <w:num w:numId="31">
    <w:abstractNumId w:val="12"/>
  </w:num>
  <w:num w:numId="32">
    <w:abstractNumId w:val="16"/>
  </w:num>
  <w:num w:numId="33">
    <w:abstractNumId w:val="35"/>
  </w:num>
  <w:num w:numId="34">
    <w:abstractNumId w:val="34"/>
  </w:num>
  <w:num w:numId="35">
    <w:abstractNumId w:val="40"/>
  </w:num>
  <w:num w:numId="36">
    <w:abstractNumId w:val="18"/>
  </w:num>
  <w:num w:numId="37">
    <w:abstractNumId w:val="39"/>
  </w:num>
  <w:num w:numId="38">
    <w:abstractNumId w:val="30"/>
  </w:num>
  <w:num w:numId="39">
    <w:abstractNumId w:val="25"/>
  </w:num>
  <w:num w:numId="40">
    <w:abstractNumId w:val="27"/>
  </w:num>
  <w:num w:numId="41">
    <w:abstractNumId w:val="29"/>
  </w:num>
  <w:num w:numId="42">
    <w:abstractNumId w:val="32"/>
  </w:num>
  <w:num w:numId="43">
    <w:abstractNumId w:val="23"/>
  </w:num>
  <w:num w:numId="44">
    <w:abstractNumId w:val="41"/>
  </w:num>
  <w:num w:numId="45">
    <w:abstractNumId w:val="3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activeWritingStyle w:appName="MSWord" w:lang="en-US" w:vendorID="64" w:dllVersion="5" w:nlCheck="1" w:checkStyle="1"/>
  <w:activeWritingStyle w:appName="MSWord" w:lang="en-US" w:vendorID="64" w:dllVersion="6" w:nlCheck="1" w:checkStyle="1"/>
  <w:activeWritingStyle w:appName="MSWord" w:lang="en-US" w:vendorID="64" w:dllVersion="0" w:nlCheck="1" w:checkStyle="0"/>
  <w:activeWritingStyle w:appName="MSWord" w:lang="en-GB" w:vendorID="64" w:dllVersion="0" w:nlCheck="1" w:checkStyle="0"/>
  <w:activeWritingStyle w:appName="MSWord" w:lang="en" w:vendorID="64" w:dllVersion="0" w:nlCheck="1" w:checkStyle="0"/>
  <w:activeWritingStyle w:appName="MSWord" w:lang="en-US" w:vendorID="8" w:dllVersion="513" w:checkStyle="1"/>
  <w:proofState w:spelling="clean" w:grammar="clean"/>
  <w:attachedTemplate r:id="rId1"/>
  <w:stylePaneFormatFilter w:val="1028" w:allStyles="0" w:customStyles="0" w:latentStyles="0" w:stylesInUse="1" w:headingStyles="1" w:numberingStyles="0" w:tableStyles="0" w:directFormattingOnRuns="0" w:directFormattingOnParagraphs="0" w:directFormattingOnNumbering="0" w:directFormattingOnTables="0" w:clearFormatting="1" w:top3HeadingStyles="0" w:visibleStyles="0" w:alternateStyleNames="0"/>
  <w:stylePaneSortMethod w:val="0004"/>
  <w:trackRevisions/>
  <w:defaultTabStop w:val="720"/>
  <w:displayHorizontalDrawingGridEvery w:val="0"/>
  <w:displayVerticalDrawingGridEvery w:val="0"/>
  <w:doNotUseMarginsForDrawingGridOrigin/>
  <w:noPunctuationKerning/>
  <w:characterSpacingControl w:val="doNotCompress"/>
  <w:hdrShapeDefaults>
    <o:shapedefaults v:ext="edit" spidmax="55297" fill="f" fillcolor="white" stroke="f">
      <v:fill color="white" on="f"/>
      <v:stroke on="f"/>
      <v:textbox inset="0,0,0,0"/>
    </o:shapedefaults>
  </w:hdrShapeDefaults>
  <w:footnotePr>
    <w:footnote w:id="-1"/>
    <w:footnote w:id="0"/>
    <w:footnote w:id="1"/>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26FDB"/>
    <w:rsid w:val="0000766D"/>
    <w:rsid w:val="00015A7F"/>
    <w:rsid w:val="000352F7"/>
    <w:rsid w:val="00045700"/>
    <w:rsid w:val="00080716"/>
    <w:rsid w:val="00083AB6"/>
    <w:rsid w:val="000A63B4"/>
    <w:rsid w:val="000B370D"/>
    <w:rsid w:val="000B4E5D"/>
    <w:rsid w:val="000D03BC"/>
    <w:rsid w:val="000D2660"/>
    <w:rsid w:val="000D2F56"/>
    <w:rsid w:val="000D4428"/>
    <w:rsid w:val="000E6AD0"/>
    <w:rsid w:val="000F5DE2"/>
    <w:rsid w:val="001133D9"/>
    <w:rsid w:val="00117FCB"/>
    <w:rsid w:val="0012673D"/>
    <w:rsid w:val="00127E01"/>
    <w:rsid w:val="00142829"/>
    <w:rsid w:val="00162EC0"/>
    <w:rsid w:val="00173293"/>
    <w:rsid w:val="00174082"/>
    <w:rsid w:val="001872D0"/>
    <w:rsid w:val="00191773"/>
    <w:rsid w:val="00197CCD"/>
    <w:rsid w:val="001A7E2D"/>
    <w:rsid w:val="001C095B"/>
    <w:rsid w:val="001C5404"/>
    <w:rsid w:val="001E4A8F"/>
    <w:rsid w:val="00222170"/>
    <w:rsid w:val="0022382F"/>
    <w:rsid w:val="002254FD"/>
    <w:rsid w:val="00231DB8"/>
    <w:rsid w:val="0024745E"/>
    <w:rsid w:val="00254D80"/>
    <w:rsid w:val="00267426"/>
    <w:rsid w:val="0027276C"/>
    <w:rsid w:val="00273B59"/>
    <w:rsid w:val="002758A6"/>
    <w:rsid w:val="00276D10"/>
    <w:rsid w:val="0028403F"/>
    <w:rsid w:val="002852E7"/>
    <w:rsid w:val="002A3174"/>
    <w:rsid w:val="002B021C"/>
    <w:rsid w:val="002B279D"/>
    <w:rsid w:val="002B33F3"/>
    <w:rsid w:val="002D3C57"/>
    <w:rsid w:val="002E00D4"/>
    <w:rsid w:val="002E6A0C"/>
    <w:rsid w:val="002F4C8C"/>
    <w:rsid w:val="0034108B"/>
    <w:rsid w:val="00341187"/>
    <w:rsid w:val="0036380E"/>
    <w:rsid w:val="00364AD7"/>
    <w:rsid w:val="0038323D"/>
    <w:rsid w:val="003902CD"/>
    <w:rsid w:val="003935E0"/>
    <w:rsid w:val="0039430E"/>
    <w:rsid w:val="003A2CD7"/>
    <w:rsid w:val="003A63D6"/>
    <w:rsid w:val="003A71AA"/>
    <w:rsid w:val="003B38A0"/>
    <w:rsid w:val="003B5F8C"/>
    <w:rsid w:val="003C0EE9"/>
    <w:rsid w:val="003D1121"/>
    <w:rsid w:val="003D5E74"/>
    <w:rsid w:val="003D636F"/>
    <w:rsid w:val="003E4054"/>
    <w:rsid w:val="003F1375"/>
    <w:rsid w:val="0040088D"/>
    <w:rsid w:val="00400DA5"/>
    <w:rsid w:val="0044269F"/>
    <w:rsid w:val="0047224E"/>
    <w:rsid w:val="00472333"/>
    <w:rsid w:val="00473CF4"/>
    <w:rsid w:val="00482B89"/>
    <w:rsid w:val="00490FA9"/>
    <w:rsid w:val="004928A4"/>
    <w:rsid w:val="004933C7"/>
    <w:rsid w:val="004944D8"/>
    <w:rsid w:val="004A1DE9"/>
    <w:rsid w:val="004A6427"/>
    <w:rsid w:val="004B45D6"/>
    <w:rsid w:val="004B68CD"/>
    <w:rsid w:val="004F108A"/>
    <w:rsid w:val="00503324"/>
    <w:rsid w:val="00517F52"/>
    <w:rsid w:val="005723F2"/>
    <w:rsid w:val="00572B1A"/>
    <w:rsid w:val="00575C0B"/>
    <w:rsid w:val="00577E11"/>
    <w:rsid w:val="00581AB0"/>
    <w:rsid w:val="0058412F"/>
    <w:rsid w:val="005844C5"/>
    <w:rsid w:val="00593608"/>
    <w:rsid w:val="005A03A0"/>
    <w:rsid w:val="005A2E02"/>
    <w:rsid w:val="005B4041"/>
    <w:rsid w:val="005C7948"/>
    <w:rsid w:val="005D04D8"/>
    <w:rsid w:val="005D7223"/>
    <w:rsid w:val="005E4F03"/>
    <w:rsid w:val="00626FDB"/>
    <w:rsid w:val="006348BD"/>
    <w:rsid w:val="00653F92"/>
    <w:rsid w:val="00666C54"/>
    <w:rsid w:val="006A0A4E"/>
    <w:rsid w:val="006A1385"/>
    <w:rsid w:val="006C438A"/>
    <w:rsid w:val="006C6BC0"/>
    <w:rsid w:val="006D5BA4"/>
    <w:rsid w:val="006E2502"/>
    <w:rsid w:val="006E2BDB"/>
    <w:rsid w:val="006E5F96"/>
    <w:rsid w:val="006F6D1F"/>
    <w:rsid w:val="006F7A83"/>
    <w:rsid w:val="00702BA6"/>
    <w:rsid w:val="00712579"/>
    <w:rsid w:val="007368F7"/>
    <w:rsid w:val="00736CE8"/>
    <w:rsid w:val="007416FA"/>
    <w:rsid w:val="007448FA"/>
    <w:rsid w:val="00744ED2"/>
    <w:rsid w:val="00747D0C"/>
    <w:rsid w:val="00751D98"/>
    <w:rsid w:val="00752662"/>
    <w:rsid w:val="00753741"/>
    <w:rsid w:val="007556C2"/>
    <w:rsid w:val="00763944"/>
    <w:rsid w:val="00765783"/>
    <w:rsid w:val="007754E4"/>
    <w:rsid w:val="00781A2A"/>
    <w:rsid w:val="00784430"/>
    <w:rsid w:val="007B5F1C"/>
    <w:rsid w:val="007C00A6"/>
    <w:rsid w:val="007E35E9"/>
    <w:rsid w:val="007E37DF"/>
    <w:rsid w:val="0080007C"/>
    <w:rsid w:val="0080516F"/>
    <w:rsid w:val="00806669"/>
    <w:rsid w:val="0082404C"/>
    <w:rsid w:val="008269E5"/>
    <w:rsid w:val="008457A9"/>
    <w:rsid w:val="00862A20"/>
    <w:rsid w:val="00864295"/>
    <w:rsid w:val="008655E8"/>
    <w:rsid w:val="00873DFA"/>
    <w:rsid w:val="0088010E"/>
    <w:rsid w:val="0088029D"/>
    <w:rsid w:val="00881570"/>
    <w:rsid w:val="008B6011"/>
    <w:rsid w:val="008D3A7F"/>
    <w:rsid w:val="008D6835"/>
    <w:rsid w:val="008E1D4A"/>
    <w:rsid w:val="008E4D8B"/>
    <w:rsid w:val="008E5F54"/>
    <w:rsid w:val="008F3FFD"/>
    <w:rsid w:val="008F6F53"/>
    <w:rsid w:val="0090546F"/>
    <w:rsid w:val="00910D32"/>
    <w:rsid w:val="00913937"/>
    <w:rsid w:val="00932E11"/>
    <w:rsid w:val="009351ED"/>
    <w:rsid w:val="00954D3D"/>
    <w:rsid w:val="00955FAC"/>
    <w:rsid w:val="0095790B"/>
    <w:rsid w:val="00966AE8"/>
    <w:rsid w:val="00967C50"/>
    <w:rsid w:val="00972F48"/>
    <w:rsid w:val="009736FA"/>
    <w:rsid w:val="00987FE8"/>
    <w:rsid w:val="00994568"/>
    <w:rsid w:val="00994910"/>
    <w:rsid w:val="00994E1C"/>
    <w:rsid w:val="009B09CF"/>
    <w:rsid w:val="009B197C"/>
    <w:rsid w:val="009B2BD5"/>
    <w:rsid w:val="009B7DF5"/>
    <w:rsid w:val="009C5178"/>
    <w:rsid w:val="009C72EE"/>
    <w:rsid w:val="009C7571"/>
    <w:rsid w:val="009D251B"/>
    <w:rsid w:val="009F2A73"/>
    <w:rsid w:val="009F3B24"/>
    <w:rsid w:val="009F5374"/>
    <w:rsid w:val="009F6A07"/>
    <w:rsid w:val="00A136D8"/>
    <w:rsid w:val="00A212EB"/>
    <w:rsid w:val="00A22F4B"/>
    <w:rsid w:val="00A2642A"/>
    <w:rsid w:val="00A30604"/>
    <w:rsid w:val="00A324E9"/>
    <w:rsid w:val="00A345B6"/>
    <w:rsid w:val="00A40C5A"/>
    <w:rsid w:val="00A50428"/>
    <w:rsid w:val="00A62504"/>
    <w:rsid w:val="00A65576"/>
    <w:rsid w:val="00A737EB"/>
    <w:rsid w:val="00A76B3A"/>
    <w:rsid w:val="00A80C5F"/>
    <w:rsid w:val="00A81EF2"/>
    <w:rsid w:val="00A83465"/>
    <w:rsid w:val="00A856AD"/>
    <w:rsid w:val="00AA1FB7"/>
    <w:rsid w:val="00AB5852"/>
    <w:rsid w:val="00AB58B0"/>
    <w:rsid w:val="00AB776A"/>
    <w:rsid w:val="00AC19D4"/>
    <w:rsid w:val="00AC2B47"/>
    <w:rsid w:val="00AD107C"/>
    <w:rsid w:val="00AF17AE"/>
    <w:rsid w:val="00AF5901"/>
    <w:rsid w:val="00B06106"/>
    <w:rsid w:val="00B1192E"/>
    <w:rsid w:val="00B11DD7"/>
    <w:rsid w:val="00B16875"/>
    <w:rsid w:val="00B50446"/>
    <w:rsid w:val="00B557D2"/>
    <w:rsid w:val="00B60B36"/>
    <w:rsid w:val="00B80240"/>
    <w:rsid w:val="00B90344"/>
    <w:rsid w:val="00B95534"/>
    <w:rsid w:val="00BA5C91"/>
    <w:rsid w:val="00BA7889"/>
    <w:rsid w:val="00BB6914"/>
    <w:rsid w:val="00BC12A1"/>
    <w:rsid w:val="00BD5928"/>
    <w:rsid w:val="00BD5A6A"/>
    <w:rsid w:val="00BF4019"/>
    <w:rsid w:val="00BF56BB"/>
    <w:rsid w:val="00C004B4"/>
    <w:rsid w:val="00C025C9"/>
    <w:rsid w:val="00C17073"/>
    <w:rsid w:val="00C176A4"/>
    <w:rsid w:val="00C25E84"/>
    <w:rsid w:val="00C273DD"/>
    <w:rsid w:val="00C60519"/>
    <w:rsid w:val="00C62BE0"/>
    <w:rsid w:val="00C65E5C"/>
    <w:rsid w:val="00C66AF1"/>
    <w:rsid w:val="00C7030A"/>
    <w:rsid w:val="00C81959"/>
    <w:rsid w:val="00C84495"/>
    <w:rsid w:val="00C965DF"/>
    <w:rsid w:val="00CB1434"/>
    <w:rsid w:val="00CC11B1"/>
    <w:rsid w:val="00CC28D8"/>
    <w:rsid w:val="00CC2ED0"/>
    <w:rsid w:val="00CC6DC4"/>
    <w:rsid w:val="00CD592E"/>
    <w:rsid w:val="00CE5E1A"/>
    <w:rsid w:val="00D05925"/>
    <w:rsid w:val="00D148E0"/>
    <w:rsid w:val="00D248FC"/>
    <w:rsid w:val="00D27132"/>
    <w:rsid w:val="00D34A5A"/>
    <w:rsid w:val="00D3527A"/>
    <w:rsid w:val="00D42807"/>
    <w:rsid w:val="00D52058"/>
    <w:rsid w:val="00D55BD8"/>
    <w:rsid w:val="00D659D7"/>
    <w:rsid w:val="00D65E45"/>
    <w:rsid w:val="00D663A7"/>
    <w:rsid w:val="00D743BF"/>
    <w:rsid w:val="00D743D5"/>
    <w:rsid w:val="00D7468B"/>
    <w:rsid w:val="00D80DDB"/>
    <w:rsid w:val="00D82062"/>
    <w:rsid w:val="00D82D71"/>
    <w:rsid w:val="00D9110C"/>
    <w:rsid w:val="00D957A0"/>
    <w:rsid w:val="00DA1A76"/>
    <w:rsid w:val="00DB046E"/>
    <w:rsid w:val="00DD3F15"/>
    <w:rsid w:val="00DE16BB"/>
    <w:rsid w:val="00DE47B9"/>
    <w:rsid w:val="00DF3FC3"/>
    <w:rsid w:val="00DF57B4"/>
    <w:rsid w:val="00E03CEE"/>
    <w:rsid w:val="00E050A2"/>
    <w:rsid w:val="00E05986"/>
    <w:rsid w:val="00E1552E"/>
    <w:rsid w:val="00E57C79"/>
    <w:rsid w:val="00E67E5E"/>
    <w:rsid w:val="00E70B83"/>
    <w:rsid w:val="00E70D5A"/>
    <w:rsid w:val="00E96E82"/>
    <w:rsid w:val="00EC3650"/>
    <w:rsid w:val="00EF3F36"/>
    <w:rsid w:val="00F17237"/>
    <w:rsid w:val="00F25339"/>
    <w:rsid w:val="00F3337E"/>
    <w:rsid w:val="00F35922"/>
    <w:rsid w:val="00F4270B"/>
    <w:rsid w:val="00F509E0"/>
    <w:rsid w:val="00F531DC"/>
    <w:rsid w:val="00F56F2D"/>
    <w:rsid w:val="00F76EC9"/>
    <w:rsid w:val="00F828AE"/>
    <w:rsid w:val="00F873BF"/>
    <w:rsid w:val="00F93ACA"/>
    <w:rsid w:val="00FC0702"/>
    <w:rsid w:val="00FC6E19"/>
    <w:rsid w:val="00FE6945"/>
    <w:rsid w:val="00FF25A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55297" fill="f" fillcolor="white" stroke="f">
      <v:fill color="white" on="f"/>
      <v:stroke on="f"/>
      <v:textbox inset="0,0,0,0"/>
    </o:shapedefaults>
    <o:shapelayout v:ext="edit">
      <o:idmap v:ext="edit" data="1"/>
    </o:shapelayout>
  </w:shapeDefaults>
  <w:decimalSymbol w:val="."/>
  <w:listSeparator w:val=","/>
  <w14:docId w14:val="1BF21330"/>
  <w15:chartTrackingRefBased/>
  <w15:docId w15:val="{D526E13F-0FA3-45BA-8F17-BA079E924CF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GB" w:eastAsia="en-GB" w:bidi="ar-SA"/>
      </w:rPr>
    </w:rPrDefault>
    <w:pPrDefault/>
  </w:docDefaults>
  <w:latentStyles w:defLockedState="0" w:defUIPriority="99" w:defSemiHidden="0" w:defUnhideWhenUsed="0" w:defQFormat="0" w:count="375">
    <w:lsdException w:name="Normal" w:uiPriority="0"/>
    <w:lsdException w:name="heading 1" w:uiPriority="9"/>
    <w:lsdException w:name="heading 2" w:uiPriority="9"/>
    <w:lsdException w:name="heading 3" w:uiPriority="9"/>
    <w:lsdException w:name="heading 4" w:uiPriority="9"/>
    <w:lsdException w:name="heading 5" w:uiPriority="9"/>
    <w:lsdException w:name="heading 6" w:uiPriority="9"/>
    <w:lsdException w:name="heading 7" w:uiPriority="9"/>
    <w:lsdException w:name="heading 8" w:uiPriority="9"/>
    <w:lsdException w:name="heading 9" w:uiPriority="9"/>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rsid w:val="00E03CEE"/>
    <w:rPr>
      <w:sz w:val="24"/>
      <w:szCs w:val="24"/>
      <w:lang w:val="en-US" w:eastAsia="en-US"/>
    </w:rPr>
  </w:style>
  <w:style w:type="paragraph" w:styleId="Heading1">
    <w:name w:val="heading 1"/>
    <w:basedOn w:val="Normal"/>
    <w:next w:val="Normal"/>
    <w:pPr>
      <w:keepNext/>
      <w:jc w:val="both"/>
      <w:outlineLvl w:val="0"/>
    </w:pPr>
    <w:rPr>
      <w:b/>
      <w:bCs/>
      <w:sz w:val="26"/>
    </w:rPr>
  </w:style>
  <w:style w:type="paragraph" w:styleId="Heading2">
    <w:name w:val="heading 2"/>
    <w:basedOn w:val="Normal"/>
    <w:next w:val="Normal"/>
    <w:pPr>
      <w:keepNext/>
      <w:spacing w:before="240" w:after="60"/>
      <w:outlineLvl w:val="1"/>
    </w:pPr>
    <w:rPr>
      <w:rFonts w:ascii="Cambria" w:hAnsi="Cambria"/>
      <w:b/>
      <w:bCs/>
      <w:i/>
      <w:iCs/>
      <w:sz w:val="28"/>
      <w:szCs w:val="28"/>
    </w:rPr>
  </w:style>
  <w:style w:type="paragraph" w:styleId="Heading3">
    <w:name w:val="heading 3"/>
    <w:basedOn w:val="Normal"/>
    <w:next w:val="Normal"/>
    <w:pPr>
      <w:keepNext/>
      <w:spacing w:before="240" w:after="60"/>
      <w:outlineLvl w:val="2"/>
    </w:pPr>
    <w:rPr>
      <w:rFonts w:ascii="Arial" w:hAnsi="Arial" w:cs="Arial"/>
      <w:b/>
      <w:bCs/>
      <w:sz w:val="26"/>
      <w:szCs w:val="26"/>
    </w:rPr>
  </w:style>
  <w:style w:type="paragraph" w:styleId="Heading4">
    <w:name w:val="heading 4"/>
    <w:basedOn w:val="Normal"/>
    <w:next w:val="Normal"/>
    <w:pPr>
      <w:keepNext/>
      <w:spacing w:before="240" w:after="60"/>
      <w:outlineLvl w:val="3"/>
    </w:pPr>
    <w:rPr>
      <w:b/>
      <w:bCs/>
      <w:sz w:val="28"/>
      <w:szCs w:val="28"/>
    </w:rPr>
  </w:style>
  <w:style w:type="paragraph" w:styleId="Heading5">
    <w:name w:val="heading 5"/>
    <w:basedOn w:val="Normal"/>
    <w:next w:val="Normal"/>
    <w:pPr>
      <w:spacing w:before="240" w:after="60"/>
      <w:outlineLvl w:val="4"/>
    </w:pPr>
    <w:rPr>
      <w:b/>
      <w:bCs/>
      <w:i/>
      <w:iCs/>
      <w:sz w:val="26"/>
      <w:szCs w:val="26"/>
    </w:rPr>
  </w:style>
  <w:style w:type="paragraph" w:styleId="Heading6">
    <w:name w:val="heading 6"/>
    <w:basedOn w:val="Normal"/>
    <w:next w:val="Normal"/>
    <w:pPr>
      <w:spacing w:before="240" w:after="60"/>
      <w:outlineLvl w:val="5"/>
    </w:pPr>
    <w:rPr>
      <w:b/>
      <w:bCs/>
      <w:sz w:val="22"/>
      <w:szCs w:val="22"/>
    </w:rPr>
  </w:style>
  <w:style w:type="paragraph" w:styleId="Heading7">
    <w:name w:val="heading 7"/>
    <w:basedOn w:val="Normal"/>
    <w:next w:val="Normal"/>
    <w:pPr>
      <w:spacing w:before="240" w:after="60"/>
      <w:outlineLvl w:val="6"/>
    </w:pPr>
  </w:style>
  <w:style w:type="paragraph" w:styleId="Heading8">
    <w:name w:val="heading 8"/>
    <w:basedOn w:val="Normal"/>
    <w:next w:val="Normal"/>
    <w:pPr>
      <w:spacing w:before="240" w:after="60"/>
      <w:outlineLvl w:val="7"/>
    </w:pPr>
    <w:rPr>
      <w:i/>
      <w:iCs/>
    </w:rPr>
  </w:style>
  <w:style w:type="paragraph" w:styleId="Heading9">
    <w:name w:val="heading 9"/>
    <w:basedOn w:val="Normal"/>
    <w:next w:val="Normal"/>
    <w:pPr>
      <w:spacing w:before="240" w:after="60"/>
      <w:outlineLvl w:val="8"/>
    </w:pPr>
    <w:rPr>
      <w:rFonts w:ascii="Arial" w:hAnsi="Arial" w:cs="Arial"/>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ElsAbstractHead">
    <w:name w:val="Els_AbstractHead"/>
    <w:qFormat/>
    <w:rPr>
      <w:smallCaps/>
      <w:spacing w:val="24"/>
      <w:lang w:val="en-US" w:eastAsia="en-US"/>
    </w:rPr>
  </w:style>
  <w:style w:type="paragraph" w:customStyle="1" w:styleId="ElsAbstractText">
    <w:name w:val="Els_AbstractText"/>
    <w:qFormat/>
    <w:pPr>
      <w:spacing w:after="80" w:line="200" w:lineRule="exact"/>
      <w:jc w:val="both"/>
    </w:pPr>
    <w:rPr>
      <w:sz w:val="17"/>
      <w:lang w:val="en" w:eastAsia="en-US"/>
    </w:rPr>
  </w:style>
  <w:style w:type="paragraph" w:customStyle="1" w:styleId="ElsAffiliation">
    <w:name w:val="Els_Affiliation"/>
    <w:qFormat/>
    <w:pPr>
      <w:spacing w:line="200" w:lineRule="exact"/>
    </w:pPr>
    <w:rPr>
      <w:i/>
      <w:sz w:val="16"/>
      <w:lang w:val="en-US" w:eastAsia="en-US"/>
    </w:rPr>
  </w:style>
  <w:style w:type="paragraph" w:customStyle="1" w:styleId="ElsArticlehistory">
    <w:name w:val="Els_Articlehistory"/>
    <w:qFormat/>
    <w:pPr>
      <w:spacing w:line="200" w:lineRule="exact"/>
    </w:pPr>
    <w:rPr>
      <w:i/>
      <w:sz w:val="16"/>
      <w:lang w:val="en-US" w:eastAsia="en-US"/>
    </w:rPr>
  </w:style>
  <w:style w:type="paragraph" w:customStyle="1" w:styleId="ElsArticleinfoHead">
    <w:name w:val="Els_ArticleinfoHead"/>
    <w:qFormat/>
    <w:rPr>
      <w:smallCaps/>
      <w:spacing w:val="24"/>
      <w:lang w:val="en-US" w:eastAsia="en-US"/>
    </w:rPr>
  </w:style>
  <w:style w:type="paragraph" w:customStyle="1" w:styleId="ElsArticleTitle">
    <w:name w:val="Els_ArticleTitle"/>
    <w:next w:val="ElsAuthor"/>
    <w:qFormat/>
    <w:pPr>
      <w:spacing w:before="360" w:after="240" w:line="350" w:lineRule="exact"/>
    </w:pPr>
    <w:rPr>
      <w:sz w:val="30"/>
      <w:lang w:val="en-US" w:eastAsia="en-US"/>
    </w:rPr>
  </w:style>
  <w:style w:type="paragraph" w:customStyle="1" w:styleId="ElsAuthor">
    <w:name w:val="Els_Author"/>
    <w:next w:val="ElsAffiliation"/>
    <w:qFormat/>
    <w:pPr>
      <w:spacing w:after="160" w:line="290" w:lineRule="exact"/>
    </w:pPr>
    <w:rPr>
      <w:sz w:val="24"/>
      <w:lang w:val="en-US" w:eastAsia="en-US"/>
    </w:rPr>
  </w:style>
  <w:style w:type="paragraph" w:customStyle="1" w:styleId="ElsCorrespondingAuthor">
    <w:name w:val="Els_CorrespondingAuthor"/>
    <w:next w:val="ElsFootnote"/>
    <w:qFormat/>
    <w:pPr>
      <w:spacing w:before="120" w:line="200" w:lineRule="exact"/>
    </w:pPr>
    <w:rPr>
      <w:sz w:val="18"/>
      <w:lang w:val="en-US" w:eastAsia="en-US"/>
    </w:rPr>
  </w:style>
  <w:style w:type="paragraph" w:customStyle="1" w:styleId="ElsDocumenttitle">
    <w:name w:val="Els_Document title"/>
    <w:next w:val="ElsArticleTitle"/>
    <w:autoRedefine/>
    <w:qFormat/>
    <w:pPr>
      <w:spacing w:after="120"/>
    </w:pPr>
    <w:rPr>
      <w:b/>
      <w:kern w:val="28"/>
      <w:sz w:val="26"/>
      <w:lang w:eastAsia="en-US"/>
    </w:rPr>
  </w:style>
  <w:style w:type="paragraph" w:customStyle="1" w:styleId="ElsDocumentHeading">
    <w:name w:val="Els_DocumentHeading"/>
    <w:next w:val="Normal"/>
    <w:qFormat/>
    <w:pPr>
      <w:spacing w:before="190" w:after="190" w:line="210" w:lineRule="exact"/>
    </w:pPr>
    <w:rPr>
      <w:sz w:val="19"/>
      <w:lang w:val="en-US" w:eastAsia="en-US"/>
    </w:rPr>
  </w:style>
  <w:style w:type="paragraph" w:customStyle="1" w:styleId="ElsFootnote">
    <w:name w:val="Els_Footnote"/>
    <w:qFormat/>
    <w:pPr>
      <w:spacing w:before="120" w:line="200" w:lineRule="exact"/>
    </w:pPr>
    <w:rPr>
      <w:sz w:val="18"/>
      <w:lang w:val="en-US" w:eastAsia="en-US"/>
    </w:rPr>
  </w:style>
  <w:style w:type="paragraph" w:customStyle="1" w:styleId="ElsKeyword">
    <w:name w:val="Els_Keyword"/>
    <w:qFormat/>
    <w:pPr>
      <w:spacing w:line="200" w:lineRule="exact"/>
    </w:pPr>
    <w:rPr>
      <w:sz w:val="16"/>
      <w:lang w:val="en-US" w:eastAsia="en-US"/>
    </w:rPr>
  </w:style>
  <w:style w:type="paragraph" w:customStyle="1" w:styleId="ElsKeywordHead">
    <w:name w:val="Els_KeywordHead"/>
    <w:next w:val="ElsKeyword"/>
    <w:qFormat/>
    <w:pPr>
      <w:spacing w:line="200" w:lineRule="exact"/>
    </w:pPr>
    <w:rPr>
      <w:i/>
      <w:noProof/>
      <w:sz w:val="16"/>
      <w:lang w:val="en-US" w:eastAsia="en-US"/>
    </w:rPr>
  </w:style>
  <w:style w:type="paragraph" w:customStyle="1" w:styleId="ElsParagraph">
    <w:name w:val="Els_Paragraph"/>
    <w:qFormat/>
    <w:pPr>
      <w:spacing w:after="120" w:line="220" w:lineRule="exact"/>
      <w:ind w:firstLine="230"/>
      <w:jc w:val="both"/>
    </w:pPr>
    <w:rPr>
      <w:sz w:val="19"/>
      <w:lang w:val="en-US" w:eastAsia="en-US"/>
    </w:rPr>
  </w:style>
  <w:style w:type="paragraph" w:customStyle="1" w:styleId="ElsHeading1">
    <w:name w:val="Els_Heading1"/>
    <w:next w:val="ElsParagraph"/>
    <w:qFormat/>
    <w:pPr>
      <w:keepNext/>
      <w:numPr>
        <w:numId w:val="42"/>
      </w:numPr>
      <w:spacing w:before="160" w:after="160" w:line="210" w:lineRule="exact"/>
    </w:pPr>
    <w:rPr>
      <w:b/>
      <w:bCs/>
      <w:sz w:val="19"/>
      <w:lang w:val="en-US" w:eastAsia="en-US"/>
    </w:rPr>
  </w:style>
  <w:style w:type="paragraph" w:customStyle="1" w:styleId="ElsHeading2">
    <w:name w:val="Els_Heading2"/>
    <w:next w:val="ElsParagraph"/>
    <w:qFormat/>
    <w:pPr>
      <w:numPr>
        <w:ilvl w:val="1"/>
        <w:numId w:val="42"/>
      </w:numPr>
      <w:spacing w:after="160" w:line="210" w:lineRule="exact"/>
    </w:pPr>
    <w:rPr>
      <w:bCs/>
      <w:i/>
      <w:sz w:val="19"/>
      <w:lang w:val="en-US" w:eastAsia="en-US"/>
    </w:rPr>
  </w:style>
  <w:style w:type="paragraph" w:customStyle="1" w:styleId="ElsHeading3">
    <w:name w:val="Els_Heading3"/>
    <w:next w:val="ElsParagraph"/>
    <w:qFormat/>
    <w:pPr>
      <w:numPr>
        <w:ilvl w:val="2"/>
        <w:numId w:val="42"/>
      </w:numPr>
      <w:spacing w:after="40" w:line="210" w:lineRule="exact"/>
      <w:outlineLvl w:val="0"/>
    </w:pPr>
    <w:rPr>
      <w:i/>
      <w:spacing w:val="20"/>
      <w:sz w:val="19"/>
      <w:lang w:val="en-US" w:eastAsia="en-US"/>
    </w:rPr>
  </w:style>
  <w:style w:type="paragraph" w:customStyle="1" w:styleId="ElsHeading4">
    <w:name w:val="Els_Heading4"/>
    <w:next w:val="ElsParagraph"/>
    <w:qFormat/>
    <w:pPr>
      <w:numPr>
        <w:ilvl w:val="3"/>
        <w:numId w:val="42"/>
      </w:numPr>
      <w:spacing w:after="160" w:line="210" w:lineRule="exact"/>
      <w:outlineLvl w:val="0"/>
    </w:pPr>
    <w:rPr>
      <w:i/>
      <w:spacing w:val="20"/>
      <w:sz w:val="19"/>
      <w:lang w:val="en-US" w:eastAsia="en-US"/>
    </w:rPr>
  </w:style>
  <w:style w:type="paragraph" w:customStyle="1" w:styleId="ElsHeading5">
    <w:name w:val="Els_Heading5"/>
    <w:next w:val="ElsParagraph"/>
    <w:qFormat/>
    <w:pPr>
      <w:numPr>
        <w:ilvl w:val="4"/>
        <w:numId w:val="42"/>
      </w:numPr>
      <w:spacing w:after="160" w:line="210" w:lineRule="exact"/>
      <w:outlineLvl w:val="0"/>
    </w:pPr>
    <w:rPr>
      <w:i/>
      <w:spacing w:val="20"/>
      <w:sz w:val="19"/>
      <w:lang w:val="en-US" w:eastAsia="en-US"/>
    </w:rPr>
  </w:style>
  <w:style w:type="paragraph" w:customStyle="1" w:styleId="ElsAcknowledgementsHeading">
    <w:name w:val="Els_AcknowledgementsHeading"/>
    <w:next w:val="ElsParagraph"/>
    <w:qFormat/>
    <w:pPr>
      <w:spacing w:before="220" w:after="220" w:line="220" w:lineRule="exact"/>
    </w:pPr>
    <w:rPr>
      <w:b/>
      <w:lang w:val="en-US" w:eastAsia="en-US"/>
    </w:rPr>
  </w:style>
  <w:style w:type="paragraph" w:customStyle="1" w:styleId="ElsReferencesHeading">
    <w:name w:val="Els_ReferencesHeading"/>
    <w:next w:val="ElsReferences"/>
    <w:qFormat/>
    <w:pPr>
      <w:keepNext/>
      <w:spacing w:before="240" w:after="240"/>
    </w:pPr>
    <w:rPr>
      <w:b/>
      <w:sz w:val="19"/>
      <w:lang w:val="en-US" w:eastAsia="en-US"/>
    </w:rPr>
  </w:style>
  <w:style w:type="paragraph" w:customStyle="1" w:styleId="ElsReferences">
    <w:name w:val="Els_References"/>
    <w:qFormat/>
    <w:pPr>
      <w:numPr>
        <w:numId w:val="41"/>
      </w:numPr>
    </w:pPr>
    <w:rPr>
      <w:sz w:val="16"/>
      <w:lang w:val="en-US" w:eastAsia="en-US"/>
    </w:rPr>
  </w:style>
  <w:style w:type="paragraph" w:customStyle="1" w:styleId="ElsFigureCaption">
    <w:name w:val="Els_FigureCaption"/>
    <w:qFormat/>
    <w:pPr>
      <w:spacing w:line="220" w:lineRule="exact"/>
      <w:ind w:firstLine="230"/>
    </w:pPr>
    <w:rPr>
      <w:sz w:val="16"/>
      <w:lang w:val="en-US" w:eastAsia="en-US"/>
    </w:rPr>
  </w:style>
  <w:style w:type="paragraph" w:customStyle="1" w:styleId="ElsTableCaption">
    <w:name w:val="Els_TableCaption"/>
    <w:next w:val="ElsParagraph"/>
    <w:qFormat/>
    <w:pPr>
      <w:keepNext/>
    </w:pPr>
    <w:rPr>
      <w:lang w:val="en-US" w:eastAsia="en-US"/>
    </w:rPr>
  </w:style>
  <w:style w:type="paragraph" w:customStyle="1" w:styleId="ElsLegend">
    <w:name w:val="Els_Legend"/>
    <w:qFormat/>
    <w:pPr>
      <w:spacing w:after="120" w:line="180" w:lineRule="exact"/>
    </w:pPr>
    <w:rPr>
      <w:sz w:val="16"/>
      <w:lang w:val="en-US" w:eastAsia="en-US"/>
    </w:rPr>
  </w:style>
  <w:style w:type="paragraph" w:customStyle="1" w:styleId="ElsDisplayMath">
    <w:name w:val="Els_DisplayMath"/>
    <w:basedOn w:val="ElsParagraph"/>
    <w:next w:val="ElsParagraph"/>
    <w:qFormat/>
    <w:pPr>
      <w:spacing w:before="100" w:beforeAutospacing="1" w:after="100" w:afterAutospacing="1"/>
    </w:pPr>
  </w:style>
  <w:style w:type="paragraph" w:customStyle="1" w:styleId="ElsGraphAbs">
    <w:name w:val="Els_GraphAbs"/>
    <w:basedOn w:val="Heading1"/>
    <w:qFormat/>
  </w:style>
  <w:style w:type="paragraph" w:customStyle="1" w:styleId="ElsChemEquation">
    <w:name w:val="Els_ChemEquation"/>
    <w:next w:val="ElsParagraph"/>
    <w:qFormat/>
    <w:rPr>
      <w:lang w:val="en-US" w:eastAsia="en-US"/>
    </w:rPr>
  </w:style>
  <w:style w:type="paragraph" w:customStyle="1" w:styleId="ElsTableFootnote">
    <w:name w:val="Els_TableFootnote"/>
    <w:basedOn w:val="ElsParagraph"/>
    <w:qFormat/>
    <w:rPr>
      <w:color w:val="0000FF"/>
    </w:rPr>
  </w:style>
  <w:style w:type="paragraph" w:customStyle="1" w:styleId="ElsSchemeCaption">
    <w:name w:val="Els_SchemeCaption"/>
    <w:basedOn w:val="ElsChemEquation"/>
    <w:qFormat/>
  </w:style>
  <w:style w:type="paragraph" w:customStyle="1" w:styleId="ElsGraphText">
    <w:name w:val="Els_GraphText"/>
    <w:basedOn w:val="Normal"/>
    <w:qFormat/>
    <w:pPr>
      <w:spacing w:after="440" w:line="220" w:lineRule="exact"/>
    </w:pPr>
    <w:rPr>
      <w:sz w:val="20"/>
      <w:szCs w:val="20"/>
    </w:rPr>
  </w:style>
  <w:style w:type="paragraph" w:customStyle="1" w:styleId="ElsGraphTitle">
    <w:name w:val="Els_GraphTitle"/>
    <w:basedOn w:val="Normal"/>
    <w:qFormat/>
    <w:pPr>
      <w:keepNext/>
      <w:spacing w:after="60"/>
      <w:ind w:right="5280"/>
    </w:pPr>
    <w:rPr>
      <w:b/>
      <w:szCs w:val="20"/>
    </w:rPr>
  </w:style>
  <w:style w:type="paragraph" w:customStyle="1" w:styleId="ElsGraphAuthor">
    <w:name w:val="Els_GraphAuthor"/>
    <w:basedOn w:val="Normal"/>
    <w:qFormat/>
    <w:pPr>
      <w:keepNext/>
    </w:pPr>
    <w:rPr>
      <w:sz w:val="22"/>
      <w:szCs w:val="20"/>
    </w:rPr>
  </w:style>
  <w:style w:type="paragraph" w:customStyle="1" w:styleId="ElsGraphAddress">
    <w:name w:val="Els_GraphAddress"/>
    <w:basedOn w:val="Normal"/>
    <w:qFormat/>
    <w:rPr>
      <w:i/>
      <w:sz w:val="22"/>
      <w:szCs w:val="20"/>
    </w:rPr>
  </w:style>
  <w:style w:type="paragraph" w:customStyle="1" w:styleId="ElsGraphPlaceholder">
    <w:name w:val="Els_GraphPlaceholder"/>
    <w:basedOn w:val="Normal"/>
    <w:qFormat/>
    <w:pPr>
      <w:jc w:val="center"/>
    </w:pPr>
    <w:rPr>
      <w:sz w:val="20"/>
      <w:szCs w:val="20"/>
    </w:rPr>
  </w:style>
  <w:style w:type="character" w:styleId="Strong">
    <w:name w:val="Strong"/>
    <w:basedOn w:val="DefaultParagraphFont"/>
    <w:uiPriority w:val="22"/>
    <w:qFormat/>
    <w:rsid w:val="003D636F"/>
    <w:rPr>
      <w:b/>
      <w:bCs/>
    </w:rPr>
  </w:style>
  <w:style w:type="character" w:styleId="CommentReference">
    <w:name w:val="annotation reference"/>
    <w:basedOn w:val="DefaultParagraphFont"/>
    <w:uiPriority w:val="99"/>
    <w:semiHidden/>
    <w:unhideWhenUsed/>
    <w:rsid w:val="003D636F"/>
    <w:rPr>
      <w:sz w:val="16"/>
      <w:szCs w:val="16"/>
    </w:rPr>
  </w:style>
  <w:style w:type="paragraph" w:styleId="CommentText">
    <w:name w:val="annotation text"/>
    <w:basedOn w:val="Normal"/>
    <w:link w:val="CommentTextChar"/>
    <w:uiPriority w:val="99"/>
    <w:semiHidden/>
    <w:unhideWhenUsed/>
    <w:rsid w:val="003D636F"/>
    <w:pPr>
      <w:spacing w:after="200"/>
    </w:pPr>
    <w:rPr>
      <w:rFonts w:asciiTheme="minorHAnsi" w:eastAsiaTheme="minorHAnsi" w:hAnsiTheme="minorHAnsi" w:cstheme="minorBidi"/>
      <w:sz w:val="20"/>
      <w:szCs w:val="20"/>
      <w:lang w:val="en-GB"/>
    </w:rPr>
  </w:style>
  <w:style w:type="character" w:customStyle="1" w:styleId="CommentTextChar">
    <w:name w:val="Comment Text Char"/>
    <w:basedOn w:val="DefaultParagraphFont"/>
    <w:link w:val="CommentText"/>
    <w:uiPriority w:val="99"/>
    <w:semiHidden/>
    <w:rsid w:val="003D636F"/>
    <w:rPr>
      <w:rFonts w:asciiTheme="minorHAnsi" w:eastAsiaTheme="minorHAnsi" w:hAnsiTheme="minorHAnsi" w:cstheme="minorBidi"/>
      <w:lang w:eastAsia="en-US"/>
    </w:rPr>
  </w:style>
  <w:style w:type="paragraph" w:styleId="BalloonText">
    <w:name w:val="Balloon Text"/>
    <w:basedOn w:val="Normal"/>
    <w:link w:val="BalloonTextChar"/>
    <w:uiPriority w:val="99"/>
    <w:semiHidden/>
    <w:unhideWhenUsed/>
    <w:rsid w:val="003D636F"/>
    <w:rPr>
      <w:rFonts w:ascii="Segoe UI" w:hAnsi="Segoe UI" w:cs="Segoe UI"/>
      <w:sz w:val="18"/>
      <w:szCs w:val="18"/>
    </w:rPr>
  </w:style>
  <w:style w:type="character" w:customStyle="1" w:styleId="BalloonTextChar">
    <w:name w:val="Balloon Text Char"/>
    <w:basedOn w:val="DefaultParagraphFont"/>
    <w:link w:val="BalloonText"/>
    <w:uiPriority w:val="99"/>
    <w:semiHidden/>
    <w:rsid w:val="003D636F"/>
    <w:rPr>
      <w:rFonts w:ascii="Segoe UI" w:hAnsi="Segoe UI" w:cs="Segoe UI"/>
      <w:sz w:val="18"/>
      <w:szCs w:val="18"/>
      <w:lang w:val="en-US" w:eastAsia="en-US"/>
    </w:rPr>
  </w:style>
  <w:style w:type="paragraph" w:styleId="NoSpacing">
    <w:name w:val="No Spacing"/>
    <w:uiPriority w:val="1"/>
    <w:rsid w:val="0039430E"/>
    <w:rPr>
      <w:sz w:val="24"/>
      <w:szCs w:val="24"/>
      <w:lang w:val="en-US" w:eastAsia="en-US"/>
    </w:rPr>
  </w:style>
  <w:style w:type="paragraph" w:styleId="ListParagraph">
    <w:name w:val="List Paragraph"/>
    <w:basedOn w:val="Normal"/>
    <w:uiPriority w:val="34"/>
    <w:rsid w:val="0039430E"/>
    <w:pPr>
      <w:ind w:left="720"/>
      <w:contextualSpacing/>
    </w:pPr>
  </w:style>
  <w:style w:type="paragraph" w:styleId="CommentSubject">
    <w:name w:val="annotation subject"/>
    <w:basedOn w:val="CommentText"/>
    <w:next w:val="CommentText"/>
    <w:link w:val="CommentSubjectChar"/>
    <w:uiPriority w:val="99"/>
    <w:semiHidden/>
    <w:unhideWhenUsed/>
    <w:rsid w:val="00864295"/>
    <w:pPr>
      <w:spacing w:after="0"/>
    </w:pPr>
    <w:rPr>
      <w:rFonts w:ascii="Times New Roman" w:eastAsia="Times New Roman" w:hAnsi="Times New Roman" w:cs="Times New Roman"/>
      <w:b/>
      <w:bCs/>
      <w:lang w:val="en-US"/>
    </w:rPr>
  </w:style>
  <w:style w:type="character" w:customStyle="1" w:styleId="CommentSubjectChar">
    <w:name w:val="Comment Subject Char"/>
    <w:basedOn w:val="CommentTextChar"/>
    <w:link w:val="CommentSubject"/>
    <w:uiPriority w:val="99"/>
    <w:semiHidden/>
    <w:rsid w:val="00864295"/>
    <w:rPr>
      <w:rFonts w:asciiTheme="minorHAnsi" w:eastAsiaTheme="minorHAnsi" w:hAnsiTheme="minorHAnsi" w:cstheme="minorBidi"/>
      <w:b/>
      <w:bCs/>
      <w:lang w:val="en-US" w:eastAsia="en-US"/>
    </w:rPr>
  </w:style>
  <w:style w:type="table" w:styleId="TableGrid">
    <w:name w:val="Table Grid"/>
    <w:basedOn w:val="TableNormal"/>
    <w:uiPriority w:val="59"/>
    <w:rsid w:val="00F873B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Caption">
    <w:name w:val="caption"/>
    <w:basedOn w:val="Normal"/>
    <w:next w:val="Normal"/>
    <w:uiPriority w:val="35"/>
    <w:unhideWhenUsed/>
    <w:qFormat/>
    <w:rsid w:val="005A03A0"/>
    <w:pPr>
      <w:spacing w:after="200"/>
    </w:pPr>
    <w:rPr>
      <w:i/>
      <w:iCs/>
      <w:color w:val="44546A" w:themeColor="text2"/>
      <w:sz w:val="18"/>
      <w:szCs w:val="18"/>
    </w:rPr>
  </w:style>
  <w:style w:type="paragraph" w:styleId="NormalWeb">
    <w:name w:val="Normal (Web)"/>
    <w:basedOn w:val="Normal"/>
    <w:uiPriority w:val="99"/>
    <w:semiHidden/>
    <w:unhideWhenUsed/>
    <w:rsid w:val="009C5178"/>
    <w:pPr>
      <w:spacing w:before="100" w:beforeAutospacing="1" w:after="100" w:afterAutospacing="1"/>
    </w:pPr>
    <w:rPr>
      <w:rFonts w:eastAsiaTheme="minorEastAsia"/>
      <w:lang w:val="en-GB" w:eastAsia="en-GB"/>
    </w:rPr>
  </w:style>
  <w:style w:type="character" w:styleId="PlaceholderText">
    <w:name w:val="Placeholder Text"/>
    <w:basedOn w:val="DefaultParagraphFont"/>
    <w:uiPriority w:val="99"/>
    <w:semiHidden/>
    <w:rsid w:val="00A2642A"/>
    <w:rPr>
      <w:color w:val="808080"/>
    </w:rPr>
  </w:style>
  <w:style w:type="paragraph" w:styleId="FootnoteText">
    <w:name w:val="footnote text"/>
    <w:basedOn w:val="Normal"/>
    <w:link w:val="FootnoteTextChar"/>
    <w:uiPriority w:val="99"/>
    <w:semiHidden/>
    <w:unhideWhenUsed/>
    <w:rsid w:val="00932E11"/>
    <w:rPr>
      <w:sz w:val="20"/>
      <w:szCs w:val="20"/>
    </w:rPr>
  </w:style>
  <w:style w:type="character" w:customStyle="1" w:styleId="FootnoteTextChar">
    <w:name w:val="Footnote Text Char"/>
    <w:basedOn w:val="DefaultParagraphFont"/>
    <w:link w:val="FootnoteText"/>
    <w:uiPriority w:val="99"/>
    <w:semiHidden/>
    <w:rsid w:val="00932E11"/>
    <w:rPr>
      <w:lang w:val="en-US" w:eastAsia="en-US"/>
    </w:rPr>
  </w:style>
  <w:style w:type="character" w:styleId="FootnoteReference">
    <w:name w:val="footnote reference"/>
    <w:basedOn w:val="DefaultParagraphFont"/>
    <w:uiPriority w:val="99"/>
    <w:semiHidden/>
    <w:unhideWhenUsed/>
    <w:rsid w:val="00932E11"/>
    <w:rPr>
      <w:vertAlign w:val="superscript"/>
    </w:rPr>
  </w:style>
  <w:style w:type="character" w:customStyle="1" w:styleId="normaltextrun">
    <w:name w:val="normaltextrun"/>
    <w:basedOn w:val="DefaultParagraphFont"/>
    <w:rsid w:val="00F828AE"/>
  </w:style>
  <w:style w:type="character" w:customStyle="1" w:styleId="spellingerror">
    <w:name w:val="spellingerror"/>
    <w:basedOn w:val="DefaultParagraphFont"/>
    <w:rsid w:val="00F828AE"/>
  </w:style>
  <w:style w:type="character" w:styleId="Hyperlink">
    <w:name w:val="Hyperlink"/>
    <w:basedOn w:val="DefaultParagraphFont"/>
    <w:uiPriority w:val="99"/>
    <w:semiHidden/>
    <w:unhideWhenUsed/>
    <w:rsid w:val="0036380E"/>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850727514">
      <w:bodyDiv w:val="1"/>
      <w:marLeft w:val="0"/>
      <w:marRight w:val="0"/>
      <w:marTop w:val="0"/>
      <w:marBottom w:val="0"/>
      <w:divBdr>
        <w:top w:val="none" w:sz="0" w:space="0" w:color="auto"/>
        <w:left w:val="none" w:sz="0" w:space="0" w:color="auto"/>
        <w:bottom w:val="none" w:sz="0" w:space="0" w:color="auto"/>
        <w:right w:val="none" w:sz="0" w:space="0" w:color="auto"/>
      </w:divBdr>
    </w:div>
    <w:div w:id="207867195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header" Target="header1.xml"/><Relationship Id="rId18" Type="http://schemas.openxmlformats.org/officeDocument/2006/relationships/image" Target="media/image5.emf"/><Relationship Id="rId26" Type="http://schemas.openxmlformats.org/officeDocument/2006/relationships/image" Target="media/image10.emf"/><Relationship Id="rId39" Type="http://schemas.openxmlformats.org/officeDocument/2006/relationships/control" Target="activeX/activeX1.xml"/><Relationship Id="rId3" Type="http://schemas.openxmlformats.org/officeDocument/2006/relationships/styles" Target="styles.xml"/><Relationship Id="rId21" Type="http://schemas.openxmlformats.org/officeDocument/2006/relationships/oleObject" Target="embeddings/oleObject6.bin"/><Relationship Id="rId34" Type="http://schemas.openxmlformats.org/officeDocument/2006/relationships/image" Target="media/image14.emf"/><Relationship Id="rId7" Type="http://schemas.openxmlformats.org/officeDocument/2006/relationships/endnotes" Target="endnotes.xml"/><Relationship Id="rId12" Type="http://schemas.openxmlformats.org/officeDocument/2006/relationships/image" Target="media/image2.png"/><Relationship Id="rId17" Type="http://schemas.openxmlformats.org/officeDocument/2006/relationships/oleObject" Target="embeddings/oleObject4.bin"/><Relationship Id="rId25" Type="http://schemas.openxmlformats.org/officeDocument/2006/relationships/image" Target="media/image9.emf"/><Relationship Id="rId33" Type="http://schemas.openxmlformats.org/officeDocument/2006/relationships/oleObject" Target="embeddings/oleObject11.bin"/><Relationship Id="rId38" Type="http://schemas.openxmlformats.org/officeDocument/2006/relationships/image" Target="media/image15.wmf"/><Relationship Id="rId2" Type="http://schemas.openxmlformats.org/officeDocument/2006/relationships/numbering" Target="numbering.xml"/><Relationship Id="rId16" Type="http://schemas.openxmlformats.org/officeDocument/2006/relationships/image" Target="media/image4.emf"/><Relationship Id="rId20" Type="http://schemas.openxmlformats.org/officeDocument/2006/relationships/image" Target="media/image6.emf"/><Relationship Id="rId29" Type="http://schemas.openxmlformats.org/officeDocument/2006/relationships/oleObject" Target="embeddings/oleObject9.bin"/><Relationship Id="rId41"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oleObject" Target="embeddings/oleObject2.bin"/><Relationship Id="rId24" Type="http://schemas.openxmlformats.org/officeDocument/2006/relationships/oleObject" Target="embeddings/oleObject7.bin"/><Relationship Id="rId32" Type="http://schemas.openxmlformats.org/officeDocument/2006/relationships/image" Target="media/image13.emf"/><Relationship Id="rId37" Type="http://schemas.openxmlformats.org/officeDocument/2006/relationships/header" Target="header2.xml"/><Relationship Id="rId40"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oleObject" Target="embeddings/oleObject3.bin"/><Relationship Id="rId23" Type="http://schemas.openxmlformats.org/officeDocument/2006/relationships/image" Target="media/image8.emf"/><Relationship Id="rId28" Type="http://schemas.openxmlformats.org/officeDocument/2006/relationships/image" Target="media/image11.emf"/><Relationship Id="rId36" Type="http://schemas.openxmlformats.org/officeDocument/2006/relationships/hyperlink" Target="http://www.chemaxon.com/" TargetMode="External"/><Relationship Id="rId10" Type="http://schemas.openxmlformats.org/officeDocument/2006/relationships/image" Target="media/image15.emf"/><Relationship Id="rId19" Type="http://schemas.openxmlformats.org/officeDocument/2006/relationships/oleObject" Target="embeddings/oleObject5.bin"/><Relationship Id="rId31" Type="http://schemas.openxmlformats.org/officeDocument/2006/relationships/oleObject" Target="embeddings/oleObject10.bin"/><Relationship Id="rId4" Type="http://schemas.openxmlformats.org/officeDocument/2006/relationships/settings" Target="settings.xml"/><Relationship Id="rId9" Type="http://schemas.openxmlformats.org/officeDocument/2006/relationships/oleObject" Target="embeddings/oleObject1.bin"/><Relationship Id="rId14" Type="http://schemas.openxmlformats.org/officeDocument/2006/relationships/image" Target="media/image3.emf"/><Relationship Id="rId22" Type="http://schemas.openxmlformats.org/officeDocument/2006/relationships/image" Target="media/image7.jpeg"/><Relationship Id="rId27" Type="http://schemas.openxmlformats.org/officeDocument/2006/relationships/oleObject" Target="embeddings/oleObject8.bin"/><Relationship Id="rId30" Type="http://schemas.openxmlformats.org/officeDocument/2006/relationships/image" Target="media/image12.emf"/><Relationship Id="rId35" Type="http://schemas.openxmlformats.org/officeDocument/2006/relationships/oleObject" Target="embeddings/oleObject12.bin"/></Relationships>
</file>

<file path=word/_rels/settings.xml.rels><?xml version="1.0" encoding="UTF-8" standalone="yes"?>
<Relationships xmlns="http://schemas.openxmlformats.org/package/2006/relationships"><Relationship Id="rId1" Type="http://schemas.openxmlformats.org/officeDocument/2006/relationships/attachedTemplate" Target="file:///C:\Work\Marketing%20Requests\Dijk,%20Ursula%20van\718\718_BioorgMedChem.dot" TargetMode="External"/></Relationships>
</file>

<file path=word/activeX/_rels/activeX1.xml.rels><?xml version="1.0" encoding="UTF-8" standalone="yes"?>
<Relationships xmlns="http://schemas.openxmlformats.org/package/2006/relationships"><Relationship Id="rId1" Type="http://schemas.microsoft.com/office/2006/relationships/activeXControlBinary" Target="activeX1.bin"/></Relationships>
</file>

<file path=word/activeX/activeX1.xml><?xml version="1.0" encoding="utf-8"?>
<ax:ocx xmlns:ax="http://schemas.microsoft.com/office/2006/activeX" xmlns:r="http://schemas.openxmlformats.org/officeDocument/2006/relationships" ax:classid="{D7053240-CE69-11CD-A777-00DD01143C57}"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5580844-1BE2-4725-A1AB-416B08FA97C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718_BioorgMedChem</Template>
  <TotalTime>4</TotalTime>
  <Pages>7</Pages>
  <Words>3081</Words>
  <Characters>92488</Characters>
  <Application>Microsoft Office Word</Application>
  <DocSecurity>0</DocSecurity>
  <Lines>770</Lines>
  <Paragraphs>190</Paragraphs>
  <ScaleCrop>false</ScaleCrop>
  <HeadingPairs>
    <vt:vector size="2" baseType="variant">
      <vt:variant>
        <vt:lpstr>Title</vt:lpstr>
      </vt:variant>
      <vt:variant>
        <vt:i4>1</vt:i4>
      </vt:variant>
    </vt:vector>
  </HeadingPairs>
  <TitlesOfParts>
    <vt:vector size="1" baseType="lpstr">
      <vt:lpstr>Tetrahedron template</vt:lpstr>
    </vt:vector>
  </TitlesOfParts>
  <Company>TnQ</Company>
  <LinksUpToDate>false</LinksUpToDate>
  <CharactersWithSpaces>95379</CharactersWithSpaces>
  <SharedDoc>false</SharedDoc>
  <HLinks>
    <vt:vector size="6" baseType="variant">
      <vt:variant>
        <vt:i4>4194304</vt:i4>
      </vt:variant>
      <vt:variant>
        <vt:i4>16</vt:i4>
      </vt:variant>
      <vt:variant>
        <vt:i4>0</vt:i4>
      </vt:variant>
      <vt:variant>
        <vt:i4>5</vt:i4>
      </vt:variant>
      <vt:variant>
        <vt:lpwstr>http://www.elsevier.com/locate/authorartwork</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Tetrahedron template</dc:title>
  <dc:subject/>
  <dc:creator>Reed Elsevier</dc:creator>
  <cp:keywords/>
  <dc:description/>
  <cp:lastModifiedBy>Andrew North</cp:lastModifiedBy>
  <cp:revision>3</cp:revision>
  <cp:lastPrinted>2018-02-12T15:38:00Z</cp:lastPrinted>
  <dcterms:created xsi:type="dcterms:W3CDTF">2018-05-14T07:57:00Z</dcterms:created>
  <dcterms:modified xsi:type="dcterms:W3CDTF">2018-05-14T07:57:00Z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Recent Style Id 0_1">
    <vt:lpwstr>http://www.zotero.org/styles/american-political-science-association</vt:lpwstr>
  </property>
  <property fmtid="{D5CDD505-2E9C-101B-9397-08002B2CF9AE}" pid="3" name="Mendeley Recent Style Name 0_1">
    <vt:lpwstr>American Political Science Association</vt:lpwstr>
  </property>
  <property fmtid="{D5CDD505-2E9C-101B-9397-08002B2CF9AE}" pid="4" name="Mendeley Recent Style Id 1_1">
    <vt:lpwstr>http://www.zotero.org/styles/american-sociological-association</vt:lpwstr>
  </property>
  <property fmtid="{D5CDD505-2E9C-101B-9397-08002B2CF9AE}" pid="5" name="Mendeley Recent Style Name 1_1">
    <vt:lpwstr>American Sociological Association</vt:lpwstr>
  </property>
  <property fmtid="{D5CDD505-2E9C-101B-9397-08002B2CF9AE}" pid="6" name="Mendeley Recent Style Id 2_1">
    <vt:lpwstr>http://www.zotero.org/styles/bioorganic-and-medicinal-chemistry-letters</vt:lpwstr>
  </property>
  <property fmtid="{D5CDD505-2E9C-101B-9397-08002B2CF9AE}" pid="7" name="Mendeley Recent Style Name 2_1">
    <vt:lpwstr>Bioorganic &amp; Medicinal Chemistry Letters</vt:lpwstr>
  </property>
  <property fmtid="{D5CDD505-2E9C-101B-9397-08002B2CF9AE}" pid="8" name="Mendeley Recent Style Id 3_1">
    <vt:lpwstr>http://www.zotero.org/styles/chicago-author-date</vt:lpwstr>
  </property>
  <property fmtid="{D5CDD505-2E9C-101B-9397-08002B2CF9AE}" pid="9" name="Mendeley Recent Style Name 3_1">
    <vt:lpwstr>Chicago Manual of Style 16th edition (author-date)</vt:lpwstr>
  </property>
  <property fmtid="{D5CDD505-2E9C-101B-9397-08002B2CF9AE}" pid="10" name="Mendeley Recent Style Id 4_1">
    <vt:lpwstr>http://www.zotero.org/styles/harvard1</vt:lpwstr>
  </property>
  <property fmtid="{D5CDD505-2E9C-101B-9397-08002B2CF9AE}" pid="11" name="Mendeley Recent Style Name 4_1">
    <vt:lpwstr>Harvard Reference format 1 (author-date)</vt:lpwstr>
  </property>
  <property fmtid="{D5CDD505-2E9C-101B-9397-08002B2CF9AE}" pid="12" name="Mendeley Recent Style Id 5_1">
    <vt:lpwstr>http://www.zotero.org/styles/ieee</vt:lpwstr>
  </property>
  <property fmtid="{D5CDD505-2E9C-101B-9397-08002B2CF9AE}" pid="13" name="Mendeley Recent Style Name 5_1">
    <vt:lpwstr>IEEE</vt:lpwstr>
  </property>
  <property fmtid="{D5CDD505-2E9C-101B-9397-08002B2CF9AE}" pid="14" name="Mendeley Recent Style Id 6_1">
    <vt:lpwstr>http://www.zotero.org/styles/journal-of-the-american-chemical-society</vt:lpwstr>
  </property>
  <property fmtid="{D5CDD505-2E9C-101B-9397-08002B2CF9AE}" pid="15" name="Mendeley Recent Style Name 6_1">
    <vt:lpwstr>Journal of the American Chemical Society</vt:lpwstr>
  </property>
  <property fmtid="{D5CDD505-2E9C-101B-9397-08002B2CF9AE}" pid="16" name="Mendeley Recent Style Id 7_1">
    <vt:lpwstr>http://www.zotero.org/styles/modern-humanities-research-association</vt:lpwstr>
  </property>
  <property fmtid="{D5CDD505-2E9C-101B-9397-08002B2CF9AE}" pid="17" name="Mendeley Recent Style Name 7_1">
    <vt:lpwstr>Modern Humanities Research Association 3rd edition (note with bibliography)</vt:lpwstr>
  </property>
  <property fmtid="{D5CDD505-2E9C-101B-9397-08002B2CF9AE}" pid="18" name="Mendeley Recent Style Id 8_1">
    <vt:lpwstr>http://www.zotero.org/styles/modern-language-association</vt:lpwstr>
  </property>
  <property fmtid="{D5CDD505-2E9C-101B-9397-08002B2CF9AE}" pid="19" name="Mendeley Recent Style Name 8_1">
    <vt:lpwstr>Modern Language Association 7th edition</vt:lpwstr>
  </property>
  <property fmtid="{D5CDD505-2E9C-101B-9397-08002B2CF9AE}" pid="20" name="Mendeley Recent Style Id 9_1">
    <vt:lpwstr>http://www.zotero.org/styles/nature</vt:lpwstr>
  </property>
  <property fmtid="{D5CDD505-2E9C-101B-9397-08002B2CF9AE}" pid="21" name="Mendeley Recent Style Name 9_1">
    <vt:lpwstr>Nature</vt:lpwstr>
  </property>
  <property fmtid="{D5CDD505-2E9C-101B-9397-08002B2CF9AE}" pid="22" name="Mendeley Document_1">
    <vt:lpwstr>True</vt:lpwstr>
  </property>
  <property fmtid="{D5CDD505-2E9C-101B-9397-08002B2CF9AE}" pid="23" name="Mendeley Citation Style_1">
    <vt:lpwstr>http://www.zotero.org/styles/bioorganic-and-medicinal-chemistry-letters</vt:lpwstr>
  </property>
  <property fmtid="{D5CDD505-2E9C-101B-9397-08002B2CF9AE}" pid="24" name="Mendeley Unique User Id_1">
    <vt:lpwstr>22597880-5530-3b5c-a9f7-c33832562a2e</vt:lpwstr>
  </property>
</Properties>
</file>