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E5E13D" w14:textId="65B27A24" w:rsidR="00D73714" w:rsidRPr="00C07A08" w:rsidRDefault="0039536E" w:rsidP="00F803A5">
      <w:pPr>
        <w:spacing w:line="480" w:lineRule="auto"/>
        <w:rPr>
          <w:b/>
          <w:sz w:val="24"/>
          <w:szCs w:val="24"/>
        </w:rPr>
      </w:pPr>
      <w:r>
        <w:rPr>
          <w:b/>
          <w:sz w:val="24"/>
          <w:szCs w:val="24"/>
        </w:rPr>
        <w:t>RNA-DamID reveals cell-type-specific binding of ro</w:t>
      </w:r>
      <w:r w:rsidR="004D6A5C">
        <w:rPr>
          <w:b/>
          <w:sz w:val="24"/>
          <w:szCs w:val="24"/>
        </w:rPr>
        <w:t>X RNAs at chromatin entry sites</w:t>
      </w:r>
    </w:p>
    <w:p w14:paraId="1B99CFB9" w14:textId="59534D91" w:rsidR="00BB5DC5" w:rsidRDefault="001B0CC3" w:rsidP="00F803A5">
      <w:pPr>
        <w:pStyle w:val="Authors"/>
        <w:spacing w:before="0" w:after="0" w:line="480" w:lineRule="auto"/>
        <w:jc w:val="left"/>
        <w:rPr>
          <w:lang w:val="en-GB"/>
        </w:rPr>
      </w:pPr>
      <w:r w:rsidRPr="00A2214F">
        <w:rPr>
          <w:lang w:val="en-GB"/>
        </w:rPr>
        <w:t>Seth W. Cheetham</w:t>
      </w:r>
      <w:r w:rsidR="00A4090B" w:rsidRPr="00A2214F">
        <w:rPr>
          <w:vertAlign w:val="superscript"/>
          <w:lang w:val="en-GB"/>
        </w:rPr>
        <w:t>1</w:t>
      </w:r>
      <w:r w:rsidR="00C60C5A">
        <w:rPr>
          <w:vertAlign w:val="superscript"/>
          <w:lang w:val="en-GB"/>
        </w:rPr>
        <w:t>,2</w:t>
      </w:r>
      <w:r w:rsidR="00A4090B" w:rsidRPr="00A2214F">
        <w:rPr>
          <w:lang w:val="en-GB"/>
        </w:rPr>
        <w:t>, Andrea H</w:t>
      </w:r>
      <w:r w:rsidR="00D73714" w:rsidRPr="00A2214F">
        <w:rPr>
          <w:lang w:val="en-GB"/>
        </w:rPr>
        <w:t xml:space="preserve">. </w:t>
      </w:r>
      <w:r w:rsidR="00A4090B" w:rsidRPr="00A2214F">
        <w:rPr>
          <w:lang w:val="en-GB"/>
        </w:rPr>
        <w:t>Brand</w:t>
      </w:r>
      <w:r w:rsidR="00D73714" w:rsidRPr="00A2214F">
        <w:rPr>
          <w:vertAlign w:val="superscript"/>
          <w:lang w:val="en-GB"/>
        </w:rPr>
        <w:t>1,</w:t>
      </w:r>
      <w:r w:rsidR="00A4090B" w:rsidRPr="00A2214F">
        <w:rPr>
          <w:lang w:val="en-GB"/>
        </w:rPr>
        <w:t>*</w:t>
      </w:r>
    </w:p>
    <w:p w14:paraId="38EEE0CB" w14:textId="77777777" w:rsidR="00E0179D" w:rsidRPr="00A2214F" w:rsidRDefault="00E0179D" w:rsidP="00F803A5">
      <w:pPr>
        <w:pStyle w:val="Authors"/>
        <w:spacing w:before="0" w:after="0" w:line="480" w:lineRule="auto"/>
        <w:jc w:val="left"/>
        <w:rPr>
          <w:lang w:val="en-GB"/>
        </w:rPr>
      </w:pPr>
    </w:p>
    <w:p w14:paraId="5DE7A6E9" w14:textId="74DB08B7" w:rsidR="00D73714" w:rsidRPr="00A2214F" w:rsidRDefault="00D73714" w:rsidP="00F803A5">
      <w:pPr>
        <w:pStyle w:val="Paragraph"/>
        <w:spacing w:before="0" w:line="480" w:lineRule="auto"/>
        <w:ind w:firstLine="0"/>
        <w:rPr>
          <w:lang w:val="en-GB"/>
        </w:rPr>
      </w:pPr>
      <w:r w:rsidRPr="00A2214F">
        <w:rPr>
          <w:vertAlign w:val="superscript"/>
          <w:lang w:val="en-GB"/>
        </w:rPr>
        <w:t>1</w:t>
      </w:r>
      <w:r w:rsidR="00A4090B" w:rsidRPr="00A2214F">
        <w:rPr>
          <w:vertAlign w:val="superscript"/>
          <w:lang w:val="en-GB"/>
        </w:rPr>
        <w:t>.</w:t>
      </w:r>
      <w:r w:rsidR="00A4090B" w:rsidRPr="00A2214F">
        <w:rPr>
          <w:lang w:val="en-GB"/>
        </w:rPr>
        <w:t>The Gurdon Institute and Department of Physiology, Development and Neuroscience, University of Cambridge, Cambridge, U</w:t>
      </w:r>
      <w:r w:rsidR="00654AD7">
        <w:rPr>
          <w:lang w:val="en-GB"/>
        </w:rPr>
        <w:t>nited Kingdom</w:t>
      </w:r>
    </w:p>
    <w:p w14:paraId="71A20A88" w14:textId="21F69FD4" w:rsidR="00E0179D" w:rsidRDefault="00C60C5A" w:rsidP="00F803A5">
      <w:pPr>
        <w:rPr>
          <w:color w:val="222222"/>
          <w:shd w:val="clear" w:color="auto" w:fill="FFFFFF"/>
        </w:rPr>
      </w:pPr>
      <w:r w:rsidRPr="00F803A5">
        <w:rPr>
          <w:sz w:val="24"/>
          <w:szCs w:val="24"/>
          <w:vertAlign w:val="superscript"/>
        </w:rPr>
        <w:t>2.</w:t>
      </w:r>
      <w:r w:rsidRPr="00F803A5">
        <w:rPr>
          <w:sz w:val="24"/>
          <w:szCs w:val="24"/>
        </w:rPr>
        <w:t xml:space="preserve">Present address: Translational Research Institute, </w:t>
      </w:r>
      <w:r w:rsidR="0011222A">
        <w:rPr>
          <w:rFonts w:eastAsia="Times New Roman"/>
          <w:color w:val="222222"/>
          <w:sz w:val="24"/>
          <w:szCs w:val="24"/>
          <w:shd w:val="clear" w:color="auto" w:fill="FFFFFF"/>
        </w:rPr>
        <w:t>Brisbane,</w:t>
      </w:r>
      <w:r w:rsidRPr="00F803A5">
        <w:rPr>
          <w:rFonts w:eastAsia="Times New Roman"/>
          <w:color w:val="222222"/>
          <w:sz w:val="24"/>
          <w:szCs w:val="24"/>
          <w:shd w:val="clear" w:color="auto" w:fill="FFFFFF"/>
        </w:rPr>
        <w:t xml:space="preserve"> </w:t>
      </w:r>
      <w:r w:rsidR="0011222A">
        <w:rPr>
          <w:rFonts w:eastAsia="Times New Roman"/>
          <w:color w:val="222222"/>
          <w:sz w:val="24"/>
          <w:szCs w:val="24"/>
          <w:shd w:val="clear" w:color="auto" w:fill="FFFFFF"/>
        </w:rPr>
        <w:t>Queensland,</w:t>
      </w:r>
      <w:r w:rsidRPr="00F803A5">
        <w:rPr>
          <w:rFonts w:eastAsia="Times New Roman"/>
          <w:color w:val="222222"/>
          <w:sz w:val="24"/>
          <w:szCs w:val="24"/>
          <w:shd w:val="clear" w:color="auto" w:fill="FFFFFF"/>
        </w:rPr>
        <w:t xml:space="preserve"> </w:t>
      </w:r>
      <w:r w:rsidR="0011222A">
        <w:rPr>
          <w:rFonts w:eastAsia="Times New Roman"/>
          <w:color w:val="222222"/>
          <w:sz w:val="24"/>
          <w:szCs w:val="24"/>
          <w:shd w:val="clear" w:color="auto" w:fill="FFFFFF"/>
        </w:rPr>
        <w:t>Australia</w:t>
      </w:r>
    </w:p>
    <w:p w14:paraId="6D29E5A8" w14:textId="77777777" w:rsidR="00C60C5A" w:rsidRPr="00C60C5A" w:rsidRDefault="00C60C5A" w:rsidP="00F803A5"/>
    <w:p w14:paraId="2FA75233" w14:textId="73B4A227" w:rsidR="00486FF4" w:rsidRDefault="00A4090B" w:rsidP="00F803A5">
      <w:pPr>
        <w:pStyle w:val="Paragraph"/>
        <w:spacing w:before="0" w:line="480" w:lineRule="auto"/>
        <w:ind w:firstLine="0"/>
        <w:rPr>
          <w:lang w:val="en-GB"/>
        </w:rPr>
      </w:pPr>
      <w:r w:rsidRPr="00A2214F">
        <w:rPr>
          <w:lang w:val="en-GB"/>
        </w:rPr>
        <w:t>*Corresponding author</w:t>
      </w:r>
      <w:r w:rsidR="00AC7E18" w:rsidRPr="00A2214F">
        <w:rPr>
          <w:lang w:val="en-GB"/>
        </w:rPr>
        <w:t>, e</w:t>
      </w:r>
      <w:r w:rsidRPr="00A2214F">
        <w:rPr>
          <w:lang w:val="en-GB"/>
        </w:rPr>
        <w:t xml:space="preserve">mail: </w:t>
      </w:r>
      <w:hyperlink r:id="rId8" w:history="1">
        <w:r w:rsidR="004D6A5C" w:rsidRPr="00B37D89">
          <w:rPr>
            <w:rStyle w:val="Hyperlink"/>
            <w:lang w:val="en-GB"/>
          </w:rPr>
          <w:t>a.brand@gurdon.cam.ac.uk</w:t>
        </w:r>
      </w:hyperlink>
    </w:p>
    <w:p w14:paraId="298EC57E" w14:textId="29C266D6" w:rsidR="004D6A5C" w:rsidRPr="00E0179D" w:rsidRDefault="00E0179D" w:rsidP="00F803A5">
      <w:r>
        <w:br w:type="page"/>
      </w:r>
      <w:bookmarkStart w:id="0" w:name="_GoBack"/>
      <w:bookmarkEnd w:id="0"/>
    </w:p>
    <w:p w14:paraId="70CB159D" w14:textId="77777777" w:rsidR="006707AF" w:rsidRDefault="006707AF" w:rsidP="00F803A5">
      <w:pPr>
        <w:spacing w:line="480" w:lineRule="auto"/>
        <w:rPr>
          <w:b/>
          <w:sz w:val="24"/>
          <w:szCs w:val="24"/>
        </w:rPr>
      </w:pPr>
      <w:r>
        <w:rPr>
          <w:b/>
          <w:sz w:val="24"/>
          <w:szCs w:val="24"/>
        </w:rPr>
        <w:lastRenderedPageBreak/>
        <w:t>Abstract</w:t>
      </w:r>
    </w:p>
    <w:p w14:paraId="2549089D" w14:textId="0C8C443F" w:rsidR="00CB3867" w:rsidRPr="00C07A08" w:rsidRDefault="00B04942" w:rsidP="00F803A5">
      <w:pPr>
        <w:spacing w:line="480" w:lineRule="auto"/>
        <w:rPr>
          <w:b/>
          <w:sz w:val="24"/>
          <w:szCs w:val="24"/>
        </w:rPr>
      </w:pPr>
      <w:r w:rsidRPr="00C07A08">
        <w:rPr>
          <w:b/>
          <w:sz w:val="24"/>
          <w:szCs w:val="24"/>
        </w:rPr>
        <w:t xml:space="preserve">Thousands of long noncoding RNAs (lncRNAs) have been identified in eukaryotic genomes, many of which are expressed in spatially and temporally restricted patterns. Nonetheless, the roles of the majority of these transcripts are </w:t>
      </w:r>
      <w:r w:rsidR="00CC4EFC" w:rsidRPr="00C07A08">
        <w:rPr>
          <w:b/>
          <w:sz w:val="24"/>
          <w:szCs w:val="24"/>
        </w:rPr>
        <w:t>still unknown</w:t>
      </w:r>
      <w:r w:rsidRPr="00C07A08">
        <w:rPr>
          <w:b/>
          <w:sz w:val="24"/>
          <w:szCs w:val="24"/>
        </w:rPr>
        <w:t xml:space="preserve">. One of the mechanisms </w:t>
      </w:r>
      <w:r w:rsidR="00CC4EFC" w:rsidRPr="00C07A08">
        <w:rPr>
          <w:b/>
          <w:sz w:val="24"/>
          <w:szCs w:val="24"/>
        </w:rPr>
        <w:t xml:space="preserve">by which </w:t>
      </w:r>
      <w:r w:rsidRPr="00C07A08">
        <w:rPr>
          <w:b/>
          <w:sz w:val="24"/>
          <w:szCs w:val="24"/>
        </w:rPr>
        <w:t>lncRNA</w:t>
      </w:r>
      <w:r w:rsidR="00CC4EFC" w:rsidRPr="00C07A08">
        <w:rPr>
          <w:b/>
          <w:sz w:val="24"/>
          <w:szCs w:val="24"/>
        </w:rPr>
        <w:t>s</w:t>
      </w:r>
      <w:r w:rsidRPr="00C07A08">
        <w:rPr>
          <w:b/>
          <w:sz w:val="24"/>
          <w:szCs w:val="24"/>
        </w:rPr>
        <w:t xml:space="preserve"> function is </w:t>
      </w:r>
      <w:r w:rsidR="00CC4EFC" w:rsidRPr="00C07A08">
        <w:rPr>
          <w:b/>
          <w:sz w:val="24"/>
          <w:szCs w:val="24"/>
        </w:rPr>
        <w:t xml:space="preserve">through </w:t>
      </w:r>
      <w:r w:rsidRPr="00C07A08">
        <w:rPr>
          <w:b/>
          <w:sz w:val="24"/>
          <w:szCs w:val="24"/>
        </w:rPr>
        <w:t xml:space="preserve">the modulation of chromatin state. </w:t>
      </w:r>
      <w:r w:rsidR="005C5A01" w:rsidRPr="00C07A08">
        <w:rPr>
          <w:b/>
          <w:sz w:val="24"/>
          <w:szCs w:val="24"/>
        </w:rPr>
        <w:t xml:space="preserve">To assess the </w:t>
      </w:r>
      <w:r w:rsidR="00BE1691" w:rsidRPr="00C07A08">
        <w:rPr>
          <w:b/>
          <w:sz w:val="24"/>
          <w:szCs w:val="24"/>
        </w:rPr>
        <w:t xml:space="preserve">functions </w:t>
      </w:r>
      <w:r w:rsidR="005C5A01" w:rsidRPr="00C07A08">
        <w:rPr>
          <w:b/>
          <w:sz w:val="24"/>
          <w:szCs w:val="24"/>
        </w:rPr>
        <w:t>of lncRNAs w</w:t>
      </w:r>
      <w:r w:rsidR="000961FA" w:rsidRPr="00C07A08">
        <w:rPr>
          <w:b/>
          <w:sz w:val="24"/>
          <w:szCs w:val="24"/>
        </w:rPr>
        <w:t>e developed RNA-DamID, a novel approach that detect</w:t>
      </w:r>
      <w:r w:rsidR="00CC4EFC" w:rsidRPr="00C07A08">
        <w:rPr>
          <w:b/>
          <w:sz w:val="24"/>
          <w:szCs w:val="24"/>
        </w:rPr>
        <w:t>s</w:t>
      </w:r>
      <w:r w:rsidR="000961FA" w:rsidRPr="00C07A08">
        <w:rPr>
          <w:b/>
          <w:sz w:val="24"/>
          <w:szCs w:val="24"/>
        </w:rPr>
        <w:t xml:space="preserve"> lncRNA-genome interactions in a cell-type specific manner </w:t>
      </w:r>
      <w:r w:rsidR="000961FA" w:rsidRPr="00C07A08">
        <w:rPr>
          <w:b/>
          <w:i/>
          <w:sz w:val="24"/>
          <w:szCs w:val="24"/>
        </w:rPr>
        <w:t xml:space="preserve">in vivo </w:t>
      </w:r>
      <w:r w:rsidR="000961FA" w:rsidRPr="00C07A08">
        <w:rPr>
          <w:b/>
          <w:sz w:val="24"/>
          <w:szCs w:val="24"/>
        </w:rPr>
        <w:t>with high sensitivity and accuracy.</w:t>
      </w:r>
      <w:r w:rsidRPr="00C07A08">
        <w:rPr>
          <w:b/>
          <w:sz w:val="24"/>
          <w:szCs w:val="24"/>
        </w:rPr>
        <w:t xml:space="preserve"> </w:t>
      </w:r>
      <w:r w:rsidR="00ED5D76" w:rsidRPr="00C07A08">
        <w:rPr>
          <w:b/>
          <w:sz w:val="24"/>
          <w:szCs w:val="24"/>
        </w:rPr>
        <w:t>Identifying the cell-type-specific genome occupancy of lncRNAs is key to understanding their mechanisms of action in development and disease. W</w:t>
      </w:r>
      <w:r w:rsidR="00CC4EFC" w:rsidRPr="00C07A08">
        <w:rPr>
          <w:b/>
          <w:sz w:val="24"/>
          <w:szCs w:val="24"/>
        </w:rPr>
        <w:t>e use</w:t>
      </w:r>
      <w:r w:rsidR="00ED5D76" w:rsidRPr="00C07A08">
        <w:rPr>
          <w:b/>
          <w:sz w:val="24"/>
          <w:szCs w:val="24"/>
        </w:rPr>
        <w:t>d</w:t>
      </w:r>
      <w:r w:rsidR="00CC4EFC" w:rsidRPr="00C07A08">
        <w:rPr>
          <w:b/>
          <w:sz w:val="24"/>
          <w:szCs w:val="24"/>
        </w:rPr>
        <w:t xml:space="preserve"> RNA-DamID to investigate targeting of the </w:t>
      </w:r>
      <w:r w:rsidR="006707AF">
        <w:rPr>
          <w:b/>
          <w:sz w:val="24"/>
          <w:szCs w:val="24"/>
        </w:rPr>
        <w:t xml:space="preserve">lncRNAs in the </w:t>
      </w:r>
      <w:r w:rsidR="00497DBA" w:rsidRPr="00A2214F">
        <w:rPr>
          <w:b/>
          <w:i/>
          <w:sz w:val="24"/>
          <w:szCs w:val="24"/>
        </w:rPr>
        <w:t>Drosophila</w:t>
      </w:r>
      <w:r w:rsidR="00497DBA" w:rsidRPr="00C07A08">
        <w:rPr>
          <w:b/>
          <w:sz w:val="24"/>
          <w:szCs w:val="24"/>
        </w:rPr>
        <w:t xml:space="preserve"> </w:t>
      </w:r>
      <w:r w:rsidR="00CC4EFC" w:rsidRPr="00C07A08">
        <w:rPr>
          <w:b/>
          <w:sz w:val="24"/>
          <w:szCs w:val="24"/>
        </w:rPr>
        <w:t>dosage compensation complex (DCC)</w:t>
      </w:r>
      <w:r w:rsidR="00EB730D">
        <w:rPr>
          <w:b/>
          <w:sz w:val="24"/>
          <w:szCs w:val="24"/>
        </w:rPr>
        <w:t xml:space="preserve"> and show that initial targeting is cell-type-specific</w:t>
      </w:r>
      <w:r w:rsidR="007813D3" w:rsidRPr="00C07A08">
        <w:rPr>
          <w:b/>
          <w:sz w:val="24"/>
          <w:szCs w:val="24"/>
        </w:rPr>
        <w:t>.</w:t>
      </w:r>
      <w:r w:rsidR="00835A43" w:rsidRPr="00C07A08">
        <w:rPr>
          <w:b/>
          <w:sz w:val="24"/>
          <w:szCs w:val="24"/>
        </w:rPr>
        <w:t xml:space="preserve"> </w:t>
      </w:r>
    </w:p>
    <w:p w14:paraId="187AA7C5" w14:textId="77777777" w:rsidR="00B04942" w:rsidRPr="00C07A08" w:rsidRDefault="00B04942" w:rsidP="00E0179D">
      <w:pPr>
        <w:rPr>
          <w:b/>
        </w:rPr>
      </w:pPr>
      <w:r w:rsidRPr="00C07A08">
        <w:rPr>
          <w:b/>
        </w:rPr>
        <w:br w:type="page"/>
      </w:r>
    </w:p>
    <w:p w14:paraId="7584D503" w14:textId="7C22D0A4" w:rsidR="001A16D7" w:rsidRPr="00A2214F" w:rsidRDefault="006707AF" w:rsidP="00F803A5">
      <w:pPr>
        <w:pStyle w:val="Paragraph"/>
        <w:spacing w:before="0" w:line="480" w:lineRule="auto"/>
        <w:ind w:firstLine="0"/>
        <w:rPr>
          <w:b/>
          <w:lang w:val="en-GB"/>
        </w:rPr>
      </w:pPr>
      <w:r>
        <w:rPr>
          <w:b/>
          <w:lang w:val="en-GB"/>
        </w:rPr>
        <w:lastRenderedPageBreak/>
        <w:t>Introduction</w:t>
      </w:r>
    </w:p>
    <w:p w14:paraId="1E0A33DD" w14:textId="77777777" w:rsidR="006707AF" w:rsidRDefault="008E0D17" w:rsidP="00F803A5">
      <w:pPr>
        <w:pStyle w:val="Paragraph"/>
        <w:spacing w:before="0" w:line="480" w:lineRule="auto"/>
        <w:ind w:firstLine="0"/>
        <w:rPr>
          <w:lang w:val="en-GB"/>
        </w:rPr>
      </w:pPr>
      <w:r w:rsidRPr="00A2214F">
        <w:rPr>
          <w:lang w:val="en-GB"/>
        </w:rPr>
        <w:t>Despite</w:t>
      </w:r>
      <w:r w:rsidR="00C0493A" w:rsidRPr="00A2214F">
        <w:rPr>
          <w:lang w:val="en-GB"/>
        </w:rPr>
        <w:t xml:space="preserve"> the potential</w:t>
      </w:r>
      <w:r w:rsidRPr="00A2214F">
        <w:rPr>
          <w:lang w:val="en-GB"/>
        </w:rPr>
        <w:t xml:space="preserve"> importance of lncRNA-chromatin interactions in development and disease </w:t>
      </w:r>
      <w:r w:rsidR="009B2428" w:rsidRPr="00A2214F">
        <w:rPr>
          <w:lang w:val="en-GB"/>
        </w:rPr>
        <w:t xml:space="preserve">the function of the majority of lncRNAs </w:t>
      </w:r>
      <w:r w:rsidR="009B2428" w:rsidRPr="00A2214F">
        <w:rPr>
          <w:i/>
          <w:lang w:val="en-GB"/>
        </w:rPr>
        <w:t>in vivo</w:t>
      </w:r>
      <w:r w:rsidR="009B2428" w:rsidRPr="00A2214F">
        <w:rPr>
          <w:lang w:val="en-GB"/>
        </w:rPr>
        <w:t xml:space="preserve"> is still </w:t>
      </w:r>
      <w:r w:rsidR="008D2CAB" w:rsidRPr="00A2214F">
        <w:rPr>
          <w:lang w:val="en-GB"/>
        </w:rPr>
        <w:t>unknown</w:t>
      </w:r>
      <w:r w:rsidR="009B2428" w:rsidRPr="00A2214F">
        <w:rPr>
          <w:lang w:val="en-GB"/>
        </w:rPr>
        <w:t xml:space="preserve">. </w:t>
      </w:r>
      <w:r w:rsidR="004C44E1" w:rsidRPr="00A2214F">
        <w:rPr>
          <w:lang w:val="en-GB"/>
        </w:rPr>
        <w:t xml:space="preserve">One class of lncRNAs are found in the nucleus where they may function to regulate gene expression by facilitating the assembly of protein complexes at specific genomic loci </w:t>
      </w:r>
      <w:r w:rsidR="004C44E1" w:rsidRPr="00A2214F">
        <w:rPr>
          <w:lang w:val="en-GB"/>
        </w:rPr>
        <w:fldChar w:fldCharType="begin" w:fldLock="1"/>
      </w:r>
      <w:r w:rsidR="002F59D9" w:rsidRPr="00A2214F">
        <w:rPr>
          <w:lang w:val="en-GB"/>
        </w:rPr>
        <w:instrText>ADDIN CSL_CITATION { "citationItems" : [ { "id" : "ITEM-1", "itemData" : { "DOI" : "10.1126/science.1084274", "ISSN" : "1095-9203", "PMID" : "12649488", "abstract" : "The Polycomb group (PcG) protein Eed is implicated in regulation of imprinted X-chromosome inactivation in extraembryonic cells but not of random X inactivation in embryonic cells. The Drosophila homolog of the Eed-Ezh2 PcG protein complex achieves gene silencing through methylation of histone H3 on lysine 27 (H3-K27), which suggests a role for H3-K27 methylation in imprinted X inactivation. Here we demonstrate that transient recruitment of the Eed-Ezh2 complex to the inactive X chromosome (Xi) occurs during initiation of X inactivation in both extraembryonic and embryonic cells and is accompanied by H3-K27 methylation. Recruitment of the complex and methylation on the Xi depend on Xist RNA but are independent of its silencing function. Together, our results suggest a role for Eed-Ezh2-mediated H3-K27 methylation during initiation of both imprinted and random X inactivation and demonstrate that H3-K27 methylation is not sufficient for silencing of the Xi.", "author" : [ { "dropping-particle" : "", "family" : "Plath", "given" : "Kathrin", "non-dropping-particle" : "", "parse-names" : false, "suffix" : "" }, { "dropping-particle" : "", "family" : "Fang", "given" : "Jia", "non-dropping-particle" : "", "parse-names" : false, "suffix" : "" }, { "dropping-particle" : "", "family" : "Mlynarczyk-Evans", "given" : "Susanna K", "non-dropping-particle" : "", "parse-names" : false, "suffix" : "" }, { "dropping-particle" : "", "family" : "Cao", "given" : "Ru", "non-dropping-particle" : "", "parse-names" : false, "suffix" : "" }, { "dropping-particle" : "", "family" : "Worringer", "given" : "Kathleen A", "non-dropping-particle" : "", "parse-names" : false, "suffix" : "" }, { "dropping-particle" : "", "family" : "Wang", "given" : "Hengbin", "non-dropping-particle" : "", "parse-names" : false, "suffix" : "" }, { "dropping-particle" : "", "family" : "la Cruz", "given" : "Cecile C", "non-dropping-particle" : "de", "parse-names" : false, "suffix" : "" }, { "dropping-particle" : "", "family" : "Otte", "given" : "Arie P", "non-dropping-particle" : "", "parse-names" : false, "suffix" : "" }, { "dropping-particle" : "", "family" : "Panning", "given" : "Barbara", "non-dropping-particle" : "", "parse-names" : false, "suffix" : "" }, { "dropping-particle" : "", "family" : "Zhang", "given" : "Yi", "non-dropping-particle" : "", "parse-names" : false, "suffix" : "" } ], "container-title" : "Science (New York, N.Y.)", "id" : "ITEM-1", "issue" : "5616", "issued" : { "date-parts" : [ [ "2003", "4", "4" ] ] }, "page" : "131-5", "title" : "Role of histone H3 lysine 27 methylation in X inactivation.", "type" : "article-journal", "volume" : "300" }, "uris" : [ "http://www.mendeley.com/documents/?uuid=58861c7d-3770-3224-a96b-2967b27a6f88" ] }, { "id" : "ITEM-2", "itemData" : { "DOI" : "10.1016/j.cell.2007.05.022", "ISSN" : "0092-8674", "PMID" : "17604720", "abstract" : "Noncoding RNAs (ncRNA) participate in epigenetic regulation but are poorly understood. Here we characterize the transcriptional landscape of the four human HOX loci at five base pair resolution in 11 anatomic sites and identify 231 HOX ncRNAs that extend known transcribed regions by more than 30 kilobases. HOX ncRNAs are spatially expressed along developmental axes and possess unique sequence motifs, and their expression demarcates broad chromosomal domains of differential histone methylation and RNA polymerase accessibility. We identified a 2.2 kilobase ncRNA residing in the HOXC locus, termed HOTAIR, which represses transcription in trans across 40 kilobases of the HOXD locus. HOTAIR interacts with Polycomb Repressive Complex 2 (PRC2) and is required for PRC2 occupancy and histone H3 lysine-27 trimethylation of HOXD locus. Thus, transcription of ncRNA may demarcate chromosomal domains of gene silencing at a distance; these results have broad implications for gene regulation in development and disease states.", "author" : [ { "dropping-particle" : "", "family" : "Rinn", "given" : "John L", "non-dropping-particle" : "", "parse-names" : false, "suffix" : "" }, { "dropping-particle" : "", "family" : "Kertesz", "given" : "Michael", "non-dropping-particle" : "", "parse-names" : false, "suffix" : "" }, { "dropping-particle" : "", "family" : "Wang", "given" : "Jordon K", "non-dropping-particle" : "", "parse-names" : false, "suffix" : "" }, { "dropping-particle" : "", "family" : "Squazzo", "given" : "Sharon L", "non-dropping-particle" : "", "parse-names" : false, "suffix" : "" }, { "dropping-particle" : "", "family" : "Xu", "given" : "Xiao", "non-dropping-particle" : "", "parse-names" : false, "suffix" : "" }, { "dropping-particle" : "", "family" : "Brugmann", "given" : "Samantha A", "non-dropping-particle" : "", "parse-names" : false, "suffix" : "" }, { "dropping-particle" : "", "family" : "Goodnough", "given" : "L Henry", "non-dropping-particle" : "", "parse-names" : false, "suffix" : "" }, { "dropping-particle" : "", "family" : "Helms", "given" : "Jill A", "non-dropping-particle" : "", "parse-names" : false, "suffix" : "" }, { "dropping-particle" : "", "family" : "Farnham", "given" : "Peggy J", "non-dropping-particle" : "", "parse-names" : false, "suffix" : "" }, { "dropping-particle" : "", "family" : "Segal", "given" : "Eran", "non-dropping-particle" : "", "parse-names" : false, "suffix" : "" }, { "dropping-particle" : "", "family" : "Chang", "given" : "Howard Y", "non-dropping-particle" : "", "parse-names" : false, "suffix" : "" } ], "container-title" : "Cell", "id" : "ITEM-2", "issue" : "7", "issued" : { "date-parts" : [ [ "2007", "6", "29" ] ] }, "page" : "1311-23", "title" : "Functional demarcation of active and silent chromatin domains in human HOX loci by noncoding RNAs.", "type" : "article-journal", "volume" : "129" }, "uris" : [ "http://www.mendeley.com/documents/?uuid=14874609-b11d-3b27-9548-8e67541bfd86" ] }, { "id" : "ITEM-3", "itemData" : { "DOI" : "10.1038/nature09819", "ISSN" : "1476-4687", "PMID" : "21423168", "abstract" : "The genome is extensively transcribed into long intergenic noncoding RNAs (lincRNAs), many of which are implicated in gene silencing. Potential roles of lincRNAs in gene activation are much less understood. Development and homeostasis require coordinate regulation of neighbouring genes through a process termed locus control. Some locus control elements and enhancers transcribe lincRNAs, hinting at possible roles in long-range control. In vertebrates, 39 Hox genes, encoding homeodomain transcription factors critical for positional identity, are clustered in four chromosomal loci; the Hox genes are expressed in nested anterior-posterior and proximal-distal patterns colinear with their genomic position from 3' to 5'of the cluster. Here we identify HOTTIP, a lincRNA transcribed from the 5' tip of the HOXA locus that coordinates the activation of several 5' HOXA genes in vivo. Chromosomal looping brings HOTTIP into close proximity to its target genes. HOTTIP RNA binds the adaptor protein WDR5 directly and targets WDR5/MLL complexes across HOXA, driving histone H3 lysine 4 trimethylation and gene transcription. Induced proximity is necessary and sufficient for HOTTIP RNA activation of its target genes. Thus, by serving as key intermediates that transmit information from higher order chromosomal looping into chromatin modifications, lincRNAs may organize chromatin domains to coordinate long-range gene activation.", "author" : [ { "dropping-particle" : "", "family" : "Wang", "given" : "Kevin C", "non-dropping-particle" : "", "parse-names" : false, "suffix" : "" }, { "dropping-particle" : "", "family" : "Yang", "given" : "Yul W", "non-dropping-particle" : "", "parse-names" : false, "suffix" : "" }, { "dropping-particle" : "", "family" : "Liu", "given" : "Bo", "non-dropping-particle" : "", "parse-names" : false, "suffix" : "" }, { "dropping-particle" : "", "family" : "Sanyal", "given" : "Amartya", "non-dropping-particle" : "", "parse-names" : false, "suffix" : "" }, { "dropping-particle" : "", "family" : "Corces-Zimmerman", "given" : "Ryan", "non-dropping-particle" : "", "parse-names" : false, "suffix" : "" }, { "dropping-particle" : "", "family" : "Chen", "given" : "Yong", "non-dropping-particle" : "", "parse-names" : false, "suffix" : "" }, { "dropping-particle" : "", "family" : "Lajoie", "given" : "Bryan R", "non-dropping-particle" : "", "parse-names" : false, "suffix" : "" }, { "dropping-particle" : "", "family" : "Protacio", "given" : "Angeline", "non-dropping-particle" : "", "parse-names" : false, "suffix" : "" }, { "dropping-particle" : "", "family" : "Flynn", "given" : "Ryan a", "non-dropping-particle" : "", "parse-names" : false, "suffix" : "" }, { "dropping-particle" : "", "family" : "Gupta", "given" : "Rajnish a", "non-dropping-particle" : "", "parse-names" : false, "suffix" : "" }, { "dropping-particle" : "", "family" : "Wysocka", "given" : "Joanna", "non-dropping-particle" : "", "parse-names" : false, "suffix" : "" }, { "dropping-particle" : "", "family" : "Lei", "given" : "Ming", "non-dropping-particle" : "", "parse-names" : false, "suffix" : "" }, { "dropping-particle" : "", "family" : "Dekker", "given" : "Job", "non-dropping-particle" : "", "parse-names" : false, "suffix" : "" }, { "dropping-particle" : "", "family" : "Helms", "given" : "Jill a", "non-dropping-particle" : "", "parse-names" : false, "suffix" : "" }, { "dropping-particle" : "", "family" : "Chang", "given" : "Howard Y", "non-dropping-particle" : "", "parse-names" : false, "suffix" : "" } ], "container-title" : "Nature", "id" : "ITEM-3", "issue" : "7341", "issued" : { "date-parts" : [ [ "2011", "4", "7" ] ] }, "page" : "120-4", "publisher" : "Nature Publishing Group", "title" : "A long noncoding RNA maintains active chromatin to coordinate homeotic gene expression.", "type" : "article-journal", "volume" : "472" }, "uris" : [ "http://www.mendeley.com/documents/?uuid=22a16146-11bf-479e-8ed5-8c6c1c1a139c" ] }, { "id" : "ITEM-4", "itemData" : { "DOI" : "10.1016/S1097-2765(00)80193-8", "ISBN" : "1097-2765", "ISSN" : "10972765", "PMID" : "10445033", "abstract" : "The rox1 and rox2 RNAs have been suggested to be components of the dosage compensation machinery in Drosophila. We show that both rox RNAs colocalize with the male-specific lethal proteins at hundreds of specific bands along the male X chromosome. The rox RNAs and MSL proteins also colocalize with the X chromosome in all somatic cells and are expressed in the same temporal pattern throughout development. Genetic analysis shows that the functions of the rox genes are redundant and required for the association of the MSL proteins with the male X chromosome. These data provide compelling evidence for a direct function of the rox RNAs in dosage compensation.", "author" : [ { "dropping-particle" : "", "family" : "Franke", "given" : "Axel", "non-dropping-particle" : "", "parse-names" : false, "suffix" : "" }, { "dropping-particle" : "", "family" : "Baker", "given" : "Bruce S.", "non-dropping-particle" : "", "parse-names" : false, "suffix" : "" } ], "container-title" : "Molecular Cell", "id" : "ITEM-4", "issue" : "1", "issued" : { "date-parts" : [ [ "1999" ] ] }, "page" : "117-122", "title" : "The rox1 and rox2 RNAs are essential components of the compensasome, which mediates dosage compensation in Drosophila", "type" : "article-journal", "volume" : "4" }, "uris" : [ "http://www.mendeley.com/documents/?uuid=0c90cf38-152d-4ac9-8100-da9f7a26f5f5" ] } ], "mendeley" : { "formattedCitation" : "&lt;sup&gt;1\u20134&lt;/sup&gt;", "plainTextFormattedCitation" : "1\u20134", "previouslyFormattedCitation" : "&lt;sup&gt;1\u20134&lt;/sup&gt;" }, "properties" : { "noteIndex" : 0 }, "schema" : "https://github.com/citation-style-language/schema/raw/master/csl-citation.json" }</w:instrText>
      </w:r>
      <w:r w:rsidR="004C44E1" w:rsidRPr="00A2214F">
        <w:rPr>
          <w:lang w:val="en-GB"/>
        </w:rPr>
        <w:fldChar w:fldCharType="separate"/>
      </w:r>
      <w:r w:rsidR="004B251B" w:rsidRPr="00A2214F">
        <w:rPr>
          <w:noProof/>
          <w:vertAlign w:val="superscript"/>
          <w:lang w:val="en-GB"/>
        </w:rPr>
        <w:t>1–4</w:t>
      </w:r>
      <w:r w:rsidR="004C44E1" w:rsidRPr="00A2214F">
        <w:rPr>
          <w:lang w:val="en-GB"/>
        </w:rPr>
        <w:fldChar w:fldCharType="end"/>
      </w:r>
      <w:r w:rsidR="004C44E1" w:rsidRPr="00A2214F">
        <w:rPr>
          <w:lang w:val="en-GB"/>
        </w:rPr>
        <w:t xml:space="preserve">. </w:t>
      </w:r>
      <w:r w:rsidR="00A25431" w:rsidRPr="00A2214F">
        <w:rPr>
          <w:lang w:val="en-GB"/>
        </w:rPr>
        <w:t>We</w:t>
      </w:r>
      <w:r w:rsidR="00323499" w:rsidRPr="00A2214F">
        <w:rPr>
          <w:lang w:val="en-GB"/>
        </w:rPr>
        <w:t xml:space="preserve"> developed </w:t>
      </w:r>
      <w:r w:rsidR="00A25431" w:rsidRPr="00A2214F">
        <w:rPr>
          <w:lang w:val="en-GB"/>
        </w:rPr>
        <w:t>RNA-</w:t>
      </w:r>
      <w:r w:rsidR="00323499" w:rsidRPr="00A2214F">
        <w:rPr>
          <w:lang w:val="en-GB"/>
        </w:rPr>
        <w:t>DamID</w:t>
      </w:r>
      <w:r w:rsidR="00A25431" w:rsidRPr="00A2214F">
        <w:rPr>
          <w:lang w:val="en-GB"/>
        </w:rPr>
        <w:t xml:space="preserve"> (RNA DNA </w:t>
      </w:r>
      <w:r w:rsidR="004C44E1" w:rsidRPr="00A2214F">
        <w:rPr>
          <w:lang w:val="en-GB"/>
        </w:rPr>
        <w:t>adenine methylase identification</w:t>
      </w:r>
      <w:r w:rsidR="00A25431" w:rsidRPr="00A2214F">
        <w:rPr>
          <w:lang w:val="en-GB"/>
        </w:rPr>
        <w:t>) to map cell-type-specif</w:t>
      </w:r>
      <w:r w:rsidR="001043DB" w:rsidRPr="00A2214F">
        <w:rPr>
          <w:lang w:val="en-GB"/>
        </w:rPr>
        <w:t>i</w:t>
      </w:r>
      <w:r w:rsidR="00A25431" w:rsidRPr="00A2214F">
        <w:rPr>
          <w:lang w:val="en-GB"/>
        </w:rPr>
        <w:t>c lncRNA binding sites</w:t>
      </w:r>
      <w:r w:rsidR="001043DB" w:rsidRPr="00A2214F">
        <w:rPr>
          <w:lang w:val="en-GB"/>
        </w:rPr>
        <w:t xml:space="preserve"> </w:t>
      </w:r>
      <w:r w:rsidR="001043DB" w:rsidRPr="00A2214F">
        <w:rPr>
          <w:i/>
          <w:lang w:val="en-GB"/>
        </w:rPr>
        <w:t>in vivo</w:t>
      </w:r>
      <w:r w:rsidR="00A25431" w:rsidRPr="00A2214F">
        <w:rPr>
          <w:lang w:val="en-GB"/>
        </w:rPr>
        <w:t>.</w:t>
      </w:r>
      <w:r w:rsidR="00323499" w:rsidRPr="00A2214F">
        <w:rPr>
          <w:lang w:val="en-GB"/>
        </w:rPr>
        <w:t xml:space="preserve"> </w:t>
      </w:r>
      <w:r w:rsidR="00A25431" w:rsidRPr="00A2214F">
        <w:rPr>
          <w:lang w:val="en-GB"/>
        </w:rPr>
        <w:t>RNA-DamID is based on Targeted DamID (TaDa)</w:t>
      </w:r>
      <w:r w:rsidR="00323499" w:rsidRPr="00A2214F">
        <w:rPr>
          <w:lang w:val="en-GB"/>
        </w:rPr>
        <w:t xml:space="preserve"> </w:t>
      </w:r>
      <w:r w:rsidR="00256EEB" w:rsidRPr="00A2214F">
        <w:rPr>
          <w:lang w:val="en-GB"/>
        </w:rPr>
        <w:fldChar w:fldCharType="begin" w:fldLock="1"/>
      </w:r>
      <w:r w:rsidR="002F59D9" w:rsidRPr="00A2214F">
        <w:rPr>
          <w:lang w:val="en-GB"/>
        </w:rPr>
        <w:instrText>ADDIN CSL_CITATION { "citationItems" : [ { "id" : "ITEM-1", "itemData" : { "DOI" : "10.1016/j.devcel.2013.05.020", "ISSN" : "1878-1551", "PMID" : "23792147", "abstract" : "Cell-type-specific transcriptional profiling often requires the isolation of specific cell types from complex tissues. We have developed \"TaDa,\" a technique that enables cell-specific profiling without cell isolation. TaDa permits genome-wide profiling of DNA- or chromatin-binding proteins without cell sorting, fixation, or affinity purification. The method is simple, sensitive, highly reproducible, and transferable to any model system. We show that TaDa can be used to identify transcribed genes in a cell-type-specific manner with considerable temporal precision, enabling the identification of differential gene expression between neuroblasts and the neuroepithelial cells from which they derive. We profile the genome-wide binding of RNA polymerase II in these adjacent, clonally related stem cells within intact Drosophila brains. Our data reveal expression of specific metabolic genes in neuroepithelial cells, but not in neuroblasts, and highlight gene regulatory networks that may pattern neural stem cell fates.", "author" : [ { "dropping-particle" : "", "family" : "Southall", "given" : "Tony D", "non-dropping-particle" : "", "parse-names" : false, "suffix" : "" }, { "dropping-particle" : "", "family" : "Gold", "given" : "Katrina S", "non-dropping-particle" : "", "parse-names" : false, "suffix" : "" }, { "dropping-particle" : "", "family" : "Egger", "given" : "Boris", "non-dropping-particle" : "", "parse-names" : false, "suffix" : "" }, { "dropping-particle" : "", "family" : "Davidson", "given" : "Catherine M", "non-dropping-particle" : "", "parse-names" : false, "suffix" : "" }, { "dropping-particle" : "", "family" : "Caygill", "given" : "Elizabeth E", "non-dropping-particle" : "", "parse-names" : false, "suffix" : "" }, { "dropping-particle" : "", "family" : "Marshall", "given" : "Owen J", "non-dropping-particle" : "", "parse-names" : false, "suffix" : "" }, { "dropping-particle" : "", "family" : "Brand", "given" : "Andrea H", "non-dropping-particle" : "", "parse-names" : false, "suffix" : "" } ], "container-title" : "Developmental cell", "id" : "ITEM-1", "issue" : "1", "issued" : { "date-parts" : [ [ "2013", "7", "15" ] ] }, "page" : "101-12", "title" : "Cell-type-specific profiling of gene expression and chromatin binding without cell isolation: assaying RNA Pol II occupancy in neural stem cells.", "type" : "article-journal", "volume" : "26" }, "uris" : [ "http://www.mendeley.com/documents/?uuid=5c2c8f29-19a6-3abc-b0c3-76b6f364c0be" ] }, { "id" : "ITEM-2", "itemData" : { "DOI" : "10.1038/74487", "ISSN" : "1087-0156", "PMID" : "10748524", "abstract" : "We have developed a novel technique, named DamID, for the identification of DNA loci that interact in vivo with specific nuclear proteins in eukaryotes. By tethering Escherichia coli DNA adenine methyltransferase (Dam) to a chromatin protein, Dam can be targeted in vivo to native binding sites of this protein, resulting in local DNA methylation. Sites of methylation can subsequently be mapped using methylation-specific restriction enzymes or antibodies. We demonstrate the successful application of DamID both in Drosophila cell cultures and in whole flies. When Dam is tethered to the DNA-binding domain of GAL4, targeted methylation is limited to a region of a few kilobases surrounding a GAL4 binding sequence. Using DamID, we identified a number of expected and unexpected target loci for Drosophila heterochromatin protein 1. DamID has potential for genome-wide mapping of in vivo targets of chromatin proteins in various eukaryotes.", "author" : [ { "dropping-particle" : "", "family" : "Steensel", "given" : "B", "non-dropping-particle" : "van", "parse-names" : false, "suffix" : "" }, { "dropping-particle" : "", "family" : "Henikoff", "given" : "S", "non-dropping-particle" : "", "parse-names" : false, "suffix" : "" } ], "container-title" : "Nature biotechnology", "id" : "ITEM-2", "issue" : "4", "issued" : { "date-parts" : [ [ "2000", "4" ] ] }, "page" : "424-8", "title" : "Identification of in vivo DNA targets of chromatin proteins using tethered dam methyltransferase.", "type" : "article-journal", "volume" : "18" }, "uris" : [ "http://www.mendeley.com/documents/?uuid=db67aff7-30b7-4e3b-bd11-1362a6436ec2" ] } ], "mendeley" : { "formattedCitation" : "&lt;sup&gt;5,6&lt;/sup&gt;", "plainTextFormattedCitation" : "5,6", "previouslyFormattedCitation" : "&lt;sup&gt;5,6&lt;/sup&gt;" }, "properties" : { "noteIndex" : 0 }, "schema" : "https://github.com/citation-style-language/schema/raw/master/csl-citation.json" }</w:instrText>
      </w:r>
      <w:r w:rsidR="00256EEB" w:rsidRPr="00A2214F">
        <w:rPr>
          <w:lang w:val="en-GB"/>
        </w:rPr>
        <w:fldChar w:fldCharType="separate"/>
      </w:r>
      <w:r w:rsidR="004B251B" w:rsidRPr="00A2214F">
        <w:rPr>
          <w:noProof/>
          <w:vertAlign w:val="superscript"/>
          <w:lang w:val="en-GB"/>
        </w:rPr>
        <w:t>5,6</w:t>
      </w:r>
      <w:r w:rsidR="00256EEB" w:rsidRPr="00A2214F">
        <w:rPr>
          <w:lang w:val="en-GB"/>
        </w:rPr>
        <w:fldChar w:fldCharType="end"/>
      </w:r>
      <w:r w:rsidR="008D2CAB" w:rsidRPr="00A2214F">
        <w:rPr>
          <w:lang w:val="en-GB"/>
        </w:rPr>
        <w:t xml:space="preserve"> </w:t>
      </w:r>
      <w:r w:rsidR="00323499" w:rsidRPr="00A2214F">
        <w:rPr>
          <w:lang w:val="en-GB"/>
        </w:rPr>
        <w:t xml:space="preserve">in which </w:t>
      </w:r>
      <w:r w:rsidR="008D2CAB" w:rsidRPr="00A2214F">
        <w:rPr>
          <w:lang w:val="en-GB"/>
        </w:rPr>
        <w:t xml:space="preserve">DNA or chromatin binding proteins are fused to </w:t>
      </w:r>
      <w:r w:rsidR="001F57C3" w:rsidRPr="00A2214F">
        <w:rPr>
          <w:lang w:val="en-GB"/>
        </w:rPr>
        <w:t>the</w:t>
      </w:r>
      <w:r w:rsidR="00323499" w:rsidRPr="00A2214F">
        <w:rPr>
          <w:lang w:val="en-GB"/>
        </w:rPr>
        <w:t xml:space="preserve"> </w:t>
      </w:r>
      <w:r w:rsidR="00323499" w:rsidRPr="00A2214F">
        <w:rPr>
          <w:i/>
          <w:lang w:val="en-GB"/>
        </w:rPr>
        <w:t xml:space="preserve">E.coli </w:t>
      </w:r>
      <w:r w:rsidR="000562D1" w:rsidRPr="00A2214F">
        <w:rPr>
          <w:lang w:val="en-GB"/>
        </w:rPr>
        <w:t>adenine meth</w:t>
      </w:r>
      <w:r w:rsidR="008D2CAB" w:rsidRPr="00A2214F">
        <w:rPr>
          <w:lang w:val="en-GB"/>
        </w:rPr>
        <w:t>yl</w:t>
      </w:r>
      <w:r w:rsidR="000562D1" w:rsidRPr="00A2214F">
        <w:rPr>
          <w:lang w:val="en-GB"/>
        </w:rPr>
        <w:t xml:space="preserve">ase </w:t>
      </w:r>
      <w:r w:rsidR="00323499" w:rsidRPr="00A2214F">
        <w:rPr>
          <w:lang w:val="en-GB"/>
        </w:rPr>
        <w:t xml:space="preserve">Dam (DNA adenine methylase) </w:t>
      </w:r>
      <w:r w:rsidR="008D2CAB" w:rsidRPr="00A2214F">
        <w:rPr>
          <w:lang w:val="en-GB"/>
        </w:rPr>
        <w:t xml:space="preserve">and </w:t>
      </w:r>
      <w:r w:rsidR="00323499" w:rsidRPr="00A2214F">
        <w:rPr>
          <w:lang w:val="en-GB"/>
        </w:rPr>
        <w:t>expressed at low levels under the</w:t>
      </w:r>
      <w:r w:rsidR="001F57C3" w:rsidRPr="00A2214F">
        <w:rPr>
          <w:lang w:val="en-GB"/>
        </w:rPr>
        <w:t xml:space="preserve"> spatio-temporal</w:t>
      </w:r>
      <w:r w:rsidR="00323499" w:rsidRPr="00A2214F">
        <w:rPr>
          <w:lang w:val="en-GB"/>
        </w:rPr>
        <w:t xml:space="preserve"> control of the </w:t>
      </w:r>
      <w:r w:rsidR="00A25431" w:rsidRPr="00A2214F">
        <w:rPr>
          <w:lang w:val="en-GB"/>
        </w:rPr>
        <w:t>GAL4</w:t>
      </w:r>
      <w:r w:rsidR="00323499" w:rsidRPr="00A2214F">
        <w:rPr>
          <w:lang w:val="en-GB"/>
        </w:rPr>
        <w:t xml:space="preserve"> system</w:t>
      </w:r>
      <w:r w:rsidR="008D2CAB" w:rsidRPr="00A2214F">
        <w:rPr>
          <w:lang w:val="en-GB"/>
        </w:rPr>
        <w:t xml:space="preserve"> </w:t>
      </w:r>
      <w:r w:rsidR="00B6762F" w:rsidRPr="00A2214F">
        <w:rPr>
          <w:lang w:val="en-GB"/>
        </w:rPr>
        <w:fldChar w:fldCharType="begin" w:fldLock="1"/>
      </w:r>
      <w:r w:rsidR="00855A5A" w:rsidRPr="00A2214F">
        <w:rPr>
          <w:lang w:val="en-GB"/>
        </w:rPr>
        <w:instrText>ADDIN CSL_CITATION { "citationItems" : [ { "id" : "ITEM-1", "itemData" : { "DOI" : "10.1101/lm.1331809", "ISBN" : "0950-1991 (Print)", "ISSN" : "0950-1991", "PMID" : "8223268", "abstract" : "We have designed a system for targeted gene expression that allows the selective activation of any cloned gene in a wide variety of tissue- and cell-specific patterns. The gene encoding the yeast transcriptional activator GAL4 is inserted randomly into the Drosophila genome to drive GAL4 expression from one of a diverse array of genomic enhancers. It is then possible to introduce a gene containing GAL4 binding sites within its promoter, to activate it in those cells where GAL4 is expressed, and to observe the effect of this directed misexpression on development. We have used GAL4-directed transcription to expand the domain of embryonic expression of the homeobox protein even-skipped. We show that even-skipped represses wingless and transforms cells that would normally secrete naked cuticle into denticle secreting cells. The GAL4 system can thus be used to study regulatory interactions during embryonic development. In adults, targeted expression can be used to generate dominant phenotypes for use in genetic screens. We have directed expression of an activated form of the Dras2 protein, resulting in dominant eye and wing defects that can be used in screens to identify other members of the Dras2 signal transduction pathway.", "author" : [ { "dropping-particle" : "", "family" : "Brand", "given" : "A H", "non-dropping-particle" : "", "parse-names" : false, "suffix" : "" }, { "dropping-particle" : "", "family" : "Perrimon", "given" : "N", "non-dropping-particle" : "", "parse-names" : false, "suffix" : "" } ], "container-title" : "Development (Cambridge, England)", "id" : "ITEM-1", "issue" : "2", "issued" : { "date-parts" : [ [ "1993" ] ] }, "page" : "401-15", "title" : "Targeted gene expression as a means of altering cell fates and generating dominant phenotypes.", "type" : "article-journal", "volume" : "118" }, "uris" : [ "http://www.mendeley.com/documents/?uuid=9511d36e-8eec-4c5b-9cec-fa09f1cc51a8" ] } ], "mendeley" : { "formattedCitation" : "&lt;sup&gt;7&lt;/sup&gt;", "plainTextFormattedCitation" : "7", "previouslyFormattedCitation" : "&lt;sup&gt;7&lt;/sup&gt;" }, "properties" : { "noteIndex" : 0 }, "schema" : "https://github.com/citation-style-language/schema/raw/master/csl-citation.json" }</w:instrText>
      </w:r>
      <w:r w:rsidR="00B6762F" w:rsidRPr="00A2214F">
        <w:rPr>
          <w:lang w:val="en-GB"/>
        </w:rPr>
        <w:fldChar w:fldCharType="separate"/>
      </w:r>
      <w:r w:rsidR="004B251B" w:rsidRPr="00A2214F">
        <w:rPr>
          <w:noProof/>
          <w:vertAlign w:val="superscript"/>
          <w:lang w:val="en-GB"/>
        </w:rPr>
        <w:t>7</w:t>
      </w:r>
      <w:r w:rsidR="00B6762F" w:rsidRPr="00A2214F">
        <w:rPr>
          <w:lang w:val="en-GB"/>
        </w:rPr>
        <w:fldChar w:fldCharType="end"/>
      </w:r>
      <w:r w:rsidR="00B6762F" w:rsidRPr="00A2214F">
        <w:rPr>
          <w:lang w:val="en-GB"/>
        </w:rPr>
        <w:t>.</w:t>
      </w:r>
      <w:r w:rsidR="00323499" w:rsidRPr="00A2214F">
        <w:rPr>
          <w:lang w:val="en-GB"/>
        </w:rPr>
        <w:t xml:space="preserve"> </w:t>
      </w:r>
    </w:p>
    <w:p w14:paraId="01F9C518" w14:textId="77777777" w:rsidR="006707AF" w:rsidRDefault="006707AF" w:rsidP="00F803A5">
      <w:pPr>
        <w:pStyle w:val="Paragraph"/>
        <w:spacing w:before="0" w:line="480" w:lineRule="auto"/>
        <w:ind w:firstLine="0"/>
        <w:rPr>
          <w:lang w:val="en-GB"/>
        </w:rPr>
      </w:pPr>
    </w:p>
    <w:p w14:paraId="2C66A6A8" w14:textId="2A561ABA" w:rsidR="006707AF" w:rsidRPr="00F803A5" w:rsidRDefault="006707AF" w:rsidP="006707AF">
      <w:pPr>
        <w:spacing w:line="480" w:lineRule="auto"/>
        <w:rPr>
          <w:sz w:val="24"/>
          <w:szCs w:val="24"/>
        </w:rPr>
      </w:pPr>
      <w:r w:rsidRPr="00F803A5">
        <w:rPr>
          <w:sz w:val="24"/>
          <w:szCs w:val="24"/>
        </w:rPr>
        <w:t xml:space="preserve">We used RNA-DamID to investigate targeting of the </w:t>
      </w:r>
      <w:r w:rsidRPr="00F803A5">
        <w:rPr>
          <w:i/>
          <w:sz w:val="24"/>
          <w:szCs w:val="24"/>
        </w:rPr>
        <w:t>Drosophila</w:t>
      </w:r>
      <w:r w:rsidRPr="00F803A5">
        <w:rPr>
          <w:sz w:val="24"/>
          <w:szCs w:val="24"/>
        </w:rPr>
        <w:t xml:space="preserve"> dosage compensation complex (DCC), which is comprised of lncRNAs roX1 and roX2 and the male-specific lethal proteins MSL1, 2 and 3, MOF and MLE. The roX RNAs are paradigms of lncRNA biology and are critical for assembly of the DCC on the male X chromosome. Here we show that the roX lncRNAs bind to DCC assembly sites in a cell-type-specific fashion. Surprisingly, we found that roX2 can also bind to a subset of target sites in females. Previously it was thought that Msl2 is not expressed in females. However, we found that roX2 binding is abolished in Msl2 mutant females, demonstrating that Msl2 is expressed in females at levels that are sufficient to localise roX2 to a subset of high-affinity chromatin entry sites (CES).  roX2 is critically dependent on Msl2 for its recruitment. </w:t>
      </w:r>
    </w:p>
    <w:p w14:paraId="150F6A0D" w14:textId="77777777" w:rsidR="00A06982" w:rsidRDefault="00A06982" w:rsidP="00F803A5">
      <w:pPr>
        <w:pStyle w:val="Paragraph"/>
        <w:spacing w:before="0" w:line="480" w:lineRule="auto"/>
        <w:ind w:firstLine="0"/>
        <w:rPr>
          <w:lang w:val="en-GB"/>
        </w:rPr>
      </w:pPr>
    </w:p>
    <w:p w14:paraId="3EB472CD" w14:textId="77777777" w:rsidR="006707AF" w:rsidRDefault="006707AF" w:rsidP="00F803A5">
      <w:pPr>
        <w:pStyle w:val="Paragraph"/>
        <w:spacing w:before="0" w:line="480" w:lineRule="auto"/>
        <w:ind w:firstLine="0"/>
        <w:rPr>
          <w:b/>
          <w:lang w:val="en-GB"/>
        </w:rPr>
      </w:pPr>
      <w:r w:rsidRPr="00F803A5">
        <w:rPr>
          <w:b/>
          <w:lang w:val="en-GB"/>
        </w:rPr>
        <w:t>Results</w:t>
      </w:r>
    </w:p>
    <w:p w14:paraId="59D50D77" w14:textId="4FC073FD" w:rsidR="00A06982" w:rsidRPr="00F803A5" w:rsidRDefault="00A06982" w:rsidP="00F803A5">
      <w:pPr>
        <w:spacing w:after="120" w:line="480" w:lineRule="auto"/>
        <w:jc w:val="both"/>
        <w:rPr>
          <w:b/>
        </w:rPr>
      </w:pPr>
      <w:r>
        <w:rPr>
          <w:b/>
          <w:sz w:val="24"/>
          <w:szCs w:val="24"/>
        </w:rPr>
        <w:t>RNA-DamID a system for detecting cell-type specific lncRNA-chromatin interactions</w:t>
      </w:r>
    </w:p>
    <w:p w14:paraId="2EE9BAF5" w14:textId="58D9B867" w:rsidR="00323499" w:rsidRPr="00A2214F" w:rsidRDefault="00323499" w:rsidP="00F803A5">
      <w:pPr>
        <w:pStyle w:val="Paragraph"/>
        <w:spacing w:before="0" w:line="480" w:lineRule="auto"/>
        <w:ind w:firstLine="0"/>
        <w:rPr>
          <w:lang w:val="en-GB"/>
        </w:rPr>
      </w:pPr>
      <w:r w:rsidRPr="00A2214F">
        <w:rPr>
          <w:lang w:val="en-GB"/>
        </w:rPr>
        <w:t xml:space="preserve">We adapted TaDa to detect RNA-chromatin interactions using the </w:t>
      </w:r>
      <w:r w:rsidR="00230BD3" w:rsidRPr="00A2214F">
        <w:rPr>
          <w:lang w:val="en-GB"/>
        </w:rPr>
        <w:t xml:space="preserve">bacteriophage </w:t>
      </w:r>
      <w:r w:rsidRPr="00A2214F">
        <w:rPr>
          <w:lang w:val="en-GB"/>
        </w:rPr>
        <w:t>MCP-MS2 system.</w:t>
      </w:r>
      <w:r w:rsidR="00D862D5" w:rsidRPr="00A2214F">
        <w:rPr>
          <w:lang w:val="en-GB"/>
        </w:rPr>
        <w:t xml:space="preserve"> First </w:t>
      </w:r>
      <w:r w:rsidR="00F73434" w:rsidRPr="00A2214F">
        <w:rPr>
          <w:lang w:val="en-GB"/>
        </w:rPr>
        <w:t xml:space="preserve">we </w:t>
      </w:r>
      <w:r w:rsidR="00D862D5" w:rsidRPr="00A2214F">
        <w:rPr>
          <w:lang w:val="en-GB"/>
        </w:rPr>
        <w:t>fused the MS2 coat protein (MCP) tandem dimer to the bacterial Dam methylase (</w:t>
      </w:r>
      <w:r w:rsidR="00A06982">
        <w:rPr>
          <w:b/>
          <w:lang w:val="en-GB"/>
        </w:rPr>
        <w:t>Supplementary</w:t>
      </w:r>
      <w:r w:rsidR="00D862D5" w:rsidRPr="00A2214F">
        <w:rPr>
          <w:b/>
          <w:lang w:val="en-GB"/>
        </w:rPr>
        <w:t xml:space="preserve"> Fig</w:t>
      </w:r>
      <w:r w:rsidR="009A7C53" w:rsidRPr="00A2214F">
        <w:rPr>
          <w:b/>
          <w:lang w:val="en-GB"/>
        </w:rPr>
        <w:t>.</w:t>
      </w:r>
      <w:r w:rsidR="00D862D5" w:rsidRPr="00A2214F">
        <w:rPr>
          <w:b/>
          <w:lang w:val="en-GB"/>
        </w:rPr>
        <w:t xml:space="preserve"> 1a</w:t>
      </w:r>
      <w:r w:rsidR="00D862D5" w:rsidRPr="00A2214F">
        <w:rPr>
          <w:lang w:val="en-GB"/>
        </w:rPr>
        <w:t xml:space="preserve">). </w:t>
      </w:r>
      <w:r w:rsidRPr="00A2214F">
        <w:rPr>
          <w:lang w:val="en-GB"/>
        </w:rPr>
        <w:t xml:space="preserve"> </w:t>
      </w:r>
      <w:r w:rsidR="00D862D5" w:rsidRPr="00A2214F">
        <w:rPr>
          <w:lang w:val="en-GB"/>
        </w:rPr>
        <w:t xml:space="preserve">Next </w:t>
      </w:r>
      <w:r w:rsidR="00230BD3" w:rsidRPr="00A2214F">
        <w:rPr>
          <w:lang w:val="en-GB"/>
        </w:rPr>
        <w:t>we tagged the lncRNA of interest with three MS2 RNA stem loops</w:t>
      </w:r>
      <w:r w:rsidR="00EA46EC" w:rsidRPr="00A2214F">
        <w:rPr>
          <w:lang w:val="en-GB"/>
        </w:rPr>
        <w:t xml:space="preserve"> (</w:t>
      </w:r>
      <w:r w:rsidR="00A06982">
        <w:rPr>
          <w:b/>
          <w:lang w:val="en-GB"/>
        </w:rPr>
        <w:t>Supplementary</w:t>
      </w:r>
      <w:r w:rsidR="00EA46EC" w:rsidRPr="00A2214F">
        <w:rPr>
          <w:b/>
          <w:lang w:val="en-GB"/>
        </w:rPr>
        <w:t xml:space="preserve"> Fig</w:t>
      </w:r>
      <w:r w:rsidR="009A7C53" w:rsidRPr="00A2214F">
        <w:rPr>
          <w:b/>
          <w:lang w:val="en-GB"/>
        </w:rPr>
        <w:t>.</w:t>
      </w:r>
      <w:r w:rsidR="00EA46EC" w:rsidRPr="00A2214F">
        <w:rPr>
          <w:b/>
          <w:lang w:val="en-GB"/>
        </w:rPr>
        <w:t xml:space="preserve"> 1</w:t>
      </w:r>
      <w:r w:rsidR="00D862D5" w:rsidRPr="00A2214F">
        <w:rPr>
          <w:b/>
          <w:lang w:val="en-GB"/>
        </w:rPr>
        <w:t>b</w:t>
      </w:r>
      <w:r w:rsidR="00EA46EC" w:rsidRPr="00A2214F">
        <w:rPr>
          <w:lang w:val="en-GB"/>
        </w:rPr>
        <w:t>)</w:t>
      </w:r>
      <w:r w:rsidR="00230BD3" w:rsidRPr="00A2214F">
        <w:rPr>
          <w:lang w:val="en-GB"/>
        </w:rPr>
        <w:t>.</w:t>
      </w:r>
      <w:r w:rsidR="00D862D5" w:rsidRPr="00A2214F">
        <w:rPr>
          <w:lang w:val="en-GB"/>
        </w:rPr>
        <w:t xml:space="preserve"> MCP is able to bind to the MS2 tag with nanomolar affinity </w:t>
      </w:r>
      <w:r w:rsidR="00D862D5" w:rsidRPr="00A2214F">
        <w:rPr>
          <w:lang w:val="en-GB"/>
        </w:rPr>
        <w:fldChar w:fldCharType="begin" w:fldLock="1"/>
      </w:r>
      <w:r w:rsidR="00D862D5" w:rsidRPr="00A2214F">
        <w:rPr>
          <w:lang w:val="en-GB"/>
        </w:rPr>
        <w:instrText>ADDIN CSL_CITATION { "citationItems" : [ { "id" : "ITEM-1", "itemData" : { "ISBN" : "0261-4189 (Print)\\r0261-4189 (Linking)", "ISSN" : "0261-4189", "PMID" : "8440248", "abstract" : "The coat protein of the RNA bacteriophage MS2 binds a specific stem-loop structure in viral RNA to accomplish encapsidation of the genome and translational repression of replicase synthesis. In order to identify the structural components of coat protein required for its RNA binding function, a series of repressor-defective mutants has been isolated. To ensure that the repressor defects were due to substitution of binding site residues, the mutant coat proteins were screened for retention of the ability to form virus-like particles. Since virus assembly presumably requires native structure, this approach eliminated mutants whose repressor defects were secondary consequences of protein folding or stability defects. Each of the variant coat proteins was purified and its ability to bind operator RNA in vitro was measured. DNA sequence analysis identified the nucleotide and amino acid substitutions responsible for reduced RNA binding affinity. Localization of the substituted sites in the three-dimensional structure of coat protein reveals that amino acid residues on three adjacent strands of the coat protein beta-sheet are required for translational repression and RNA binding. The sidechains of the affected residues form a contiguous patch on the interior surface of the viral coat.", "author" : [ { "dropping-particle" : "", "family" : "Peabody", "given" : "D S", "non-dropping-particle" : "", "parse-names" : false, "suffix" : "" } ], "container-title" : "The EMBO journal", "id" : "ITEM-1", "issue" : "2", "issued" : { "date-parts" : [ [ "1993" ] ] }, "page" : "595-600", "title" : "The RNA binding site of bacteriophage MS2 coat protein.", "type" : "article-journal", "volume" : "12" }, "uris" : [ "http://www.mendeley.com/documents/?uuid=d6c8f765-4237-4e3a-a49f-40d45a432138" ] } ], "mendeley" : { "formattedCitation" : "&lt;sup&gt;8&lt;/sup&gt;", "plainTextFormattedCitation" : "8", "previouslyFormattedCitation" : "&lt;sup&gt;8&lt;/sup&gt;" }, "properties" : { "noteIndex" : 0 }, "schema" : "https://github.com/citation-style-language/schema/raw/master/csl-citation.json" }</w:instrText>
      </w:r>
      <w:r w:rsidR="00D862D5" w:rsidRPr="00A2214F">
        <w:rPr>
          <w:lang w:val="en-GB"/>
        </w:rPr>
        <w:fldChar w:fldCharType="separate"/>
      </w:r>
      <w:r w:rsidR="00D862D5" w:rsidRPr="00A2214F">
        <w:rPr>
          <w:noProof/>
          <w:vertAlign w:val="superscript"/>
          <w:lang w:val="en-GB"/>
        </w:rPr>
        <w:t>8</w:t>
      </w:r>
      <w:r w:rsidR="00D862D5" w:rsidRPr="00A2214F">
        <w:rPr>
          <w:lang w:val="en-GB"/>
        </w:rPr>
        <w:fldChar w:fldCharType="end"/>
      </w:r>
      <w:r w:rsidR="00D862D5" w:rsidRPr="00A2214F">
        <w:rPr>
          <w:lang w:val="en-GB"/>
        </w:rPr>
        <w:t xml:space="preserve">. If the tagged lncRNA binds, or is recruited to, genomic DNA or chromatin then the Dam-MCP fusion should </w:t>
      </w:r>
      <w:r w:rsidR="00C07A08" w:rsidRPr="00A2214F">
        <w:rPr>
          <w:lang w:val="en-GB"/>
        </w:rPr>
        <w:t>recogni</w:t>
      </w:r>
      <w:r w:rsidR="00C07A08">
        <w:rPr>
          <w:lang w:val="en-GB"/>
        </w:rPr>
        <w:t>s</w:t>
      </w:r>
      <w:r w:rsidR="00C07A08" w:rsidRPr="00A2214F">
        <w:rPr>
          <w:lang w:val="en-GB"/>
        </w:rPr>
        <w:t xml:space="preserve">e the tagged RNA and </w:t>
      </w:r>
      <w:r w:rsidR="00D862D5" w:rsidRPr="00A2214F">
        <w:rPr>
          <w:lang w:val="en-GB"/>
        </w:rPr>
        <w:t>methylate adenine residues in the sequence GATC in the vicinity of the RNA-chromatin interaction (</w:t>
      </w:r>
      <w:r w:rsidR="00D862D5" w:rsidRPr="00A2214F">
        <w:rPr>
          <w:b/>
          <w:lang w:val="en-GB"/>
        </w:rPr>
        <w:t>Fig. 1a</w:t>
      </w:r>
      <w:r w:rsidR="00D862D5" w:rsidRPr="00A2214F">
        <w:rPr>
          <w:lang w:val="en-GB"/>
        </w:rPr>
        <w:t xml:space="preserve">). </w:t>
      </w:r>
      <w:r w:rsidR="00C07A08">
        <w:rPr>
          <w:lang w:val="en-GB"/>
        </w:rPr>
        <w:t>As a negative control we expressed t</w:t>
      </w:r>
      <w:r w:rsidR="00D862D5" w:rsidRPr="00A2214F">
        <w:rPr>
          <w:lang w:val="en-GB"/>
        </w:rPr>
        <w:t xml:space="preserve">hree MS2 RNA loops </w:t>
      </w:r>
      <w:r w:rsidR="00C07A08">
        <w:rPr>
          <w:lang w:val="en-GB"/>
        </w:rPr>
        <w:t>lacking</w:t>
      </w:r>
      <w:r w:rsidR="00D862D5" w:rsidRPr="00A2214F">
        <w:rPr>
          <w:lang w:val="en-GB"/>
        </w:rPr>
        <w:t xml:space="preserve"> </w:t>
      </w:r>
      <w:r w:rsidR="008B7430" w:rsidRPr="00A2214F">
        <w:rPr>
          <w:lang w:val="en-GB"/>
        </w:rPr>
        <w:t>a fused</w:t>
      </w:r>
      <w:r w:rsidR="00D862D5" w:rsidRPr="00A2214F">
        <w:rPr>
          <w:lang w:val="en-GB"/>
        </w:rPr>
        <w:t xml:space="preserve"> lncRNA (</w:t>
      </w:r>
      <w:r w:rsidR="00A06982">
        <w:rPr>
          <w:b/>
          <w:lang w:val="en-GB"/>
        </w:rPr>
        <w:t>Supplementary</w:t>
      </w:r>
      <w:r w:rsidR="00D862D5" w:rsidRPr="00A2214F">
        <w:rPr>
          <w:b/>
          <w:lang w:val="en-GB"/>
        </w:rPr>
        <w:t xml:space="preserve"> Fig</w:t>
      </w:r>
      <w:r w:rsidR="009A7C53" w:rsidRPr="00A2214F">
        <w:rPr>
          <w:b/>
          <w:lang w:val="en-GB"/>
        </w:rPr>
        <w:t>.</w:t>
      </w:r>
      <w:r w:rsidR="00D862D5" w:rsidRPr="00A2214F">
        <w:rPr>
          <w:b/>
          <w:lang w:val="en-GB"/>
        </w:rPr>
        <w:t xml:space="preserve"> 1c</w:t>
      </w:r>
      <w:r w:rsidR="004514D9" w:rsidRPr="00A2214F">
        <w:rPr>
          <w:b/>
          <w:lang w:val="en-GB"/>
        </w:rPr>
        <w:t>, 2a</w:t>
      </w:r>
      <w:r w:rsidR="00D862D5" w:rsidRPr="00A2214F">
        <w:rPr>
          <w:lang w:val="en-GB"/>
        </w:rPr>
        <w:t>).</w:t>
      </w:r>
      <w:r w:rsidR="00230BD3" w:rsidRPr="00A2214F">
        <w:rPr>
          <w:lang w:val="en-GB"/>
        </w:rPr>
        <w:t xml:space="preserve"> </w:t>
      </w:r>
      <w:r w:rsidR="00B00B60" w:rsidRPr="00A2214F">
        <w:rPr>
          <w:lang w:val="en-GB"/>
        </w:rPr>
        <w:t>Spatio-temporal control of RNA-DamID expression by GAL4</w:t>
      </w:r>
      <w:r w:rsidR="00DF4E6A">
        <w:rPr>
          <w:lang w:val="en-GB"/>
        </w:rPr>
        <w:t xml:space="preserve"> and GAL80</w:t>
      </w:r>
      <w:r w:rsidR="00DF4E6A">
        <w:rPr>
          <w:vertAlign w:val="superscript"/>
          <w:lang w:val="en-GB"/>
        </w:rPr>
        <w:t>ts</w:t>
      </w:r>
      <w:r w:rsidR="00B00B60" w:rsidRPr="00A2214F">
        <w:rPr>
          <w:lang w:val="en-GB"/>
        </w:rPr>
        <w:t xml:space="preserve"> enables the detection of RNA-chromatin interactions in any cell type of interest. </w:t>
      </w:r>
      <w:r w:rsidR="004F7A89" w:rsidRPr="00A2214F">
        <w:rPr>
          <w:lang w:val="en-GB"/>
        </w:rPr>
        <w:t>Digestion</w:t>
      </w:r>
      <w:r w:rsidRPr="00A2214F">
        <w:rPr>
          <w:lang w:val="en-GB"/>
        </w:rPr>
        <w:t xml:space="preserve"> with the </w:t>
      </w:r>
      <w:r w:rsidR="001043DB" w:rsidRPr="00A2214F">
        <w:rPr>
          <w:lang w:val="en-GB"/>
        </w:rPr>
        <w:t>methylat</w:t>
      </w:r>
      <w:r w:rsidR="00B00B60" w:rsidRPr="00A2214F">
        <w:rPr>
          <w:lang w:val="en-GB"/>
        </w:rPr>
        <w:t>ion-</w:t>
      </w:r>
      <w:r w:rsidR="001043DB" w:rsidRPr="00A2214F">
        <w:rPr>
          <w:lang w:val="en-GB"/>
        </w:rPr>
        <w:t xml:space="preserve">specific </w:t>
      </w:r>
      <w:r w:rsidR="000B59A4" w:rsidRPr="00A2214F">
        <w:rPr>
          <w:lang w:val="en-GB"/>
        </w:rPr>
        <w:t>restriction</w:t>
      </w:r>
      <w:r w:rsidR="001043DB" w:rsidRPr="00A2214F">
        <w:rPr>
          <w:lang w:val="en-GB"/>
        </w:rPr>
        <w:t xml:space="preserve"> </w:t>
      </w:r>
      <w:r w:rsidRPr="00A2214F">
        <w:rPr>
          <w:lang w:val="en-GB"/>
        </w:rPr>
        <w:t>enzyme</w:t>
      </w:r>
      <w:r w:rsidR="00B00B60" w:rsidRPr="00A2214F">
        <w:rPr>
          <w:lang w:val="en-GB"/>
        </w:rPr>
        <w:t>,</w:t>
      </w:r>
      <w:r w:rsidRPr="00A2214F">
        <w:rPr>
          <w:lang w:val="en-GB"/>
        </w:rPr>
        <w:t xml:space="preserve"> DpnI, followed by adaptor ligation, PCR and</w:t>
      </w:r>
      <w:r w:rsidR="002A6244" w:rsidRPr="00A2214F">
        <w:rPr>
          <w:lang w:val="en-GB"/>
        </w:rPr>
        <w:t xml:space="preserve"> </w:t>
      </w:r>
      <w:r w:rsidR="001043DB" w:rsidRPr="00A2214F">
        <w:rPr>
          <w:lang w:val="en-GB"/>
        </w:rPr>
        <w:t>deep</w:t>
      </w:r>
      <w:r w:rsidRPr="00A2214F">
        <w:rPr>
          <w:lang w:val="en-GB"/>
        </w:rPr>
        <w:t xml:space="preserve"> sequencing</w:t>
      </w:r>
      <w:r w:rsidR="002A6244" w:rsidRPr="00A2214F">
        <w:rPr>
          <w:lang w:val="en-GB"/>
        </w:rPr>
        <w:t xml:space="preserve"> allows genome-wide detection of</w:t>
      </w:r>
      <w:r w:rsidRPr="00A2214F">
        <w:rPr>
          <w:lang w:val="en-GB"/>
        </w:rPr>
        <w:t xml:space="preserve"> </w:t>
      </w:r>
      <w:r w:rsidR="004F7A89" w:rsidRPr="00A2214F">
        <w:rPr>
          <w:lang w:val="en-GB"/>
        </w:rPr>
        <w:t>RNA occupancy</w:t>
      </w:r>
      <w:r w:rsidRPr="00A2214F">
        <w:rPr>
          <w:lang w:val="en-GB"/>
        </w:rPr>
        <w:t>.</w:t>
      </w:r>
      <w:r w:rsidR="002621F4" w:rsidRPr="00A2214F">
        <w:rPr>
          <w:lang w:val="en-GB"/>
        </w:rPr>
        <w:t xml:space="preserve"> </w:t>
      </w:r>
      <w:r w:rsidR="00B00B60" w:rsidRPr="00A2214F">
        <w:rPr>
          <w:lang w:val="en-GB"/>
        </w:rPr>
        <w:t>RNA-DamID works in intact ti</w:t>
      </w:r>
      <w:r w:rsidR="001F0B02">
        <w:rPr>
          <w:lang w:val="en-GB"/>
        </w:rPr>
        <w:t xml:space="preserve">ssues and does not require cell </w:t>
      </w:r>
      <w:r w:rsidR="00B00B60" w:rsidRPr="00A2214F">
        <w:rPr>
          <w:lang w:val="en-GB"/>
        </w:rPr>
        <w:t xml:space="preserve">sorting, crosslinking or immunoprecipitation. </w:t>
      </w:r>
    </w:p>
    <w:p w14:paraId="78626BDA" w14:textId="35B18AE8" w:rsidR="00B00B60" w:rsidRPr="00C07A08" w:rsidRDefault="00A06982" w:rsidP="00F803A5">
      <w:pPr>
        <w:spacing w:line="480" w:lineRule="auto"/>
        <w:rPr>
          <w:sz w:val="24"/>
          <w:szCs w:val="24"/>
        </w:rPr>
      </w:pPr>
      <w:r>
        <w:rPr>
          <w:b/>
          <w:sz w:val="24"/>
          <w:szCs w:val="24"/>
        </w:rPr>
        <w:t xml:space="preserve">RNA-DamID detects lncRNA-chromatin interaction </w:t>
      </w:r>
      <w:r>
        <w:rPr>
          <w:b/>
          <w:i/>
          <w:sz w:val="24"/>
          <w:szCs w:val="24"/>
        </w:rPr>
        <w:t xml:space="preserve">in vivo </w:t>
      </w:r>
      <w:r>
        <w:rPr>
          <w:b/>
          <w:sz w:val="24"/>
          <w:szCs w:val="24"/>
        </w:rPr>
        <w:t>with high sensitivity</w:t>
      </w:r>
    </w:p>
    <w:p w14:paraId="6DCFA9D4" w14:textId="3B41F7A7" w:rsidR="00B20AB4" w:rsidRDefault="002621F4" w:rsidP="00F803A5">
      <w:pPr>
        <w:tabs>
          <w:tab w:val="left" w:pos="940"/>
        </w:tabs>
        <w:spacing w:line="480" w:lineRule="auto"/>
        <w:rPr>
          <w:sz w:val="24"/>
          <w:szCs w:val="24"/>
        </w:rPr>
      </w:pPr>
      <w:r w:rsidRPr="00C07A08">
        <w:rPr>
          <w:sz w:val="24"/>
          <w:szCs w:val="24"/>
        </w:rPr>
        <w:t xml:space="preserve">The </w:t>
      </w:r>
      <w:r w:rsidR="00037B19" w:rsidRPr="00C07A08">
        <w:rPr>
          <w:sz w:val="24"/>
          <w:szCs w:val="24"/>
        </w:rPr>
        <w:t>lnc</w:t>
      </w:r>
      <w:r w:rsidR="00680909" w:rsidRPr="00C07A08">
        <w:rPr>
          <w:sz w:val="24"/>
          <w:szCs w:val="24"/>
        </w:rPr>
        <w:t>RNAs</w:t>
      </w:r>
      <w:r w:rsidRPr="00C07A08">
        <w:rPr>
          <w:sz w:val="24"/>
          <w:szCs w:val="24"/>
        </w:rPr>
        <w:t xml:space="preserve"> </w:t>
      </w:r>
      <w:r w:rsidR="00EE6847" w:rsidRPr="00C07A08">
        <w:rPr>
          <w:sz w:val="24"/>
          <w:szCs w:val="24"/>
        </w:rPr>
        <w:t>roX</w:t>
      </w:r>
      <w:r w:rsidR="00680909" w:rsidRPr="00C07A08">
        <w:rPr>
          <w:sz w:val="24"/>
          <w:szCs w:val="24"/>
        </w:rPr>
        <w:t>1 and roX2</w:t>
      </w:r>
      <w:r w:rsidR="00037B19" w:rsidRPr="00C07A08">
        <w:rPr>
          <w:sz w:val="24"/>
          <w:szCs w:val="24"/>
        </w:rPr>
        <w:t>,</w:t>
      </w:r>
      <w:r w:rsidR="00680909" w:rsidRPr="00C07A08">
        <w:rPr>
          <w:sz w:val="24"/>
          <w:szCs w:val="24"/>
        </w:rPr>
        <w:t xml:space="preserve"> </w:t>
      </w:r>
      <w:r w:rsidR="00037B19" w:rsidRPr="00C07A08">
        <w:rPr>
          <w:sz w:val="24"/>
          <w:szCs w:val="24"/>
        </w:rPr>
        <w:t xml:space="preserve">which regulate </w:t>
      </w:r>
      <w:r w:rsidR="00037B19" w:rsidRPr="00C07A08">
        <w:rPr>
          <w:i/>
          <w:sz w:val="24"/>
          <w:szCs w:val="24"/>
        </w:rPr>
        <w:t>Drosophila</w:t>
      </w:r>
      <w:r w:rsidR="00037B19" w:rsidRPr="00C07A08">
        <w:rPr>
          <w:sz w:val="24"/>
          <w:szCs w:val="24"/>
        </w:rPr>
        <w:t xml:space="preserve"> dosage compensation, </w:t>
      </w:r>
      <w:r w:rsidR="00680909" w:rsidRPr="00C07A08">
        <w:rPr>
          <w:sz w:val="24"/>
          <w:szCs w:val="24"/>
        </w:rPr>
        <w:t>are among the best</w:t>
      </w:r>
      <w:r w:rsidR="004514D9" w:rsidRPr="00C07A08">
        <w:rPr>
          <w:sz w:val="24"/>
          <w:szCs w:val="24"/>
        </w:rPr>
        <w:t>-</w:t>
      </w:r>
      <w:r w:rsidR="00680909" w:rsidRPr="00C07A08">
        <w:rPr>
          <w:sz w:val="24"/>
          <w:szCs w:val="24"/>
        </w:rPr>
        <w:t>understood examples of lncRNA function.</w:t>
      </w:r>
      <w:r w:rsidR="00EE6847" w:rsidRPr="00C07A08">
        <w:rPr>
          <w:sz w:val="24"/>
          <w:szCs w:val="24"/>
        </w:rPr>
        <w:t xml:space="preserve"> </w:t>
      </w:r>
      <w:r w:rsidR="00680909" w:rsidRPr="00C07A08">
        <w:rPr>
          <w:sz w:val="24"/>
          <w:szCs w:val="24"/>
        </w:rPr>
        <w:t>The roX RNAs</w:t>
      </w:r>
      <w:r w:rsidR="00EE6847" w:rsidRPr="00C07A08">
        <w:rPr>
          <w:sz w:val="24"/>
          <w:szCs w:val="24"/>
        </w:rPr>
        <w:t xml:space="preserve"> </w:t>
      </w:r>
      <w:r w:rsidR="004E7AF7" w:rsidRPr="00C07A08">
        <w:rPr>
          <w:sz w:val="24"/>
          <w:szCs w:val="24"/>
        </w:rPr>
        <w:t>assemble into a complex</w:t>
      </w:r>
      <w:r w:rsidR="00680909" w:rsidRPr="00C07A08">
        <w:rPr>
          <w:sz w:val="24"/>
          <w:szCs w:val="24"/>
        </w:rPr>
        <w:t xml:space="preserve"> with</w:t>
      </w:r>
      <w:r w:rsidR="004E7AF7" w:rsidRPr="00C07A08">
        <w:rPr>
          <w:sz w:val="24"/>
          <w:szCs w:val="24"/>
        </w:rPr>
        <w:t xml:space="preserve"> the</w:t>
      </w:r>
      <w:r w:rsidR="00EE6847" w:rsidRPr="00C07A08">
        <w:rPr>
          <w:sz w:val="24"/>
          <w:szCs w:val="24"/>
        </w:rPr>
        <w:t xml:space="preserve"> </w:t>
      </w:r>
      <w:r w:rsidR="00037B19" w:rsidRPr="00C07A08">
        <w:rPr>
          <w:sz w:val="24"/>
          <w:szCs w:val="24"/>
        </w:rPr>
        <w:t>male</w:t>
      </w:r>
      <w:r w:rsidR="00A90368">
        <w:rPr>
          <w:sz w:val="24"/>
          <w:szCs w:val="24"/>
        </w:rPr>
        <w:t>-</w:t>
      </w:r>
      <w:r w:rsidR="00A12331" w:rsidRPr="00A90368">
        <w:rPr>
          <w:sz w:val="24"/>
          <w:szCs w:val="24"/>
        </w:rPr>
        <w:t xml:space="preserve">specific </w:t>
      </w:r>
      <w:r w:rsidR="00037B19" w:rsidRPr="00A90368">
        <w:rPr>
          <w:sz w:val="24"/>
          <w:szCs w:val="24"/>
        </w:rPr>
        <w:t xml:space="preserve">lethal </w:t>
      </w:r>
      <w:r w:rsidR="00EE6847" w:rsidRPr="00A90368">
        <w:rPr>
          <w:sz w:val="24"/>
          <w:szCs w:val="24"/>
        </w:rPr>
        <w:t>(</w:t>
      </w:r>
      <w:r w:rsidR="00037B19" w:rsidRPr="00A90368">
        <w:rPr>
          <w:sz w:val="24"/>
          <w:szCs w:val="24"/>
        </w:rPr>
        <w:t>MSL</w:t>
      </w:r>
      <w:r w:rsidR="00EE6847" w:rsidRPr="00A90368">
        <w:rPr>
          <w:sz w:val="24"/>
          <w:szCs w:val="24"/>
        </w:rPr>
        <w:t>)</w:t>
      </w:r>
      <w:r w:rsidR="00680909" w:rsidRPr="00A90368">
        <w:rPr>
          <w:sz w:val="24"/>
          <w:szCs w:val="24"/>
        </w:rPr>
        <w:t xml:space="preserve"> protein</w:t>
      </w:r>
      <w:r w:rsidR="004E7AF7" w:rsidRPr="00A90368">
        <w:rPr>
          <w:sz w:val="24"/>
          <w:szCs w:val="24"/>
        </w:rPr>
        <w:t>s</w:t>
      </w:r>
      <w:r w:rsidR="00EE6847" w:rsidRPr="00A90368">
        <w:rPr>
          <w:sz w:val="24"/>
          <w:szCs w:val="24"/>
        </w:rPr>
        <w:t xml:space="preserve"> </w:t>
      </w:r>
      <w:r w:rsidR="004E7AF7" w:rsidRPr="00A90368">
        <w:rPr>
          <w:sz w:val="24"/>
          <w:szCs w:val="24"/>
        </w:rPr>
        <w:t>at specific sites on the male X chromosome</w:t>
      </w:r>
      <w:r w:rsidR="00680909" w:rsidRPr="00A90368">
        <w:rPr>
          <w:sz w:val="24"/>
          <w:szCs w:val="24"/>
        </w:rPr>
        <w:t xml:space="preserve"> </w:t>
      </w:r>
      <w:r w:rsidR="00680909" w:rsidRPr="00C07A08">
        <w:rPr>
          <w:sz w:val="24"/>
          <w:szCs w:val="24"/>
        </w:rPr>
        <w:fldChar w:fldCharType="begin" w:fldLock="1"/>
      </w:r>
      <w:r w:rsidR="002F59D9" w:rsidRPr="00C07A08">
        <w:rPr>
          <w:sz w:val="24"/>
          <w:szCs w:val="24"/>
        </w:rPr>
        <w:instrText>ADDIN CSL_CITATION { "citationItems" : [ { "id" : "ITEM-1", "itemData" : { "DOI" : "10.1016/S1097-2765(00)80193-8", "ISBN" : "1097-2765", "ISSN" : "10972765", "PMID" : "10445033", "abstract" : "The rox1 and rox2 RNAs have been suggested to be components of the dosage compensation machinery in Drosophila. We show that both rox RNAs colocalize with the male-specific lethal proteins at hundreds of specific bands along the male X chromosome. The rox RNAs and MSL proteins also colocalize with the X chromosome in all somatic cells and are expressed in the same temporal pattern throughout development. Genetic analysis shows that the functions of the rox genes are redundant and required for the association of the MSL proteins with the male X chromosome. These data provide compelling evidence for a direct function of the rox RNAs in dosage compensation.", "author" : [ { "dropping-particle" : "", "family" : "Franke", "given" : "Axel", "non-dropping-particle" : "", "parse-names" : false, "suffix" : "" }, { "dropping-particle" : "", "family" : "Baker", "given" : "Bruce S.", "non-dropping-particle" : "", "parse-names" : false, "suffix" : "" } ], "container-title" : "Molecular Cell", "id" : "ITEM-1", "issue" : "1", "issued" : { "date-parts" : [ [ "1999" ] ] }, "page" : "117-122", "title" : "The rox1 and rox2 RNAs are essential components of the compensasome, which mediates dosage compensation in Drosophila", "type" : "article-journal", "volume" : "4" }, "uris" : [ "http://www.mendeley.com/documents/?uuid=0c90cf38-152d-4ac9-8100-da9f7a26f5f5" ] }, { "id" : "ITEM-2", "itemData" : { "ISSN" : "0092-8674", "PMID" : "9038336", "abstract" : "The Drosophila roX1 gene is X-linked and produces RNAs that are male-specific, somatic, and preferentially expressed in the central nervous system. These RNAs are retained in the nucleus and lack any significant open reading frame. Although all sexually dimorphic characteristics in Drosophila were thought to be controlled by the sex determination pathway through the gene transformer (tra), the expression of roX1 is independent of tra activity. Instead, the dosage compensation system is necessary and sufficient for the expression of roX1. Consistent with a potential function in dosage compensation, roX1 RNAs localize specifically to the male X chromosome. This localization occurs even when roX1 RNAs are expressed from autosomal locations in X-to-autosome translocations. The novel regulation and subnuclear localization of roX1 RNAs makes them candidates for an RNA component of the dosage compensation machinery.", "author" : [ { "dropping-particle" : "", "family" : "Meller", "given" : "V H", "non-dropping-particle" : "", "parse-names" : false, "suffix" : "" }, { "dropping-particle" : "", "family" : "Wu", "given" : "K H", "non-dropping-particle" : "", "parse-names" : false, "suffix" : "" }, { "dropping-particle" : "", "family" : "Roman", "given" : "G", "non-dropping-particle" : "", "parse-names" : false, "suffix" : "" }, { "dropping-particle" : "", "family" : "Kuroda", "given" : "M I", "non-dropping-particle" : "", "parse-names" : false, "suffix" : "" }, { "dropping-particle" : "", "family" : "Davis", "given" : "R L", "non-dropping-particle" : "", "parse-names" : false, "suffix" : "" } ], "container-title" : "Cell", "id" : "ITEM-2", "issue" : "4", "issued" : { "date-parts" : [ [ "1997", "2", "21" ] ] }, "page" : "445-57", "title" : "roX1 RNA paints the X chromosome of male Drosophila and is regulated by the dosage compensation system.", "type" : "article-journal", "volume" : "88" }, "uris" : [ "http://www.mendeley.com/documents/?uuid=575b5289-8d06-3d38-a594-0a70f77a6d38" ] } ], "mendeley" : { "formattedCitation" : "&lt;sup&gt;4,9&lt;/sup&gt;", "plainTextFormattedCitation" : "4,9", "previouslyFormattedCitation" : "&lt;sup&gt;4,9&lt;/sup&gt;" }, "properties" : { "noteIndex" : 0 }, "schema" : "https://github.com/citation-style-language/schema/raw/master/csl-citation.json" }</w:instrText>
      </w:r>
      <w:r w:rsidR="00680909" w:rsidRPr="00C07A08">
        <w:rPr>
          <w:sz w:val="24"/>
          <w:szCs w:val="24"/>
        </w:rPr>
        <w:fldChar w:fldCharType="separate"/>
      </w:r>
      <w:r w:rsidR="00855A5A" w:rsidRPr="00C07A08">
        <w:rPr>
          <w:noProof/>
          <w:sz w:val="24"/>
          <w:szCs w:val="24"/>
          <w:vertAlign w:val="superscript"/>
        </w:rPr>
        <w:t>4,9</w:t>
      </w:r>
      <w:r w:rsidR="00680909" w:rsidRPr="00C07A08">
        <w:rPr>
          <w:sz w:val="24"/>
          <w:szCs w:val="24"/>
        </w:rPr>
        <w:fldChar w:fldCharType="end"/>
      </w:r>
      <w:r w:rsidR="00680909" w:rsidRPr="00C07A08">
        <w:rPr>
          <w:sz w:val="24"/>
          <w:szCs w:val="24"/>
        </w:rPr>
        <w:t>. The MSL complex</w:t>
      </w:r>
      <w:r w:rsidR="00C806A6" w:rsidRPr="00A90368">
        <w:rPr>
          <w:sz w:val="24"/>
          <w:szCs w:val="24"/>
        </w:rPr>
        <w:t xml:space="preserve"> </w:t>
      </w:r>
      <w:r w:rsidR="006577F2" w:rsidRPr="00A90368">
        <w:rPr>
          <w:sz w:val="24"/>
          <w:szCs w:val="24"/>
        </w:rPr>
        <w:t>hyperactivates</w:t>
      </w:r>
      <w:r w:rsidR="00C806A6" w:rsidRPr="00A90368">
        <w:rPr>
          <w:sz w:val="24"/>
          <w:szCs w:val="24"/>
        </w:rPr>
        <w:t xml:space="preserve"> </w:t>
      </w:r>
      <w:r w:rsidR="00680909" w:rsidRPr="00A90368">
        <w:rPr>
          <w:sz w:val="24"/>
          <w:szCs w:val="24"/>
        </w:rPr>
        <w:t xml:space="preserve">genes </w:t>
      </w:r>
      <w:r w:rsidR="00037B19" w:rsidRPr="00A90368">
        <w:rPr>
          <w:sz w:val="24"/>
          <w:szCs w:val="24"/>
        </w:rPr>
        <w:t xml:space="preserve">on the male X chromosome </w:t>
      </w:r>
      <w:r w:rsidR="00680909" w:rsidRPr="00A90368">
        <w:rPr>
          <w:sz w:val="24"/>
          <w:szCs w:val="24"/>
        </w:rPr>
        <w:t xml:space="preserve">to </w:t>
      </w:r>
      <w:r w:rsidR="004E7AF7" w:rsidRPr="00A90368">
        <w:rPr>
          <w:sz w:val="24"/>
          <w:szCs w:val="24"/>
        </w:rPr>
        <w:t>equalise</w:t>
      </w:r>
      <w:r w:rsidR="002512B7">
        <w:rPr>
          <w:sz w:val="24"/>
          <w:szCs w:val="24"/>
        </w:rPr>
        <w:t xml:space="preserve"> gene</w:t>
      </w:r>
      <w:r w:rsidR="00680909" w:rsidRPr="00A90368">
        <w:rPr>
          <w:sz w:val="24"/>
          <w:szCs w:val="24"/>
        </w:rPr>
        <w:t xml:space="preserve"> </w:t>
      </w:r>
      <w:r w:rsidR="004E7AF7" w:rsidRPr="00A90368">
        <w:rPr>
          <w:sz w:val="24"/>
          <w:szCs w:val="24"/>
        </w:rPr>
        <w:t xml:space="preserve">expression </w:t>
      </w:r>
      <w:r w:rsidR="00680909" w:rsidRPr="00C07A08">
        <w:rPr>
          <w:sz w:val="24"/>
          <w:szCs w:val="24"/>
        </w:rPr>
        <w:t>between males and females.</w:t>
      </w:r>
      <w:r w:rsidRPr="00C07A08">
        <w:rPr>
          <w:sz w:val="24"/>
          <w:szCs w:val="24"/>
        </w:rPr>
        <w:t xml:space="preserve"> </w:t>
      </w:r>
      <w:r w:rsidR="00EE6847" w:rsidRPr="00C07A08">
        <w:rPr>
          <w:sz w:val="24"/>
          <w:szCs w:val="24"/>
        </w:rPr>
        <w:t>We</w:t>
      </w:r>
      <w:r w:rsidR="00323499" w:rsidRPr="00C07A08">
        <w:rPr>
          <w:sz w:val="24"/>
          <w:szCs w:val="24"/>
        </w:rPr>
        <w:t xml:space="preserve"> </w:t>
      </w:r>
      <w:r w:rsidR="009439FA" w:rsidRPr="00C07A08">
        <w:rPr>
          <w:sz w:val="24"/>
          <w:szCs w:val="24"/>
        </w:rPr>
        <w:t>generated</w:t>
      </w:r>
      <w:r w:rsidR="00323499" w:rsidRPr="00C07A08">
        <w:rPr>
          <w:sz w:val="24"/>
          <w:szCs w:val="24"/>
        </w:rPr>
        <w:t xml:space="preserve"> </w:t>
      </w:r>
      <w:r w:rsidR="00672821" w:rsidRPr="00C07A08">
        <w:rPr>
          <w:sz w:val="24"/>
          <w:szCs w:val="24"/>
        </w:rPr>
        <w:t>a</w:t>
      </w:r>
      <w:r w:rsidR="00323499" w:rsidRPr="00C07A08">
        <w:rPr>
          <w:sz w:val="24"/>
          <w:szCs w:val="24"/>
        </w:rPr>
        <w:t xml:space="preserve"> </w:t>
      </w:r>
      <w:r w:rsidR="00037B19" w:rsidRPr="00C07A08">
        <w:rPr>
          <w:sz w:val="24"/>
          <w:szCs w:val="24"/>
        </w:rPr>
        <w:t>UAS-3xMS2-roX2 transgene</w:t>
      </w:r>
      <w:r w:rsidR="00672821" w:rsidRPr="00C07A08">
        <w:rPr>
          <w:sz w:val="24"/>
          <w:szCs w:val="24"/>
        </w:rPr>
        <w:t xml:space="preserve"> </w:t>
      </w:r>
      <w:r w:rsidR="00323499" w:rsidRPr="00C07A08">
        <w:rPr>
          <w:sz w:val="24"/>
          <w:szCs w:val="24"/>
        </w:rPr>
        <w:t>integrated on chromosome 3L</w:t>
      </w:r>
      <w:r w:rsidR="00672821" w:rsidRPr="00C07A08">
        <w:rPr>
          <w:sz w:val="24"/>
          <w:szCs w:val="24"/>
        </w:rPr>
        <w:t xml:space="preserve"> </w:t>
      </w:r>
      <w:r w:rsidR="004B251B" w:rsidRPr="00C07A08">
        <w:rPr>
          <w:sz w:val="24"/>
          <w:szCs w:val="24"/>
        </w:rPr>
        <w:t>(</w:t>
      </w:r>
      <w:r w:rsidR="00DF36E8" w:rsidRPr="00C07A08">
        <w:rPr>
          <w:b/>
          <w:sz w:val="24"/>
          <w:szCs w:val="24"/>
        </w:rPr>
        <w:t xml:space="preserve">Fig. </w:t>
      </w:r>
      <w:r w:rsidR="004B251B" w:rsidRPr="00C07A08">
        <w:rPr>
          <w:b/>
          <w:sz w:val="24"/>
          <w:szCs w:val="24"/>
        </w:rPr>
        <w:t>1b</w:t>
      </w:r>
      <w:r w:rsidR="006C19DF" w:rsidRPr="00C07A08">
        <w:rPr>
          <w:sz w:val="24"/>
          <w:szCs w:val="24"/>
        </w:rPr>
        <w:t>)</w:t>
      </w:r>
      <w:r w:rsidR="00323499" w:rsidRPr="00C07A08">
        <w:rPr>
          <w:sz w:val="24"/>
          <w:szCs w:val="24"/>
        </w:rPr>
        <w:t>.</w:t>
      </w:r>
      <w:r w:rsidR="000E2778" w:rsidRPr="00C07A08">
        <w:rPr>
          <w:sz w:val="24"/>
          <w:szCs w:val="24"/>
        </w:rPr>
        <w:t xml:space="preserve"> </w:t>
      </w:r>
      <w:r w:rsidR="00A90368">
        <w:rPr>
          <w:sz w:val="24"/>
          <w:szCs w:val="24"/>
        </w:rPr>
        <w:t>Driving expression with</w:t>
      </w:r>
      <w:r w:rsidR="0048578F" w:rsidRPr="00C07A08">
        <w:rPr>
          <w:sz w:val="24"/>
          <w:szCs w:val="24"/>
        </w:rPr>
        <w:t xml:space="preserve"> ubiquitously expressed</w:t>
      </w:r>
      <w:r w:rsidR="004E7AF7" w:rsidRPr="00772709">
        <w:rPr>
          <w:sz w:val="24"/>
          <w:szCs w:val="24"/>
        </w:rPr>
        <w:t xml:space="preserve"> </w:t>
      </w:r>
      <w:r w:rsidR="0048578F" w:rsidRPr="00A90368">
        <w:rPr>
          <w:sz w:val="24"/>
          <w:szCs w:val="24"/>
        </w:rPr>
        <w:t>GAL4 resulted in</w:t>
      </w:r>
      <w:r w:rsidR="002239B1" w:rsidRPr="00A90368">
        <w:rPr>
          <w:sz w:val="24"/>
          <w:szCs w:val="24"/>
        </w:rPr>
        <w:t xml:space="preserve"> a </w:t>
      </w:r>
      <w:r w:rsidR="00680909" w:rsidRPr="00A90368">
        <w:rPr>
          <w:sz w:val="24"/>
          <w:szCs w:val="24"/>
        </w:rPr>
        <w:t>strong</w:t>
      </w:r>
      <w:r w:rsidR="00323499" w:rsidRPr="00A90368">
        <w:rPr>
          <w:sz w:val="24"/>
          <w:szCs w:val="24"/>
        </w:rPr>
        <w:t xml:space="preserve"> enrichment of </w:t>
      </w:r>
      <w:r w:rsidR="0048578F" w:rsidRPr="00A90368">
        <w:rPr>
          <w:sz w:val="24"/>
          <w:szCs w:val="24"/>
        </w:rPr>
        <w:t>methylation</w:t>
      </w:r>
      <w:r w:rsidR="00323499" w:rsidRPr="00A90368">
        <w:rPr>
          <w:sz w:val="24"/>
          <w:szCs w:val="24"/>
        </w:rPr>
        <w:t xml:space="preserve"> </w:t>
      </w:r>
      <w:r w:rsidR="0048578F" w:rsidRPr="00A90368">
        <w:rPr>
          <w:sz w:val="24"/>
          <w:szCs w:val="24"/>
        </w:rPr>
        <w:t xml:space="preserve">on </w:t>
      </w:r>
      <w:r w:rsidR="00323499" w:rsidRPr="00A90368">
        <w:rPr>
          <w:sz w:val="24"/>
          <w:szCs w:val="24"/>
        </w:rPr>
        <w:t>the X chromosome</w:t>
      </w:r>
      <w:r w:rsidR="00EE6847" w:rsidRPr="00A90368">
        <w:rPr>
          <w:sz w:val="24"/>
          <w:szCs w:val="24"/>
        </w:rPr>
        <w:t xml:space="preserve"> </w:t>
      </w:r>
      <w:r w:rsidR="0048578F" w:rsidRPr="00A90368">
        <w:rPr>
          <w:sz w:val="24"/>
          <w:szCs w:val="24"/>
        </w:rPr>
        <w:t>in male</w:t>
      </w:r>
      <w:r w:rsidR="002B4B47" w:rsidRPr="00A90368">
        <w:rPr>
          <w:sz w:val="24"/>
          <w:szCs w:val="24"/>
        </w:rPr>
        <w:t xml:space="preserve"> </w:t>
      </w:r>
      <w:r w:rsidR="0048578F" w:rsidRPr="00A90368">
        <w:rPr>
          <w:sz w:val="24"/>
          <w:szCs w:val="24"/>
        </w:rPr>
        <w:t xml:space="preserve">larvae </w:t>
      </w:r>
      <w:r w:rsidR="00323499" w:rsidRPr="00A90368">
        <w:rPr>
          <w:sz w:val="24"/>
          <w:szCs w:val="24"/>
        </w:rPr>
        <w:t>(</w:t>
      </w:r>
      <w:r w:rsidR="006C19DF" w:rsidRPr="00A90368">
        <w:rPr>
          <w:b/>
          <w:sz w:val="24"/>
          <w:szCs w:val="24"/>
        </w:rPr>
        <w:t>Fig. 1</w:t>
      </w:r>
      <w:r w:rsidR="004B251B" w:rsidRPr="00A90368">
        <w:rPr>
          <w:b/>
          <w:sz w:val="24"/>
          <w:szCs w:val="24"/>
        </w:rPr>
        <w:t>c</w:t>
      </w:r>
      <w:r w:rsidR="00323499" w:rsidRPr="00A90368">
        <w:rPr>
          <w:sz w:val="24"/>
          <w:szCs w:val="24"/>
        </w:rPr>
        <w:t>)</w:t>
      </w:r>
      <w:r w:rsidR="00821268" w:rsidRPr="00A90368">
        <w:rPr>
          <w:sz w:val="24"/>
          <w:szCs w:val="24"/>
        </w:rPr>
        <w:t>.</w:t>
      </w:r>
      <w:r w:rsidR="00D12661" w:rsidRPr="00A90368">
        <w:rPr>
          <w:sz w:val="24"/>
          <w:szCs w:val="24"/>
        </w:rPr>
        <w:t xml:space="preserve"> </w:t>
      </w:r>
      <w:r w:rsidR="00B20AB4">
        <w:rPr>
          <w:sz w:val="24"/>
          <w:szCs w:val="24"/>
        </w:rPr>
        <w:t xml:space="preserve">We normalised the </w:t>
      </w:r>
      <w:r w:rsidR="00D12661" w:rsidRPr="00A90368">
        <w:rPr>
          <w:sz w:val="24"/>
          <w:szCs w:val="24"/>
        </w:rPr>
        <w:t>RNA-DamID signal to the negative control</w:t>
      </w:r>
      <w:r w:rsidR="00B20AB4">
        <w:rPr>
          <w:sz w:val="24"/>
          <w:szCs w:val="24"/>
        </w:rPr>
        <w:t>,</w:t>
      </w:r>
      <w:r w:rsidR="00D12661" w:rsidRPr="00A90368">
        <w:rPr>
          <w:sz w:val="24"/>
          <w:szCs w:val="24"/>
        </w:rPr>
        <w:t xml:space="preserve"> 3xMS2</w:t>
      </w:r>
      <w:r w:rsidR="00B20AB4">
        <w:rPr>
          <w:sz w:val="24"/>
          <w:szCs w:val="24"/>
        </w:rPr>
        <w:t xml:space="preserve"> stem loops</w:t>
      </w:r>
      <w:r w:rsidR="00D12661" w:rsidRPr="00A90368">
        <w:rPr>
          <w:sz w:val="24"/>
          <w:szCs w:val="24"/>
        </w:rPr>
        <w:t xml:space="preserve"> co-expressed with MCP-Dam (</w:t>
      </w:r>
      <w:r w:rsidR="00A06982">
        <w:rPr>
          <w:b/>
          <w:sz w:val="24"/>
          <w:szCs w:val="24"/>
        </w:rPr>
        <w:t>Supplementary</w:t>
      </w:r>
      <w:r w:rsidR="00D12661" w:rsidRPr="00A90368">
        <w:rPr>
          <w:b/>
          <w:sz w:val="24"/>
          <w:szCs w:val="24"/>
        </w:rPr>
        <w:t xml:space="preserve"> Fig. 2a-b</w:t>
      </w:r>
      <w:r w:rsidR="00D12661" w:rsidRPr="00A90368">
        <w:rPr>
          <w:sz w:val="24"/>
          <w:szCs w:val="24"/>
        </w:rPr>
        <w:t>).</w:t>
      </w:r>
      <w:r w:rsidR="008B7430" w:rsidRPr="00A90368">
        <w:rPr>
          <w:sz w:val="24"/>
          <w:szCs w:val="24"/>
        </w:rPr>
        <w:t xml:space="preserve"> </w:t>
      </w:r>
      <w:r w:rsidR="00677FCA" w:rsidRPr="00B20AB4">
        <w:rPr>
          <w:sz w:val="24"/>
          <w:szCs w:val="24"/>
        </w:rPr>
        <w:t>Th</w:t>
      </w:r>
      <w:r w:rsidR="00B20AB4">
        <w:rPr>
          <w:sz w:val="24"/>
          <w:szCs w:val="24"/>
        </w:rPr>
        <w:t>e</w:t>
      </w:r>
      <w:r w:rsidR="00677FCA" w:rsidRPr="00B20AB4">
        <w:rPr>
          <w:sz w:val="24"/>
          <w:szCs w:val="24"/>
        </w:rPr>
        <w:t xml:space="preserve"> </w:t>
      </w:r>
      <w:r w:rsidR="00B20AB4">
        <w:rPr>
          <w:sz w:val="24"/>
          <w:szCs w:val="24"/>
        </w:rPr>
        <w:t>result</w:t>
      </w:r>
      <w:r w:rsidR="00677FCA" w:rsidRPr="00B20AB4">
        <w:rPr>
          <w:sz w:val="24"/>
          <w:szCs w:val="24"/>
        </w:rPr>
        <w:t xml:space="preserve"> is similar to normalisation to Dam-alone</w:t>
      </w:r>
      <w:r w:rsidR="00DC513D" w:rsidRPr="00B20AB4">
        <w:rPr>
          <w:sz w:val="24"/>
          <w:szCs w:val="24"/>
        </w:rPr>
        <w:t xml:space="preserve"> (</w:t>
      </w:r>
      <w:r w:rsidR="00A06982">
        <w:rPr>
          <w:b/>
          <w:sz w:val="24"/>
          <w:szCs w:val="24"/>
        </w:rPr>
        <w:t>Supplementary</w:t>
      </w:r>
      <w:r w:rsidR="00DC513D" w:rsidRPr="00B20AB4">
        <w:rPr>
          <w:b/>
          <w:sz w:val="24"/>
          <w:szCs w:val="24"/>
        </w:rPr>
        <w:t xml:space="preserve"> Fig. 2c)</w:t>
      </w:r>
      <w:r w:rsidR="00677FCA" w:rsidRPr="00B20AB4">
        <w:rPr>
          <w:sz w:val="24"/>
          <w:szCs w:val="24"/>
        </w:rPr>
        <w:t>.</w:t>
      </w:r>
      <w:r w:rsidR="00866F7C" w:rsidRPr="00B20AB4">
        <w:rPr>
          <w:sz w:val="24"/>
          <w:szCs w:val="24"/>
        </w:rPr>
        <w:t xml:space="preserve"> </w:t>
      </w:r>
    </w:p>
    <w:p w14:paraId="18AF46E2" w14:textId="7A39328A" w:rsidR="000054C1" w:rsidRPr="00A90368" w:rsidRDefault="00B3095F" w:rsidP="00F803A5">
      <w:pPr>
        <w:tabs>
          <w:tab w:val="left" w:pos="940"/>
        </w:tabs>
        <w:spacing w:line="480" w:lineRule="auto"/>
        <w:rPr>
          <w:sz w:val="24"/>
          <w:szCs w:val="24"/>
        </w:rPr>
      </w:pPr>
      <w:r w:rsidRPr="00B20AB4">
        <w:rPr>
          <w:sz w:val="24"/>
          <w:szCs w:val="24"/>
        </w:rPr>
        <w:t>771</w:t>
      </w:r>
      <w:r w:rsidR="00B6762F" w:rsidRPr="00B20AB4">
        <w:rPr>
          <w:sz w:val="24"/>
          <w:szCs w:val="24"/>
        </w:rPr>
        <w:t>/</w:t>
      </w:r>
      <w:r w:rsidRPr="00B20AB4">
        <w:rPr>
          <w:sz w:val="24"/>
          <w:szCs w:val="24"/>
        </w:rPr>
        <w:t>779</w:t>
      </w:r>
      <w:r w:rsidR="00DC513D" w:rsidRPr="00B20AB4">
        <w:rPr>
          <w:sz w:val="24"/>
          <w:szCs w:val="24"/>
        </w:rPr>
        <w:t xml:space="preserve"> (</w:t>
      </w:r>
      <w:r w:rsidR="001F6CEE" w:rsidRPr="00B20AB4">
        <w:rPr>
          <w:sz w:val="24"/>
          <w:szCs w:val="24"/>
        </w:rPr>
        <w:t>99</w:t>
      </w:r>
      <w:r w:rsidR="00DC513D" w:rsidRPr="00B20AB4">
        <w:rPr>
          <w:sz w:val="24"/>
          <w:szCs w:val="24"/>
        </w:rPr>
        <w:t>%)</w:t>
      </w:r>
      <w:r w:rsidR="00B20AB4">
        <w:rPr>
          <w:sz w:val="24"/>
          <w:szCs w:val="24"/>
        </w:rPr>
        <w:t xml:space="preserve"> of</w:t>
      </w:r>
      <w:r w:rsidR="007B2241" w:rsidRPr="00B20AB4">
        <w:rPr>
          <w:sz w:val="24"/>
          <w:szCs w:val="24"/>
        </w:rPr>
        <w:t xml:space="preserve"> </w:t>
      </w:r>
      <w:r w:rsidR="00B20AB4">
        <w:rPr>
          <w:sz w:val="24"/>
          <w:szCs w:val="24"/>
        </w:rPr>
        <w:t>binding</w:t>
      </w:r>
      <w:r w:rsidR="00B20AB4" w:rsidRPr="00B20AB4">
        <w:rPr>
          <w:sz w:val="24"/>
          <w:szCs w:val="24"/>
        </w:rPr>
        <w:t xml:space="preserve"> </w:t>
      </w:r>
      <w:r w:rsidR="00B6762F" w:rsidRPr="00B20AB4">
        <w:rPr>
          <w:sz w:val="24"/>
          <w:szCs w:val="24"/>
        </w:rPr>
        <w:t xml:space="preserve">peaks localise to the X chromosome while only </w:t>
      </w:r>
      <w:r w:rsidRPr="00B20AB4">
        <w:rPr>
          <w:sz w:val="24"/>
          <w:szCs w:val="24"/>
        </w:rPr>
        <w:t>8</w:t>
      </w:r>
      <w:r w:rsidR="007B2241" w:rsidRPr="00B20AB4">
        <w:rPr>
          <w:sz w:val="24"/>
          <w:szCs w:val="24"/>
        </w:rPr>
        <w:t xml:space="preserve"> </w:t>
      </w:r>
      <w:r w:rsidR="00B6762F" w:rsidRPr="00B20AB4">
        <w:rPr>
          <w:sz w:val="24"/>
          <w:szCs w:val="24"/>
        </w:rPr>
        <w:t>are detected on autosomes</w:t>
      </w:r>
      <w:r w:rsidR="00900028">
        <w:rPr>
          <w:sz w:val="24"/>
          <w:szCs w:val="24"/>
        </w:rPr>
        <w:t xml:space="preserve"> (</w:t>
      </w:r>
      <w:r w:rsidR="00B10629">
        <w:rPr>
          <w:b/>
          <w:sz w:val="24"/>
          <w:szCs w:val="24"/>
        </w:rPr>
        <w:t>Supplementary Data Set</w:t>
      </w:r>
      <w:r w:rsidR="006D13E2">
        <w:rPr>
          <w:b/>
          <w:sz w:val="24"/>
          <w:szCs w:val="24"/>
        </w:rPr>
        <w:t xml:space="preserve"> 1</w:t>
      </w:r>
      <w:r w:rsidR="00900028" w:rsidRPr="00F803A5">
        <w:rPr>
          <w:sz w:val="24"/>
          <w:szCs w:val="24"/>
        </w:rPr>
        <w:t>)</w:t>
      </w:r>
      <w:r w:rsidR="00B6762F" w:rsidRPr="00B20AB4">
        <w:rPr>
          <w:sz w:val="24"/>
          <w:szCs w:val="24"/>
        </w:rPr>
        <w:t>.</w:t>
      </w:r>
      <w:r w:rsidR="007B2241" w:rsidRPr="00B20AB4">
        <w:rPr>
          <w:sz w:val="24"/>
          <w:szCs w:val="24"/>
        </w:rPr>
        <w:t xml:space="preserve"> Biological replicates show high signal and correlation on the X chromosome (Spearman’s correlation=0.805, R</w:t>
      </w:r>
      <w:r w:rsidR="007B2241" w:rsidRPr="00B20AB4">
        <w:rPr>
          <w:sz w:val="24"/>
          <w:szCs w:val="24"/>
          <w:vertAlign w:val="superscript"/>
        </w:rPr>
        <w:t>2</w:t>
      </w:r>
      <w:r w:rsidR="007B2241" w:rsidRPr="00B20AB4">
        <w:rPr>
          <w:sz w:val="24"/>
          <w:szCs w:val="24"/>
        </w:rPr>
        <w:t>=0.648)</w:t>
      </w:r>
      <w:r w:rsidR="004514D9" w:rsidRPr="00B20AB4">
        <w:rPr>
          <w:sz w:val="24"/>
          <w:szCs w:val="24"/>
        </w:rPr>
        <w:t>,</w:t>
      </w:r>
      <w:r w:rsidR="007B2241" w:rsidRPr="00B20AB4">
        <w:rPr>
          <w:sz w:val="24"/>
          <w:szCs w:val="24"/>
        </w:rPr>
        <w:t xml:space="preserve"> but not on the autosomes (Spearman’s correlation=0.0142, R</w:t>
      </w:r>
      <w:r w:rsidR="007B2241" w:rsidRPr="00B20AB4">
        <w:rPr>
          <w:sz w:val="24"/>
          <w:szCs w:val="24"/>
          <w:vertAlign w:val="superscript"/>
        </w:rPr>
        <w:t>2</w:t>
      </w:r>
      <w:r w:rsidR="007B2241" w:rsidRPr="00B20AB4">
        <w:rPr>
          <w:sz w:val="24"/>
          <w:szCs w:val="24"/>
        </w:rPr>
        <w:t>=0.002)</w:t>
      </w:r>
      <w:r w:rsidR="00B6762F" w:rsidRPr="00B20AB4">
        <w:rPr>
          <w:sz w:val="24"/>
          <w:szCs w:val="24"/>
        </w:rPr>
        <w:t xml:space="preserve"> </w:t>
      </w:r>
      <w:r w:rsidR="007B2241" w:rsidRPr="00B20AB4">
        <w:rPr>
          <w:sz w:val="24"/>
          <w:szCs w:val="24"/>
        </w:rPr>
        <w:t xml:space="preserve"> (</w:t>
      </w:r>
      <w:r w:rsidR="00A06982">
        <w:rPr>
          <w:b/>
          <w:sz w:val="24"/>
          <w:szCs w:val="24"/>
        </w:rPr>
        <w:t>Supplementary</w:t>
      </w:r>
      <w:r w:rsidR="007B2241" w:rsidRPr="00A2214F">
        <w:rPr>
          <w:b/>
          <w:sz w:val="24"/>
          <w:szCs w:val="24"/>
        </w:rPr>
        <w:t xml:space="preserve"> Fig</w:t>
      </w:r>
      <w:r w:rsidR="004514D9" w:rsidRPr="00A2214F">
        <w:rPr>
          <w:b/>
          <w:sz w:val="24"/>
          <w:szCs w:val="24"/>
        </w:rPr>
        <w:t>.</w:t>
      </w:r>
      <w:r w:rsidR="007B2241" w:rsidRPr="00A2214F">
        <w:rPr>
          <w:b/>
          <w:sz w:val="24"/>
          <w:szCs w:val="24"/>
        </w:rPr>
        <w:t xml:space="preserve"> 3</w:t>
      </w:r>
      <w:r w:rsidR="007B2241" w:rsidRPr="00C07A08">
        <w:rPr>
          <w:sz w:val="24"/>
          <w:szCs w:val="24"/>
        </w:rPr>
        <w:t xml:space="preserve">). </w:t>
      </w:r>
      <w:r w:rsidR="00B20AB4">
        <w:rPr>
          <w:sz w:val="24"/>
          <w:szCs w:val="24"/>
        </w:rPr>
        <w:t xml:space="preserve">Our results for </w:t>
      </w:r>
      <w:r w:rsidR="004C54DC" w:rsidRPr="00C07A08">
        <w:rPr>
          <w:sz w:val="24"/>
          <w:szCs w:val="24"/>
        </w:rPr>
        <w:t>roX2 occupancy</w:t>
      </w:r>
      <w:r w:rsidR="00B20AB4">
        <w:rPr>
          <w:sz w:val="24"/>
          <w:szCs w:val="24"/>
        </w:rPr>
        <w:t>,</w:t>
      </w:r>
      <w:r w:rsidR="004C54DC" w:rsidRPr="00C07A08">
        <w:rPr>
          <w:sz w:val="24"/>
          <w:szCs w:val="24"/>
        </w:rPr>
        <w:t xml:space="preserve"> determined by RNA-DamID from only 4 larvae</w:t>
      </w:r>
      <w:r w:rsidR="00B20AB4">
        <w:rPr>
          <w:sz w:val="24"/>
          <w:szCs w:val="24"/>
        </w:rPr>
        <w:t>,</w:t>
      </w:r>
      <w:r w:rsidR="004C54DC" w:rsidRPr="00C07A08">
        <w:rPr>
          <w:sz w:val="24"/>
          <w:szCs w:val="24"/>
        </w:rPr>
        <w:t xml:space="preserve"> </w:t>
      </w:r>
      <w:r w:rsidR="004C54DC" w:rsidRPr="00772709">
        <w:rPr>
          <w:sz w:val="24"/>
          <w:szCs w:val="24"/>
        </w:rPr>
        <w:t xml:space="preserve">agreed </w:t>
      </w:r>
      <w:r w:rsidR="004C54DC" w:rsidRPr="00A90368">
        <w:rPr>
          <w:sz w:val="24"/>
          <w:szCs w:val="24"/>
        </w:rPr>
        <w:t xml:space="preserve">closely with profiles generated previously with ChIRP from 300-1500 larvae </w:t>
      </w:r>
      <w:r w:rsidR="004C54DC" w:rsidRPr="00C07A08">
        <w:rPr>
          <w:sz w:val="24"/>
          <w:szCs w:val="24"/>
        </w:rPr>
        <w:fldChar w:fldCharType="begin" w:fldLock="1"/>
      </w:r>
      <w:r w:rsidR="004B7ADE">
        <w:rPr>
          <w:sz w:val="24"/>
          <w:szCs w:val="24"/>
        </w:rPr>
        <w:instrText>ADDIN CSL_CITATION { "citationItems" : [ { "id" : "ITEM-1", "itemData" : { "DOI" : "10.1101/gad.272187.115", "ISSN" : "15495477", "PMID" : "26773003", "abstract" : "Many long noncoding RNAs (lncRNAs) can regulate chromatin states, but the evolutionary origin and dynamics driving lncRNA-genome interactions are unclear. We adapted an integrative strategy that identifies lncRNA orthologs in different species despite limited sequence similarity, which is applicable to mammalian and insect lncRNAs. Analysis of the roX lncRNAs, which are essential for dosage compensation of the single X chromosome in Drosophila males, revealed 47 new roX orthologs in diverse Drosophilid species across \u223c40 million years of evolution. Genetic rescue by roX orthologs and engineered synthetic lncRNAs showed that altering the number of focal, repetitive RNA structures determines roX ortholog function. Genomic occupancy maps of roX RNAs in four species revealed conserved targeting of X chromosome neighborhoods but rapid turnover of individual binding sites. Many new roX-binding sites evolved from DNA encoding a pre-existing RNA splicing signal, effectively linking dosage compensation to transcribed genes. Thus, dynamic change in lncRNAs and their genomic targets underlies conserved and essential lncRNA-genome interactions.", "author" : [ { "dropping-particle" : "", "family" : "Quinn", "given" : "Jeffrey J.", "non-dropping-particle" : "", "parse-names" : false, "suffix" : "" }, { "dropping-particle" : "", "family" : "Zhang", "given" : "Qiangfeng C.", "non-dropping-particle" : "", "parse-names" : false, "suffix" : "" }, { "dropping-particle" : "", "family" : "Georgiev", "given" : "Plamen", "non-dropping-particle" : "", "parse-names" : false, "suffix" : "" }, { "dropping-particle" : "", "family" : "Ilik", "given" : "Ibrahim A.", "non-dropping-particle" : "", "parse-names" : false, "suffix" : "" }, { "dropping-particle" : "", "family" : "Akhtar", "given" : "Asifa", "non-dropping-particle" : "", "parse-names" : false, "suffix" : "" }, { "dropping-particle" : "", "family" : "Chang", "given" : "Howard Y.", "non-dropping-particle" : "", "parse-names" : false, "suffix" : "" } ], "container-title" : "Genes and Development", "id" : "ITEM-1", "issue" : "2", "issued" : { "date-parts" : [ [ "2016" ] ] }, "page" : "191-207", "title" : "Rapid evolutionary turnover underlies conserved lncRNA-genome interactions", "type" : "article-journal", "volume" : "30" }, "uris" : [ "http://www.mendeley.com/documents/?uuid=404135d6-fdb2-4af5-b9bd-99eb1c00e822" ] } ], "mendeley" : { "formattedCitation" : "&lt;sup&gt;10&lt;/sup&gt;", "plainTextFormattedCitation" : "10", "previouslyFormattedCitation" : "&lt;sup&gt;10&lt;/sup&gt;" }, "properties" : { "noteIndex" : 0 }, "schema" : "https://github.com/citation-style-language/schema/raw/master/csl-citation.json" }</w:instrText>
      </w:r>
      <w:r w:rsidR="004C54DC" w:rsidRPr="00C07A08">
        <w:rPr>
          <w:sz w:val="24"/>
          <w:szCs w:val="24"/>
        </w:rPr>
        <w:fldChar w:fldCharType="separate"/>
      </w:r>
      <w:r w:rsidR="000A16E4" w:rsidRPr="000A16E4">
        <w:rPr>
          <w:noProof/>
          <w:sz w:val="24"/>
          <w:szCs w:val="24"/>
          <w:vertAlign w:val="superscript"/>
        </w:rPr>
        <w:t>10</w:t>
      </w:r>
      <w:r w:rsidR="004C54DC" w:rsidRPr="00C07A08">
        <w:rPr>
          <w:sz w:val="24"/>
          <w:szCs w:val="24"/>
        </w:rPr>
        <w:fldChar w:fldCharType="end"/>
      </w:r>
      <w:r w:rsidR="004C54DC" w:rsidRPr="00C07A08">
        <w:rPr>
          <w:sz w:val="24"/>
          <w:szCs w:val="24"/>
        </w:rPr>
        <w:t>.</w:t>
      </w:r>
      <w:r w:rsidR="000E2778" w:rsidRPr="00C07A08">
        <w:rPr>
          <w:sz w:val="24"/>
          <w:szCs w:val="24"/>
        </w:rPr>
        <w:t xml:space="preserve"> </w:t>
      </w:r>
      <w:r w:rsidR="00B20AB4">
        <w:rPr>
          <w:sz w:val="24"/>
          <w:szCs w:val="24"/>
        </w:rPr>
        <w:t xml:space="preserve">Therefore, </w:t>
      </w:r>
      <w:r w:rsidR="005F65A7" w:rsidRPr="00C07A08">
        <w:rPr>
          <w:sz w:val="24"/>
          <w:szCs w:val="24"/>
        </w:rPr>
        <w:t>RNA-DamID</w:t>
      </w:r>
      <w:r w:rsidR="009439FA" w:rsidRPr="00A90368">
        <w:rPr>
          <w:sz w:val="24"/>
          <w:szCs w:val="24"/>
        </w:rPr>
        <w:t xml:space="preserve"> </w:t>
      </w:r>
      <w:r w:rsidR="0048578F" w:rsidRPr="00A90368">
        <w:rPr>
          <w:sz w:val="24"/>
          <w:szCs w:val="24"/>
        </w:rPr>
        <w:t xml:space="preserve">is able to </w:t>
      </w:r>
      <w:r w:rsidR="009439FA" w:rsidRPr="00A90368">
        <w:rPr>
          <w:sz w:val="24"/>
          <w:szCs w:val="24"/>
        </w:rPr>
        <w:t xml:space="preserve">profile </w:t>
      </w:r>
      <w:r w:rsidR="0048578F" w:rsidRPr="00A90368">
        <w:rPr>
          <w:sz w:val="24"/>
          <w:szCs w:val="24"/>
        </w:rPr>
        <w:t xml:space="preserve">accurately </w:t>
      </w:r>
      <w:r w:rsidR="009439FA" w:rsidRPr="00A90368">
        <w:rPr>
          <w:sz w:val="24"/>
          <w:szCs w:val="24"/>
        </w:rPr>
        <w:t>RNA</w:t>
      </w:r>
      <w:r w:rsidR="0048578F" w:rsidRPr="00A90368">
        <w:rPr>
          <w:sz w:val="24"/>
          <w:szCs w:val="24"/>
        </w:rPr>
        <w:t xml:space="preserve">-genome interactions </w:t>
      </w:r>
      <w:r w:rsidR="008B7430" w:rsidRPr="00A90368">
        <w:rPr>
          <w:sz w:val="24"/>
          <w:szCs w:val="24"/>
        </w:rPr>
        <w:t>with high sensitivity</w:t>
      </w:r>
      <w:r w:rsidR="007B2241" w:rsidRPr="00A90368">
        <w:rPr>
          <w:sz w:val="24"/>
          <w:szCs w:val="24"/>
        </w:rPr>
        <w:t>.</w:t>
      </w:r>
    </w:p>
    <w:p w14:paraId="102B1A2A" w14:textId="14A3CCA6" w:rsidR="002E6E33" w:rsidRDefault="00A06982" w:rsidP="00F803A5">
      <w:pPr>
        <w:spacing w:line="480" w:lineRule="auto"/>
        <w:rPr>
          <w:sz w:val="24"/>
          <w:szCs w:val="24"/>
        </w:rPr>
      </w:pPr>
      <w:r>
        <w:rPr>
          <w:b/>
          <w:sz w:val="24"/>
          <w:szCs w:val="24"/>
        </w:rPr>
        <w:t>RNA-DamID has higher accuracy and sensitivity than ChIRP-seq</w:t>
      </w:r>
    </w:p>
    <w:p w14:paraId="186D287B" w14:textId="6286D591" w:rsidR="00A06982" w:rsidRDefault="00866F7C" w:rsidP="00F803A5">
      <w:pPr>
        <w:tabs>
          <w:tab w:val="left" w:pos="940"/>
        </w:tabs>
        <w:spacing w:line="480" w:lineRule="auto"/>
        <w:rPr>
          <w:sz w:val="24"/>
          <w:szCs w:val="24"/>
        </w:rPr>
      </w:pPr>
      <w:r w:rsidRPr="00C07A08">
        <w:rPr>
          <w:sz w:val="24"/>
          <w:szCs w:val="24"/>
        </w:rPr>
        <w:t xml:space="preserve">We also carried out </w:t>
      </w:r>
      <w:r w:rsidR="005455D7" w:rsidRPr="00C07A08">
        <w:rPr>
          <w:sz w:val="24"/>
          <w:szCs w:val="24"/>
        </w:rPr>
        <w:t xml:space="preserve">TaDa of the MSL </w:t>
      </w:r>
      <w:r w:rsidR="006A5D6C" w:rsidRPr="00C07A08">
        <w:rPr>
          <w:sz w:val="24"/>
          <w:szCs w:val="24"/>
        </w:rPr>
        <w:t xml:space="preserve">complex </w:t>
      </w:r>
      <w:r w:rsidR="00C37434">
        <w:rPr>
          <w:sz w:val="24"/>
          <w:szCs w:val="24"/>
        </w:rPr>
        <w:t>protein,</w:t>
      </w:r>
      <w:r w:rsidR="0072220B" w:rsidRPr="00C37434">
        <w:rPr>
          <w:sz w:val="24"/>
          <w:szCs w:val="24"/>
        </w:rPr>
        <w:t xml:space="preserve"> Msl</w:t>
      </w:r>
      <w:r w:rsidR="00323499" w:rsidRPr="00C37434">
        <w:rPr>
          <w:sz w:val="24"/>
          <w:szCs w:val="24"/>
        </w:rPr>
        <w:t>3</w:t>
      </w:r>
      <w:r w:rsidR="00C37434">
        <w:rPr>
          <w:sz w:val="24"/>
          <w:szCs w:val="24"/>
        </w:rPr>
        <w:t>,</w:t>
      </w:r>
      <w:r w:rsidR="00C50674" w:rsidRPr="00C37434">
        <w:rPr>
          <w:sz w:val="24"/>
          <w:szCs w:val="24"/>
        </w:rPr>
        <w:t xml:space="preserve"> and </w:t>
      </w:r>
      <w:r w:rsidRPr="00C37434">
        <w:rPr>
          <w:sz w:val="24"/>
          <w:szCs w:val="24"/>
        </w:rPr>
        <w:t xml:space="preserve">compared our results with </w:t>
      </w:r>
      <w:r w:rsidR="00C50674" w:rsidRPr="00C37434">
        <w:rPr>
          <w:sz w:val="24"/>
          <w:szCs w:val="24"/>
        </w:rPr>
        <w:t>H4K16ac ChIP</w:t>
      </w:r>
      <w:r w:rsidR="000A4208" w:rsidRPr="00C37434">
        <w:rPr>
          <w:sz w:val="24"/>
          <w:szCs w:val="24"/>
        </w:rPr>
        <w:t xml:space="preserve"> </w:t>
      </w:r>
      <w:r w:rsidR="000A4208" w:rsidRPr="00C07A08">
        <w:rPr>
          <w:sz w:val="24"/>
          <w:szCs w:val="24"/>
        </w:rPr>
        <w:fldChar w:fldCharType="begin" w:fldLock="1"/>
      </w:r>
      <w:r w:rsidR="004B7ADE">
        <w:rPr>
          <w:sz w:val="24"/>
          <w:szCs w:val="24"/>
        </w:rPr>
        <w:instrText>ADDIN CSL_CITATION { "citationItems" : [ { "id" : "ITEM-1", "itemData" : { "DOI" : "10.1038/nature13415", "ISBN" : "0000017892", "ISSN" : "1476-4687", "PMID" : "25164756", "abstract" : "Genome function is dynamically regulated in part by chromatin, which consists of the histones, non-histone proteins and RNA molecules that package DNA. Studies in Caenorhabditis elegans and Drosophila melanogaster have contributed substantially to our understanding of molecular mechanisms of genome function in humans, and have revealed conservation of chromatin components and mechanisms. Nevertheless, the three organisms have markedly different genome sizes, chromosome architecture and gene organization. On human and fly chromosomes, for example, pericentric heterochromatin flanks single centromeres, whereas worm chromosomes have dispersed heterochromatin-like regions enriched in the distal chromosomal 'arms', and centromeres distributed along their lengths. To systematically investigate chromatin organization and associated gene regulation across species, we generated and analysed a large collection of genome-wide chromatin data sets from cell lines and developmental stages in worm, fly and human. Here we present over 800 new data sets from our ENCODE and modENCODE consortia, bringing the total to over 1,400. Comparison of combinatorial patterns of histone modifications, nuclear lamina-associated domains, organization of large-scale topological domains, chromatin environment at promoters and enhancers, nucleosome positioning, and DNA replication patterns reveals many conserved features of chromatin organization among the three organisms. We also find notable differences in the composition and locations of repressive chromatin. These data sets and analyses provide a rich resource for comparative and species-specific investigations of chromatin composition, organization and function.", "author" : [ { "dropping-particle" : "", "family" : "Ho", "given" : "Joshua W K", "non-dropping-particle" : "", "parse-names" : false, "suffix" : "" }, { "dropping-particle" : "", "family" : "Jung", "given" : "Youngsook L", "non-dropping-particle" : "", "parse-names" : false, "suffix" : "" }, { "dropping-particle" : "", "family" : "Liu", "given" : "Tao", "non-dropping-particle" : "", "parse-names" : false, "suffix" : "" }, { "dropping-particle" : "", "family" : "Alver", "given" : "Burak H", "non-dropping-particle" : "", "parse-names" : false, "suffix" : "" }, { "dropping-particle" : "", "family" : "Lee", "given" : "Soohyun", "non-dropping-particle" : "", "parse-names" : false, "suffix" : "" }, { "dropping-particle" : "", "family" : "Ikegami", "given" : "Kohta", "non-dropping-particle" : "", "parse-names" : false, "suffix" : "" }, { "dropping-particle" : "", "family" : "Sohn", "given" : "Kyung-Ah", "non-dropping-particle" : "", "parse-names" : false, "suffix" : "" }, { "dropping-particle" : "", "family" : "Minoda", "given" : "Aki", "non-dropping-particle" : "", "parse-names" : false, "suffix" : "" }, { "dropping-particle" : "", "family" : "Tolstorukov", "given" : "Michael Y", "non-dropping-particle" : "", "parse-names" : false, "suffix" : "" }, { "dropping-particle" : "", "family" : "Appert", "given" : "Alex", "non-dropping-particle" : "", "parse-names" : false, "suffix" : "" }, { "dropping-particle" : "", "family" : "Parker", "given" : "Stephen C J", "non-dropping-particle" : "", "parse-names" : false, "suffix" : "" }, { "dropping-particle" : "", "family" : "Gu", "given" : "Tingting", "non-dropping-particle" : "", "parse-names" : false, "suffix" : "" }, { "dropping-particle" : "", "family" : "Kundaje", "given" : "Anshul", "non-dropping-particle" : "", "parse-names" : false, "suffix" : "" }, { "dropping-particle" : "", "family" : "Riddle", "given" : "Nicole C", "non-dropping-particle" : "", "parse-names" : false, "suffix" : "" }, { "dropping-particle" : "", "family" : "Bishop", "given" : "Eric", "non-dropping-particle" : "", "parse-names" : false, "suffix" : "" }, { "dropping-particle" : "", "family" : "Egelhofer", "given" : "Thea A", "non-dropping-particle" : "", "parse-names" : false, "suffix" : "" }, { "dropping-particle" : "", "family" : "Hu", "given" : "Sheng'en Shawn", "non-dropping-particle" : "", "parse-names" : false, "suffix" : "" }, { "dropping-particle" : "", "family" : "Alekseyenko", "given" : "Artyom A", "non-dropping-particle" : "", "parse-names" : false, "suffix" : "" }, { "dropping-particle" : "", "family" : "Rechtsteiner", "given" : "Andreas", "non-dropping-particle" : "", "parse-names" : false, "suffix" : "" }, { "dropping-particle" : "", "family" : "Asker", "given" : "Dalal", "non-dropping-particle" : "", "parse-names" : false, "suffix" : "" }, { "dropping-particle" : "", "family" : "Belsky", "given" : "Jason A", "non-dropping-particle" : "", "parse-names" : false, "suffix" : "" }, { "dropping-particle" : "", "family" : "Bowman", "given" : "Sarah K", "non-dropping-particle" : "", "parse-names" : false, "suffix" : "" }, { "dropping-particle" : "", "family" : "Chen", "given" : "Q Brent", "non-dropping-particle" : "", "parse-names" : false, "suffix" : "" }, { "dropping-particle" : "", "family" : "Chen", "given" : "Ron A-J", "non-dropping-particle" : "", "parse-names" : false, "suffix" : "" }, { "dropping-particle" : "", "family" : "Day", "given" : "Daniel S", "non-dropping-particle" : "", "parse-names" : false, "suffix" : "" }, { "dropping-particle" : "", "family" : "Dong", "given" : "Yan", "non-dropping-particle" : "", "parse-names" : false, "suffix" : "" }, { "dropping-particle" : "", "family" : "Dose", "given" : "Andrea C", "non-dropping-particle" : "", "parse-names" : false, "suffix" : "" }, { "dropping-particle" : "", "family" : "Duan", "given" : "Xikun", "non-dropping-particle" : "", "parse-names" : false, "suffix" : "" }, { "dropping-particle" : "", "family" : "Epstein", "given" : "Charles B", "non-dropping-particle" : "", "parse-names" : false, "suffix" : "" }, { "dropping-particle" : "", "family" : "Ercan", "given" : "Sevinc", "non-dropping-particle" : "", "parse-names" : false, "suffix" : "" }, { "dropping-particle" : "", "family" : "Feingold", "given" : "Elise A", "non-dropping-particle" : "", "parse-names" : false, "suffix" : "" }, { "dropping-particle" : "", "family" : "Ferrari", "given" : "Francesco", "non-dropping-particle" : "", "parse-names" : false, "suffix" : "" }, { "dropping-particle" : "", "family" : "Garrigues", "given" : "Jacob M", "non-dropping-particle" : "", "parse-names" : false, "suffix" : "" }, { "dropping-particle" : "", "family" : "Gehlenborg", "given" : "Nils", "non-dropping-particle" : "", "parse-names" : false, "suffix" : "" }, { "dropping-particle" : "", "family" : "Good", "given" : "Peter J", "non-dropping-particle" : "", "parse-names" : false, "suffix" : "" }, { "dropping-particle" : "", "family" : "Haseley", "given" : "Psalm", "non-dropping-particle" : "", "parse-names" : false, "suffix" : "" }, { "dropping-particle" : "", "family" : "He", "given" : "Daniel", "non-dropping-particle" : "", "parse-names" : false, "suffix" : "" }, { "dropping-particle" : "", "family" : "Herrmann", "given" : "Moritz", "non-dropping-particle" : "", "parse-names" : false, "suffix" : "" }, { "dropping-particle" : "", "family" : "Hoffman", "given" : "Michael M", "non-dropping-particle" : "", "parse-names" : false, "suffix" : "" }, { "dropping-particle" : "", "family" : "Jeffers", "given" : "Tess E", "non-dropping-particle" : "", "parse-names" : false, "suffix" : "" }, { "dropping-particle" : "V", "family" : "Kharchenko", "given" : "Peter", "non-dropping-particle" : "", "parse-names" : false, "suffix" : "" }, { "dropping-particle" : "", "family" : "Kolasinska-Zwierz", "given" : "Paulina", "non-dropping-particle" : "", "parse-names" : false, "suffix" : "" }, { "dropping-particle" : "V", "family" : "Kotwaliwale", "given" : "Chitra", "non-dropping-particle" : "", "parse-names" : false, "suffix" : "" }, { "dropping-particle" : "", "family" : "Kumar", "given" : "Nischay", "non-dropping-particle" : "", "parse-names" : false, "suffix" : "" }, { "dropping-particle" : "", "family" : "Langley", "given" : "Sasha A", "non-dropping-particle" : "", "parse-names" : false, "suffix" : "" }, { "dropping-particle" : "", "family" : "Larschan", "given" : "Erica N", "non-dropping-particle" : "", "parse-names" : false, "suffix" : "" }, { "dropping-particle" : "", "family" : "Latorre", "given" : "Isabel", "non-dropping-particle" : "", "parse-names" : false, "suffix" : "" }, { "dropping-particle" : "", "family" : "Libbrecht", "given" : "Maxwell W", "non-dropping-particle" : "", "parse-names" : false, "suffix" : "" }, { "dropping-particle" : "", "family" : "Lin", "given" : "Xueqiu", "non-dropping-particle" : "", "parse-names" : false, "suffix" : "" }, { "dropping-particle" : "", "family" : "Park", "given" : "Richard", "non-dropping-particle" : "", "parse-names" : false, "suffix" : "" }, { "dropping-particle" : "", "family" : "Pazin", "given" : "Michael J", "non-dropping-particle" : "", "parse-names" : false, "suffix" : "" }, { "dropping-particle" : "", "family" : "Pham", "given" : "Hoang N", "non-dropping-particle" : "", "parse-names" : false, "suffix" : "" }, { "dropping-particle" : "", "family" : "Plachetka", "given" : "Annette", "non-dropping-particle" : "", "parse-names" : false, "suffix" : "" }, { "dropping-particle" : "", "family" : "Qin", "given" : "Bo", "non-dropping-particle" : "", "parse-names" : false, "suffix" : "" }, { "dropping-particle" : "", "family" : "Schwartz", "given" : "Yuri B", "non-dropping-particle" : "", "parse-names" : false, "suffix" : "" }, { "dropping-particle" : "", "family" : "Shoresh", "given" : "Noam", "non-dropping-particle" : "", "parse-names" : false, "suffix" : "" }, { "dropping-particle" : "", "family" : "Stempor", "given" : "Przemyslaw", "non-dropping-particle" : "", "parse-names" : false, "suffix" : "" }, { "dropping-particle" : "", "family" : "Vielle", "given" : "Anne", "non-dropping-particle" : "", "parse-names" : false, "suffix" : "" }, { "dropping-particle" : "", "family" : "Wang", "given" : "Chengyang", "non-dropping-particle" : "", "parse-names" : false, "suffix" : "" }, { "dropping-particle" : "", "family" : "Whittle", "given" : "Christina M", "non-dropping-particle" : "", "parse-names" : false, "suffix" : "" }, { "dropping-particle" : "", "family" : "Xue", "given" : "Huiling", "non-dropping-particle" : "", "parse-names" : false, "suffix" : "" }, { "dropping-particle" : "", "family" : "Kingston", "given" : "Robert E", "non-dropping-particle" : "", "parse-names" : false, "suffix" : "" }, { "dropping-particle" : "", "family" : "Kim", "given" : "Ju Han", "non-dropping-particle" : "", "parse-names" : false, "suffix" : "" }, { "dropping-particle" : "", "family" : "Bernstein", "given" : "Bradley E", "non-dropping-particle" : "", "parse-names" : false, "suffix" : "" }, { "dropping-particle" : "", "family" : "Dernburg", "given" : "Abby F", "non-dropping-particle" : "", "parse-names" : false, "suffix" : "" }, { "dropping-particle" : "", "family" : "Pirrotta", "given" : "Vincenzo", "non-dropping-particle" : "", "parse-names" : false, "suffix" : "" }, { "dropping-particle" : "", "family" : "Kuroda", "given" : "Mitzi I", "non-dropping-particle" : "", "parse-names" : false, "suffix" : "" }, { "dropping-particle" : "", "family" : "Noble", "given" : "William S", "non-dropping-particle" : "", "parse-names" : false, "suffix" : "" }, { "dropping-particle" : "", "family" : "Tullius", "given" : "Thomas D", "non-dropping-particle" : "", "parse-names" : false, "suffix" : "" }, { "dropping-particle" : "", "family" : "Kellis", "given" : "Manolis", "non-dropping-particle" : "", "parse-names" : false, "suffix" : "" }, { "dropping-particle" : "", "family" : "MacAlpine", "given" : "David M", "non-dropping-particle" : "", "parse-names" : false, "suffix" : "" }, { "dropping-particle" : "", "family" : "Strome", "given" : "Susan", "non-dropping-particle" : "", "parse-names" : false, "suffix" : "" }, { "dropping-particle" : "", "family" : "Elgin", "given" : "Sarah C R", "non-dropping-particle" : "", "parse-names" : false, "suffix" : "" }, { "dropping-particle" : "", "family" : "Liu", "given" : "Xiaole Shirley", "non-dropping-particle" : "", "parse-names" : false, "suffix" : "" }, { "dropping-particle" : "", "family" : "Lieb", "given" : "Jason D", "non-dropping-particle" : "", "parse-names" : false, "suffix" : "" }, { "dropping-particle" : "", "family" : "Ahringer", "given" : "Julie", "non-dropping-particle" : "", "parse-names" : false, "suffix" : "" }, { "dropping-particle" : "", "family" : "Karpen", "given" : "Gary H", "non-dropping-particle" : "", "parse-names" : false, "suffix" : "" }, { "dropping-particle" : "", "family" : "Park", "given" : "Peter J", "non-dropping-particle" : "", "parse-names" : false, "suffix" : "" } ], "container-title" : "Nature", "id" : "ITEM-1", "issue" : "7515", "issued" : { "date-parts" : [ [ "2014" ] ] }, "page" : "449-52", "publisher" : "Nature Publishing Group", "title" : "Comparative analysis of metazoan chromatin organization.", "type" : "article-journal", "volume" : "512" }, "uris" : [ "http://www.mendeley.com/documents/?uuid=92cff524-eab2-4003-9649-912632dd2e99" ] } ], "mendeley" : { "formattedCitation" : "&lt;sup&gt;11&lt;/sup&gt;", "plainTextFormattedCitation" : "11", "previouslyFormattedCitation" : "&lt;sup&gt;11&lt;/sup&gt;" }, "properties" : { "noteIndex" : 0 }, "schema" : "https://github.com/citation-style-language/schema/raw/master/csl-citation.json" }</w:instrText>
      </w:r>
      <w:r w:rsidR="000A4208" w:rsidRPr="00C07A08">
        <w:rPr>
          <w:sz w:val="24"/>
          <w:szCs w:val="24"/>
        </w:rPr>
        <w:fldChar w:fldCharType="separate"/>
      </w:r>
      <w:r w:rsidR="000A16E4" w:rsidRPr="000A16E4">
        <w:rPr>
          <w:noProof/>
          <w:sz w:val="24"/>
          <w:szCs w:val="24"/>
          <w:vertAlign w:val="superscript"/>
        </w:rPr>
        <w:t>11</w:t>
      </w:r>
      <w:r w:rsidR="000A4208" w:rsidRPr="00C07A08">
        <w:rPr>
          <w:sz w:val="24"/>
          <w:szCs w:val="24"/>
        </w:rPr>
        <w:fldChar w:fldCharType="end"/>
      </w:r>
      <w:r w:rsidR="00C50674" w:rsidRPr="00C07A08">
        <w:rPr>
          <w:sz w:val="24"/>
          <w:szCs w:val="24"/>
        </w:rPr>
        <w:t xml:space="preserve"> </w:t>
      </w:r>
      <w:r w:rsidR="006D130F" w:rsidRPr="00C07A08">
        <w:rPr>
          <w:sz w:val="24"/>
          <w:szCs w:val="24"/>
        </w:rPr>
        <w:t>(</w:t>
      </w:r>
      <w:r w:rsidR="00DF36E8" w:rsidRPr="00772709">
        <w:rPr>
          <w:b/>
          <w:sz w:val="24"/>
          <w:szCs w:val="24"/>
        </w:rPr>
        <w:t xml:space="preserve">Fig. </w:t>
      </w:r>
      <w:r w:rsidR="006C19DF" w:rsidRPr="00A90368">
        <w:rPr>
          <w:b/>
          <w:sz w:val="24"/>
          <w:szCs w:val="24"/>
        </w:rPr>
        <w:t>2</w:t>
      </w:r>
      <w:r w:rsidR="00775C3C" w:rsidRPr="00A90368">
        <w:rPr>
          <w:b/>
          <w:sz w:val="24"/>
          <w:szCs w:val="24"/>
        </w:rPr>
        <w:t>a</w:t>
      </w:r>
      <w:r w:rsidR="00F24B06" w:rsidRPr="00A90368">
        <w:rPr>
          <w:b/>
          <w:sz w:val="24"/>
          <w:szCs w:val="24"/>
        </w:rPr>
        <w:t>-</w:t>
      </w:r>
      <w:r w:rsidR="00775C3C" w:rsidRPr="00A90368">
        <w:rPr>
          <w:b/>
          <w:sz w:val="24"/>
          <w:szCs w:val="24"/>
        </w:rPr>
        <w:t>b</w:t>
      </w:r>
      <w:r w:rsidR="005743F4" w:rsidRPr="00A90368">
        <w:rPr>
          <w:sz w:val="24"/>
          <w:szCs w:val="24"/>
        </w:rPr>
        <w:t>)</w:t>
      </w:r>
      <w:r w:rsidR="00323499" w:rsidRPr="00B20AB4">
        <w:rPr>
          <w:sz w:val="24"/>
          <w:szCs w:val="24"/>
        </w:rPr>
        <w:t>.</w:t>
      </w:r>
      <w:r w:rsidR="00746FFA" w:rsidRPr="00B20AB4">
        <w:rPr>
          <w:sz w:val="24"/>
          <w:szCs w:val="24"/>
        </w:rPr>
        <w:t xml:space="preserve"> </w:t>
      </w:r>
      <w:r w:rsidR="005F65A7" w:rsidRPr="00B20AB4">
        <w:rPr>
          <w:sz w:val="24"/>
          <w:szCs w:val="24"/>
        </w:rPr>
        <w:t>RNA-DamID</w:t>
      </w:r>
      <w:r w:rsidR="00746FFA" w:rsidRPr="00B20AB4">
        <w:rPr>
          <w:sz w:val="24"/>
          <w:szCs w:val="24"/>
        </w:rPr>
        <w:t xml:space="preserve"> detected </w:t>
      </w:r>
      <w:r w:rsidR="003F73F2" w:rsidRPr="00B20AB4">
        <w:rPr>
          <w:sz w:val="24"/>
          <w:szCs w:val="24"/>
        </w:rPr>
        <w:t>2</w:t>
      </w:r>
      <w:r w:rsidR="00E3098A" w:rsidRPr="00B20AB4">
        <w:rPr>
          <w:sz w:val="24"/>
          <w:szCs w:val="24"/>
        </w:rPr>
        <w:t>44</w:t>
      </w:r>
      <w:r w:rsidR="00746FFA" w:rsidRPr="00B20AB4">
        <w:rPr>
          <w:sz w:val="24"/>
          <w:szCs w:val="24"/>
        </w:rPr>
        <w:t>/</w:t>
      </w:r>
      <w:r w:rsidR="003F73F2" w:rsidRPr="000823F2">
        <w:rPr>
          <w:sz w:val="24"/>
          <w:szCs w:val="24"/>
        </w:rPr>
        <w:t xml:space="preserve">267 </w:t>
      </w:r>
      <w:r w:rsidR="00746FFA" w:rsidRPr="000823F2">
        <w:rPr>
          <w:sz w:val="24"/>
          <w:szCs w:val="24"/>
        </w:rPr>
        <w:t>(</w:t>
      </w:r>
      <w:r w:rsidR="00E3098A" w:rsidRPr="00C37434">
        <w:rPr>
          <w:sz w:val="24"/>
          <w:szCs w:val="24"/>
        </w:rPr>
        <w:t>91</w:t>
      </w:r>
      <w:r w:rsidR="00746FFA" w:rsidRPr="00C37434">
        <w:rPr>
          <w:sz w:val="24"/>
          <w:szCs w:val="24"/>
        </w:rPr>
        <w:t xml:space="preserve">%) of peaks on the X identified by ChIRP in larvae </w:t>
      </w:r>
      <w:r w:rsidR="00746FFA" w:rsidRPr="00C07A08">
        <w:rPr>
          <w:sz w:val="24"/>
          <w:szCs w:val="24"/>
        </w:rPr>
        <w:fldChar w:fldCharType="begin" w:fldLock="1"/>
      </w:r>
      <w:r w:rsidR="004B7ADE">
        <w:rPr>
          <w:sz w:val="24"/>
          <w:szCs w:val="24"/>
        </w:rPr>
        <w:instrText>ADDIN CSL_CITATION { "citationItems" : [ { "id" : "ITEM-1", "itemData" : { "DOI" : "10.1101/gad.272187.115", "ISSN" : "15495477", "PMID" : "26773003", "abstract" : "Many long noncoding RNAs (lncRNAs) can regulate chromatin states, but the evolutionary origin and dynamics driving lncRNA-genome interactions are unclear. We adapted an integrative strategy that identifies lncRNA orthologs in different species despite limited sequence similarity, which is applicable to mammalian and insect lncRNAs. Analysis of the roX lncRNAs, which are essential for dosage compensation of the single X chromosome in Drosophila males, revealed 47 new roX orthologs in diverse Drosophilid species across \u223c40 million years of evolution. Genetic rescue by roX orthologs and engineered synthetic lncRNAs showed that altering the number of focal, repetitive RNA structures determines roX ortholog function. Genomic occupancy maps of roX RNAs in four species revealed conserved targeting of X chromosome neighborhoods but rapid turnover of individual binding sites. Many new roX-binding sites evolved from DNA encoding a pre-existing RNA splicing signal, effectively linking dosage compensation to transcribed genes. Thus, dynamic change in lncRNAs and their genomic targets underlies conserved and essential lncRNA-genome interactions.", "author" : [ { "dropping-particle" : "", "family" : "Quinn", "given" : "Jeffrey J.", "non-dropping-particle" : "", "parse-names" : false, "suffix" : "" }, { "dropping-particle" : "", "family" : "Zhang", "given" : "Qiangfeng C.", "non-dropping-particle" : "", "parse-names" : false, "suffix" : "" }, { "dropping-particle" : "", "family" : "Georgiev", "given" : "Plamen", "non-dropping-particle" : "", "parse-names" : false, "suffix" : "" }, { "dropping-particle" : "", "family" : "Ilik", "given" : "Ibrahim A.", "non-dropping-particle" : "", "parse-names" : false, "suffix" : "" }, { "dropping-particle" : "", "family" : "Akhtar", "given" : "Asifa", "non-dropping-particle" : "", "parse-names" : false, "suffix" : "" }, { "dropping-particle" : "", "family" : "Chang", "given" : "Howard Y.", "non-dropping-particle" : "", "parse-names" : false, "suffix" : "" } ], "container-title" : "Genes and Development", "id" : "ITEM-1", "issue" : "2", "issued" : { "date-parts" : [ [ "2016" ] ] }, "page" : "191-207", "title" : "Rapid evolutionary turnover underlies conserved lncRNA-genome interactions", "type" : "article-journal", "volume" : "30" }, "uris" : [ "http://www.mendeley.com/documents/?uuid=404135d6-fdb2-4af5-b9bd-99eb1c00e822" ] } ], "mendeley" : { "formattedCitation" : "&lt;sup&gt;10&lt;/sup&gt;", "plainTextFormattedCitation" : "10", "previouslyFormattedCitation" : "&lt;sup&gt;10&lt;/sup&gt;" }, "properties" : { "noteIndex" : 0 }, "schema" : "https://github.com/citation-style-language/schema/raw/master/csl-citation.json" }</w:instrText>
      </w:r>
      <w:r w:rsidR="00746FFA" w:rsidRPr="00C07A08">
        <w:rPr>
          <w:sz w:val="24"/>
          <w:szCs w:val="24"/>
        </w:rPr>
        <w:fldChar w:fldCharType="separate"/>
      </w:r>
      <w:r w:rsidR="000A16E4" w:rsidRPr="000A16E4">
        <w:rPr>
          <w:noProof/>
          <w:sz w:val="24"/>
          <w:szCs w:val="24"/>
          <w:vertAlign w:val="superscript"/>
        </w:rPr>
        <w:t>10</w:t>
      </w:r>
      <w:r w:rsidR="00746FFA" w:rsidRPr="00C07A08">
        <w:rPr>
          <w:sz w:val="24"/>
          <w:szCs w:val="24"/>
        </w:rPr>
        <w:fldChar w:fldCharType="end"/>
      </w:r>
      <w:r w:rsidR="006C19DF" w:rsidRPr="00C07A08">
        <w:rPr>
          <w:sz w:val="24"/>
          <w:szCs w:val="24"/>
        </w:rPr>
        <w:t xml:space="preserve"> (</w:t>
      </w:r>
      <w:r w:rsidR="00DF36E8" w:rsidRPr="00C07A08">
        <w:rPr>
          <w:b/>
          <w:sz w:val="24"/>
          <w:szCs w:val="24"/>
        </w:rPr>
        <w:t xml:space="preserve">Fig. </w:t>
      </w:r>
      <w:r w:rsidR="000A4208" w:rsidRPr="00C07A08">
        <w:rPr>
          <w:b/>
          <w:sz w:val="24"/>
          <w:szCs w:val="24"/>
        </w:rPr>
        <w:t>2</w:t>
      </w:r>
      <w:r w:rsidR="00775C3C" w:rsidRPr="00772709">
        <w:rPr>
          <w:b/>
          <w:sz w:val="24"/>
          <w:szCs w:val="24"/>
        </w:rPr>
        <w:t>b</w:t>
      </w:r>
      <w:r w:rsidR="006C19DF" w:rsidRPr="00772709">
        <w:rPr>
          <w:sz w:val="24"/>
          <w:szCs w:val="24"/>
        </w:rPr>
        <w:t>)</w:t>
      </w:r>
      <w:r w:rsidR="00746FFA" w:rsidRPr="00A90368">
        <w:rPr>
          <w:sz w:val="24"/>
          <w:szCs w:val="24"/>
        </w:rPr>
        <w:t xml:space="preserve">. </w:t>
      </w:r>
      <w:r w:rsidR="00C37434">
        <w:rPr>
          <w:sz w:val="24"/>
          <w:szCs w:val="24"/>
        </w:rPr>
        <w:t>However, n</w:t>
      </w:r>
      <w:r w:rsidR="00C37434" w:rsidRPr="00A90368">
        <w:rPr>
          <w:sz w:val="24"/>
          <w:szCs w:val="24"/>
        </w:rPr>
        <w:t xml:space="preserve">one </w:t>
      </w:r>
      <w:r w:rsidR="00746FFA" w:rsidRPr="00A90368">
        <w:rPr>
          <w:sz w:val="24"/>
          <w:szCs w:val="24"/>
        </w:rPr>
        <w:t xml:space="preserve">of the 26 autosomal peaks identified by ChIRP were </w:t>
      </w:r>
      <w:r w:rsidR="000A4208" w:rsidRPr="00B20AB4">
        <w:rPr>
          <w:sz w:val="24"/>
          <w:szCs w:val="24"/>
        </w:rPr>
        <w:t>detected using</w:t>
      </w:r>
      <w:r w:rsidR="00746FFA" w:rsidRPr="00B20AB4">
        <w:rPr>
          <w:sz w:val="24"/>
          <w:szCs w:val="24"/>
        </w:rPr>
        <w:t xml:space="preserve"> </w:t>
      </w:r>
      <w:r w:rsidR="002239B1" w:rsidRPr="00B20AB4">
        <w:rPr>
          <w:sz w:val="24"/>
          <w:szCs w:val="24"/>
        </w:rPr>
        <w:t xml:space="preserve">roX2 </w:t>
      </w:r>
      <w:r w:rsidR="005F65A7" w:rsidRPr="000823F2">
        <w:rPr>
          <w:sz w:val="24"/>
          <w:szCs w:val="24"/>
        </w:rPr>
        <w:t>RNA-DamID</w:t>
      </w:r>
      <w:r w:rsidR="000A4208" w:rsidRPr="000823F2">
        <w:rPr>
          <w:sz w:val="24"/>
          <w:szCs w:val="24"/>
        </w:rPr>
        <w:t xml:space="preserve">, </w:t>
      </w:r>
      <w:r w:rsidR="00A862F5" w:rsidRPr="000823F2">
        <w:rPr>
          <w:sz w:val="24"/>
          <w:szCs w:val="24"/>
        </w:rPr>
        <w:t xml:space="preserve">nor </w:t>
      </w:r>
      <w:r w:rsidR="00C37434">
        <w:rPr>
          <w:sz w:val="24"/>
          <w:szCs w:val="24"/>
        </w:rPr>
        <w:t>were</w:t>
      </w:r>
      <w:r w:rsidR="00C37434" w:rsidRPr="000823F2">
        <w:rPr>
          <w:sz w:val="24"/>
          <w:szCs w:val="24"/>
        </w:rPr>
        <w:t xml:space="preserve"> </w:t>
      </w:r>
      <w:r w:rsidR="006A5D6C" w:rsidRPr="000823F2">
        <w:rPr>
          <w:sz w:val="24"/>
          <w:szCs w:val="24"/>
        </w:rPr>
        <w:t>these sites occupied by</w:t>
      </w:r>
      <w:r w:rsidR="000A4208" w:rsidRPr="00C37434">
        <w:rPr>
          <w:sz w:val="24"/>
          <w:szCs w:val="24"/>
        </w:rPr>
        <w:t xml:space="preserve"> Msl3 or </w:t>
      </w:r>
      <w:r w:rsidR="00543337" w:rsidRPr="00C37434">
        <w:rPr>
          <w:sz w:val="24"/>
          <w:szCs w:val="24"/>
        </w:rPr>
        <w:t xml:space="preserve">marked by </w:t>
      </w:r>
      <w:r w:rsidR="000A4208" w:rsidRPr="00C37434">
        <w:rPr>
          <w:sz w:val="24"/>
          <w:szCs w:val="24"/>
        </w:rPr>
        <w:t>H4K16ac</w:t>
      </w:r>
      <w:r w:rsidR="004C54DC" w:rsidRPr="00C37434">
        <w:rPr>
          <w:sz w:val="24"/>
          <w:szCs w:val="24"/>
        </w:rPr>
        <w:t>,</w:t>
      </w:r>
      <w:r w:rsidR="000A4208" w:rsidRPr="00C37434">
        <w:rPr>
          <w:sz w:val="24"/>
          <w:szCs w:val="24"/>
        </w:rPr>
        <w:t xml:space="preserve"> suggesting that</w:t>
      </w:r>
      <w:r w:rsidR="00A862F5" w:rsidRPr="00C37434">
        <w:rPr>
          <w:sz w:val="24"/>
          <w:szCs w:val="24"/>
        </w:rPr>
        <w:t xml:space="preserve"> they </w:t>
      </w:r>
      <w:r w:rsidR="00C37434">
        <w:rPr>
          <w:sz w:val="24"/>
          <w:szCs w:val="24"/>
        </w:rPr>
        <w:t>are likely to be</w:t>
      </w:r>
      <w:r w:rsidR="00C37434" w:rsidRPr="00C37434">
        <w:rPr>
          <w:sz w:val="24"/>
          <w:szCs w:val="24"/>
        </w:rPr>
        <w:t xml:space="preserve"> </w:t>
      </w:r>
      <w:r w:rsidR="00A862F5" w:rsidRPr="00C37434">
        <w:rPr>
          <w:sz w:val="24"/>
          <w:szCs w:val="24"/>
        </w:rPr>
        <w:t>false positives</w:t>
      </w:r>
      <w:r w:rsidR="00543337" w:rsidRPr="00C37434">
        <w:rPr>
          <w:sz w:val="24"/>
          <w:szCs w:val="24"/>
        </w:rPr>
        <w:t>.</w:t>
      </w:r>
      <w:r w:rsidR="000A4208" w:rsidRPr="00C37434">
        <w:rPr>
          <w:sz w:val="24"/>
          <w:szCs w:val="24"/>
        </w:rPr>
        <w:t xml:space="preserve"> </w:t>
      </w:r>
    </w:p>
    <w:p w14:paraId="57D02AAC" w14:textId="77777777" w:rsidR="00C37434" w:rsidRDefault="00C37434" w:rsidP="00F803A5">
      <w:pPr>
        <w:tabs>
          <w:tab w:val="left" w:pos="940"/>
        </w:tabs>
        <w:spacing w:line="480" w:lineRule="auto"/>
        <w:rPr>
          <w:sz w:val="24"/>
          <w:szCs w:val="24"/>
        </w:rPr>
      </w:pPr>
    </w:p>
    <w:p w14:paraId="2CF5B366" w14:textId="6DEB7669" w:rsidR="00461E33" w:rsidRDefault="002C1991" w:rsidP="00F803A5">
      <w:pPr>
        <w:tabs>
          <w:tab w:val="left" w:pos="940"/>
        </w:tabs>
        <w:spacing w:line="480" w:lineRule="auto"/>
        <w:rPr>
          <w:sz w:val="24"/>
          <w:szCs w:val="24"/>
        </w:rPr>
      </w:pPr>
      <w:r w:rsidRPr="00C37434">
        <w:rPr>
          <w:sz w:val="24"/>
          <w:szCs w:val="24"/>
        </w:rPr>
        <w:t>The</w:t>
      </w:r>
      <w:r w:rsidR="00543337" w:rsidRPr="00C37434">
        <w:rPr>
          <w:sz w:val="24"/>
          <w:szCs w:val="24"/>
        </w:rPr>
        <w:t xml:space="preserve"> results </w:t>
      </w:r>
      <w:r w:rsidRPr="00C37434">
        <w:rPr>
          <w:sz w:val="24"/>
          <w:szCs w:val="24"/>
        </w:rPr>
        <w:t xml:space="preserve">obtained </w:t>
      </w:r>
      <w:r w:rsidR="00543337" w:rsidRPr="00C37434">
        <w:rPr>
          <w:sz w:val="24"/>
          <w:szCs w:val="24"/>
        </w:rPr>
        <w:t xml:space="preserve">with </w:t>
      </w:r>
      <w:r w:rsidR="005F65A7" w:rsidRPr="00C37434">
        <w:rPr>
          <w:sz w:val="24"/>
          <w:szCs w:val="24"/>
        </w:rPr>
        <w:t>RNA-DamID</w:t>
      </w:r>
      <w:r w:rsidR="00CC1D38" w:rsidRPr="00C37434">
        <w:rPr>
          <w:sz w:val="24"/>
          <w:szCs w:val="24"/>
        </w:rPr>
        <w:t xml:space="preserve"> of</w:t>
      </w:r>
      <w:r w:rsidR="006A5D6C" w:rsidRPr="00C37434">
        <w:rPr>
          <w:sz w:val="24"/>
          <w:szCs w:val="24"/>
        </w:rPr>
        <w:t xml:space="preserve"> </w:t>
      </w:r>
      <w:r w:rsidRPr="00C37434">
        <w:rPr>
          <w:sz w:val="24"/>
          <w:szCs w:val="24"/>
        </w:rPr>
        <w:t xml:space="preserve">a </w:t>
      </w:r>
      <w:r w:rsidR="00461E33" w:rsidRPr="00C37434">
        <w:rPr>
          <w:sz w:val="24"/>
          <w:szCs w:val="24"/>
        </w:rPr>
        <w:t xml:space="preserve">roX2 transgene </w:t>
      </w:r>
      <w:r w:rsidR="00543337" w:rsidRPr="00C37434">
        <w:rPr>
          <w:sz w:val="24"/>
          <w:szCs w:val="24"/>
        </w:rPr>
        <w:t xml:space="preserve">are </w:t>
      </w:r>
      <w:r w:rsidR="00DF36E8" w:rsidRPr="00C37434">
        <w:rPr>
          <w:sz w:val="24"/>
          <w:szCs w:val="24"/>
        </w:rPr>
        <w:t xml:space="preserve">highly </w:t>
      </w:r>
      <w:r w:rsidR="00543337" w:rsidRPr="00C37434">
        <w:rPr>
          <w:sz w:val="24"/>
          <w:szCs w:val="24"/>
        </w:rPr>
        <w:t xml:space="preserve">similar to those obtained by </w:t>
      </w:r>
      <w:r w:rsidR="00461E33" w:rsidRPr="00C37434">
        <w:rPr>
          <w:sz w:val="24"/>
          <w:szCs w:val="24"/>
        </w:rPr>
        <w:t>Ch</w:t>
      </w:r>
      <w:r w:rsidR="00CC1D38" w:rsidRPr="00C37434">
        <w:rPr>
          <w:sz w:val="24"/>
          <w:szCs w:val="24"/>
        </w:rPr>
        <w:t>I</w:t>
      </w:r>
      <w:r w:rsidR="00461E33" w:rsidRPr="00C37434">
        <w:rPr>
          <w:sz w:val="24"/>
          <w:szCs w:val="24"/>
        </w:rPr>
        <w:t>RP of endogenous</w:t>
      </w:r>
      <w:r w:rsidR="00CC1D38" w:rsidRPr="00C37434">
        <w:rPr>
          <w:sz w:val="24"/>
          <w:szCs w:val="24"/>
        </w:rPr>
        <w:t xml:space="preserve"> roX2</w:t>
      </w:r>
      <w:r w:rsidRPr="00C37434">
        <w:rPr>
          <w:sz w:val="24"/>
          <w:szCs w:val="24"/>
        </w:rPr>
        <w:t>, but RNA-DamID is at least 75 fold more sensitive than ChIRP and shows greater specificity (</w:t>
      </w:r>
      <w:r w:rsidR="00DF36E8" w:rsidRPr="00C37434">
        <w:rPr>
          <w:b/>
          <w:sz w:val="24"/>
          <w:szCs w:val="24"/>
        </w:rPr>
        <w:t xml:space="preserve">Fig. </w:t>
      </w:r>
      <w:r w:rsidRPr="00C37434">
        <w:rPr>
          <w:b/>
          <w:sz w:val="24"/>
          <w:szCs w:val="24"/>
        </w:rPr>
        <w:t>2</w:t>
      </w:r>
      <w:r w:rsidR="00775C3C" w:rsidRPr="00C37434">
        <w:rPr>
          <w:b/>
          <w:sz w:val="24"/>
          <w:szCs w:val="24"/>
        </w:rPr>
        <w:t>b</w:t>
      </w:r>
      <w:r w:rsidRPr="00C37434">
        <w:rPr>
          <w:sz w:val="24"/>
          <w:szCs w:val="24"/>
        </w:rPr>
        <w:t>)</w:t>
      </w:r>
      <w:r w:rsidR="00543337" w:rsidRPr="00C37434">
        <w:rPr>
          <w:sz w:val="24"/>
          <w:szCs w:val="24"/>
        </w:rPr>
        <w:t>.</w:t>
      </w:r>
      <w:r w:rsidR="00F47264" w:rsidRPr="00C37434">
        <w:rPr>
          <w:sz w:val="24"/>
          <w:szCs w:val="24"/>
        </w:rPr>
        <w:t xml:space="preserve"> </w:t>
      </w:r>
      <w:r w:rsidR="00C37434">
        <w:rPr>
          <w:sz w:val="24"/>
          <w:szCs w:val="24"/>
        </w:rPr>
        <w:t>In a</w:t>
      </w:r>
      <w:r w:rsidR="00F47264" w:rsidRPr="00C37434">
        <w:rPr>
          <w:sz w:val="24"/>
          <w:szCs w:val="24"/>
        </w:rPr>
        <w:t xml:space="preserve">ddition, we </w:t>
      </w:r>
      <w:r w:rsidR="008B13A2">
        <w:rPr>
          <w:sz w:val="24"/>
          <w:szCs w:val="24"/>
        </w:rPr>
        <w:t>found</w:t>
      </w:r>
      <w:r w:rsidR="00F47264" w:rsidRPr="00C37434">
        <w:rPr>
          <w:sz w:val="24"/>
          <w:szCs w:val="24"/>
        </w:rPr>
        <w:t xml:space="preserve"> 563 novel roX2 binding sites</w:t>
      </w:r>
      <w:r w:rsidR="008B13A2">
        <w:rPr>
          <w:sz w:val="24"/>
          <w:szCs w:val="24"/>
        </w:rPr>
        <w:t xml:space="preserve">, </w:t>
      </w:r>
      <w:r w:rsidR="008B13A2" w:rsidRPr="00C07A08">
        <w:rPr>
          <w:sz w:val="24"/>
          <w:szCs w:val="24"/>
        </w:rPr>
        <w:t>also co-occupied by Msl3 and H4K16ac</w:t>
      </w:r>
      <w:r w:rsidR="008B13A2">
        <w:rPr>
          <w:sz w:val="24"/>
          <w:szCs w:val="24"/>
        </w:rPr>
        <w:t>,</w:t>
      </w:r>
      <w:r w:rsidR="00F47264" w:rsidRPr="00C37434">
        <w:rPr>
          <w:sz w:val="24"/>
          <w:szCs w:val="24"/>
        </w:rPr>
        <w:t xml:space="preserve"> that had not previously been detected</w:t>
      </w:r>
      <w:r w:rsidR="005F63F1" w:rsidRPr="00C07A08">
        <w:rPr>
          <w:sz w:val="24"/>
          <w:szCs w:val="24"/>
        </w:rPr>
        <w:t xml:space="preserve"> (</w:t>
      </w:r>
      <w:r w:rsidR="00A06982">
        <w:rPr>
          <w:b/>
          <w:sz w:val="24"/>
          <w:szCs w:val="24"/>
        </w:rPr>
        <w:t>Supplementary</w:t>
      </w:r>
      <w:r w:rsidR="005F63F1" w:rsidRPr="00C07A08">
        <w:rPr>
          <w:b/>
          <w:sz w:val="24"/>
          <w:szCs w:val="24"/>
        </w:rPr>
        <w:t xml:space="preserve"> Fig. 4)</w:t>
      </w:r>
      <w:r w:rsidR="00F47264" w:rsidRPr="00B20AB4">
        <w:rPr>
          <w:sz w:val="24"/>
          <w:szCs w:val="24"/>
        </w:rPr>
        <w:t>.</w:t>
      </w:r>
      <w:r w:rsidR="00543337" w:rsidRPr="00B20AB4">
        <w:rPr>
          <w:sz w:val="24"/>
          <w:szCs w:val="24"/>
        </w:rPr>
        <w:t xml:space="preserve"> </w:t>
      </w:r>
      <w:r w:rsidR="008B13A2">
        <w:rPr>
          <w:sz w:val="24"/>
          <w:szCs w:val="24"/>
        </w:rPr>
        <w:t>Interestingly, w</w:t>
      </w:r>
      <w:r w:rsidR="008B13A2" w:rsidRPr="00B20AB4">
        <w:rPr>
          <w:sz w:val="24"/>
          <w:szCs w:val="24"/>
        </w:rPr>
        <w:t xml:space="preserve">e </w:t>
      </w:r>
      <w:r w:rsidR="00543337" w:rsidRPr="00B20AB4">
        <w:rPr>
          <w:sz w:val="24"/>
          <w:szCs w:val="24"/>
        </w:rPr>
        <w:t xml:space="preserve">did not observe </w:t>
      </w:r>
      <w:r w:rsidR="00C46F14" w:rsidRPr="000823F2">
        <w:rPr>
          <w:sz w:val="24"/>
          <w:szCs w:val="24"/>
        </w:rPr>
        <w:t>spreading of</w:t>
      </w:r>
      <w:r w:rsidR="00461E33" w:rsidRPr="000823F2">
        <w:rPr>
          <w:sz w:val="24"/>
          <w:szCs w:val="24"/>
        </w:rPr>
        <w:t xml:space="preserve"> roX2</w:t>
      </w:r>
      <w:r w:rsidR="006A5D6C" w:rsidRPr="000823F2">
        <w:rPr>
          <w:sz w:val="24"/>
          <w:szCs w:val="24"/>
        </w:rPr>
        <w:t xml:space="preserve"> </w:t>
      </w:r>
      <w:r w:rsidR="00543337" w:rsidRPr="000823F2">
        <w:rPr>
          <w:sz w:val="24"/>
          <w:szCs w:val="24"/>
        </w:rPr>
        <w:t xml:space="preserve">in </w:t>
      </w:r>
      <w:r w:rsidR="00543337" w:rsidRPr="00C37434">
        <w:rPr>
          <w:i/>
          <w:sz w:val="24"/>
          <w:szCs w:val="24"/>
        </w:rPr>
        <w:t>cis</w:t>
      </w:r>
      <w:r w:rsidR="00543337" w:rsidRPr="00C37434">
        <w:rPr>
          <w:sz w:val="24"/>
          <w:szCs w:val="24"/>
        </w:rPr>
        <w:t xml:space="preserve"> </w:t>
      </w:r>
      <w:r w:rsidR="006A5D6C" w:rsidRPr="00C37434">
        <w:rPr>
          <w:sz w:val="24"/>
          <w:szCs w:val="24"/>
        </w:rPr>
        <w:t>from the transgene insertion site</w:t>
      </w:r>
      <w:r w:rsidR="00C46F14" w:rsidRPr="00C37434">
        <w:rPr>
          <w:sz w:val="24"/>
          <w:szCs w:val="24"/>
        </w:rPr>
        <w:t xml:space="preserve"> </w:t>
      </w:r>
      <w:r w:rsidR="000A4208" w:rsidRPr="00C37434">
        <w:rPr>
          <w:sz w:val="24"/>
          <w:szCs w:val="24"/>
        </w:rPr>
        <w:t>(</w:t>
      </w:r>
      <w:r w:rsidR="00A06982">
        <w:rPr>
          <w:b/>
          <w:sz w:val="24"/>
          <w:szCs w:val="24"/>
        </w:rPr>
        <w:t>Supplementary</w:t>
      </w:r>
      <w:r w:rsidR="00775C3C" w:rsidRPr="00C37434">
        <w:rPr>
          <w:b/>
          <w:sz w:val="24"/>
          <w:szCs w:val="24"/>
        </w:rPr>
        <w:t xml:space="preserve"> Fig.</w:t>
      </w:r>
      <w:r w:rsidR="009A7C53" w:rsidRPr="00C37434">
        <w:rPr>
          <w:b/>
          <w:sz w:val="24"/>
          <w:szCs w:val="24"/>
        </w:rPr>
        <w:t xml:space="preserve"> </w:t>
      </w:r>
      <w:r w:rsidR="005F63F1" w:rsidRPr="00C37434">
        <w:rPr>
          <w:b/>
          <w:sz w:val="24"/>
          <w:szCs w:val="24"/>
        </w:rPr>
        <w:t>5</w:t>
      </w:r>
      <w:r w:rsidR="000A4208" w:rsidRPr="00C37434">
        <w:rPr>
          <w:sz w:val="24"/>
          <w:szCs w:val="24"/>
        </w:rPr>
        <w:t>)</w:t>
      </w:r>
      <w:r w:rsidR="00C46F14" w:rsidRPr="00C37434">
        <w:rPr>
          <w:sz w:val="24"/>
          <w:szCs w:val="24"/>
        </w:rPr>
        <w:t>.</w:t>
      </w:r>
      <w:r w:rsidR="00C763AD" w:rsidRPr="00C37434">
        <w:rPr>
          <w:sz w:val="24"/>
          <w:szCs w:val="24"/>
        </w:rPr>
        <w:t xml:space="preserve"> This supports the </w:t>
      </w:r>
      <w:r w:rsidR="00DF36E8" w:rsidRPr="00C37434">
        <w:rPr>
          <w:sz w:val="24"/>
          <w:szCs w:val="24"/>
        </w:rPr>
        <w:t>surprising</w:t>
      </w:r>
      <w:r w:rsidR="00C763AD" w:rsidRPr="00C37434">
        <w:rPr>
          <w:sz w:val="24"/>
          <w:szCs w:val="24"/>
        </w:rPr>
        <w:t xml:space="preserve"> observation that low level transcription of roX transgenes </w:t>
      </w:r>
      <w:r w:rsidR="008B13A2">
        <w:rPr>
          <w:sz w:val="24"/>
          <w:szCs w:val="24"/>
        </w:rPr>
        <w:t xml:space="preserve">results in </w:t>
      </w:r>
      <w:r w:rsidR="00C763AD" w:rsidRPr="00C37434">
        <w:rPr>
          <w:sz w:val="24"/>
          <w:szCs w:val="24"/>
        </w:rPr>
        <w:t xml:space="preserve">extensive spreading in </w:t>
      </w:r>
      <w:r w:rsidR="00C763AD" w:rsidRPr="00C37434">
        <w:rPr>
          <w:i/>
          <w:sz w:val="24"/>
          <w:szCs w:val="24"/>
        </w:rPr>
        <w:t>cis</w:t>
      </w:r>
      <w:r w:rsidR="00C763AD" w:rsidRPr="00C37434">
        <w:rPr>
          <w:sz w:val="24"/>
          <w:szCs w:val="24"/>
        </w:rPr>
        <w:t xml:space="preserve">, </w:t>
      </w:r>
      <w:r w:rsidR="00D74A59">
        <w:rPr>
          <w:sz w:val="24"/>
          <w:szCs w:val="24"/>
        </w:rPr>
        <w:t xml:space="preserve">whereas </w:t>
      </w:r>
      <w:r w:rsidR="00C763AD" w:rsidRPr="00C37434">
        <w:rPr>
          <w:sz w:val="24"/>
          <w:szCs w:val="24"/>
        </w:rPr>
        <w:t xml:space="preserve">robust induction of UAS-driven roX RNAs with GAL4 results in localisation </w:t>
      </w:r>
      <w:r w:rsidR="00DF36E8" w:rsidRPr="00C37434">
        <w:rPr>
          <w:sz w:val="24"/>
          <w:szCs w:val="24"/>
        </w:rPr>
        <w:t>exclusively</w:t>
      </w:r>
      <w:r w:rsidR="00C763AD" w:rsidRPr="00C37434">
        <w:rPr>
          <w:sz w:val="24"/>
          <w:szCs w:val="24"/>
        </w:rPr>
        <w:t xml:space="preserve"> </w:t>
      </w:r>
      <w:r w:rsidR="00DF36E8" w:rsidRPr="00C37434">
        <w:rPr>
          <w:sz w:val="24"/>
          <w:szCs w:val="24"/>
        </w:rPr>
        <w:t>on</w:t>
      </w:r>
      <w:r w:rsidR="00C763AD" w:rsidRPr="00C37434">
        <w:rPr>
          <w:sz w:val="24"/>
          <w:szCs w:val="24"/>
        </w:rPr>
        <w:t xml:space="preserve"> the X chromosome </w:t>
      </w:r>
      <w:r w:rsidR="00C763AD" w:rsidRPr="00C07A08">
        <w:rPr>
          <w:sz w:val="24"/>
          <w:szCs w:val="24"/>
        </w:rPr>
        <w:fldChar w:fldCharType="begin" w:fldLock="1"/>
      </w:r>
      <w:r w:rsidR="004B7ADE">
        <w:rPr>
          <w:sz w:val="24"/>
          <w:szCs w:val="24"/>
        </w:rPr>
        <w:instrText>ADDIN CSL_CITATION { "citationItems" : [ { "id" : "ITEM-1", "itemData" : { "DOI" : "10.1126/science.1076686", "ISBN" : "1095-9203 (Electronic)\\r0036-8075 (Linking)", "ISSN" : "00368075", "PMID" : "12446910", "abstract" : "The untranslated roX1 and roX2 RNAs are components of the Drosophila male-specific lethal (MSL) complex, which modifies histones to up-regulate transcription of the male X chromosome. roX genes are normally located on the X chromosome, and roX transgenes can misdirect the dosage compensation machinery to spread locally on other chromosomes. Here we define MSL protein abundance as a determinant of whether the MSL complex will spread in cis from an autosomal roX transgene. The number of expressed roX genes in a nucleus was inversely correlated with spreading from roX transgenes. We suggest a model in which MSL proteins assemble into active complexes by binding nascent roX transcripts. When MSL protein/roX RNA ratios are high, assembly will be efficient, and complexes may be completed while still tethered to the DNA template. We propose that this local production of MSL complexes determines the extent of spreading into flanking chromatin.", "author" : [ { "dropping-particle" : "", "family" : "Park", "given" : "Yongkyu", "non-dropping-particle" : "", "parse-names" : false, "suffix" : "" }, { "dropping-particle" : "", "family" : "Kelley", "given" : "Richard L", "non-dropping-particle" : "", "parse-names" : false, "suffix" : "" }, { "dropping-particle" : "", "family" : "Oh", "given" : "Hyangyee", "non-dropping-particle" : "", "parse-names" : false, "suffix" : "" }, { "dropping-particle" : "", "family" : "Kuroda", "given" : "Mitzi I", "non-dropping-particle" : "", "parse-names" : false, "suffix" : "" }, { "dropping-particle" : "", "family" : "Meller", "given" : "Victoria H", "non-dropping-particle" : "", "parse-names" : false, "suffix" : "" } ], "container-title" : "Science (New York, N.Y.)", "id" : "ITEM-1", "issue" : "5598", "issued" : { "date-parts" : [ [ "2002" ] ] }, "page" : "1620-1623", "title" : "Extent of chromatin spreading determined by roX RNA recruitment of MSL proteins.", "type" : "article-journal", "volume" : "298" }, "uris" : [ "http://www.mendeley.com/documents/?uuid=c0c37101-a7ed-499c-af9f-86947b726d4a" ] } ], "mendeley" : { "formattedCitation" : "&lt;sup&gt;12&lt;/sup&gt;", "plainTextFormattedCitation" : "12", "previouslyFormattedCitation" : "&lt;sup&gt;12&lt;/sup&gt;" }, "properties" : { "noteIndex" : 0 }, "schema" : "https://github.com/citation-style-language/schema/raw/master/csl-citation.json" }</w:instrText>
      </w:r>
      <w:r w:rsidR="00C763AD" w:rsidRPr="00C07A08">
        <w:rPr>
          <w:sz w:val="24"/>
          <w:szCs w:val="24"/>
        </w:rPr>
        <w:fldChar w:fldCharType="separate"/>
      </w:r>
      <w:r w:rsidR="000A16E4" w:rsidRPr="000A16E4">
        <w:rPr>
          <w:noProof/>
          <w:sz w:val="24"/>
          <w:szCs w:val="24"/>
          <w:vertAlign w:val="superscript"/>
        </w:rPr>
        <w:t>12</w:t>
      </w:r>
      <w:r w:rsidR="00C763AD" w:rsidRPr="00C07A08">
        <w:rPr>
          <w:sz w:val="24"/>
          <w:szCs w:val="24"/>
        </w:rPr>
        <w:fldChar w:fldCharType="end"/>
      </w:r>
      <w:r w:rsidR="00C763AD" w:rsidRPr="00C07A08">
        <w:rPr>
          <w:sz w:val="24"/>
          <w:szCs w:val="24"/>
        </w:rPr>
        <w:t>.</w:t>
      </w:r>
      <w:r w:rsidR="00C46F14" w:rsidRPr="00C07A08">
        <w:rPr>
          <w:sz w:val="24"/>
          <w:szCs w:val="24"/>
        </w:rPr>
        <w:t xml:space="preserve"> </w:t>
      </w:r>
      <w:r w:rsidR="00C763AD" w:rsidRPr="00772709">
        <w:rPr>
          <w:sz w:val="24"/>
          <w:szCs w:val="24"/>
        </w:rPr>
        <w:t>Our</w:t>
      </w:r>
      <w:r w:rsidR="00543337" w:rsidRPr="00772709">
        <w:rPr>
          <w:sz w:val="24"/>
          <w:szCs w:val="24"/>
        </w:rPr>
        <w:t xml:space="preserve"> </w:t>
      </w:r>
      <w:r w:rsidR="00C46F14" w:rsidRPr="00A90368">
        <w:rPr>
          <w:sz w:val="24"/>
          <w:szCs w:val="24"/>
        </w:rPr>
        <w:t>results demonstrate that</w:t>
      </w:r>
      <w:r w:rsidR="00C763AD" w:rsidRPr="00A90368">
        <w:rPr>
          <w:sz w:val="24"/>
          <w:szCs w:val="24"/>
        </w:rPr>
        <w:t xml:space="preserve"> </w:t>
      </w:r>
      <w:r w:rsidR="00C46F14" w:rsidRPr="00A90368">
        <w:rPr>
          <w:sz w:val="24"/>
          <w:szCs w:val="24"/>
        </w:rPr>
        <w:t xml:space="preserve">roX2 </w:t>
      </w:r>
      <w:r w:rsidR="004C44E1" w:rsidRPr="00A90368">
        <w:rPr>
          <w:sz w:val="24"/>
          <w:szCs w:val="24"/>
        </w:rPr>
        <w:t xml:space="preserve">binding </w:t>
      </w:r>
      <w:r w:rsidR="00461E33" w:rsidRPr="00B20AB4">
        <w:rPr>
          <w:sz w:val="24"/>
          <w:szCs w:val="24"/>
        </w:rPr>
        <w:t xml:space="preserve">to the male X </w:t>
      </w:r>
      <w:r w:rsidR="004C44E1" w:rsidRPr="00B20AB4">
        <w:rPr>
          <w:sz w:val="24"/>
          <w:szCs w:val="24"/>
        </w:rPr>
        <w:t xml:space="preserve">chromosome </w:t>
      </w:r>
      <w:r w:rsidR="00461E33" w:rsidRPr="00B20AB4">
        <w:rPr>
          <w:sz w:val="24"/>
          <w:szCs w:val="24"/>
        </w:rPr>
        <w:t xml:space="preserve">is independent of the genomic locus </w:t>
      </w:r>
      <w:r w:rsidR="00543337" w:rsidRPr="00B20AB4">
        <w:rPr>
          <w:sz w:val="24"/>
          <w:szCs w:val="24"/>
        </w:rPr>
        <w:t xml:space="preserve">from which </w:t>
      </w:r>
      <w:r w:rsidR="00461E33" w:rsidRPr="00B20AB4">
        <w:rPr>
          <w:sz w:val="24"/>
          <w:szCs w:val="24"/>
        </w:rPr>
        <w:t>it is transcribed</w:t>
      </w:r>
      <w:r w:rsidR="00C763AD" w:rsidRPr="00B20AB4">
        <w:rPr>
          <w:sz w:val="24"/>
          <w:szCs w:val="24"/>
        </w:rPr>
        <w:t xml:space="preserve"> and</w:t>
      </w:r>
      <w:r w:rsidR="00543337" w:rsidRPr="00B20AB4">
        <w:rPr>
          <w:sz w:val="24"/>
          <w:szCs w:val="24"/>
        </w:rPr>
        <w:t xml:space="preserve"> </w:t>
      </w:r>
      <w:r w:rsidR="00D74A59">
        <w:rPr>
          <w:sz w:val="24"/>
          <w:szCs w:val="24"/>
        </w:rPr>
        <w:t xml:space="preserve">that roX2 can </w:t>
      </w:r>
      <w:r w:rsidR="00461E33" w:rsidRPr="00B20AB4">
        <w:rPr>
          <w:sz w:val="24"/>
          <w:szCs w:val="24"/>
        </w:rPr>
        <w:t>t</w:t>
      </w:r>
      <w:r w:rsidR="00461E33" w:rsidRPr="000823F2">
        <w:rPr>
          <w:sz w:val="24"/>
          <w:szCs w:val="24"/>
        </w:rPr>
        <w:t>ru</w:t>
      </w:r>
      <w:r w:rsidR="00543337" w:rsidRPr="000823F2">
        <w:rPr>
          <w:sz w:val="24"/>
          <w:szCs w:val="24"/>
        </w:rPr>
        <w:t>ly act in</w:t>
      </w:r>
      <w:r w:rsidR="00461E33" w:rsidRPr="000823F2">
        <w:rPr>
          <w:sz w:val="24"/>
          <w:szCs w:val="24"/>
        </w:rPr>
        <w:t xml:space="preserve"> </w:t>
      </w:r>
      <w:r w:rsidR="00461E33" w:rsidRPr="000823F2">
        <w:rPr>
          <w:i/>
          <w:sz w:val="24"/>
          <w:szCs w:val="24"/>
        </w:rPr>
        <w:t>trans</w:t>
      </w:r>
      <w:r w:rsidR="00461E33" w:rsidRPr="00C37434">
        <w:rPr>
          <w:sz w:val="24"/>
          <w:szCs w:val="24"/>
        </w:rPr>
        <w:t>.</w:t>
      </w:r>
      <w:r w:rsidR="00543337" w:rsidRPr="00C37434">
        <w:rPr>
          <w:sz w:val="24"/>
          <w:szCs w:val="24"/>
        </w:rPr>
        <w:t xml:space="preserve"> </w:t>
      </w:r>
    </w:p>
    <w:p w14:paraId="74F12A92" w14:textId="0CD807B9" w:rsidR="00E0179D" w:rsidRPr="00A2214F" w:rsidRDefault="00A06982" w:rsidP="00F803A5">
      <w:pPr>
        <w:spacing w:after="120" w:line="480" w:lineRule="auto"/>
        <w:jc w:val="both"/>
        <w:rPr>
          <w:b/>
          <w:sz w:val="24"/>
          <w:szCs w:val="24"/>
        </w:rPr>
      </w:pPr>
      <w:r>
        <w:rPr>
          <w:b/>
          <w:sz w:val="24"/>
          <w:szCs w:val="24"/>
        </w:rPr>
        <w:t>roX RNA binding to chromatin entry sites is cell-type-specific</w:t>
      </w:r>
    </w:p>
    <w:p w14:paraId="20B7ECD2" w14:textId="73865632" w:rsidR="002E6E33" w:rsidRDefault="00827C2A" w:rsidP="00F803A5">
      <w:pPr>
        <w:tabs>
          <w:tab w:val="left" w:pos="940"/>
        </w:tabs>
        <w:spacing w:line="480" w:lineRule="auto"/>
        <w:rPr>
          <w:sz w:val="24"/>
          <w:szCs w:val="24"/>
        </w:rPr>
      </w:pPr>
      <w:r w:rsidRPr="00E0179D">
        <w:rPr>
          <w:sz w:val="24"/>
          <w:szCs w:val="24"/>
        </w:rPr>
        <w:t>Dosage compensation occurs in two stages</w:t>
      </w:r>
      <w:r w:rsidR="00F00704" w:rsidRPr="00E0179D">
        <w:rPr>
          <w:sz w:val="24"/>
          <w:szCs w:val="24"/>
        </w:rPr>
        <w:t>.</w:t>
      </w:r>
      <w:r w:rsidRPr="00E0179D">
        <w:rPr>
          <w:sz w:val="24"/>
          <w:szCs w:val="24"/>
        </w:rPr>
        <w:t xml:space="preserve"> </w:t>
      </w:r>
      <w:r w:rsidR="00F00704" w:rsidRPr="00E0179D">
        <w:rPr>
          <w:sz w:val="24"/>
          <w:szCs w:val="24"/>
        </w:rPr>
        <w:t>F</w:t>
      </w:r>
      <w:r w:rsidRPr="00E0179D">
        <w:rPr>
          <w:sz w:val="24"/>
          <w:szCs w:val="24"/>
        </w:rPr>
        <w:t xml:space="preserve">irst, the MSL/roX complex assembles </w:t>
      </w:r>
      <w:r w:rsidR="00E0179D">
        <w:rPr>
          <w:sz w:val="24"/>
          <w:szCs w:val="24"/>
        </w:rPr>
        <w:t>in a sequence-dependent fashion</w:t>
      </w:r>
      <w:r w:rsidR="00E0179D" w:rsidRPr="00E0179D">
        <w:rPr>
          <w:sz w:val="24"/>
          <w:szCs w:val="24"/>
        </w:rPr>
        <w:t xml:space="preserve"> </w:t>
      </w:r>
      <w:r w:rsidRPr="00E0179D">
        <w:rPr>
          <w:sz w:val="24"/>
          <w:szCs w:val="24"/>
        </w:rPr>
        <w:t>at ~150 “chromatin entry sites” (CES)</w:t>
      </w:r>
      <w:r w:rsidR="00C22984" w:rsidRPr="00F803A5">
        <w:rPr>
          <w:sz w:val="24"/>
          <w:szCs w:val="24"/>
        </w:rPr>
        <w:t xml:space="preserve"> </w:t>
      </w:r>
      <w:r w:rsidR="00C22984" w:rsidRPr="00F803A5">
        <w:rPr>
          <w:sz w:val="24"/>
          <w:szCs w:val="24"/>
        </w:rPr>
        <w:fldChar w:fldCharType="begin" w:fldLock="1"/>
      </w:r>
      <w:r w:rsidR="00C22984" w:rsidRPr="00F803A5">
        <w:rPr>
          <w:sz w:val="24"/>
          <w:szCs w:val="24"/>
        </w:rPr>
        <w:instrText>ADDIN CSL_CITATION { "citationItems" : [ { "id" : "ITEM-1", "itemData" : { "DOI" : "10.1371/journal.pgen.1000302", "ISSN" : "1553-7404", "PMID" : "19079572", "abstract" : "Dosage compensation in male Drosophila relies on the X chromosome-specific recruitment of a chromatin-modifying machinery, the dosage compensation complex (DCC). The principles that assure selective targeting of the DCC are unknown. According to a prevalent model, X chromosome targeting is initiated by recruitment of the DCC core components, MSL1 and MSL2, to a limited number of so-called \"high-affinity sites\" (HAS). Only very few such sites are known at the DNA sequence level, which has precluded the definition of DCC targeting principles. Combining RNA interference against DCC subunits, limited crosslinking, and chromatin immunoprecipitation coupled to probing high-resolution DNA microarrays, we identified a set of 131 HAS for MSL1 and MSL2 and confirmed their properties by various means. The HAS sites are distributed all over the X chromosome and are functionally important, since the extent of dosage compensation of a given gene and its proximity to a HAS are positively correlated. The sites are mainly located on non-coding parts of genes and predominantly map to regions that are devoid of nucleosomes. In contrast, the bulk of DCC binding is in coding regions and is marked by histone H3K36 methylation. Within the HAS, repetitive DNA sequences mainly based on GA and CA dinucleotides are enriched. Interestingly, DCC subcomplexes bind a small number of autosomal locations with similar features.", "author" : [ { "dropping-particle" : "", "family" : "Straub", "given" : "Tobias", "non-dropping-particle" : "", "parse-names" : false, "suffix" : "" }, { "dropping-particle" : "", "family" : "Grimaud", "given" : "Charlotte", "non-dropping-particle" : "", "parse-names" : false, "suffix" : "" }, { "dropping-particle" : "", "family" : "Gilfillan", "given" : "Gregor D.", "non-dropping-particle" : "", "parse-names" : false, "suffix" : "" }, { "dropping-particle" : "", "family" : "Mitterweger", "given" : "Angelika", "non-dropping-particle" : "", "parse-names" : false, "suffix" : "" }, { "dropping-particle" : "", "family" : "Becker", "given" : "Peter B.", "non-dropping-particle" : "", "parse-names" : false, "suffix" : "" } ], "container-title" : "PLoS Genetics", "editor" : [ { "dropping-particle" : "", "family" : "Lee", "given" : "Jeannie T.", "non-dropping-particle" : "", "parse-names" : false, "suffix" : "" } ], "id" : "ITEM-1", "issue" : "12", "issued" : { "date-parts" : [ [ "2008", "12", "12" ] ] }, "page" : "e1000302", "title" : "The Chromosomal High-Affinity Binding Sites for the Drosophila Dosage Compensation Complex", "type" : "article-journal", "volume" : "4" }, "uris" : [ "http://www.mendeley.com/documents/?uuid=d586488f-7559-3861-863b-0c36d0669caa" ] }, { "id" : "ITEM-2", "itemData" : { "DOI" : "10.1016/j.cell.2008.06.033", "ISBN" : "1097-4172 (Electronic)", "ISSN" : "00928674", "PMID" : "18724933", "abstract" : "The Drosophila MSL complex associates with active genes specifically on the male X chromosome to acetylate histone H4 at lysine 16 and increase expression approximately 2-fold. To date, no DNA sequence has been discovered to explain the specificity of MSL binding. We hypothesized that sequence-specific targeting occurs at \"chromatin entry sites,\" but the majority of sites are sequence independent. Here we characterize 150 potential entry sites by ChIP-chip and ChIP-seq and discover a GA-rich MSL recognition element (MRE). The motif is only slightly enriched on the X chromosome (\u223c2-fold), but this is doubled when considering its preferential location within or 3\u2032 to active genes (&gt;4-fold enrichment). When inserted on an autosome, a newly identified site can direct local MSL spreading to flanking active genes. These results provide strong evidence for both sequence-dependent and -independent steps in MSL targeting of dosage compensation to the male X chromosome. \u00a9 2008 Elsevier Inc. All rights reserved.", "author" : [ { "dropping-particle" : "", "family" : "Alekseyenko", "given" : "Artyom A.", "non-dropping-particle" : "", "parse-names" : false, "suffix" : "" }, { "dropping-particle" : "", "family" : "Peng", "given" : "Shouyong", "non-dropping-particle" : "", "parse-names" : false, "suffix" : "" }, { "dropping-particle" : "", "family" : "Larschan", "given" : "Erica", "non-dropping-particle" : "", "parse-names" : false, "suffix" : "" }, { "dropping-particle" : "", "family" : "Gorchakov", "given" : "Andrey A.", "non-dropping-particle" : "", "parse-names" : false, "suffix" : "" }, { "dropping-particle" : "", "family" : "Lee", "given" : "Ok Kyung", "non-dropping-particle" : "", "parse-names" : false, "suffix" : "" }, { "dropping-particle" : "", "family" : "Kharchenko", "given" : "Peter", "non-dropping-particle" : "", "parse-names" : false, "suffix" : "" }, { "dropping-particle" : "", "family" : "McGrath", "given" : "Sean D.", "non-dropping-particle" : "", "parse-names" : false, "suffix" : "" }, { "dropping-particle" : "", "family" : "Wang", "given" : "Charlotte I.", "non-dropping-particle" : "", "parse-names" : false, "suffix" : "" }, { "dropping-particle" : "", "family" : "Mardis", "given" : "Elaine R.", "non-dropping-particle" : "", "parse-names" : false, "suffix" : "" }, { "dropping-particle" : "", "family" : "Park", "given" : "Peter J.", "non-dropping-particle" : "", "parse-names" : false, "suffix" : "" }, { "dropping-particle" : "", "family" : "Kuroda", "given" : "Mitzi I.", "non-dropping-particle" : "", "parse-names" : false, "suffix" : "" } ], "container-title" : "Cell", "id" : "ITEM-2", "issue" : "4", "issued" : { "date-parts" : [ [ "2008" ] ] }, "page" : "599-609", "title" : "A Sequence Motif within Chromatin Entry Sites Directs MSL Establishment on the Drosophila X Chromosome", "type" : "article-journal", "volume" : "134" }, "uris" : [ "http://www.mendeley.com/documents/?uuid=cb2b5a2a-9e91-4005-a957-9aef84342844" ] } ], "mendeley" : { "formattedCitation" : "&lt;sup&gt;13,14&lt;/sup&gt;", "plainTextFormattedCitation" : "13,14", "previouslyFormattedCitation" : "&lt;sup&gt;13,14&lt;/sup&gt;" }, "properties" : { "noteIndex" : 0 }, "schema" : "https://github.com/citation-style-language/schema/raw/master/csl-citation.json" }</w:instrText>
      </w:r>
      <w:r w:rsidR="00C22984" w:rsidRPr="00F803A5">
        <w:rPr>
          <w:sz w:val="24"/>
          <w:szCs w:val="24"/>
        </w:rPr>
        <w:fldChar w:fldCharType="separate"/>
      </w:r>
      <w:r w:rsidR="00C22984" w:rsidRPr="00F803A5">
        <w:rPr>
          <w:noProof/>
          <w:sz w:val="24"/>
          <w:szCs w:val="24"/>
          <w:vertAlign w:val="superscript"/>
        </w:rPr>
        <w:t>13,14</w:t>
      </w:r>
      <w:r w:rsidR="00C22984" w:rsidRPr="00F803A5">
        <w:rPr>
          <w:sz w:val="24"/>
          <w:szCs w:val="24"/>
        </w:rPr>
        <w:fldChar w:fldCharType="end"/>
      </w:r>
      <w:r w:rsidR="00F00704" w:rsidRPr="00E0179D">
        <w:rPr>
          <w:sz w:val="24"/>
          <w:szCs w:val="24"/>
        </w:rPr>
        <w:t xml:space="preserve">. </w:t>
      </w:r>
      <w:r w:rsidR="00C22984" w:rsidRPr="00F803A5">
        <w:rPr>
          <w:sz w:val="24"/>
          <w:szCs w:val="24"/>
        </w:rPr>
        <w:t>Second, the processive MSL complex spreads to active genes on the X chromosome, which are recognised by Msl3</w:t>
      </w:r>
      <w:r w:rsidR="00C22984" w:rsidRPr="00E0179D">
        <w:rPr>
          <w:sz w:val="24"/>
          <w:szCs w:val="24"/>
        </w:rPr>
        <w:t xml:space="preserve"> through binding to the histone mark H3K36me</w:t>
      </w:r>
      <w:r w:rsidR="00C22984" w:rsidRPr="00F803A5">
        <w:rPr>
          <w:sz w:val="24"/>
          <w:szCs w:val="24"/>
        </w:rPr>
        <w:t>3</w:t>
      </w:r>
      <w:r w:rsidR="00C22984" w:rsidRPr="00F803A5">
        <w:rPr>
          <w:sz w:val="24"/>
          <w:szCs w:val="24"/>
        </w:rPr>
        <w:fldChar w:fldCharType="begin" w:fldLock="1"/>
      </w:r>
      <w:r w:rsidR="00C22984" w:rsidRPr="00F803A5">
        <w:rPr>
          <w:sz w:val="24"/>
          <w:szCs w:val="24"/>
        </w:rPr>
        <w:instrText>ADDIN CSL_CITATION { "citationItems" : [ { "id" : "ITEM-1", "itemData" : { "DOI" : "10.1016/j.gde.2015.03.007", "ISSN" : "18790380", "PMID" : "25900149", "abstract" : "The Male Specific Lethal (MSL) complex provides an exquisite example of an epigenetic modulator that is involved in chromosome-wide as well as individual gene regulation in flies and mammals. In this review, we discuss the recent advances in biochemical and structural understanding of the MSL complex modules and how they function in X chromosome regulation in flies. Moreover, we describe possible conserved and dosage compensation-independent functions of the MSL complex with a particular focus on mammalian systems.", "author" : [ { "dropping-particle" : "", "family" : "Keller", "given" : "Claudia Isabelle", "non-dropping-particle" : "", "parse-names" : false, "suffix" : "" }, { "dropping-particle" : "", "family" : "Akhtar", "given" : "Asifa", "non-dropping-particle" : "", "parse-names" : false, "suffix" : "" } ], "container-title" : "Current Opinion in Genetics and Development", "id" : "ITEM-1", "issued" : { "date-parts" : [ [ "2015" ] ] }, "page" : "1-11", "publisher" : "Elsevier Ltd", "title" : "The MSL complex: Juggling RNA-protein interactions for dosage compensation and beyond", "type" : "article-journal", "volume" : "31" }, "uris" : [ "http://www.mendeley.com/documents/?uuid=1f17fb3c-ae85-4e34-a32d-7337261c73b8" ] } ], "mendeley" : { "formattedCitation" : "&lt;sup&gt;15&lt;/sup&gt;", "plainTextFormattedCitation" : "15", "previouslyFormattedCitation" : "&lt;sup&gt;15&lt;/sup&gt;" }, "properties" : { "noteIndex" : 0 }, "schema" : "https://github.com/citation-style-language/schema/raw/master/csl-citation.json" }</w:instrText>
      </w:r>
      <w:r w:rsidR="00C22984" w:rsidRPr="00F803A5">
        <w:rPr>
          <w:sz w:val="24"/>
          <w:szCs w:val="24"/>
        </w:rPr>
        <w:fldChar w:fldCharType="separate"/>
      </w:r>
      <w:r w:rsidR="00C22984" w:rsidRPr="00F803A5">
        <w:rPr>
          <w:noProof/>
          <w:sz w:val="24"/>
          <w:szCs w:val="24"/>
          <w:vertAlign w:val="superscript"/>
        </w:rPr>
        <w:t>15</w:t>
      </w:r>
      <w:r w:rsidR="00C22984" w:rsidRPr="00F803A5">
        <w:rPr>
          <w:sz w:val="24"/>
          <w:szCs w:val="24"/>
        </w:rPr>
        <w:fldChar w:fldCharType="end"/>
      </w:r>
      <w:r w:rsidR="00C22984" w:rsidRPr="00F803A5">
        <w:rPr>
          <w:sz w:val="24"/>
          <w:szCs w:val="24"/>
        </w:rPr>
        <w:t>.</w:t>
      </w:r>
      <w:r w:rsidR="00C22984" w:rsidRPr="00E0179D">
        <w:rPr>
          <w:sz w:val="24"/>
          <w:szCs w:val="24"/>
        </w:rPr>
        <w:t xml:space="preserve">. </w:t>
      </w:r>
      <w:r w:rsidR="00E0179D">
        <w:rPr>
          <w:sz w:val="24"/>
          <w:szCs w:val="24"/>
        </w:rPr>
        <w:t>This step</w:t>
      </w:r>
      <w:r w:rsidR="00C22984" w:rsidRPr="00E0179D">
        <w:rPr>
          <w:sz w:val="24"/>
          <w:szCs w:val="24"/>
        </w:rPr>
        <w:t xml:space="preserve"> is </w:t>
      </w:r>
      <w:r w:rsidR="00C22984" w:rsidRPr="00F803A5">
        <w:rPr>
          <w:sz w:val="24"/>
          <w:szCs w:val="24"/>
        </w:rPr>
        <w:t>sequence-independent</w:t>
      </w:r>
      <w:r w:rsidR="00E0179D" w:rsidRPr="00E0179D">
        <w:rPr>
          <w:sz w:val="24"/>
          <w:szCs w:val="24"/>
        </w:rPr>
        <w:t xml:space="preserve"> and depends</w:t>
      </w:r>
      <w:r w:rsidR="00E0179D">
        <w:rPr>
          <w:sz w:val="24"/>
          <w:szCs w:val="24"/>
        </w:rPr>
        <w:t xml:space="preserve"> </w:t>
      </w:r>
      <w:r w:rsidR="00E0179D" w:rsidRPr="00E0179D">
        <w:rPr>
          <w:sz w:val="24"/>
          <w:szCs w:val="24"/>
        </w:rPr>
        <w:t>upon gene expression</w:t>
      </w:r>
      <w:r w:rsidR="00E0179D">
        <w:rPr>
          <w:sz w:val="24"/>
          <w:szCs w:val="24"/>
        </w:rPr>
        <w:t>.</w:t>
      </w:r>
      <w:r w:rsidR="00C22984" w:rsidRPr="00E0179D">
        <w:rPr>
          <w:sz w:val="24"/>
          <w:szCs w:val="24"/>
        </w:rPr>
        <w:t xml:space="preserve"> </w:t>
      </w:r>
      <w:r w:rsidR="002E6E33">
        <w:rPr>
          <w:sz w:val="24"/>
          <w:szCs w:val="24"/>
        </w:rPr>
        <w:t>As yet i</w:t>
      </w:r>
      <w:r w:rsidR="00E0179D" w:rsidRPr="00F803A5">
        <w:rPr>
          <w:sz w:val="24"/>
          <w:szCs w:val="24"/>
        </w:rPr>
        <w:t xml:space="preserve">t </w:t>
      </w:r>
      <w:r w:rsidR="00E0179D">
        <w:rPr>
          <w:sz w:val="24"/>
          <w:szCs w:val="24"/>
        </w:rPr>
        <w:t>is not kn</w:t>
      </w:r>
      <w:r w:rsidR="00E0179D" w:rsidRPr="00F803A5">
        <w:rPr>
          <w:sz w:val="24"/>
          <w:szCs w:val="24"/>
        </w:rPr>
        <w:t xml:space="preserve">own </w:t>
      </w:r>
      <w:r w:rsidR="00AD1916" w:rsidRPr="00E0179D">
        <w:rPr>
          <w:sz w:val="24"/>
          <w:szCs w:val="24"/>
        </w:rPr>
        <w:t xml:space="preserve">whether </w:t>
      </w:r>
      <w:r w:rsidR="002E6E33">
        <w:rPr>
          <w:sz w:val="24"/>
          <w:szCs w:val="24"/>
        </w:rPr>
        <w:t xml:space="preserve">the </w:t>
      </w:r>
      <w:r w:rsidR="00654AD7">
        <w:rPr>
          <w:sz w:val="24"/>
          <w:szCs w:val="24"/>
        </w:rPr>
        <w:t>DCC</w:t>
      </w:r>
      <w:r w:rsidR="00E0179D" w:rsidRPr="00E0179D">
        <w:rPr>
          <w:sz w:val="24"/>
          <w:szCs w:val="24"/>
        </w:rPr>
        <w:t xml:space="preserve"> </w:t>
      </w:r>
      <w:r w:rsidR="002E6E33">
        <w:rPr>
          <w:sz w:val="24"/>
          <w:szCs w:val="24"/>
        </w:rPr>
        <w:t xml:space="preserve">binds initially </w:t>
      </w:r>
      <w:r w:rsidR="00E0179D" w:rsidRPr="00F803A5">
        <w:rPr>
          <w:sz w:val="24"/>
          <w:szCs w:val="24"/>
        </w:rPr>
        <w:t xml:space="preserve">to </w:t>
      </w:r>
      <w:r w:rsidR="002E6E33">
        <w:rPr>
          <w:sz w:val="24"/>
          <w:szCs w:val="24"/>
        </w:rPr>
        <w:t xml:space="preserve">all </w:t>
      </w:r>
      <w:r w:rsidR="00AD1916" w:rsidRPr="00E0179D">
        <w:rPr>
          <w:sz w:val="24"/>
          <w:szCs w:val="24"/>
        </w:rPr>
        <w:t xml:space="preserve">CES </w:t>
      </w:r>
      <w:r w:rsidR="002E6E33">
        <w:rPr>
          <w:sz w:val="24"/>
          <w:szCs w:val="24"/>
        </w:rPr>
        <w:t>in every cell,</w:t>
      </w:r>
      <w:r w:rsidR="00E0179D">
        <w:rPr>
          <w:sz w:val="24"/>
          <w:szCs w:val="24"/>
        </w:rPr>
        <w:t xml:space="preserve"> or whether </w:t>
      </w:r>
      <w:r w:rsidR="009E245E">
        <w:rPr>
          <w:sz w:val="24"/>
          <w:szCs w:val="24"/>
        </w:rPr>
        <w:t>its</w:t>
      </w:r>
      <w:r w:rsidR="00E0179D">
        <w:rPr>
          <w:sz w:val="24"/>
          <w:szCs w:val="24"/>
        </w:rPr>
        <w:t xml:space="preserve"> binding pattern is unique to each cell type</w:t>
      </w:r>
    </w:p>
    <w:p w14:paraId="2EDAAB66" w14:textId="1B0A0AD2" w:rsidR="00F00704" w:rsidRDefault="00F00704" w:rsidP="00F803A5">
      <w:pPr>
        <w:tabs>
          <w:tab w:val="left" w:pos="940"/>
        </w:tabs>
        <w:spacing w:line="480" w:lineRule="auto"/>
        <w:rPr>
          <w:sz w:val="24"/>
          <w:szCs w:val="24"/>
        </w:rPr>
      </w:pPr>
    </w:p>
    <w:p w14:paraId="148D121A" w14:textId="6B4DE0B8" w:rsidR="009E245E" w:rsidRDefault="00404EFB" w:rsidP="00F803A5">
      <w:pPr>
        <w:tabs>
          <w:tab w:val="left" w:pos="940"/>
        </w:tabs>
        <w:spacing w:line="480" w:lineRule="auto"/>
        <w:rPr>
          <w:sz w:val="24"/>
          <w:szCs w:val="24"/>
        </w:rPr>
      </w:pPr>
      <w:r w:rsidRPr="00C07A08">
        <w:rPr>
          <w:sz w:val="24"/>
          <w:szCs w:val="24"/>
        </w:rPr>
        <w:t xml:space="preserve">To </w:t>
      </w:r>
      <w:r w:rsidR="00E0179D">
        <w:rPr>
          <w:sz w:val="24"/>
          <w:szCs w:val="24"/>
        </w:rPr>
        <w:t>assess</w:t>
      </w:r>
      <w:r w:rsidR="00E0179D" w:rsidRPr="00C07A08">
        <w:rPr>
          <w:sz w:val="24"/>
          <w:szCs w:val="24"/>
        </w:rPr>
        <w:t xml:space="preserve"> </w:t>
      </w:r>
      <w:r w:rsidRPr="00C07A08">
        <w:rPr>
          <w:sz w:val="24"/>
          <w:szCs w:val="24"/>
        </w:rPr>
        <w:t xml:space="preserve">whether </w:t>
      </w:r>
      <w:r w:rsidR="009E245E">
        <w:rPr>
          <w:sz w:val="24"/>
          <w:szCs w:val="24"/>
        </w:rPr>
        <w:t xml:space="preserve">initial </w:t>
      </w:r>
      <w:r w:rsidRPr="00C07A08">
        <w:rPr>
          <w:sz w:val="24"/>
          <w:szCs w:val="24"/>
        </w:rPr>
        <w:t>targeting of the MSL complex to CES is cell-type-specific, we took advantage of an endogenously tagged allele of roX1 (6xMS2-roX1)</w:t>
      </w:r>
      <w:r w:rsidRPr="00C07A08">
        <w:rPr>
          <w:sz w:val="24"/>
          <w:szCs w:val="24"/>
        </w:rPr>
        <w:fldChar w:fldCharType="begin" w:fldLock="1"/>
      </w:r>
      <w:r w:rsidR="00E66E01">
        <w:rPr>
          <w:sz w:val="24"/>
          <w:szCs w:val="24"/>
        </w:rPr>
        <w:instrText>ADDIN CSL_CITATION { "citationItems" : [ { "id" : "ITEM-1", "itemData" : { "DOI" : "10.1534/g3.113.008508", "ISBN" : "3135776891", "ISSN" : "2160-1836", "PMID" : "24281425", "abstract" : "Methods for altering the sequence of endogenous Drosophila melanogaster genes remain labor-intensive. We have tested a relatively simple strategy that enables the introduction of engineered mutations in the vicinity of existing P-elements. This method was used to generate useful alleles of the roX1 gene, which produces a noncoding RNA involved in dosage compensation. The desired change was first introduced into a genomic clone of roX1 and transgenic flies were generated that carry this sequence in a P-element. Targeted transposition was then used to move the P-element into roX1. Remobilization of the targeted insertion produced large numbers of offspring carrying chromosomes that had precisely introduced the engineered sequences into roX1. We postulate that this occurred by gap repair, using the P-element on the sister chromatid as template. This strategy was used to introduce six MS2 loops into the roX1 gene (roX1(MS2-6)), enabling detection of roX1 RNA by a MCP-GFP fusion protein in embryos. The roX1(MS2-6) remains under the control of the authentic promoter and within the correct genomic context, features expected to contribute to normal roX1 function. The ability to replace relatively large blocks of sequence suggests that this method will be of general use.", "author" : [ { "dropping-particle" : "", "family" : "Apte", "given" : "Manasi S", "non-dropping-particle" : "", "parse-names" : false, "suffix" : "" }, { "dropping-particle" : "", "family" : "Moran", "given" : "Victoria a", "non-dropping-particle" : "", "parse-names" : false, "suffix" : "" }, { "dropping-particle" : "", "family" : "Menon", "given" : "Debashish U", "non-dropping-particle" : "", "parse-names" : false, "suffix" : "" }, { "dropping-particle" : "", "family" : "Rattner", "given" : "Barbara P", "non-dropping-particle" : "", "parse-names" : false, "suffix" : "" }, { "dropping-particle" : "", "family" : "Barry", "given" : "Kathryn Hughes", "non-dropping-particle" : "", "parse-names" : false, "suffix" : "" }, { "dropping-particle" : "", "family" : "Zunder", "given" : "Rachel M", "non-dropping-particle" : "", "parse-names" : false, "suffix" : "" }, { "dropping-particle" : "", "family" : "Kelley", "given" : "Richard", "non-dropping-particle" : "", "parse-names" : false, "suffix" : "" }, { "dropping-particle" : "", "family" : "Meller", "given" : "Victoria H", "non-dropping-particle" : "", "parse-names" : false, "suffix" : "" } ], "container-title" : "G3", "id" : "ITEM-1", "issue" : "1", "issued" : { "date-parts" : [ [ "2014" ] ] }, "page" : "155-62", "title" : "Generation of a useful roX1 allele by targeted gene conversion.", "type" : "article-journal", "volume" : "4" }, "uris" : [ "http://www.mendeley.com/documents/?uuid=ade7de37-7157-47b6-9bd7-8d23e9e92d6f" ] } ], "mendeley" : { "formattedCitation" : "&lt;sup&gt;16&lt;/sup&gt;", "plainTextFormattedCitation" : "16", "previouslyFormattedCitation" : "&lt;sup&gt;16&lt;/sup&gt;" }, "properties" : { "noteIndex" : 0 }, "schema" : "https://github.com/citation-style-language/schema/raw/master/csl-citation.json" }</w:instrText>
      </w:r>
      <w:r w:rsidRPr="00C07A08">
        <w:rPr>
          <w:sz w:val="24"/>
          <w:szCs w:val="24"/>
        </w:rPr>
        <w:fldChar w:fldCharType="separate"/>
      </w:r>
      <w:r w:rsidR="00A41997" w:rsidRPr="00A41997">
        <w:rPr>
          <w:noProof/>
          <w:sz w:val="24"/>
          <w:szCs w:val="24"/>
          <w:vertAlign w:val="superscript"/>
        </w:rPr>
        <w:t>16</w:t>
      </w:r>
      <w:r w:rsidRPr="00C07A08">
        <w:rPr>
          <w:sz w:val="24"/>
          <w:szCs w:val="24"/>
        </w:rPr>
        <w:fldChar w:fldCharType="end"/>
      </w:r>
      <w:r w:rsidRPr="00C07A08">
        <w:rPr>
          <w:sz w:val="24"/>
          <w:szCs w:val="24"/>
        </w:rPr>
        <w:t xml:space="preserve">. Although roX1 and roX2 are significantly different in length (0.6 and 3.7 kb respectively) and exhibit little sequence homology </w:t>
      </w:r>
      <w:r w:rsidRPr="00C07A08">
        <w:rPr>
          <w:sz w:val="24"/>
          <w:szCs w:val="24"/>
        </w:rPr>
        <w:fldChar w:fldCharType="begin" w:fldLock="1"/>
      </w:r>
      <w:r w:rsidR="00E66E01">
        <w:rPr>
          <w:sz w:val="24"/>
          <w:szCs w:val="24"/>
        </w:rPr>
        <w:instrText>ADDIN CSL_CITATION { "citationItems" : [ { "id" : "ITEM-1", "itemData" : { "ISSN" : "1555-8584", "PMID" : "19229132", "abstract" : "The roX RNAs represent one of the paradigm examples of large non-coding RNAs involved in chromatin regulation. Interestingly, roX genes have a dual life. The RNA product is part of the MSL complex required for dosage compensation of the male X chromosome in Drosophila while the genomic location is used as a binding platform for MSL complex assembly. In this review we discuss both aspects of roX function and propose an integrated model for possible mechanisms how these RNAs might be involved in epigenetic regulation of the male X chromosome.", "author" : [ { "dropping-particle" : "", "family" : "Ilik", "given" : "Ibrahim", "non-dropping-particle" : "", "parse-names" : false, "suffix" : "" }, { "dropping-particle" : "", "family" : "Akhtar", "given" : "Asifa", "non-dropping-particle" : "", "parse-names" : false, "suffix" : "" } ], "container-title" : "RNA biology", "id" : "ITEM-1", "issue" : "2", "issued" : { "date-parts" : [ [ "0" ] ] }, "page" : "113-21", "title" : "roX RNAs: non-coding regulators of the male X chromosome in flies.", "type" : "article-journal", "volume" : "6" }, "uris" : [ "http://www.mendeley.com/documents/?uuid=a5dba846-c373-3915-bbf8-305c4595889b" ] } ], "mendeley" : { "formattedCitation" : "&lt;sup&gt;17&lt;/sup&gt;", "plainTextFormattedCitation" : "17", "previouslyFormattedCitation" : "&lt;sup&gt;17&lt;/sup&gt;" }, "properties" : { "noteIndex" : 0 }, "schema" : "https://github.com/citation-style-language/schema/raw/master/csl-citation.json" }</w:instrText>
      </w:r>
      <w:r w:rsidRPr="00C07A08">
        <w:rPr>
          <w:sz w:val="24"/>
          <w:szCs w:val="24"/>
        </w:rPr>
        <w:fldChar w:fldCharType="separate"/>
      </w:r>
      <w:r w:rsidR="00A41997" w:rsidRPr="00A41997">
        <w:rPr>
          <w:noProof/>
          <w:sz w:val="24"/>
          <w:szCs w:val="24"/>
          <w:vertAlign w:val="superscript"/>
        </w:rPr>
        <w:t>17</w:t>
      </w:r>
      <w:r w:rsidRPr="00C07A08">
        <w:rPr>
          <w:sz w:val="24"/>
          <w:szCs w:val="24"/>
        </w:rPr>
        <w:fldChar w:fldCharType="end"/>
      </w:r>
      <w:r w:rsidRPr="00C07A08">
        <w:rPr>
          <w:sz w:val="24"/>
          <w:szCs w:val="24"/>
        </w:rPr>
        <w:t>, they are functionally redundant. The rox1</w:t>
      </w:r>
      <w:r w:rsidRPr="00C07A08">
        <w:rPr>
          <w:sz w:val="24"/>
          <w:szCs w:val="24"/>
          <w:vertAlign w:val="superscript"/>
        </w:rPr>
        <w:t>6xMS2</w:t>
      </w:r>
      <w:r w:rsidRPr="00B20AB4">
        <w:rPr>
          <w:sz w:val="24"/>
          <w:szCs w:val="24"/>
        </w:rPr>
        <w:t xml:space="preserve"> allele was generated in a roX2 mutant background, eliminating competition between the two RNAs for complex formation. </w:t>
      </w:r>
    </w:p>
    <w:p w14:paraId="67659671" w14:textId="77777777" w:rsidR="009E245E" w:rsidRDefault="009E245E" w:rsidP="00F803A5">
      <w:pPr>
        <w:tabs>
          <w:tab w:val="left" w:pos="940"/>
        </w:tabs>
        <w:spacing w:line="480" w:lineRule="auto"/>
        <w:rPr>
          <w:sz w:val="24"/>
          <w:szCs w:val="24"/>
        </w:rPr>
      </w:pPr>
    </w:p>
    <w:p w14:paraId="52C8CF80" w14:textId="75B55320" w:rsidR="009E245E" w:rsidRDefault="00404EFB" w:rsidP="00F803A5">
      <w:pPr>
        <w:tabs>
          <w:tab w:val="left" w:pos="940"/>
        </w:tabs>
        <w:spacing w:line="480" w:lineRule="auto"/>
        <w:rPr>
          <w:sz w:val="24"/>
          <w:szCs w:val="24"/>
        </w:rPr>
      </w:pPr>
      <w:r w:rsidRPr="00B20AB4">
        <w:rPr>
          <w:sz w:val="24"/>
          <w:szCs w:val="24"/>
        </w:rPr>
        <w:t>To assess roX1 occupancy in different tissues of th</w:t>
      </w:r>
      <w:r w:rsidRPr="00C37434">
        <w:rPr>
          <w:sz w:val="24"/>
          <w:szCs w:val="24"/>
        </w:rPr>
        <w:t xml:space="preserve">e </w:t>
      </w:r>
      <w:r w:rsidRPr="00C37434">
        <w:rPr>
          <w:i/>
          <w:sz w:val="24"/>
          <w:szCs w:val="24"/>
        </w:rPr>
        <w:t xml:space="preserve">Drosophila </w:t>
      </w:r>
      <w:r w:rsidRPr="00C37434">
        <w:rPr>
          <w:sz w:val="24"/>
          <w:szCs w:val="24"/>
        </w:rPr>
        <w:t>larva, we analysed neural stem cells (NSC</w:t>
      </w:r>
      <w:r w:rsidR="00DF36E8" w:rsidRPr="00C37434">
        <w:rPr>
          <w:sz w:val="24"/>
          <w:szCs w:val="24"/>
        </w:rPr>
        <w:t>s</w:t>
      </w:r>
      <w:r w:rsidRPr="008B13A2">
        <w:rPr>
          <w:sz w:val="24"/>
          <w:szCs w:val="24"/>
        </w:rPr>
        <w:t>)</w:t>
      </w:r>
      <w:r w:rsidR="009E245E">
        <w:rPr>
          <w:sz w:val="24"/>
          <w:szCs w:val="24"/>
        </w:rPr>
        <w:t xml:space="preserve">, </w:t>
      </w:r>
      <w:r w:rsidRPr="008B13A2">
        <w:rPr>
          <w:sz w:val="24"/>
          <w:szCs w:val="24"/>
        </w:rPr>
        <w:t xml:space="preserve">salivary glands (driving MCP-Dam with </w:t>
      </w:r>
      <w:r w:rsidRPr="00F00704">
        <w:rPr>
          <w:i/>
          <w:sz w:val="24"/>
          <w:szCs w:val="24"/>
        </w:rPr>
        <w:t>inscuteable</w:t>
      </w:r>
      <w:r w:rsidRPr="00F00704">
        <w:rPr>
          <w:sz w:val="24"/>
          <w:szCs w:val="24"/>
        </w:rPr>
        <w:t xml:space="preserve">-GAL4) </w:t>
      </w:r>
      <w:r w:rsidR="009E245E">
        <w:rPr>
          <w:sz w:val="24"/>
          <w:szCs w:val="24"/>
        </w:rPr>
        <w:t>and</w:t>
      </w:r>
      <w:r w:rsidRPr="00F00704">
        <w:rPr>
          <w:sz w:val="24"/>
          <w:szCs w:val="24"/>
        </w:rPr>
        <w:t xml:space="preserve"> ubiquitous expression (</w:t>
      </w:r>
      <w:r w:rsidRPr="00F00704">
        <w:rPr>
          <w:i/>
          <w:sz w:val="24"/>
          <w:szCs w:val="24"/>
        </w:rPr>
        <w:t>tubulin-</w:t>
      </w:r>
      <w:r w:rsidRPr="00F00704">
        <w:rPr>
          <w:sz w:val="24"/>
          <w:szCs w:val="24"/>
        </w:rPr>
        <w:t>GAL4)</w:t>
      </w:r>
      <w:r w:rsidRPr="00F00704">
        <w:rPr>
          <w:i/>
          <w:sz w:val="24"/>
          <w:szCs w:val="24"/>
        </w:rPr>
        <w:t>.</w:t>
      </w:r>
      <w:r w:rsidR="009E245E">
        <w:rPr>
          <w:sz w:val="24"/>
          <w:szCs w:val="24"/>
        </w:rPr>
        <w:t xml:space="preserve"> </w:t>
      </w:r>
      <w:r w:rsidRPr="00F00704">
        <w:rPr>
          <w:sz w:val="24"/>
          <w:szCs w:val="24"/>
        </w:rPr>
        <w:t xml:space="preserve">We found that RNA-DamID is able to detect genome-wide binding of </w:t>
      </w:r>
      <w:r w:rsidRPr="003A6D08">
        <w:rPr>
          <w:sz w:val="24"/>
          <w:szCs w:val="24"/>
        </w:rPr>
        <w:t xml:space="preserve">lncRNAs in different cell types </w:t>
      </w:r>
      <w:r w:rsidRPr="00FB3FD0">
        <w:rPr>
          <w:i/>
          <w:sz w:val="24"/>
          <w:szCs w:val="24"/>
        </w:rPr>
        <w:t>in vivo.</w:t>
      </w:r>
      <w:r w:rsidRPr="00FB3FD0">
        <w:rPr>
          <w:sz w:val="24"/>
          <w:szCs w:val="24"/>
        </w:rPr>
        <w:t xml:space="preserve"> roX1 binding was enriched on the X chromosome in whole larvae, in NSCs and in salivary gland cells (</w:t>
      </w:r>
      <w:r w:rsidRPr="00FB3FD0">
        <w:rPr>
          <w:b/>
          <w:sz w:val="24"/>
          <w:szCs w:val="24"/>
        </w:rPr>
        <w:t xml:space="preserve">Fig. </w:t>
      </w:r>
      <w:r w:rsidR="00B52825" w:rsidRPr="00185005">
        <w:rPr>
          <w:b/>
          <w:sz w:val="24"/>
          <w:szCs w:val="24"/>
        </w:rPr>
        <w:t>3</w:t>
      </w:r>
      <w:r w:rsidRPr="00185005">
        <w:rPr>
          <w:b/>
          <w:sz w:val="24"/>
          <w:szCs w:val="24"/>
        </w:rPr>
        <w:t>a</w:t>
      </w:r>
      <w:r w:rsidRPr="00185005">
        <w:rPr>
          <w:sz w:val="24"/>
          <w:szCs w:val="24"/>
        </w:rPr>
        <w:t xml:space="preserve">). </w:t>
      </w:r>
      <w:r w:rsidR="009E245E">
        <w:rPr>
          <w:sz w:val="24"/>
          <w:szCs w:val="24"/>
        </w:rPr>
        <w:t>While the average</w:t>
      </w:r>
      <w:r w:rsidR="00E66E01">
        <w:rPr>
          <w:sz w:val="24"/>
          <w:szCs w:val="24"/>
        </w:rPr>
        <w:t xml:space="preserve"> levels of roX occupancy</w:t>
      </w:r>
      <w:r w:rsidR="007879C0">
        <w:rPr>
          <w:sz w:val="24"/>
          <w:szCs w:val="24"/>
        </w:rPr>
        <w:t xml:space="preserve"> </w:t>
      </w:r>
      <w:r w:rsidR="009E245E">
        <w:rPr>
          <w:sz w:val="24"/>
          <w:szCs w:val="24"/>
        </w:rPr>
        <w:t xml:space="preserve">are identical, </w:t>
      </w:r>
      <w:r w:rsidRPr="00C77273">
        <w:rPr>
          <w:sz w:val="24"/>
          <w:szCs w:val="24"/>
        </w:rPr>
        <w:t>we observed</w:t>
      </w:r>
      <w:r w:rsidR="00E652E0" w:rsidRPr="00C77273">
        <w:rPr>
          <w:sz w:val="24"/>
          <w:szCs w:val="24"/>
        </w:rPr>
        <w:t xml:space="preserve"> </w:t>
      </w:r>
      <w:r w:rsidR="009E245E" w:rsidRPr="00C77273">
        <w:rPr>
          <w:sz w:val="24"/>
          <w:szCs w:val="24"/>
        </w:rPr>
        <w:t xml:space="preserve">cell-type-specific </w:t>
      </w:r>
      <w:r w:rsidR="009E245E">
        <w:rPr>
          <w:sz w:val="24"/>
          <w:szCs w:val="24"/>
        </w:rPr>
        <w:t xml:space="preserve">binding of  </w:t>
      </w:r>
      <w:r w:rsidR="00E652E0" w:rsidRPr="00C77273">
        <w:rPr>
          <w:sz w:val="24"/>
          <w:szCs w:val="24"/>
        </w:rPr>
        <w:t>roX1 to</w:t>
      </w:r>
      <w:r w:rsidRPr="00C77273">
        <w:rPr>
          <w:sz w:val="24"/>
          <w:szCs w:val="24"/>
        </w:rPr>
        <w:t xml:space="preserve"> CES</w:t>
      </w:r>
      <w:r w:rsidR="00E652E0" w:rsidRPr="00C77273">
        <w:rPr>
          <w:sz w:val="24"/>
          <w:szCs w:val="24"/>
        </w:rPr>
        <w:t xml:space="preserve"> </w:t>
      </w:r>
      <w:r w:rsidRPr="00C77273">
        <w:rPr>
          <w:sz w:val="24"/>
          <w:szCs w:val="24"/>
        </w:rPr>
        <w:t>(</w:t>
      </w:r>
      <w:r w:rsidRPr="00A2214F">
        <w:rPr>
          <w:b/>
          <w:sz w:val="24"/>
          <w:szCs w:val="24"/>
        </w:rPr>
        <w:t xml:space="preserve">Fig. </w:t>
      </w:r>
      <w:r w:rsidR="00B52825" w:rsidRPr="00A2214F">
        <w:rPr>
          <w:b/>
          <w:sz w:val="24"/>
          <w:szCs w:val="24"/>
        </w:rPr>
        <w:t>3</w:t>
      </w:r>
      <w:r w:rsidR="00E652E0" w:rsidRPr="00C07A08">
        <w:rPr>
          <w:b/>
          <w:sz w:val="24"/>
          <w:szCs w:val="24"/>
        </w:rPr>
        <w:t>b-</w:t>
      </w:r>
      <w:r w:rsidR="00E652E0" w:rsidRPr="00A2214F">
        <w:rPr>
          <w:b/>
          <w:sz w:val="24"/>
          <w:szCs w:val="24"/>
        </w:rPr>
        <w:t>c</w:t>
      </w:r>
      <w:r w:rsidRPr="00C07A08">
        <w:rPr>
          <w:sz w:val="24"/>
          <w:szCs w:val="24"/>
        </w:rPr>
        <w:t>)</w:t>
      </w:r>
      <w:r w:rsidR="00C77273">
        <w:rPr>
          <w:sz w:val="24"/>
          <w:szCs w:val="24"/>
        </w:rPr>
        <w:t xml:space="preserve">: </w:t>
      </w:r>
      <w:r w:rsidR="00C77273" w:rsidRPr="00C07A08">
        <w:rPr>
          <w:sz w:val="24"/>
          <w:szCs w:val="24"/>
        </w:rPr>
        <w:t>73.</w:t>
      </w:r>
      <w:r w:rsidR="00DF4E6A">
        <w:rPr>
          <w:sz w:val="24"/>
          <w:szCs w:val="24"/>
        </w:rPr>
        <w:t>3</w:t>
      </w:r>
      <w:r w:rsidR="00425DD7" w:rsidRPr="00C07A08">
        <w:rPr>
          <w:sz w:val="24"/>
          <w:szCs w:val="24"/>
        </w:rPr>
        <w:t xml:space="preserve"> </w:t>
      </w:r>
      <w:r w:rsidR="00C77273" w:rsidRPr="00C07A08">
        <w:rPr>
          <w:sz w:val="24"/>
          <w:szCs w:val="24"/>
        </w:rPr>
        <w:t>%</w:t>
      </w:r>
      <w:r w:rsidR="00C77273">
        <w:rPr>
          <w:sz w:val="24"/>
          <w:szCs w:val="24"/>
        </w:rPr>
        <w:t xml:space="preserve"> </w:t>
      </w:r>
      <w:r w:rsidR="00C77273" w:rsidRPr="00C07A08">
        <w:rPr>
          <w:sz w:val="24"/>
          <w:szCs w:val="24"/>
        </w:rPr>
        <w:t>(110/150)</w:t>
      </w:r>
      <w:r w:rsidR="00DF4E6A">
        <w:rPr>
          <w:sz w:val="24"/>
          <w:szCs w:val="24"/>
        </w:rPr>
        <w:t xml:space="preserve"> </w:t>
      </w:r>
      <w:r w:rsidR="00DF4E6A" w:rsidRPr="00C07A08">
        <w:rPr>
          <w:sz w:val="24"/>
          <w:szCs w:val="24"/>
        </w:rPr>
        <w:t>of CES</w:t>
      </w:r>
      <w:r w:rsidR="00C77273" w:rsidRPr="00C07A08">
        <w:rPr>
          <w:sz w:val="24"/>
          <w:szCs w:val="24"/>
        </w:rPr>
        <w:t xml:space="preserve"> </w:t>
      </w:r>
      <w:r w:rsidR="00425DD7" w:rsidRPr="00C07A08">
        <w:rPr>
          <w:sz w:val="24"/>
          <w:szCs w:val="24"/>
        </w:rPr>
        <w:t>are bound by ro</w:t>
      </w:r>
      <w:r w:rsidR="00425DD7" w:rsidRPr="00B20AB4">
        <w:rPr>
          <w:sz w:val="24"/>
          <w:szCs w:val="24"/>
        </w:rPr>
        <w:t>X1 in all cell-types</w:t>
      </w:r>
      <w:r w:rsidR="009E245E">
        <w:rPr>
          <w:sz w:val="24"/>
          <w:szCs w:val="24"/>
        </w:rPr>
        <w:t>,</w:t>
      </w:r>
      <w:r w:rsidR="00425DD7" w:rsidRPr="00B20AB4">
        <w:rPr>
          <w:sz w:val="24"/>
          <w:szCs w:val="24"/>
        </w:rPr>
        <w:t xml:space="preserve"> while 20%</w:t>
      </w:r>
      <w:r w:rsidR="00C77273">
        <w:rPr>
          <w:sz w:val="24"/>
          <w:szCs w:val="24"/>
        </w:rPr>
        <w:t xml:space="preserve"> (</w:t>
      </w:r>
      <w:r w:rsidR="00C77273" w:rsidRPr="00B20AB4">
        <w:rPr>
          <w:sz w:val="24"/>
          <w:szCs w:val="24"/>
        </w:rPr>
        <w:t>30/150</w:t>
      </w:r>
      <w:r w:rsidR="00425DD7" w:rsidRPr="00B20AB4">
        <w:rPr>
          <w:sz w:val="24"/>
          <w:szCs w:val="24"/>
        </w:rPr>
        <w:t>) are cell-type-spe</w:t>
      </w:r>
      <w:r w:rsidR="00425DD7" w:rsidRPr="00C37434">
        <w:rPr>
          <w:sz w:val="24"/>
          <w:szCs w:val="24"/>
        </w:rPr>
        <w:t>cific</w:t>
      </w:r>
      <w:r w:rsidR="008673AB">
        <w:rPr>
          <w:sz w:val="24"/>
          <w:szCs w:val="24"/>
        </w:rPr>
        <w:t xml:space="preserve"> </w:t>
      </w:r>
      <w:r w:rsidR="006D13E2">
        <w:rPr>
          <w:sz w:val="24"/>
          <w:szCs w:val="24"/>
        </w:rPr>
        <w:t>(</w:t>
      </w:r>
      <w:r w:rsidR="00B10629">
        <w:rPr>
          <w:b/>
          <w:sz w:val="24"/>
          <w:szCs w:val="24"/>
        </w:rPr>
        <w:t>Supplementary Data Set</w:t>
      </w:r>
      <w:r w:rsidR="006D13E2">
        <w:rPr>
          <w:b/>
          <w:sz w:val="24"/>
          <w:szCs w:val="24"/>
        </w:rPr>
        <w:t xml:space="preserve"> 1</w:t>
      </w:r>
      <w:r w:rsidR="006D13E2" w:rsidRPr="00EE6DCF">
        <w:rPr>
          <w:sz w:val="24"/>
          <w:szCs w:val="24"/>
        </w:rPr>
        <w:t>)</w:t>
      </w:r>
      <w:r w:rsidR="006D13E2" w:rsidRPr="00B20AB4">
        <w:rPr>
          <w:sz w:val="24"/>
          <w:szCs w:val="24"/>
        </w:rPr>
        <w:t xml:space="preserve">. </w:t>
      </w:r>
      <w:r w:rsidR="00C77273">
        <w:rPr>
          <w:sz w:val="24"/>
          <w:szCs w:val="24"/>
        </w:rPr>
        <w:t>In a</w:t>
      </w:r>
      <w:r w:rsidR="00425DD7" w:rsidRPr="00C37434">
        <w:rPr>
          <w:sz w:val="24"/>
          <w:szCs w:val="24"/>
        </w:rPr>
        <w:t>ddition</w:t>
      </w:r>
      <w:r w:rsidR="00C77273">
        <w:rPr>
          <w:sz w:val="24"/>
          <w:szCs w:val="24"/>
        </w:rPr>
        <w:t>,</w:t>
      </w:r>
      <w:r w:rsidR="00425DD7" w:rsidRPr="00C37434">
        <w:rPr>
          <w:sz w:val="24"/>
          <w:szCs w:val="24"/>
        </w:rPr>
        <w:t xml:space="preserve"> 6.66%</w:t>
      </w:r>
      <w:r w:rsidR="00C77273">
        <w:rPr>
          <w:sz w:val="24"/>
          <w:szCs w:val="24"/>
        </w:rPr>
        <w:t xml:space="preserve"> </w:t>
      </w:r>
      <w:r w:rsidR="00425DD7" w:rsidRPr="00C37434">
        <w:rPr>
          <w:sz w:val="24"/>
          <w:szCs w:val="24"/>
        </w:rPr>
        <w:t xml:space="preserve">of CES </w:t>
      </w:r>
      <w:r w:rsidR="00C77273">
        <w:rPr>
          <w:sz w:val="24"/>
          <w:szCs w:val="24"/>
        </w:rPr>
        <w:t>(</w:t>
      </w:r>
      <w:r w:rsidR="00C77273" w:rsidRPr="00C37434">
        <w:rPr>
          <w:sz w:val="24"/>
          <w:szCs w:val="24"/>
        </w:rPr>
        <w:t xml:space="preserve">10/150) </w:t>
      </w:r>
      <w:r w:rsidR="00425DD7" w:rsidRPr="00C37434">
        <w:rPr>
          <w:sz w:val="24"/>
          <w:szCs w:val="24"/>
        </w:rPr>
        <w:t xml:space="preserve">are not bound at detectable levels in </w:t>
      </w:r>
      <w:r w:rsidR="00C77273">
        <w:rPr>
          <w:sz w:val="24"/>
          <w:szCs w:val="24"/>
        </w:rPr>
        <w:t>any</w:t>
      </w:r>
      <w:r w:rsidR="00425DD7" w:rsidRPr="00C37434">
        <w:rPr>
          <w:sz w:val="24"/>
          <w:szCs w:val="24"/>
        </w:rPr>
        <w:t xml:space="preserve"> of the three tissues.</w:t>
      </w:r>
      <w:r w:rsidR="00DF4E6A">
        <w:rPr>
          <w:sz w:val="24"/>
          <w:szCs w:val="24"/>
        </w:rPr>
        <w:t xml:space="preserve"> </w:t>
      </w:r>
      <w:r w:rsidR="00E636EA">
        <w:rPr>
          <w:sz w:val="24"/>
          <w:szCs w:val="24"/>
        </w:rPr>
        <w:t xml:space="preserve">The salivary gland </w:t>
      </w:r>
      <w:r w:rsidR="00DF4E6A">
        <w:rPr>
          <w:sz w:val="24"/>
          <w:szCs w:val="24"/>
        </w:rPr>
        <w:t>and</w:t>
      </w:r>
      <w:r w:rsidR="00E636EA">
        <w:rPr>
          <w:sz w:val="24"/>
          <w:szCs w:val="24"/>
        </w:rPr>
        <w:t xml:space="preserve"> NSCs</w:t>
      </w:r>
      <w:r w:rsidR="00DF4E6A">
        <w:rPr>
          <w:sz w:val="24"/>
          <w:szCs w:val="24"/>
        </w:rPr>
        <w:t xml:space="preserve"> show the highest number of unbound CES (</w:t>
      </w:r>
      <w:r w:rsidR="00E636EA">
        <w:rPr>
          <w:sz w:val="24"/>
          <w:szCs w:val="24"/>
        </w:rPr>
        <w:t>22 and 20 respectively), while the</w:t>
      </w:r>
      <w:r w:rsidR="00DF4E6A">
        <w:rPr>
          <w:sz w:val="24"/>
          <w:szCs w:val="24"/>
        </w:rPr>
        <w:t xml:space="preserve"> highest number of </w:t>
      </w:r>
      <w:r w:rsidR="009E245E">
        <w:rPr>
          <w:sz w:val="24"/>
          <w:szCs w:val="24"/>
        </w:rPr>
        <w:t xml:space="preserve">bound </w:t>
      </w:r>
      <w:r w:rsidR="00DF4E6A">
        <w:rPr>
          <w:sz w:val="24"/>
          <w:szCs w:val="24"/>
        </w:rPr>
        <w:t xml:space="preserve">CES are </w:t>
      </w:r>
      <w:r w:rsidR="009E245E">
        <w:rPr>
          <w:sz w:val="24"/>
          <w:szCs w:val="24"/>
        </w:rPr>
        <w:t xml:space="preserve">found </w:t>
      </w:r>
      <w:r w:rsidR="00DF4E6A">
        <w:rPr>
          <w:sz w:val="24"/>
          <w:szCs w:val="24"/>
        </w:rPr>
        <w:t>in whole larvae (139/150)</w:t>
      </w:r>
      <w:r w:rsidR="00E66E01">
        <w:rPr>
          <w:sz w:val="24"/>
          <w:szCs w:val="24"/>
        </w:rPr>
        <w:t>.</w:t>
      </w:r>
      <w:r w:rsidR="00204001">
        <w:rPr>
          <w:sz w:val="24"/>
          <w:szCs w:val="24"/>
        </w:rPr>
        <w:t xml:space="preserve"> </w:t>
      </w:r>
      <w:r w:rsidRPr="00A90368">
        <w:rPr>
          <w:sz w:val="24"/>
          <w:szCs w:val="24"/>
        </w:rPr>
        <w:t xml:space="preserve">We propose that the initial </w:t>
      </w:r>
      <w:r w:rsidR="009E245E">
        <w:rPr>
          <w:sz w:val="24"/>
          <w:szCs w:val="24"/>
        </w:rPr>
        <w:t>binding</w:t>
      </w:r>
      <w:r w:rsidR="009E245E" w:rsidRPr="00A90368">
        <w:rPr>
          <w:sz w:val="24"/>
          <w:szCs w:val="24"/>
        </w:rPr>
        <w:t xml:space="preserve"> </w:t>
      </w:r>
      <w:r w:rsidRPr="00A90368">
        <w:rPr>
          <w:sz w:val="24"/>
          <w:szCs w:val="24"/>
        </w:rPr>
        <w:t xml:space="preserve">of the dosage compensation complex </w:t>
      </w:r>
      <w:r w:rsidR="009E245E">
        <w:rPr>
          <w:sz w:val="24"/>
          <w:szCs w:val="24"/>
        </w:rPr>
        <w:t>to</w:t>
      </w:r>
      <w:r w:rsidR="009E245E" w:rsidRPr="00A90368">
        <w:rPr>
          <w:sz w:val="24"/>
          <w:szCs w:val="24"/>
        </w:rPr>
        <w:t xml:space="preserve"> </w:t>
      </w:r>
      <w:r w:rsidRPr="00A90368">
        <w:rPr>
          <w:sz w:val="24"/>
          <w:szCs w:val="24"/>
        </w:rPr>
        <w:t xml:space="preserve">CES </w:t>
      </w:r>
      <w:r w:rsidR="009E245E">
        <w:rPr>
          <w:sz w:val="24"/>
          <w:szCs w:val="24"/>
        </w:rPr>
        <w:t xml:space="preserve">is </w:t>
      </w:r>
      <w:r w:rsidR="009E245E" w:rsidRPr="00A90368">
        <w:rPr>
          <w:sz w:val="24"/>
          <w:szCs w:val="24"/>
        </w:rPr>
        <w:t>cell-type-specific</w:t>
      </w:r>
      <w:r w:rsidR="009E245E">
        <w:rPr>
          <w:sz w:val="24"/>
          <w:szCs w:val="24"/>
        </w:rPr>
        <w:t>,</w:t>
      </w:r>
      <w:r w:rsidR="009E245E" w:rsidRPr="00A90368">
        <w:rPr>
          <w:sz w:val="24"/>
          <w:szCs w:val="24"/>
        </w:rPr>
        <w:t xml:space="preserve"> </w:t>
      </w:r>
      <w:r w:rsidR="00E66E01">
        <w:rPr>
          <w:sz w:val="24"/>
          <w:szCs w:val="24"/>
        </w:rPr>
        <w:t>enabl</w:t>
      </w:r>
      <w:r w:rsidR="009E245E">
        <w:rPr>
          <w:sz w:val="24"/>
          <w:szCs w:val="24"/>
        </w:rPr>
        <w:t>ing</w:t>
      </w:r>
      <w:r w:rsidRPr="00A90368">
        <w:rPr>
          <w:sz w:val="24"/>
          <w:szCs w:val="24"/>
        </w:rPr>
        <w:t xml:space="preserve"> the complex to spread efficiently to expressed genes.</w:t>
      </w:r>
    </w:p>
    <w:p w14:paraId="4E438B68" w14:textId="4842EB09" w:rsidR="00404EFB" w:rsidRDefault="00404EFB" w:rsidP="00F803A5">
      <w:pPr>
        <w:tabs>
          <w:tab w:val="left" w:pos="940"/>
        </w:tabs>
        <w:spacing w:line="480" w:lineRule="auto"/>
        <w:rPr>
          <w:sz w:val="24"/>
          <w:szCs w:val="24"/>
        </w:rPr>
      </w:pPr>
    </w:p>
    <w:p w14:paraId="3C6B2791" w14:textId="0337AA18" w:rsidR="00806AE2" w:rsidRDefault="00C77273" w:rsidP="00F803A5">
      <w:pPr>
        <w:tabs>
          <w:tab w:val="left" w:pos="940"/>
        </w:tabs>
        <w:spacing w:line="480" w:lineRule="auto"/>
        <w:rPr>
          <w:b/>
          <w:sz w:val="24"/>
          <w:szCs w:val="24"/>
        </w:rPr>
      </w:pPr>
      <w:r>
        <w:rPr>
          <w:sz w:val="24"/>
          <w:szCs w:val="24"/>
        </w:rPr>
        <w:t xml:space="preserve">Our results demonstrate that </w:t>
      </w:r>
      <w:r w:rsidRPr="00D11C37">
        <w:rPr>
          <w:sz w:val="24"/>
          <w:szCs w:val="24"/>
        </w:rPr>
        <w:t xml:space="preserve">RNA-DamID </w:t>
      </w:r>
      <w:r>
        <w:rPr>
          <w:sz w:val="24"/>
          <w:szCs w:val="24"/>
        </w:rPr>
        <w:t xml:space="preserve">was able </w:t>
      </w:r>
      <w:r w:rsidRPr="00D11C37">
        <w:rPr>
          <w:sz w:val="24"/>
          <w:szCs w:val="24"/>
        </w:rPr>
        <w:t>to profile accurately</w:t>
      </w:r>
      <w:r>
        <w:rPr>
          <w:sz w:val="24"/>
          <w:szCs w:val="24"/>
        </w:rPr>
        <w:t>,</w:t>
      </w:r>
      <w:r w:rsidRPr="00D11C37">
        <w:rPr>
          <w:sz w:val="24"/>
          <w:szCs w:val="24"/>
        </w:rPr>
        <w:t xml:space="preserve"> </w:t>
      </w:r>
      <w:r>
        <w:rPr>
          <w:sz w:val="24"/>
          <w:szCs w:val="24"/>
        </w:rPr>
        <w:t xml:space="preserve">and </w:t>
      </w:r>
      <w:r w:rsidRPr="00D11C37">
        <w:rPr>
          <w:sz w:val="24"/>
          <w:szCs w:val="24"/>
        </w:rPr>
        <w:t>with high sensitivity</w:t>
      </w:r>
      <w:r w:rsidR="007879C0">
        <w:rPr>
          <w:sz w:val="24"/>
          <w:szCs w:val="24"/>
        </w:rPr>
        <w:t xml:space="preserve"> (~30,000 NSCs)</w:t>
      </w:r>
      <w:r>
        <w:rPr>
          <w:sz w:val="24"/>
          <w:szCs w:val="24"/>
        </w:rPr>
        <w:t>,</w:t>
      </w:r>
      <w:r w:rsidRPr="00185005">
        <w:rPr>
          <w:sz w:val="24"/>
          <w:szCs w:val="24"/>
        </w:rPr>
        <w:t xml:space="preserve"> </w:t>
      </w:r>
      <w:r>
        <w:rPr>
          <w:sz w:val="24"/>
          <w:szCs w:val="24"/>
        </w:rPr>
        <w:t xml:space="preserve">the </w:t>
      </w:r>
      <w:r w:rsidRPr="00D11C37">
        <w:rPr>
          <w:sz w:val="24"/>
          <w:szCs w:val="24"/>
        </w:rPr>
        <w:t xml:space="preserve">binding of </w:t>
      </w:r>
      <w:r>
        <w:rPr>
          <w:sz w:val="24"/>
          <w:szCs w:val="24"/>
        </w:rPr>
        <w:t xml:space="preserve">a </w:t>
      </w:r>
      <w:r w:rsidRPr="00D11C37">
        <w:rPr>
          <w:sz w:val="24"/>
          <w:szCs w:val="24"/>
        </w:rPr>
        <w:t>ln</w:t>
      </w:r>
      <w:r>
        <w:rPr>
          <w:sz w:val="24"/>
          <w:szCs w:val="24"/>
        </w:rPr>
        <w:t>cRNA</w:t>
      </w:r>
      <w:r w:rsidRPr="00D11C37">
        <w:rPr>
          <w:sz w:val="24"/>
          <w:szCs w:val="24"/>
        </w:rPr>
        <w:t xml:space="preserve"> expressed at </w:t>
      </w:r>
      <w:r w:rsidR="002D7008">
        <w:rPr>
          <w:sz w:val="24"/>
          <w:szCs w:val="24"/>
        </w:rPr>
        <w:t xml:space="preserve">its own </w:t>
      </w:r>
      <w:r w:rsidRPr="00D11C37">
        <w:rPr>
          <w:sz w:val="24"/>
          <w:szCs w:val="24"/>
        </w:rPr>
        <w:t>endogenous levels</w:t>
      </w:r>
      <w:r>
        <w:rPr>
          <w:sz w:val="24"/>
          <w:szCs w:val="24"/>
        </w:rPr>
        <w:t>:</w:t>
      </w:r>
      <w:r w:rsidRPr="00D11C37">
        <w:rPr>
          <w:sz w:val="24"/>
          <w:szCs w:val="24"/>
        </w:rPr>
        <w:t xml:space="preserve"> </w:t>
      </w:r>
      <w:r w:rsidRPr="00185005">
        <w:rPr>
          <w:sz w:val="24"/>
          <w:szCs w:val="24"/>
        </w:rPr>
        <w:t>roX1 occupancy correlate</w:t>
      </w:r>
      <w:r>
        <w:rPr>
          <w:sz w:val="24"/>
          <w:szCs w:val="24"/>
        </w:rPr>
        <w:t>d</w:t>
      </w:r>
      <w:r w:rsidRPr="00185005">
        <w:rPr>
          <w:sz w:val="24"/>
          <w:szCs w:val="24"/>
        </w:rPr>
        <w:t xml:space="preserve"> very highly with roX2 occupancy in whole larvae (X chromosome Spearman’s correlation = 0.904, R</w:t>
      </w:r>
      <w:r w:rsidRPr="00185005">
        <w:rPr>
          <w:sz w:val="24"/>
          <w:szCs w:val="24"/>
          <w:vertAlign w:val="superscript"/>
        </w:rPr>
        <w:t xml:space="preserve">2 </w:t>
      </w:r>
      <w:r w:rsidRPr="00185005">
        <w:rPr>
          <w:sz w:val="24"/>
          <w:szCs w:val="24"/>
        </w:rPr>
        <w:t xml:space="preserve">= 0.817, </w:t>
      </w:r>
      <w:r w:rsidR="00A06982">
        <w:rPr>
          <w:b/>
          <w:sz w:val="24"/>
          <w:szCs w:val="24"/>
        </w:rPr>
        <w:t>Supplementary</w:t>
      </w:r>
      <w:r w:rsidRPr="00185005">
        <w:rPr>
          <w:b/>
          <w:sz w:val="24"/>
          <w:szCs w:val="24"/>
        </w:rPr>
        <w:t xml:space="preserve"> Fig. 6</w:t>
      </w:r>
      <w:r w:rsidRPr="00185005">
        <w:rPr>
          <w:sz w:val="24"/>
          <w:szCs w:val="24"/>
        </w:rPr>
        <w:t>)</w:t>
      </w:r>
    </w:p>
    <w:p w14:paraId="774E8807" w14:textId="7B922578" w:rsidR="009E245E" w:rsidRPr="00C77273" w:rsidRDefault="00A06982" w:rsidP="00F803A5">
      <w:pPr>
        <w:tabs>
          <w:tab w:val="left" w:pos="940"/>
        </w:tabs>
        <w:spacing w:line="480" w:lineRule="auto"/>
        <w:jc w:val="both"/>
        <w:rPr>
          <w:sz w:val="24"/>
          <w:szCs w:val="24"/>
        </w:rPr>
      </w:pPr>
      <w:r>
        <w:rPr>
          <w:b/>
          <w:sz w:val="24"/>
          <w:szCs w:val="24"/>
        </w:rPr>
        <w:t>Targeting of the roX RNAs to CES requires Msl2</w:t>
      </w:r>
    </w:p>
    <w:p w14:paraId="76D2FB11" w14:textId="6AF293B1" w:rsidR="00337B93" w:rsidRDefault="00B514B0" w:rsidP="00F803A5">
      <w:pPr>
        <w:tabs>
          <w:tab w:val="left" w:pos="940"/>
        </w:tabs>
        <w:spacing w:line="480" w:lineRule="auto"/>
        <w:rPr>
          <w:sz w:val="24"/>
          <w:szCs w:val="24"/>
        </w:rPr>
      </w:pPr>
      <w:r w:rsidRPr="00F803A5">
        <w:rPr>
          <w:sz w:val="24"/>
          <w:szCs w:val="24"/>
        </w:rPr>
        <w:t>Some</w:t>
      </w:r>
      <w:r w:rsidR="00EA5239" w:rsidRPr="00C9365E">
        <w:rPr>
          <w:sz w:val="24"/>
          <w:szCs w:val="24"/>
        </w:rPr>
        <w:t xml:space="preserve"> lncRNAs interact with chromatin through </w:t>
      </w:r>
      <w:r w:rsidRPr="00F803A5">
        <w:rPr>
          <w:sz w:val="24"/>
          <w:szCs w:val="24"/>
        </w:rPr>
        <w:t xml:space="preserve">an </w:t>
      </w:r>
      <w:r w:rsidR="00EA5239" w:rsidRPr="00C9365E">
        <w:rPr>
          <w:sz w:val="24"/>
          <w:szCs w:val="24"/>
        </w:rPr>
        <w:t xml:space="preserve">RNA-intrinsic </w:t>
      </w:r>
      <w:r w:rsidRPr="00F803A5">
        <w:rPr>
          <w:sz w:val="24"/>
          <w:szCs w:val="24"/>
        </w:rPr>
        <w:t xml:space="preserve">mechanism while </w:t>
      </w:r>
      <w:r w:rsidR="008C7D47">
        <w:rPr>
          <w:sz w:val="24"/>
          <w:szCs w:val="24"/>
        </w:rPr>
        <w:t>proteins recruit others</w:t>
      </w:r>
      <w:r w:rsidR="00EA5239" w:rsidRPr="00C9365E">
        <w:rPr>
          <w:sz w:val="24"/>
          <w:szCs w:val="24"/>
        </w:rPr>
        <w:t xml:space="preserve">. </w:t>
      </w:r>
      <w:r w:rsidR="002D7008" w:rsidRPr="00C9365E">
        <w:rPr>
          <w:sz w:val="24"/>
          <w:szCs w:val="24"/>
        </w:rPr>
        <w:t>It has been suggested that t</w:t>
      </w:r>
      <w:r w:rsidR="0039784D" w:rsidRPr="00EB730D">
        <w:rPr>
          <w:sz w:val="24"/>
          <w:szCs w:val="24"/>
        </w:rPr>
        <w:t>he</w:t>
      </w:r>
      <w:r w:rsidR="00F66B2A" w:rsidRPr="00EB730D">
        <w:rPr>
          <w:sz w:val="24"/>
          <w:szCs w:val="24"/>
        </w:rPr>
        <w:t xml:space="preserve"> </w:t>
      </w:r>
      <w:r w:rsidR="005D3EFB" w:rsidRPr="00EB730D">
        <w:rPr>
          <w:sz w:val="24"/>
          <w:szCs w:val="24"/>
        </w:rPr>
        <w:t>roX RNAs</w:t>
      </w:r>
      <w:r w:rsidR="00D7682C" w:rsidRPr="00EB730D">
        <w:rPr>
          <w:sz w:val="24"/>
          <w:szCs w:val="24"/>
        </w:rPr>
        <w:t xml:space="preserve"> are </w:t>
      </w:r>
      <w:r w:rsidR="0039784D" w:rsidRPr="00EB730D">
        <w:rPr>
          <w:sz w:val="24"/>
          <w:szCs w:val="24"/>
        </w:rPr>
        <w:t>recruited</w:t>
      </w:r>
      <w:r w:rsidR="005D3EFB" w:rsidRPr="00C9365E">
        <w:rPr>
          <w:sz w:val="24"/>
          <w:szCs w:val="24"/>
        </w:rPr>
        <w:t xml:space="preserve"> to </w:t>
      </w:r>
      <w:r w:rsidR="00827C2A" w:rsidRPr="00C9365E">
        <w:rPr>
          <w:sz w:val="24"/>
          <w:szCs w:val="24"/>
        </w:rPr>
        <w:t>CES on the</w:t>
      </w:r>
      <w:r w:rsidR="005D3EFB" w:rsidRPr="00C9365E">
        <w:rPr>
          <w:sz w:val="24"/>
          <w:szCs w:val="24"/>
        </w:rPr>
        <w:t xml:space="preserve"> X chromosome </w:t>
      </w:r>
      <w:r w:rsidR="0039784D" w:rsidRPr="00C9365E">
        <w:rPr>
          <w:sz w:val="24"/>
          <w:szCs w:val="24"/>
        </w:rPr>
        <w:t>by the</w:t>
      </w:r>
      <w:r w:rsidR="006A5D6C" w:rsidRPr="00C9365E">
        <w:rPr>
          <w:sz w:val="24"/>
          <w:szCs w:val="24"/>
        </w:rPr>
        <w:t xml:space="preserve"> </w:t>
      </w:r>
      <w:r w:rsidR="00827C2A" w:rsidRPr="00C9365E">
        <w:rPr>
          <w:sz w:val="24"/>
          <w:szCs w:val="24"/>
        </w:rPr>
        <w:t>core protein Msl2</w:t>
      </w:r>
      <w:r w:rsidR="002D7008" w:rsidRPr="00C9365E">
        <w:rPr>
          <w:sz w:val="24"/>
          <w:szCs w:val="24"/>
        </w:rPr>
        <w:t>,</w:t>
      </w:r>
      <w:r w:rsidR="0039784D" w:rsidRPr="00C9365E">
        <w:rPr>
          <w:sz w:val="24"/>
          <w:szCs w:val="24"/>
        </w:rPr>
        <w:t xml:space="preserve"> which can bind the roX RNAs</w:t>
      </w:r>
      <w:r w:rsidR="00827C2A" w:rsidRPr="00C9365E">
        <w:rPr>
          <w:sz w:val="24"/>
          <w:szCs w:val="24"/>
        </w:rPr>
        <w:t xml:space="preserve"> </w:t>
      </w:r>
      <w:r w:rsidR="002D7008" w:rsidRPr="00C9365E">
        <w:rPr>
          <w:sz w:val="24"/>
          <w:szCs w:val="24"/>
        </w:rPr>
        <w:t xml:space="preserve">directly </w:t>
      </w:r>
      <w:r w:rsidR="00E40DC5" w:rsidRPr="00C9365E">
        <w:rPr>
          <w:sz w:val="24"/>
          <w:szCs w:val="24"/>
        </w:rPr>
        <w:fldChar w:fldCharType="begin" w:fldLock="1"/>
      </w:r>
      <w:r w:rsidR="00E66E01" w:rsidRPr="00C9365E">
        <w:rPr>
          <w:sz w:val="24"/>
          <w:szCs w:val="24"/>
        </w:rPr>
        <w:instrText>ADDIN CSL_CITATION { "citationItems" : [ { "id" : "ITEM-1", "itemData" : { "DOI" : "10.1016/j.molcel.2013.07.001", "ISSN" : "1097-4164", "PMID" : "23870142", "abstract" : "Dosage compensation in Drosophila is an epigenetic phenomenon utilizing proteins and long noncoding RNAs (lncRNAs) for transcriptional upregulation of the male X chromosome. Here, by using UV crosslinking followed by deep sequencing, we show that two enzymes in the Male-Specific Lethal complex, MLE RNA helicase and MSL2 ubiquitin ligase, bind evolutionarily conserved domains containing tandem stem-loops in roX1 and roX2 RNAs in vivo. These domains constitute the minimal RNA unit present in multiple copies in diverse arrangements for nucleation of the MSL complex. MLE binds to these domains with distinct ATP-independent and ATP-dependent behavior. Importantly, we show that different roX RNA domains have overlapping function, since only combinatorial mutations in the tandem stem-loops result in severe loss of dosage compensation and consequently male-specific lethality. We propose that repetitive structural motifs in lncRNAs could provide plasticity during multiprotein complex assemblies to ensure efficient targeting in cis or in trans along chromosomes.", "author" : [ { "dropping-particle" : "", "family" : "Ilik", "given" : "Ibrahim Avsar", "non-dropping-particle" : "", "parse-names" : false, "suffix" : "" }, { "dropping-particle" : "", "family" : "Quinn", "given" : "Jeffrey J", "non-dropping-particle" : "", "parse-names" : false, "suffix" : "" }, { "dropping-particle" : "", "family" : "Georgiev", "given" : "Plamen", "non-dropping-particle" : "", "parse-names" : false, "suffix" : "" }, { "dropping-particle" : "", "family" : "Tavares-Cadete", "given" : "Filipe", "non-dropping-particle" : "", "parse-names" : false, "suffix" : "" }, { "dropping-particle" : "", "family" : "Maticzka", "given" : "Daniel", "non-dropping-particle" : "", "parse-names" : false, "suffix" : "" }, { "dropping-particle" : "", "family" : "Toscano", "given" : "Sarah", "non-dropping-particle" : "", "parse-names" : false, "suffix" : "" }, { "dropping-particle" : "", "family" : "Wan", "given" : "Yue", "non-dropping-particle" : "", "parse-names" : false, "suffix" : "" }, { "dropping-particle" : "", "family" : "Spitale", "given" : "Robert C", "non-dropping-particle" : "", "parse-names" : false, "suffix" : "" }, { "dropping-particle" : "", "family" : "Luscombe", "given" : "Nicholas", "non-dropping-particle" : "", "parse-names" : false, "suffix" : "" }, { "dropping-particle" : "", "family" : "Backofen", "given" : "Rolf", "non-dropping-particle" : "", "parse-names" : false, "suffix" : "" }, { "dropping-particle" : "", "family" : "Chang", "given" : "Howard Y", "non-dropping-particle" : "", "parse-names" : false, "suffix" : "" }, { "dropping-particle" : "", "family" : "Akhtar", "given" : "Asifa", "non-dropping-particle" : "", "parse-names" : false, "suffix" : "" } ], "container-title" : "Molecular cell", "id" : "ITEM-1", "issue" : "2", "issued" : { "date-parts" : [ [ "2013", "7", "25" ] ] }, "page" : "156-73", "title" : "Tandem stem-loops in roX RNAs act together to mediate X chromosome dosage compensation in Drosophila.", "type" : "article-journal", "volume" : "51" }, "uris" : [ "http://www.mendeley.com/documents/?uuid=9f9730d1-cdd0-32ac-92e7-d2a2de1ecf2d" ] }, { "id" : "ITEM-2", "itemData" : { "DOI" : "10.1038/nature19338", "ISSN" : "1476-4687", "PMID" : "27580037", "abstract" : "The rules defining which small fraction of related DNA sequences can be selectively bound by a transcription factor are poorly understood. One of the most challenging tasks in DNA recognition is posed by dosage compensation systems that require the distinction between sex chromosomes and autosomes. In Drosophila melanogaster, the male-specific lethal dosage compensation complex (MSL-DCC) doubles the level of transcription from the single male X chromosome, but the nature of this selectivity is not known. Previous efforts to identify X-chromosome-specific target sequences were unsuccessful as the identified MSL recognition elements lacked discriminative power. Therefore, additional determinants such as co-factors, chromatin features, RNA and chromosome conformation have been proposed to refine targeting further. Here, using an in vitro genome-wide DNA binding assay, we show that recognition of the X chromosome is an intrinsic feature of the MSL-DCC. MSL2, the male-specific organizer of the complex, uses two distinct DNA interaction surfaces-the CXC and proline/basic-residue-rich domains-to identify complex DNA elements on the X chromosome. Specificity is provided by the CXC domain, which binds a novel motif defined by DNA sequence and shape. This motif characterizes a subclass of MSL2-binding sites, which we name PionX (pioneering sites on the X) as they appeared early during the recent evolution of an X chromosome in D. miranda and are the first chromosomal sites to be bound during de novo MSL-DCC assembly. Our data provide the first, to our knowledge, documented molecular mechanism through which the dosage compensation machinery distinguishes the X chromosome from an autosome. They highlight fundamental principles in the recognition of complex DNA elements by protein that will have a strong impact on many aspects of chromosome biology.", "author" : [ { "dropping-particle" : "", "family" : "Villa", "given" : "Raffaella", "non-dropping-particle" : "", "parse-names" : false, "suffix" : "" }, { "dropping-particle" : "", "family" : "Schauer", "given" : "Tamas", "non-dropping-particle" : "", "parse-names" : false, "suffix" : "" }, { "dropping-particle" : "", "family" : "Smialowski", "given" : "Pawel", "non-dropping-particle" : "", "parse-names" : false, "suffix" : "" }, { "dropping-particle" : "", "family" : "Straub", "given" : "Tobias", "non-dropping-particle" : "", "parse-names" : false, "suffix" : "" }, { "dropping-particle" : "", "family" : "Becker", "given" : "Peter B", "non-dropping-particle" : "", "parse-names" : false, "suffix" : "" } ], "container-title" : "Nature", "id" : "ITEM-2", "issue" : "7619", "issued" : { "date-parts" : [ [ "2016", "8", "31" ] ] }, "page" : "244-248", "title" : "PionX sites mark the X chromosome for dosage compensation.", "type" : "article-journal", "volume" : "537" }, "uris" : [ "http://www.mendeley.com/documents/?uuid=83bf0c4d-9a64-3153-b3b0-91a2565ea08b" ] } ], "mendeley" : { "formattedCitation" : "&lt;sup&gt;18,19&lt;/sup&gt;", "plainTextFormattedCitation" : "18,19", "previouslyFormattedCitation" : "&lt;sup&gt;18,19&lt;/sup&gt;" }, "properties" : { "noteIndex" : 0 }, "schema" : "https://github.com/citation-style-language/schema/raw/master/csl-citation.json" }</w:instrText>
      </w:r>
      <w:r w:rsidR="00E40DC5" w:rsidRPr="00F803A5">
        <w:rPr>
          <w:sz w:val="24"/>
          <w:szCs w:val="24"/>
        </w:rPr>
        <w:fldChar w:fldCharType="separate"/>
      </w:r>
      <w:r w:rsidR="00A41997" w:rsidRPr="00C9365E">
        <w:rPr>
          <w:noProof/>
          <w:sz w:val="24"/>
          <w:szCs w:val="24"/>
          <w:vertAlign w:val="superscript"/>
        </w:rPr>
        <w:t>18,19</w:t>
      </w:r>
      <w:r w:rsidR="00E40DC5" w:rsidRPr="00C9365E">
        <w:rPr>
          <w:sz w:val="24"/>
          <w:szCs w:val="24"/>
        </w:rPr>
        <w:fldChar w:fldCharType="end"/>
      </w:r>
      <w:r w:rsidR="00827C2A" w:rsidRPr="00C9365E">
        <w:rPr>
          <w:sz w:val="24"/>
          <w:szCs w:val="24"/>
        </w:rPr>
        <w:t>.</w:t>
      </w:r>
      <w:r w:rsidR="0039784D" w:rsidRPr="00C9365E">
        <w:rPr>
          <w:sz w:val="24"/>
          <w:szCs w:val="24"/>
        </w:rPr>
        <w:t xml:space="preserve"> </w:t>
      </w:r>
      <w:r w:rsidR="002D7008" w:rsidRPr="00C9365E">
        <w:rPr>
          <w:sz w:val="24"/>
          <w:szCs w:val="24"/>
        </w:rPr>
        <w:t>Nonetheless</w:t>
      </w:r>
      <w:r w:rsidR="0039784D" w:rsidRPr="00C9365E">
        <w:rPr>
          <w:sz w:val="24"/>
          <w:szCs w:val="24"/>
        </w:rPr>
        <w:t xml:space="preserve">, </w:t>
      </w:r>
      <w:r w:rsidR="002D7008" w:rsidRPr="00C9365E">
        <w:rPr>
          <w:sz w:val="24"/>
          <w:szCs w:val="24"/>
        </w:rPr>
        <w:t>it is possible that</w:t>
      </w:r>
      <w:r w:rsidR="0039784D" w:rsidRPr="00C9365E">
        <w:rPr>
          <w:sz w:val="24"/>
          <w:szCs w:val="24"/>
        </w:rPr>
        <w:t xml:space="preserve"> the roX RNAs </w:t>
      </w:r>
      <w:r w:rsidR="002D7008" w:rsidRPr="00C9365E">
        <w:rPr>
          <w:sz w:val="24"/>
          <w:szCs w:val="24"/>
        </w:rPr>
        <w:t xml:space="preserve">also </w:t>
      </w:r>
      <w:r w:rsidR="0039784D" w:rsidRPr="00C9365E">
        <w:rPr>
          <w:sz w:val="24"/>
          <w:szCs w:val="24"/>
        </w:rPr>
        <w:t xml:space="preserve">have an </w:t>
      </w:r>
      <w:r w:rsidRPr="00C9365E">
        <w:rPr>
          <w:sz w:val="24"/>
          <w:szCs w:val="24"/>
        </w:rPr>
        <w:t xml:space="preserve">intrinsic </w:t>
      </w:r>
      <w:r w:rsidR="0039784D" w:rsidRPr="00C9365E">
        <w:rPr>
          <w:sz w:val="24"/>
          <w:szCs w:val="24"/>
        </w:rPr>
        <w:t>affinity for the X chromosome</w:t>
      </w:r>
      <w:r w:rsidR="002D7008" w:rsidRPr="00C9365E">
        <w:rPr>
          <w:sz w:val="24"/>
          <w:szCs w:val="24"/>
        </w:rPr>
        <w:t>.</w:t>
      </w:r>
      <w:r w:rsidR="0039784D" w:rsidRPr="00C9365E">
        <w:rPr>
          <w:sz w:val="24"/>
          <w:szCs w:val="24"/>
        </w:rPr>
        <w:t xml:space="preserve"> </w:t>
      </w:r>
      <w:r w:rsidRPr="00F803A5">
        <w:rPr>
          <w:sz w:val="24"/>
          <w:szCs w:val="24"/>
        </w:rPr>
        <w:t>It has been reported that t</w:t>
      </w:r>
      <w:r w:rsidR="000B5F37" w:rsidRPr="00C9365E">
        <w:rPr>
          <w:sz w:val="24"/>
          <w:szCs w:val="24"/>
        </w:rPr>
        <w:t>he roX RNAs</w:t>
      </w:r>
      <w:r w:rsidRPr="00F803A5">
        <w:rPr>
          <w:sz w:val="24"/>
          <w:szCs w:val="24"/>
        </w:rPr>
        <w:t xml:space="preserve">, and Msl2, </w:t>
      </w:r>
      <w:r w:rsidR="000B5F37" w:rsidRPr="00C9365E">
        <w:rPr>
          <w:sz w:val="24"/>
          <w:szCs w:val="24"/>
        </w:rPr>
        <w:t xml:space="preserve">are </w:t>
      </w:r>
      <w:r w:rsidR="00896243" w:rsidRPr="00C9365E">
        <w:rPr>
          <w:sz w:val="24"/>
          <w:szCs w:val="24"/>
        </w:rPr>
        <w:t>expressed</w:t>
      </w:r>
      <w:r w:rsidR="000B5F37" w:rsidRPr="00EB730D">
        <w:rPr>
          <w:sz w:val="24"/>
          <w:szCs w:val="24"/>
        </w:rPr>
        <w:t xml:space="preserve"> exclusively in males </w:t>
      </w:r>
      <w:r w:rsidR="00167ADF" w:rsidRPr="00F803A5">
        <w:rPr>
          <w:sz w:val="24"/>
          <w:szCs w:val="24"/>
        </w:rPr>
        <w:fldChar w:fldCharType="begin" w:fldLock="1"/>
      </w:r>
      <w:r w:rsidR="00204001" w:rsidRPr="00F803A5">
        <w:rPr>
          <w:sz w:val="24"/>
          <w:szCs w:val="24"/>
        </w:rPr>
        <w:instrText>ADDIN CSL_CITATION { "citationItems" : [ { "id" : "ITEM-1", "itemData" : { "ISSN" : "0092-8674", "PMID" : "9038336", "abstract" : "The Drosophila roX1 gene is X-linked and produces RNAs that are male-specific, somatic, and preferentially expressed in the central nervous system. These RNAs are retained in the nucleus and lack any significant open reading frame. Although all sexually dimorphic characteristics in Drosophila were thought to be controlled by the sex determination pathway through the gene transformer (tra), the expression of roX1 is independent of tra activity. Instead, the dosage compensation system is necessary and sufficient for the expression of roX1. Consistent with a potential function in dosage compensation, roX1 RNAs localize specifically to the male X chromosome. This localization occurs even when roX1 RNAs are expressed from autosomal locations in X-to-autosome translocations. The novel regulation and subnuclear localization of roX1 RNAs makes them candidates for an RNA component of the dosage compensation machinery.", "author" : [ { "dropping-particle" : "", "family" : "Meller", "given" : "V H", "non-dropping-particle" : "", "parse-names" : false, "suffix" : "" }, { "dropping-particle" : "", "family" : "Wu", "given" : "K H", "non-dropping-particle" : "", "parse-names" : false, "suffix" : "" }, { "dropping-particle" : "", "family" : "Roman", "given" : "G", "non-dropping-particle" : "", "parse-names" : false, "suffix" : "" }, { "dropping-particle" : "", "family" : "Kuroda", "given" : "M I", "non-dropping-particle" : "", "parse-names" : false, "suffix" : "" }, { "dropping-particle" : "", "family" : "Davis", "given" : "R L", "non-dropping-particle" : "", "parse-names" : false, "suffix" : "" } ], "container-title" : "Cell", "id" : "ITEM-1", "issue" : "4", "issued" : { "date-parts" : [ [ "1997", "2", "21" ] ] }, "page" : "445-57", "title" : "roX1 RNA paints the X chromosome of male Drosophila and is regulated by the dosage compensation system.", "type" : "article-journal", "volume" : "88" }, "uris" : [ "http://www.mendeley.com/documents/?uuid=575b5289-8d06-3d38-a594-0a70f77a6d38" ] } ], "mendeley" : { "formattedCitation" : "&lt;sup&gt;9&lt;/sup&gt;", "plainTextFormattedCitation" : "9", "previouslyFormattedCitation" : "&lt;sup&gt;9&lt;/sup&gt;" }, "properties" : { "noteIndex" : 0 }, "schema" : "https://github.com/citation-style-language/schema/raw/master/csl-citation.json" }</w:instrText>
      </w:r>
      <w:r w:rsidR="00167ADF" w:rsidRPr="00F803A5">
        <w:rPr>
          <w:sz w:val="24"/>
          <w:szCs w:val="24"/>
        </w:rPr>
        <w:fldChar w:fldCharType="separate"/>
      </w:r>
      <w:r w:rsidR="00167ADF" w:rsidRPr="00F803A5">
        <w:rPr>
          <w:noProof/>
          <w:sz w:val="24"/>
          <w:szCs w:val="24"/>
          <w:vertAlign w:val="superscript"/>
        </w:rPr>
        <w:t>9</w:t>
      </w:r>
      <w:r w:rsidR="00167ADF" w:rsidRPr="00F803A5">
        <w:rPr>
          <w:sz w:val="24"/>
          <w:szCs w:val="24"/>
        </w:rPr>
        <w:fldChar w:fldCharType="end"/>
      </w:r>
      <w:r w:rsidR="00167ADF" w:rsidRPr="00C9365E">
        <w:rPr>
          <w:sz w:val="24"/>
          <w:szCs w:val="24"/>
        </w:rPr>
        <w:t xml:space="preserve"> </w:t>
      </w:r>
      <w:r w:rsidR="000B5F37" w:rsidRPr="00C9365E">
        <w:rPr>
          <w:sz w:val="24"/>
          <w:szCs w:val="24"/>
        </w:rPr>
        <w:t xml:space="preserve">. </w:t>
      </w:r>
      <w:r w:rsidR="00F66B2A" w:rsidRPr="00C9365E">
        <w:rPr>
          <w:sz w:val="24"/>
          <w:szCs w:val="24"/>
        </w:rPr>
        <w:t xml:space="preserve">To test if roX2 </w:t>
      </w:r>
      <w:r w:rsidRPr="00EB730D">
        <w:rPr>
          <w:sz w:val="24"/>
          <w:szCs w:val="24"/>
        </w:rPr>
        <w:t xml:space="preserve">has an intrinsic ability to </w:t>
      </w:r>
      <w:r w:rsidR="00F66B2A" w:rsidRPr="00EB730D">
        <w:rPr>
          <w:sz w:val="24"/>
          <w:szCs w:val="24"/>
        </w:rPr>
        <w:t>bind</w:t>
      </w:r>
      <w:r w:rsidR="005D3EFB" w:rsidRPr="00EB730D">
        <w:rPr>
          <w:sz w:val="24"/>
          <w:szCs w:val="24"/>
        </w:rPr>
        <w:t xml:space="preserve"> to</w:t>
      </w:r>
      <w:r w:rsidR="00F66B2A" w:rsidRPr="00EB730D">
        <w:rPr>
          <w:sz w:val="24"/>
          <w:szCs w:val="24"/>
        </w:rPr>
        <w:t xml:space="preserve"> </w:t>
      </w:r>
      <w:r w:rsidR="00F66B2A" w:rsidRPr="00C9365E">
        <w:rPr>
          <w:sz w:val="24"/>
          <w:szCs w:val="24"/>
        </w:rPr>
        <w:t>chromosomal entry sites</w:t>
      </w:r>
      <w:r w:rsidRPr="00C9365E">
        <w:rPr>
          <w:sz w:val="24"/>
          <w:szCs w:val="24"/>
        </w:rPr>
        <w:t>,</w:t>
      </w:r>
      <w:r w:rsidR="00323499" w:rsidRPr="00C9365E">
        <w:rPr>
          <w:sz w:val="24"/>
          <w:szCs w:val="24"/>
        </w:rPr>
        <w:t xml:space="preserve"> </w:t>
      </w:r>
      <w:r w:rsidR="00581243" w:rsidRPr="00C9365E">
        <w:rPr>
          <w:sz w:val="24"/>
          <w:szCs w:val="24"/>
        </w:rPr>
        <w:t>we</w:t>
      </w:r>
      <w:r w:rsidR="000B5F37" w:rsidRPr="00C9365E">
        <w:rPr>
          <w:sz w:val="24"/>
          <w:szCs w:val="24"/>
        </w:rPr>
        <w:t xml:space="preserve"> </w:t>
      </w:r>
      <w:r w:rsidR="00581243" w:rsidRPr="00C9365E">
        <w:rPr>
          <w:sz w:val="24"/>
          <w:szCs w:val="24"/>
        </w:rPr>
        <w:t>expressed</w:t>
      </w:r>
      <w:r w:rsidR="00323499" w:rsidRPr="00C9365E">
        <w:rPr>
          <w:sz w:val="24"/>
          <w:szCs w:val="24"/>
        </w:rPr>
        <w:t xml:space="preserve"> the roX2 transgene</w:t>
      </w:r>
      <w:r w:rsidR="00581243" w:rsidRPr="00C9365E">
        <w:rPr>
          <w:sz w:val="24"/>
          <w:szCs w:val="24"/>
        </w:rPr>
        <w:t xml:space="preserve"> </w:t>
      </w:r>
      <w:r w:rsidRPr="00F803A5">
        <w:rPr>
          <w:sz w:val="24"/>
          <w:szCs w:val="24"/>
        </w:rPr>
        <w:t>ectopically</w:t>
      </w:r>
      <w:r w:rsidRPr="00C9365E">
        <w:rPr>
          <w:sz w:val="24"/>
          <w:szCs w:val="24"/>
        </w:rPr>
        <w:t xml:space="preserve"> </w:t>
      </w:r>
      <w:r w:rsidR="00581243" w:rsidRPr="00C9365E">
        <w:rPr>
          <w:sz w:val="24"/>
          <w:szCs w:val="24"/>
        </w:rPr>
        <w:t>in female larvae</w:t>
      </w:r>
      <w:r w:rsidRPr="00C9365E">
        <w:rPr>
          <w:sz w:val="24"/>
          <w:szCs w:val="24"/>
        </w:rPr>
        <w:t>,</w:t>
      </w:r>
      <w:r w:rsidR="00167ADF" w:rsidRPr="00C9365E">
        <w:rPr>
          <w:sz w:val="24"/>
          <w:szCs w:val="24"/>
        </w:rPr>
        <w:t xml:space="preserve"> where Msl2 </w:t>
      </w:r>
      <w:r w:rsidRPr="00EB730D">
        <w:rPr>
          <w:sz w:val="24"/>
          <w:szCs w:val="24"/>
        </w:rPr>
        <w:t xml:space="preserve">expression </w:t>
      </w:r>
      <w:r w:rsidR="00167ADF" w:rsidRPr="00EB730D">
        <w:rPr>
          <w:sz w:val="24"/>
          <w:szCs w:val="24"/>
        </w:rPr>
        <w:t xml:space="preserve">is repressed by </w:t>
      </w:r>
      <w:r w:rsidR="00167ADF" w:rsidRPr="00F803A5">
        <w:rPr>
          <w:i/>
          <w:sz w:val="24"/>
          <w:szCs w:val="24"/>
        </w:rPr>
        <w:t>Sex lethal</w:t>
      </w:r>
      <w:r w:rsidR="008C7D47">
        <w:rPr>
          <w:i/>
          <w:sz w:val="24"/>
          <w:szCs w:val="24"/>
        </w:rPr>
        <w:t xml:space="preserve"> </w:t>
      </w:r>
      <w:r w:rsidR="00167ADF" w:rsidRPr="00C9365E">
        <w:rPr>
          <w:i/>
          <w:sz w:val="24"/>
          <w:szCs w:val="24"/>
        </w:rPr>
        <w:fldChar w:fldCharType="begin" w:fldLock="1"/>
      </w:r>
      <w:r w:rsidR="00167ADF" w:rsidRPr="00C9365E">
        <w:rPr>
          <w:i/>
          <w:sz w:val="24"/>
          <w:szCs w:val="24"/>
        </w:rPr>
        <w:instrText>ADDIN CSL_CITATION { "citationItems" : [ { "id" : "ITEM-1", "itemData" : { "ISBN" : "0950-1991 (Print)\\n0950-1991 (Linking)", "ISSN" : "0950-1991", "PMID" : "7588059", "abstract" : "In Drosophila dosage compensation increases the rate of transcription of the male's X chromosome and depends on four autosomal male-specific lethal genes. We have cloned the msl-2 gene and shown that MSL-2 protein is co-localized with the other three MSL proteins at hundreds of sites along the male polytene X chromosome and that this binding requires the other three MSL proteins. msl-2 encodes a protein with a putative DNA-binding domain: the RING finger. MSL-2 protein is not produced in females and sequences in both the 5' and 3' UTRs are important for this sex-specific regulation. Furthermore, msl-2 pre-mRNA is alternatively spliced in a Sex-lethal-dependent fashion in its 5' UTR.", "author" : [ { "dropping-particle" : "", "family" : "Bashaw", "given" : "G J", "non-dropping-particle" : "", "parse-names" : false, "suffix" : "" }, { "dropping-particle" : "", "family" : "Baker", "given" : "B S", "non-dropping-particle" : "", "parse-names" : false, "suffix" : "" } ], "container-title" : "Development", "id" : "ITEM-1", "issue" : "10", "issued" : { "date-parts" : [ [ "1995" ] ] }, "page" : "3245-3258", "title" : "The msl-2 dosage compensation gene of Drosophila encodes a putative DNA-binding protein whose expression is sex specifically regulated by Sex-lethal.", "type" : "article-journal", "volume" : "121" }, "uris" : [ "http://www.mendeley.com/documents/?uuid=c5ef1194-a361-48af-ab02-0cdba1cbe2d9" ] } ], "mendeley" : { "formattedCitation" : "&lt;sup&gt;20&lt;/sup&gt;", "plainTextFormattedCitation" : "20", "previouslyFormattedCitation" : "&lt;sup&gt;20&lt;/sup&gt;" }, "properties" : { "noteIndex" : 0 }, "schema" : "https://github.com/citation-style-language/schema/raw/master/csl-citation.json" }</w:instrText>
      </w:r>
      <w:r w:rsidR="00167ADF" w:rsidRPr="00F803A5">
        <w:rPr>
          <w:i/>
          <w:sz w:val="24"/>
          <w:szCs w:val="24"/>
        </w:rPr>
        <w:fldChar w:fldCharType="separate"/>
      </w:r>
      <w:r w:rsidR="00167ADF" w:rsidRPr="00C9365E">
        <w:rPr>
          <w:noProof/>
          <w:sz w:val="24"/>
          <w:szCs w:val="24"/>
          <w:vertAlign w:val="superscript"/>
        </w:rPr>
        <w:t>20</w:t>
      </w:r>
      <w:r w:rsidR="00167ADF" w:rsidRPr="00C9365E">
        <w:rPr>
          <w:i/>
          <w:sz w:val="24"/>
          <w:szCs w:val="24"/>
        </w:rPr>
        <w:fldChar w:fldCharType="end"/>
      </w:r>
      <w:r w:rsidR="00581243" w:rsidRPr="00C9365E">
        <w:rPr>
          <w:sz w:val="24"/>
          <w:szCs w:val="24"/>
        </w:rPr>
        <w:t>.</w:t>
      </w:r>
      <w:r w:rsidR="00323499" w:rsidRPr="00C9365E">
        <w:rPr>
          <w:sz w:val="24"/>
          <w:szCs w:val="24"/>
        </w:rPr>
        <w:t xml:space="preserve"> </w:t>
      </w:r>
      <w:r w:rsidR="00337B93" w:rsidRPr="00C9365E">
        <w:rPr>
          <w:sz w:val="24"/>
          <w:szCs w:val="24"/>
        </w:rPr>
        <w:t>If roX2 binding</w:t>
      </w:r>
      <w:r w:rsidRPr="00EB730D">
        <w:rPr>
          <w:sz w:val="24"/>
          <w:szCs w:val="24"/>
        </w:rPr>
        <w:t xml:space="preserve"> depend</w:t>
      </w:r>
      <w:r w:rsidR="00337B93" w:rsidRPr="00EB730D">
        <w:rPr>
          <w:sz w:val="24"/>
          <w:szCs w:val="24"/>
        </w:rPr>
        <w:t>s</w:t>
      </w:r>
      <w:r w:rsidRPr="00EB730D">
        <w:rPr>
          <w:sz w:val="24"/>
          <w:szCs w:val="24"/>
        </w:rPr>
        <w:t xml:space="preserve"> on </w:t>
      </w:r>
      <w:r w:rsidRPr="00C9365E">
        <w:rPr>
          <w:sz w:val="24"/>
          <w:szCs w:val="24"/>
        </w:rPr>
        <w:t>Msl2,</w:t>
      </w:r>
      <w:r w:rsidR="00337B93" w:rsidRPr="00C9365E">
        <w:rPr>
          <w:sz w:val="24"/>
          <w:szCs w:val="24"/>
        </w:rPr>
        <w:t xml:space="preserve"> we expected to see no binding. However, if roX2 has an intrinsic ability to bind chromatin, then we should see binding.</w:t>
      </w:r>
    </w:p>
    <w:p w14:paraId="4B65913C" w14:textId="77777777" w:rsidR="00337B93" w:rsidRDefault="00337B93" w:rsidP="00F803A5">
      <w:pPr>
        <w:tabs>
          <w:tab w:val="left" w:pos="940"/>
        </w:tabs>
        <w:spacing w:line="480" w:lineRule="auto"/>
        <w:rPr>
          <w:sz w:val="24"/>
          <w:szCs w:val="24"/>
        </w:rPr>
      </w:pPr>
    </w:p>
    <w:p w14:paraId="75F34B15" w14:textId="2D724882" w:rsidR="00337B93" w:rsidRDefault="00337B93" w:rsidP="00F803A5">
      <w:pPr>
        <w:tabs>
          <w:tab w:val="left" w:pos="940"/>
        </w:tabs>
        <w:spacing w:line="480" w:lineRule="auto"/>
        <w:rPr>
          <w:sz w:val="24"/>
          <w:szCs w:val="24"/>
        </w:rPr>
      </w:pPr>
      <w:r>
        <w:rPr>
          <w:sz w:val="24"/>
          <w:szCs w:val="24"/>
        </w:rPr>
        <w:t>We</w:t>
      </w:r>
      <w:r w:rsidRPr="00C07A08">
        <w:rPr>
          <w:sz w:val="24"/>
          <w:szCs w:val="24"/>
        </w:rPr>
        <w:t xml:space="preserve"> performed roX2 RNA-DamID</w:t>
      </w:r>
      <w:r w:rsidDel="00896243">
        <w:rPr>
          <w:sz w:val="24"/>
          <w:szCs w:val="24"/>
        </w:rPr>
        <w:t xml:space="preserve"> </w:t>
      </w:r>
      <w:r>
        <w:rPr>
          <w:sz w:val="24"/>
          <w:szCs w:val="24"/>
        </w:rPr>
        <w:t>and found that</w:t>
      </w:r>
      <w:r w:rsidR="00323499" w:rsidRPr="00A90368">
        <w:rPr>
          <w:sz w:val="24"/>
          <w:szCs w:val="24"/>
        </w:rPr>
        <w:t xml:space="preserve"> </w:t>
      </w:r>
      <w:r w:rsidR="001463A4" w:rsidRPr="00A90368">
        <w:rPr>
          <w:sz w:val="24"/>
          <w:szCs w:val="24"/>
        </w:rPr>
        <w:t>roX2</w:t>
      </w:r>
      <w:r w:rsidR="00323499" w:rsidRPr="00A90368">
        <w:rPr>
          <w:sz w:val="24"/>
          <w:szCs w:val="24"/>
        </w:rPr>
        <w:t xml:space="preserve"> </w:t>
      </w:r>
      <w:r w:rsidR="008F0F86">
        <w:rPr>
          <w:sz w:val="24"/>
          <w:szCs w:val="24"/>
        </w:rPr>
        <w:t>was</w:t>
      </w:r>
      <w:r w:rsidR="00827C2A" w:rsidRPr="00B20AB4">
        <w:rPr>
          <w:sz w:val="24"/>
          <w:szCs w:val="24"/>
        </w:rPr>
        <w:t xml:space="preserve"> specific</w:t>
      </w:r>
      <w:r w:rsidR="008F0F86">
        <w:rPr>
          <w:sz w:val="24"/>
          <w:szCs w:val="24"/>
        </w:rPr>
        <w:t>ally</w:t>
      </w:r>
      <w:r w:rsidR="00827C2A" w:rsidRPr="00B20AB4">
        <w:rPr>
          <w:sz w:val="24"/>
          <w:szCs w:val="24"/>
        </w:rPr>
        <w:t xml:space="preserve"> enrich</w:t>
      </w:r>
      <w:r w:rsidR="008F0F86">
        <w:rPr>
          <w:sz w:val="24"/>
          <w:szCs w:val="24"/>
        </w:rPr>
        <w:t>ed</w:t>
      </w:r>
      <w:r w:rsidR="00827C2A" w:rsidRPr="00B20AB4">
        <w:rPr>
          <w:sz w:val="24"/>
          <w:szCs w:val="24"/>
        </w:rPr>
        <w:t xml:space="preserve"> on the X chromosome</w:t>
      </w:r>
      <w:r w:rsidR="00581243" w:rsidRPr="00B20AB4">
        <w:rPr>
          <w:sz w:val="24"/>
          <w:szCs w:val="24"/>
        </w:rPr>
        <w:t xml:space="preserve"> </w:t>
      </w:r>
      <w:r w:rsidR="00A77D5A" w:rsidRPr="00A90368">
        <w:rPr>
          <w:sz w:val="24"/>
          <w:szCs w:val="24"/>
        </w:rPr>
        <w:t>in females</w:t>
      </w:r>
      <w:r w:rsidR="00A77D5A">
        <w:rPr>
          <w:sz w:val="24"/>
          <w:szCs w:val="24"/>
        </w:rPr>
        <w:t>, suggesting that</w:t>
      </w:r>
      <w:r>
        <w:rPr>
          <w:sz w:val="24"/>
          <w:szCs w:val="24"/>
        </w:rPr>
        <w:t xml:space="preserve"> roX2 could</w:t>
      </w:r>
      <w:r w:rsidR="00A77D5A">
        <w:rPr>
          <w:sz w:val="24"/>
          <w:szCs w:val="24"/>
        </w:rPr>
        <w:t xml:space="preserve"> bind </w:t>
      </w:r>
      <w:r>
        <w:rPr>
          <w:sz w:val="24"/>
          <w:szCs w:val="24"/>
        </w:rPr>
        <w:t xml:space="preserve">chromatin </w:t>
      </w:r>
      <w:r w:rsidR="00A77D5A">
        <w:rPr>
          <w:sz w:val="24"/>
          <w:szCs w:val="24"/>
        </w:rPr>
        <w:t>independent</w:t>
      </w:r>
      <w:r>
        <w:rPr>
          <w:sz w:val="24"/>
          <w:szCs w:val="24"/>
        </w:rPr>
        <w:t>ly</w:t>
      </w:r>
      <w:r w:rsidR="00A77D5A">
        <w:rPr>
          <w:sz w:val="24"/>
          <w:szCs w:val="24"/>
        </w:rPr>
        <w:t xml:space="preserve"> of Msl2</w:t>
      </w:r>
      <w:r w:rsidR="00A77D5A" w:rsidRPr="00A90368">
        <w:rPr>
          <w:sz w:val="24"/>
          <w:szCs w:val="24"/>
        </w:rPr>
        <w:t xml:space="preserve"> </w:t>
      </w:r>
      <w:r w:rsidR="00581243" w:rsidRPr="00B20AB4">
        <w:rPr>
          <w:sz w:val="24"/>
          <w:szCs w:val="24"/>
        </w:rPr>
        <w:t>(</w:t>
      </w:r>
      <w:r w:rsidR="00C5735F" w:rsidRPr="00B20AB4">
        <w:rPr>
          <w:b/>
          <w:sz w:val="24"/>
          <w:szCs w:val="24"/>
        </w:rPr>
        <w:t xml:space="preserve">Fig. </w:t>
      </w:r>
      <w:r w:rsidR="00827C2A" w:rsidRPr="00B20AB4">
        <w:rPr>
          <w:b/>
          <w:sz w:val="24"/>
          <w:szCs w:val="24"/>
        </w:rPr>
        <w:t>4A</w:t>
      </w:r>
      <w:r w:rsidR="00294C12" w:rsidRPr="000823F2">
        <w:rPr>
          <w:sz w:val="24"/>
          <w:szCs w:val="24"/>
        </w:rPr>
        <w:t xml:space="preserve">). </w:t>
      </w:r>
      <w:r w:rsidRPr="00C37434">
        <w:rPr>
          <w:sz w:val="24"/>
          <w:szCs w:val="24"/>
        </w:rPr>
        <w:t>roX2</w:t>
      </w:r>
      <w:r>
        <w:rPr>
          <w:sz w:val="24"/>
          <w:szCs w:val="24"/>
        </w:rPr>
        <w:t xml:space="preserve"> bound to a </w:t>
      </w:r>
      <w:r w:rsidRPr="00C37434">
        <w:rPr>
          <w:sz w:val="24"/>
          <w:szCs w:val="24"/>
        </w:rPr>
        <w:t>cluster of 14 CES in female larvae (</w:t>
      </w:r>
      <w:r w:rsidRPr="00A2214F">
        <w:rPr>
          <w:b/>
          <w:sz w:val="24"/>
          <w:szCs w:val="24"/>
        </w:rPr>
        <w:t>Fig. 4D</w:t>
      </w:r>
      <w:r>
        <w:rPr>
          <w:b/>
          <w:sz w:val="24"/>
          <w:szCs w:val="24"/>
        </w:rPr>
        <w:t xml:space="preserve">, </w:t>
      </w:r>
      <w:r w:rsidR="00B10629">
        <w:rPr>
          <w:b/>
          <w:sz w:val="24"/>
          <w:szCs w:val="24"/>
        </w:rPr>
        <w:t>Supplementary Data Set</w:t>
      </w:r>
      <w:r w:rsidR="006D13E2">
        <w:rPr>
          <w:b/>
          <w:sz w:val="24"/>
          <w:szCs w:val="24"/>
        </w:rPr>
        <w:t xml:space="preserve"> 1</w:t>
      </w:r>
      <w:r w:rsidRPr="00C07A08">
        <w:rPr>
          <w:sz w:val="24"/>
          <w:szCs w:val="24"/>
        </w:rPr>
        <w:t>)</w:t>
      </w:r>
      <w:r w:rsidRPr="00772709">
        <w:rPr>
          <w:sz w:val="24"/>
          <w:szCs w:val="24"/>
        </w:rPr>
        <w:t xml:space="preserve">. </w:t>
      </w:r>
      <w:r w:rsidRPr="00B20AB4">
        <w:rPr>
          <w:sz w:val="24"/>
          <w:szCs w:val="24"/>
        </w:rPr>
        <w:t xml:space="preserve">Five of these sites correspond to </w:t>
      </w:r>
      <w:r>
        <w:rPr>
          <w:sz w:val="24"/>
          <w:szCs w:val="24"/>
        </w:rPr>
        <w:t xml:space="preserve">the </w:t>
      </w:r>
      <w:r w:rsidRPr="00B20AB4">
        <w:rPr>
          <w:sz w:val="24"/>
          <w:szCs w:val="24"/>
        </w:rPr>
        <w:t>recently described “pioneering on X” regions</w:t>
      </w:r>
      <w:r>
        <w:rPr>
          <w:sz w:val="24"/>
          <w:szCs w:val="24"/>
        </w:rPr>
        <w:t>,</w:t>
      </w:r>
      <w:r w:rsidRPr="00B20AB4">
        <w:rPr>
          <w:sz w:val="24"/>
          <w:szCs w:val="24"/>
        </w:rPr>
        <w:t xml:space="preserve"> </w:t>
      </w:r>
      <w:r>
        <w:rPr>
          <w:sz w:val="24"/>
          <w:szCs w:val="24"/>
        </w:rPr>
        <w:t>which</w:t>
      </w:r>
      <w:r w:rsidRPr="00B20AB4">
        <w:rPr>
          <w:sz w:val="24"/>
          <w:szCs w:val="24"/>
        </w:rPr>
        <w:t xml:space="preserve"> are the first sites of MSL complex assembly</w:t>
      </w:r>
      <w:r w:rsidRPr="00C07A08">
        <w:rPr>
          <w:sz w:val="24"/>
          <w:szCs w:val="24"/>
        </w:rPr>
        <w:fldChar w:fldCharType="begin" w:fldLock="1"/>
      </w:r>
      <w:r>
        <w:rPr>
          <w:sz w:val="24"/>
          <w:szCs w:val="24"/>
        </w:rPr>
        <w:instrText>ADDIN CSL_CITATION { "citationItems" : [ { "id" : "ITEM-1", "itemData" : { "DOI" : "10.1038/nature19338", "ISSN" : "1476-4687", "PMID" : "27580037", "abstract" : "The rules defining which small fraction of related DNA sequences can be selectively bound by a transcription factor are poorly understood. One of the most challenging tasks in DNA recognition is posed by dosage compensation systems that require the distinction between sex chromosomes and autosomes. In Drosophila melanogaster, the male-specific lethal dosage compensation complex (MSL-DCC) doubles the level of transcription from the single male X chromosome, but the nature of this selectivity is not known. Previous efforts to identify X-chromosome-specific target sequences were unsuccessful as the identified MSL recognition elements lacked discriminative power. Therefore, additional determinants such as co-factors, chromatin features, RNA and chromosome conformation have been proposed to refine targeting further. Here, using an in vitro genome-wide DNA binding assay, we show that recognition of the X chromosome is an intrinsic feature of the MSL-DCC. MSL2, the male-specific organizer of the complex, uses two distinct DNA interaction surfaces-the CXC and proline/basic-residue-rich domains-to identify complex DNA elements on the X chromosome. Specificity is provided by the CXC domain, which binds a novel motif defined by DNA sequence and shape. This motif characterizes a subclass of MSL2-binding sites, which we name PionX (pioneering sites on the X) as they appeared early during the recent evolution of an X chromosome in D. miranda and are the first chromosomal sites to be bound during de novo MSL-DCC assembly. Our data provide the first, to our knowledge, documented molecular mechanism through which the dosage compensation machinery distinguishes the X chromosome from an autosome. They highlight fundamental principles in the recognition of complex DNA elements by protein that will have a strong impact on many aspects of chromosome biology.", "author" : [ { "dropping-particle" : "", "family" : "Villa", "given" : "Raffaella", "non-dropping-particle" : "", "parse-names" : false, "suffix" : "" }, { "dropping-particle" : "", "family" : "Schauer", "given" : "Tamas", "non-dropping-particle" : "", "parse-names" : false, "suffix" : "" }, { "dropping-particle" : "", "family" : "Smialowski", "given" : "Pawel", "non-dropping-particle" : "", "parse-names" : false, "suffix" : "" }, { "dropping-particle" : "", "family" : "Straub", "given" : "Tobias", "non-dropping-particle" : "", "parse-names" : false, "suffix" : "" }, { "dropping-particle" : "", "family" : "Becker", "given" : "Peter B", "non-dropping-particle" : "", "parse-names" : false, "suffix" : "" } ], "container-title" : "Nature", "id" : "ITEM-1", "issue" : "7619", "issued" : { "date-parts" : [ [ "2016", "8", "31" ] ] }, "page" : "244-248", "title" : "PionX sites mark the X chromosome for dosage compensation.", "type" : "article-journal", "volume" : "537" }, "uris" : [ "http://www.mendeley.com/documents/?uuid=83bf0c4d-9a64-3153-b3b0-91a2565ea08b" ] } ], "mendeley" : { "formattedCitation" : "&lt;sup&gt;19&lt;/sup&gt;", "plainTextFormattedCitation" : "19", "previouslyFormattedCitation" : "&lt;sup&gt;19&lt;/sup&gt;" }, "properties" : { "noteIndex" : 0 }, "schema" : "https://github.com/citation-style-language/schema/raw/master/csl-citation.json" }</w:instrText>
      </w:r>
      <w:r w:rsidRPr="00C07A08">
        <w:rPr>
          <w:sz w:val="24"/>
          <w:szCs w:val="24"/>
        </w:rPr>
        <w:fldChar w:fldCharType="separate"/>
      </w:r>
      <w:r w:rsidRPr="00A41997">
        <w:rPr>
          <w:noProof/>
          <w:sz w:val="24"/>
          <w:szCs w:val="24"/>
          <w:vertAlign w:val="superscript"/>
        </w:rPr>
        <w:t>19</w:t>
      </w:r>
      <w:r w:rsidRPr="00C07A08">
        <w:rPr>
          <w:sz w:val="24"/>
          <w:szCs w:val="24"/>
        </w:rPr>
        <w:fldChar w:fldCharType="end"/>
      </w:r>
      <w:r w:rsidRPr="00C07A08">
        <w:rPr>
          <w:sz w:val="24"/>
          <w:szCs w:val="24"/>
        </w:rPr>
        <w:t xml:space="preserve">. </w:t>
      </w:r>
      <w:r w:rsidR="00827C2A" w:rsidRPr="00C37434">
        <w:rPr>
          <w:sz w:val="24"/>
          <w:szCs w:val="24"/>
        </w:rPr>
        <w:t xml:space="preserve">roX2 </w:t>
      </w:r>
      <w:r w:rsidR="008F0F86">
        <w:rPr>
          <w:sz w:val="24"/>
          <w:szCs w:val="24"/>
        </w:rPr>
        <w:t>wa</w:t>
      </w:r>
      <w:r w:rsidR="00827C2A" w:rsidRPr="00C37434">
        <w:rPr>
          <w:sz w:val="24"/>
          <w:szCs w:val="24"/>
        </w:rPr>
        <w:t>s no</w:t>
      </w:r>
      <w:r w:rsidR="00896243">
        <w:rPr>
          <w:sz w:val="24"/>
          <w:szCs w:val="24"/>
        </w:rPr>
        <w:t>t</w:t>
      </w:r>
      <w:r w:rsidR="00827C2A" w:rsidRPr="00C37434">
        <w:rPr>
          <w:sz w:val="24"/>
          <w:szCs w:val="24"/>
        </w:rPr>
        <w:t xml:space="preserve"> enriched </w:t>
      </w:r>
      <w:r w:rsidR="008F0F86">
        <w:rPr>
          <w:sz w:val="24"/>
          <w:szCs w:val="24"/>
        </w:rPr>
        <w:t>at</w:t>
      </w:r>
      <w:r w:rsidR="00827C2A" w:rsidRPr="00C37434">
        <w:rPr>
          <w:sz w:val="24"/>
          <w:szCs w:val="24"/>
        </w:rPr>
        <w:t xml:space="preserve"> most male binding sites</w:t>
      </w:r>
      <w:r w:rsidR="009F06EC" w:rsidRPr="00C37434">
        <w:rPr>
          <w:sz w:val="24"/>
          <w:szCs w:val="24"/>
        </w:rPr>
        <w:t xml:space="preserve"> (</w:t>
      </w:r>
      <w:r w:rsidR="009F06EC" w:rsidRPr="00A2214F">
        <w:rPr>
          <w:b/>
          <w:sz w:val="24"/>
          <w:szCs w:val="24"/>
        </w:rPr>
        <w:t>Fig. 4B</w:t>
      </w:r>
      <w:r w:rsidR="009F06EC" w:rsidRPr="00C07A08">
        <w:rPr>
          <w:sz w:val="24"/>
          <w:szCs w:val="24"/>
        </w:rPr>
        <w:t>)</w:t>
      </w:r>
      <w:r w:rsidR="00294C12" w:rsidRPr="00C07A08">
        <w:rPr>
          <w:sz w:val="24"/>
          <w:szCs w:val="24"/>
        </w:rPr>
        <w:t>,</w:t>
      </w:r>
      <w:r w:rsidR="0031005C" w:rsidRPr="00772709">
        <w:rPr>
          <w:sz w:val="24"/>
          <w:szCs w:val="24"/>
        </w:rPr>
        <w:t xml:space="preserve"> </w:t>
      </w:r>
      <w:r w:rsidR="00A77D5A">
        <w:rPr>
          <w:sz w:val="24"/>
          <w:szCs w:val="24"/>
        </w:rPr>
        <w:t xml:space="preserve">but </w:t>
      </w:r>
      <w:r w:rsidR="009F06EC" w:rsidRPr="00772709">
        <w:rPr>
          <w:sz w:val="24"/>
          <w:szCs w:val="24"/>
        </w:rPr>
        <w:t>10/10</w:t>
      </w:r>
      <w:r w:rsidR="009F06EC" w:rsidRPr="00A90368">
        <w:rPr>
          <w:sz w:val="24"/>
          <w:szCs w:val="24"/>
        </w:rPr>
        <w:t xml:space="preserve"> of the top female </w:t>
      </w:r>
      <w:r w:rsidR="00294C12" w:rsidRPr="00A90368">
        <w:rPr>
          <w:sz w:val="24"/>
          <w:szCs w:val="24"/>
        </w:rPr>
        <w:t>roX2</w:t>
      </w:r>
      <w:r w:rsidR="009F06EC" w:rsidRPr="00A90368">
        <w:rPr>
          <w:sz w:val="24"/>
          <w:szCs w:val="24"/>
        </w:rPr>
        <w:t xml:space="preserve"> peaks </w:t>
      </w:r>
      <w:r w:rsidR="008F0F86">
        <w:rPr>
          <w:sz w:val="24"/>
          <w:szCs w:val="24"/>
        </w:rPr>
        <w:t>were found</w:t>
      </w:r>
      <w:r w:rsidR="009F06EC" w:rsidRPr="00A90368">
        <w:rPr>
          <w:sz w:val="24"/>
          <w:szCs w:val="24"/>
        </w:rPr>
        <w:t xml:space="preserve"> within 1kb of a</w:t>
      </w:r>
      <w:r w:rsidR="006E1226" w:rsidRPr="00B20AB4">
        <w:rPr>
          <w:sz w:val="24"/>
          <w:szCs w:val="24"/>
        </w:rPr>
        <w:t xml:space="preserve"> CES</w:t>
      </w:r>
      <w:r w:rsidR="00900028">
        <w:rPr>
          <w:sz w:val="24"/>
          <w:szCs w:val="24"/>
        </w:rPr>
        <w:t xml:space="preserve"> </w:t>
      </w:r>
      <w:r w:rsidR="006D13E2">
        <w:rPr>
          <w:sz w:val="24"/>
          <w:szCs w:val="24"/>
        </w:rPr>
        <w:t>(</w:t>
      </w:r>
      <w:r w:rsidR="00B10629">
        <w:rPr>
          <w:b/>
          <w:sz w:val="24"/>
          <w:szCs w:val="24"/>
        </w:rPr>
        <w:t>Supplementary Data Set</w:t>
      </w:r>
      <w:r w:rsidR="006D13E2">
        <w:rPr>
          <w:b/>
          <w:sz w:val="24"/>
          <w:szCs w:val="24"/>
        </w:rPr>
        <w:t xml:space="preserve"> 1</w:t>
      </w:r>
      <w:r w:rsidR="006D13E2" w:rsidRPr="00EE6DCF">
        <w:rPr>
          <w:sz w:val="24"/>
          <w:szCs w:val="24"/>
        </w:rPr>
        <w:t>)</w:t>
      </w:r>
      <w:r w:rsidR="006D13E2" w:rsidRPr="00B20AB4">
        <w:rPr>
          <w:sz w:val="24"/>
          <w:szCs w:val="24"/>
        </w:rPr>
        <w:t xml:space="preserve">. </w:t>
      </w:r>
    </w:p>
    <w:p w14:paraId="05976021" w14:textId="72393ED6" w:rsidR="00A127FE" w:rsidRDefault="00921CC0" w:rsidP="00F803A5">
      <w:pPr>
        <w:tabs>
          <w:tab w:val="left" w:pos="940"/>
        </w:tabs>
        <w:spacing w:line="480" w:lineRule="auto"/>
        <w:rPr>
          <w:sz w:val="24"/>
          <w:szCs w:val="24"/>
        </w:rPr>
      </w:pPr>
      <w:r w:rsidRPr="00C07A08">
        <w:rPr>
          <w:sz w:val="24"/>
          <w:szCs w:val="24"/>
        </w:rPr>
        <w:t xml:space="preserve">To confirm </w:t>
      </w:r>
      <w:r w:rsidR="00337B93">
        <w:rPr>
          <w:sz w:val="24"/>
          <w:szCs w:val="24"/>
        </w:rPr>
        <w:t>that</w:t>
      </w:r>
      <w:r w:rsidR="00896243" w:rsidRPr="00C07A08">
        <w:rPr>
          <w:sz w:val="24"/>
          <w:szCs w:val="24"/>
        </w:rPr>
        <w:t xml:space="preserve"> </w:t>
      </w:r>
      <w:r w:rsidRPr="00C07A08">
        <w:rPr>
          <w:sz w:val="24"/>
          <w:szCs w:val="24"/>
        </w:rPr>
        <w:t>roX</w:t>
      </w:r>
      <w:r w:rsidR="008F0F86">
        <w:rPr>
          <w:sz w:val="24"/>
          <w:szCs w:val="24"/>
        </w:rPr>
        <w:t>2</w:t>
      </w:r>
      <w:r w:rsidRPr="00C07A08">
        <w:rPr>
          <w:sz w:val="24"/>
          <w:szCs w:val="24"/>
        </w:rPr>
        <w:t xml:space="preserve"> </w:t>
      </w:r>
      <w:r w:rsidR="008F0F86">
        <w:rPr>
          <w:sz w:val="24"/>
          <w:szCs w:val="24"/>
        </w:rPr>
        <w:t>binding in females was</w:t>
      </w:r>
      <w:r w:rsidRPr="00772709">
        <w:rPr>
          <w:sz w:val="24"/>
          <w:szCs w:val="24"/>
        </w:rPr>
        <w:t xml:space="preserve"> </w:t>
      </w:r>
      <w:r w:rsidR="00047C8F" w:rsidRPr="00B20AB4">
        <w:rPr>
          <w:sz w:val="24"/>
          <w:szCs w:val="24"/>
        </w:rPr>
        <w:t>Msl2-independent</w:t>
      </w:r>
      <w:r w:rsidR="00337B93">
        <w:rPr>
          <w:sz w:val="24"/>
          <w:szCs w:val="24"/>
        </w:rPr>
        <w:t>,</w:t>
      </w:r>
      <w:r w:rsidRPr="00B20AB4">
        <w:rPr>
          <w:sz w:val="24"/>
          <w:szCs w:val="24"/>
        </w:rPr>
        <w:t xml:space="preserve"> we performed RNA-DamID on female larvae </w:t>
      </w:r>
      <w:r w:rsidR="00B6484E" w:rsidRPr="000823F2">
        <w:rPr>
          <w:sz w:val="24"/>
          <w:szCs w:val="24"/>
        </w:rPr>
        <w:t xml:space="preserve">homozygous </w:t>
      </w:r>
      <w:r w:rsidRPr="000823F2">
        <w:rPr>
          <w:sz w:val="24"/>
          <w:szCs w:val="24"/>
        </w:rPr>
        <w:t>null for Msl2</w:t>
      </w:r>
      <w:r w:rsidR="00290664" w:rsidRPr="00C07A08">
        <w:rPr>
          <w:sz w:val="24"/>
          <w:szCs w:val="24"/>
        </w:rPr>
        <w:t xml:space="preserve"> </w:t>
      </w:r>
      <w:r w:rsidR="0024611E" w:rsidRPr="00C07A08">
        <w:rPr>
          <w:sz w:val="24"/>
          <w:szCs w:val="24"/>
        </w:rPr>
        <w:fldChar w:fldCharType="begin" w:fldLock="1"/>
      </w:r>
      <w:r w:rsidR="00E66E01">
        <w:rPr>
          <w:sz w:val="24"/>
          <w:szCs w:val="24"/>
        </w:rPr>
        <w:instrText>ADDIN CSL_CITATION { "citationItems" : [ { "id" : "ITEM-1", "itemData" : { "ISSN" : "0261-4189", "PMID" : "7796814", "abstract" : "In Drosophila the equalization of X-linked gene products between males and females, i.e. dosage compensation, is the result of a 2-fold hypertranscription of most of these genes in males. At least four regulatory genes are required for this process. Three of these genes, maleless (mle), male-specific lethal 1 (msl-1) and male-specific lethal 3 (msl-3), have been cloned and their products have been shown to interact and to bind to numerous sites on the X chromosome of males, but not of females. Although binding to the X chromosome is negatively correlated with the function of the master regulatory gene Sex lethal (Sxl), the mechanisms that restrict this binding to males and to the X chromosome are not yet understood. We have cloned the last of the known autosomal genes involved in dosage compensation, male-specific lethal 2 (msl-2), and characterized its product. The encoded protein (MSL-2) consists of 769 amino acid residues and has a RING finger (C3HC4 zinc finger) and a metallothionein-like domain with eight conserved and two non-conserved cysteines. In addition, it contains a positively and a negatively charged amino acid residue cluster and a coiled coil domain that may be involved in protein-protein interactions. Males produce a msl-2 transcript that is shorter than in females, due to differential splicing of an intron of 132 bases in the untranslated leader. Using an antiserum against MSL-2 we have shown that the protein is expressed at a detectable level only in males, where it is physically associated with the X chromosome. Our observations suggest that MSL-2 may be the target of the master regulatory gene Sxl and provide the basic elements of a working hypothesis on the function of MSL-2 in mediating the 2-fold increase in transcription that is characteristic of dosage compensation.", "author" : [ { "dropping-particle" : "", "family" : "Zhou", "given" : "S", "non-dropping-particle" : "", "parse-names" : false, "suffix" : "" }, { "dropping-particle" : "", "family" : "Yang", "given" : "Y", "non-dropping-particle" : "", "parse-names" : false, "suffix" : "" }, { "dropping-particle" : "", "family" : "Scott", "given" : "M J", "non-dropping-particle" : "", "parse-names" : false, "suffix" : "" }, { "dropping-particle" : "", "family" : "Pannuti", "given" : "A", "non-dropping-particle" : "", "parse-names" : false, "suffix" : "" }, { "dropping-particle" : "", "family" : "Fehr", "given" : "K C", "non-dropping-particle" : "", "parse-names" : false, "suffix" : "" }, { "dropping-particle" : "", "family" : "Eisen", "given" : "A", "non-dropping-particle" : "", "parse-names" : false, "suffix" : "" }, { "dropping-particle" : "V", "family" : "Koonin", "given" : "E", "non-dropping-particle" : "", "parse-names" : false, "suffix" : "" }, { "dropping-particle" : "", "family" : "Fouts", "given" : "D L", "non-dropping-particle" : "", "parse-names" : false, "suffix" : "" }, { "dropping-particle" : "", "family" : "Wrightsman", "given" : "R", "non-dropping-particle" : "", "parse-names" : false, "suffix" : "" }, { "dropping-particle" : "", "family" : "Manning", "given" : "J E", "non-dropping-particle" : "", "parse-names" : false, "suffix" : "" } ], "container-title" : "The EMBO journal", "id" : "ITEM-1", "issue" : "12", "issued" : { "date-parts" : [ [ "1995", "6", "15" ] ] }, "page" : "2884-95", "title" : "Male-specific lethal 2, a dosage compensation gene of Drosophila, undergoes sex-specific regulation and encodes a protein with a RING finger and a metallothionein-like cysteine cluster.", "type" : "article-journal", "volume" : "14" }, "uris" : [ "http://www.mendeley.com/documents/?uuid=465cdde4-2f6f-3a26-b372-05899d4eed7f", "http://www.mendeley.com/documents/?uuid=54a70ed5-ff8d-4106-b92e-3ee057011449" ] } ], "mendeley" : { "formattedCitation" : "&lt;sup&gt;21&lt;/sup&gt;", "plainTextFormattedCitation" : "21", "previouslyFormattedCitation" : "&lt;sup&gt;21&lt;/sup&gt;" }, "properties" : { "noteIndex" : 0 }, "schema" : "https://github.com/citation-style-language/schema/raw/master/csl-citation.json" }</w:instrText>
      </w:r>
      <w:r w:rsidR="0024611E" w:rsidRPr="00C07A08">
        <w:rPr>
          <w:sz w:val="24"/>
          <w:szCs w:val="24"/>
        </w:rPr>
        <w:fldChar w:fldCharType="separate"/>
      </w:r>
      <w:r w:rsidR="00A41997" w:rsidRPr="00A41997">
        <w:rPr>
          <w:noProof/>
          <w:sz w:val="24"/>
          <w:szCs w:val="24"/>
          <w:vertAlign w:val="superscript"/>
        </w:rPr>
        <w:t>21</w:t>
      </w:r>
      <w:r w:rsidR="0024611E" w:rsidRPr="00C07A08">
        <w:rPr>
          <w:sz w:val="24"/>
          <w:szCs w:val="24"/>
        </w:rPr>
        <w:fldChar w:fldCharType="end"/>
      </w:r>
      <w:r w:rsidRPr="00C07A08">
        <w:rPr>
          <w:sz w:val="24"/>
          <w:szCs w:val="24"/>
        </w:rPr>
        <w:t xml:space="preserve">. </w:t>
      </w:r>
      <w:r w:rsidR="00337B93">
        <w:rPr>
          <w:sz w:val="24"/>
          <w:szCs w:val="24"/>
        </w:rPr>
        <w:t>To our surprise</w:t>
      </w:r>
      <w:r w:rsidRPr="00C07A08">
        <w:rPr>
          <w:sz w:val="24"/>
          <w:szCs w:val="24"/>
        </w:rPr>
        <w:t xml:space="preserve">, roX2 </w:t>
      </w:r>
      <w:r w:rsidR="00337B93">
        <w:rPr>
          <w:sz w:val="24"/>
          <w:szCs w:val="24"/>
        </w:rPr>
        <w:t>binding</w:t>
      </w:r>
      <w:r w:rsidR="00337B93" w:rsidRPr="00C07A08">
        <w:rPr>
          <w:sz w:val="24"/>
          <w:szCs w:val="24"/>
        </w:rPr>
        <w:t xml:space="preserve"> </w:t>
      </w:r>
      <w:r w:rsidR="008F0F86">
        <w:rPr>
          <w:sz w:val="24"/>
          <w:szCs w:val="24"/>
        </w:rPr>
        <w:t>at</w:t>
      </w:r>
      <w:r w:rsidRPr="00C07A08">
        <w:rPr>
          <w:sz w:val="24"/>
          <w:szCs w:val="24"/>
        </w:rPr>
        <w:t xml:space="preserve"> the female-bound </w:t>
      </w:r>
      <w:r w:rsidR="00047C8F" w:rsidRPr="00B20AB4">
        <w:rPr>
          <w:sz w:val="24"/>
          <w:szCs w:val="24"/>
        </w:rPr>
        <w:t>CES</w:t>
      </w:r>
      <w:r w:rsidRPr="00B20AB4">
        <w:rPr>
          <w:sz w:val="24"/>
          <w:szCs w:val="24"/>
        </w:rPr>
        <w:t xml:space="preserve"> </w:t>
      </w:r>
      <w:r w:rsidR="008F0F86">
        <w:rPr>
          <w:sz w:val="24"/>
          <w:szCs w:val="24"/>
        </w:rPr>
        <w:t>was</w:t>
      </w:r>
      <w:r w:rsidRPr="000823F2">
        <w:rPr>
          <w:sz w:val="24"/>
          <w:szCs w:val="24"/>
        </w:rPr>
        <w:t xml:space="preserve"> </w:t>
      </w:r>
      <w:r w:rsidR="00047C8F" w:rsidRPr="000823F2">
        <w:rPr>
          <w:sz w:val="24"/>
          <w:szCs w:val="24"/>
        </w:rPr>
        <w:t>abolished</w:t>
      </w:r>
      <w:r w:rsidR="00DA130F" w:rsidRPr="00C37434">
        <w:rPr>
          <w:sz w:val="24"/>
          <w:szCs w:val="24"/>
        </w:rPr>
        <w:t>,</w:t>
      </w:r>
      <w:r w:rsidRPr="00C37434">
        <w:rPr>
          <w:sz w:val="24"/>
          <w:szCs w:val="24"/>
        </w:rPr>
        <w:t xml:space="preserve"> </w:t>
      </w:r>
      <w:r w:rsidR="008F0F86">
        <w:rPr>
          <w:sz w:val="24"/>
          <w:szCs w:val="24"/>
        </w:rPr>
        <w:t>demonstrating</w:t>
      </w:r>
      <w:r w:rsidRPr="00C37434">
        <w:rPr>
          <w:sz w:val="24"/>
          <w:szCs w:val="24"/>
        </w:rPr>
        <w:t xml:space="preserve"> that </w:t>
      </w:r>
      <w:r w:rsidR="00337B93">
        <w:rPr>
          <w:sz w:val="24"/>
          <w:szCs w:val="24"/>
        </w:rPr>
        <w:t xml:space="preserve">binding is Msl2-dependent. We conclude that, contrary to previous reports, </w:t>
      </w:r>
      <w:r w:rsidRPr="00C37434">
        <w:rPr>
          <w:sz w:val="24"/>
          <w:szCs w:val="24"/>
        </w:rPr>
        <w:t>Msl2 is expressed in females at sufficient</w:t>
      </w:r>
      <w:r w:rsidR="008F0F86">
        <w:rPr>
          <w:sz w:val="24"/>
          <w:szCs w:val="24"/>
        </w:rPr>
        <w:t>ly high</w:t>
      </w:r>
      <w:r w:rsidRPr="00C37434">
        <w:rPr>
          <w:sz w:val="24"/>
          <w:szCs w:val="24"/>
        </w:rPr>
        <w:t xml:space="preserve"> levels to localise </w:t>
      </w:r>
      <w:r w:rsidR="004B7ADE" w:rsidRPr="00EB730D">
        <w:rPr>
          <w:sz w:val="24"/>
          <w:szCs w:val="24"/>
        </w:rPr>
        <w:t>ectopic</w:t>
      </w:r>
      <w:r w:rsidRPr="00C37434">
        <w:rPr>
          <w:sz w:val="24"/>
          <w:szCs w:val="24"/>
        </w:rPr>
        <w:t xml:space="preserve"> roX</w:t>
      </w:r>
      <w:r w:rsidR="008F0F86">
        <w:rPr>
          <w:sz w:val="24"/>
          <w:szCs w:val="24"/>
        </w:rPr>
        <w:t>2</w:t>
      </w:r>
      <w:r w:rsidRPr="00C37434">
        <w:rPr>
          <w:sz w:val="24"/>
          <w:szCs w:val="24"/>
        </w:rPr>
        <w:t xml:space="preserve"> RNA to a subset of CES.</w:t>
      </w:r>
      <w:r w:rsidR="00047C8F" w:rsidRPr="00C37434">
        <w:rPr>
          <w:sz w:val="24"/>
          <w:szCs w:val="24"/>
        </w:rPr>
        <w:t xml:space="preserve"> </w:t>
      </w:r>
      <w:r w:rsidR="008F0F86">
        <w:rPr>
          <w:sz w:val="24"/>
          <w:szCs w:val="24"/>
        </w:rPr>
        <w:t xml:space="preserve">We conclude that </w:t>
      </w:r>
      <w:r w:rsidR="00EB0C67" w:rsidRPr="00F00704">
        <w:rPr>
          <w:sz w:val="24"/>
          <w:szCs w:val="24"/>
        </w:rPr>
        <w:t>roX RNA binding to the X chromosome is critically dependent on Msl2 protein</w:t>
      </w:r>
      <w:r w:rsidR="00337B93">
        <w:rPr>
          <w:sz w:val="24"/>
          <w:szCs w:val="24"/>
        </w:rPr>
        <w:t>,</w:t>
      </w:r>
      <w:r w:rsidR="00EB0C67" w:rsidRPr="00F00704">
        <w:rPr>
          <w:sz w:val="24"/>
          <w:szCs w:val="24"/>
        </w:rPr>
        <w:t xml:space="preserve"> and </w:t>
      </w:r>
      <w:r w:rsidR="00337B93">
        <w:rPr>
          <w:sz w:val="24"/>
          <w:szCs w:val="24"/>
        </w:rPr>
        <w:t xml:space="preserve">that roX2 </w:t>
      </w:r>
      <w:r w:rsidR="00EB0C67" w:rsidRPr="00F00704">
        <w:rPr>
          <w:sz w:val="24"/>
          <w:szCs w:val="24"/>
        </w:rPr>
        <w:t>has no intrinsic affinity for chromatin</w:t>
      </w:r>
      <w:r w:rsidR="002F6DE5" w:rsidRPr="00C07A08">
        <w:rPr>
          <w:sz w:val="24"/>
          <w:szCs w:val="24"/>
        </w:rPr>
        <w:t>.</w:t>
      </w:r>
      <w:r w:rsidRPr="00C07A08">
        <w:rPr>
          <w:sz w:val="24"/>
          <w:szCs w:val="24"/>
        </w:rPr>
        <w:t xml:space="preserve"> </w:t>
      </w:r>
    </w:p>
    <w:p w14:paraId="4593BD76" w14:textId="3C43D397" w:rsidR="006707AF" w:rsidRPr="00C77273" w:rsidRDefault="00A127FE" w:rsidP="00F803A5">
      <w:pPr>
        <w:rPr>
          <w:sz w:val="24"/>
          <w:szCs w:val="24"/>
        </w:rPr>
      </w:pPr>
      <w:r>
        <w:rPr>
          <w:sz w:val="24"/>
          <w:szCs w:val="24"/>
        </w:rPr>
        <w:br w:type="page"/>
      </w:r>
    </w:p>
    <w:p w14:paraId="4A4B726A" w14:textId="77777777" w:rsidR="006707AF" w:rsidRPr="00F803A5" w:rsidRDefault="006707AF" w:rsidP="00F803A5">
      <w:pPr>
        <w:tabs>
          <w:tab w:val="left" w:pos="940"/>
        </w:tabs>
        <w:spacing w:line="480" w:lineRule="auto"/>
        <w:rPr>
          <w:b/>
          <w:sz w:val="24"/>
          <w:szCs w:val="24"/>
        </w:rPr>
      </w:pPr>
      <w:r w:rsidRPr="00F803A5">
        <w:rPr>
          <w:b/>
          <w:sz w:val="24"/>
          <w:szCs w:val="24"/>
        </w:rPr>
        <w:t>Discussion</w:t>
      </w:r>
    </w:p>
    <w:p w14:paraId="3BA5357B" w14:textId="5C9DC4C6" w:rsidR="00F05565" w:rsidRPr="00F803A5" w:rsidRDefault="00DF4E38" w:rsidP="00F803A5">
      <w:pPr>
        <w:tabs>
          <w:tab w:val="left" w:pos="940"/>
        </w:tabs>
        <w:spacing w:line="480" w:lineRule="auto"/>
        <w:rPr>
          <w:sz w:val="24"/>
          <w:szCs w:val="24"/>
        </w:rPr>
      </w:pPr>
      <w:r w:rsidRPr="008F0F86">
        <w:rPr>
          <w:sz w:val="24"/>
          <w:szCs w:val="24"/>
        </w:rPr>
        <w:t xml:space="preserve">Here we </w:t>
      </w:r>
      <w:r w:rsidR="00046808">
        <w:rPr>
          <w:sz w:val="24"/>
          <w:szCs w:val="24"/>
        </w:rPr>
        <w:t>have developed</w:t>
      </w:r>
      <w:r w:rsidR="00046808" w:rsidRPr="008F0F86">
        <w:rPr>
          <w:sz w:val="24"/>
          <w:szCs w:val="24"/>
        </w:rPr>
        <w:t xml:space="preserve"> </w:t>
      </w:r>
      <w:r w:rsidRPr="008F0F86">
        <w:rPr>
          <w:sz w:val="24"/>
          <w:szCs w:val="24"/>
        </w:rPr>
        <w:t>RNA-DamID</w:t>
      </w:r>
      <w:r w:rsidR="001E0DEC" w:rsidRPr="008F0F86">
        <w:rPr>
          <w:sz w:val="24"/>
          <w:szCs w:val="24"/>
        </w:rPr>
        <w:t>,</w:t>
      </w:r>
      <w:r w:rsidRPr="008F0F86">
        <w:rPr>
          <w:sz w:val="24"/>
          <w:szCs w:val="24"/>
        </w:rPr>
        <w:t xml:space="preserve"> a powerful new </w:t>
      </w:r>
      <w:r w:rsidR="001E0DEC" w:rsidRPr="008F0F86">
        <w:rPr>
          <w:sz w:val="24"/>
          <w:szCs w:val="24"/>
        </w:rPr>
        <w:t>approach</w:t>
      </w:r>
      <w:r w:rsidRPr="008F0F86">
        <w:rPr>
          <w:sz w:val="24"/>
          <w:szCs w:val="24"/>
        </w:rPr>
        <w:t xml:space="preserve"> for cell-type-specific </w:t>
      </w:r>
      <w:r w:rsidR="00046808">
        <w:rPr>
          <w:sz w:val="24"/>
          <w:szCs w:val="24"/>
        </w:rPr>
        <w:t>analysis</w:t>
      </w:r>
      <w:r w:rsidR="00046808" w:rsidRPr="008F0F86">
        <w:rPr>
          <w:sz w:val="24"/>
          <w:szCs w:val="24"/>
        </w:rPr>
        <w:t xml:space="preserve"> </w:t>
      </w:r>
      <w:r w:rsidRPr="008F0F86">
        <w:rPr>
          <w:sz w:val="24"/>
          <w:szCs w:val="24"/>
        </w:rPr>
        <w:t>of the mechanism</w:t>
      </w:r>
      <w:r w:rsidR="001E0DEC" w:rsidRPr="00C07A08">
        <w:rPr>
          <w:sz w:val="24"/>
          <w:szCs w:val="24"/>
        </w:rPr>
        <w:t xml:space="preserve"> of action</w:t>
      </w:r>
      <w:r w:rsidRPr="00C07A08">
        <w:rPr>
          <w:sz w:val="24"/>
          <w:szCs w:val="24"/>
        </w:rPr>
        <w:t xml:space="preserve"> of </w:t>
      </w:r>
      <w:r w:rsidRPr="00EB730D">
        <w:rPr>
          <w:sz w:val="24"/>
          <w:szCs w:val="24"/>
        </w:rPr>
        <w:t xml:space="preserve">lncRNAs. </w:t>
      </w:r>
      <w:r w:rsidR="00F05565" w:rsidRPr="00F803A5">
        <w:rPr>
          <w:sz w:val="24"/>
          <w:szCs w:val="24"/>
        </w:rPr>
        <w:t xml:space="preserve">RNA-DamID can detect genome-wide lncRNA-chromatin interactions in a cell-type specific manner </w:t>
      </w:r>
      <w:r w:rsidR="00F05565" w:rsidRPr="00F803A5">
        <w:rPr>
          <w:i/>
          <w:sz w:val="24"/>
          <w:szCs w:val="24"/>
        </w:rPr>
        <w:t xml:space="preserve">in vivo </w:t>
      </w:r>
      <w:r w:rsidR="00F05565" w:rsidRPr="00F803A5">
        <w:rPr>
          <w:sz w:val="24"/>
          <w:szCs w:val="24"/>
        </w:rPr>
        <w:t>with high sensitivity and accuracy.</w:t>
      </w:r>
      <w:r w:rsidR="00F05565" w:rsidRPr="00EB730D">
        <w:rPr>
          <w:sz w:val="24"/>
          <w:szCs w:val="24"/>
        </w:rPr>
        <w:t xml:space="preserve"> </w:t>
      </w:r>
      <w:r w:rsidR="00046808" w:rsidRPr="00F803A5">
        <w:rPr>
          <w:sz w:val="24"/>
          <w:szCs w:val="24"/>
        </w:rPr>
        <w:t xml:space="preserve">We used RNA-DamID to assay binding of the lncRNAs in the </w:t>
      </w:r>
      <w:r w:rsidR="00046808" w:rsidRPr="00F803A5">
        <w:rPr>
          <w:i/>
          <w:sz w:val="24"/>
          <w:szCs w:val="24"/>
        </w:rPr>
        <w:t>Drosophila</w:t>
      </w:r>
      <w:r w:rsidR="00046808" w:rsidRPr="00F803A5">
        <w:rPr>
          <w:sz w:val="24"/>
          <w:szCs w:val="24"/>
        </w:rPr>
        <w:t xml:space="preserve"> dosage compensation complex. </w:t>
      </w:r>
      <w:r w:rsidR="00F05565" w:rsidRPr="00F803A5">
        <w:rPr>
          <w:sz w:val="24"/>
          <w:szCs w:val="24"/>
        </w:rPr>
        <w:t>Our results</w:t>
      </w:r>
      <w:r w:rsidR="00F05565" w:rsidRPr="00EB730D">
        <w:rPr>
          <w:sz w:val="24"/>
          <w:szCs w:val="24"/>
        </w:rPr>
        <w:t xml:space="preserve"> </w:t>
      </w:r>
      <w:r w:rsidR="00D706DC" w:rsidRPr="00EB730D">
        <w:rPr>
          <w:sz w:val="24"/>
          <w:szCs w:val="24"/>
        </w:rPr>
        <w:t xml:space="preserve">demonstrate that the </w:t>
      </w:r>
      <w:r w:rsidR="00F05565" w:rsidRPr="00F803A5">
        <w:rPr>
          <w:sz w:val="24"/>
          <w:szCs w:val="24"/>
        </w:rPr>
        <w:t xml:space="preserve">initial </w:t>
      </w:r>
      <w:r w:rsidR="00D706DC" w:rsidRPr="00EB730D">
        <w:rPr>
          <w:sz w:val="24"/>
          <w:szCs w:val="24"/>
        </w:rPr>
        <w:t>targeting of the dosage compen</w:t>
      </w:r>
      <w:r w:rsidR="00BB107B" w:rsidRPr="00EB730D">
        <w:rPr>
          <w:sz w:val="24"/>
          <w:szCs w:val="24"/>
        </w:rPr>
        <w:t>sation lncRNA</w:t>
      </w:r>
      <w:r w:rsidR="001E0DEC" w:rsidRPr="00EB730D">
        <w:rPr>
          <w:sz w:val="24"/>
          <w:szCs w:val="24"/>
        </w:rPr>
        <w:t>,</w:t>
      </w:r>
      <w:r w:rsidR="00BB107B" w:rsidRPr="00EB730D">
        <w:rPr>
          <w:sz w:val="24"/>
          <w:szCs w:val="24"/>
        </w:rPr>
        <w:t xml:space="preserve"> roX1</w:t>
      </w:r>
      <w:r w:rsidR="001E0DEC" w:rsidRPr="00EB730D">
        <w:rPr>
          <w:sz w:val="24"/>
          <w:szCs w:val="24"/>
        </w:rPr>
        <w:t>,</w:t>
      </w:r>
      <w:r w:rsidR="00C57B82" w:rsidRPr="00EB730D">
        <w:rPr>
          <w:sz w:val="24"/>
          <w:szCs w:val="24"/>
        </w:rPr>
        <w:t xml:space="preserve"> to </w:t>
      </w:r>
      <w:r w:rsidR="005433C4" w:rsidRPr="00EB730D">
        <w:rPr>
          <w:sz w:val="24"/>
          <w:szCs w:val="24"/>
        </w:rPr>
        <w:t xml:space="preserve">CES </w:t>
      </w:r>
      <w:r w:rsidR="00C57B82" w:rsidRPr="00EB730D">
        <w:rPr>
          <w:sz w:val="24"/>
          <w:szCs w:val="24"/>
        </w:rPr>
        <w:t>on the X chromosome</w:t>
      </w:r>
      <w:r w:rsidR="00BB107B" w:rsidRPr="00EB730D">
        <w:rPr>
          <w:sz w:val="24"/>
          <w:szCs w:val="24"/>
        </w:rPr>
        <w:t xml:space="preserve"> is cell-type-</w:t>
      </w:r>
      <w:r w:rsidR="00D706DC" w:rsidRPr="00EB730D">
        <w:rPr>
          <w:sz w:val="24"/>
          <w:szCs w:val="24"/>
        </w:rPr>
        <w:t>specific</w:t>
      </w:r>
      <w:r w:rsidR="00F05565" w:rsidRPr="00F803A5">
        <w:rPr>
          <w:sz w:val="24"/>
          <w:szCs w:val="24"/>
        </w:rPr>
        <w:t>, differing in neural stem cells and salivary glands</w:t>
      </w:r>
      <w:r w:rsidR="00204001" w:rsidRPr="00EB730D">
        <w:rPr>
          <w:sz w:val="24"/>
          <w:szCs w:val="24"/>
        </w:rPr>
        <w:t>.</w:t>
      </w:r>
      <w:r w:rsidR="00274CB2" w:rsidRPr="00EB730D">
        <w:rPr>
          <w:sz w:val="24"/>
          <w:szCs w:val="24"/>
        </w:rPr>
        <w:t xml:space="preserve"> </w:t>
      </w:r>
      <w:r w:rsidR="00F05565" w:rsidRPr="00F803A5">
        <w:rPr>
          <w:sz w:val="24"/>
          <w:szCs w:val="24"/>
        </w:rPr>
        <w:t xml:space="preserve">We propose that cell type-specific targeting may increase the efficiency with which the DCC spreads to active genes. </w:t>
      </w:r>
    </w:p>
    <w:p w14:paraId="44B5C73D" w14:textId="77777777" w:rsidR="00F05565" w:rsidRPr="00F803A5" w:rsidRDefault="00F05565" w:rsidP="00F803A5">
      <w:pPr>
        <w:tabs>
          <w:tab w:val="left" w:pos="940"/>
        </w:tabs>
        <w:spacing w:line="480" w:lineRule="auto"/>
        <w:rPr>
          <w:sz w:val="24"/>
          <w:szCs w:val="24"/>
        </w:rPr>
      </w:pPr>
    </w:p>
    <w:p w14:paraId="0B4CBF90" w14:textId="2B92C6E2" w:rsidR="00F05565" w:rsidRPr="00F803A5" w:rsidRDefault="00F05565" w:rsidP="00F803A5">
      <w:pPr>
        <w:tabs>
          <w:tab w:val="left" w:pos="940"/>
        </w:tabs>
        <w:spacing w:line="480" w:lineRule="auto"/>
        <w:rPr>
          <w:sz w:val="24"/>
          <w:szCs w:val="24"/>
        </w:rPr>
      </w:pPr>
      <w:r w:rsidRPr="00F803A5">
        <w:rPr>
          <w:sz w:val="24"/>
          <w:szCs w:val="24"/>
        </w:rPr>
        <w:t>Surprisingly</w:t>
      </w:r>
      <w:r w:rsidR="00274CB2" w:rsidRPr="00EB730D">
        <w:rPr>
          <w:sz w:val="24"/>
          <w:szCs w:val="24"/>
        </w:rPr>
        <w:t xml:space="preserve">, </w:t>
      </w:r>
      <w:r w:rsidRPr="00F803A5">
        <w:rPr>
          <w:sz w:val="24"/>
          <w:szCs w:val="24"/>
        </w:rPr>
        <w:t xml:space="preserve">and contrary to previous reports, </w:t>
      </w:r>
      <w:r w:rsidR="00274CB2" w:rsidRPr="00EB730D">
        <w:rPr>
          <w:sz w:val="24"/>
          <w:szCs w:val="24"/>
        </w:rPr>
        <w:t xml:space="preserve">we </w:t>
      </w:r>
      <w:r w:rsidRPr="00F803A5">
        <w:rPr>
          <w:sz w:val="24"/>
          <w:szCs w:val="24"/>
        </w:rPr>
        <w:t>found that females express Msl2, When we express roX2 ectopically in females, Msl2 is able to direct binding to a subset of dosage compensation complex assembly sites. We saw no binding of roX2 in the absence of Msl2, demonstrating the absolute dependence on Msl2 of roX2 recruitment.</w:t>
      </w:r>
    </w:p>
    <w:p w14:paraId="08C66F3D" w14:textId="77777777" w:rsidR="00F05565" w:rsidRPr="00F803A5" w:rsidRDefault="00F05565" w:rsidP="00F803A5">
      <w:pPr>
        <w:tabs>
          <w:tab w:val="left" w:pos="940"/>
        </w:tabs>
        <w:spacing w:line="480" w:lineRule="auto"/>
        <w:rPr>
          <w:sz w:val="24"/>
          <w:szCs w:val="24"/>
        </w:rPr>
      </w:pPr>
    </w:p>
    <w:p w14:paraId="3FCAFDF7" w14:textId="096D7C3C" w:rsidR="00204001" w:rsidRDefault="00F05565" w:rsidP="00F803A5">
      <w:pPr>
        <w:tabs>
          <w:tab w:val="left" w:pos="940"/>
        </w:tabs>
        <w:spacing w:line="480" w:lineRule="auto"/>
        <w:rPr>
          <w:sz w:val="24"/>
          <w:szCs w:val="24"/>
        </w:rPr>
      </w:pPr>
      <w:r w:rsidRPr="00F803A5">
        <w:rPr>
          <w:sz w:val="24"/>
          <w:szCs w:val="24"/>
        </w:rPr>
        <w:t>P</w:t>
      </w:r>
      <w:r w:rsidR="00204001" w:rsidRPr="00EB730D">
        <w:rPr>
          <w:sz w:val="24"/>
          <w:szCs w:val="24"/>
        </w:rPr>
        <w:t>revious studies observed variation in CES occupancy between embryos and culture</w:t>
      </w:r>
      <w:r w:rsidRPr="00F803A5">
        <w:rPr>
          <w:sz w:val="24"/>
          <w:szCs w:val="24"/>
        </w:rPr>
        <w:t>d</w:t>
      </w:r>
      <w:r w:rsidR="00204001" w:rsidRPr="00EB730D">
        <w:rPr>
          <w:sz w:val="24"/>
          <w:szCs w:val="24"/>
        </w:rPr>
        <w:t xml:space="preserve"> cells, </w:t>
      </w:r>
      <w:r w:rsidRPr="00F803A5">
        <w:rPr>
          <w:sz w:val="24"/>
          <w:szCs w:val="24"/>
        </w:rPr>
        <w:t>but it was unclear whether this resulted f</w:t>
      </w:r>
      <w:r w:rsidR="00C9365E" w:rsidRPr="00F803A5">
        <w:rPr>
          <w:sz w:val="24"/>
          <w:szCs w:val="24"/>
        </w:rPr>
        <w:t>ro</w:t>
      </w:r>
      <w:r w:rsidRPr="00F803A5">
        <w:rPr>
          <w:sz w:val="24"/>
          <w:szCs w:val="24"/>
        </w:rPr>
        <w:t>m the use</w:t>
      </w:r>
      <w:r w:rsidR="00204001" w:rsidRPr="00EB730D">
        <w:rPr>
          <w:sz w:val="24"/>
          <w:szCs w:val="24"/>
        </w:rPr>
        <w:t xml:space="preserve"> </w:t>
      </w:r>
      <w:r w:rsidRPr="00F803A5">
        <w:rPr>
          <w:sz w:val="24"/>
          <w:szCs w:val="24"/>
        </w:rPr>
        <w:t>of</w:t>
      </w:r>
      <w:r w:rsidR="00204001" w:rsidRPr="00EB730D">
        <w:rPr>
          <w:sz w:val="24"/>
          <w:szCs w:val="24"/>
        </w:rPr>
        <w:t xml:space="preserve"> different technical approaches </w:t>
      </w:r>
      <w:r w:rsidR="00274CB2" w:rsidRPr="00EB730D">
        <w:rPr>
          <w:sz w:val="24"/>
          <w:szCs w:val="24"/>
        </w:rPr>
        <w:fldChar w:fldCharType="begin" w:fldLock="1"/>
      </w:r>
      <w:r w:rsidR="0050053D">
        <w:rPr>
          <w:sz w:val="24"/>
          <w:szCs w:val="24"/>
        </w:rPr>
        <w:instrText>ADDIN CSL_CITATION { "citationItems" : [ { "id" : "ITEM-1", "itemData" : { "DOI" : "10.1371/journal.pgen.1000302", "ISSN" : "1553-7404", "PMID" : "19079572", "abstract" : "Dosage compensation in male Drosophila relies on the X chromosome-specific recruitment of a chromatin-modifying machinery, the dosage compensation complex (DCC). The principles that assure selective targeting of the DCC are unknown. According to a prevalent model, X chromosome targeting is initiated by recruitment of the DCC core components, MSL1 and MSL2, to a limited number of so-called \"high-affinity sites\" (HAS). Only very few such sites are known at the DNA sequence level, which has precluded the definition of DCC targeting principles. Combining RNA interference against DCC subunits, limited crosslinking, and chromatin immunoprecipitation coupled to probing high-resolution DNA microarrays, we identified a set of 131 HAS for MSL1 and MSL2 and confirmed their properties by various means. The HAS sites are distributed all over the X chromosome and are functionally important, since the extent of dosage compensation of a given gene and its proximity to a HAS are positively correlated. The sites are mainly located on non-coding parts of genes and predominantly map to regions that are devoid of nucleosomes. In contrast, the bulk of DCC binding is in coding regions and is marked by histone H3K36 methylation. Within the HAS, repetitive DNA sequences mainly based on GA and CA dinucleotides are enriched. Interestingly, DCC subcomplexes bind a small number of autosomal locations with similar features.", "author" : [ { "dropping-particle" : "", "family" : "Straub", "given" : "Tobias", "non-dropping-particle" : "", "parse-names" : false, "suffix" : "" }, { "dropping-particle" : "", "family" : "Grimaud", "given" : "Charlotte", "non-dropping-particle" : "", "parse-names" : false, "suffix" : "" }, { "dropping-particle" : "", "family" : "Gilfillan", "given" : "Gregor D.", "non-dropping-particle" : "", "parse-names" : false, "suffix" : "" }, { "dropping-particle" : "", "family" : "Mitterweger", "given" : "Angelika", "non-dropping-particle" : "", "parse-names" : false, "suffix" : "" }, { "dropping-particle" : "", "family" : "Becker", "given" : "Peter B.", "non-dropping-particle" : "", "parse-names" : false, "suffix" : "" } ], "container-title" : "PLoS Genetics", "editor" : [ { "dropping-particle" : "", "family" : "Lee", "given" : "Jeannie T.", "non-dropping-particle" : "", "parse-names" : false, "suffix" : "" } ], "id" : "ITEM-1", "issue" : "12", "issued" : { "date-parts" : [ [ "2008", "12", "12" ] ] }, "page" : "e1000302", "title" : "The Chromosomal High-Affinity Binding Sites for the Drosophila Dosage Compensation Complex", "type" : "article-journal", "volume" : "4" }, "uris" : [ "http://www.mendeley.com/documents/?uuid=d586488f-7559-3861-863b-0c36d0669caa" ] } ], "mendeley" : { "formattedCitation" : "&lt;sup&gt;13&lt;/sup&gt;", "plainTextFormattedCitation" : "13", "previouslyFormattedCitation" : "&lt;sup&gt;13&lt;/sup&gt;" }, "properties" : { "noteIndex" : 0 }, "schema" : "https://github.com/citation-style-language/schema/raw/master/csl-citation.json" }</w:instrText>
      </w:r>
      <w:r w:rsidR="00274CB2" w:rsidRPr="00F803A5">
        <w:rPr>
          <w:sz w:val="24"/>
          <w:szCs w:val="24"/>
        </w:rPr>
        <w:fldChar w:fldCharType="separate"/>
      </w:r>
      <w:r w:rsidR="00274CB2" w:rsidRPr="00EB730D">
        <w:rPr>
          <w:noProof/>
          <w:sz w:val="24"/>
          <w:szCs w:val="24"/>
          <w:vertAlign w:val="superscript"/>
        </w:rPr>
        <w:t>13</w:t>
      </w:r>
      <w:r w:rsidR="00274CB2" w:rsidRPr="00EB730D">
        <w:rPr>
          <w:sz w:val="24"/>
          <w:szCs w:val="24"/>
        </w:rPr>
        <w:fldChar w:fldCharType="end"/>
      </w:r>
      <w:r w:rsidR="00204001" w:rsidRPr="00EB730D">
        <w:rPr>
          <w:sz w:val="24"/>
          <w:szCs w:val="24"/>
        </w:rPr>
        <w:t xml:space="preserve">. </w:t>
      </w:r>
      <w:r w:rsidRPr="00F803A5">
        <w:rPr>
          <w:sz w:val="24"/>
          <w:szCs w:val="24"/>
        </w:rPr>
        <w:t>Here we</w:t>
      </w:r>
      <w:r w:rsidR="00C9365E" w:rsidRPr="00F803A5">
        <w:rPr>
          <w:sz w:val="24"/>
          <w:szCs w:val="24"/>
        </w:rPr>
        <w:t xml:space="preserve"> demonstrate</w:t>
      </w:r>
      <w:r w:rsidRPr="00F803A5">
        <w:rPr>
          <w:sz w:val="24"/>
          <w:szCs w:val="24"/>
        </w:rPr>
        <w:t xml:space="preserve"> </w:t>
      </w:r>
      <w:r w:rsidR="00204001" w:rsidRPr="00EB730D">
        <w:rPr>
          <w:sz w:val="24"/>
          <w:szCs w:val="24"/>
        </w:rPr>
        <w:t xml:space="preserve">context-dependent targeting of the roX RNAs </w:t>
      </w:r>
      <w:r w:rsidRPr="00F803A5">
        <w:rPr>
          <w:i/>
          <w:sz w:val="24"/>
          <w:szCs w:val="24"/>
        </w:rPr>
        <w:t>in vivo</w:t>
      </w:r>
      <w:r w:rsidRPr="00EB730D">
        <w:rPr>
          <w:sz w:val="24"/>
          <w:szCs w:val="24"/>
        </w:rPr>
        <w:t xml:space="preserve"> ,</w:t>
      </w:r>
      <w:r w:rsidR="00204001" w:rsidRPr="00EB730D">
        <w:rPr>
          <w:sz w:val="24"/>
          <w:szCs w:val="24"/>
        </w:rPr>
        <w:t>suggest</w:t>
      </w:r>
      <w:r w:rsidRPr="00EB730D">
        <w:rPr>
          <w:sz w:val="24"/>
          <w:szCs w:val="24"/>
        </w:rPr>
        <w:t>ing</w:t>
      </w:r>
      <w:r w:rsidR="00204001" w:rsidRPr="00EB730D">
        <w:rPr>
          <w:sz w:val="24"/>
          <w:szCs w:val="24"/>
        </w:rPr>
        <w:t xml:space="preserve"> that the extent of dosage compensation, and the genes escaping compensation, may vary between cell-types.</w:t>
      </w:r>
      <w:r w:rsidRPr="00EB730D">
        <w:rPr>
          <w:sz w:val="24"/>
          <w:szCs w:val="24"/>
        </w:rPr>
        <w:t xml:space="preserve"> </w:t>
      </w:r>
      <w:r w:rsidRPr="00F803A5">
        <w:rPr>
          <w:sz w:val="24"/>
          <w:szCs w:val="24"/>
        </w:rPr>
        <w:t>Our results extend the current model of roX targeting to CES, which depends upon cell-identity, topology</w:t>
      </w:r>
      <w:r w:rsidRPr="00F803A5">
        <w:rPr>
          <w:sz w:val="24"/>
          <w:szCs w:val="24"/>
        </w:rPr>
        <w:fldChar w:fldCharType="begin" w:fldLock="1"/>
      </w:r>
      <w:r w:rsidRPr="00F803A5">
        <w:rPr>
          <w:sz w:val="24"/>
          <w:szCs w:val="24"/>
        </w:rPr>
        <w:instrText>ADDIN CSL_CITATION { "citationItems" : [ { "id" : "ITEM-1", "itemData" : { "DOI" : "10.1016/j.molcel.2015.08.024", "ISSN" : "10974164", "PMID" : "26431028", "abstract" : "Dosage compensation mechanisms provide a paradigm to study the contribution of chromosomal conformation toward targeting and spreading of epigenetic regulators over a specific chromosome. By using Hi-C and 4C analyses, we show that high-affinity sites (HAS), landing platforms of the male-specific lethal (MSL) complex, are enriched around topologically associating domain (TAD) boundaries on the X chromosome and harbor more long-range contacts in a sex-independent manner. Ectopically expressed roX1 and roX2 RNAs target HAS on the X chromosome in trans and, via spatial proximity, induce spreading of the MSL complex in cis, leading to increased expression of neighboring autosomal genes. We show that the MSL complex regulates nucleosome positioning at HAS, therefore acting locally rather than influencing the overall chromosomal architecture. We propose that the sex-independent, three-dimensional conformation of the X chromosome poises it for exploitation by the MSL complex, thereby facilitating spreading in males.", "author" : [ { "dropping-particle" : "", "family" : "Ramirez", "given" : "Fidel", "non-dropping-particle" : "", "parse-names" : false, "suffix" : "" }, { "dropping-particle" : "", "family" : "Lingg", "given" : "Thomas", "non-dropping-particle" : "", "parse-names" : false, "suffix" : "" }, { "dropping-particle" : "", "family" : "Toscano", "given" : "Sarah", "non-dropping-particle" : "", "parse-names" : false, "suffix" : "" }, { "dropping-particle" : "", "family" : "Lam", "given" : "Kin Chung", "non-dropping-particle" : "", "parse-names" : false, "suffix" : "" }, { "dropping-particle" : "", "family" : "Georgiev", "given" : "Plamen", "non-dropping-particle" : "", "parse-names" : false, "suffix" : "" }, { "dropping-particle" : "", "family" : "Chung", "given" : "Ho Ryun", "non-dropping-particle" : "", "parse-names" : false, "suffix" : "" }, { "dropping-particle" : "", "family" : "Lajoie", "given" : "Bryan R.", "non-dropping-particle" : "", "parse-names" : false, "suffix" : "" }, { "dropping-particle" : "", "family" : "Wit", "given" : "Elzo", "non-dropping-particle" : "de", "parse-names" : false, "suffix" : "" }, { "dropping-particle" : "", "family" : "Zhan", "given" : "Ye", "non-dropping-particle" : "", "parse-names" : false, "suffix" : "" }, { "dropping-particle" : "", "family" : "Laat", "given" : "Wouter", "non-dropping-particle" : "de", "parse-names" : false, "suffix" : "" }, { "dropping-particle" : "", "family" : "Dekker", "given" : "Job", "non-dropping-particle" : "", "parse-names" : false, "suffix" : "" }, { "dropping-particle" : "", "family" : "Manke", "given" : "Thomas", "non-dropping-particle" : "", "parse-names" : false, "suffix" : "" }, { "dropping-particle" : "", "family" : "Akhtar", "given" : "Asifa", "non-dropping-particle" : "", "parse-names" : false, "suffix" : "" } ], "container-title" : "Molecular Cell", "id" : "ITEM-1", "issue" : "1", "issued" : { "date-parts" : [ [ "2015" ] ] }, "page" : "146-162", "title" : "High-Affinity Sites Form an Interaction Network to Facilitate Spreading of the MSL Complex across the X Chromosome in Drosophila", "type" : "article-journal", "volume" : "60" }, "uris" : [ "http://www.mendeley.com/documents/?uuid=39193cea-88e1-4fe8-ad92-b959c4e2eda2" ] } ], "mendeley" : { "formattedCitation" : "&lt;sup&gt;23&lt;/sup&gt;", "plainTextFormattedCitation" : "23", "previouslyFormattedCitation" : "&lt;sup&gt;23&lt;/sup&gt;" }, "properties" : { "noteIndex" : 0 }, "schema" : "https://github.com/citation-style-language/schema/raw/master/csl-citation.json" }</w:instrText>
      </w:r>
      <w:r w:rsidRPr="00F803A5">
        <w:rPr>
          <w:sz w:val="24"/>
          <w:szCs w:val="24"/>
        </w:rPr>
        <w:fldChar w:fldCharType="separate"/>
      </w:r>
      <w:r w:rsidRPr="00F803A5">
        <w:rPr>
          <w:noProof/>
          <w:sz w:val="24"/>
          <w:szCs w:val="24"/>
          <w:vertAlign w:val="superscript"/>
        </w:rPr>
        <w:t>23</w:t>
      </w:r>
      <w:r w:rsidRPr="00F803A5">
        <w:rPr>
          <w:sz w:val="24"/>
          <w:szCs w:val="24"/>
        </w:rPr>
        <w:fldChar w:fldCharType="end"/>
      </w:r>
      <w:r w:rsidRPr="00F803A5">
        <w:rPr>
          <w:sz w:val="24"/>
          <w:szCs w:val="24"/>
        </w:rPr>
        <w:t xml:space="preserve"> and sequence </w:t>
      </w:r>
      <w:r w:rsidRPr="00F803A5">
        <w:rPr>
          <w:sz w:val="24"/>
          <w:szCs w:val="24"/>
        </w:rPr>
        <w:fldChar w:fldCharType="begin" w:fldLock="1"/>
      </w:r>
      <w:r w:rsidRPr="00F803A5">
        <w:rPr>
          <w:sz w:val="24"/>
          <w:szCs w:val="24"/>
        </w:rPr>
        <w:instrText>ADDIN CSL_CITATION { "citationItems" : [ { "id" : "ITEM-1", "itemData" : { "DOI" : "10.1371/journal.pgen.1000302", "ISSN" : "1553-7404", "PMID" : "19079572", "abstract" : "Dosage compensation in male Drosophila relies on the X chromosome-specific recruitment of a chromatin-modifying machinery, the dosage compensation complex (DCC). The principles that assure selective targeting of the DCC are unknown. According to a prevalent model, X chromosome targeting is initiated by recruitment of the DCC core components, MSL1 and MSL2, to a limited number of so-called \"high-affinity sites\" (HAS). Only very few such sites are known at the DNA sequence level, which has precluded the definition of DCC targeting principles. Combining RNA interference against DCC subunits, limited crosslinking, and chromatin immunoprecipitation coupled to probing high-resolution DNA microarrays, we identified a set of 131 HAS for MSL1 and MSL2 and confirmed their properties by various means. The HAS sites are distributed all over the X chromosome and are functionally important, since the extent of dosage compensation of a given gene and its proximity to a HAS are positively correlated. The sites are mainly located on non-coding parts of genes and predominantly map to regions that are devoid of nucleosomes. In contrast, the bulk of DCC binding is in coding regions and is marked by histone H3K36 methylation. Within the HAS, repetitive DNA sequences mainly based on GA and CA dinucleotides are enriched. Interestingly, DCC subcomplexes bind a small number of autosomal locations with similar features.", "author" : [ { "dropping-particle" : "", "family" : "Straub", "given" : "Tobias", "non-dropping-particle" : "", "parse-names" : false, "suffix" : "" }, { "dropping-particle" : "", "family" : "Grimaud", "given" : "Charlotte", "non-dropping-particle" : "", "parse-names" : false, "suffix" : "" }, { "dropping-particle" : "", "family" : "Gilfillan", "given" : "Gregor D.", "non-dropping-particle" : "", "parse-names" : false, "suffix" : "" }, { "dropping-particle" : "", "family" : "Mitterweger", "given" : "Angelika", "non-dropping-particle" : "", "parse-names" : false, "suffix" : "" }, { "dropping-particle" : "", "family" : "Becker", "given" : "Peter B.", "non-dropping-particle" : "", "parse-names" : false, "suffix" : "" } ], "container-title" : "PLoS Genetics", "editor" : [ { "dropping-particle" : "", "family" : "Lee", "given" : "Jeannie T.", "non-dropping-particle" : "", "parse-names" : false, "suffix" : "" } ], "id" : "ITEM-1", "issue" : "12", "issued" : { "date-parts" : [ [ "2008", "12", "12" ] ] }, "page" : "e1000302", "title" : "The Chromosomal High-Affinity Binding Sites for the Drosophila Dosage Compensation Complex", "type" : "article-journal", "volume" : "4" }, "uris" : [ "http://www.mendeley.com/documents/?uuid=d586488f-7559-3861-863b-0c36d0669caa" ] }, { "id" : "ITEM-2", "itemData" : { "DOI" : "10.1016/j.cell.2008.06.033", "ISBN" : "1097-4172 (Electronic)", "ISSN" : "00928674", "PMID" : "18724933", "abstract" : "The Drosophila MSL complex associates with active genes specifically on the male X chromosome to acetylate histone H4 at lysine 16 and increase expression approximately 2-fold. To date, no DNA sequence has been discovered to explain the specificity of MSL binding. We hypothesized that sequence-specific targeting occurs at \"chromatin entry sites,\" but the majority of sites are sequence independent. Here we characterize 150 potential entry sites by ChIP-chip and ChIP-seq and discover a GA-rich MSL recognition element (MRE). The motif is only slightly enriched on the X chromosome (\u223c2-fold), but this is doubled when considering its preferential location within or 3\u2032 to active genes (&gt;4-fold enrichment). When inserted on an autosome, a newly identified site can direct local MSL spreading to flanking active genes. These results provide strong evidence for both sequence-dependent and -independent steps in MSL targeting of dosage compensation to the male X chromosome. \u00a9 2008 Elsevier Inc. All rights reserved.", "author" : [ { "dropping-particle" : "", "family" : "Alekseyenko", "given" : "Artyom A.", "non-dropping-particle" : "", "parse-names" : false, "suffix" : "" }, { "dropping-particle" : "", "family" : "Peng", "given" : "Shouyong", "non-dropping-particle" : "", "parse-names" : false, "suffix" : "" }, { "dropping-particle" : "", "family" : "Larschan", "given" : "Erica", "non-dropping-particle" : "", "parse-names" : false, "suffix" : "" }, { "dropping-particle" : "", "family" : "Gorchakov", "given" : "Andrey A.", "non-dropping-particle" : "", "parse-names" : false, "suffix" : "" }, { "dropping-particle" : "", "family" : "Lee", "given" : "Ok Kyung", "non-dropping-particle" : "", "parse-names" : false, "suffix" : "" }, { "dropping-particle" : "", "family" : "Kharchenko", "given" : "Peter", "non-dropping-particle" : "", "parse-names" : false, "suffix" : "" }, { "dropping-particle" : "", "family" : "McGrath", "given" : "Sean D.", "non-dropping-particle" : "", "parse-names" : false, "suffix" : "" }, { "dropping-particle" : "", "family" : "Wang", "given" : "Charlotte I.", "non-dropping-particle" : "", "parse-names" : false, "suffix" : "" }, { "dropping-particle" : "", "family" : "Mardis", "given" : "Elaine R.", "non-dropping-particle" : "", "parse-names" : false, "suffix" : "" }, { "dropping-particle" : "", "family" : "Park", "given" : "Peter J.", "non-dropping-particle" : "", "parse-names" : false, "suffix" : "" }, { "dropping-particle" : "", "family" : "Kuroda", "given" : "Mitzi I.", "non-dropping-particle" : "", "parse-names" : false, "suffix" : "" } ], "container-title" : "Cell", "id" : "ITEM-2", "issue" : "4", "issued" : { "date-parts" : [ [ "2008" ] ] }, "page" : "599-609", "title" : "A Sequence Motif within Chromatin Entry Sites Directs MSL Establishment on the Drosophila X Chromosome", "type" : "article-journal", "volume" : "134" }, "uris" : [ "http://www.mendeley.com/documents/?uuid=cb2b5a2a-9e91-4005-a957-9aef84342844" ] } ], "mendeley" : { "formattedCitation" : "&lt;sup&gt;13,14&lt;/sup&gt;", "plainTextFormattedCitation" : "13,14", "previouslyFormattedCitation" : "&lt;sup&gt;13,14&lt;/sup&gt;" }, "properties" : { "noteIndex" : 0 }, "schema" : "https://github.com/citation-style-language/schema/raw/master/csl-citation.json" }</w:instrText>
      </w:r>
      <w:r w:rsidRPr="00F803A5">
        <w:rPr>
          <w:sz w:val="24"/>
          <w:szCs w:val="24"/>
        </w:rPr>
        <w:fldChar w:fldCharType="separate"/>
      </w:r>
      <w:r w:rsidRPr="00F803A5">
        <w:rPr>
          <w:noProof/>
          <w:sz w:val="24"/>
          <w:szCs w:val="24"/>
          <w:vertAlign w:val="superscript"/>
        </w:rPr>
        <w:t>13,14</w:t>
      </w:r>
      <w:r w:rsidRPr="00F803A5">
        <w:rPr>
          <w:sz w:val="24"/>
          <w:szCs w:val="24"/>
        </w:rPr>
        <w:fldChar w:fldCharType="end"/>
      </w:r>
      <w:r w:rsidRPr="00F803A5">
        <w:rPr>
          <w:sz w:val="24"/>
          <w:szCs w:val="24"/>
        </w:rPr>
        <w:t>.</w:t>
      </w:r>
    </w:p>
    <w:p w14:paraId="43CE9F8B" w14:textId="77777777" w:rsidR="00F05565" w:rsidRDefault="00F05565" w:rsidP="00F803A5">
      <w:pPr>
        <w:tabs>
          <w:tab w:val="left" w:pos="940"/>
        </w:tabs>
        <w:spacing w:line="480" w:lineRule="auto"/>
        <w:rPr>
          <w:sz w:val="24"/>
          <w:szCs w:val="24"/>
        </w:rPr>
      </w:pPr>
    </w:p>
    <w:p w14:paraId="6869A4BE" w14:textId="4E5D8368" w:rsidR="001E0DEC" w:rsidRPr="00C07A08" w:rsidRDefault="00E57F5D" w:rsidP="00F803A5">
      <w:pPr>
        <w:tabs>
          <w:tab w:val="left" w:pos="940"/>
        </w:tabs>
        <w:spacing w:line="480" w:lineRule="auto"/>
        <w:rPr>
          <w:sz w:val="24"/>
          <w:szCs w:val="24"/>
        </w:rPr>
      </w:pPr>
      <w:r w:rsidRPr="00C07A08">
        <w:rPr>
          <w:sz w:val="24"/>
          <w:szCs w:val="24"/>
        </w:rPr>
        <w:t>The interaction of other lncRNAs with chromatin may</w:t>
      </w:r>
      <w:r w:rsidR="00C57B82" w:rsidRPr="00C07A08">
        <w:rPr>
          <w:sz w:val="24"/>
          <w:szCs w:val="24"/>
        </w:rPr>
        <w:t xml:space="preserve"> </w:t>
      </w:r>
      <w:r w:rsidR="000F5C0E">
        <w:rPr>
          <w:sz w:val="24"/>
          <w:szCs w:val="24"/>
        </w:rPr>
        <w:t>also</w:t>
      </w:r>
      <w:r w:rsidR="000F5C0E" w:rsidRPr="00C07A08">
        <w:rPr>
          <w:sz w:val="24"/>
          <w:szCs w:val="24"/>
        </w:rPr>
        <w:t xml:space="preserve"> </w:t>
      </w:r>
      <w:r w:rsidRPr="00C07A08">
        <w:rPr>
          <w:sz w:val="24"/>
          <w:szCs w:val="24"/>
        </w:rPr>
        <w:t>be spatially and temporally regulated</w:t>
      </w:r>
      <w:r w:rsidR="000F5C0E">
        <w:rPr>
          <w:sz w:val="24"/>
          <w:szCs w:val="24"/>
        </w:rPr>
        <w:t>,</w:t>
      </w:r>
      <w:r w:rsidRPr="00C07A08">
        <w:rPr>
          <w:sz w:val="24"/>
          <w:szCs w:val="24"/>
        </w:rPr>
        <w:t xml:space="preserve"> and </w:t>
      </w:r>
      <w:r w:rsidR="00595260" w:rsidRPr="00C07A08">
        <w:rPr>
          <w:sz w:val="24"/>
          <w:szCs w:val="24"/>
        </w:rPr>
        <w:t>alter</w:t>
      </w:r>
      <w:r w:rsidR="001E0DEC" w:rsidRPr="00C07A08">
        <w:rPr>
          <w:sz w:val="24"/>
          <w:szCs w:val="24"/>
        </w:rPr>
        <w:t>ed</w:t>
      </w:r>
      <w:r w:rsidR="00595260" w:rsidRPr="00C07A08">
        <w:rPr>
          <w:sz w:val="24"/>
          <w:szCs w:val="24"/>
        </w:rPr>
        <w:t xml:space="preserve"> dynamically</w:t>
      </w:r>
      <w:r w:rsidRPr="00C07A08">
        <w:rPr>
          <w:sz w:val="24"/>
          <w:szCs w:val="24"/>
        </w:rPr>
        <w:t xml:space="preserve"> in development and disease.</w:t>
      </w:r>
      <w:r w:rsidR="00D63E5B">
        <w:rPr>
          <w:sz w:val="24"/>
          <w:szCs w:val="24"/>
        </w:rPr>
        <w:t xml:space="preserve"> </w:t>
      </w:r>
      <w:r w:rsidR="00BF1FBE" w:rsidRPr="00C07A08">
        <w:rPr>
          <w:sz w:val="24"/>
          <w:szCs w:val="24"/>
        </w:rPr>
        <w:t xml:space="preserve">RNA-DamID enables the elucidation of lncRNA function </w:t>
      </w:r>
      <w:r w:rsidR="00BF1FBE" w:rsidRPr="00C07A08">
        <w:rPr>
          <w:i/>
          <w:sz w:val="24"/>
          <w:szCs w:val="24"/>
        </w:rPr>
        <w:t>in vivo</w:t>
      </w:r>
      <w:r w:rsidR="00BF1FBE" w:rsidRPr="00C07A08">
        <w:rPr>
          <w:sz w:val="24"/>
          <w:szCs w:val="24"/>
        </w:rPr>
        <w:t xml:space="preserve"> and the discovery of the roles of lncRNAs</w:t>
      </w:r>
      <w:r w:rsidR="000F5C0E">
        <w:rPr>
          <w:sz w:val="24"/>
          <w:szCs w:val="24"/>
        </w:rPr>
        <w:t>, some of which</w:t>
      </w:r>
      <w:r w:rsidR="00BF1FBE" w:rsidRPr="00C07A08">
        <w:rPr>
          <w:sz w:val="24"/>
          <w:szCs w:val="24"/>
        </w:rPr>
        <w:t xml:space="preserve"> that are precisely expressed throughout development.</w:t>
      </w:r>
      <w:r w:rsidR="00BF1FBE">
        <w:rPr>
          <w:sz w:val="24"/>
          <w:szCs w:val="24"/>
        </w:rPr>
        <w:t xml:space="preserve"> </w:t>
      </w:r>
      <w:r w:rsidR="00D63E5B">
        <w:rPr>
          <w:sz w:val="24"/>
          <w:szCs w:val="24"/>
        </w:rPr>
        <w:t xml:space="preserve">We have recently adapted TaDa </w:t>
      </w:r>
      <w:r w:rsidR="00BF1FBE">
        <w:rPr>
          <w:sz w:val="24"/>
          <w:szCs w:val="24"/>
        </w:rPr>
        <w:t>for use in</w:t>
      </w:r>
      <w:r w:rsidR="00D63E5B">
        <w:rPr>
          <w:sz w:val="24"/>
          <w:szCs w:val="24"/>
        </w:rPr>
        <w:t xml:space="preserve"> mamm</w:t>
      </w:r>
      <w:r w:rsidR="00BF1FBE">
        <w:rPr>
          <w:sz w:val="24"/>
          <w:szCs w:val="24"/>
        </w:rPr>
        <w:t>alian cells (Cheetham and Brand</w:t>
      </w:r>
      <w:r w:rsidR="00D63E5B">
        <w:rPr>
          <w:sz w:val="24"/>
          <w:szCs w:val="24"/>
        </w:rPr>
        <w:t xml:space="preserve">, unpublished) and anticipate that </w:t>
      </w:r>
      <w:r w:rsidR="00D12F26">
        <w:rPr>
          <w:sz w:val="24"/>
          <w:szCs w:val="24"/>
        </w:rPr>
        <w:t>the application of RNA-DamID in other model</w:t>
      </w:r>
      <w:r w:rsidR="00D63E5B">
        <w:rPr>
          <w:sz w:val="24"/>
          <w:szCs w:val="24"/>
        </w:rPr>
        <w:t xml:space="preserve"> systems will be straightforward</w:t>
      </w:r>
      <w:r w:rsidR="00C5732D">
        <w:rPr>
          <w:sz w:val="24"/>
          <w:szCs w:val="24"/>
        </w:rPr>
        <w:t xml:space="preserve"> and effective</w:t>
      </w:r>
      <w:r w:rsidR="00D63E5B">
        <w:rPr>
          <w:sz w:val="24"/>
          <w:szCs w:val="24"/>
        </w:rPr>
        <w:t>.</w:t>
      </w:r>
    </w:p>
    <w:p w14:paraId="222CA69F" w14:textId="77777777" w:rsidR="005149A7" w:rsidRPr="00C07A08" w:rsidRDefault="005149A7" w:rsidP="00E0179D">
      <w:pPr>
        <w:rPr>
          <w:b/>
          <w:sz w:val="24"/>
          <w:szCs w:val="24"/>
        </w:rPr>
      </w:pPr>
      <w:r w:rsidRPr="00C07A08">
        <w:rPr>
          <w:b/>
          <w:sz w:val="24"/>
          <w:szCs w:val="24"/>
        </w:rPr>
        <w:br w:type="page"/>
      </w:r>
    </w:p>
    <w:p w14:paraId="3FB046C2" w14:textId="77777777" w:rsidR="007550B5" w:rsidRPr="00C07A08" w:rsidRDefault="007550B5" w:rsidP="007550B5">
      <w:pPr>
        <w:spacing w:line="480" w:lineRule="auto"/>
        <w:rPr>
          <w:sz w:val="24"/>
          <w:szCs w:val="24"/>
        </w:rPr>
      </w:pPr>
      <w:r w:rsidRPr="00C07A08">
        <w:rPr>
          <w:b/>
          <w:sz w:val="24"/>
          <w:szCs w:val="24"/>
        </w:rPr>
        <w:t>Acknowledgements</w:t>
      </w:r>
    </w:p>
    <w:p w14:paraId="6897663A" w14:textId="77777777" w:rsidR="007550B5" w:rsidRPr="00C07A08" w:rsidRDefault="007550B5" w:rsidP="007550B5">
      <w:pPr>
        <w:spacing w:line="480" w:lineRule="auto"/>
        <w:rPr>
          <w:sz w:val="24"/>
          <w:szCs w:val="24"/>
        </w:rPr>
      </w:pPr>
      <w:r w:rsidRPr="00C07A08">
        <w:rPr>
          <w:sz w:val="24"/>
          <w:szCs w:val="24"/>
        </w:rPr>
        <w:t>We thank M. Kuroda</w:t>
      </w:r>
      <w:r>
        <w:rPr>
          <w:sz w:val="24"/>
          <w:szCs w:val="24"/>
        </w:rPr>
        <w:t xml:space="preserve"> (Harvard University)</w:t>
      </w:r>
      <w:r w:rsidRPr="00C07A08">
        <w:rPr>
          <w:sz w:val="24"/>
          <w:szCs w:val="24"/>
        </w:rPr>
        <w:t>, V. Meller</w:t>
      </w:r>
      <w:r>
        <w:rPr>
          <w:sz w:val="24"/>
          <w:szCs w:val="24"/>
        </w:rPr>
        <w:t xml:space="preserve"> (Wayne State University)</w:t>
      </w:r>
      <w:r w:rsidRPr="00C07A08">
        <w:rPr>
          <w:sz w:val="24"/>
          <w:szCs w:val="24"/>
        </w:rPr>
        <w:t>, T. Megraw</w:t>
      </w:r>
      <w:r>
        <w:rPr>
          <w:sz w:val="24"/>
          <w:szCs w:val="24"/>
        </w:rPr>
        <w:t xml:space="preserve"> (Florida State University)</w:t>
      </w:r>
      <w:r w:rsidRPr="00C07A08">
        <w:rPr>
          <w:sz w:val="24"/>
          <w:szCs w:val="24"/>
        </w:rPr>
        <w:t xml:space="preserve"> and P. Amaral</w:t>
      </w:r>
      <w:r>
        <w:rPr>
          <w:sz w:val="24"/>
          <w:szCs w:val="24"/>
        </w:rPr>
        <w:t xml:space="preserve"> (Gurdon Institute)</w:t>
      </w:r>
      <w:r w:rsidRPr="00C07A08">
        <w:rPr>
          <w:sz w:val="24"/>
          <w:szCs w:val="24"/>
        </w:rPr>
        <w:t xml:space="preserve"> for reagents; T. Leonardi for advice on data visualisation; P. Amaral, T. Southall, O. Marshall and members of the Brand Lab for advice and discussion. This work was funded by Wellcome Trust Senior Investigator Award 103792 and Wellcome Trust Programme Grant 092545 to AHB. S.W.C. was funded by a Herchel Smith Research Studentship. A.H.B acknowledges core funding to the Gurdon Institute from the Wellcome Trust (092096) and CRUK (C6946/A14492).</w:t>
      </w:r>
    </w:p>
    <w:p w14:paraId="1339B28A" w14:textId="77777777" w:rsidR="007550B5" w:rsidRDefault="007550B5" w:rsidP="007550B5">
      <w:pPr>
        <w:spacing w:line="360" w:lineRule="auto"/>
        <w:rPr>
          <w:rFonts w:eastAsia="Times New Roman"/>
          <w:b/>
          <w:bCs/>
          <w:color w:val="333333"/>
          <w:sz w:val="24"/>
          <w:szCs w:val="24"/>
          <w:shd w:val="clear" w:color="auto" w:fill="FFFFFF"/>
        </w:rPr>
      </w:pPr>
    </w:p>
    <w:p w14:paraId="27830817" w14:textId="77777777" w:rsidR="007550B5" w:rsidRPr="00C07A08" w:rsidRDefault="007550B5" w:rsidP="007550B5">
      <w:pPr>
        <w:spacing w:line="480" w:lineRule="auto"/>
        <w:rPr>
          <w:rFonts w:eastAsia="Times New Roman"/>
          <w:b/>
          <w:bCs/>
          <w:color w:val="333333"/>
          <w:sz w:val="24"/>
          <w:szCs w:val="24"/>
          <w:shd w:val="clear" w:color="auto" w:fill="FFFFFF"/>
        </w:rPr>
      </w:pPr>
      <w:r w:rsidRPr="00C07A08">
        <w:rPr>
          <w:rFonts w:eastAsia="Times New Roman"/>
          <w:b/>
          <w:bCs/>
          <w:color w:val="333333"/>
          <w:sz w:val="24"/>
          <w:szCs w:val="24"/>
          <w:shd w:val="clear" w:color="auto" w:fill="FFFFFF"/>
        </w:rPr>
        <w:t>Author Contributions</w:t>
      </w:r>
    </w:p>
    <w:p w14:paraId="68DA176B" w14:textId="77777777" w:rsidR="007550B5" w:rsidRPr="00C07A08" w:rsidRDefault="007550B5" w:rsidP="007550B5">
      <w:pPr>
        <w:spacing w:line="480" w:lineRule="auto"/>
        <w:rPr>
          <w:rFonts w:eastAsia="Times New Roman"/>
          <w:bCs/>
          <w:color w:val="333333"/>
          <w:sz w:val="24"/>
          <w:szCs w:val="24"/>
          <w:shd w:val="clear" w:color="auto" w:fill="FFFFFF"/>
        </w:rPr>
      </w:pPr>
      <w:r w:rsidRPr="00C07A08">
        <w:rPr>
          <w:rFonts w:eastAsia="Times New Roman"/>
          <w:bCs/>
          <w:color w:val="333333"/>
          <w:sz w:val="24"/>
          <w:szCs w:val="24"/>
          <w:shd w:val="clear" w:color="auto" w:fill="FFFFFF"/>
        </w:rPr>
        <w:t>S.W.C and A.H.B designed the experiments. S.W.C performed the experiments. S.W.C and A.H.B analysed the data. S.W.C and A.H.B wrote the manuscript. All authors reviewed the manuscript prior to submission.</w:t>
      </w:r>
    </w:p>
    <w:p w14:paraId="11C16580" w14:textId="77777777" w:rsidR="007550B5" w:rsidRDefault="007550B5" w:rsidP="007550B5">
      <w:pPr>
        <w:widowControl w:val="0"/>
        <w:autoSpaceDE w:val="0"/>
        <w:autoSpaceDN w:val="0"/>
        <w:adjustRightInd w:val="0"/>
        <w:spacing w:line="360" w:lineRule="auto"/>
        <w:rPr>
          <w:b/>
          <w:bCs/>
          <w:sz w:val="24"/>
          <w:szCs w:val="24"/>
        </w:rPr>
      </w:pPr>
    </w:p>
    <w:p w14:paraId="3EC9CEBE" w14:textId="77777777" w:rsidR="007550B5" w:rsidRDefault="007550B5" w:rsidP="007550B5">
      <w:pPr>
        <w:widowControl w:val="0"/>
        <w:tabs>
          <w:tab w:val="left" w:pos="0"/>
          <w:tab w:val="left" w:pos="220"/>
        </w:tabs>
        <w:autoSpaceDE w:val="0"/>
        <w:autoSpaceDN w:val="0"/>
        <w:adjustRightInd w:val="0"/>
        <w:spacing w:line="480" w:lineRule="auto"/>
        <w:rPr>
          <w:b/>
          <w:bCs/>
          <w:sz w:val="24"/>
          <w:szCs w:val="24"/>
        </w:rPr>
      </w:pPr>
      <w:r>
        <w:rPr>
          <w:b/>
          <w:bCs/>
          <w:sz w:val="24"/>
          <w:szCs w:val="24"/>
        </w:rPr>
        <w:t>Competing financial interests</w:t>
      </w:r>
    </w:p>
    <w:p w14:paraId="45F502B7" w14:textId="3673E1C9" w:rsidR="007550B5" w:rsidRPr="00A2214F" w:rsidRDefault="007550B5" w:rsidP="007550B5">
      <w:pPr>
        <w:widowControl w:val="0"/>
        <w:tabs>
          <w:tab w:val="left" w:pos="0"/>
          <w:tab w:val="left" w:pos="220"/>
        </w:tabs>
        <w:autoSpaceDE w:val="0"/>
        <w:autoSpaceDN w:val="0"/>
        <w:adjustRightInd w:val="0"/>
        <w:spacing w:line="480" w:lineRule="auto"/>
        <w:rPr>
          <w:sz w:val="24"/>
          <w:szCs w:val="24"/>
        </w:rPr>
      </w:pPr>
      <w:r>
        <w:rPr>
          <w:bCs/>
          <w:sz w:val="24"/>
          <w:szCs w:val="24"/>
        </w:rPr>
        <w:t>The authors declare no competing financial interests</w:t>
      </w:r>
      <w:r w:rsidRPr="00A2214F">
        <w:rPr>
          <w:sz w:val="24"/>
          <w:szCs w:val="24"/>
        </w:rPr>
        <w:t xml:space="preserve">  </w:t>
      </w:r>
    </w:p>
    <w:p w14:paraId="09DFE060" w14:textId="318235A2" w:rsidR="007550B5" w:rsidRPr="00587AC7" w:rsidRDefault="00911B33" w:rsidP="00F803A5">
      <w:r>
        <w:br w:type="page"/>
      </w:r>
    </w:p>
    <w:p w14:paraId="0C307BFD" w14:textId="581BEA8A" w:rsidR="00C5732D" w:rsidRDefault="00C5732D">
      <w:pPr>
        <w:rPr>
          <w:b/>
          <w:sz w:val="24"/>
          <w:szCs w:val="24"/>
        </w:rPr>
      </w:pPr>
    </w:p>
    <w:p w14:paraId="60FCB5A8" w14:textId="77777777" w:rsidR="00911B33" w:rsidRPr="00F00704" w:rsidRDefault="00911B33" w:rsidP="00911B33">
      <w:pPr>
        <w:tabs>
          <w:tab w:val="left" w:pos="940"/>
        </w:tabs>
        <w:spacing w:line="480" w:lineRule="auto"/>
        <w:rPr>
          <w:b/>
          <w:sz w:val="24"/>
          <w:szCs w:val="24"/>
        </w:rPr>
      </w:pPr>
      <w:r w:rsidRPr="00F00704">
        <w:rPr>
          <w:b/>
          <w:sz w:val="24"/>
          <w:szCs w:val="24"/>
        </w:rPr>
        <w:t>References</w:t>
      </w:r>
    </w:p>
    <w:p w14:paraId="59D1E7A3"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C07A08">
        <w:rPr>
          <w:sz w:val="24"/>
          <w:szCs w:val="24"/>
        </w:rPr>
        <w:fldChar w:fldCharType="begin" w:fldLock="1"/>
      </w:r>
      <w:r w:rsidRPr="00C07A08">
        <w:rPr>
          <w:sz w:val="24"/>
          <w:szCs w:val="24"/>
        </w:rPr>
        <w:instrText xml:space="preserve">ADDIN Mendeley Bibliography CSL_BIBLIOGRAPHY </w:instrText>
      </w:r>
      <w:r w:rsidRPr="00C07A08">
        <w:rPr>
          <w:sz w:val="24"/>
          <w:szCs w:val="24"/>
        </w:rPr>
        <w:fldChar w:fldCharType="separate"/>
      </w:r>
      <w:r w:rsidRPr="0050053D">
        <w:rPr>
          <w:noProof/>
          <w:sz w:val="24"/>
          <w:szCs w:val="24"/>
          <w:lang w:val="en-US"/>
        </w:rPr>
        <w:t>1.</w:t>
      </w:r>
      <w:r w:rsidRPr="0050053D">
        <w:rPr>
          <w:noProof/>
          <w:sz w:val="24"/>
          <w:szCs w:val="24"/>
          <w:lang w:val="en-US"/>
        </w:rPr>
        <w:tab/>
        <w:t xml:space="preserve">Plath, K. </w:t>
      </w:r>
      <w:r w:rsidRPr="0050053D">
        <w:rPr>
          <w:i/>
          <w:iCs/>
          <w:noProof/>
          <w:sz w:val="24"/>
          <w:szCs w:val="24"/>
          <w:lang w:val="en-US"/>
        </w:rPr>
        <w:t>et al.</w:t>
      </w:r>
      <w:r w:rsidRPr="0050053D">
        <w:rPr>
          <w:noProof/>
          <w:sz w:val="24"/>
          <w:szCs w:val="24"/>
          <w:lang w:val="en-US"/>
        </w:rPr>
        <w:t xml:space="preserve"> Role of histone H3 lysine 27 methylation in X inactivation. </w:t>
      </w:r>
      <w:r w:rsidRPr="0050053D">
        <w:rPr>
          <w:i/>
          <w:iCs/>
          <w:noProof/>
          <w:sz w:val="24"/>
          <w:szCs w:val="24"/>
          <w:lang w:val="en-US"/>
        </w:rPr>
        <w:t>Science</w:t>
      </w:r>
      <w:r w:rsidRPr="0050053D">
        <w:rPr>
          <w:noProof/>
          <w:sz w:val="24"/>
          <w:szCs w:val="24"/>
          <w:lang w:val="en-US"/>
        </w:rPr>
        <w:t xml:space="preserve"> </w:t>
      </w:r>
      <w:r w:rsidRPr="0050053D">
        <w:rPr>
          <w:b/>
          <w:bCs/>
          <w:noProof/>
          <w:sz w:val="24"/>
          <w:szCs w:val="24"/>
          <w:lang w:val="en-US"/>
        </w:rPr>
        <w:t>300,</w:t>
      </w:r>
      <w:r w:rsidRPr="0050053D">
        <w:rPr>
          <w:noProof/>
          <w:sz w:val="24"/>
          <w:szCs w:val="24"/>
          <w:lang w:val="en-US"/>
        </w:rPr>
        <w:t xml:space="preserve"> 131–5 (2003).</w:t>
      </w:r>
    </w:p>
    <w:p w14:paraId="64B050D9"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2.</w:t>
      </w:r>
      <w:r w:rsidRPr="0050053D">
        <w:rPr>
          <w:noProof/>
          <w:sz w:val="24"/>
          <w:szCs w:val="24"/>
          <w:lang w:val="en-US"/>
        </w:rPr>
        <w:tab/>
        <w:t xml:space="preserve">Rinn, J. L. </w:t>
      </w:r>
      <w:r w:rsidRPr="0050053D">
        <w:rPr>
          <w:i/>
          <w:iCs/>
          <w:noProof/>
          <w:sz w:val="24"/>
          <w:szCs w:val="24"/>
          <w:lang w:val="en-US"/>
        </w:rPr>
        <w:t>et al.</w:t>
      </w:r>
      <w:r w:rsidRPr="0050053D">
        <w:rPr>
          <w:noProof/>
          <w:sz w:val="24"/>
          <w:szCs w:val="24"/>
          <w:lang w:val="en-US"/>
        </w:rPr>
        <w:t xml:space="preserve"> Functional demarcation of active and silent chromatin domains in human HOX loci by noncoding RNAs. </w:t>
      </w:r>
      <w:r w:rsidRPr="0050053D">
        <w:rPr>
          <w:i/>
          <w:iCs/>
          <w:noProof/>
          <w:sz w:val="24"/>
          <w:szCs w:val="24"/>
          <w:lang w:val="en-US"/>
        </w:rPr>
        <w:t>Cell</w:t>
      </w:r>
      <w:r w:rsidRPr="0050053D">
        <w:rPr>
          <w:noProof/>
          <w:sz w:val="24"/>
          <w:szCs w:val="24"/>
          <w:lang w:val="en-US"/>
        </w:rPr>
        <w:t xml:space="preserve"> </w:t>
      </w:r>
      <w:r w:rsidRPr="0050053D">
        <w:rPr>
          <w:b/>
          <w:bCs/>
          <w:noProof/>
          <w:sz w:val="24"/>
          <w:szCs w:val="24"/>
          <w:lang w:val="en-US"/>
        </w:rPr>
        <w:t>129,</w:t>
      </w:r>
      <w:r w:rsidRPr="0050053D">
        <w:rPr>
          <w:noProof/>
          <w:sz w:val="24"/>
          <w:szCs w:val="24"/>
          <w:lang w:val="en-US"/>
        </w:rPr>
        <w:t xml:space="preserve"> 1311–23 (2007).</w:t>
      </w:r>
    </w:p>
    <w:p w14:paraId="5B1A7F9B"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3.</w:t>
      </w:r>
      <w:r w:rsidRPr="0050053D">
        <w:rPr>
          <w:noProof/>
          <w:sz w:val="24"/>
          <w:szCs w:val="24"/>
          <w:lang w:val="en-US"/>
        </w:rPr>
        <w:tab/>
        <w:t xml:space="preserve">Wang, K. C. </w:t>
      </w:r>
      <w:r w:rsidRPr="0050053D">
        <w:rPr>
          <w:i/>
          <w:iCs/>
          <w:noProof/>
          <w:sz w:val="24"/>
          <w:szCs w:val="24"/>
          <w:lang w:val="en-US"/>
        </w:rPr>
        <w:t>et al.</w:t>
      </w:r>
      <w:r w:rsidRPr="0050053D">
        <w:rPr>
          <w:noProof/>
          <w:sz w:val="24"/>
          <w:szCs w:val="24"/>
          <w:lang w:val="en-US"/>
        </w:rPr>
        <w:t xml:space="preserve"> A long noncoding RNA maintains active chromatin to coordinate homeotic gene expression. </w:t>
      </w:r>
      <w:r w:rsidRPr="0050053D">
        <w:rPr>
          <w:i/>
          <w:iCs/>
          <w:noProof/>
          <w:sz w:val="24"/>
          <w:szCs w:val="24"/>
          <w:lang w:val="en-US"/>
        </w:rPr>
        <w:t>Nature</w:t>
      </w:r>
      <w:r w:rsidRPr="0050053D">
        <w:rPr>
          <w:noProof/>
          <w:sz w:val="24"/>
          <w:szCs w:val="24"/>
          <w:lang w:val="en-US"/>
        </w:rPr>
        <w:t xml:space="preserve"> </w:t>
      </w:r>
      <w:r w:rsidRPr="0050053D">
        <w:rPr>
          <w:b/>
          <w:bCs/>
          <w:noProof/>
          <w:sz w:val="24"/>
          <w:szCs w:val="24"/>
          <w:lang w:val="en-US"/>
        </w:rPr>
        <w:t>472,</w:t>
      </w:r>
      <w:r w:rsidRPr="0050053D">
        <w:rPr>
          <w:noProof/>
          <w:sz w:val="24"/>
          <w:szCs w:val="24"/>
          <w:lang w:val="en-US"/>
        </w:rPr>
        <w:t xml:space="preserve"> 120–4 (2011).</w:t>
      </w:r>
    </w:p>
    <w:p w14:paraId="229E30EE"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4.</w:t>
      </w:r>
      <w:r w:rsidRPr="0050053D">
        <w:rPr>
          <w:noProof/>
          <w:sz w:val="24"/>
          <w:szCs w:val="24"/>
          <w:lang w:val="en-US"/>
        </w:rPr>
        <w:tab/>
        <w:t xml:space="preserve">Franke, A. &amp; Baker, B. S. The rox1 and rox2 RNAs are essential components of the compensasome, which mediates dosage compensation in Drosophila. </w:t>
      </w:r>
      <w:r w:rsidRPr="0050053D">
        <w:rPr>
          <w:i/>
          <w:iCs/>
          <w:noProof/>
          <w:sz w:val="24"/>
          <w:szCs w:val="24"/>
          <w:lang w:val="en-US"/>
        </w:rPr>
        <w:t>Mol. Cell</w:t>
      </w:r>
      <w:r w:rsidRPr="0050053D">
        <w:rPr>
          <w:noProof/>
          <w:sz w:val="24"/>
          <w:szCs w:val="24"/>
          <w:lang w:val="en-US"/>
        </w:rPr>
        <w:t xml:space="preserve"> </w:t>
      </w:r>
      <w:r w:rsidRPr="0050053D">
        <w:rPr>
          <w:b/>
          <w:bCs/>
          <w:noProof/>
          <w:sz w:val="24"/>
          <w:szCs w:val="24"/>
          <w:lang w:val="en-US"/>
        </w:rPr>
        <w:t>4,</w:t>
      </w:r>
      <w:r w:rsidRPr="0050053D">
        <w:rPr>
          <w:noProof/>
          <w:sz w:val="24"/>
          <w:szCs w:val="24"/>
          <w:lang w:val="en-US"/>
        </w:rPr>
        <w:t xml:space="preserve"> 117–122 (1999).</w:t>
      </w:r>
    </w:p>
    <w:p w14:paraId="29C7E936"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5.</w:t>
      </w:r>
      <w:r w:rsidRPr="0050053D">
        <w:rPr>
          <w:noProof/>
          <w:sz w:val="24"/>
          <w:szCs w:val="24"/>
          <w:lang w:val="en-US"/>
        </w:rPr>
        <w:tab/>
        <w:t xml:space="preserve">Southall, T. D. </w:t>
      </w:r>
      <w:r w:rsidRPr="0050053D">
        <w:rPr>
          <w:i/>
          <w:iCs/>
          <w:noProof/>
          <w:sz w:val="24"/>
          <w:szCs w:val="24"/>
          <w:lang w:val="en-US"/>
        </w:rPr>
        <w:t>et al.</w:t>
      </w:r>
      <w:r w:rsidRPr="0050053D">
        <w:rPr>
          <w:noProof/>
          <w:sz w:val="24"/>
          <w:szCs w:val="24"/>
          <w:lang w:val="en-US"/>
        </w:rPr>
        <w:t xml:space="preserve"> Cell-type-specific profiling of gene expression and chromatin binding without cell isolation: assaying RNA Pol II occupancy in neural stem cells. </w:t>
      </w:r>
      <w:r w:rsidRPr="0050053D">
        <w:rPr>
          <w:i/>
          <w:iCs/>
          <w:noProof/>
          <w:sz w:val="24"/>
          <w:szCs w:val="24"/>
          <w:lang w:val="en-US"/>
        </w:rPr>
        <w:t>Dev. Cell</w:t>
      </w:r>
      <w:r w:rsidRPr="0050053D">
        <w:rPr>
          <w:noProof/>
          <w:sz w:val="24"/>
          <w:szCs w:val="24"/>
          <w:lang w:val="en-US"/>
        </w:rPr>
        <w:t xml:space="preserve"> </w:t>
      </w:r>
      <w:r w:rsidRPr="0050053D">
        <w:rPr>
          <w:b/>
          <w:bCs/>
          <w:noProof/>
          <w:sz w:val="24"/>
          <w:szCs w:val="24"/>
          <w:lang w:val="en-US"/>
        </w:rPr>
        <w:t>26,</w:t>
      </w:r>
      <w:r w:rsidRPr="0050053D">
        <w:rPr>
          <w:noProof/>
          <w:sz w:val="24"/>
          <w:szCs w:val="24"/>
          <w:lang w:val="en-US"/>
        </w:rPr>
        <w:t xml:space="preserve"> 101–12 (2013).</w:t>
      </w:r>
    </w:p>
    <w:p w14:paraId="754A92C8"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6.</w:t>
      </w:r>
      <w:r w:rsidRPr="0050053D">
        <w:rPr>
          <w:noProof/>
          <w:sz w:val="24"/>
          <w:szCs w:val="24"/>
          <w:lang w:val="en-US"/>
        </w:rPr>
        <w:tab/>
        <w:t xml:space="preserve">van Steensel, B. &amp; Henikoff, S. Identification of in vivo DNA targets of chromatin proteins using tethered dam methyltransferase. </w:t>
      </w:r>
      <w:r w:rsidRPr="0050053D">
        <w:rPr>
          <w:i/>
          <w:iCs/>
          <w:noProof/>
          <w:sz w:val="24"/>
          <w:szCs w:val="24"/>
          <w:lang w:val="en-US"/>
        </w:rPr>
        <w:t>Nat. Biotechnol.</w:t>
      </w:r>
      <w:r w:rsidRPr="0050053D">
        <w:rPr>
          <w:noProof/>
          <w:sz w:val="24"/>
          <w:szCs w:val="24"/>
          <w:lang w:val="en-US"/>
        </w:rPr>
        <w:t xml:space="preserve"> </w:t>
      </w:r>
      <w:r w:rsidRPr="0050053D">
        <w:rPr>
          <w:b/>
          <w:bCs/>
          <w:noProof/>
          <w:sz w:val="24"/>
          <w:szCs w:val="24"/>
          <w:lang w:val="en-US"/>
        </w:rPr>
        <w:t>18,</w:t>
      </w:r>
      <w:r w:rsidRPr="0050053D">
        <w:rPr>
          <w:noProof/>
          <w:sz w:val="24"/>
          <w:szCs w:val="24"/>
          <w:lang w:val="en-US"/>
        </w:rPr>
        <w:t xml:space="preserve"> 424–8 (2000).</w:t>
      </w:r>
    </w:p>
    <w:p w14:paraId="48EDFE83"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7.</w:t>
      </w:r>
      <w:r w:rsidRPr="0050053D">
        <w:rPr>
          <w:noProof/>
          <w:sz w:val="24"/>
          <w:szCs w:val="24"/>
          <w:lang w:val="en-US"/>
        </w:rPr>
        <w:tab/>
        <w:t xml:space="preserve">Brand, A. H. &amp; Perrimon, N. Targeted gene expression as a means of altering cell fates and generating dominant phenotypes. </w:t>
      </w:r>
      <w:r w:rsidRPr="0050053D">
        <w:rPr>
          <w:i/>
          <w:iCs/>
          <w:noProof/>
          <w:sz w:val="24"/>
          <w:szCs w:val="24"/>
          <w:lang w:val="en-US"/>
        </w:rPr>
        <w:t>Development</w:t>
      </w:r>
      <w:r w:rsidRPr="0050053D">
        <w:rPr>
          <w:noProof/>
          <w:sz w:val="24"/>
          <w:szCs w:val="24"/>
          <w:lang w:val="en-US"/>
        </w:rPr>
        <w:t xml:space="preserve"> </w:t>
      </w:r>
      <w:r w:rsidRPr="0050053D">
        <w:rPr>
          <w:b/>
          <w:bCs/>
          <w:noProof/>
          <w:sz w:val="24"/>
          <w:szCs w:val="24"/>
          <w:lang w:val="en-US"/>
        </w:rPr>
        <w:t>118,</w:t>
      </w:r>
      <w:r w:rsidRPr="0050053D">
        <w:rPr>
          <w:noProof/>
          <w:sz w:val="24"/>
          <w:szCs w:val="24"/>
          <w:lang w:val="en-US"/>
        </w:rPr>
        <w:t xml:space="preserve"> 401–15 (1993).</w:t>
      </w:r>
    </w:p>
    <w:p w14:paraId="6D49CB2B"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8.</w:t>
      </w:r>
      <w:r w:rsidRPr="0050053D">
        <w:rPr>
          <w:noProof/>
          <w:sz w:val="24"/>
          <w:szCs w:val="24"/>
          <w:lang w:val="en-US"/>
        </w:rPr>
        <w:tab/>
        <w:t xml:space="preserve">Peabody, D. S. The RNA binding site of bacteriophage MS2 coat protein. </w:t>
      </w:r>
      <w:r w:rsidRPr="0050053D">
        <w:rPr>
          <w:i/>
          <w:iCs/>
          <w:noProof/>
          <w:sz w:val="24"/>
          <w:szCs w:val="24"/>
          <w:lang w:val="en-US"/>
        </w:rPr>
        <w:t>EMBO J.</w:t>
      </w:r>
      <w:r w:rsidRPr="0050053D">
        <w:rPr>
          <w:noProof/>
          <w:sz w:val="24"/>
          <w:szCs w:val="24"/>
          <w:lang w:val="en-US"/>
        </w:rPr>
        <w:t xml:space="preserve"> </w:t>
      </w:r>
      <w:r w:rsidRPr="0050053D">
        <w:rPr>
          <w:b/>
          <w:bCs/>
          <w:noProof/>
          <w:sz w:val="24"/>
          <w:szCs w:val="24"/>
          <w:lang w:val="en-US"/>
        </w:rPr>
        <w:t>12,</w:t>
      </w:r>
      <w:r w:rsidRPr="0050053D">
        <w:rPr>
          <w:noProof/>
          <w:sz w:val="24"/>
          <w:szCs w:val="24"/>
          <w:lang w:val="en-US"/>
        </w:rPr>
        <w:t xml:space="preserve"> 595–600 (1993).</w:t>
      </w:r>
    </w:p>
    <w:p w14:paraId="430419D2"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9.</w:t>
      </w:r>
      <w:r w:rsidRPr="0050053D">
        <w:rPr>
          <w:noProof/>
          <w:sz w:val="24"/>
          <w:szCs w:val="24"/>
          <w:lang w:val="en-US"/>
        </w:rPr>
        <w:tab/>
        <w:t xml:space="preserve">Meller, V. H., Wu, K. H., Roman, G., Kuroda, M. I. &amp; Davis, R. L. roX1 RNA paints the X chromosome of male Drosophila and is regulated by the dosage compensation system. </w:t>
      </w:r>
      <w:r w:rsidRPr="0050053D">
        <w:rPr>
          <w:i/>
          <w:iCs/>
          <w:noProof/>
          <w:sz w:val="24"/>
          <w:szCs w:val="24"/>
          <w:lang w:val="en-US"/>
        </w:rPr>
        <w:t>Cell</w:t>
      </w:r>
      <w:r w:rsidRPr="0050053D">
        <w:rPr>
          <w:noProof/>
          <w:sz w:val="24"/>
          <w:szCs w:val="24"/>
          <w:lang w:val="en-US"/>
        </w:rPr>
        <w:t xml:space="preserve"> </w:t>
      </w:r>
      <w:r w:rsidRPr="0050053D">
        <w:rPr>
          <w:b/>
          <w:bCs/>
          <w:noProof/>
          <w:sz w:val="24"/>
          <w:szCs w:val="24"/>
          <w:lang w:val="en-US"/>
        </w:rPr>
        <w:t>88,</w:t>
      </w:r>
      <w:r w:rsidRPr="0050053D">
        <w:rPr>
          <w:noProof/>
          <w:sz w:val="24"/>
          <w:szCs w:val="24"/>
          <w:lang w:val="en-US"/>
        </w:rPr>
        <w:t xml:space="preserve"> 445–57 (1997).</w:t>
      </w:r>
    </w:p>
    <w:p w14:paraId="0F5F6808"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10.</w:t>
      </w:r>
      <w:r w:rsidRPr="0050053D">
        <w:rPr>
          <w:noProof/>
          <w:sz w:val="24"/>
          <w:szCs w:val="24"/>
          <w:lang w:val="en-US"/>
        </w:rPr>
        <w:tab/>
        <w:t xml:space="preserve">Quinn, J. J. </w:t>
      </w:r>
      <w:r w:rsidRPr="0050053D">
        <w:rPr>
          <w:i/>
          <w:iCs/>
          <w:noProof/>
          <w:sz w:val="24"/>
          <w:szCs w:val="24"/>
          <w:lang w:val="en-US"/>
        </w:rPr>
        <w:t>et al.</w:t>
      </w:r>
      <w:r w:rsidRPr="0050053D">
        <w:rPr>
          <w:noProof/>
          <w:sz w:val="24"/>
          <w:szCs w:val="24"/>
          <w:lang w:val="en-US"/>
        </w:rPr>
        <w:t xml:space="preserve"> Rapid evolutionary turnover underlies conserved lncRNA-genome interactions. </w:t>
      </w:r>
      <w:r w:rsidRPr="0050053D">
        <w:rPr>
          <w:i/>
          <w:iCs/>
          <w:noProof/>
          <w:sz w:val="24"/>
          <w:szCs w:val="24"/>
          <w:lang w:val="en-US"/>
        </w:rPr>
        <w:t>Genes Dev.</w:t>
      </w:r>
      <w:r w:rsidRPr="0050053D">
        <w:rPr>
          <w:noProof/>
          <w:sz w:val="24"/>
          <w:szCs w:val="24"/>
          <w:lang w:val="en-US"/>
        </w:rPr>
        <w:t xml:space="preserve"> </w:t>
      </w:r>
      <w:r w:rsidRPr="0050053D">
        <w:rPr>
          <w:b/>
          <w:bCs/>
          <w:noProof/>
          <w:sz w:val="24"/>
          <w:szCs w:val="24"/>
          <w:lang w:val="en-US"/>
        </w:rPr>
        <w:t>30,</w:t>
      </w:r>
      <w:r w:rsidRPr="0050053D">
        <w:rPr>
          <w:noProof/>
          <w:sz w:val="24"/>
          <w:szCs w:val="24"/>
          <w:lang w:val="en-US"/>
        </w:rPr>
        <w:t xml:space="preserve"> 191–207 (2016).</w:t>
      </w:r>
    </w:p>
    <w:p w14:paraId="5A26AD1B"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11.</w:t>
      </w:r>
      <w:r w:rsidRPr="0050053D">
        <w:rPr>
          <w:noProof/>
          <w:sz w:val="24"/>
          <w:szCs w:val="24"/>
          <w:lang w:val="en-US"/>
        </w:rPr>
        <w:tab/>
        <w:t xml:space="preserve">Ho, J. W. K. </w:t>
      </w:r>
      <w:r w:rsidRPr="0050053D">
        <w:rPr>
          <w:i/>
          <w:iCs/>
          <w:noProof/>
          <w:sz w:val="24"/>
          <w:szCs w:val="24"/>
          <w:lang w:val="en-US"/>
        </w:rPr>
        <w:t>et al.</w:t>
      </w:r>
      <w:r w:rsidRPr="0050053D">
        <w:rPr>
          <w:noProof/>
          <w:sz w:val="24"/>
          <w:szCs w:val="24"/>
          <w:lang w:val="en-US"/>
        </w:rPr>
        <w:t xml:space="preserve"> Comparative analysis of metazoan chromatin organization. </w:t>
      </w:r>
      <w:r w:rsidRPr="0050053D">
        <w:rPr>
          <w:i/>
          <w:iCs/>
          <w:noProof/>
          <w:sz w:val="24"/>
          <w:szCs w:val="24"/>
          <w:lang w:val="en-US"/>
        </w:rPr>
        <w:t>Nature</w:t>
      </w:r>
      <w:r w:rsidRPr="0050053D">
        <w:rPr>
          <w:noProof/>
          <w:sz w:val="24"/>
          <w:szCs w:val="24"/>
          <w:lang w:val="en-US"/>
        </w:rPr>
        <w:t xml:space="preserve"> </w:t>
      </w:r>
      <w:r w:rsidRPr="0050053D">
        <w:rPr>
          <w:b/>
          <w:bCs/>
          <w:noProof/>
          <w:sz w:val="24"/>
          <w:szCs w:val="24"/>
          <w:lang w:val="en-US"/>
        </w:rPr>
        <w:t>512,</w:t>
      </w:r>
      <w:r w:rsidRPr="0050053D">
        <w:rPr>
          <w:noProof/>
          <w:sz w:val="24"/>
          <w:szCs w:val="24"/>
          <w:lang w:val="en-US"/>
        </w:rPr>
        <w:t xml:space="preserve"> 449–52 (2014).</w:t>
      </w:r>
    </w:p>
    <w:p w14:paraId="18CBD97A"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12.</w:t>
      </w:r>
      <w:r w:rsidRPr="0050053D">
        <w:rPr>
          <w:noProof/>
          <w:sz w:val="24"/>
          <w:szCs w:val="24"/>
          <w:lang w:val="en-US"/>
        </w:rPr>
        <w:tab/>
        <w:t xml:space="preserve">Park, Y., Kelley, R. L., Oh, H., Kuroda, M. I. &amp; Meller, V. H. Extent of chromatin spreading determined by roX RNA recruitment of MSL proteins. </w:t>
      </w:r>
      <w:r w:rsidRPr="0050053D">
        <w:rPr>
          <w:i/>
          <w:iCs/>
          <w:noProof/>
          <w:sz w:val="24"/>
          <w:szCs w:val="24"/>
          <w:lang w:val="en-US"/>
        </w:rPr>
        <w:t>Science</w:t>
      </w:r>
      <w:r w:rsidRPr="0050053D">
        <w:rPr>
          <w:noProof/>
          <w:sz w:val="24"/>
          <w:szCs w:val="24"/>
          <w:lang w:val="en-US"/>
        </w:rPr>
        <w:t xml:space="preserve"> </w:t>
      </w:r>
      <w:r w:rsidRPr="0050053D">
        <w:rPr>
          <w:b/>
          <w:bCs/>
          <w:noProof/>
          <w:sz w:val="24"/>
          <w:szCs w:val="24"/>
          <w:lang w:val="en-US"/>
        </w:rPr>
        <w:t>298,</w:t>
      </w:r>
      <w:r w:rsidRPr="0050053D">
        <w:rPr>
          <w:noProof/>
          <w:sz w:val="24"/>
          <w:szCs w:val="24"/>
          <w:lang w:val="en-US"/>
        </w:rPr>
        <w:t xml:space="preserve"> 1620–1623 (2002).</w:t>
      </w:r>
    </w:p>
    <w:p w14:paraId="5F62C9AD"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13.</w:t>
      </w:r>
      <w:r w:rsidRPr="0050053D">
        <w:rPr>
          <w:noProof/>
          <w:sz w:val="24"/>
          <w:szCs w:val="24"/>
          <w:lang w:val="en-US"/>
        </w:rPr>
        <w:tab/>
        <w:t xml:space="preserve">Straub, T., Grimaud, C., Gilfillan, G. D., Mitterweger, A. &amp; Becker, P. B. The Chromosomal High-Affinity Binding Sites for the Drosophila Dosage Compensation Complex. </w:t>
      </w:r>
      <w:r w:rsidRPr="0050053D">
        <w:rPr>
          <w:i/>
          <w:iCs/>
          <w:noProof/>
          <w:sz w:val="24"/>
          <w:szCs w:val="24"/>
          <w:lang w:val="en-US"/>
        </w:rPr>
        <w:t>PLoS Genet.</w:t>
      </w:r>
      <w:r w:rsidRPr="0050053D">
        <w:rPr>
          <w:noProof/>
          <w:sz w:val="24"/>
          <w:szCs w:val="24"/>
          <w:lang w:val="en-US"/>
        </w:rPr>
        <w:t xml:space="preserve"> </w:t>
      </w:r>
      <w:r w:rsidRPr="0050053D">
        <w:rPr>
          <w:b/>
          <w:bCs/>
          <w:noProof/>
          <w:sz w:val="24"/>
          <w:szCs w:val="24"/>
          <w:lang w:val="en-US"/>
        </w:rPr>
        <w:t>4,</w:t>
      </w:r>
      <w:r w:rsidRPr="0050053D">
        <w:rPr>
          <w:noProof/>
          <w:sz w:val="24"/>
          <w:szCs w:val="24"/>
          <w:lang w:val="en-US"/>
        </w:rPr>
        <w:t xml:space="preserve"> e1000302 (2008).</w:t>
      </w:r>
    </w:p>
    <w:p w14:paraId="6BDFE011"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14.</w:t>
      </w:r>
      <w:r w:rsidRPr="0050053D">
        <w:rPr>
          <w:noProof/>
          <w:sz w:val="24"/>
          <w:szCs w:val="24"/>
          <w:lang w:val="en-US"/>
        </w:rPr>
        <w:tab/>
        <w:t xml:space="preserve">Alekseyenko, A. A. </w:t>
      </w:r>
      <w:r w:rsidRPr="0050053D">
        <w:rPr>
          <w:i/>
          <w:iCs/>
          <w:noProof/>
          <w:sz w:val="24"/>
          <w:szCs w:val="24"/>
          <w:lang w:val="en-US"/>
        </w:rPr>
        <w:t>et al.</w:t>
      </w:r>
      <w:r w:rsidRPr="0050053D">
        <w:rPr>
          <w:noProof/>
          <w:sz w:val="24"/>
          <w:szCs w:val="24"/>
          <w:lang w:val="en-US"/>
        </w:rPr>
        <w:t xml:space="preserve"> A Sequence Motif within Chromatin Entry Sites Directs MSL Establishment on the Drosophila X Chromosome. </w:t>
      </w:r>
      <w:r w:rsidRPr="0050053D">
        <w:rPr>
          <w:i/>
          <w:iCs/>
          <w:noProof/>
          <w:sz w:val="24"/>
          <w:szCs w:val="24"/>
          <w:lang w:val="en-US"/>
        </w:rPr>
        <w:t>Cell</w:t>
      </w:r>
      <w:r w:rsidRPr="0050053D">
        <w:rPr>
          <w:noProof/>
          <w:sz w:val="24"/>
          <w:szCs w:val="24"/>
          <w:lang w:val="en-US"/>
        </w:rPr>
        <w:t xml:space="preserve"> </w:t>
      </w:r>
      <w:r w:rsidRPr="0050053D">
        <w:rPr>
          <w:b/>
          <w:bCs/>
          <w:noProof/>
          <w:sz w:val="24"/>
          <w:szCs w:val="24"/>
          <w:lang w:val="en-US"/>
        </w:rPr>
        <w:t>134,</w:t>
      </w:r>
      <w:r w:rsidRPr="0050053D">
        <w:rPr>
          <w:noProof/>
          <w:sz w:val="24"/>
          <w:szCs w:val="24"/>
          <w:lang w:val="en-US"/>
        </w:rPr>
        <w:t xml:space="preserve"> 599–609 (2008).</w:t>
      </w:r>
    </w:p>
    <w:p w14:paraId="06A3CD70"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15.</w:t>
      </w:r>
      <w:r w:rsidRPr="0050053D">
        <w:rPr>
          <w:noProof/>
          <w:sz w:val="24"/>
          <w:szCs w:val="24"/>
          <w:lang w:val="en-US"/>
        </w:rPr>
        <w:tab/>
        <w:t xml:space="preserve">Keller, C. I. &amp; Akhtar, A. The MSL complex: Juggling RNA-protein interactions for dosage compensation and beyond. </w:t>
      </w:r>
      <w:r w:rsidRPr="0050053D">
        <w:rPr>
          <w:i/>
          <w:iCs/>
          <w:noProof/>
          <w:sz w:val="24"/>
          <w:szCs w:val="24"/>
          <w:lang w:val="en-US"/>
        </w:rPr>
        <w:t>Curr. Opin. Genet. Dev.</w:t>
      </w:r>
      <w:r w:rsidRPr="0050053D">
        <w:rPr>
          <w:noProof/>
          <w:sz w:val="24"/>
          <w:szCs w:val="24"/>
          <w:lang w:val="en-US"/>
        </w:rPr>
        <w:t xml:space="preserve"> </w:t>
      </w:r>
      <w:r w:rsidRPr="0050053D">
        <w:rPr>
          <w:b/>
          <w:bCs/>
          <w:noProof/>
          <w:sz w:val="24"/>
          <w:szCs w:val="24"/>
          <w:lang w:val="en-US"/>
        </w:rPr>
        <w:t>31,</w:t>
      </w:r>
      <w:r w:rsidRPr="0050053D">
        <w:rPr>
          <w:noProof/>
          <w:sz w:val="24"/>
          <w:szCs w:val="24"/>
          <w:lang w:val="en-US"/>
        </w:rPr>
        <w:t xml:space="preserve"> 1–11 (2015).</w:t>
      </w:r>
    </w:p>
    <w:p w14:paraId="550CEC78"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16.</w:t>
      </w:r>
      <w:r w:rsidRPr="0050053D">
        <w:rPr>
          <w:noProof/>
          <w:sz w:val="24"/>
          <w:szCs w:val="24"/>
          <w:lang w:val="en-US"/>
        </w:rPr>
        <w:tab/>
        <w:t xml:space="preserve">Apte, M. S. </w:t>
      </w:r>
      <w:r w:rsidRPr="0050053D">
        <w:rPr>
          <w:i/>
          <w:iCs/>
          <w:noProof/>
          <w:sz w:val="24"/>
          <w:szCs w:val="24"/>
          <w:lang w:val="en-US"/>
        </w:rPr>
        <w:t>et al.</w:t>
      </w:r>
      <w:r w:rsidRPr="0050053D">
        <w:rPr>
          <w:noProof/>
          <w:sz w:val="24"/>
          <w:szCs w:val="24"/>
          <w:lang w:val="en-US"/>
        </w:rPr>
        <w:t xml:space="preserve"> Generation of a useful roX1 allele by targeted gene conversion. </w:t>
      </w:r>
      <w:r w:rsidRPr="0050053D">
        <w:rPr>
          <w:i/>
          <w:iCs/>
          <w:noProof/>
          <w:sz w:val="24"/>
          <w:szCs w:val="24"/>
          <w:lang w:val="en-US"/>
        </w:rPr>
        <w:t>G3</w:t>
      </w:r>
      <w:r w:rsidRPr="0050053D">
        <w:rPr>
          <w:noProof/>
          <w:sz w:val="24"/>
          <w:szCs w:val="24"/>
          <w:lang w:val="en-US"/>
        </w:rPr>
        <w:t xml:space="preserve"> </w:t>
      </w:r>
      <w:r w:rsidRPr="0050053D">
        <w:rPr>
          <w:b/>
          <w:bCs/>
          <w:noProof/>
          <w:sz w:val="24"/>
          <w:szCs w:val="24"/>
          <w:lang w:val="en-US"/>
        </w:rPr>
        <w:t>4,</w:t>
      </w:r>
      <w:r w:rsidRPr="0050053D">
        <w:rPr>
          <w:noProof/>
          <w:sz w:val="24"/>
          <w:szCs w:val="24"/>
          <w:lang w:val="en-US"/>
        </w:rPr>
        <w:t xml:space="preserve"> 155–62 (2014).</w:t>
      </w:r>
    </w:p>
    <w:p w14:paraId="6BD8ACEE"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17.</w:t>
      </w:r>
      <w:r w:rsidRPr="0050053D">
        <w:rPr>
          <w:noProof/>
          <w:sz w:val="24"/>
          <w:szCs w:val="24"/>
          <w:lang w:val="en-US"/>
        </w:rPr>
        <w:tab/>
        <w:t xml:space="preserve">Ilik, I. &amp; Akhtar, A. roX RNAs: non-coding regulators of the male X chromosome in flies. </w:t>
      </w:r>
      <w:r w:rsidRPr="0050053D">
        <w:rPr>
          <w:i/>
          <w:iCs/>
          <w:noProof/>
          <w:sz w:val="24"/>
          <w:szCs w:val="24"/>
          <w:lang w:val="en-US"/>
        </w:rPr>
        <w:t>RNA Biol.</w:t>
      </w:r>
      <w:r w:rsidRPr="0050053D">
        <w:rPr>
          <w:noProof/>
          <w:sz w:val="24"/>
          <w:szCs w:val="24"/>
          <w:lang w:val="en-US"/>
        </w:rPr>
        <w:t xml:space="preserve"> </w:t>
      </w:r>
      <w:r w:rsidRPr="0050053D">
        <w:rPr>
          <w:b/>
          <w:bCs/>
          <w:noProof/>
          <w:sz w:val="24"/>
          <w:szCs w:val="24"/>
          <w:lang w:val="en-US"/>
        </w:rPr>
        <w:t>6,</w:t>
      </w:r>
      <w:r w:rsidRPr="0050053D">
        <w:rPr>
          <w:noProof/>
          <w:sz w:val="24"/>
          <w:szCs w:val="24"/>
          <w:lang w:val="en-US"/>
        </w:rPr>
        <w:t xml:space="preserve"> 113–21</w:t>
      </w:r>
    </w:p>
    <w:p w14:paraId="726F1188"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18.</w:t>
      </w:r>
      <w:r w:rsidRPr="0050053D">
        <w:rPr>
          <w:noProof/>
          <w:sz w:val="24"/>
          <w:szCs w:val="24"/>
          <w:lang w:val="en-US"/>
        </w:rPr>
        <w:tab/>
        <w:t xml:space="preserve">Ilik, I. A. </w:t>
      </w:r>
      <w:r w:rsidRPr="0050053D">
        <w:rPr>
          <w:i/>
          <w:iCs/>
          <w:noProof/>
          <w:sz w:val="24"/>
          <w:szCs w:val="24"/>
          <w:lang w:val="en-US"/>
        </w:rPr>
        <w:t>et al.</w:t>
      </w:r>
      <w:r w:rsidRPr="0050053D">
        <w:rPr>
          <w:noProof/>
          <w:sz w:val="24"/>
          <w:szCs w:val="24"/>
          <w:lang w:val="en-US"/>
        </w:rPr>
        <w:t xml:space="preserve"> Tandem stem-loops in roX RNAs act together to mediate X chromosome dosage compensation in Drosophila. </w:t>
      </w:r>
      <w:r w:rsidRPr="0050053D">
        <w:rPr>
          <w:i/>
          <w:iCs/>
          <w:noProof/>
          <w:sz w:val="24"/>
          <w:szCs w:val="24"/>
          <w:lang w:val="en-US"/>
        </w:rPr>
        <w:t>Mol. Cell</w:t>
      </w:r>
      <w:r w:rsidRPr="0050053D">
        <w:rPr>
          <w:noProof/>
          <w:sz w:val="24"/>
          <w:szCs w:val="24"/>
          <w:lang w:val="en-US"/>
        </w:rPr>
        <w:t xml:space="preserve"> </w:t>
      </w:r>
      <w:r w:rsidRPr="0050053D">
        <w:rPr>
          <w:b/>
          <w:bCs/>
          <w:noProof/>
          <w:sz w:val="24"/>
          <w:szCs w:val="24"/>
          <w:lang w:val="en-US"/>
        </w:rPr>
        <w:t>51,</w:t>
      </w:r>
      <w:r w:rsidRPr="0050053D">
        <w:rPr>
          <w:noProof/>
          <w:sz w:val="24"/>
          <w:szCs w:val="24"/>
          <w:lang w:val="en-US"/>
        </w:rPr>
        <w:t xml:space="preserve"> 156–73 (2013).</w:t>
      </w:r>
    </w:p>
    <w:p w14:paraId="2A007DFA"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19.</w:t>
      </w:r>
      <w:r w:rsidRPr="0050053D">
        <w:rPr>
          <w:noProof/>
          <w:sz w:val="24"/>
          <w:szCs w:val="24"/>
          <w:lang w:val="en-US"/>
        </w:rPr>
        <w:tab/>
        <w:t xml:space="preserve">Villa, R., Schauer, T., Smialowski, P., Straub, T. &amp; Becker, P. B. PionX sites mark the X chromosome for dosage compensation. </w:t>
      </w:r>
      <w:r w:rsidRPr="0050053D">
        <w:rPr>
          <w:i/>
          <w:iCs/>
          <w:noProof/>
          <w:sz w:val="24"/>
          <w:szCs w:val="24"/>
          <w:lang w:val="en-US"/>
        </w:rPr>
        <w:t>Nature</w:t>
      </w:r>
      <w:r w:rsidRPr="0050053D">
        <w:rPr>
          <w:noProof/>
          <w:sz w:val="24"/>
          <w:szCs w:val="24"/>
          <w:lang w:val="en-US"/>
        </w:rPr>
        <w:t xml:space="preserve"> </w:t>
      </w:r>
      <w:r w:rsidRPr="0050053D">
        <w:rPr>
          <w:b/>
          <w:bCs/>
          <w:noProof/>
          <w:sz w:val="24"/>
          <w:szCs w:val="24"/>
          <w:lang w:val="en-US"/>
        </w:rPr>
        <w:t>537,</w:t>
      </w:r>
      <w:r w:rsidRPr="0050053D">
        <w:rPr>
          <w:noProof/>
          <w:sz w:val="24"/>
          <w:szCs w:val="24"/>
          <w:lang w:val="en-US"/>
        </w:rPr>
        <w:t xml:space="preserve"> 244–248 (2016).</w:t>
      </w:r>
    </w:p>
    <w:p w14:paraId="6FEDA520"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20.</w:t>
      </w:r>
      <w:r w:rsidRPr="0050053D">
        <w:rPr>
          <w:noProof/>
          <w:sz w:val="24"/>
          <w:szCs w:val="24"/>
          <w:lang w:val="en-US"/>
        </w:rPr>
        <w:tab/>
        <w:t xml:space="preserve">Bashaw, G. J. &amp; Baker, B. S. The msl-2 dosage compensation gene of Drosophila encodes a putative DNA-binding protein whose expression is sex specifically regulated by Sex-lethal. </w:t>
      </w:r>
      <w:r w:rsidRPr="0050053D">
        <w:rPr>
          <w:i/>
          <w:iCs/>
          <w:noProof/>
          <w:sz w:val="24"/>
          <w:szCs w:val="24"/>
          <w:lang w:val="en-US"/>
        </w:rPr>
        <w:t>Development</w:t>
      </w:r>
      <w:r w:rsidRPr="0050053D">
        <w:rPr>
          <w:noProof/>
          <w:sz w:val="24"/>
          <w:szCs w:val="24"/>
          <w:lang w:val="en-US"/>
        </w:rPr>
        <w:t xml:space="preserve"> </w:t>
      </w:r>
      <w:r w:rsidRPr="0050053D">
        <w:rPr>
          <w:b/>
          <w:bCs/>
          <w:noProof/>
          <w:sz w:val="24"/>
          <w:szCs w:val="24"/>
          <w:lang w:val="en-US"/>
        </w:rPr>
        <w:t>121,</w:t>
      </w:r>
      <w:r w:rsidRPr="0050053D">
        <w:rPr>
          <w:noProof/>
          <w:sz w:val="24"/>
          <w:szCs w:val="24"/>
          <w:lang w:val="en-US"/>
        </w:rPr>
        <w:t xml:space="preserve"> 3245–3258 (1995).</w:t>
      </w:r>
    </w:p>
    <w:p w14:paraId="0AE4BD81"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21.</w:t>
      </w:r>
      <w:r w:rsidRPr="0050053D">
        <w:rPr>
          <w:noProof/>
          <w:sz w:val="24"/>
          <w:szCs w:val="24"/>
          <w:lang w:val="en-US"/>
        </w:rPr>
        <w:tab/>
        <w:t xml:space="preserve">Zhou, S. </w:t>
      </w:r>
      <w:r w:rsidRPr="0050053D">
        <w:rPr>
          <w:i/>
          <w:iCs/>
          <w:noProof/>
          <w:sz w:val="24"/>
          <w:szCs w:val="24"/>
          <w:lang w:val="en-US"/>
        </w:rPr>
        <w:t>et al.</w:t>
      </w:r>
      <w:r w:rsidRPr="0050053D">
        <w:rPr>
          <w:noProof/>
          <w:sz w:val="24"/>
          <w:szCs w:val="24"/>
          <w:lang w:val="en-US"/>
        </w:rPr>
        <w:t xml:space="preserve"> Male-specific lethal 2, a dosage compensation gene of Drosophila, undergoes sex-specific regulation and encodes a protein with a RING finger and a metallothionein-like cysteine cluster. </w:t>
      </w:r>
      <w:r w:rsidRPr="0050053D">
        <w:rPr>
          <w:i/>
          <w:iCs/>
          <w:noProof/>
          <w:sz w:val="24"/>
          <w:szCs w:val="24"/>
          <w:lang w:val="en-US"/>
        </w:rPr>
        <w:t>EMBO J.</w:t>
      </w:r>
      <w:r w:rsidRPr="0050053D">
        <w:rPr>
          <w:noProof/>
          <w:sz w:val="24"/>
          <w:szCs w:val="24"/>
          <w:lang w:val="en-US"/>
        </w:rPr>
        <w:t xml:space="preserve"> </w:t>
      </w:r>
      <w:r w:rsidRPr="0050053D">
        <w:rPr>
          <w:b/>
          <w:bCs/>
          <w:noProof/>
          <w:sz w:val="24"/>
          <w:szCs w:val="24"/>
          <w:lang w:val="en-US"/>
        </w:rPr>
        <w:t>14,</w:t>
      </w:r>
      <w:r w:rsidRPr="0050053D">
        <w:rPr>
          <w:noProof/>
          <w:sz w:val="24"/>
          <w:szCs w:val="24"/>
          <w:lang w:val="en-US"/>
        </w:rPr>
        <w:t xml:space="preserve"> 2884–95 (1995).</w:t>
      </w:r>
    </w:p>
    <w:p w14:paraId="0446C187"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22.</w:t>
      </w:r>
      <w:r w:rsidRPr="0050053D">
        <w:rPr>
          <w:noProof/>
          <w:sz w:val="24"/>
          <w:szCs w:val="24"/>
          <w:lang w:val="en-US"/>
        </w:rPr>
        <w:tab/>
        <w:t xml:space="preserve">Zhou, S. </w:t>
      </w:r>
      <w:r w:rsidRPr="0050053D">
        <w:rPr>
          <w:i/>
          <w:iCs/>
          <w:noProof/>
          <w:sz w:val="24"/>
          <w:szCs w:val="24"/>
          <w:lang w:val="en-US"/>
        </w:rPr>
        <w:t>et al.</w:t>
      </w:r>
      <w:r w:rsidRPr="0050053D">
        <w:rPr>
          <w:noProof/>
          <w:sz w:val="24"/>
          <w:szCs w:val="24"/>
          <w:lang w:val="en-US"/>
        </w:rPr>
        <w:t xml:space="preserve"> Male-specific lethal 2, a dosage compensation gene of Drosophila, undergoes sex-specific regulation and encodes a protein with a RING finger and a metallothionein-like cysteine cluster. </w:t>
      </w:r>
      <w:r w:rsidRPr="0050053D">
        <w:rPr>
          <w:i/>
          <w:iCs/>
          <w:noProof/>
          <w:sz w:val="24"/>
          <w:szCs w:val="24"/>
          <w:lang w:val="en-US"/>
        </w:rPr>
        <w:t>EMBO J.</w:t>
      </w:r>
      <w:r w:rsidRPr="0050053D">
        <w:rPr>
          <w:noProof/>
          <w:sz w:val="24"/>
          <w:szCs w:val="24"/>
          <w:lang w:val="en-US"/>
        </w:rPr>
        <w:t xml:space="preserve"> </w:t>
      </w:r>
      <w:r w:rsidRPr="0050053D">
        <w:rPr>
          <w:b/>
          <w:bCs/>
          <w:noProof/>
          <w:sz w:val="24"/>
          <w:szCs w:val="24"/>
          <w:lang w:val="en-US"/>
        </w:rPr>
        <w:t>14,</w:t>
      </w:r>
      <w:r w:rsidRPr="0050053D">
        <w:rPr>
          <w:noProof/>
          <w:sz w:val="24"/>
          <w:szCs w:val="24"/>
          <w:lang w:val="en-US"/>
        </w:rPr>
        <w:t xml:space="preserve"> 2884–95 (1995).</w:t>
      </w:r>
    </w:p>
    <w:p w14:paraId="297B0C58" w14:textId="77777777" w:rsidR="00911B33" w:rsidRPr="0050053D" w:rsidRDefault="00911B33" w:rsidP="00911B33">
      <w:pPr>
        <w:widowControl w:val="0"/>
        <w:autoSpaceDE w:val="0"/>
        <w:autoSpaceDN w:val="0"/>
        <w:adjustRightInd w:val="0"/>
        <w:spacing w:after="120"/>
        <w:ind w:left="641" w:hanging="641"/>
        <w:rPr>
          <w:noProof/>
          <w:sz w:val="24"/>
          <w:szCs w:val="24"/>
          <w:lang w:val="en-US"/>
        </w:rPr>
      </w:pPr>
      <w:r w:rsidRPr="0050053D">
        <w:rPr>
          <w:noProof/>
          <w:sz w:val="24"/>
          <w:szCs w:val="24"/>
          <w:lang w:val="en-US"/>
        </w:rPr>
        <w:t>23.</w:t>
      </w:r>
      <w:r w:rsidRPr="0050053D">
        <w:rPr>
          <w:noProof/>
          <w:sz w:val="24"/>
          <w:szCs w:val="24"/>
          <w:lang w:val="en-US"/>
        </w:rPr>
        <w:tab/>
        <w:t xml:space="preserve">Ramirez, F. </w:t>
      </w:r>
      <w:r w:rsidRPr="0050053D">
        <w:rPr>
          <w:i/>
          <w:iCs/>
          <w:noProof/>
          <w:sz w:val="24"/>
          <w:szCs w:val="24"/>
          <w:lang w:val="en-US"/>
        </w:rPr>
        <w:t>et al.</w:t>
      </w:r>
      <w:r w:rsidRPr="0050053D">
        <w:rPr>
          <w:noProof/>
          <w:sz w:val="24"/>
          <w:szCs w:val="24"/>
          <w:lang w:val="en-US"/>
        </w:rPr>
        <w:t xml:space="preserve"> High-Affinity Sites Form an Interaction Network to Facilitate Spreading of the MSL Complex across the X Chromosome in Drosophila. </w:t>
      </w:r>
      <w:r w:rsidRPr="0050053D">
        <w:rPr>
          <w:i/>
          <w:iCs/>
          <w:noProof/>
          <w:sz w:val="24"/>
          <w:szCs w:val="24"/>
          <w:lang w:val="en-US"/>
        </w:rPr>
        <w:t>Mol. Cell</w:t>
      </w:r>
      <w:r w:rsidRPr="0050053D">
        <w:rPr>
          <w:noProof/>
          <w:sz w:val="24"/>
          <w:szCs w:val="24"/>
          <w:lang w:val="en-US"/>
        </w:rPr>
        <w:t xml:space="preserve"> </w:t>
      </w:r>
      <w:r w:rsidRPr="0050053D">
        <w:rPr>
          <w:b/>
          <w:bCs/>
          <w:noProof/>
          <w:sz w:val="24"/>
          <w:szCs w:val="24"/>
          <w:lang w:val="en-US"/>
        </w:rPr>
        <w:t>60,</w:t>
      </w:r>
      <w:r w:rsidRPr="0050053D">
        <w:rPr>
          <w:noProof/>
          <w:sz w:val="24"/>
          <w:szCs w:val="24"/>
          <w:lang w:val="en-US"/>
        </w:rPr>
        <w:t xml:space="preserve"> 146–162 (2015).</w:t>
      </w:r>
    </w:p>
    <w:p w14:paraId="1D3B5268" w14:textId="23254D39" w:rsidR="00911B33" w:rsidRDefault="00911B33" w:rsidP="00911B33">
      <w:pPr>
        <w:rPr>
          <w:sz w:val="24"/>
          <w:szCs w:val="24"/>
        </w:rPr>
      </w:pPr>
      <w:r w:rsidRPr="00C07A08">
        <w:rPr>
          <w:sz w:val="24"/>
          <w:szCs w:val="24"/>
        </w:rPr>
        <w:fldChar w:fldCharType="end"/>
      </w:r>
    </w:p>
    <w:p w14:paraId="69105886" w14:textId="77777777" w:rsidR="00911B33" w:rsidRDefault="00911B33">
      <w:pPr>
        <w:rPr>
          <w:sz w:val="24"/>
          <w:szCs w:val="24"/>
        </w:rPr>
      </w:pPr>
      <w:r>
        <w:rPr>
          <w:sz w:val="24"/>
          <w:szCs w:val="24"/>
        </w:rPr>
        <w:br w:type="page"/>
      </w:r>
    </w:p>
    <w:p w14:paraId="4F058DFF" w14:textId="77777777" w:rsidR="00911B33" w:rsidRDefault="00911B33" w:rsidP="00911B33">
      <w:pPr>
        <w:rPr>
          <w:b/>
          <w:sz w:val="24"/>
          <w:szCs w:val="24"/>
        </w:rPr>
      </w:pPr>
    </w:p>
    <w:p w14:paraId="4EEC7ADE" w14:textId="77777777" w:rsidR="00BD7DD0" w:rsidRDefault="00BD7DD0" w:rsidP="00BD7DD0">
      <w:pPr>
        <w:rPr>
          <w:b/>
          <w:sz w:val="24"/>
          <w:szCs w:val="24"/>
        </w:rPr>
      </w:pPr>
      <w:r w:rsidRPr="00C07A08">
        <w:rPr>
          <w:b/>
          <w:sz w:val="24"/>
          <w:szCs w:val="24"/>
        </w:rPr>
        <w:t>Figure legends</w:t>
      </w:r>
    </w:p>
    <w:p w14:paraId="61328637" w14:textId="77777777" w:rsidR="00BD7DD0" w:rsidRPr="00C07A08" w:rsidRDefault="00BD7DD0" w:rsidP="00BD7DD0">
      <w:pPr>
        <w:rPr>
          <w:b/>
          <w:sz w:val="24"/>
          <w:szCs w:val="24"/>
        </w:rPr>
      </w:pPr>
    </w:p>
    <w:p w14:paraId="6A53D793" w14:textId="77777777" w:rsidR="00BD7DD0" w:rsidRPr="00215F5B" w:rsidRDefault="00BD7DD0" w:rsidP="00BD7DD0">
      <w:pPr>
        <w:rPr>
          <w:b/>
          <w:sz w:val="24"/>
          <w:szCs w:val="24"/>
        </w:rPr>
      </w:pPr>
      <w:r w:rsidRPr="00215F5B">
        <w:rPr>
          <w:b/>
          <w:sz w:val="24"/>
          <w:szCs w:val="24"/>
        </w:rPr>
        <w:t xml:space="preserve">Figure 1. RNA-DamID accurately detects lncRNA-chromatin interactions </w:t>
      </w:r>
      <w:r w:rsidRPr="00215F5B">
        <w:rPr>
          <w:b/>
          <w:i/>
          <w:sz w:val="24"/>
          <w:szCs w:val="24"/>
        </w:rPr>
        <w:t>in vivo</w:t>
      </w:r>
      <w:r w:rsidRPr="00215F5B">
        <w:rPr>
          <w:b/>
          <w:sz w:val="24"/>
          <w:szCs w:val="24"/>
        </w:rPr>
        <w:t>.</w:t>
      </w:r>
    </w:p>
    <w:p w14:paraId="2D821C50" w14:textId="77777777" w:rsidR="00BD7DD0" w:rsidRPr="00215F5B" w:rsidRDefault="00BD7DD0" w:rsidP="00BD7DD0">
      <w:pPr>
        <w:rPr>
          <w:sz w:val="24"/>
          <w:szCs w:val="24"/>
        </w:rPr>
      </w:pPr>
      <w:r w:rsidRPr="00215F5B">
        <w:rPr>
          <w:b/>
          <w:sz w:val="24"/>
          <w:szCs w:val="24"/>
        </w:rPr>
        <w:t>(a)</w:t>
      </w:r>
      <w:r w:rsidRPr="00215F5B">
        <w:rPr>
          <w:sz w:val="24"/>
          <w:szCs w:val="24"/>
        </w:rPr>
        <w:t xml:space="preserve"> Schematic representation of RNA-DamID. A lncRNA of interest (red) tagged with 3xMS2 stem loops is co-expressed with a Dam-MCP fusion protein (blue and green, respectively) under the spatial and temporal control of GAL4 (purple). The Dam-MCP fusion is recruited to sites of lncRNA-chromatin interaction and methylates adenines within the sequence GATC. lncRNA binding sites are identified genome-wide by DamID. </w:t>
      </w:r>
      <w:r w:rsidRPr="00215F5B">
        <w:rPr>
          <w:b/>
          <w:sz w:val="24"/>
          <w:szCs w:val="24"/>
        </w:rPr>
        <w:t>(b)</w:t>
      </w:r>
      <w:r w:rsidRPr="00215F5B">
        <w:rPr>
          <w:sz w:val="24"/>
          <w:szCs w:val="24"/>
        </w:rPr>
        <w:t xml:space="preserve"> A UAS-3xMS2-roX2 transgene was inserted on chromosome 3L. </w:t>
      </w:r>
      <w:r w:rsidRPr="00215F5B">
        <w:rPr>
          <w:b/>
          <w:sz w:val="24"/>
          <w:szCs w:val="24"/>
        </w:rPr>
        <w:t xml:space="preserve">(c) </w:t>
      </w:r>
      <w:r w:rsidRPr="00A2214F">
        <w:rPr>
          <w:sz w:val="24"/>
          <w:szCs w:val="24"/>
        </w:rPr>
        <w:t>Fold enrichment of</w:t>
      </w:r>
      <w:r w:rsidRPr="00215F5B">
        <w:rPr>
          <w:b/>
          <w:sz w:val="24"/>
          <w:szCs w:val="24"/>
        </w:rPr>
        <w:t xml:space="preserve"> </w:t>
      </w:r>
      <w:r w:rsidRPr="00215F5B">
        <w:rPr>
          <w:sz w:val="24"/>
          <w:szCs w:val="24"/>
        </w:rPr>
        <w:t>roX2 RNA-DamID binding in whole male larvae, normalised to the negative control, reveals binding exclusively to the X chromosome (average of two biological replicates).</w:t>
      </w:r>
    </w:p>
    <w:p w14:paraId="7384F0D7" w14:textId="77777777" w:rsidR="00BD7DD0" w:rsidRPr="00215F5B" w:rsidRDefault="00BD7DD0" w:rsidP="00BD7DD0">
      <w:pPr>
        <w:rPr>
          <w:sz w:val="24"/>
          <w:szCs w:val="24"/>
        </w:rPr>
      </w:pPr>
    </w:p>
    <w:p w14:paraId="4E1868C2" w14:textId="77777777" w:rsidR="00BD7DD0" w:rsidRPr="00215F5B" w:rsidRDefault="00BD7DD0" w:rsidP="00BD7DD0">
      <w:pPr>
        <w:tabs>
          <w:tab w:val="left" w:pos="940"/>
        </w:tabs>
        <w:ind w:right="261"/>
        <w:rPr>
          <w:sz w:val="24"/>
          <w:szCs w:val="24"/>
        </w:rPr>
      </w:pPr>
      <w:r w:rsidRPr="00215F5B">
        <w:rPr>
          <w:b/>
          <w:sz w:val="24"/>
          <w:szCs w:val="24"/>
        </w:rPr>
        <w:t>Figure 2. roX2 co-localises with the male-specific lethal complex.</w:t>
      </w:r>
    </w:p>
    <w:p w14:paraId="1977AFAC" w14:textId="77777777" w:rsidR="00BD7DD0" w:rsidRDefault="00BD7DD0" w:rsidP="00BD7DD0">
      <w:pPr>
        <w:tabs>
          <w:tab w:val="left" w:pos="940"/>
        </w:tabs>
        <w:ind w:right="261"/>
        <w:rPr>
          <w:sz w:val="24"/>
          <w:szCs w:val="24"/>
        </w:rPr>
      </w:pPr>
      <w:r w:rsidRPr="00215F5B">
        <w:rPr>
          <w:b/>
          <w:sz w:val="24"/>
          <w:szCs w:val="24"/>
        </w:rPr>
        <w:t xml:space="preserve">(a) </w:t>
      </w:r>
      <w:r w:rsidRPr="00A2214F">
        <w:rPr>
          <w:sz w:val="24"/>
          <w:szCs w:val="24"/>
        </w:rPr>
        <w:t>Peaks identified by</w:t>
      </w:r>
      <w:r w:rsidRPr="00215F5B">
        <w:rPr>
          <w:b/>
          <w:sz w:val="24"/>
          <w:szCs w:val="24"/>
        </w:rPr>
        <w:t xml:space="preserve"> </w:t>
      </w:r>
      <w:r w:rsidRPr="00215F5B">
        <w:rPr>
          <w:sz w:val="24"/>
          <w:szCs w:val="24"/>
        </w:rPr>
        <w:t xml:space="preserve">roX2 RNA-DamID co-localise with roX2 ChIRP </w:t>
      </w:r>
      <w:r w:rsidRPr="00A2214F">
        <w:rPr>
          <w:sz w:val="24"/>
          <w:szCs w:val="24"/>
        </w:rPr>
        <w:fldChar w:fldCharType="begin" w:fldLock="1"/>
      </w:r>
      <w:r>
        <w:rPr>
          <w:sz w:val="24"/>
          <w:szCs w:val="24"/>
        </w:rPr>
        <w:instrText>ADDIN CSL_CITATION { "citationItems" : [ { "id" : "ITEM-1", "itemData" : { "DOI" : "10.1101/gad.272187.115", "ISSN" : "15495477", "PMID" : "26773003", "abstract" : "Many long noncoding RNAs (lncRNAs) can regulate chromatin states, but the evolutionary origin and dynamics driving lncRNA-genome interactions are unclear. We adapted an integrative strategy that identifies lncRNA orthologs in different species despite limited sequence similarity, which is applicable to mammalian and insect lncRNAs. Analysis of the roX lncRNAs, which are essential for dosage compensation of the single X chromosome in Drosophila males, revealed 47 new roX orthologs in diverse Drosophilid species across \u223c40 million years of evolution. Genetic rescue by roX orthologs and engineered synthetic lncRNAs showed that altering the number of focal, repetitive RNA structures determines roX ortholog function. Genomic occupancy maps of roX RNAs in four species revealed conserved targeting of X chromosome neighborhoods but rapid turnover of individual binding sites. Many new roX-binding sites evolved from DNA encoding a pre-existing RNA splicing signal, effectively linking dosage compensation to transcribed genes. Thus, dynamic change in lncRNAs and their genomic targets underlies conserved and essential lncRNA-genome interactions.", "author" : [ { "dropping-particle" : "", "family" : "Quinn", "given" : "Jeffrey J.", "non-dropping-particle" : "", "parse-names" : false, "suffix" : "" }, { "dropping-particle" : "", "family" : "Zhang", "given" : "Qiangfeng C.", "non-dropping-particle" : "", "parse-names" : false, "suffix" : "" }, { "dropping-particle" : "", "family" : "Georgiev", "given" : "Plamen", "non-dropping-particle" : "", "parse-names" : false, "suffix" : "" }, { "dropping-particle" : "", "family" : "Ilik", "given" : "Ibrahim A.", "non-dropping-particle" : "", "parse-names" : false, "suffix" : "" }, { "dropping-particle" : "", "family" : "Akhtar", "given" : "Asifa", "non-dropping-particle" : "", "parse-names" : false, "suffix" : "" }, { "dropping-particle" : "", "family" : "Chang", "given" : "Howard Y.", "non-dropping-particle" : "", "parse-names" : false, "suffix" : "" } ], "container-title" : "Genes and Development", "id" : "ITEM-1", "issue" : "2", "issued" : { "date-parts" : [ [ "2016" ] ] }, "page" : "191-207", "title" : "Rapid evolutionary turnover underlies conserved lncRNA-genome interactions", "type" : "article-journal", "volume" : "30" }, "uris" : [ "http://www.mendeley.com/documents/?uuid=404135d6-fdb2-4af5-b9bd-99eb1c00e822" ] } ], "mendeley" : { "formattedCitation" : "&lt;sup&gt;10&lt;/sup&gt;", "plainTextFormattedCitation" : "10", "previouslyFormattedCitation" : "&lt;sup&gt;10&lt;/sup&gt;" }, "properties" : { "noteIndex" : 0 }, "schema" : "https://github.com/citation-style-language/schema/raw/master/csl-citation.json" }</w:instrText>
      </w:r>
      <w:r w:rsidRPr="00A2214F">
        <w:rPr>
          <w:sz w:val="24"/>
          <w:szCs w:val="24"/>
        </w:rPr>
        <w:fldChar w:fldCharType="separate"/>
      </w:r>
      <w:r w:rsidRPr="000A16E4">
        <w:rPr>
          <w:noProof/>
          <w:sz w:val="24"/>
          <w:szCs w:val="24"/>
          <w:vertAlign w:val="superscript"/>
        </w:rPr>
        <w:t>10</w:t>
      </w:r>
      <w:r w:rsidRPr="00A2214F">
        <w:rPr>
          <w:sz w:val="24"/>
          <w:szCs w:val="24"/>
        </w:rPr>
        <w:fldChar w:fldCharType="end"/>
      </w:r>
      <w:r w:rsidRPr="00215F5B">
        <w:rPr>
          <w:sz w:val="24"/>
          <w:szCs w:val="24"/>
        </w:rPr>
        <w:t xml:space="preserve">, Msl3 TaDa and H4K16ac ChIP </w:t>
      </w:r>
      <w:r w:rsidRPr="00A2214F">
        <w:rPr>
          <w:sz w:val="24"/>
          <w:szCs w:val="24"/>
        </w:rPr>
        <w:fldChar w:fldCharType="begin" w:fldLock="1"/>
      </w:r>
      <w:r>
        <w:rPr>
          <w:sz w:val="24"/>
          <w:szCs w:val="24"/>
        </w:rPr>
        <w:instrText>ADDIN CSL_CITATION { "citationItems" : [ { "id" : "ITEM-1", "itemData" : { "DOI" : "10.1038/nature13415", "ISBN" : "0000017892", "ISSN" : "1476-4687", "PMID" : "25164756", "abstract" : "Genome function is dynamically regulated in part by chromatin, which consists of the histones, non-histone proteins and RNA molecules that package DNA. Studies in Caenorhabditis elegans and Drosophila melanogaster have contributed substantially to our understanding of molecular mechanisms of genome function in humans, and have revealed conservation of chromatin components and mechanisms. Nevertheless, the three organisms have markedly different genome sizes, chromosome architecture and gene organization. On human and fly chromosomes, for example, pericentric heterochromatin flanks single centromeres, whereas worm chromosomes have dispersed heterochromatin-like regions enriched in the distal chromosomal 'arms', and centromeres distributed along their lengths. To systematically investigate chromatin organization and associated gene regulation across species, we generated and analysed a large collection of genome-wide chromatin data sets from cell lines and developmental stages in worm, fly and human. Here we present over 800 new data sets from our ENCODE and modENCODE consortia, bringing the total to over 1,400. Comparison of combinatorial patterns of histone modifications, nuclear lamina-associated domains, organization of large-scale topological domains, chromatin environment at promoters and enhancers, nucleosome positioning, and DNA replication patterns reveals many conserved features of chromatin organization among the three organisms. We also find notable differences in the composition and locations of repressive chromatin. These data sets and analyses provide a rich resource for comparative and species-specific investigations of chromatin composition, organization and function.", "author" : [ { "dropping-particle" : "", "family" : "Ho", "given" : "Joshua W K", "non-dropping-particle" : "", "parse-names" : false, "suffix" : "" }, { "dropping-particle" : "", "family" : "Jung", "given" : "Youngsook L", "non-dropping-particle" : "", "parse-names" : false, "suffix" : "" }, { "dropping-particle" : "", "family" : "Liu", "given" : "Tao", "non-dropping-particle" : "", "parse-names" : false, "suffix" : "" }, { "dropping-particle" : "", "family" : "Alver", "given" : "Burak H", "non-dropping-particle" : "", "parse-names" : false, "suffix" : "" }, { "dropping-particle" : "", "family" : "Lee", "given" : "Soohyun", "non-dropping-particle" : "", "parse-names" : false, "suffix" : "" }, { "dropping-particle" : "", "family" : "Ikegami", "given" : "Kohta", "non-dropping-particle" : "", "parse-names" : false, "suffix" : "" }, { "dropping-particle" : "", "family" : "Sohn", "given" : "Kyung-Ah", "non-dropping-particle" : "", "parse-names" : false, "suffix" : "" }, { "dropping-particle" : "", "family" : "Minoda", "given" : "Aki", "non-dropping-particle" : "", "parse-names" : false, "suffix" : "" }, { "dropping-particle" : "", "family" : "Tolstorukov", "given" : "Michael Y", "non-dropping-particle" : "", "parse-names" : false, "suffix" : "" }, { "dropping-particle" : "", "family" : "Appert", "given" : "Alex", "non-dropping-particle" : "", "parse-names" : false, "suffix" : "" }, { "dropping-particle" : "", "family" : "Parker", "given" : "Stephen C J", "non-dropping-particle" : "", "parse-names" : false, "suffix" : "" }, { "dropping-particle" : "", "family" : "Gu", "given" : "Tingting", "non-dropping-particle" : "", "parse-names" : false, "suffix" : "" }, { "dropping-particle" : "", "family" : "Kundaje", "given" : "Anshul", "non-dropping-particle" : "", "parse-names" : false, "suffix" : "" }, { "dropping-particle" : "", "family" : "Riddle", "given" : "Nicole C", "non-dropping-particle" : "", "parse-names" : false, "suffix" : "" }, { "dropping-particle" : "", "family" : "Bishop", "given" : "Eric", "non-dropping-particle" : "", "parse-names" : false, "suffix" : "" }, { "dropping-particle" : "", "family" : "Egelhofer", "given" : "Thea A", "non-dropping-particle" : "", "parse-names" : false, "suffix" : "" }, { "dropping-particle" : "", "family" : "Hu", "given" : "Sheng'en Shawn", "non-dropping-particle" : "", "parse-names" : false, "suffix" : "" }, { "dropping-particle" : "", "family" : "Alekseyenko", "given" : "Artyom A", "non-dropping-particle" : "", "parse-names" : false, "suffix" : "" }, { "dropping-particle" : "", "family" : "Rechtsteiner", "given" : "Andreas", "non-dropping-particle" : "", "parse-names" : false, "suffix" : "" }, { "dropping-particle" : "", "family" : "Asker", "given" : "Dalal", "non-dropping-particle" : "", "parse-names" : false, "suffix" : "" }, { "dropping-particle" : "", "family" : "Belsky", "given" : "Jason A", "non-dropping-particle" : "", "parse-names" : false, "suffix" : "" }, { "dropping-particle" : "", "family" : "Bowman", "given" : "Sarah K", "non-dropping-particle" : "", "parse-names" : false, "suffix" : "" }, { "dropping-particle" : "", "family" : "Chen", "given" : "Q Brent", "non-dropping-particle" : "", "parse-names" : false, "suffix" : "" }, { "dropping-particle" : "", "family" : "Chen", "given" : "Ron A-J", "non-dropping-particle" : "", "parse-names" : false, "suffix" : "" }, { "dropping-particle" : "", "family" : "Day", "given" : "Daniel S", "non-dropping-particle" : "", "parse-names" : false, "suffix" : "" }, { "dropping-particle" : "", "family" : "Dong", "given" : "Yan", "non-dropping-particle" : "", "parse-names" : false, "suffix" : "" }, { "dropping-particle" : "", "family" : "Dose", "given" : "Andrea C", "non-dropping-particle" : "", "parse-names" : false, "suffix" : "" }, { "dropping-particle" : "", "family" : "Duan", "given" : "Xikun", "non-dropping-particle" : "", "parse-names" : false, "suffix" : "" }, { "dropping-particle" : "", "family" : "Epstein", "given" : "Charles B", "non-dropping-particle" : "", "parse-names" : false, "suffix" : "" }, { "dropping-particle" : "", "family" : "Ercan", "given" : "Sevinc", "non-dropping-particle" : "", "parse-names" : false, "suffix" : "" }, { "dropping-particle" : "", "family" : "Feingold", "given" : "Elise A", "non-dropping-particle" : "", "parse-names" : false, "suffix" : "" }, { "dropping-particle" : "", "family" : "Ferrari", "given" : "Francesco", "non-dropping-particle" : "", "parse-names" : false, "suffix" : "" }, { "dropping-particle" : "", "family" : "Garrigues", "given" : "Jacob M", "non-dropping-particle" : "", "parse-names" : false, "suffix" : "" }, { "dropping-particle" : "", "family" : "Gehlenborg", "given" : "Nils", "non-dropping-particle" : "", "parse-names" : false, "suffix" : "" }, { "dropping-particle" : "", "family" : "Good", "given" : "Peter J", "non-dropping-particle" : "", "parse-names" : false, "suffix" : "" }, { "dropping-particle" : "", "family" : "Haseley", "given" : "Psalm", "non-dropping-particle" : "", "parse-names" : false, "suffix" : "" }, { "dropping-particle" : "", "family" : "He", "given" : "Daniel", "non-dropping-particle" : "", "parse-names" : false, "suffix" : "" }, { "dropping-particle" : "", "family" : "Herrmann", "given" : "Moritz", "non-dropping-particle" : "", "parse-names" : false, "suffix" : "" }, { "dropping-particle" : "", "family" : "Hoffman", "given" : "Michael M", "non-dropping-particle" : "", "parse-names" : false, "suffix" : "" }, { "dropping-particle" : "", "family" : "Jeffers", "given" : "Tess E", "non-dropping-particle" : "", "parse-names" : false, "suffix" : "" }, { "dropping-particle" : "V", "family" : "Kharchenko", "given" : "Peter", "non-dropping-particle" : "", "parse-names" : false, "suffix" : "" }, { "dropping-particle" : "", "family" : "Kolasinska-Zwierz", "given" : "Paulina", "non-dropping-particle" : "", "parse-names" : false, "suffix" : "" }, { "dropping-particle" : "V", "family" : "Kotwaliwale", "given" : "Chitra", "non-dropping-particle" : "", "parse-names" : false, "suffix" : "" }, { "dropping-particle" : "", "family" : "Kumar", "given" : "Nischay", "non-dropping-particle" : "", "parse-names" : false, "suffix" : "" }, { "dropping-particle" : "", "family" : "Langley", "given" : "Sasha A", "non-dropping-particle" : "", "parse-names" : false, "suffix" : "" }, { "dropping-particle" : "", "family" : "Larschan", "given" : "Erica N", "non-dropping-particle" : "", "parse-names" : false, "suffix" : "" }, { "dropping-particle" : "", "family" : "Latorre", "given" : "Isabel", "non-dropping-particle" : "", "parse-names" : false, "suffix" : "" }, { "dropping-particle" : "", "family" : "Libbrecht", "given" : "Maxwell W", "non-dropping-particle" : "", "parse-names" : false, "suffix" : "" }, { "dropping-particle" : "", "family" : "Lin", "given" : "Xueqiu", "non-dropping-particle" : "", "parse-names" : false, "suffix" : "" }, { "dropping-particle" : "", "family" : "Park", "given" : "Richard", "non-dropping-particle" : "", "parse-names" : false, "suffix" : "" }, { "dropping-particle" : "", "family" : "Pazin", "given" : "Michael J", "non-dropping-particle" : "", "parse-names" : false, "suffix" : "" }, { "dropping-particle" : "", "family" : "Pham", "given" : "Hoang N", "non-dropping-particle" : "", "parse-names" : false, "suffix" : "" }, { "dropping-particle" : "", "family" : "Plachetka", "given" : "Annette", "non-dropping-particle" : "", "parse-names" : false, "suffix" : "" }, { "dropping-particle" : "", "family" : "Qin", "given" : "Bo", "non-dropping-particle" : "", "parse-names" : false, "suffix" : "" }, { "dropping-particle" : "", "family" : "Schwartz", "given" : "Yuri B", "non-dropping-particle" : "", "parse-names" : false, "suffix" : "" }, { "dropping-particle" : "", "family" : "Shoresh", "given" : "Noam", "non-dropping-particle" : "", "parse-names" : false, "suffix" : "" }, { "dropping-particle" : "", "family" : "Stempor", "given" : "Przemyslaw", "non-dropping-particle" : "", "parse-names" : false, "suffix" : "" }, { "dropping-particle" : "", "family" : "Vielle", "given" : "Anne", "non-dropping-particle" : "", "parse-names" : false, "suffix" : "" }, { "dropping-particle" : "", "family" : "Wang", "given" : "Chengyang", "non-dropping-particle" : "", "parse-names" : false, "suffix" : "" }, { "dropping-particle" : "", "family" : "Whittle", "given" : "Christina M", "non-dropping-particle" : "", "parse-names" : false, "suffix" : "" }, { "dropping-particle" : "", "family" : "Xue", "given" : "Huiling", "non-dropping-particle" : "", "parse-names" : false, "suffix" : "" }, { "dropping-particle" : "", "family" : "Kingston", "given" : "Robert E", "non-dropping-particle" : "", "parse-names" : false, "suffix" : "" }, { "dropping-particle" : "", "family" : "Kim", "given" : "Ju Han", "non-dropping-particle" : "", "parse-names" : false, "suffix" : "" }, { "dropping-particle" : "", "family" : "Bernstein", "given" : "Bradley E", "non-dropping-particle" : "", "parse-names" : false, "suffix" : "" }, { "dropping-particle" : "", "family" : "Dernburg", "given" : "Abby F", "non-dropping-particle" : "", "parse-names" : false, "suffix" : "" }, { "dropping-particle" : "", "family" : "Pirrotta", "given" : "Vincenzo", "non-dropping-particle" : "", "parse-names" : false, "suffix" : "" }, { "dropping-particle" : "", "family" : "Kuroda", "given" : "Mitzi I", "non-dropping-particle" : "", "parse-names" : false, "suffix" : "" }, { "dropping-particle" : "", "family" : "Noble", "given" : "William S", "non-dropping-particle" : "", "parse-names" : false, "suffix" : "" }, { "dropping-particle" : "", "family" : "Tullius", "given" : "Thomas D", "non-dropping-particle" : "", "parse-names" : false, "suffix" : "" }, { "dropping-particle" : "", "family" : "Kellis", "given" : "Manolis", "non-dropping-particle" : "", "parse-names" : false, "suffix" : "" }, { "dropping-particle" : "", "family" : "MacAlpine", "given" : "David M", "non-dropping-particle" : "", "parse-names" : false, "suffix" : "" }, { "dropping-particle" : "", "family" : "Strome", "given" : "Susan", "non-dropping-particle" : "", "parse-names" : false, "suffix" : "" }, { "dropping-particle" : "", "family" : "Elgin", "given" : "Sarah C R", "non-dropping-particle" : "", "parse-names" : false, "suffix" : "" }, { "dropping-particle" : "", "family" : "Liu", "given" : "Xiaole Shirley", "non-dropping-particle" : "", "parse-names" : false, "suffix" : "" }, { "dropping-particle" : "", "family" : "Lieb", "given" : "Jason D", "non-dropping-particle" : "", "parse-names" : false, "suffix" : "" }, { "dropping-particle" : "", "family" : "Ahringer", "given" : "Julie", "non-dropping-particle" : "", "parse-names" : false, "suffix" : "" }, { "dropping-particle" : "", "family" : "Karpen", "given" : "Gary H", "non-dropping-particle" : "", "parse-names" : false, "suffix" : "" }, { "dropping-particle" : "", "family" : "Park", "given" : "Peter J", "non-dropping-particle" : "", "parse-names" : false, "suffix" : "" } ], "container-title" : "Nature", "id" : "ITEM-1", "issue" : "7515", "issued" : { "date-parts" : [ [ "2014" ] ] }, "page" : "449-52", "publisher" : "Nature Publishing Group", "title" : "Comparative analysis of metazoan chromatin organization.", "type" : "article-journal", "volume" : "512" }, "uris" : [ "http://www.mendeley.com/documents/?uuid=92cff524-eab2-4003-9649-912632dd2e99" ] } ], "mendeley" : { "formattedCitation" : "&lt;sup&gt;11&lt;/sup&gt;", "plainTextFormattedCitation" : "11", "previouslyFormattedCitation" : "&lt;sup&gt;11&lt;/sup&gt;" }, "properties" : { "noteIndex" : 0 }, "schema" : "https://github.com/citation-style-language/schema/raw/master/csl-citation.json" }</w:instrText>
      </w:r>
      <w:r w:rsidRPr="00A2214F">
        <w:rPr>
          <w:sz w:val="24"/>
          <w:szCs w:val="24"/>
        </w:rPr>
        <w:fldChar w:fldCharType="separate"/>
      </w:r>
      <w:r w:rsidRPr="000A16E4">
        <w:rPr>
          <w:noProof/>
          <w:sz w:val="24"/>
          <w:szCs w:val="24"/>
          <w:vertAlign w:val="superscript"/>
        </w:rPr>
        <w:t>11</w:t>
      </w:r>
      <w:r w:rsidRPr="00A2214F">
        <w:rPr>
          <w:sz w:val="24"/>
          <w:szCs w:val="24"/>
        </w:rPr>
        <w:fldChar w:fldCharType="end"/>
      </w:r>
      <w:r w:rsidRPr="00215F5B">
        <w:rPr>
          <w:sz w:val="24"/>
          <w:szCs w:val="24"/>
        </w:rPr>
        <w:t xml:space="preserve">. RNA-DamID scale represents log2 fold change of 3xMS2-roX2 and Dam-MCP compared to 3xMS2 and Dam-MCP (average of two biological replicates). Msl3 TaDa scale is a log2 fold change of Msl3-Dam fusion compared to Dam-alone. Chirp signal is log2 transformed. H4K16ac represents log2 fold change of H4K16ac ChIP over input. </w:t>
      </w:r>
      <w:r w:rsidRPr="00215F5B">
        <w:rPr>
          <w:b/>
          <w:sz w:val="24"/>
          <w:szCs w:val="24"/>
        </w:rPr>
        <w:t xml:space="preserve">(b) </w:t>
      </w:r>
      <w:r w:rsidRPr="00215F5B">
        <w:rPr>
          <w:sz w:val="24"/>
          <w:szCs w:val="24"/>
        </w:rPr>
        <w:t>Heat map of roX2 RNA-DamID, roX2 ChIRP, Msl3 and H4K16 ChIP signal plotted with over a 20kb window either side of roX2 ChIRP peaks. The majority of ChIRP X chromosome peaks, but not autosomal ChIRP peaks, show an enrichment of RNA-DamID, Msl3 TaDa and H4K16ac ChIP signal.</w:t>
      </w:r>
    </w:p>
    <w:p w14:paraId="0FFE2734" w14:textId="77777777" w:rsidR="008C7D47" w:rsidRPr="00215F5B" w:rsidRDefault="008C7D47" w:rsidP="00BD7DD0">
      <w:pPr>
        <w:tabs>
          <w:tab w:val="left" w:pos="940"/>
        </w:tabs>
        <w:ind w:right="261"/>
        <w:rPr>
          <w:sz w:val="24"/>
          <w:szCs w:val="24"/>
        </w:rPr>
      </w:pPr>
    </w:p>
    <w:p w14:paraId="1F9B211E" w14:textId="77777777" w:rsidR="00BD7DD0" w:rsidRPr="00215F5B" w:rsidRDefault="00BD7DD0" w:rsidP="00BD7DD0">
      <w:pPr>
        <w:tabs>
          <w:tab w:val="left" w:pos="940"/>
        </w:tabs>
        <w:rPr>
          <w:sz w:val="24"/>
          <w:szCs w:val="24"/>
        </w:rPr>
      </w:pPr>
      <w:r w:rsidRPr="00215F5B">
        <w:rPr>
          <w:b/>
          <w:sz w:val="24"/>
          <w:szCs w:val="24"/>
        </w:rPr>
        <w:t xml:space="preserve">Figure 3. roX1 binding to CES is cell-type specific </w:t>
      </w:r>
    </w:p>
    <w:p w14:paraId="1D524841" w14:textId="77777777" w:rsidR="00BD7DD0" w:rsidRPr="00806AE2" w:rsidRDefault="00BD7DD0" w:rsidP="00BD7DD0">
      <w:pPr>
        <w:tabs>
          <w:tab w:val="left" w:pos="940"/>
        </w:tabs>
        <w:ind w:right="402"/>
        <w:rPr>
          <w:sz w:val="24"/>
          <w:szCs w:val="24"/>
        </w:rPr>
      </w:pPr>
      <w:r w:rsidRPr="00806AE2">
        <w:rPr>
          <w:b/>
          <w:sz w:val="24"/>
          <w:szCs w:val="24"/>
        </w:rPr>
        <w:t>(a</w:t>
      </w:r>
      <w:r>
        <w:rPr>
          <w:sz w:val="24"/>
          <w:szCs w:val="24"/>
        </w:rPr>
        <w:t xml:space="preserve">) </w:t>
      </w:r>
      <w:r w:rsidRPr="00806AE2">
        <w:rPr>
          <w:sz w:val="24"/>
          <w:szCs w:val="24"/>
        </w:rPr>
        <w:t xml:space="preserve">roX1 RNA-DamID signal from NSCs, salivary glands and whole larvae is enriched on the X chromosome (average of two biological replicates). Signal is plotted as fold enrichment over negative control. </w:t>
      </w:r>
      <w:r w:rsidRPr="00806AE2">
        <w:rPr>
          <w:b/>
          <w:sz w:val="24"/>
          <w:szCs w:val="24"/>
        </w:rPr>
        <w:t xml:space="preserve">(b) </w:t>
      </w:r>
      <w:r w:rsidRPr="00806AE2">
        <w:rPr>
          <w:sz w:val="24"/>
          <w:szCs w:val="24"/>
        </w:rPr>
        <w:t>Heat map of cell-type-specific binding to CES. Quantile-normalised log2 RNA-DamID is plotted over each CES (</w:t>
      </w:r>
      <w:r w:rsidRPr="00806AE2">
        <w:rPr>
          <w:b/>
          <w:sz w:val="24"/>
          <w:szCs w:val="24"/>
        </w:rPr>
        <w:t xml:space="preserve">c) </w:t>
      </w:r>
      <w:r w:rsidRPr="00806AE2">
        <w:rPr>
          <w:sz w:val="24"/>
          <w:szCs w:val="24"/>
        </w:rPr>
        <w:t>Example of cell-type-specific CES. log2 fold change of 3xMS2-roX2, Dam-MCP compared to 3xMS2, Dam-MCP.</w:t>
      </w:r>
    </w:p>
    <w:p w14:paraId="78AA9C9C" w14:textId="77777777" w:rsidR="00BD7DD0" w:rsidRDefault="00BD7DD0" w:rsidP="00BD7DD0">
      <w:pPr>
        <w:rPr>
          <w:b/>
        </w:rPr>
      </w:pPr>
    </w:p>
    <w:p w14:paraId="4446F2F3" w14:textId="77777777" w:rsidR="00BD7DD0" w:rsidRPr="00E173BC" w:rsidRDefault="00BD7DD0" w:rsidP="00BD7DD0">
      <w:pPr>
        <w:rPr>
          <w:b/>
          <w:sz w:val="24"/>
          <w:szCs w:val="24"/>
        </w:rPr>
      </w:pPr>
      <w:r w:rsidRPr="00215F5B">
        <w:rPr>
          <w:b/>
          <w:sz w:val="24"/>
          <w:szCs w:val="24"/>
        </w:rPr>
        <w:t xml:space="preserve">Figure </w:t>
      </w:r>
      <w:r w:rsidRPr="00E173BC">
        <w:rPr>
          <w:b/>
          <w:sz w:val="24"/>
          <w:szCs w:val="24"/>
        </w:rPr>
        <w:t>4. roX2 targets a subset of chromatin entry sites in females</w:t>
      </w:r>
    </w:p>
    <w:p w14:paraId="3F863CF3" w14:textId="420198F5" w:rsidR="00EC3905" w:rsidRPr="00215F5B" w:rsidRDefault="00BD7DD0" w:rsidP="00F803A5">
      <w:pPr>
        <w:rPr>
          <w:b/>
          <w:sz w:val="24"/>
          <w:szCs w:val="24"/>
        </w:rPr>
      </w:pPr>
      <w:r w:rsidRPr="00215F5B">
        <w:rPr>
          <w:b/>
          <w:sz w:val="24"/>
          <w:szCs w:val="24"/>
        </w:rPr>
        <w:t xml:space="preserve">(a) </w:t>
      </w:r>
      <w:r w:rsidRPr="00215F5B">
        <w:rPr>
          <w:sz w:val="24"/>
          <w:szCs w:val="24"/>
        </w:rPr>
        <w:t xml:space="preserve">roX2 is enriched on the X chromosome when expressed in female larvae. Data is plotted as fold enrichment over negative control. </w:t>
      </w:r>
      <w:r w:rsidRPr="00215F5B">
        <w:rPr>
          <w:b/>
          <w:sz w:val="24"/>
          <w:szCs w:val="24"/>
        </w:rPr>
        <w:t xml:space="preserve">(b) </w:t>
      </w:r>
      <w:r w:rsidRPr="00215F5B">
        <w:rPr>
          <w:sz w:val="24"/>
          <w:szCs w:val="24"/>
        </w:rPr>
        <w:t xml:space="preserve">roX2 occupancy is not enriched over most male binding sites. Data is plotted as the average log2 fold enrichment over the midpoint of each male peak. </w:t>
      </w:r>
      <w:r w:rsidRPr="00215F5B">
        <w:rPr>
          <w:b/>
          <w:sz w:val="24"/>
          <w:szCs w:val="24"/>
        </w:rPr>
        <w:t xml:space="preserve">(c) </w:t>
      </w:r>
      <w:r w:rsidRPr="00215F5B">
        <w:rPr>
          <w:sz w:val="24"/>
          <w:szCs w:val="24"/>
        </w:rPr>
        <w:t>Examples of female-bound chromatin entry sites.</w:t>
      </w:r>
      <w:r w:rsidRPr="00215F5B">
        <w:rPr>
          <w:b/>
          <w:sz w:val="24"/>
          <w:szCs w:val="24"/>
        </w:rPr>
        <w:t xml:space="preserve"> (d) </w:t>
      </w:r>
      <w:r w:rsidRPr="00215F5B">
        <w:rPr>
          <w:sz w:val="24"/>
          <w:szCs w:val="24"/>
        </w:rPr>
        <w:t xml:space="preserve">Heatmap of roX2 occupancy on a subset of CES. Binding is abolished in msl-2 mutants </w:t>
      </w:r>
      <w:r w:rsidRPr="00A2214F">
        <w:rPr>
          <w:sz w:val="24"/>
          <w:szCs w:val="24"/>
        </w:rPr>
        <w:fldChar w:fldCharType="begin" w:fldLock="1"/>
      </w:r>
      <w:r>
        <w:rPr>
          <w:sz w:val="24"/>
          <w:szCs w:val="24"/>
        </w:rPr>
        <w:instrText>ADDIN CSL_CITATION { "citationItems" : [ { "id" : "ITEM-1", "itemData" : { "ISSN" : "0261-4189", "PMID" : "7796814", "abstract" : "In Drosophila the equalization of X-linked gene products between males and females, i.e. dosage compensation, is the result of a 2-fold hypertranscription of most of these genes in males. At least four regulatory genes are required for this process. Three of these genes, maleless (mle), male-specific lethal 1 (msl-1) and male-specific lethal 3 (msl-3), have been cloned and their products have been shown to interact and to bind to numerous sites on the X chromosome of males, but not of females. Although binding to the X chromosome is negatively correlated with the function of the master regulatory gene Sex lethal (Sxl), the mechanisms that restrict this binding to males and to the X chromosome are not yet understood. We have cloned the last of the known autosomal genes involved in dosage compensation, male-specific lethal 2 (msl-2), and characterized its product. The encoded protein (MSL-2) consists of 769 amino acid residues and has a RING finger (C3HC4 zinc finger) and a metallothionein-like domain with eight conserved and two non-conserved cysteines. In addition, it contains a positively and a negatively charged amino acid residue cluster and a coiled coil domain that may be involved in protein-protein interactions. Males produce a msl-2 transcript that is shorter than in females, due to differential splicing of an intron of 132 bases in the untranslated leader. Using an antiserum against MSL-2 we have shown that the protein is expressed at a detectable level only in males, where it is physically associated with the X chromosome. Our observations suggest that MSL-2 may be the target of the master regulatory gene Sxl and provide the basic elements of a working hypothesis on the function of MSL-2 in mediating the 2-fold increase in transcription that is characteristic of dosage compensation.", "author" : [ { "dropping-particle" : "", "family" : "Zhou", "given" : "S", "non-dropping-particle" : "", "parse-names" : false, "suffix" : "" }, { "dropping-particle" : "", "family" : "Yang", "given" : "Y", "non-dropping-particle" : "", "parse-names" : false, "suffix" : "" }, { "dropping-particle" : "", "family" : "Scott", "given" : "M J", "non-dropping-particle" : "", "parse-names" : false, "suffix" : "" }, { "dropping-particle" : "", "family" : "Pannuti", "given" : "A", "non-dropping-particle" : "", "parse-names" : false, "suffix" : "" }, { "dropping-particle" : "", "family" : "Fehr", "given" : "K C", "non-dropping-particle" : "", "parse-names" : false, "suffix" : "" }, { "dropping-particle" : "", "family" : "Eisen", "given" : "A", "non-dropping-particle" : "", "parse-names" : false, "suffix" : "" }, { "dropping-particle" : "V", "family" : "Koonin", "given" : "E", "non-dropping-particle" : "", "parse-names" : false, "suffix" : "" }, { "dropping-particle" : "", "family" : "Fouts", "given" : "D L", "non-dropping-particle" : "", "parse-names" : false, "suffix" : "" }, { "dropping-particle" : "", "family" : "Wrightsman", "given" : "R", "non-dropping-particle" : "", "parse-names" : false, "suffix" : "" }, { "dropping-particle" : "", "family" : "Manning", "given" : "J E", "non-dropping-particle" : "", "parse-names" : false, "suffix" : "" } ], "container-title" : "The EMBO journal", "id" : "ITEM-1", "issue" : "12", "issued" : { "date-parts" : [ [ "1995", "6" ] ] }, "page" : "2884-95", "title" : "Male-specific lethal 2, a dosage compensation gene of Drosophila, undergoes sex-specific regulation and encodes a protein with a RING finger and a metallothionein-like cysteine cluster.", "type" : "article-journal", "volume" : "14" }, "uris" : [ "http://www.mendeley.com/documents/?uuid=54a70ed5-ff8d-4106-b92e-3ee057011449", "http://www.mendeley.com/documents/?uuid=465cdde4-2f6f-3a26-b372-05899d4eed7f" ] } ], "mendeley" : { "formattedCitation" : "&lt;sup&gt;22&lt;/sup&gt;", "plainTextFormattedCitation" : "22", "previouslyFormattedCitation" : "&lt;sup&gt;22&lt;/sup&gt;" }, "properties" : { "noteIndex" : 0 }, "schema" : "https://github.com/citation-style-language/schema/raw/master/csl-citation.json" }</w:instrText>
      </w:r>
      <w:r w:rsidRPr="00A2214F">
        <w:rPr>
          <w:sz w:val="24"/>
          <w:szCs w:val="24"/>
        </w:rPr>
        <w:fldChar w:fldCharType="separate"/>
      </w:r>
      <w:r w:rsidRPr="00A41997">
        <w:rPr>
          <w:noProof/>
          <w:sz w:val="24"/>
          <w:szCs w:val="24"/>
          <w:vertAlign w:val="superscript"/>
        </w:rPr>
        <w:t>22</w:t>
      </w:r>
      <w:r w:rsidRPr="00A2214F">
        <w:rPr>
          <w:sz w:val="24"/>
          <w:szCs w:val="24"/>
        </w:rPr>
        <w:fldChar w:fldCharType="end"/>
      </w:r>
      <w:r w:rsidRPr="00215F5B">
        <w:rPr>
          <w:sz w:val="24"/>
          <w:szCs w:val="24"/>
        </w:rPr>
        <w:t>. Data are represented as log2 transformed RNA-DamID signal. CES are k-means clustered according to roX2 signal in wild-type female larvae.</w:t>
      </w:r>
    </w:p>
    <w:p w14:paraId="35D06F18" w14:textId="3ADF43AF" w:rsidR="00073C82" w:rsidRPr="00C07A08" w:rsidRDefault="00073C82" w:rsidP="00F803A5">
      <w:pPr>
        <w:widowControl w:val="0"/>
        <w:autoSpaceDE w:val="0"/>
        <w:autoSpaceDN w:val="0"/>
        <w:adjustRightInd w:val="0"/>
        <w:spacing w:after="120"/>
      </w:pPr>
    </w:p>
    <w:p w14:paraId="7F3928D8" w14:textId="77777777" w:rsidR="005149A7" w:rsidRDefault="005149A7" w:rsidP="00E0179D">
      <w:pPr>
        <w:rPr>
          <w:b/>
        </w:rPr>
      </w:pPr>
      <w:r w:rsidRPr="00B20AB4">
        <w:rPr>
          <w:b/>
        </w:rPr>
        <w:br w:type="page"/>
      </w:r>
    </w:p>
    <w:p w14:paraId="4530120A" w14:textId="77777777" w:rsidR="00587AC7" w:rsidRDefault="00587AC7" w:rsidP="00587AC7">
      <w:pPr>
        <w:pStyle w:val="SMHeading"/>
        <w:spacing w:before="0" w:after="0"/>
        <w:rPr>
          <w:lang w:val="en-GB"/>
        </w:rPr>
      </w:pPr>
      <w:r>
        <w:rPr>
          <w:lang w:val="en-GB"/>
        </w:rPr>
        <w:t xml:space="preserve">Online </w:t>
      </w:r>
      <w:r w:rsidRPr="00A2214F">
        <w:rPr>
          <w:lang w:val="en-GB"/>
        </w:rPr>
        <w:t>Methods</w:t>
      </w:r>
    </w:p>
    <w:p w14:paraId="6030D8FB" w14:textId="77777777" w:rsidR="00587AC7" w:rsidRPr="00A2214F" w:rsidRDefault="00587AC7" w:rsidP="00587AC7">
      <w:pPr>
        <w:pStyle w:val="SMHeading"/>
        <w:spacing w:before="0" w:after="0"/>
        <w:rPr>
          <w:lang w:val="en-GB"/>
        </w:rPr>
      </w:pPr>
    </w:p>
    <w:p w14:paraId="4D00FCBC" w14:textId="77777777" w:rsidR="00587AC7" w:rsidRPr="00C07A08" w:rsidRDefault="00587AC7" w:rsidP="00587AC7">
      <w:pPr>
        <w:spacing w:line="360" w:lineRule="auto"/>
        <w:rPr>
          <w:b/>
          <w:sz w:val="24"/>
          <w:szCs w:val="24"/>
        </w:rPr>
      </w:pPr>
      <w:r w:rsidRPr="00C07A08">
        <w:rPr>
          <w:b/>
          <w:sz w:val="24"/>
          <w:szCs w:val="24"/>
        </w:rPr>
        <w:t>Cloning</w:t>
      </w:r>
    </w:p>
    <w:p w14:paraId="39EC9330" w14:textId="1DEA5E3F" w:rsidR="00587AC7" w:rsidRDefault="00587AC7" w:rsidP="00587AC7">
      <w:pPr>
        <w:spacing w:line="360" w:lineRule="auto"/>
        <w:rPr>
          <w:sz w:val="24"/>
          <w:szCs w:val="24"/>
        </w:rPr>
      </w:pPr>
      <w:r w:rsidRPr="00B20AB4">
        <w:rPr>
          <w:sz w:val="24"/>
          <w:szCs w:val="24"/>
        </w:rPr>
        <w:t>To clone pUAST-LT3-Dam-NLS-MCPx2, NLS-MCPx2 was amplified and inserted into pUAST-LT3-Dam with XhoI and NotI. To clone pUAST_3xMS2, 3xMS2 was amplified from pCDNA3-3xMS2 (g</w:t>
      </w:r>
      <w:r w:rsidR="008C7D47">
        <w:rPr>
          <w:sz w:val="24"/>
          <w:szCs w:val="24"/>
        </w:rPr>
        <w:t>ift of P.</w:t>
      </w:r>
      <w:r w:rsidRPr="00B20AB4">
        <w:rPr>
          <w:sz w:val="24"/>
          <w:szCs w:val="24"/>
        </w:rPr>
        <w:t xml:space="preserve"> Amaral) and inserted into pUAST-attb linearised with BglII </w:t>
      </w:r>
      <w:r w:rsidRPr="00C37434">
        <w:rPr>
          <w:sz w:val="24"/>
          <w:szCs w:val="24"/>
        </w:rPr>
        <w:t xml:space="preserve">and NotI by Gibson Assembly (NEB </w:t>
      </w:r>
      <w:r w:rsidRPr="00C37434">
        <w:rPr>
          <w:rStyle w:val="st"/>
          <w:sz w:val="24"/>
          <w:szCs w:val="24"/>
        </w:rPr>
        <w:t>#</w:t>
      </w:r>
      <w:r w:rsidRPr="00C37434">
        <w:rPr>
          <w:sz w:val="24"/>
          <w:szCs w:val="24"/>
        </w:rPr>
        <w:t>E2611L) as per manufacturer’s instructions. To make the 5’ 3xMS2 tagged roX2, roX2 was amplifi</w:t>
      </w:r>
      <w:r w:rsidRPr="00F00704">
        <w:rPr>
          <w:sz w:val="24"/>
          <w:szCs w:val="24"/>
        </w:rPr>
        <w:t>ed from pYP137 (gift of M. Kuroda) and inserted into pUAST_3xMS2 linearised with XhoI using Gibson Assembly. MSL3 was amplified from an embryonic cDNA library and inserted into pUAST-LT3-Dam with N</w:t>
      </w:r>
      <w:r w:rsidRPr="008F0F86">
        <w:rPr>
          <w:sz w:val="24"/>
          <w:szCs w:val="24"/>
        </w:rPr>
        <w:t xml:space="preserve">otI and XbaI. </w:t>
      </w:r>
    </w:p>
    <w:p w14:paraId="2B0F80DC" w14:textId="77777777" w:rsidR="008C7D47" w:rsidRPr="008F0F86" w:rsidRDefault="008C7D47" w:rsidP="00587AC7">
      <w:pPr>
        <w:spacing w:line="360" w:lineRule="auto"/>
        <w:rPr>
          <w:sz w:val="24"/>
          <w:szCs w:val="24"/>
        </w:rPr>
      </w:pPr>
    </w:p>
    <w:p w14:paraId="43D75894" w14:textId="77777777" w:rsidR="00587AC7" w:rsidRPr="00C07A08" w:rsidRDefault="00587AC7" w:rsidP="00587AC7">
      <w:pPr>
        <w:spacing w:line="360" w:lineRule="auto"/>
        <w:rPr>
          <w:b/>
          <w:sz w:val="24"/>
          <w:szCs w:val="24"/>
        </w:rPr>
      </w:pPr>
      <w:r w:rsidRPr="00C07A08">
        <w:rPr>
          <w:b/>
          <w:sz w:val="24"/>
          <w:szCs w:val="24"/>
        </w:rPr>
        <w:t xml:space="preserve">Primers </w:t>
      </w:r>
    </w:p>
    <w:p w14:paraId="376DEBD3" w14:textId="56561227" w:rsidR="00587AC7" w:rsidRPr="00EE6DCF" w:rsidRDefault="00587AC7" w:rsidP="00587AC7">
      <w:pPr>
        <w:spacing w:line="360" w:lineRule="auto"/>
        <w:rPr>
          <w:b/>
          <w:sz w:val="24"/>
          <w:szCs w:val="24"/>
        </w:rPr>
      </w:pPr>
      <w:r w:rsidRPr="00EE6DCF">
        <w:rPr>
          <w:sz w:val="24"/>
          <w:szCs w:val="24"/>
        </w:rPr>
        <w:t xml:space="preserve">A full list of primers used in this study can be found in </w:t>
      </w:r>
      <w:r w:rsidRPr="00EE6DCF">
        <w:rPr>
          <w:b/>
          <w:sz w:val="24"/>
          <w:szCs w:val="24"/>
        </w:rPr>
        <w:t>Supplementary Table 1</w:t>
      </w:r>
      <w:r w:rsidR="00681889">
        <w:rPr>
          <w:b/>
          <w:sz w:val="24"/>
          <w:szCs w:val="24"/>
        </w:rPr>
        <w:t>.</w:t>
      </w:r>
    </w:p>
    <w:p w14:paraId="0EFCD120" w14:textId="77777777" w:rsidR="00587AC7" w:rsidRDefault="00587AC7" w:rsidP="00587AC7">
      <w:pPr>
        <w:spacing w:line="360" w:lineRule="auto"/>
        <w:rPr>
          <w:b/>
          <w:sz w:val="24"/>
          <w:szCs w:val="24"/>
        </w:rPr>
      </w:pPr>
    </w:p>
    <w:p w14:paraId="13EF7971" w14:textId="77777777" w:rsidR="00587AC7" w:rsidRPr="00C07A08" w:rsidRDefault="00587AC7" w:rsidP="00587AC7">
      <w:pPr>
        <w:spacing w:line="360" w:lineRule="auto"/>
        <w:rPr>
          <w:b/>
          <w:sz w:val="24"/>
          <w:szCs w:val="24"/>
        </w:rPr>
      </w:pPr>
      <w:r w:rsidRPr="00C07A08">
        <w:rPr>
          <w:b/>
          <w:sz w:val="24"/>
          <w:szCs w:val="24"/>
        </w:rPr>
        <w:t>Fly lines</w:t>
      </w:r>
    </w:p>
    <w:p w14:paraId="65129C18" w14:textId="7720A005" w:rsidR="00587AC7" w:rsidRPr="00EE6DCF" w:rsidRDefault="00587AC7" w:rsidP="00587AC7">
      <w:pPr>
        <w:spacing w:line="360" w:lineRule="auto"/>
        <w:rPr>
          <w:rStyle w:val="tgc"/>
          <w:b/>
          <w:sz w:val="24"/>
          <w:szCs w:val="24"/>
        </w:rPr>
      </w:pPr>
      <w:r w:rsidRPr="00C07A08">
        <w:rPr>
          <w:i/>
          <w:sz w:val="24"/>
          <w:szCs w:val="24"/>
        </w:rPr>
        <w:t xml:space="preserve">Drosophila melanogaster </w:t>
      </w:r>
      <w:r w:rsidRPr="00C07A08">
        <w:rPr>
          <w:sz w:val="24"/>
          <w:szCs w:val="24"/>
        </w:rPr>
        <w:t>stocks were raised at 25</w:t>
      </w:r>
      <w:r w:rsidRPr="00C07A08">
        <w:rPr>
          <w:sz w:val="24"/>
          <w:szCs w:val="24"/>
          <w:vertAlign w:val="superscript"/>
        </w:rPr>
        <w:t>0</w:t>
      </w:r>
      <w:r w:rsidRPr="00C07A08">
        <w:rPr>
          <w:sz w:val="24"/>
          <w:szCs w:val="24"/>
        </w:rPr>
        <w:t xml:space="preserve">C in a humidified incubator. </w:t>
      </w:r>
      <w:r w:rsidRPr="00C07A08">
        <w:rPr>
          <w:i/>
          <w:sz w:val="24"/>
          <w:szCs w:val="24"/>
        </w:rPr>
        <w:t xml:space="preserve">tubulin-GAL4 </w:t>
      </w:r>
      <w:r w:rsidRPr="00C07A08">
        <w:rPr>
          <w:i/>
          <w:sz w:val="24"/>
          <w:szCs w:val="24"/>
        </w:rPr>
        <w:fldChar w:fldCharType="begin" w:fldLock="1"/>
      </w:r>
      <w:r>
        <w:rPr>
          <w:i/>
          <w:sz w:val="24"/>
          <w:szCs w:val="24"/>
        </w:rPr>
        <w:instrText>ADDIN CSL_CITATION { "citationItems" : [ { "id" : "ITEM-1", "itemData" : { "DOI" : "10.1016/S0896-6273(00)80701-1", "ISBN" : "0896-6273 (Print)\\r0896-6273 (Linking)", "ISSN" : "0896-6273", "PMID" : "10197526", "abstract" : "We describe a genetic mosaic system in Drosophila, in which a dominant repressor of a cell marker is placed in trans to a mutant gene of interest. Mitotic recombination events between homologous chromosomes generate homozygous mutant cells, which are exclusively labeled due to loss of the repressor. Using this system, we are able to visualize axonal projections and dendritic elaboration in large neuroblast clones and single neuron clones with a membrane-targeted GFP marker. This new method allows for the study of gene functions in neuroblast proliferation, axon guidance, and dendritic elaboration in the complex central nervous system. As an example, we show that the short stop gene is required in mushroom body neurons for the extension and guidance of their axons.", "author" : [ { "dropping-particle" : "", "family" : "Lee", "given" : "T", "non-dropping-particle" : "", "parse-names" : false, "suffix" : "" }, { "dropping-particle" : "", "family" : "Luo", "given" : "L", "non-dropping-particle" : "", "parse-names" : false, "suffix" : "" } ], "container-title" : "Neuron", "id" : "ITEM-1", "issue" : "3", "issued" : { "date-parts" : [ [ "1999" ] ] }, "page" : "451-61", "title" : "Mosaic analysis with a repressible cell marker for studies of gene function in neuronal morphogenesis.", "type" : "article-journal", "volume" : "22" }, "uris" : [ "http://www.mendeley.com/documents/?uuid=88cd4bca-574c-4435-b80e-9a932a87e2c8" ] } ], "mendeley" : { "formattedCitation" : "&lt;sup&gt;24&lt;/sup&gt;", "plainTextFormattedCitation" : "24", "previouslyFormattedCitation" : "&lt;sup&gt;24&lt;/sup&gt;" }, "properties" : { "noteIndex" : 0 }, "schema" : "https://github.com/citation-style-language/schema/raw/master/csl-citation.json" }</w:instrText>
      </w:r>
      <w:r w:rsidRPr="00C07A08">
        <w:rPr>
          <w:i/>
          <w:sz w:val="24"/>
          <w:szCs w:val="24"/>
        </w:rPr>
        <w:fldChar w:fldCharType="separate"/>
      </w:r>
      <w:r w:rsidRPr="00204001">
        <w:rPr>
          <w:noProof/>
          <w:sz w:val="24"/>
          <w:szCs w:val="24"/>
          <w:vertAlign w:val="superscript"/>
        </w:rPr>
        <w:t>24</w:t>
      </w:r>
      <w:r w:rsidRPr="00C07A08">
        <w:rPr>
          <w:i/>
          <w:sz w:val="24"/>
          <w:szCs w:val="24"/>
        </w:rPr>
        <w:fldChar w:fldCharType="end"/>
      </w:r>
      <w:r w:rsidRPr="00C07A08">
        <w:rPr>
          <w:i/>
          <w:sz w:val="24"/>
          <w:szCs w:val="24"/>
        </w:rPr>
        <w:t xml:space="preserve"> </w:t>
      </w:r>
      <w:r w:rsidRPr="00C07A08">
        <w:rPr>
          <w:sz w:val="24"/>
          <w:szCs w:val="24"/>
        </w:rPr>
        <w:t>and</w:t>
      </w:r>
      <w:r w:rsidRPr="00C07A08">
        <w:rPr>
          <w:i/>
          <w:sz w:val="24"/>
          <w:szCs w:val="24"/>
        </w:rPr>
        <w:t xml:space="preserve"> inscuteable-GAL4</w:t>
      </w:r>
      <w:r w:rsidRPr="00772709">
        <w:rPr>
          <w:i/>
          <w:sz w:val="24"/>
          <w:szCs w:val="24"/>
        </w:rPr>
        <w:t xml:space="preserve"> </w:t>
      </w:r>
      <w:r w:rsidRPr="00C07A08">
        <w:rPr>
          <w:i/>
          <w:sz w:val="24"/>
          <w:szCs w:val="24"/>
        </w:rPr>
        <w:fldChar w:fldCharType="begin" w:fldLock="1"/>
      </w:r>
      <w:r>
        <w:rPr>
          <w:i/>
          <w:sz w:val="24"/>
          <w:szCs w:val="24"/>
        </w:rPr>
        <w:instrText>ADDIN CSL_CITATION { "citationItems" : [ { "id" : "ITEM-1", "itemData" : { "DOI" : "10.1101/gad.8.15.1787", "ISBN" : "0890-9369 (Print) 0890-9369 (Linking)", "ISSN" : "08909369", "PMID" : "7958857", "abstract" : "The small GTPases of the Rac/Rho/Cdc42 subfamily are implicated in actin cytoskeleton-membrane interaction in mammalian cells and budding yeast. The in vivo functions of these GTPases in multicellular organisms are not known. We have cloned Drosophila homologs of rac and CDC42, Drac1, and Dcdc42. They share 70% amino acid sequence identity with each other, and both are highly expressed in the nervous system and mesoderm during neuronal and muscle differentiation, respectively. We expressed putative constitutively active and dominant-negative Drac1 proteins in these tissues. When expressed in neurons, Drac1 mutant proteins cause axon outgrowth defects in peripheral neurons without affecting dendrites. When expressed in muscle precursors, they cause complete failure of, or abnormality in, myoblast fusion. Expressions of analogous mutant Dcdc42 proteins cause qualitatively distinct morphological defects, suggesting that similar GTPases in the same subfamily have unique roles in morphogenesis.", "author" : [ { "dropping-particle" : "", "family" : "Luo", "given" : "Liqun", "non-dropping-particle" : "", "parse-names" : false, "suffix" : "" }, { "dropping-particle" : "", "family" : "Joyce Liao", "given" : "Y.", "non-dropping-particle" : "", "parse-names" : false, "suffix" : "" }, { "dropping-particle" : "", "family" : "Jan", "given" : "Lily Yeh", "non-dropping-particle" : "", "parse-names" : false, "suffix" : "" }, { "dropping-particle" : "", "family" : "Jan", "given" : "Yuh Nung", "non-dropping-particle" : "", "parse-names" : false, "suffix" : "" } ], "container-title" : "Genes and Development", "id" : "ITEM-1", "issue" : "15", "issued" : { "date-parts" : [ [ "1994" ] ] }, "page" : "1787-1802", "title" : "Distinct morphogenetic functions of similar small GTPases: Drosophila Drac1 is involved in axonal outgrowth and myoblast fusion", "type" : "article-journal", "volume" : "8" }, "uris" : [ "http://www.mendeley.com/documents/?uuid=d8415834-cee8-424c-91be-aadd8e2a6a17" ] } ], "mendeley" : { "formattedCitation" : "&lt;sup&gt;25&lt;/sup&gt;", "plainTextFormattedCitation" : "25", "previouslyFormattedCitation" : "&lt;sup&gt;25&lt;/sup&gt;" }, "properties" : { "noteIndex" : 0 }, "schema" : "https://github.com/citation-style-language/schema/raw/master/csl-citation.json" }</w:instrText>
      </w:r>
      <w:r w:rsidRPr="00C07A08">
        <w:rPr>
          <w:i/>
          <w:sz w:val="24"/>
          <w:szCs w:val="24"/>
        </w:rPr>
        <w:fldChar w:fldCharType="separate"/>
      </w:r>
      <w:r w:rsidRPr="00204001">
        <w:rPr>
          <w:noProof/>
          <w:sz w:val="24"/>
          <w:szCs w:val="24"/>
          <w:vertAlign w:val="superscript"/>
        </w:rPr>
        <w:t>25</w:t>
      </w:r>
      <w:r w:rsidRPr="00C07A08">
        <w:rPr>
          <w:i/>
          <w:sz w:val="24"/>
          <w:szCs w:val="24"/>
        </w:rPr>
        <w:fldChar w:fldCharType="end"/>
      </w:r>
      <w:r w:rsidRPr="00C07A08">
        <w:rPr>
          <w:i/>
          <w:sz w:val="24"/>
          <w:szCs w:val="24"/>
        </w:rPr>
        <w:t xml:space="preserve"> </w:t>
      </w:r>
      <w:r w:rsidRPr="00C07A08">
        <w:rPr>
          <w:sz w:val="24"/>
          <w:szCs w:val="24"/>
        </w:rPr>
        <w:t xml:space="preserve"> were used in combination with </w:t>
      </w:r>
      <w:r w:rsidRPr="00C07A08">
        <w:rPr>
          <w:i/>
          <w:sz w:val="24"/>
          <w:szCs w:val="24"/>
        </w:rPr>
        <w:t>tubulin-</w:t>
      </w:r>
      <w:r w:rsidRPr="00A2214F">
        <w:rPr>
          <w:i/>
          <w:sz w:val="24"/>
          <w:szCs w:val="24"/>
        </w:rPr>
        <w:t>G</w:t>
      </w:r>
      <w:r w:rsidRPr="00C07A08">
        <w:rPr>
          <w:i/>
          <w:sz w:val="24"/>
          <w:szCs w:val="24"/>
        </w:rPr>
        <w:t>AL</w:t>
      </w:r>
      <w:r w:rsidRPr="00A2214F">
        <w:rPr>
          <w:i/>
          <w:sz w:val="24"/>
          <w:szCs w:val="24"/>
        </w:rPr>
        <w:t>80</w:t>
      </w:r>
      <w:r w:rsidRPr="00A2214F">
        <w:rPr>
          <w:i/>
          <w:sz w:val="24"/>
          <w:szCs w:val="24"/>
          <w:vertAlign w:val="superscript"/>
        </w:rPr>
        <w:t>ts</w:t>
      </w:r>
      <w:r w:rsidRPr="00C07A08">
        <w:rPr>
          <w:sz w:val="24"/>
          <w:szCs w:val="24"/>
          <w:vertAlign w:val="superscript"/>
        </w:rPr>
        <w:t xml:space="preserve"> </w:t>
      </w:r>
      <w:r w:rsidRPr="00C07A08">
        <w:rPr>
          <w:sz w:val="24"/>
          <w:szCs w:val="24"/>
          <w:vertAlign w:val="superscript"/>
        </w:rPr>
        <w:fldChar w:fldCharType="begin" w:fldLock="1"/>
      </w:r>
      <w:r>
        <w:rPr>
          <w:sz w:val="24"/>
          <w:szCs w:val="24"/>
          <w:vertAlign w:val="superscript"/>
        </w:rPr>
        <w:instrText>ADDIN CSL_CITATION { "citationItems" : [ { "id" : "ITEM-1", "itemData" : { "DOI" : "10.1126/science.1089035", "ISBN" : "1095-9203 (Electronic)\\n0036-8075 (Linking)", "ISSN" : "0036-8075", "PMID" : "14657498", "author" : [ { "dropping-particle" : "", "family" : "McGuire", "given" : "S. E.", "non-dropping-particle" : "", "parse-names" : false, "suffix" : "" } ], "container-title" : "Science (New York, N.Y.)", "id" : "ITEM-1", "issue" : "5651", "issued" : { "date-parts" : [ [ "2003" ] ] }, "page" : "1765-1768", "title" : "Spatiotemporal Rescue of Memory Dysfunction in Drosophila", "type" : "article-journal", "volume" : "302" }, "uris" : [ "http://www.mendeley.com/documents/?uuid=3096602e-f1f1-4563-b028-aeddb3e6bd5b" ] } ], "mendeley" : { "formattedCitation" : "&lt;sup&gt;26&lt;/sup&gt;", "plainTextFormattedCitation" : "26", "previouslyFormattedCitation" : "&lt;sup&gt;26&lt;/sup&gt;" }, "properties" : { "noteIndex" : 0 }, "schema" : "https://github.com/citation-style-language/schema/raw/master/csl-citation.json" }</w:instrText>
      </w:r>
      <w:r w:rsidRPr="00C07A08">
        <w:rPr>
          <w:sz w:val="24"/>
          <w:szCs w:val="24"/>
          <w:vertAlign w:val="superscript"/>
        </w:rPr>
        <w:fldChar w:fldCharType="separate"/>
      </w:r>
      <w:r w:rsidRPr="00204001">
        <w:rPr>
          <w:noProof/>
          <w:sz w:val="24"/>
          <w:szCs w:val="24"/>
          <w:vertAlign w:val="superscript"/>
        </w:rPr>
        <w:t>26</w:t>
      </w:r>
      <w:r w:rsidRPr="00C07A08">
        <w:rPr>
          <w:sz w:val="24"/>
          <w:szCs w:val="24"/>
          <w:vertAlign w:val="superscript"/>
        </w:rPr>
        <w:fldChar w:fldCharType="end"/>
      </w:r>
      <w:r w:rsidRPr="00C07A08">
        <w:rPr>
          <w:sz w:val="24"/>
          <w:szCs w:val="24"/>
        </w:rPr>
        <w:t xml:space="preserve"> for DamID experiments. The stocks UAS-Dam-NLS-MCPx2 [attp154], UAS-Dam-MSL3 [attp154], UAS-3xMS2-roX2 [attp2] were generated by coinjection of the relevant plasmid with the phiC31 integrase plasmid pBS130 into attp lines </w:t>
      </w:r>
      <w:r w:rsidRPr="00C07A08">
        <w:rPr>
          <w:sz w:val="24"/>
          <w:szCs w:val="24"/>
        </w:rPr>
        <w:fldChar w:fldCharType="begin" w:fldLock="1"/>
      </w:r>
      <w:r>
        <w:rPr>
          <w:sz w:val="24"/>
          <w:szCs w:val="24"/>
        </w:rPr>
        <w:instrText>ADDIN CSL_CITATION { "citationItems" : [ { "id" : "ITEM-1", "itemData" : { "DOI" : "10.1038/ng.101", "ISBN" : "1546-1718 (Electronic)\\n1061-4036 (Linking)", "ISSN" : "1546-1718", "PMID" : "18311141", "abstract" : "A major obstacle to creating precisely expressed transgenes lies in the epigenetic effects of the host chromatin that surrounds them. Here we present a strategy to overcome this problem, employing a Gal4-inducible luciferase assay to systematically quantify position effects of host chromatin and the ability of insulators to counteract these effects at phiC31 integration loci randomly distributed throughout the Drosophila genome. We identify loci that can be exploited to deliver precise doses of transgene expression to specific tissues. Moreover, we uncover a previously unrecognized property of the gypsy retrovirus insulator to boost gene expression to levels severalfold greater than at most or possibly all un-insulated loci, in every tissue tested. These findings provide the first opportunity to create a battery of transgenes that can be reliably expressed at high levels in virtually any tissue by integration at a single locus, and conversely, to engineer a controlled phenotypic allelic series by exploiting several loci. The generality of our approach makes it adaptable to other model systems to identify and modify loci for optimal transgene expression.", "author" : [ { "dropping-particle" : "", "family" : "Markstein", "given" : "Michele", "non-dropping-particle" : "", "parse-names" : false, "suffix" : "" }, { "dropping-particle" : "", "family" : "Pitsouli", "given" : "Chrysoula", "non-dropping-particle" : "", "parse-names" : false, "suffix" : "" }, { "dropping-particle" : "", "family" : "Villalta", "given" : "Christians", "non-dropping-particle" : "", "parse-names" : false, "suffix" : "" }, { "dropping-particle" : "", "family" : "Celniker", "given" : "Susan E", "non-dropping-particle" : "", "parse-names" : false, "suffix" : "" }, { "dropping-particle" : "", "family" : "Perrimon", "given" : "Norbert", "non-dropping-particle" : "", "parse-names" : false, "suffix" : "" } ], "container-title" : "Nature genetics", "id" : "ITEM-1", "issue" : "4", "issued" : { "date-parts" : [ [ "2008" ] ] }, "page" : "476-83", "title" : "Exploiting position effects and the gypsy retrovirus insulator to engineer precisely expressed transgenes.", "type" : "article-journal", "volume" : "40" }, "uris" : [ "http://www.mendeley.com/documents/?uuid=a05b76da-cc9e-4ff6-9e7f-cc5448905cf6" ] } ], "mendeley" : { "formattedCitation" : "&lt;sup&gt;27&lt;/sup&gt;", "plainTextFormattedCitation" : "27", "previouslyFormattedCitation" : "&lt;sup&gt;27&lt;/sup&gt;" }, "properties" : { "noteIndex" : 0 }, "schema" : "https://github.com/citation-style-language/schema/raw/master/csl-citation.json" }</w:instrText>
      </w:r>
      <w:r w:rsidRPr="00C07A08">
        <w:rPr>
          <w:sz w:val="24"/>
          <w:szCs w:val="24"/>
        </w:rPr>
        <w:fldChar w:fldCharType="separate"/>
      </w:r>
      <w:r w:rsidRPr="00204001">
        <w:rPr>
          <w:noProof/>
          <w:sz w:val="24"/>
          <w:szCs w:val="24"/>
          <w:vertAlign w:val="superscript"/>
        </w:rPr>
        <w:t>27</w:t>
      </w:r>
      <w:r w:rsidRPr="00C07A08">
        <w:rPr>
          <w:sz w:val="24"/>
          <w:szCs w:val="24"/>
        </w:rPr>
        <w:fldChar w:fldCharType="end"/>
      </w:r>
      <w:r w:rsidRPr="00C07A08">
        <w:rPr>
          <w:sz w:val="24"/>
          <w:szCs w:val="24"/>
        </w:rPr>
        <w:t>. roX1</w:t>
      </w:r>
      <w:r w:rsidRPr="00C07A08">
        <w:rPr>
          <w:sz w:val="24"/>
          <w:szCs w:val="24"/>
          <w:vertAlign w:val="superscript"/>
        </w:rPr>
        <w:t>6xMS2</w:t>
      </w:r>
      <w:r w:rsidRPr="00C07A08">
        <w:rPr>
          <w:sz w:val="24"/>
          <w:szCs w:val="24"/>
        </w:rPr>
        <w:t>, roX2</w:t>
      </w:r>
      <w:r w:rsidRPr="00772709">
        <w:rPr>
          <w:rStyle w:val="tgc"/>
          <w:sz w:val="24"/>
          <w:szCs w:val="24"/>
        </w:rPr>
        <w:t xml:space="preserve">Δ was a kind gift of V. </w:t>
      </w:r>
      <w:r w:rsidRPr="00A2214F">
        <w:rPr>
          <w:rStyle w:val="tgc"/>
          <w:sz w:val="24"/>
          <w:szCs w:val="24"/>
        </w:rPr>
        <w:t>Meller.</w:t>
      </w:r>
      <w:r w:rsidRPr="00C07A08">
        <w:rPr>
          <w:rStyle w:val="tgc"/>
          <w:b/>
          <w:sz w:val="24"/>
          <w:szCs w:val="24"/>
        </w:rPr>
        <w:t xml:space="preserve"> </w:t>
      </w:r>
      <w:r w:rsidRPr="00A2214F">
        <w:rPr>
          <w:rStyle w:val="tgc"/>
          <w:sz w:val="24"/>
          <w:szCs w:val="24"/>
        </w:rPr>
        <w:t>w;;</w:t>
      </w:r>
      <w:r w:rsidRPr="00A2214F">
        <w:rPr>
          <w:rStyle w:val="tgc"/>
          <w:i/>
          <w:sz w:val="24"/>
          <w:szCs w:val="24"/>
        </w:rPr>
        <w:t>tub</w:t>
      </w:r>
      <w:r w:rsidRPr="00C07A08">
        <w:rPr>
          <w:rStyle w:val="tgc"/>
          <w:i/>
          <w:sz w:val="24"/>
          <w:szCs w:val="24"/>
        </w:rPr>
        <w:t>ulin-GAL4, tubulin-GAL80</w:t>
      </w:r>
      <w:r w:rsidRPr="00C07A08">
        <w:rPr>
          <w:rStyle w:val="tgc"/>
          <w:i/>
          <w:sz w:val="24"/>
          <w:szCs w:val="24"/>
          <w:vertAlign w:val="superscript"/>
        </w:rPr>
        <w:t>ts</w:t>
      </w:r>
      <w:r w:rsidRPr="00C07A08">
        <w:rPr>
          <w:rStyle w:val="tgc"/>
          <w:sz w:val="24"/>
          <w:szCs w:val="24"/>
        </w:rPr>
        <w:t xml:space="preserve"> was kindly provided by </w:t>
      </w:r>
      <w:r w:rsidRPr="00A2214F">
        <w:rPr>
          <w:rStyle w:val="tgc"/>
          <w:sz w:val="24"/>
          <w:szCs w:val="24"/>
        </w:rPr>
        <w:t>T. Megraw</w:t>
      </w:r>
      <w:r w:rsidRPr="00C07A08">
        <w:rPr>
          <w:rStyle w:val="tgc"/>
          <w:sz w:val="24"/>
          <w:szCs w:val="24"/>
        </w:rPr>
        <w:t>.</w:t>
      </w:r>
      <w:r>
        <w:rPr>
          <w:rStyle w:val="tgc"/>
          <w:sz w:val="24"/>
          <w:szCs w:val="24"/>
        </w:rPr>
        <w:t xml:space="preserve"> A full list of genotypes used in this study can be found in </w:t>
      </w:r>
      <w:r>
        <w:rPr>
          <w:rStyle w:val="tgc"/>
          <w:b/>
          <w:sz w:val="24"/>
          <w:szCs w:val="24"/>
        </w:rPr>
        <w:t>Supplementary Table 2</w:t>
      </w:r>
      <w:r w:rsidR="00681889">
        <w:rPr>
          <w:rStyle w:val="tgc"/>
          <w:b/>
          <w:sz w:val="24"/>
          <w:szCs w:val="24"/>
        </w:rPr>
        <w:t>.</w:t>
      </w:r>
    </w:p>
    <w:p w14:paraId="1391BCEC" w14:textId="77777777" w:rsidR="008C7D47" w:rsidRPr="00C07A08" w:rsidRDefault="008C7D47" w:rsidP="00587AC7">
      <w:pPr>
        <w:spacing w:line="360" w:lineRule="auto"/>
        <w:rPr>
          <w:b/>
          <w:sz w:val="24"/>
          <w:szCs w:val="24"/>
        </w:rPr>
      </w:pPr>
    </w:p>
    <w:p w14:paraId="575FC59B" w14:textId="5CA6A0A6" w:rsidR="00587AC7" w:rsidRPr="00C07A08" w:rsidRDefault="00681889" w:rsidP="00587AC7">
      <w:pPr>
        <w:spacing w:line="360" w:lineRule="auto"/>
        <w:rPr>
          <w:b/>
          <w:sz w:val="24"/>
          <w:szCs w:val="24"/>
        </w:rPr>
      </w:pPr>
      <w:r>
        <w:rPr>
          <w:b/>
          <w:sz w:val="24"/>
          <w:szCs w:val="24"/>
        </w:rPr>
        <w:t>Sample collection</w:t>
      </w:r>
    </w:p>
    <w:p w14:paraId="07A0F6DB" w14:textId="7CF60035" w:rsidR="00681889" w:rsidRDefault="00587AC7" w:rsidP="00587AC7">
      <w:pPr>
        <w:spacing w:line="360" w:lineRule="auto"/>
        <w:rPr>
          <w:sz w:val="24"/>
          <w:szCs w:val="24"/>
        </w:rPr>
      </w:pPr>
      <w:r w:rsidRPr="00C07A08">
        <w:rPr>
          <w:sz w:val="24"/>
          <w:szCs w:val="24"/>
        </w:rPr>
        <w:t>DamID</w:t>
      </w:r>
      <w:r w:rsidR="008C7D47">
        <w:rPr>
          <w:sz w:val="24"/>
          <w:szCs w:val="24"/>
        </w:rPr>
        <w:t xml:space="preserve"> construct</w:t>
      </w:r>
      <w:r w:rsidRPr="00C07A08">
        <w:rPr>
          <w:sz w:val="24"/>
          <w:szCs w:val="24"/>
        </w:rPr>
        <w:t xml:space="preserve"> containing flies were crossed to a GAL4 driver with </w:t>
      </w:r>
      <w:r w:rsidRPr="00C07A08">
        <w:rPr>
          <w:i/>
          <w:sz w:val="24"/>
          <w:szCs w:val="24"/>
        </w:rPr>
        <w:t>tubulin</w:t>
      </w:r>
      <w:r w:rsidRPr="00C07A08">
        <w:rPr>
          <w:sz w:val="24"/>
          <w:szCs w:val="24"/>
        </w:rPr>
        <w:t>-GAL80</w:t>
      </w:r>
      <w:r w:rsidRPr="00C07A08">
        <w:rPr>
          <w:sz w:val="24"/>
          <w:szCs w:val="24"/>
          <w:vertAlign w:val="superscript"/>
        </w:rPr>
        <w:t>ts</w:t>
      </w:r>
      <w:r w:rsidRPr="00C07A08">
        <w:rPr>
          <w:sz w:val="24"/>
          <w:szCs w:val="24"/>
        </w:rPr>
        <w:t>. Embryos were collected on apple juice plates with yeast for 4 hrs at 25</w:t>
      </w:r>
      <w:r w:rsidRPr="00C07A08">
        <w:rPr>
          <w:sz w:val="24"/>
          <w:szCs w:val="24"/>
          <w:vertAlign w:val="superscript"/>
        </w:rPr>
        <w:t>0</w:t>
      </w:r>
      <w:r w:rsidRPr="00C07A08">
        <w:rPr>
          <w:sz w:val="24"/>
          <w:szCs w:val="24"/>
        </w:rPr>
        <w:t>C. Plates were then transferred to 18</w:t>
      </w:r>
      <w:r w:rsidRPr="00C07A08">
        <w:rPr>
          <w:sz w:val="24"/>
          <w:szCs w:val="24"/>
          <w:vertAlign w:val="superscript"/>
        </w:rPr>
        <w:t>0</w:t>
      </w:r>
      <w:r w:rsidRPr="00C07A08">
        <w:rPr>
          <w:sz w:val="24"/>
          <w:szCs w:val="24"/>
        </w:rPr>
        <w:t>C until larval hatching (~44 hrs). All larvae that hatched in a 3 hr collection window were transferred to a food plate with yeast. After 4 days at 18</w:t>
      </w:r>
      <w:r w:rsidRPr="00C07A08">
        <w:rPr>
          <w:sz w:val="24"/>
          <w:szCs w:val="24"/>
          <w:vertAlign w:val="superscript"/>
        </w:rPr>
        <w:t>0</w:t>
      </w:r>
      <w:r w:rsidRPr="00C07A08">
        <w:rPr>
          <w:sz w:val="24"/>
          <w:szCs w:val="24"/>
        </w:rPr>
        <w:t>C plates were shifted to 29</w:t>
      </w:r>
      <w:r w:rsidRPr="00C07A08">
        <w:rPr>
          <w:sz w:val="24"/>
          <w:szCs w:val="24"/>
          <w:vertAlign w:val="superscript"/>
        </w:rPr>
        <w:t>0</w:t>
      </w:r>
      <w:r w:rsidRPr="00C07A08">
        <w:rPr>
          <w:sz w:val="24"/>
          <w:szCs w:val="24"/>
        </w:rPr>
        <w:t>C and larvae were dissected after 2 days.</w:t>
      </w:r>
      <w:r w:rsidR="008C7D47">
        <w:rPr>
          <w:sz w:val="24"/>
          <w:szCs w:val="24"/>
        </w:rPr>
        <w:t xml:space="preserve"> </w:t>
      </w:r>
      <w:r w:rsidRPr="00C07A08">
        <w:rPr>
          <w:sz w:val="24"/>
          <w:szCs w:val="24"/>
        </w:rPr>
        <w:t xml:space="preserve">For the NSC and salivary gland experiments </w:t>
      </w:r>
      <w:r w:rsidR="00671648">
        <w:rPr>
          <w:sz w:val="24"/>
          <w:szCs w:val="24"/>
        </w:rPr>
        <w:t xml:space="preserve">30 </w:t>
      </w:r>
      <w:r w:rsidRPr="00C07A08">
        <w:rPr>
          <w:sz w:val="24"/>
          <w:szCs w:val="24"/>
        </w:rPr>
        <w:t xml:space="preserve">central nervous systems and salivary glands respectively were dissected. </w:t>
      </w:r>
      <w:r w:rsidR="00681889">
        <w:rPr>
          <w:sz w:val="24"/>
          <w:szCs w:val="24"/>
        </w:rPr>
        <w:t>Males and female</w:t>
      </w:r>
      <w:r w:rsidR="00DF3218">
        <w:rPr>
          <w:sz w:val="24"/>
          <w:szCs w:val="24"/>
        </w:rPr>
        <w:t>s were separated by gonadal presence. Balancers were eliminated by fluorescence (CyO, act&gt;GFP) or phenotype (</w:t>
      </w:r>
      <w:r w:rsidR="00DF3218">
        <w:rPr>
          <w:i/>
          <w:sz w:val="24"/>
          <w:szCs w:val="24"/>
        </w:rPr>
        <w:t>tubby)</w:t>
      </w:r>
      <w:r w:rsidR="00DF3218">
        <w:rPr>
          <w:sz w:val="24"/>
          <w:szCs w:val="24"/>
        </w:rPr>
        <w:t xml:space="preserve">. </w:t>
      </w:r>
      <w:r w:rsidRPr="00C07A08">
        <w:rPr>
          <w:sz w:val="24"/>
          <w:szCs w:val="24"/>
        </w:rPr>
        <w:t xml:space="preserve">Two </w:t>
      </w:r>
      <w:r w:rsidR="00671648">
        <w:rPr>
          <w:sz w:val="24"/>
          <w:szCs w:val="24"/>
        </w:rPr>
        <w:t xml:space="preserve">biological </w:t>
      </w:r>
      <w:r w:rsidRPr="00C07A08">
        <w:rPr>
          <w:sz w:val="24"/>
          <w:szCs w:val="24"/>
        </w:rPr>
        <w:t>replicates</w:t>
      </w:r>
      <w:r w:rsidR="00671648">
        <w:rPr>
          <w:sz w:val="24"/>
          <w:szCs w:val="24"/>
        </w:rPr>
        <w:t xml:space="preserve"> collected on separate days from separate crosses</w:t>
      </w:r>
      <w:r w:rsidRPr="00C07A08">
        <w:rPr>
          <w:sz w:val="24"/>
          <w:szCs w:val="24"/>
        </w:rPr>
        <w:t xml:space="preserve"> were analysed for each experiment. </w:t>
      </w:r>
    </w:p>
    <w:p w14:paraId="4BC6A89A" w14:textId="7173D085" w:rsidR="00681889" w:rsidRPr="00F803A5" w:rsidRDefault="00430C0E">
      <w:pPr>
        <w:spacing w:line="360" w:lineRule="auto"/>
        <w:rPr>
          <w:b/>
          <w:sz w:val="24"/>
          <w:szCs w:val="24"/>
        </w:rPr>
      </w:pPr>
      <w:r>
        <w:rPr>
          <w:b/>
          <w:sz w:val="24"/>
          <w:szCs w:val="24"/>
        </w:rPr>
        <w:t>DamID-seq</w:t>
      </w:r>
    </w:p>
    <w:p w14:paraId="34894AB0" w14:textId="3F9644E3" w:rsidR="00DF3218" w:rsidRPr="00F803A5" w:rsidRDefault="00587AC7">
      <w:pPr>
        <w:spacing w:before="240" w:after="120" w:line="360" w:lineRule="auto"/>
        <w:jc w:val="both"/>
        <w:rPr>
          <w:sz w:val="24"/>
          <w:szCs w:val="24"/>
        </w:rPr>
      </w:pPr>
      <w:r w:rsidRPr="00DF3218">
        <w:rPr>
          <w:sz w:val="24"/>
          <w:szCs w:val="24"/>
        </w:rPr>
        <w:t xml:space="preserve">DamID was performed as previously described </w:t>
      </w:r>
      <w:r w:rsidRPr="00F803A5">
        <w:rPr>
          <w:sz w:val="24"/>
          <w:szCs w:val="24"/>
        </w:rPr>
        <w:fldChar w:fldCharType="begin" w:fldLock="1"/>
      </w:r>
      <w:r w:rsidRPr="00DF3218">
        <w:rPr>
          <w:sz w:val="24"/>
          <w:szCs w:val="24"/>
        </w:rPr>
        <w:instrText>ADDIN CSL_CITATION { "citationItems" : [ { "id" : "ITEM-1", "itemData" : { "DOI" : "10.1038/nprot.2016.084", "ISSN" : "1754-2189", "author" : [ { "dropping-particle" : "", "family" : "Marshall", "given" : "Owen J", "non-dropping-particle" : "", "parse-names" : false, "suffix" : "" }, { "dropping-particle" : "", "family" : "Southall", "given" : "Tony D", "non-dropping-particle" : "", "parse-names" : false, "suffix" : "" }, { "dropping-particle" : "", "family" : "Cheetham", "given" : "Seth W", "non-dropping-particle" : "", "parse-names" : false, "suffix" : "" }, { "dropping-particle" : "", "family" : "Brand", "given" : "Andrea H", "non-dropping-particle" : "", "parse-names" : false, "suffix" : "" } ], "container-title" : "Nature Protocols", "id" : "ITEM-1", "issue" : "9", "issued" : { "date-parts" : [ [ "2016" ] ] }, "page" : "1586-1598", "publisher" : "Nature Publishing Group", "title" : "Cell-type-specific profiling of protein\u2013DNA interactions without cell isolation using targeted DamID with next-generation sequencing", "type" : "article-journal", "volume" : "11" }, "uris" : [ "http://www.mendeley.com/documents/?uuid=1ce7ecb6-dffd-4485-82ec-f6a14b13d5c6" ] } ], "mendeley" : { "formattedCitation" : "&lt;sup&gt;28&lt;/sup&gt;", "plainTextFormattedCitation" : "28", "previouslyFormattedCitation" : "&lt;sup&gt;28&lt;/sup&gt;" }, "properties" : { "noteIndex" : 13 }, "schema" : "https://github.com/citation-style-language/schema/raw/master/csl-citation.json" }</w:instrText>
      </w:r>
      <w:r w:rsidRPr="00F803A5">
        <w:rPr>
          <w:sz w:val="24"/>
          <w:szCs w:val="24"/>
        </w:rPr>
        <w:fldChar w:fldCharType="separate"/>
      </w:r>
      <w:r w:rsidRPr="00DF3218">
        <w:rPr>
          <w:noProof/>
          <w:sz w:val="24"/>
          <w:szCs w:val="24"/>
          <w:vertAlign w:val="superscript"/>
        </w:rPr>
        <w:t>28</w:t>
      </w:r>
      <w:r w:rsidRPr="00F803A5">
        <w:rPr>
          <w:sz w:val="24"/>
          <w:szCs w:val="24"/>
        </w:rPr>
        <w:fldChar w:fldCharType="end"/>
      </w:r>
      <w:r w:rsidRPr="00DF3218">
        <w:rPr>
          <w:sz w:val="24"/>
          <w:szCs w:val="24"/>
        </w:rPr>
        <w:t>.</w:t>
      </w:r>
      <w:r w:rsidR="00DF3218" w:rsidRPr="00DF3218">
        <w:rPr>
          <w:sz w:val="24"/>
          <w:szCs w:val="24"/>
        </w:rPr>
        <w:t xml:space="preserve"> Briefly, Genomic DNA was extracted using the </w:t>
      </w:r>
      <w:r w:rsidR="00DF3218" w:rsidRPr="00F803A5">
        <w:rPr>
          <w:sz w:val="24"/>
          <w:szCs w:val="24"/>
        </w:rPr>
        <w:t>QIAamp DNA Micro Kit (Qiagen, cat. no. 56304). The gDNA was eluted in 50 μl of H</w:t>
      </w:r>
      <w:r w:rsidR="00DF3218" w:rsidRPr="00F803A5">
        <w:rPr>
          <w:sz w:val="24"/>
          <w:szCs w:val="24"/>
          <w:vertAlign w:val="subscript"/>
        </w:rPr>
        <w:t>2</w:t>
      </w:r>
      <w:r w:rsidR="00DF3218" w:rsidRPr="00F803A5">
        <w:rPr>
          <w:sz w:val="24"/>
          <w:szCs w:val="24"/>
        </w:rPr>
        <w:t>O. 44 μl of DNA was incubated with 1μl of DpnI and 5μl of Cutsmart buffer overnight at 37</w:t>
      </w:r>
      <w:r w:rsidR="00DF3218" w:rsidRPr="00F803A5">
        <w:rPr>
          <w:sz w:val="24"/>
          <w:szCs w:val="24"/>
          <w:vertAlign w:val="superscript"/>
        </w:rPr>
        <w:t xml:space="preserve">0 </w:t>
      </w:r>
      <w:r w:rsidR="00DF3218" w:rsidRPr="00F803A5">
        <w:rPr>
          <w:sz w:val="24"/>
          <w:szCs w:val="24"/>
        </w:rPr>
        <w:t>C. The DNA was purified using a Qiagen PCR purification kit and eluted in 32 μl. 15 μl of DNA was ligated to the 0.8 μl of adaptors (50 μM) with 2 μl of T4 Ligase Buffer 1.2 μl H</w:t>
      </w:r>
      <w:r w:rsidR="00DF3218" w:rsidRPr="00F803A5">
        <w:rPr>
          <w:sz w:val="24"/>
          <w:szCs w:val="24"/>
          <w:vertAlign w:val="subscript"/>
        </w:rPr>
        <w:t>2</w:t>
      </w:r>
      <w:r w:rsidR="00DF3218" w:rsidRPr="00F803A5">
        <w:rPr>
          <w:sz w:val="24"/>
          <w:szCs w:val="24"/>
        </w:rPr>
        <w:t>O and 1 μl of T4 DNA ligase. The ligation was incubated for 2 hrs at 16</w:t>
      </w:r>
      <w:r w:rsidR="00DF3218" w:rsidRPr="00F803A5">
        <w:rPr>
          <w:sz w:val="24"/>
          <w:szCs w:val="24"/>
          <w:vertAlign w:val="superscript"/>
        </w:rPr>
        <w:t xml:space="preserve">0 </w:t>
      </w:r>
      <w:r w:rsidR="00DF3218" w:rsidRPr="00F803A5">
        <w:rPr>
          <w:sz w:val="24"/>
          <w:szCs w:val="24"/>
        </w:rPr>
        <w:t>and then heat inactivated at 65</w:t>
      </w:r>
      <w:r w:rsidR="00DF3218" w:rsidRPr="00F803A5">
        <w:rPr>
          <w:sz w:val="24"/>
          <w:szCs w:val="24"/>
          <w:vertAlign w:val="superscript"/>
        </w:rPr>
        <w:t>0</w:t>
      </w:r>
      <w:r w:rsidR="00DF3218" w:rsidRPr="00F803A5">
        <w:rPr>
          <w:sz w:val="24"/>
          <w:szCs w:val="24"/>
        </w:rPr>
        <w:t xml:space="preserve"> for 20 minutes. 4 μl of DpnII buffer and 15 μl of H</w:t>
      </w:r>
      <w:r w:rsidR="00DF3218" w:rsidRPr="00F803A5">
        <w:rPr>
          <w:sz w:val="24"/>
          <w:szCs w:val="24"/>
          <w:vertAlign w:val="subscript"/>
        </w:rPr>
        <w:t>2</w:t>
      </w:r>
      <w:r w:rsidR="00DF3218" w:rsidRPr="00F803A5">
        <w:rPr>
          <w:sz w:val="24"/>
          <w:szCs w:val="24"/>
        </w:rPr>
        <w:t>O and 1μl of DpnII were added to the reaction. After 2 hrs incubation at 37</w:t>
      </w:r>
      <w:r w:rsidR="00DF3218" w:rsidRPr="00F803A5">
        <w:rPr>
          <w:sz w:val="24"/>
          <w:szCs w:val="24"/>
          <w:vertAlign w:val="superscript"/>
        </w:rPr>
        <w:t>0</w:t>
      </w:r>
      <w:r w:rsidR="00DF3218" w:rsidRPr="00F803A5">
        <w:rPr>
          <w:sz w:val="24"/>
          <w:szCs w:val="24"/>
        </w:rPr>
        <w:t xml:space="preserve"> 16 μl of cDNA PCR buffer, 2.5 µl of DamID_PCR primer (50 µM), 3.2 µl 10 mM dNTPs, 96.3 µl of H</w:t>
      </w:r>
      <w:r w:rsidR="00DF3218" w:rsidRPr="00F803A5">
        <w:rPr>
          <w:sz w:val="24"/>
          <w:szCs w:val="24"/>
          <w:vertAlign w:val="subscript"/>
        </w:rPr>
        <w:t>2</w:t>
      </w:r>
      <w:r w:rsidR="00DF3218" w:rsidRPr="00F803A5">
        <w:rPr>
          <w:sz w:val="24"/>
          <w:szCs w:val="24"/>
        </w:rPr>
        <w:t>O and 2 µl of Advantage 2 cDNA polymerase enzyme were added</w:t>
      </w:r>
      <w:r w:rsidR="00430C0E">
        <w:rPr>
          <w:sz w:val="24"/>
          <w:szCs w:val="24"/>
        </w:rPr>
        <w:t xml:space="preserve"> and split into 4 PCR reactions</w:t>
      </w:r>
      <w:r w:rsidR="00DF3218" w:rsidRPr="00F803A5">
        <w:rPr>
          <w:sz w:val="24"/>
          <w:szCs w:val="24"/>
        </w:rPr>
        <w:t>. The following PCR program was run:</w:t>
      </w:r>
    </w:p>
    <w:p w14:paraId="24530111" w14:textId="25C621D1" w:rsidR="00DF3218" w:rsidRPr="00F803A5" w:rsidRDefault="003C1743">
      <w:pPr>
        <w:spacing w:before="240" w:after="120" w:line="360" w:lineRule="auto"/>
        <w:jc w:val="both"/>
        <w:rPr>
          <w:b/>
          <w:sz w:val="24"/>
          <w:szCs w:val="24"/>
        </w:rPr>
      </w:pPr>
      <w:r>
        <w:rPr>
          <w:b/>
          <w:sz w:val="24"/>
          <w:szCs w:val="24"/>
        </w:rPr>
        <w:t>Cycle number</w:t>
      </w:r>
      <w:r>
        <w:rPr>
          <w:b/>
          <w:sz w:val="24"/>
          <w:szCs w:val="24"/>
        </w:rPr>
        <w:tab/>
      </w:r>
      <w:r w:rsidR="00DF3218" w:rsidRPr="00F803A5">
        <w:rPr>
          <w:b/>
          <w:sz w:val="24"/>
          <w:szCs w:val="24"/>
        </w:rPr>
        <w:t>Denaturation</w:t>
      </w:r>
      <w:r w:rsidR="00DF3218" w:rsidRPr="00F803A5">
        <w:rPr>
          <w:b/>
          <w:sz w:val="24"/>
          <w:szCs w:val="24"/>
        </w:rPr>
        <w:tab/>
      </w:r>
      <w:r w:rsidR="00DF3218" w:rsidRPr="00F803A5">
        <w:rPr>
          <w:b/>
          <w:sz w:val="24"/>
          <w:szCs w:val="24"/>
        </w:rPr>
        <w:tab/>
        <w:t>Annealing</w:t>
      </w:r>
      <w:r w:rsidR="00DF3218" w:rsidRPr="00F803A5">
        <w:rPr>
          <w:b/>
          <w:sz w:val="24"/>
          <w:szCs w:val="24"/>
        </w:rPr>
        <w:tab/>
      </w:r>
      <w:r w:rsidR="00DF3218" w:rsidRPr="00F803A5">
        <w:rPr>
          <w:b/>
          <w:sz w:val="24"/>
          <w:szCs w:val="24"/>
        </w:rPr>
        <w:tab/>
        <w:t>Extension</w:t>
      </w:r>
    </w:p>
    <w:p w14:paraId="01F8ECE3" w14:textId="2CFCA1DA" w:rsidR="00DF3218" w:rsidRPr="00F803A5" w:rsidRDefault="00DF3218">
      <w:pPr>
        <w:spacing w:before="240" w:after="120" w:line="360" w:lineRule="auto"/>
        <w:jc w:val="both"/>
        <w:rPr>
          <w:sz w:val="24"/>
          <w:szCs w:val="24"/>
        </w:rPr>
      </w:pPr>
      <w:r w:rsidRPr="00F803A5">
        <w:rPr>
          <w:sz w:val="24"/>
          <w:szCs w:val="24"/>
        </w:rPr>
        <w:t>0</w:t>
      </w:r>
      <w:r w:rsidRPr="00F803A5">
        <w:rPr>
          <w:sz w:val="24"/>
          <w:szCs w:val="24"/>
        </w:rPr>
        <w:tab/>
      </w:r>
      <w:r w:rsidRPr="00F803A5">
        <w:rPr>
          <w:sz w:val="24"/>
          <w:szCs w:val="24"/>
        </w:rPr>
        <w:tab/>
      </w:r>
      <w:r w:rsidRPr="00F803A5">
        <w:rPr>
          <w:sz w:val="24"/>
          <w:szCs w:val="24"/>
        </w:rPr>
        <w:tab/>
      </w:r>
      <w:r w:rsidRPr="00F803A5">
        <w:rPr>
          <w:sz w:val="24"/>
          <w:szCs w:val="24"/>
        </w:rPr>
        <w:tab/>
      </w:r>
      <w:r w:rsidRPr="00F803A5">
        <w:rPr>
          <w:sz w:val="24"/>
          <w:szCs w:val="24"/>
        </w:rPr>
        <w:tab/>
      </w:r>
      <w:r w:rsidRPr="00F803A5">
        <w:rPr>
          <w:sz w:val="24"/>
          <w:szCs w:val="24"/>
        </w:rPr>
        <w:tab/>
      </w:r>
      <w:r w:rsidRPr="00F803A5">
        <w:rPr>
          <w:sz w:val="24"/>
          <w:szCs w:val="24"/>
        </w:rPr>
        <w:tab/>
      </w:r>
      <w:r w:rsidRPr="00F803A5">
        <w:rPr>
          <w:sz w:val="24"/>
          <w:szCs w:val="24"/>
        </w:rPr>
        <w:tab/>
      </w:r>
      <w:r w:rsidRPr="00F803A5">
        <w:rPr>
          <w:sz w:val="24"/>
          <w:szCs w:val="24"/>
        </w:rPr>
        <w:tab/>
        <w:t>68 °C, 10 min</w:t>
      </w:r>
    </w:p>
    <w:p w14:paraId="00DEC270" w14:textId="14E7F689" w:rsidR="00DF3218" w:rsidRPr="00F803A5" w:rsidRDefault="00DF3218">
      <w:pPr>
        <w:spacing w:before="240" w:after="120" w:line="360" w:lineRule="auto"/>
        <w:jc w:val="both"/>
        <w:rPr>
          <w:sz w:val="24"/>
          <w:szCs w:val="24"/>
        </w:rPr>
      </w:pPr>
      <w:r w:rsidRPr="00F803A5">
        <w:rPr>
          <w:sz w:val="24"/>
          <w:szCs w:val="24"/>
        </w:rPr>
        <w:t>1</w:t>
      </w:r>
      <w:r w:rsidRPr="00F803A5">
        <w:rPr>
          <w:sz w:val="24"/>
          <w:szCs w:val="24"/>
        </w:rPr>
        <w:tab/>
      </w:r>
      <w:r w:rsidRPr="00F803A5">
        <w:rPr>
          <w:sz w:val="24"/>
          <w:szCs w:val="24"/>
        </w:rPr>
        <w:tab/>
      </w:r>
      <w:r w:rsidRPr="00F803A5">
        <w:rPr>
          <w:sz w:val="24"/>
          <w:szCs w:val="24"/>
        </w:rPr>
        <w:tab/>
        <w:t>94 °C, 30 sec</w:t>
      </w:r>
      <w:r w:rsidRPr="00F803A5">
        <w:rPr>
          <w:sz w:val="24"/>
          <w:szCs w:val="24"/>
        </w:rPr>
        <w:tab/>
      </w:r>
      <w:r w:rsidRPr="00F803A5">
        <w:rPr>
          <w:sz w:val="24"/>
          <w:szCs w:val="24"/>
        </w:rPr>
        <w:tab/>
        <w:t>65 °C, 5 min</w:t>
      </w:r>
      <w:r w:rsidRPr="00F803A5">
        <w:rPr>
          <w:sz w:val="24"/>
          <w:szCs w:val="24"/>
        </w:rPr>
        <w:tab/>
      </w:r>
      <w:r w:rsidRPr="00F803A5">
        <w:rPr>
          <w:sz w:val="24"/>
          <w:szCs w:val="24"/>
        </w:rPr>
        <w:tab/>
        <w:t>68 °C, 15 min</w:t>
      </w:r>
    </w:p>
    <w:p w14:paraId="016E64AF" w14:textId="4E221AC2" w:rsidR="00DF3218" w:rsidRPr="00F803A5" w:rsidRDefault="00DF3218">
      <w:pPr>
        <w:spacing w:before="240" w:after="120" w:line="360" w:lineRule="auto"/>
        <w:jc w:val="both"/>
        <w:rPr>
          <w:sz w:val="24"/>
          <w:szCs w:val="24"/>
        </w:rPr>
      </w:pPr>
      <w:r w:rsidRPr="00F803A5">
        <w:rPr>
          <w:sz w:val="24"/>
          <w:szCs w:val="24"/>
        </w:rPr>
        <w:t>2-4</w:t>
      </w:r>
      <w:r w:rsidRPr="00F803A5">
        <w:rPr>
          <w:sz w:val="24"/>
          <w:szCs w:val="24"/>
        </w:rPr>
        <w:tab/>
      </w:r>
      <w:r w:rsidRPr="00F803A5">
        <w:rPr>
          <w:sz w:val="24"/>
          <w:szCs w:val="24"/>
        </w:rPr>
        <w:tab/>
      </w:r>
      <w:r w:rsidRPr="00F803A5">
        <w:rPr>
          <w:sz w:val="24"/>
          <w:szCs w:val="24"/>
        </w:rPr>
        <w:tab/>
        <w:t>94 °C, 30 sec</w:t>
      </w:r>
      <w:r w:rsidRPr="00F803A5">
        <w:rPr>
          <w:sz w:val="24"/>
          <w:szCs w:val="24"/>
        </w:rPr>
        <w:tab/>
      </w:r>
      <w:r w:rsidRPr="00F803A5">
        <w:rPr>
          <w:sz w:val="24"/>
          <w:szCs w:val="24"/>
        </w:rPr>
        <w:tab/>
        <w:t>65 °C, 1 min</w:t>
      </w:r>
      <w:r w:rsidRPr="00F803A5">
        <w:rPr>
          <w:sz w:val="24"/>
          <w:szCs w:val="24"/>
        </w:rPr>
        <w:tab/>
      </w:r>
      <w:r w:rsidRPr="00F803A5">
        <w:rPr>
          <w:sz w:val="24"/>
          <w:szCs w:val="24"/>
        </w:rPr>
        <w:tab/>
        <w:t>68 °C, 10 min</w:t>
      </w:r>
    </w:p>
    <w:p w14:paraId="318336F6" w14:textId="315B5908" w:rsidR="00DF3218" w:rsidRPr="00F803A5" w:rsidRDefault="00DF3218">
      <w:pPr>
        <w:spacing w:before="240" w:after="120" w:line="360" w:lineRule="auto"/>
        <w:jc w:val="both"/>
        <w:rPr>
          <w:sz w:val="24"/>
          <w:szCs w:val="24"/>
        </w:rPr>
      </w:pPr>
      <w:r w:rsidRPr="00F803A5">
        <w:rPr>
          <w:sz w:val="24"/>
          <w:szCs w:val="24"/>
        </w:rPr>
        <w:t>5-21</w:t>
      </w:r>
      <w:r w:rsidRPr="00F803A5">
        <w:rPr>
          <w:sz w:val="24"/>
          <w:szCs w:val="24"/>
        </w:rPr>
        <w:tab/>
      </w:r>
      <w:r w:rsidRPr="00F803A5">
        <w:rPr>
          <w:sz w:val="24"/>
          <w:szCs w:val="24"/>
        </w:rPr>
        <w:tab/>
      </w:r>
      <w:r w:rsidRPr="00F803A5">
        <w:rPr>
          <w:sz w:val="24"/>
          <w:szCs w:val="24"/>
        </w:rPr>
        <w:tab/>
        <w:t>94 °C, 30 sec</w:t>
      </w:r>
      <w:r w:rsidRPr="00F803A5">
        <w:rPr>
          <w:sz w:val="24"/>
          <w:szCs w:val="24"/>
        </w:rPr>
        <w:tab/>
      </w:r>
      <w:r w:rsidRPr="00F803A5">
        <w:rPr>
          <w:sz w:val="24"/>
          <w:szCs w:val="24"/>
        </w:rPr>
        <w:tab/>
        <w:t>65 °C, 1 min</w:t>
      </w:r>
      <w:r w:rsidRPr="00F803A5">
        <w:rPr>
          <w:sz w:val="24"/>
          <w:szCs w:val="24"/>
        </w:rPr>
        <w:tab/>
      </w:r>
      <w:r w:rsidRPr="00F803A5">
        <w:rPr>
          <w:sz w:val="24"/>
          <w:szCs w:val="24"/>
        </w:rPr>
        <w:tab/>
        <w:t>68 °C, 2 min</w:t>
      </w:r>
    </w:p>
    <w:p w14:paraId="53DBB2F2" w14:textId="51BC3C11" w:rsidR="00DF3218" w:rsidRPr="00F803A5" w:rsidRDefault="00DF3218">
      <w:pPr>
        <w:spacing w:before="240" w:after="120" w:line="360" w:lineRule="auto"/>
        <w:jc w:val="both"/>
        <w:rPr>
          <w:sz w:val="24"/>
          <w:szCs w:val="24"/>
        </w:rPr>
      </w:pPr>
      <w:r w:rsidRPr="00F803A5">
        <w:rPr>
          <w:sz w:val="24"/>
          <w:szCs w:val="24"/>
        </w:rPr>
        <w:t>22</w:t>
      </w:r>
      <w:r w:rsidRPr="00F803A5">
        <w:rPr>
          <w:sz w:val="24"/>
          <w:szCs w:val="24"/>
        </w:rPr>
        <w:tab/>
      </w:r>
      <w:r w:rsidRPr="00F803A5">
        <w:rPr>
          <w:sz w:val="24"/>
          <w:szCs w:val="24"/>
        </w:rPr>
        <w:tab/>
      </w:r>
      <w:r w:rsidRPr="00F803A5">
        <w:rPr>
          <w:sz w:val="24"/>
          <w:szCs w:val="24"/>
        </w:rPr>
        <w:tab/>
      </w:r>
      <w:r w:rsidRPr="00F803A5">
        <w:rPr>
          <w:sz w:val="24"/>
          <w:szCs w:val="24"/>
        </w:rPr>
        <w:tab/>
      </w:r>
      <w:r w:rsidRPr="00F803A5">
        <w:rPr>
          <w:sz w:val="24"/>
          <w:szCs w:val="24"/>
        </w:rPr>
        <w:tab/>
      </w:r>
      <w:r w:rsidRPr="00F803A5">
        <w:rPr>
          <w:sz w:val="24"/>
          <w:szCs w:val="24"/>
        </w:rPr>
        <w:tab/>
      </w:r>
      <w:r w:rsidRPr="00F803A5">
        <w:rPr>
          <w:sz w:val="24"/>
          <w:szCs w:val="24"/>
        </w:rPr>
        <w:tab/>
      </w:r>
      <w:r w:rsidRPr="00F803A5">
        <w:rPr>
          <w:sz w:val="24"/>
          <w:szCs w:val="24"/>
        </w:rPr>
        <w:tab/>
      </w:r>
      <w:r w:rsidRPr="00F803A5">
        <w:rPr>
          <w:sz w:val="24"/>
          <w:szCs w:val="24"/>
        </w:rPr>
        <w:tab/>
        <w:t>68 °C, 5 min</w:t>
      </w:r>
    </w:p>
    <w:p w14:paraId="481452B2" w14:textId="77777777" w:rsidR="00DF3218" w:rsidRPr="00F803A5" w:rsidRDefault="00DF3218">
      <w:pPr>
        <w:spacing w:line="360" w:lineRule="auto"/>
        <w:rPr>
          <w:sz w:val="24"/>
          <w:szCs w:val="24"/>
        </w:rPr>
      </w:pPr>
    </w:p>
    <w:p w14:paraId="102CA66D" w14:textId="34B644E6" w:rsidR="00587AC7" w:rsidRPr="00DF3218" w:rsidRDefault="00DF3218">
      <w:pPr>
        <w:spacing w:line="360" w:lineRule="auto"/>
        <w:rPr>
          <w:sz w:val="24"/>
          <w:szCs w:val="24"/>
        </w:rPr>
      </w:pPr>
      <w:r w:rsidRPr="00F803A5">
        <w:rPr>
          <w:sz w:val="24"/>
          <w:szCs w:val="24"/>
        </w:rPr>
        <w:t>Subsequently the DNA was purified using a Qiagen PCR Purification column and eluted in the 30 µl of H</w:t>
      </w:r>
      <w:r w:rsidRPr="00F803A5">
        <w:rPr>
          <w:sz w:val="24"/>
          <w:szCs w:val="24"/>
          <w:vertAlign w:val="subscript"/>
        </w:rPr>
        <w:t>2</w:t>
      </w:r>
      <w:r w:rsidRPr="00F803A5">
        <w:rPr>
          <w:sz w:val="24"/>
          <w:szCs w:val="24"/>
        </w:rPr>
        <w:t>O. 2 µg of DNA was added to 10 µl of Cutsmart buffer and made up to 100 µl with H</w:t>
      </w:r>
      <w:r w:rsidRPr="00F803A5">
        <w:rPr>
          <w:sz w:val="24"/>
          <w:szCs w:val="24"/>
          <w:vertAlign w:val="subscript"/>
        </w:rPr>
        <w:t>2</w:t>
      </w:r>
      <w:r w:rsidRPr="00F803A5">
        <w:rPr>
          <w:sz w:val="24"/>
          <w:szCs w:val="24"/>
        </w:rPr>
        <w:t xml:space="preserve">O. The solution was sonicated on high intensity for 6 cycles (30 secs on, 30 secs off) on a Diagenode Bioruptor® Plus. 1 µl of AwlI was added to cleave off the DamID adaptors and then library was prepared for sequencing using the modified TruSeq protocol elaborated </w:t>
      </w:r>
      <w:r w:rsidR="00FE18C0">
        <w:rPr>
          <w:sz w:val="24"/>
          <w:szCs w:val="24"/>
        </w:rPr>
        <w:t xml:space="preserve">upon </w:t>
      </w:r>
      <w:r w:rsidRPr="00F803A5">
        <w:rPr>
          <w:sz w:val="24"/>
          <w:szCs w:val="24"/>
        </w:rPr>
        <w:t>in</w:t>
      </w:r>
      <w:r>
        <w:rPr>
          <w:sz w:val="24"/>
          <w:szCs w:val="24"/>
        </w:rPr>
        <w:t xml:space="preserve"> </w:t>
      </w:r>
      <w:r>
        <w:rPr>
          <w:sz w:val="24"/>
          <w:szCs w:val="24"/>
          <w:vertAlign w:val="superscript"/>
        </w:rPr>
        <w:t>28</w:t>
      </w:r>
      <w:r>
        <w:rPr>
          <w:sz w:val="24"/>
          <w:szCs w:val="24"/>
        </w:rPr>
        <w:t>.</w:t>
      </w:r>
    </w:p>
    <w:p w14:paraId="65657DBB" w14:textId="77777777" w:rsidR="00671648" w:rsidRDefault="00671648" w:rsidP="00587AC7">
      <w:pPr>
        <w:spacing w:line="360" w:lineRule="auto"/>
        <w:rPr>
          <w:b/>
          <w:sz w:val="24"/>
          <w:szCs w:val="24"/>
        </w:rPr>
      </w:pPr>
    </w:p>
    <w:p w14:paraId="1BF95248" w14:textId="54E19C3F" w:rsidR="00587AC7" w:rsidRPr="00C07A08" w:rsidRDefault="00587AC7" w:rsidP="00587AC7">
      <w:pPr>
        <w:spacing w:line="360" w:lineRule="auto"/>
        <w:rPr>
          <w:b/>
          <w:sz w:val="24"/>
          <w:szCs w:val="24"/>
        </w:rPr>
      </w:pPr>
      <w:r w:rsidRPr="00C07A08">
        <w:rPr>
          <w:b/>
          <w:sz w:val="24"/>
          <w:szCs w:val="24"/>
        </w:rPr>
        <w:t>Data analysis</w:t>
      </w:r>
      <w:r w:rsidR="00D476C8">
        <w:rPr>
          <w:b/>
          <w:sz w:val="24"/>
          <w:szCs w:val="24"/>
        </w:rPr>
        <w:t xml:space="preserve"> and visualisation</w:t>
      </w:r>
    </w:p>
    <w:p w14:paraId="46D64DDA" w14:textId="4B0B53F4" w:rsidR="00587AC7" w:rsidRPr="00DF4E6A" w:rsidRDefault="00587AC7" w:rsidP="00587AC7">
      <w:pPr>
        <w:spacing w:line="360" w:lineRule="auto"/>
        <w:rPr>
          <w:sz w:val="24"/>
          <w:szCs w:val="24"/>
        </w:rPr>
      </w:pPr>
      <w:r w:rsidRPr="00A2214F">
        <w:rPr>
          <w:sz w:val="24"/>
          <w:szCs w:val="24"/>
        </w:rPr>
        <w:t xml:space="preserve">DamID </w:t>
      </w:r>
      <w:r w:rsidR="00671648">
        <w:rPr>
          <w:sz w:val="24"/>
          <w:szCs w:val="24"/>
        </w:rPr>
        <w:t>reads were</w:t>
      </w:r>
      <w:r w:rsidRPr="00A2214F">
        <w:rPr>
          <w:sz w:val="24"/>
          <w:szCs w:val="24"/>
        </w:rPr>
        <w:t xml:space="preserve"> aligned to </w:t>
      </w:r>
      <w:r w:rsidRPr="00A2214F">
        <w:rPr>
          <w:i/>
          <w:sz w:val="24"/>
          <w:szCs w:val="24"/>
        </w:rPr>
        <w:t xml:space="preserve">Drosophila </w:t>
      </w:r>
      <w:r w:rsidRPr="00A2214F">
        <w:rPr>
          <w:sz w:val="24"/>
          <w:szCs w:val="24"/>
        </w:rPr>
        <w:t>genome release dm6 and normalised as described</w:t>
      </w:r>
      <w:r w:rsidRPr="00C07A08">
        <w:rPr>
          <w:sz w:val="24"/>
          <w:szCs w:val="24"/>
        </w:rPr>
        <w:t xml:space="preserve"> </w:t>
      </w:r>
      <w:r w:rsidR="00671648" w:rsidRPr="00A2214F">
        <w:rPr>
          <w:sz w:val="24"/>
          <w:szCs w:val="24"/>
        </w:rPr>
        <w:t xml:space="preserve">previously </w:t>
      </w:r>
      <w:r w:rsidRPr="00C07A08">
        <w:rPr>
          <w:sz w:val="24"/>
          <w:szCs w:val="24"/>
        </w:rPr>
        <w:fldChar w:fldCharType="begin" w:fldLock="1"/>
      </w:r>
      <w:r>
        <w:rPr>
          <w:sz w:val="24"/>
          <w:szCs w:val="24"/>
        </w:rPr>
        <w:instrText>ADDIN CSL_CITATION { "citationItems" : [ { "id" : "ITEM-1", "itemData" : { "DOI" : "10.1093/bioinformatics/btv386", "ISSN" : "14602059", "PMID" : "26112292", "abstract" : "UNLABELLED: DamID is a powerful technique for identifying regions of the genome bound by a DNA-binding (or DNA-associated) protein. Currently, no method exists for automatically processing next-generation sequencing DamID (DamID-seq) data, and the use of DamID-seq datasets with normalization based on read-counts alone can lead to high background and the loss of bound signal. DamID-seq thus presents novel challenges in terms of normalization and background minimization. We describe here damidseq_pipeline, a software pipeline that performs automatic normalization and background reduction on multiple DamID-seq FASTQ datasets.\\n\\nAVAILABILITY AND IMPLEMENTATION: Open-source and freely available from http://owenjm.github.io/damidseq_pipeline. The damidseq_pipeline is implemented in Perl and is compatible with any Unix-based operating system (e.g. Linux, Mac OSX).\\n\\nCONTACT: o.marshall@gurdon.cam.ac.uk\\n\\nSUPPLEMENTARY INFORMATION: Supplementary data are available at Bioinformatics online.", "author" : [ { "dropping-particle" : "", "family" : "Marshall", "given" : "Owen J.", "non-dropping-particle" : "", "parse-names" : false, "suffix" : "" }, { "dropping-particle" : "", "family" : "Brand", "given" : "Andrea H.", "non-dropping-particle" : "", "parse-names" : false, "suffix" : "" } ], "container-title" : "Bioinformatics", "id" : "ITEM-1", "issue" : "20", "issued" : { "date-parts" : [ [ "2015" ] ] }, "page" : "3371-3373", "title" : "Damidseq-pipeline: An automated pipeline for processing DamID sequencing datasets", "type" : "article-journal", "volume" : "31" }, "uris" : [ "http://www.mendeley.com/documents/?uuid=72d52a63-eb0b-4f88-bfbd-3ad9405c03d9" ] } ], "mendeley" : { "formattedCitation" : "&lt;sup&gt;29&lt;/sup&gt;", "plainTextFormattedCitation" : "29", "previouslyFormattedCitation" : "&lt;sup&gt;29&lt;/sup&gt;" }, "properties" : { "noteIndex" : 0 }, "schema" : "https://github.com/citation-style-language/schema/raw/master/csl-citation.json" }</w:instrText>
      </w:r>
      <w:r w:rsidRPr="00C07A08">
        <w:rPr>
          <w:sz w:val="24"/>
          <w:szCs w:val="24"/>
        </w:rPr>
        <w:fldChar w:fldCharType="separate"/>
      </w:r>
      <w:r w:rsidRPr="0050053D">
        <w:rPr>
          <w:noProof/>
          <w:sz w:val="24"/>
          <w:szCs w:val="24"/>
          <w:vertAlign w:val="superscript"/>
        </w:rPr>
        <w:t>29</w:t>
      </w:r>
      <w:r w:rsidRPr="00C07A08">
        <w:rPr>
          <w:sz w:val="24"/>
          <w:szCs w:val="24"/>
        </w:rPr>
        <w:fldChar w:fldCharType="end"/>
      </w:r>
      <w:r w:rsidRPr="00C07A08">
        <w:rPr>
          <w:sz w:val="24"/>
          <w:szCs w:val="24"/>
        </w:rPr>
        <w:t>.</w:t>
      </w:r>
      <w:r w:rsidR="00671648">
        <w:rPr>
          <w:sz w:val="24"/>
          <w:szCs w:val="24"/>
        </w:rPr>
        <w:t xml:space="preserve"> Briefly,</w:t>
      </w:r>
      <w:r w:rsidRPr="00C07A08">
        <w:rPr>
          <w:sz w:val="24"/>
          <w:szCs w:val="24"/>
        </w:rPr>
        <w:t xml:space="preserve"> </w:t>
      </w:r>
      <w:r w:rsidR="00671648">
        <w:rPr>
          <w:sz w:val="24"/>
          <w:szCs w:val="24"/>
        </w:rPr>
        <w:t>r</w:t>
      </w:r>
      <w:r w:rsidRPr="00A2214F">
        <w:rPr>
          <w:sz w:val="24"/>
          <w:szCs w:val="24"/>
        </w:rPr>
        <w:t>eads for controls and the lncRNA-MS2, Dam-MCP libraries were binned into GATC fragments. The ratio of test over control was normalised by a kernel density estimate using readcounts from</w:t>
      </w:r>
      <w:r w:rsidRPr="00C07A08">
        <w:rPr>
          <w:sz w:val="24"/>
          <w:szCs w:val="24"/>
        </w:rPr>
        <w:t xml:space="preserve"> the </w:t>
      </w:r>
      <w:r w:rsidRPr="00A2214F">
        <w:rPr>
          <w:sz w:val="24"/>
          <w:szCs w:val="24"/>
        </w:rPr>
        <w:t>accessible regions of the genome (assessed by the methylation pattern of the control).</w:t>
      </w:r>
      <w:r w:rsidRPr="00C07A08">
        <w:rPr>
          <w:sz w:val="24"/>
          <w:szCs w:val="24"/>
        </w:rPr>
        <w:t xml:space="preserve"> To reduce noise generated from ratios between regions with low signal</w:t>
      </w:r>
      <w:r w:rsidR="00671648">
        <w:rPr>
          <w:sz w:val="24"/>
          <w:szCs w:val="24"/>
        </w:rPr>
        <w:t>,</w:t>
      </w:r>
      <w:r w:rsidRPr="00C07A08">
        <w:rPr>
          <w:sz w:val="24"/>
          <w:szCs w:val="24"/>
        </w:rPr>
        <w:t xml:space="preserve"> pseudocounts are added proportionally to the number of mapped reads. This normalisation process is described in further detail in </w:t>
      </w:r>
      <w:r w:rsidRPr="00C07A08">
        <w:rPr>
          <w:sz w:val="24"/>
          <w:szCs w:val="24"/>
        </w:rPr>
        <w:fldChar w:fldCharType="begin" w:fldLock="1"/>
      </w:r>
      <w:r>
        <w:rPr>
          <w:sz w:val="24"/>
          <w:szCs w:val="24"/>
        </w:rPr>
        <w:instrText>ADDIN CSL_CITATION { "citationItems" : [ { "id" : "ITEM-1", "itemData" : { "DOI" : "10.1093/bioinformatics/btv386", "ISSN" : "14602059", "PMID" : "26112292", "abstract" : "UNLABELLED: DamID is a powerful technique for identifying regions of the genome bound by a DNA-binding (or DNA-associated) protein. Currently, no method exists for automatically processing next-generation sequencing DamID (DamID-seq) data, and the use of DamID-seq datasets with normalization based on read-counts alone can lead to high background and the loss of bound signal. DamID-seq thus presents novel challenges in terms of normalization and background minimization. We describe here damidseq_pipeline, a software pipeline that performs automatic normalization and background reduction on multiple DamID-seq FASTQ datasets.\\n\\nAVAILABILITY AND IMPLEMENTATION: Open-source and freely available from http://owenjm.github.io/damidseq_pipeline. The damidseq_pipeline is implemented in Perl and is compatible with any Unix-based operating system (e.g. Linux, Mac OSX).\\n\\nCONTACT: o.marshall@gurdon.cam.ac.uk\\n\\nSUPPLEMENTARY INFORMATION: Supplementary data are available at Bioinformatics online.", "author" : [ { "dropping-particle" : "", "family" : "Marshall", "given" : "Owen J.", "non-dropping-particle" : "", "parse-names" : false, "suffix" : "" }, { "dropping-particle" : "", "family" : "Brand", "given" : "Andrea H.", "non-dropping-particle" : "", "parse-names" : false, "suffix" : "" } ], "container-title" : "Bioinformatics", "id" : "ITEM-1", "issue" : "20", "issued" : { "date-parts" : [ [ "2015" ] ] }, "page" : "3371-3373", "title" : "Damidseq-pipeline: An automated pipeline for processing DamID sequencing datasets", "type" : "article-journal", "volume" : "31" }, "uris" : [ "http://www.mendeley.com/documents/?uuid=72d52a63-eb0b-4f88-bfbd-3ad9405c03d9" ] } ], "mendeley" : { "formattedCitation" : "&lt;sup&gt;29&lt;/sup&gt;", "plainTextFormattedCitation" : "29", "previouslyFormattedCitation" : "&lt;sup&gt;29&lt;/sup&gt;" }, "properties" : { "noteIndex" : 0 }, "schema" : "https://github.com/citation-style-language/schema/raw/master/csl-citation.json" }</w:instrText>
      </w:r>
      <w:r w:rsidRPr="00C07A08">
        <w:rPr>
          <w:sz w:val="24"/>
          <w:szCs w:val="24"/>
        </w:rPr>
        <w:fldChar w:fldCharType="separate"/>
      </w:r>
      <w:r w:rsidRPr="0050053D">
        <w:rPr>
          <w:noProof/>
          <w:sz w:val="24"/>
          <w:szCs w:val="24"/>
          <w:vertAlign w:val="superscript"/>
        </w:rPr>
        <w:t>29</w:t>
      </w:r>
      <w:r w:rsidRPr="00C07A08">
        <w:rPr>
          <w:sz w:val="24"/>
          <w:szCs w:val="24"/>
        </w:rPr>
        <w:fldChar w:fldCharType="end"/>
      </w:r>
      <w:r w:rsidRPr="00C07A08">
        <w:rPr>
          <w:sz w:val="24"/>
          <w:szCs w:val="24"/>
        </w:rPr>
        <w:t>.</w:t>
      </w:r>
      <w:r w:rsidRPr="00A2214F">
        <w:rPr>
          <w:sz w:val="24"/>
          <w:szCs w:val="24"/>
        </w:rPr>
        <w:t xml:space="preserve"> </w:t>
      </w:r>
      <w:r w:rsidRPr="00A90368">
        <w:rPr>
          <w:sz w:val="24"/>
          <w:szCs w:val="24"/>
        </w:rPr>
        <w:t xml:space="preserve">ChIRP bedgraph files </w:t>
      </w:r>
      <w:r w:rsidR="00671648">
        <w:rPr>
          <w:sz w:val="24"/>
          <w:szCs w:val="24"/>
        </w:rPr>
        <w:t>were</w:t>
      </w:r>
      <w:r w:rsidRPr="00A90368">
        <w:rPr>
          <w:sz w:val="24"/>
          <w:szCs w:val="24"/>
        </w:rPr>
        <w:t xml:space="preserve"> downloaded fro</w:t>
      </w:r>
      <w:r w:rsidRPr="00B20AB4">
        <w:rPr>
          <w:sz w:val="24"/>
          <w:szCs w:val="24"/>
        </w:rPr>
        <w:t>m the Gene Expression Omnibus (GSE69208) and converted to dm6 by UCSC liftover. ChIRP peaks,</w:t>
      </w:r>
      <w:r w:rsidRPr="000823F2">
        <w:rPr>
          <w:sz w:val="24"/>
          <w:szCs w:val="24"/>
        </w:rPr>
        <w:t xml:space="preserve"> Chromatin Entry Sites </w:t>
      </w:r>
      <w:r w:rsidRPr="00C07A08">
        <w:rPr>
          <w:sz w:val="24"/>
          <w:szCs w:val="24"/>
        </w:rPr>
        <w:fldChar w:fldCharType="begin" w:fldLock="1"/>
      </w:r>
      <w:r>
        <w:rPr>
          <w:sz w:val="24"/>
          <w:szCs w:val="24"/>
        </w:rPr>
        <w:instrText>ADDIN CSL_CITATION { "citationItems" : [ { "id" : "ITEM-1", "itemData" : { "DOI" : "10.1016/j.cell.2008.06.033", "ISBN" : "1097-4172 (Electronic)", "ISSN" : "00928674", "PMID" : "18724933", "abstract" : "The Drosophila MSL complex associates with active genes specifically on the male X chromosome to acetylate histone H4 at lysine 16 and increase expression approximately 2-fold. To date, no DNA sequence has been discovered to explain the specificity of MSL binding. We hypothesized that sequence-specific targeting occurs at \"chromatin entry sites,\" but the majority of sites are sequence independent. Here we characterize 150 potential entry sites by ChIP-chip and ChIP-seq and discover a GA-rich MSL recognition element (MRE). The motif is only slightly enriched on the X chromosome (\u223c2-fold), but this is doubled when considering its preferential location within or 3\u2032 to active genes (&gt;4-fold enrichment). When inserted on an autosome, a newly identified site can direct local MSL spreading to flanking active genes. These results provide strong evidence for both sequence-dependent and -independent steps in MSL targeting of dosage compensation to the male X chromosome. \u00a9 2008 Elsevier Inc. All rights reserved.", "author" : [ { "dropping-particle" : "", "family" : "Alekseyenko", "given" : "Artyom A.", "non-dropping-particle" : "", "parse-names" : false, "suffix" : "" }, { "dropping-particle" : "", "family" : "Peng", "given" : "Shouyong", "non-dropping-particle" : "", "parse-names" : false, "suffix" : "" }, { "dropping-particle" : "", "family" : "Larschan", "given" : "Erica", "non-dropping-particle" : "", "parse-names" : false, "suffix" : "" }, { "dropping-particle" : "", "family" : "Gorchakov", "given" : "Andrey A.", "non-dropping-particle" : "", "parse-names" : false, "suffix" : "" }, { "dropping-particle" : "", "family" : "Lee", "given" : "Ok Kyung", "non-dropping-particle" : "", "parse-names" : false, "suffix" : "" }, { "dropping-particle" : "", "family" : "Kharchenko", "given" : "Peter", "non-dropping-particle" : "", "parse-names" : false, "suffix" : "" }, { "dropping-particle" : "", "family" : "McGrath", "given" : "Sean D.", "non-dropping-particle" : "", "parse-names" : false, "suffix" : "" }, { "dropping-particle" : "", "family" : "Wang", "given" : "Charlotte I.", "non-dropping-particle" : "", "parse-names" : false, "suffix" : "" }, { "dropping-particle" : "", "family" : "Mardis", "given" : "Elaine R.", "non-dropping-particle" : "", "parse-names" : false, "suffix" : "" }, { "dropping-particle" : "", "family" : "Park", "given" : "Peter J.", "non-dropping-particle" : "", "parse-names" : false, "suffix" : "" }, { "dropping-particle" : "", "family" : "Kuroda", "given" : "Mitzi I.", "non-dropping-particle" : "", "parse-names" : false, "suffix" : "" } ], "container-title" : "Cell", "id" : "ITEM-1", "issue" : "4", "issued" : { "date-parts" : [ [ "2008" ] ] }, "page" : "599-609", "title" : "A Sequence Motif within Chromatin Entry Sites Directs MSL Establishment on the Drosophila X Chromosome", "type" : "article-journal", "volume" : "134" }, "uris" : [ "http://www.mendeley.com/documents/?uuid=cb2b5a2a-9e91-4005-a957-9aef84342844" ] } ], "mendeley" : { "formattedCitation" : "&lt;sup&gt;14&lt;/sup&gt;", "plainTextFormattedCitation" : "14", "previouslyFormattedCitation" : "&lt;sup&gt;14&lt;/sup&gt;" }, "properties" : { "noteIndex" : 0 }, "schema" : "https://github.com/citation-style-language/schema/raw/master/csl-citation.json" }</w:instrText>
      </w:r>
      <w:r w:rsidRPr="00C07A08">
        <w:rPr>
          <w:sz w:val="24"/>
          <w:szCs w:val="24"/>
        </w:rPr>
        <w:fldChar w:fldCharType="separate"/>
      </w:r>
      <w:r w:rsidRPr="00A41997">
        <w:rPr>
          <w:noProof/>
          <w:sz w:val="24"/>
          <w:szCs w:val="24"/>
          <w:vertAlign w:val="superscript"/>
        </w:rPr>
        <w:t>14</w:t>
      </w:r>
      <w:r w:rsidRPr="00C07A08">
        <w:rPr>
          <w:sz w:val="24"/>
          <w:szCs w:val="24"/>
        </w:rPr>
        <w:fldChar w:fldCharType="end"/>
      </w:r>
      <w:r w:rsidRPr="00C07A08">
        <w:rPr>
          <w:sz w:val="24"/>
          <w:szCs w:val="24"/>
        </w:rPr>
        <w:t xml:space="preserve"> and pionX sites </w:t>
      </w:r>
      <w:r w:rsidRPr="00C07A08">
        <w:rPr>
          <w:sz w:val="24"/>
          <w:szCs w:val="24"/>
        </w:rPr>
        <w:fldChar w:fldCharType="begin" w:fldLock="1"/>
      </w:r>
      <w:r>
        <w:rPr>
          <w:sz w:val="24"/>
          <w:szCs w:val="24"/>
        </w:rPr>
        <w:instrText>ADDIN CSL_CITATION { "citationItems" : [ { "id" : "ITEM-1", "itemData" : { "DOI" : "10.1038/nature19338", "ISSN" : "1476-4687", "PMID" : "27580037", "abstract" : "The rules defining which small fraction of related DNA sequences can be selectively bound by a transcription factor are poorly understood. One of the most challenging tasks in DNA recognition is posed by dosage compensation systems that require the distinction between sex chromosomes and autosomes. In Drosophila melanogaster, the male-specific lethal dosage compensation complex (MSL-DCC) doubles the level of transcription from the single male X chromosome, but the nature of this selectivity is not known. Previous efforts to identify X-chromosome-specific target sequences were unsuccessful as the identified MSL recognition elements lacked discriminative power. Therefore, additional determinants such as co-factors, chromatin features, RNA and chromosome conformation have been proposed to refine targeting further. Here, using an in vitro genome-wide DNA binding assay, we show that recognition of the X chromosome is an intrinsic feature of the MSL-DCC. MSL2, the male-specific organizer of the complex, uses two distinct DNA interaction surfaces-the CXC and proline/basic-residue-rich domains-to identify complex DNA elements on the X chromosome. Specificity is provided by the CXC domain, which binds a novel motif defined by DNA sequence and shape. This motif characterizes a subclass of MSL2-binding sites, which we name PionX (pioneering sites on the X) as they appeared early during the recent evolution of an X chromosome in D. miranda and are the first chromosomal sites to be bound during de novo MSL-DCC assembly. Our data provide the first, to our knowledge, documented molecular mechanism through which the dosage compensation machinery distinguishes the X chromosome from an autosome. They highlight fundamental principles in the recognition of complex DNA elements by protein that will have a strong impact on many aspects of chromosome biology.", "author" : [ { "dropping-particle" : "", "family" : "Villa", "given" : "Raffaella", "non-dropping-particle" : "", "parse-names" : false, "suffix" : "" }, { "dropping-particle" : "", "family" : "Schauer", "given" : "Tamas", "non-dropping-particle" : "", "parse-names" : false, "suffix" : "" }, { "dropping-particle" : "", "family" : "Smialowski", "given" : "Pawel", "non-dropping-particle" : "", "parse-names" : false, "suffix" : "" }, { "dropping-particle" : "", "family" : "Straub", "given" : "Tobias", "non-dropping-particle" : "", "parse-names" : false, "suffix" : "" }, { "dropping-particle" : "", "family" : "Becker", "given" : "Peter B", "non-dropping-particle" : "", "parse-names" : false, "suffix" : "" } ], "container-title" : "Nature", "id" : "ITEM-1", "issue" : "7619", "issued" : { "date-parts" : [ [ "2016", "8", "31" ] ] }, "page" : "244-248", "title" : "PionX sites mark the X chromosome for dosage compensation.", "type" : "article-journal", "volume" : "537" }, "uris" : [ "http://www.mendeley.com/documents/?uuid=83bf0c4d-9a64-3153-b3b0-91a2565ea08b" ] } ], "mendeley" : { "formattedCitation" : "&lt;sup&gt;19&lt;/sup&gt;", "plainTextFormattedCitation" : "19", "previouslyFormattedCitation" : "&lt;sup&gt;19&lt;/sup&gt;" }, "properties" : { "noteIndex" : 0 }, "schema" : "https://github.com/citation-style-language/schema/raw/master/csl-citation.json" }</w:instrText>
      </w:r>
      <w:r w:rsidRPr="00C07A08">
        <w:rPr>
          <w:sz w:val="24"/>
          <w:szCs w:val="24"/>
        </w:rPr>
        <w:fldChar w:fldCharType="separate"/>
      </w:r>
      <w:r w:rsidRPr="00A41997">
        <w:rPr>
          <w:noProof/>
          <w:sz w:val="24"/>
          <w:szCs w:val="24"/>
          <w:vertAlign w:val="superscript"/>
        </w:rPr>
        <w:t>19</w:t>
      </w:r>
      <w:r w:rsidRPr="00C07A08">
        <w:rPr>
          <w:sz w:val="24"/>
          <w:szCs w:val="24"/>
        </w:rPr>
        <w:fldChar w:fldCharType="end"/>
      </w:r>
      <w:r w:rsidRPr="00C07A08">
        <w:rPr>
          <w:sz w:val="24"/>
          <w:szCs w:val="24"/>
        </w:rPr>
        <w:t xml:space="preserve"> were converted from dm3 to dm6 using UCSC Liftover. H4K16ac fastq files were downloaded from modENCODE and mapped to dm6 with Bowtie2 </w:t>
      </w:r>
      <w:r w:rsidRPr="00C07A08">
        <w:rPr>
          <w:sz w:val="24"/>
          <w:szCs w:val="24"/>
        </w:rPr>
        <w:fldChar w:fldCharType="begin" w:fldLock="1"/>
      </w:r>
      <w:r>
        <w:rPr>
          <w:sz w:val="24"/>
          <w:szCs w:val="24"/>
        </w:rPr>
        <w:instrText>ADDIN CSL_CITATION { "citationItems" : [ { "id" : "ITEM-1", "itemData" : { "DOI" : "10.1038/nmeth.1923", "ISBN" : "1548-7105 (Electronic) 1548-7091 (Linking)", "ISSN" : "1548-7105", "PMID" : "22388286", "abstract" : "As the rate of sequencing increases, greater throughput is demanded from read aligners. The full-text minute index is often used to make alignment very fast and memory-efficient, but the approach is ill-suited to finding longer, gapped alignments. Bowtie 2 combines the strengths of the full-text minute index with the flexibility and speed of hardware-accelerated dynamic programming algorithms to achieve a combination of high speed, sensitivity and accuracy.", "author" : [ { "dropping-particle" : "", "family" : "Langmead", "given" : "Ben", "non-dropping-particle" : "", "parse-names" : false, "suffix" : "" }, { "dropping-particle" : "", "family" : "Salzberg", "given" : "Steven L", "non-dropping-particle" : "", "parse-names" : false, "suffix" : "" } ], "container-title" : "Nat Methods", "id" : "ITEM-1", "issue" : "4", "issued" : { "date-parts" : [ [ "2012" ] ] }, "page" : "357-359", "title" : "Fast gapped-read alignment with Bowtie 2", "type" : "article-journal", "volume" : "9" }, "uris" : [ "http://www.mendeley.com/documents/?uuid=f21bffbe-fa9a-44f2-9198-2451a04d14cd" ] } ], "mendeley" : { "formattedCitation" : "&lt;sup&gt;30&lt;/sup&gt;", "plainTextFormattedCitation" : "30", "previouslyFormattedCitation" : "&lt;sup&gt;30&lt;/sup&gt;" }, "properties" : { "noteIndex" : 0 }, "schema" : "https://github.com/citation-style-language/schema/raw/master/csl-citation.json" }</w:instrText>
      </w:r>
      <w:r w:rsidRPr="00C07A08">
        <w:rPr>
          <w:sz w:val="24"/>
          <w:szCs w:val="24"/>
        </w:rPr>
        <w:fldChar w:fldCharType="separate"/>
      </w:r>
      <w:r w:rsidRPr="0050053D">
        <w:rPr>
          <w:noProof/>
          <w:sz w:val="24"/>
          <w:szCs w:val="24"/>
          <w:vertAlign w:val="superscript"/>
        </w:rPr>
        <w:t>30</w:t>
      </w:r>
      <w:r w:rsidRPr="00C07A08">
        <w:rPr>
          <w:sz w:val="24"/>
          <w:szCs w:val="24"/>
        </w:rPr>
        <w:fldChar w:fldCharType="end"/>
      </w:r>
      <w:r w:rsidRPr="00C07A08">
        <w:rPr>
          <w:sz w:val="24"/>
          <w:szCs w:val="24"/>
        </w:rPr>
        <w:t xml:space="preserve">. Seqplots </w:t>
      </w:r>
      <w:r w:rsidRPr="00DF4E6A">
        <w:rPr>
          <w:sz w:val="24"/>
          <w:szCs w:val="24"/>
        </w:rPr>
        <w:fldChar w:fldCharType="begin" w:fldLock="1"/>
      </w:r>
      <w:r>
        <w:rPr>
          <w:sz w:val="24"/>
          <w:szCs w:val="24"/>
        </w:rPr>
        <w:instrText>ADDIN CSL_CITATION { "citationItems" : [ { "id" : "ITEM-1", "itemData" : { "DOI" : "10.12688/wellcomeopenres.10004.1", "ISSN" : "2398-502X", "PMID" : "27918597", "abstract" : "Experiments involving high-throughput sequencing are widely used for analyses of chromatin function and gene expression. Common examples are the use of chromatin immunoprecipitation for the analysis of chromatin modifications or factor binding, enzymatic digestions for chromatin structure assays, and RNA sequencing to assess gene expression changes after biological perturbations. To investigate the pattern and abundance of coverage signals across regions of interest, data are often visualized as profile plots of average signal or stacked rows of signal in the form of heatmaps. We found that available plotting software was either slow and laborious or difficult to use by investigators with little computational training, which inhibited wide data exploration. To address this need, we developed SeqPlots, a user-friendly exploratory data analysis (EDA) and visualization software for genomics. After choosing groups of signal and feature files and defining plotting parameters, users can generate profile plots of average signal or heatmaps clustered using different algorithms in a matter of seconds through the graphical user interface (GUI) controls. SeqPlots accepts all major genomic file formats as input and can also generate and plot user defined motif densities. Profile plots and heatmaps are highly configurable and batch operations can be used to generate a large number of plots at once. SeqPlots is available as a GUI application for Mac or Windows and Linux, or as an R/Bioconductor package. It can also be deployed on a server for remote and collaborative usage. The analysis features and ease of use of SeqPlots encourages wide data exploration, which should aid the discovery of novel genomic associations.", "author" : [ { "dropping-particle" : "", "family" : "Stempor", "given" : "Przemyslaw", "non-dropping-particle" : "", "parse-names" : false, "suffix" : "" }, { "dropping-particle" : "", "family" : "Ahringer", "given" : "Julie", "non-dropping-particle" : "", "parse-names" : false, "suffix" : "" } ], "container-title" : "Wellcome Open Research", "id" : "ITEM-1", "issued" : { "date-parts" : [ [ "2016", "11", "15" ] ] }, "page" : "14", "title" : "SeqPlots - Interactive software for exploratory data analyses, pattern discovery and visualization in genomics", "type" : "article-journal", "volume" : "1" }, "uris" : [ "http://www.mendeley.com/documents/?uuid=028d9765-89f0-36d9-a4c1-840669de7150", "http://www.mendeley.com/documents/?uuid=366c1d0a-0701-4460-85cf-afa91489031a" ] } ], "mendeley" : { "formattedCitation" : "&lt;sup&gt;31&lt;/sup&gt;", "plainTextFormattedCitation" : "31", "previouslyFormattedCitation" : "&lt;sup&gt;31&lt;/sup&gt;" }, "properties" : { "noteIndex" : 0 }, "schema" : "https://github.com/citation-style-language/schema/raw/master/csl-citation.json" }</w:instrText>
      </w:r>
      <w:r w:rsidRPr="00DF4E6A">
        <w:rPr>
          <w:sz w:val="24"/>
          <w:szCs w:val="24"/>
        </w:rPr>
        <w:fldChar w:fldCharType="separate"/>
      </w:r>
      <w:r w:rsidRPr="0050053D">
        <w:rPr>
          <w:noProof/>
          <w:sz w:val="24"/>
          <w:szCs w:val="24"/>
          <w:vertAlign w:val="superscript"/>
        </w:rPr>
        <w:t>31</w:t>
      </w:r>
      <w:r w:rsidRPr="00DF4E6A">
        <w:rPr>
          <w:sz w:val="24"/>
          <w:szCs w:val="24"/>
        </w:rPr>
        <w:fldChar w:fldCharType="end"/>
      </w:r>
      <w:r w:rsidRPr="00DF4E6A">
        <w:rPr>
          <w:sz w:val="24"/>
          <w:szCs w:val="24"/>
        </w:rPr>
        <w:t xml:space="preserve">  was used to generate heatmaps and density plots.</w:t>
      </w:r>
      <w:r w:rsidRPr="00E636EA">
        <w:rPr>
          <w:sz w:val="24"/>
          <w:szCs w:val="24"/>
        </w:rPr>
        <w:t xml:space="preserve"> Fold enrichment plotted over a 20kb window (</w:t>
      </w:r>
      <w:r w:rsidRPr="00E636EA">
        <w:rPr>
          <w:b/>
          <w:sz w:val="24"/>
          <w:szCs w:val="24"/>
        </w:rPr>
        <w:t xml:space="preserve">Fig. 2b and 3d) </w:t>
      </w:r>
      <w:r w:rsidRPr="00E636EA">
        <w:rPr>
          <w:sz w:val="24"/>
          <w:szCs w:val="24"/>
        </w:rPr>
        <w:t>or 1kb window (</w:t>
      </w:r>
      <w:r w:rsidRPr="00E636EA">
        <w:rPr>
          <w:b/>
          <w:sz w:val="24"/>
          <w:szCs w:val="24"/>
        </w:rPr>
        <w:t>Fig</w:t>
      </w:r>
      <w:r w:rsidRPr="00A543A4">
        <w:rPr>
          <w:b/>
          <w:sz w:val="24"/>
          <w:szCs w:val="24"/>
        </w:rPr>
        <w:t>.</w:t>
      </w:r>
      <w:r w:rsidRPr="00150FB1">
        <w:rPr>
          <w:b/>
          <w:sz w:val="24"/>
          <w:szCs w:val="24"/>
        </w:rPr>
        <w:t xml:space="preserve"> 3b</w:t>
      </w:r>
      <w:r w:rsidRPr="00DF4E6A">
        <w:rPr>
          <w:b/>
          <w:sz w:val="24"/>
          <w:szCs w:val="24"/>
        </w:rPr>
        <w:t>)</w:t>
      </w:r>
      <w:r w:rsidRPr="00DF4E6A">
        <w:rPr>
          <w:sz w:val="24"/>
          <w:szCs w:val="24"/>
        </w:rPr>
        <w:t xml:space="preserve"> either side of the peak midpoint.</w:t>
      </w:r>
    </w:p>
    <w:p w14:paraId="267578CB" w14:textId="77777777" w:rsidR="00587AC7" w:rsidRDefault="00587AC7" w:rsidP="00587AC7">
      <w:pPr>
        <w:spacing w:line="360" w:lineRule="auto"/>
        <w:rPr>
          <w:sz w:val="24"/>
          <w:szCs w:val="24"/>
        </w:rPr>
      </w:pPr>
    </w:p>
    <w:p w14:paraId="154E9F70" w14:textId="6323BE3F" w:rsidR="00D476C8" w:rsidRDefault="00D476C8" w:rsidP="00587AC7">
      <w:pPr>
        <w:spacing w:line="360" w:lineRule="auto"/>
        <w:rPr>
          <w:b/>
          <w:sz w:val="24"/>
          <w:szCs w:val="24"/>
        </w:rPr>
      </w:pPr>
      <w:r>
        <w:rPr>
          <w:b/>
          <w:sz w:val="24"/>
          <w:szCs w:val="24"/>
        </w:rPr>
        <w:t>Peak calling</w:t>
      </w:r>
    </w:p>
    <w:p w14:paraId="0B33F3FC" w14:textId="697B0993" w:rsidR="00D476C8" w:rsidRDefault="00D476C8" w:rsidP="00587AC7">
      <w:pPr>
        <w:spacing w:line="360" w:lineRule="auto"/>
        <w:rPr>
          <w:sz w:val="24"/>
          <w:szCs w:val="24"/>
        </w:rPr>
      </w:pPr>
      <w:r w:rsidRPr="00C07A08">
        <w:rPr>
          <w:sz w:val="24"/>
          <w:szCs w:val="24"/>
        </w:rPr>
        <w:t xml:space="preserve">Peaks were called using a simple FDR peak caller </w:t>
      </w:r>
      <w:r w:rsidRPr="00C07A08">
        <w:rPr>
          <w:sz w:val="24"/>
          <w:szCs w:val="24"/>
        </w:rPr>
        <w:fldChar w:fldCharType="begin" w:fldLock="1"/>
      </w:r>
      <w:r>
        <w:rPr>
          <w:sz w:val="24"/>
          <w:szCs w:val="24"/>
        </w:rPr>
        <w:instrText>ADDIN CSL_CITATION { "citationItems" : [ { "id" : "ITEM-1", "itemData" : { "DOI" : "10.1093/bioinformatics/btv386", "ISSN" : "14602059", "PMID" : "26112292", "abstract" : "UNLABELLED: DamID is a powerful technique for identifying regions of the genome bound by a DNA-binding (or DNA-associated) protein. Currently, no method exists for automatically processing next-generation sequencing DamID (DamID-seq) data, and the use of DamID-seq datasets with normalization based on read-counts alone can lead to high background and the loss of bound signal. DamID-seq thus presents novel challenges in terms of normalization and background minimization. We describe here damidseq_pipeline, a software pipeline that performs automatic normalization and background reduction on multiple DamID-seq FASTQ datasets.\\n\\nAVAILABILITY AND IMPLEMENTATION: Open-source and freely available from http://owenjm.github.io/damidseq_pipeline. The damidseq_pipeline is implemented in Perl and is compatible with any Unix-based operating system (e.g. Linux, Mac OSX).\\n\\nCONTACT: o.marshall@gurdon.cam.ac.uk\\n\\nSUPPLEMENTARY INFORMATION: Supplementary data are available at Bioinformatics online.", "author" : [ { "dropping-particle" : "", "family" : "Marshall", "given" : "Owen J.", "non-dropping-particle" : "", "parse-names" : false, "suffix" : "" }, { "dropping-particle" : "", "family" : "Brand", "given" : "Andrea H.", "non-dropping-particle" : "", "parse-names" : false, "suffix" : "" } ], "container-title" : "Bioinformatics", "id" : "ITEM-1", "issue" : "20", "issued" : { "date-parts" : [ [ "2015" ] ] }, "page" : "3371-3373", "title" : "Damidseq-pipeline: An automated pipeline for processing DamID sequencing datasets", "type" : "article-journal", "volume" : "31" }, "uris" : [ "http://www.mendeley.com/documents/?uuid=72d52a63-eb0b-4f88-bfbd-3ad9405c03d9" ] } ], "mendeley" : { "formattedCitation" : "&lt;sup&gt;29&lt;/sup&gt;", "plainTextFormattedCitation" : "29", "previouslyFormattedCitation" : "&lt;sup&gt;29&lt;/sup&gt;" }, "properties" : { "noteIndex" : 0 }, "schema" : "https://github.com/citation-style-language/schema/raw/master/csl-citation.json" }</w:instrText>
      </w:r>
      <w:r w:rsidRPr="00C07A08">
        <w:rPr>
          <w:sz w:val="24"/>
          <w:szCs w:val="24"/>
        </w:rPr>
        <w:fldChar w:fldCharType="separate"/>
      </w:r>
      <w:r w:rsidRPr="0050053D">
        <w:rPr>
          <w:noProof/>
          <w:sz w:val="24"/>
          <w:szCs w:val="24"/>
          <w:vertAlign w:val="superscript"/>
        </w:rPr>
        <w:t>29</w:t>
      </w:r>
      <w:r w:rsidRPr="00C07A08">
        <w:rPr>
          <w:sz w:val="24"/>
          <w:szCs w:val="24"/>
        </w:rPr>
        <w:fldChar w:fldCharType="end"/>
      </w:r>
      <w:r w:rsidRPr="00C07A08">
        <w:rPr>
          <w:sz w:val="24"/>
          <w:szCs w:val="24"/>
        </w:rPr>
        <w:t>.</w:t>
      </w:r>
      <w:r>
        <w:rPr>
          <w:sz w:val="24"/>
          <w:szCs w:val="24"/>
        </w:rPr>
        <w:t xml:space="preserve"> In brief, binding intensity thresholds are calculated from the normalised bedgraph file and compared to a randomly shuffled version of the dataset. The frequency of </w:t>
      </w:r>
      <w:r w:rsidR="003C1743">
        <w:rPr>
          <w:sz w:val="24"/>
          <w:szCs w:val="24"/>
        </w:rPr>
        <w:t>adjoining GATC</w:t>
      </w:r>
      <w:r>
        <w:rPr>
          <w:sz w:val="24"/>
          <w:szCs w:val="24"/>
        </w:rPr>
        <w:t xml:space="preserve"> fragments</w:t>
      </w:r>
      <w:r w:rsidR="003C1743">
        <w:rPr>
          <w:sz w:val="24"/>
          <w:szCs w:val="24"/>
        </w:rPr>
        <w:t xml:space="preserve"> with intensity higher than the threshold is calculated. As the number of adjoining GATC fragments and the random observed frequency follows a logarithmic relationship it can be modelled by linear regression for any number of fragments. The FDR represents the ratio of observed consecutive fragments over the threshold compared to that expected over a threshold. </w:t>
      </w:r>
      <w:r w:rsidRPr="00C07A08">
        <w:rPr>
          <w:sz w:val="24"/>
          <w:szCs w:val="24"/>
        </w:rPr>
        <w:t xml:space="preserve">Peaks </w:t>
      </w:r>
      <w:r w:rsidRPr="00772709">
        <w:rPr>
          <w:sz w:val="24"/>
          <w:szCs w:val="24"/>
        </w:rPr>
        <w:t>with</w:t>
      </w:r>
      <w:r w:rsidRPr="00A90368">
        <w:rPr>
          <w:sz w:val="24"/>
          <w:szCs w:val="24"/>
        </w:rPr>
        <w:t xml:space="preserve"> FDR&lt;0.01 </w:t>
      </w:r>
      <w:r>
        <w:rPr>
          <w:sz w:val="24"/>
          <w:szCs w:val="24"/>
        </w:rPr>
        <w:t>common to both</w:t>
      </w:r>
      <w:r w:rsidRPr="00A90368">
        <w:rPr>
          <w:sz w:val="24"/>
          <w:szCs w:val="24"/>
        </w:rPr>
        <w:t xml:space="preserve"> biological replicates were considered.</w:t>
      </w:r>
      <w:r>
        <w:rPr>
          <w:sz w:val="24"/>
          <w:szCs w:val="24"/>
        </w:rPr>
        <w:t xml:space="preserve"> </w:t>
      </w:r>
    </w:p>
    <w:p w14:paraId="0FD0D6D3" w14:textId="77777777" w:rsidR="00D476C8" w:rsidRPr="00F803A5" w:rsidRDefault="00D476C8" w:rsidP="00587AC7">
      <w:pPr>
        <w:spacing w:line="360" w:lineRule="auto"/>
        <w:rPr>
          <w:b/>
          <w:sz w:val="24"/>
          <w:szCs w:val="24"/>
        </w:rPr>
      </w:pPr>
    </w:p>
    <w:p w14:paraId="03A7BA00" w14:textId="77777777" w:rsidR="00587AC7" w:rsidRPr="0039536E" w:rsidRDefault="00587AC7" w:rsidP="00587AC7">
      <w:pPr>
        <w:spacing w:line="360" w:lineRule="auto"/>
        <w:rPr>
          <w:b/>
          <w:sz w:val="24"/>
          <w:szCs w:val="24"/>
        </w:rPr>
      </w:pPr>
      <w:r w:rsidRPr="0039536E">
        <w:rPr>
          <w:b/>
          <w:sz w:val="24"/>
          <w:szCs w:val="24"/>
        </w:rPr>
        <w:t>Data availability</w:t>
      </w:r>
    </w:p>
    <w:p w14:paraId="54973298" w14:textId="329B5E05" w:rsidR="00587AC7" w:rsidRDefault="00587AC7" w:rsidP="00587AC7">
      <w:pPr>
        <w:spacing w:line="360" w:lineRule="auto"/>
        <w:rPr>
          <w:sz w:val="24"/>
          <w:szCs w:val="24"/>
          <w:lang w:val="en-US"/>
        </w:rPr>
      </w:pPr>
      <w:r>
        <w:rPr>
          <w:sz w:val="24"/>
          <w:szCs w:val="24"/>
        </w:rPr>
        <w:t>DamID-Seq data is deposited</w:t>
      </w:r>
      <w:r w:rsidRPr="00242A67">
        <w:rPr>
          <w:sz w:val="24"/>
          <w:szCs w:val="24"/>
        </w:rPr>
        <w:t xml:space="preserve"> in the Gene Expression Omnibus under the accession number</w:t>
      </w:r>
      <w:r w:rsidRPr="00242A67">
        <w:rPr>
          <w:b/>
          <w:sz w:val="24"/>
          <w:szCs w:val="24"/>
        </w:rPr>
        <w:t xml:space="preserve"> </w:t>
      </w:r>
      <w:r w:rsidR="006D13E2">
        <w:rPr>
          <w:sz w:val="24"/>
          <w:szCs w:val="24"/>
          <w:lang w:val="en-US"/>
        </w:rPr>
        <w:t>GSE97456.</w:t>
      </w:r>
    </w:p>
    <w:p w14:paraId="07912D10" w14:textId="77777777" w:rsidR="006D13E2" w:rsidRDefault="006D13E2" w:rsidP="00587AC7">
      <w:pPr>
        <w:spacing w:line="360" w:lineRule="auto"/>
        <w:rPr>
          <w:sz w:val="24"/>
          <w:szCs w:val="24"/>
          <w:lang w:val="en-US"/>
        </w:rPr>
      </w:pPr>
    </w:p>
    <w:p w14:paraId="3A79FF35" w14:textId="77777777" w:rsidR="006D13E2" w:rsidRPr="00F803A5" w:rsidRDefault="006D13E2" w:rsidP="00587AC7">
      <w:pPr>
        <w:spacing w:line="360" w:lineRule="auto"/>
        <w:rPr>
          <w:rFonts w:eastAsia="Times New Roman"/>
          <w:color w:val="222222"/>
          <w:sz w:val="24"/>
          <w:szCs w:val="24"/>
        </w:rPr>
      </w:pPr>
      <w:r w:rsidRPr="00F803A5">
        <w:rPr>
          <w:rFonts w:eastAsia="Times New Roman"/>
          <w:b/>
          <w:color w:val="222222"/>
          <w:sz w:val="24"/>
          <w:szCs w:val="24"/>
        </w:rPr>
        <w:t>Life Sciences Reporting Summary</w:t>
      </w:r>
    </w:p>
    <w:p w14:paraId="0247934D" w14:textId="296353BB" w:rsidR="006D13E2" w:rsidRPr="006D13E2" w:rsidRDefault="006D13E2" w:rsidP="00587AC7">
      <w:pPr>
        <w:spacing w:line="360" w:lineRule="auto"/>
        <w:rPr>
          <w:sz w:val="24"/>
          <w:szCs w:val="24"/>
        </w:rPr>
      </w:pPr>
      <w:r w:rsidRPr="00F803A5">
        <w:rPr>
          <w:rFonts w:eastAsia="Times New Roman"/>
          <w:color w:val="222222"/>
          <w:sz w:val="24"/>
          <w:szCs w:val="24"/>
        </w:rPr>
        <w:t>A Life Sciences Reporting Summary for this article is available</w:t>
      </w:r>
    </w:p>
    <w:p w14:paraId="68AC504A" w14:textId="77777777" w:rsidR="00587AC7" w:rsidRDefault="00587AC7" w:rsidP="00E0179D">
      <w:pPr>
        <w:rPr>
          <w:b/>
        </w:rPr>
      </w:pPr>
    </w:p>
    <w:p w14:paraId="59473875" w14:textId="6A19427A" w:rsidR="00BD7DD0" w:rsidRDefault="00BD7DD0" w:rsidP="00BD7DD0">
      <w:pPr>
        <w:widowControl w:val="0"/>
        <w:autoSpaceDE w:val="0"/>
        <w:autoSpaceDN w:val="0"/>
        <w:adjustRightInd w:val="0"/>
        <w:ind w:left="640" w:hanging="640"/>
        <w:rPr>
          <w:b/>
          <w:noProof/>
          <w:sz w:val="24"/>
          <w:szCs w:val="24"/>
          <w:lang w:val="en-US"/>
        </w:rPr>
      </w:pPr>
      <w:r>
        <w:rPr>
          <w:b/>
          <w:noProof/>
          <w:sz w:val="24"/>
          <w:szCs w:val="24"/>
          <w:lang w:val="en-US"/>
        </w:rPr>
        <w:t>Methods-only references</w:t>
      </w:r>
    </w:p>
    <w:p w14:paraId="498FD013" w14:textId="77777777" w:rsidR="00911B33" w:rsidRPr="0050053D" w:rsidRDefault="00911B33" w:rsidP="00F803A5">
      <w:pPr>
        <w:widowControl w:val="0"/>
        <w:autoSpaceDE w:val="0"/>
        <w:autoSpaceDN w:val="0"/>
        <w:adjustRightInd w:val="0"/>
        <w:spacing w:after="120"/>
        <w:ind w:left="641" w:hanging="641"/>
        <w:rPr>
          <w:noProof/>
          <w:sz w:val="24"/>
          <w:szCs w:val="24"/>
          <w:lang w:val="en-US"/>
        </w:rPr>
      </w:pPr>
      <w:r w:rsidRPr="0050053D">
        <w:rPr>
          <w:noProof/>
          <w:sz w:val="24"/>
          <w:szCs w:val="24"/>
          <w:lang w:val="en-US"/>
        </w:rPr>
        <w:t>24.</w:t>
      </w:r>
      <w:r w:rsidRPr="0050053D">
        <w:rPr>
          <w:noProof/>
          <w:sz w:val="24"/>
          <w:szCs w:val="24"/>
          <w:lang w:val="en-US"/>
        </w:rPr>
        <w:tab/>
        <w:t xml:space="preserve">Lee, T. &amp; Luo, L. Mosaic analysis with a repressible cell marker for studies of gene function in neuronal morphogenesis. </w:t>
      </w:r>
      <w:r w:rsidRPr="0050053D">
        <w:rPr>
          <w:i/>
          <w:iCs/>
          <w:noProof/>
          <w:sz w:val="24"/>
          <w:szCs w:val="24"/>
          <w:lang w:val="en-US"/>
        </w:rPr>
        <w:t>Neuron</w:t>
      </w:r>
      <w:r w:rsidRPr="0050053D">
        <w:rPr>
          <w:noProof/>
          <w:sz w:val="24"/>
          <w:szCs w:val="24"/>
          <w:lang w:val="en-US"/>
        </w:rPr>
        <w:t xml:space="preserve"> </w:t>
      </w:r>
      <w:r w:rsidRPr="0050053D">
        <w:rPr>
          <w:b/>
          <w:bCs/>
          <w:noProof/>
          <w:sz w:val="24"/>
          <w:szCs w:val="24"/>
          <w:lang w:val="en-US"/>
        </w:rPr>
        <w:t>22,</w:t>
      </w:r>
      <w:r w:rsidRPr="0050053D">
        <w:rPr>
          <w:noProof/>
          <w:sz w:val="24"/>
          <w:szCs w:val="24"/>
          <w:lang w:val="en-US"/>
        </w:rPr>
        <w:t xml:space="preserve"> 451–61 (1999).</w:t>
      </w:r>
    </w:p>
    <w:p w14:paraId="1A992806" w14:textId="701D5D26" w:rsidR="00911B33" w:rsidRPr="00911B33" w:rsidRDefault="00911B33" w:rsidP="00F803A5">
      <w:pPr>
        <w:widowControl w:val="0"/>
        <w:autoSpaceDE w:val="0"/>
        <w:autoSpaceDN w:val="0"/>
        <w:adjustRightInd w:val="0"/>
        <w:spacing w:after="120"/>
        <w:ind w:left="641" w:hanging="641"/>
        <w:rPr>
          <w:noProof/>
          <w:sz w:val="24"/>
          <w:szCs w:val="24"/>
          <w:lang w:val="en-US"/>
        </w:rPr>
      </w:pPr>
      <w:r w:rsidRPr="0050053D">
        <w:rPr>
          <w:noProof/>
          <w:sz w:val="24"/>
          <w:szCs w:val="24"/>
          <w:lang w:val="en-US"/>
        </w:rPr>
        <w:t>25.</w:t>
      </w:r>
      <w:r w:rsidRPr="0050053D">
        <w:rPr>
          <w:noProof/>
          <w:sz w:val="24"/>
          <w:szCs w:val="24"/>
          <w:lang w:val="en-US"/>
        </w:rPr>
        <w:tab/>
        <w:t xml:space="preserve">Luo, L., Joyce Liao, Y., Jan, L. Y. &amp; Jan, Y. N. Distinct morphogenetic functions of similar small GTPases: Drosophila Drac1 is involved in axonal outgrowth and myoblast fusion. </w:t>
      </w:r>
      <w:r w:rsidRPr="0050053D">
        <w:rPr>
          <w:i/>
          <w:iCs/>
          <w:noProof/>
          <w:sz w:val="24"/>
          <w:szCs w:val="24"/>
          <w:lang w:val="en-US"/>
        </w:rPr>
        <w:t>Genes Dev.</w:t>
      </w:r>
      <w:r w:rsidRPr="0050053D">
        <w:rPr>
          <w:noProof/>
          <w:sz w:val="24"/>
          <w:szCs w:val="24"/>
          <w:lang w:val="en-US"/>
        </w:rPr>
        <w:t xml:space="preserve"> </w:t>
      </w:r>
      <w:r w:rsidRPr="0050053D">
        <w:rPr>
          <w:b/>
          <w:bCs/>
          <w:noProof/>
          <w:sz w:val="24"/>
          <w:szCs w:val="24"/>
          <w:lang w:val="en-US"/>
        </w:rPr>
        <w:t>8,</w:t>
      </w:r>
      <w:r w:rsidRPr="0050053D">
        <w:rPr>
          <w:noProof/>
          <w:sz w:val="24"/>
          <w:szCs w:val="24"/>
          <w:lang w:val="en-US"/>
        </w:rPr>
        <w:t xml:space="preserve"> 1787–1802 (1994).</w:t>
      </w:r>
    </w:p>
    <w:p w14:paraId="47BCAD0E" w14:textId="77777777" w:rsidR="00BD7DD0" w:rsidRPr="0050053D" w:rsidRDefault="00BD7DD0" w:rsidP="00F803A5">
      <w:pPr>
        <w:widowControl w:val="0"/>
        <w:autoSpaceDE w:val="0"/>
        <w:autoSpaceDN w:val="0"/>
        <w:adjustRightInd w:val="0"/>
        <w:spacing w:after="120"/>
        <w:ind w:left="641" w:hanging="641"/>
        <w:rPr>
          <w:noProof/>
          <w:sz w:val="24"/>
          <w:szCs w:val="24"/>
          <w:lang w:val="en-US"/>
        </w:rPr>
      </w:pPr>
      <w:r w:rsidRPr="0050053D">
        <w:rPr>
          <w:noProof/>
          <w:sz w:val="24"/>
          <w:szCs w:val="24"/>
          <w:lang w:val="en-US"/>
        </w:rPr>
        <w:t>26.</w:t>
      </w:r>
      <w:r w:rsidRPr="0050053D">
        <w:rPr>
          <w:noProof/>
          <w:sz w:val="24"/>
          <w:szCs w:val="24"/>
          <w:lang w:val="en-US"/>
        </w:rPr>
        <w:tab/>
        <w:t xml:space="preserve">McGuire, S. E. Spatiotemporal Rescue of Memory Dysfunction in Drosophila. </w:t>
      </w:r>
      <w:r w:rsidRPr="0050053D">
        <w:rPr>
          <w:i/>
          <w:iCs/>
          <w:noProof/>
          <w:sz w:val="24"/>
          <w:szCs w:val="24"/>
          <w:lang w:val="en-US"/>
        </w:rPr>
        <w:t>Science</w:t>
      </w:r>
      <w:r w:rsidRPr="0050053D">
        <w:rPr>
          <w:noProof/>
          <w:sz w:val="24"/>
          <w:szCs w:val="24"/>
          <w:lang w:val="en-US"/>
        </w:rPr>
        <w:t xml:space="preserve"> </w:t>
      </w:r>
      <w:r w:rsidRPr="0050053D">
        <w:rPr>
          <w:b/>
          <w:bCs/>
          <w:noProof/>
          <w:sz w:val="24"/>
          <w:szCs w:val="24"/>
          <w:lang w:val="en-US"/>
        </w:rPr>
        <w:t>302,</w:t>
      </w:r>
      <w:r w:rsidRPr="0050053D">
        <w:rPr>
          <w:noProof/>
          <w:sz w:val="24"/>
          <w:szCs w:val="24"/>
          <w:lang w:val="en-US"/>
        </w:rPr>
        <w:t xml:space="preserve"> 1765–1768 (2003).</w:t>
      </w:r>
    </w:p>
    <w:p w14:paraId="2C47C2DC" w14:textId="77777777" w:rsidR="00BD7DD0" w:rsidRPr="0050053D" w:rsidRDefault="00BD7DD0" w:rsidP="00F803A5">
      <w:pPr>
        <w:widowControl w:val="0"/>
        <w:autoSpaceDE w:val="0"/>
        <w:autoSpaceDN w:val="0"/>
        <w:adjustRightInd w:val="0"/>
        <w:spacing w:after="120"/>
        <w:ind w:left="641" w:hanging="641"/>
        <w:rPr>
          <w:noProof/>
          <w:sz w:val="24"/>
          <w:szCs w:val="24"/>
          <w:lang w:val="en-US"/>
        </w:rPr>
      </w:pPr>
      <w:r w:rsidRPr="0050053D">
        <w:rPr>
          <w:noProof/>
          <w:sz w:val="24"/>
          <w:szCs w:val="24"/>
          <w:lang w:val="en-US"/>
        </w:rPr>
        <w:t>27.</w:t>
      </w:r>
      <w:r w:rsidRPr="0050053D">
        <w:rPr>
          <w:noProof/>
          <w:sz w:val="24"/>
          <w:szCs w:val="24"/>
          <w:lang w:val="en-US"/>
        </w:rPr>
        <w:tab/>
        <w:t xml:space="preserve">Markstein, M., Pitsouli, C., Villalta, C., Celniker, S. E. &amp; Perrimon, N. Exploiting position effects and the gypsy retrovirus insulator to engineer precisely expressed transgenes. </w:t>
      </w:r>
      <w:r w:rsidRPr="0050053D">
        <w:rPr>
          <w:i/>
          <w:iCs/>
          <w:noProof/>
          <w:sz w:val="24"/>
          <w:szCs w:val="24"/>
          <w:lang w:val="en-US"/>
        </w:rPr>
        <w:t>Nat. Genet.</w:t>
      </w:r>
      <w:r w:rsidRPr="0050053D">
        <w:rPr>
          <w:noProof/>
          <w:sz w:val="24"/>
          <w:szCs w:val="24"/>
          <w:lang w:val="en-US"/>
        </w:rPr>
        <w:t xml:space="preserve"> </w:t>
      </w:r>
      <w:r w:rsidRPr="0050053D">
        <w:rPr>
          <w:b/>
          <w:bCs/>
          <w:noProof/>
          <w:sz w:val="24"/>
          <w:szCs w:val="24"/>
          <w:lang w:val="en-US"/>
        </w:rPr>
        <w:t>40,</w:t>
      </w:r>
      <w:r w:rsidRPr="0050053D">
        <w:rPr>
          <w:noProof/>
          <w:sz w:val="24"/>
          <w:szCs w:val="24"/>
          <w:lang w:val="en-US"/>
        </w:rPr>
        <w:t xml:space="preserve"> 476–83 (2008).</w:t>
      </w:r>
    </w:p>
    <w:p w14:paraId="580B446B" w14:textId="77777777" w:rsidR="00BD7DD0" w:rsidRPr="0050053D" w:rsidRDefault="00BD7DD0" w:rsidP="00F803A5">
      <w:pPr>
        <w:widowControl w:val="0"/>
        <w:autoSpaceDE w:val="0"/>
        <w:autoSpaceDN w:val="0"/>
        <w:adjustRightInd w:val="0"/>
        <w:spacing w:after="120"/>
        <w:ind w:left="641" w:hanging="641"/>
        <w:rPr>
          <w:noProof/>
          <w:sz w:val="24"/>
          <w:szCs w:val="24"/>
          <w:lang w:val="en-US"/>
        </w:rPr>
      </w:pPr>
      <w:r w:rsidRPr="0050053D">
        <w:rPr>
          <w:noProof/>
          <w:sz w:val="24"/>
          <w:szCs w:val="24"/>
          <w:lang w:val="en-US"/>
        </w:rPr>
        <w:t>28.</w:t>
      </w:r>
      <w:r w:rsidRPr="0050053D">
        <w:rPr>
          <w:noProof/>
          <w:sz w:val="24"/>
          <w:szCs w:val="24"/>
          <w:lang w:val="en-US"/>
        </w:rPr>
        <w:tab/>
        <w:t xml:space="preserve">Marshall, O. J., Southall, T. D., Cheetham, S. W. &amp; Brand, A. H. Cell-type-specific profiling of protein–DNA interactions without cell isolation using targeted DamID with next-generation sequencing. </w:t>
      </w:r>
      <w:r w:rsidRPr="0050053D">
        <w:rPr>
          <w:i/>
          <w:iCs/>
          <w:noProof/>
          <w:sz w:val="24"/>
          <w:szCs w:val="24"/>
          <w:lang w:val="en-US"/>
        </w:rPr>
        <w:t>Nat. Protoc.</w:t>
      </w:r>
      <w:r w:rsidRPr="0050053D">
        <w:rPr>
          <w:noProof/>
          <w:sz w:val="24"/>
          <w:szCs w:val="24"/>
          <w:lang w:val="en-US"/>
        </w:rPr>
        <w:t xml:space="preserve"> </w:t>
      </w:r>
      <w:r w:rsidRPr="0050053D">
        <w:rPr>
          <w:b/>
          <w:bCs/>
          <w:noProof/>
          <w:sz w:val="24"/>
          <w:szCs w:val="24"/>
          <w:lang w:val="en-US"/>
        </w:rPr>
        <w:t>11,</w:t>
      </w:r>
      <w:r w:rsidRPr="0050053D">
        <w:rPr>
          <w:noProof/>
          <w:sz w:val="24"/>
          <w:szCs w:val="24"/>
          <w:lang w:val="en-US"/>
        </w:rPr>
        <w:t xml:space="preserve"> 1586–1598 (2016).</w:t>
      </w:r>
    </w:p>
    <w:p w14:paraId="434C9630" w14:textId="77777777" w:rsidR="00BD7DD0" w:rsidRPr="0050053D" w:rsidRDefault="00BD7DD0" w:rsidP="00F803A5">
      <w:pPr>
        <w:widowControl w:val="0"/>
        <w:autoSpaceDE w:val="0"/>
        <w:autoSpaceDN w:val="0"/>
        <w:adjustRightInd w:val="0"/>
        <w:spacing w:after="120"/>
        <w:ind w:left="641" w:hanging="641"/>
        <w:rPr>
          <w:noProof/>
          <w:sz w:val="24"/>
          <w:szCs w:val="24"/>
          <w:lang w:val="en-US"/>
        </w:rPr>
      </w:pPr>
      <w:r w:rsidRPr="0050053D">
        <w:rPr>
          <w:noProof/>
          <w:sz w:val="24"/>
          <w:szCs w:val="24"/>
          <w:lang w:val="en-US"/>
        </w:rPr>
        <w:t>29.</w:t>
      </w:r>
      <w:r w:rsidRPr="0050053D">
        <w:rPr>
          <w:noProof/>
          <w:sz w:val="24"/>
          <w:szCs w:val="24"/>
          <w:lang w:val="en-US"/>
        </w:rPr>
        <w:tab/>
        <w:t xml:space="preserve">Marshall, O. J. &amp; Brand, A. H. Damidseq-pipeline: An automated pipeline for processing DamID sequencing datasets. </w:t>
      </w:r>
      <w:r w:rsidRPr="0050053D">
        <w:rPr>
          <w:i/>
          <w:iCs/>
          <w:noProof/>
          <w:sz w:val="24"/>
          <w:szCs w:val="24"/>
          <w:lang w:val="en-US"/>
        </w:rPr>
        <w:t>Bioinformatics</w:t>
      </w:r>
      <w:r w:rsidRPr="0050053D">
        <w:rPr>
          <w:noProof/>
          <w:sz w:val="24"/>
          <w:szCs w:val="24"/>
          <w:lang w:val="en-US"/>
        </w:rPr>
        <w:t xml:space="preserve"> </w:t>
      </w:r>
      <w:r w:rsidRPr="0050053D">
        <w:rPr>
          <w:b/>
          <w:bCs/>
          <w:noProof/>
          <w:sz w:val="24"/>
          <w:szCs w:val="24"/>
          <w:lang w:val="en-US"/>
        </w:rPr>
        <w:t>31,</w:t>
      </w:r>
      <w:r w:rsidRPr="0050053D">
        <w:rPr>
          <w:noProof/>
          <w:sz w:val="24"/>
          <w:szCs w:val="24"/>
          <w:lang w:val="en-US"/>
        </w:rPr>
        <w:t xml:space="preserve"> 3371–3373 (2015).</w:t>
      </w:r>
    </w:p>
    <w:p w14:paraId="6C2A76B1" w14:textId="77777777" w:rsidR="00BD7DD0" w:rsidRPr="0050053D" w:rsidRDefault="00BD7DD0" w:rsidP="00F803A5">
      <w:pPr>
        <w:widowControl w:val="0"/>
        <w:autoSpaceDE w:val="0"/>
        <w:autoSpaceDN w:val="0"/>
        <w:adjustRightInd w:val="0"/>
        <w:spacing w:after="120"/>
        <w:ind w:left="641" w:hanging="641"/>
        <w:rPr>
          <w:noProof/>
          <w:sz w:val="24"/>
          <w:szCs w:val="24"/>
          <w:lang w:val="en-US"/>
        </w:rPr>
      </w:pPr>
      <w:r w:rsidRPr="0050053D">
        <w:rPr>
          <w:noProof/>
          <w:sz w:val="24"/>
          <w:szCs w:val="24"/>
          <w:lang w:val="en-US"/>
        </w:rPr>
        <w:t>30.</w:t>
      </w:r>
      <w:r w:rsidRPr="0050053D">
        <w:rPr>
          <w:noProof/>
          <w:sz w:val="24"/>
          <w:szCs w:val="24"/>
          <w:lang w:val="en-US"/>
        </w:rPr>
        <w:tab/>
        <w:t xml:space="preserve">Langmead, B. &amp; Salzberg, S. L. Fast gapped-read alignment with Bowtie 2. </w:t>
      </w:r>
      <w:r w:rsidRPr="0050053D">
        <w:rPr>
          <w:i/>
          <w:iCs/>
          <w:noProof/>
          <w:sz w:val="24"/>
          <w:szCs w:val="24"/>
          <w:lang w:val="en-US"/>
        </w:rPr>
        <w:t>Nat Methods</w:t>
      </w:r>
      <w:r w:rsidRPr="0050053D">
        <w:rPr>
          <w:noProof/>
          <w:sz w:val="24"/>
          <w:szCs w:val="24"/>
          <w:lang w:val="en-US"/>
        </w:rPr>
        <w:t xml:space="preserve"> </w:t>
      </w:r>
      <w:r w:rsidRPr="0050053D">
        <w:rPr>
          <w:b/>
          <w:bCs/>
          <w:noProof/>
          <w:sz w:val="24"/>
          <w:szCs w:val="24"/>
          <w:lang w:val="en-US"/>
        </w:rPr>
        <w:t>9,</w:t>
      </w:r>
      <w:r w:rsidRPr="0050053D">
        <w:rPr>
          <w:noProof/>
          <w:sz w:val="24"/>
          <w:szCs w:val="24"/>
          <w:lang w:val="en-US"/>
        </w:rPr>
        <w:t xml:space="preserve"> 357–359 (2012).</w:t>
      </w:r>
    </w:p>
    <w:p w14:paraId="34185A8A" w14:textId="77777777" w:rsidR="00BD7DD0" w:rsidRPr="0050053D" w:rsidRDefault="00BD7DD0" w:rsidP="00F803A5">
      <w:pPr>
        <w:widowControl w:val="0"/>
        <w:autoSpaceDE w:val="0"/>
        <w:autoSpaceDN w:val="0"/>
        <w:adjustRightInd w:val="0"/>
        <w:spacing w:after="120"/>
        <w:ind w:left="641" w:hanging="641"/>
        <w:rPr>
          <w:noProof/>
          <w:sz w:val="24"/>
        </w:rPr>
      </w:pPr>
      <w:r w:rsidRPr="0050053D">
        <w:rPr>
          <w:noProof/>
          <w:sz w:val="24"/>
          <w:szCs w:val="24"/>
          <w:lang w:val="en-US"/>
        </w:rPr>
        <w:t>31.</w:t>
      </w:r>
      <w:r w:rsidRPr="0050053D">
        <w:rPr>
          <w:noProof/>
          <w:sz w:val="24"/>
          <w:szCs w:val="24"/>
          <w:lang w:val="en-US"/>
        </w:rPr>
        <w:tab/>
        <w:t xml:space="preserve">Stempor, P. &amp; Ahringer, J. SeqPlots - Interactive software for exploratory data analyses, pattern discovery and visualization in genomics. </w:t>
      </w:r>
      <w:r w:rsidRPr="0050053D">
        <w:rPr>
          <w:i/>
          <w:iCs/>
          <w:noProof/>
          <w:sz w:val="24"/>
          <w:szCs w:val="24"/>
          <w:lang w:val="en-US"/>
        </w:rPr>
        <w:t>Wellcome Open Res.</w:t>
      </w:r>
      <w:r w:rsidRPr="0050053D">
        <w:rPr>
          <w:noProof/>
          <w:sz w:val="24"/>
          <w:szCs w:val="24"/>
          <w:lang w:val="en-US"/>
        </w:rPr>
        <w:t xml:space="preserve"> </w:t>
      </w:r>
      <w:r w:rsidRPr="0050053D">
        <w:rPr>
          <w:b/>
          <w:bCs/>
          <w:noProof/>
          <w:sz w:val="24"/>
          <w:szCs w:val="24"/>
          <w:lang w:val="en-US"/>
        </w:rPr>
        <w:t>1,</w:t>
      </w:r>
      <w:r w:rsidRPr="0050053D">
        <w:rPr>
          <w:noProof/>
          <w:sz w:val="24"/>
          <w:szCs w:val="24"/>
          <w:lang w:val="en-US"/>
        </w:rPr>
        <w:t xml:space="preserve"> 14 (2016).</w:t>
      </w:r>
    </w:p>
    <w:p w14:paraId="29D76EDA" w14:textId="77777777" w:rsidR="005149A7" w:rsidRPr="00F00704" w:rsidRDefault="005149A7" w:rsidP="00F803A5">
      <w:pPr>
        <w:rPr>
          <w:sz w:val="24"/>
          <w:szCs w:val="24"/>
        </w:rPr>
      </w:pPr>
    </w:p>
    <w:sectPr w:rsidR="005149A7" w:rsidRPr="00F00704" w:rsidSect="00AA71C8">
      <w:pgSz w:w="11900" w:h="16840"/>
      <w:pgMar w:top="1440" w:right="1440" w:bottom="1440" w:left="1440" w:header="432" w:footer="720" w:gutter="0"/>
      <w:lnNumType w:countBy="1" w:restart="continuous"/>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D3E633" w14:textId="77777777" w:rsidR="006D13E2" w:rsidRDefault="006D13E2" w:rsidP="00D73714">
      <w:r>
        <w:separator/>
      </w:r>
    </w:p>
  </w:endnote>
  <w:endnote w:type="continuationSeparator" w:id="0">
    <w:p w14:paraId="59DF0CD1" w14:textId="77777777" w:rsidR="006D13E2" w:rsidRDefault="006D13E2" w:rsidP="00D737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Courier New">
    <w:panose1 w:val="02070309020205020404"/>
    <w:charset w:val="00"/>
    <w:family w:val="auto"/>
    <w:pitch w:val="variable"/>
    <w:sig w:usb0="E0002AFF" w:usb1="C0007843" w:usb2="00000009" w:usb3="00000000" w:csb0="000001FF" w:csb1="00000000"/>
  </w:font>
  <w:font w:name="Consolas">
    <w:panose1 w:val="020B0609020204030204"/>
    <w:charset w:val="00"/>
    <w:family w:val="auto"/>
    <w:pitch w:val="variable"/>
    <w:sig w:usb0="E10002FF" w:usb1="4000FCFF" w:usb2="00000009" w:usb3="00000000" w:csb0="0000019F" w:csb1="00000000"/>
  </w:font>
  <w:font w:name="BlissRegular">
    <w:altName w:val="Cambria"/>
    <w:panose1 w:val="00000000000000000000"/>
    <w:charset w:val="00"/>
    <w:family w:val="roman"/>
    <w:notTrueType/>
    <w:pitch w:val="variable"/>
    <w:sig w:usb0="00000003" w:usb1="00000000" w:usb2="00000000" w:usb3="00000000" w:csb0="00000001" w:csb1="00000000"/>
  </w:font>
  <w:font w:name="BlissMedium">
    <w:altName w:val="Cambria"/>
    <w:panose1 w:val="00000000000000000000"/>
    <w:charset w:val="00"/>
    <w:family w:val="roman"/>
    <w:notTrueType/>
    <w:pitch w:val="variable"/>
    <w:sig w:usb0="00000003" w:usb1="00000000" w:usb2="00000000" w:usb3="00000000" w:csb0="00000001" w:csb1="00000000"/>
  </w:font>
  <w:font w:name="BlissBold">
    <w:panose1 w:val="00000000000000000000"/>
    <w:charset w:val="00"/>
    <w:family w:val="roman"/>
    <w:notTrueType/>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AA83AE" w14:textId="77777777" w:rsidR="006D13E2" w:rsidRDefault="006D13E2" w:rsidP="00D73714">
      <w:r>
        <w:separator/>
      </w:r>
    </w:p>
  </w:footnote>
  <w:footnote w:type="continuationSeparator" w:id="0">
    <w:p w14:paraId="6E4E4679" w14:textId="77777777" w:rsidR="006D13E2" w:rsidRDefault="006D13E2" w:rsidP="00D73714">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8306B60"/>
    <w:lvl w:ilvl="0">
      <w:start w:val="1"/>
      <w:numFmt w:val="decimal"/>
      <w:lvlText w:val="%1."/>
      <w:lvlJc w:val="left"/>
      <w:pPr>
        <w:tabs>
          <w:tab w:val="num" w:pos="1800"/>
        </w:tabs>
        <w:ind w:left="1800" w:hanging="360"/>
      </w:pPr>
    </w:lvl>
  </w:abstractNum>
  <w:abstractNum w:abstractNumId="1">
    <w:nsid w:val="FFFFFF7D"/>
    <w:multiLevelType w:val="singleLevel"/>
    <w:tmpl w:val="12C0A9CE"/>
    <w:lvl w:ilvl="0">
      <w:start w:val="1"/>
      <w:numFmt w:val="decimal"/>
      <w:lvlText w:val="%1."/>
      <w:lvlJc w:val="left"/>
      <w:pPr>
        <w:tabs>
          <w:tab w:val="num" w:pos="1440"/>
        </w:tabs>
        <w:ind w:left="1440" w:hanging="360"/>
      </w:pPr>
    </w:lvl>
  </w:abstractNum>
  <w:abstractNum w:abstractNumId="2">
    <w:nsid w:val="FFFFFF7E"/>
    <w:multiLevelType w:val="singleLevel"/>
    <w:tmpl w:val="FFF87976"/>
    <w:lvl w:ilvl="0">
      <w:start w:val="1"/>
      <w:numFmt w:val="decimal"/>
      <w:lvlText w:val="%1."/>
      <w:lvlJc w:val="left"/>
      <w:pPr>
        <w:tabs>
          <w:tab w:val="num" w:pos="1080"/>
        </w:tabs>
        <w:ind w:left="1080" w:hanging="360"/>
      </w:pPr>
    </w:lvl>
  </w:abstractNum>
  <w:abstractNum w:abstractNumId="3">
    <w:nsid w:val="FFFFFF7F"/>
    <w:multiLevelType w:val="singleLevel"/>
    <w:tmpl w:val="57B8ABE4"/>
    <w:lvl w:ilvl="0">
      <w:start w:val="1"/>
      <w:numFmt w:val="decimal"/>
      <w:lvlText w:val="%1."/>
      <w:lvlJc w:val="left"/>
      <w:pPr>
        <w:tabs>
          <w:tab w:val="num" w:pos="720"/>
        </w:tabs>
        <w:ind w:left="720" w:hanging="360"/>
      </w:pPr>
    </w:lvl>
  </w:abstractNum>
  <w:abstractNum w:abstractNumId="4">
    <w:nsid w:val="FFFFFF80"/>
    <w:multiLevelType w:val="singleLevel"/>
    <w:tmpl w:val="98FC9550"/>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3C76FFC4"/>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4C34C55E"/>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0C068088"/>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A50088B0"/>
    <w:lvl w:ilvl="0">
      <w:start w:val="1"/>
      <w:numFmt w:val="decimal"/>
      <w:lvlText w:val="%1."/>
      <w:lvlJc w:val="left"/>
      <w:pPr>
        <w:tabs>
          <w:tab w:val="num" w:pos="360"/>
        </w:tabs>
        <w:ind w:left="360" w:hanging="360"/>
      </w:pPr>
    </w:lvl>
  </w:abstractNum>
  <w:abstractNum w:abstractNumId="9">
    <w:nsid w:val="FFFFFF89"/>
    <w:multiLevelType w:val="singleLevel"/>
    <w:tmpl w:val="2C8A39C0"/>
    <w:lvl w:ilvl="0">
      <w:start w:val="1"/>
      <w:numFmt w:val="bullet"/>
      <w:lvlText w:val=""/>
      <w:lvlJc w:val="left"/>
      <w:pPr>
        <w:tabs>
          <w:tab w:val="num" w:pos="360"/>
        </w:tabs>
        <w:ind w:left="360" w:hanging="360"/>
      </w:pPr>
      <w:rPr>
        <w:rFonts w:ascii="Symbol" w:hAnsi="Symbol" w:hint="default"/>
      </w:rPr>
    </w:lvl>
  </w:abstractNum>
  <w:abstractNum w:abstractNumId="10">
    <w:nsid w:val="00000001"/>
    <w:multiLevelType w:val="hybridMultilevel"/>
    <w:tmpl w:val="00000001"/>
    <w:lvl w:ilvl="0" w:tplc="00000001">
      <w:start w:val="573"/>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1478067D"/>
    <w:multiLevelType w:val="hybridMultilevel"/>
    <w:tmpl w:val="9FB67F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19216FE"/>
    <w:multiLevelType w:val="hybridMultilevel"/>
    <w:tmpl w:val="C4B61DB4"/>
    <w:lvl w:ilvl="0" w:tplc="6E3A432E">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0"/>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stylePaneFormatFilter w:val="3704" w:allStyles="0" w:customStyles="0" w:latentStyles="1" w:stylesInUse="0" w:headingStyles="0" w:numberingStyles="0" w:tableStyles="0" w:directFormattingOnRuns="1" w:directFormattingOnParagraphs="1" w:directFormattingOnNumbering="1" w:directFormattingOnTables="0" w:clearFormatting="1" w:top3HeadingStyles="1" w:visibleStyles="0" w:alternateStyleNames="0"/>
  <w:stylePaneSortMethod w:val="0000"/>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261D"/>
    <w:rsid w:val="000020AC"/>
    <w:rsid w:val="000054C1"/>
    <w:rsid w:val="000131EB"/>
    <w:rsid w:val="00027271"/>
    <w:rsid w:val="000354F1"/>
    <w:rsid w:val="00037B19"/>
    <w:rsid w:val="000416F5"/>
    <w:rsid w:val="00043260"/>
    <w:rsid w:val="00046808"/>
    <w:rsid w:val="0004715D"/>
    <w:rsid w:val="00047C8F"/>
    <w:rsid w:val="00051791"/>
    <w:rsid w:val="00054CED"/>
    <w:rsid w:val="000562CC"/>
    <w:rsid w:val="000562D1"/>
    <w:rsid w:val="00073C82"/>
    <w:rsid w:val="000773D9"/>
    <w:rsid w:val="00080DE6"/>
    <w:rsid w:val="000823F2"/>
    <w:rsid w:val="0009355C"/>
    <w:rsid w:val="000961FA"/>
    <w:rsid w:val="000A16E4"/>
    <w:rsid w:val="000A4208"/>
    <w:rsid w:val="000A67FF"/>
    <w:rsid w:val="000B47FD"/>
    <w:rsid w:val="000B59A4"/>
    <w:rsid w:val="000B5A18"/>
    <w:rsid w:val="000B5F37"/>
    <w:rsid w:val="000B6369"/>
    <w:rsid w:val="000B71D0"/>
    <w:rsid w:val="000D5AB2"/>
    <w:rsid w:val="000D696B"/>
    <w:rsid w:val="000E2778"/>
    <w:rsid w:val="000F5C0E"/>
    <w:rsid w:val="00100276"/>
    <w:rsid w:val="001043DB"/>
    <w:rsid w:val="0011222A"/>
    <w:rsid w:val="0012098A"/>
    <w:rsid w:val="00122206"/>
    <w:rsid w:val="00132E66"/>
    <w:rsid w:val="00133415"/>
    <w:rsid w:val="001463A4"/>
    <w:rsid w:val="00150FB1"/>
    <w:rsid w:val="00152F63"/>
    <w:rsid w:val="0015549E"/>
    <w:rsid w:val="001575DF"/>
    <w:rsid w:val="00165132"/>
    <w:rsid w:val="00165447"/>
    <w:rsid w:val="00165708"/>
    <w:rsid w:val="00167ADF"/>
    <w:rsid w:val="00185005"/>
    <w:rsid w:val="001A16D7"/>
    <w:rsid w:val="001B0CC3"/>
    <w:rsid w:val="001B1ECA"/>
    <w:rsid w:val="001B36E4"/>
    <w:rsid w:val="001C3558"/>
    <w:rsid w:val="001D6829"/>
    <w:rsid w:val="001E0DEC"/>
    <w:rsid w:val="001E39DD"/>
    <w:rsid w:val="001F0B02"/>
    <w:rsid w:val="001F3C92"/>
    <w:rsid w:val="001F57C3"/>
    <w:rsid w:val="001F6CEE"/>
    <w:rsid w:val="00200086"/>
    <w:rsid w:val="00204001"/>
    <w:rsid w:val="0021065A"/>
    <w:rsid w:val="00213DC4"/>
    <w:rsid w:val="00215F5B"/>
    <w:rsid w:val="002239B1"/>
    <w:rsid w:val="00230BD3"/>
    <w:rsid w:val="00232BD9"/>
    <w:rsid w:val="00233338"/>
    <w:rsid w:val="00242155"/>
    <w:rsid w:val="00242A67"/>
    <w:rsid w:val="0024611E"/>
    <w:rsid w:val="0024738D"/>
    <w:rsid w:val="002512B7"/>
    <w:rsid w:val="00256EEB"/>
    <w:rsid w:val="002621F4"/>
    <w:rsid w:val="00270607"/>
    <w:rsid w:val="00270786"/>
    <w:rsid w:val="00272D8F"/>
    <w:rsid w:val="00274CB2"/>
    <w:rsid w:val="002774A4"/>
    <w:rsid w:val="00280674"/>
    <w:rsid w:val="00283E66"/>
    <w:rsid w:val="0028473D"/>
    <w:rsid w:val="0029015F"/>
    <w:rsid w:val="00290664"/>
    <w:rsid w:val="00294C12"/>
    <w:rsid w:val="002A6244"/>
    <w:rsid w:val="002B1590"/>
    <w:rsid w:val="002B2CF0"/>
    <w:rsid w:val="002B4B47"/>
    <w:rsid w:val="002C1991"/>
    <w:rsid w:val="002D12A9"/>
    <w:rsid w:val="002D7008"/>
    <w:rsid w:val="002E6E33"/>
    <w:rsid w:val="002F2145"/>
    <w:rsid w:val="002F59D9"/>
    <w:rsid w:val="002F6DE5"/>
    <w:rsid w:val="0031005C"/>
    <w:rsid w:val="00321AA4"/>
    <w:rsid w:val="00323499"/>
    <w:rsid w:val="0033024F"/>
    <w:rsid w:val="00337B93"/>
    <w:rsid w:val="00340B74"/>
    <w:rsid w:val="00341007"/>
    <w:rsid w:val="00352EEC"/>
    <w:rsid w:val="003541AE"/>
    <w:rsid w:val="0036666D"/>
    <w:rsid w:val="0036787E"/>
    <w:rsid w:val="00373DC9"/>
    <w:rsid w:val="00374B1D"/>
    <w:rsid w:val="00376BB8"/>
    <w:rsid w:val="00377C42"/>
    <w:rsid w:val="00383E24"/>
    <w:rsid w:val="0039536E"/>
    <w:rsid w:val="0039784D"/>
    <w:rsid w:val="003A1EDE"/>
    <w:rsid w:val="003A221C"/>
    <w:rsid w:val="003A6D08"/>
    <w:rsid w:val="003B029E"/>
    <w:rsid w:val="003B0531"/>
    <w:rsid w:val="003B0E20"/>
    <w:rsid w:val="003C1743"/>
    <w:rsid w:val="003D11A1"/>
    <w:rsid w:val="003D3693"/>
    <w:rsid w:val="003D3B4B"/>
    <w:rsid w:val="003D69C3"/>
    <w:rsid w:val="003E0935"/>
    <w:rsid w:val="003E36F0"/>
    <w:rsid w:val="003F1D04"/>
    <w:rsid w:val="003F6699"/>
    <w:rsid w:val="003F73F2"/>
    <w:rsid w:val="00400A98"/>
    <w:rsid w:val="00404AB2"/>
    <w:rsid w:val="00404EFB"/>
    <w:rsid w:val="0040722E"/>
    <w:rsid w:val="00411F36"/>
    <w:rsid w:val="00415DE1"/>
    <w:rsid w:val="004202EF"/>
    <w:rsid w:val="0042199F"/>
    <w:rsid w:val="004237E1"/>
    <w:rsid w:val="00425DD7"/>
    <w:rsid w:val="00430C0E"/>
    <w:rsid w:val="00447C82"/>
    <w:rsid w:val="004514D9"/>
    <w:rsid w:val="00461E33"/>
    <w:rsid w:val="00462CD6"/>
    <w:rsid w:val="00465705"/>
    <w:rsid w:val="00466268"/>
    <w:rsid w:val="004672AE"/>
    <w:rsid w:val="00472575"/>
    <w:rsid w:val="0048578F"/>
    <w:rsid w:val="00486FF4"/>
    <w:rsid w:val="0048754A"/>
    <w:rsid w:val="0048792D"/>
    <w:rsid w:val="004917F2"/>
    <w:rsid w:val="00497DBA"/>
    <w:rsid w:val="004A0E7B"/>
    <w:rsid w:val="004B251B"/>
    <w:rsid w:val="004B7ADE"/>
    <w:rsid w:val="004C44E1"/>
    <w:rsid w:val="004C54DC"/>
    <w:rsid w:val="004C777C"/>
    <w:rsid w:val="004D124D"/>
    <w:rsid w:val="004D5575"/>
    <w:rsid w:val="004D6A5C"/>
    <w:rsid w:val="004D6E10"/>
    <w:rsid w:val="004E4484"/>
    <w:rsid w:val="004E7AF7"/>
    <w:rsid w:val="004F70DC"/>
    <w:rsid w:val="004F7205"/>
    <w:rsid w:val="004F7A89"/>
    <w:rsid w:val="0050053D"/>
    <w:rsid w:val="005051CE"/>
    <w:rsid w:val="005149A7"/>
    <w:rsid w:val="005422B3"/>
    <w:rsid w:val="00543337"/>
    <w:rsid w:val="005433C4"/>
    <w:rsid w:val="005455D7"/>
    <w:rsid w:val="00550390"/>
    <w:rsid w:val="00552349"/>
    <w:rsid w:val="00555656"/>
    <w:rsid w:val="00556788"/>
    <w:rsid w:val="00570F70"/>
    <w:rsid w:val="005743F4"/>
    <w:rsid w:val="00574A5A"/>
    <w:rsid w:val="00574B87"/>
    <w:rsid w:val="00581243"/>
    <w:rsid w:val="00587AC7"/>
    <w:rsid w:val="00595260"/>
    <w:rsid w:val="005977B6"/>
    <w:rsid w:val="005A51C0"/>
    <w:rsid w:val="005A5335"/>
    <w:rsid w:val="005A73AB"/>
    <w:rsid w:val="005B2EAD"/>
    <w:rsid w:val="005B330C"/>
    <w:rsid w:val="005C5A01"/>
    <w:rsid w:val="005C6295"/>
    <w:rsid w:val="005D3EFB"/>
    <w:rsid w:val="005D7B0E"/>
    <w:rsid w:val="005E4D65"/>
    <w:rsid w:val="005F63F1"/>
    <w:rsid w:val="005F65A7"/>
    <w:rsid w:val="005F6D0F"/>
    <w:rsid w:val="006003AA"/>
    <w:rsid w:val="00605F1B"/>
    <w:rsid w:val="00612C64"/>
    <w:rsid w:val="00623CEB"/>
    <w:rsid w:val="006378F8"/>
    <w:rsid w:val="0064261D"/>
    <w:rsid w:val="006500E6"/>
    <w:rsid w:val="00652616"/>
    <w:rsid w:val="00654AD7"/>
    <w:rsid w:val="00655DF1"/>
    <w:rsid w:val="006577F2"/>
    <w:rsid w:val="006707AF"/>
    <w:rsid w:val="00671648"/>
    <w:rsid w:val="00672821"/>
    <w:rsid w:val="00677FCA"/>
    <w:rsid w:val="00680909"/>
    <w:rsid w:val="00681889"/>
    <w:rsid w:val="00690E80"/>
    <w:rsid w:val="00691D6F"/>
    <w:rsid w:val="006A2645"/>
    <w:rsid w:val="006A5855"/>
    <w:rsid w:val="006A5D6C"/>
    <w:rsid w:val="006A7883"/>
    <w:rsid w:val="006B04F8"/>
    <w:rsid w:val="006C19DF"/>
    <w:rsid w:val="006C53DD"/>
    <w:rsid w:val="006C5DDF"/>
    <w:rsid w:val="006D130F"/>
    <w:rsid w:val="006D13E2"/>
    <w:rsid w:val="006D3E89"/>
    <w:rsid w:val="006D6675"/>
    <w:rsid w:val="006E1226"/>
    <w:rsid w:val="006E637D"/>
    <w:rsid w:val="006F16AE"/>
    <w:rsid w:val="006F75EC"/>
    <w:rsid w:val="00700D94"/>
    <w:rsid w:val="00716511"/>
    <w:rsid w:val="007172A1"/>
    <w:rsid w:val="00720BD6"/>
    <w:rsid w:val="0072220B"/>
    <w:rsid w:val="00727C43"/>
    <w:rsid w:val="00740694"/>
    <w:rsid w:val="00746F5C"/>
    <w:rsid w:val="00746FFA"/>
    <w:rsid w:val="007504CC"/>
    <w:rsid w:val="007550B5"/>
    <w:rsid w:val="00772709"/>
    <w:rsid w:val="007729DA"/>
    <w:rsid w:val="00775C3C"/>
    <w:rsid w:val="007813D3"/>
    <w:rsid w:val="00785A52"/>
    <w:rsid w:val="007879C0"/>
    <w:rsid w:val="0079667E"/>
    <w:rsid w:val="007B2241"/>
    <w:rsid w:val="007B46CB"/>
    <w:rsid w:val="007B615C"/>
    <w:rsid w:val="007C26A3"/>
    <w:rsid w:val="007C6F9C"/>
    <w:rsid w:val="007D2FBA"/>
    <w:rsid w:val="007E64C2"/>
    <w:rsid w:val="007F40F9"/>
    <w:rsid w:val="007F41C1"/>
    <w:rsid w:val="007F6E0B"/>
    <w:rsid w:val="00806AE2"/>
    <w:rsid w:val="00807FD9"/>
    <w:rsid w:val="00821268"/>
    <w:rsid w:val="00826F43"/>
    <w:rsid w:val="00827C2A"/>
    <w:rsid w:val="00832145"/>
    <w:rsid w:val="00835A43"/>
    <w:rsid w:val="00844A4C"/>
    <w:rsid w:val="008475CF"/>
    <w:rsid w:val="00855A5A"/>
    <w:rsid w:val="0086290E"/>
    <w:rsid w:val="00862CD8"/>
    <w:rsid w:val="00866F7C"/>
    <w:rsid w:val="008673AB"/>
    <w:rsid w:val="00896243"/>
    <w:rsid w:val="008A175C"/>
    <w:rsid w:val="008A79E4"/>
    <w:rsid w:val="008B13A2"/>
    <w:rsid w:val="008B4EB8"/>
    <w:rsid w:val="008B7430"/>
    <w:rsid w:val="008C7D47"/>
    <w:rsid w:val="008C7DA1"/>
    <w:rsid w:val="008D2CAB"/>
    <w:rsid w:val="008D616B"/>
    <w:rsid w:val="008D72BF"/>
    <w:rsid w:val="008E0D17"/>
    <w:rsid w:val="008F0F86"/>
    <w:rsid w:val="008F3F22"/>
    <w:rsid w:val="008F50CB"/>
    <w:rsid w:val="00900028"/>
    <w:rsid w:val="00906D34"/>
    <w:rsid w:val="00911B33"/>
    <w:rsid w:val="00921CC0"/>
    <w:rsid w:val="00924D23"/>
    <w:rsid w:val="009277C7"/>
    <w:rsid w:val="00932B86"/>
    <w:rsid w:val="00934F04"/>
    <w:rsid w:val="00940C90"/>
    <w:rsid w:val="009431D1"/>
    <w:rsid w:val="009439FA"/>
    <w:rsid w:val="00946D8A"/>
    <w:rsid w:val="00955124"/>
    <w:rsid w:val="00966A01"/>
    <w:rsid w:val="00967D26"/>
    <w:rsid w:val="0097164E"/>
    <w:rsid w:val="00975338"/>
    <w:rsid w:val="00991FB6"/>
    <w:rsid w:val="00994DC3"/>
    <w:rsid w:val="009A7C53"/>
    <w:rsid w:val="009B2428"/>
    <w:rsid w:val="009D16D4"/>
    <w:rsid w:val="009D4A02"/>
    <w:rsid w:val="009D6F08"/>
    <w:rsid w:val="009E1A1B"/>
    <w:rsid w:val="009E23D8"/>
    <w:rsid w:val="009E245E"/>
    <w:rsid w:val="009E5D13"/>
    <w:rsid w:val="009F06EC"/>
    <w:rsid w:val="00A051DF"/>
    <w:rsid w:val="00A06982"/>
    <w:rsid w:val="00A06FA4"/>
    <w:rsid w:val="00A11DC5"/>
    <w:rsid w:val="00A12331"/>
    <w:rsid w:val="00A127FE"/>
    <w:rsid w:val="00A1748D"/>
    <w:rsid w:val="00A178D7"/>
    <w:rsid w:val="00A2214F"/>
    <w:rsid w:val="00A2510F"/>
    <w:rsid w:val="00A25431"/>
    <w:rsid w:val="00A27D3F"/>
    <w:rsid w:val="00A4090B"/>
    <w:rsid w:val="00A41997"/>
    <w:rsid w:val="00A51741"/>
    <w:rsid w:val="00A543A4"/>
    <w:rsid w:val="00A6221D"/>
    <w:rsid w:val="00A70389"/>
    <w:rsid w:val="00A704D6"/>
    <w:rsid w:val="00A77D5A"/>
    <w:rsid w:val="00A8051D"/>
    <w:rsid w:val="00A862F5"/>
    <w:rsid w:val="00A90368"/>
    <w:rsid w:val="00AA5070"/>
    <w:rsid w:val="00AA71C8"/>
    <w:rsid w:val="00AA7283"/>
    <w:rsid w:val="00AB23B7"/>
    <w:rsid w:val="00AB3CC9"/>
    <w:rsid w:val="00AC3506"/>
    <w:rsid w:val="00AC7E18"/>
    <w:rsid w:val="00AD1916"/>
    <w:rsid w:val="00AF5B6F"/>
    <w:rsid w:val="00B00B60"/>
    <w:rsid w:val="00B04942"/>
    <w:rsid w:val="00B057F2"/>
    <w:rsid w:val="00B10629"/>
    <w:rsid w:val="00B20AB4"/>
    <w:rsid w:val="00B24C30"/>
    <w:rsid w:val="00B3095F"/>
    <w:rsid w:val="00B318FE"/>
    <w:rsid w:val="00B35AF5"/>
    <w:rsid w:val="00B514B0"/>
    <w:rsid w:val="00B527DD"/>
    <w:rsid w:val="00B52825"/>
    <w:rsid w:val="00B56661"/>
    <w:rsid w:val="00B63128"/>
    <w:rsid w:val="00B63580"/>
    <w:rsid w:val="00B6392A"/>
    <w:rsid w:val="00B6484E"/>
    <w:rsid w:val="00B6762F"/>
    <w:rsid w:val="00B707C0"/>
    <w:rsid w:val="00B80F98"/>
    <w:rsid w:val="00B83931"/>
    <w:rsid w:val="00B83B27"/>
    <w:rsid w:val="00B862DB"/>
    <w:rsid w:val="00B931DD"/>
    <w:rsid w:val="00BA058A"/>
    <w:rsid w:val="00BA480D"/>
    <w:rsid w:val="00BA7CA5"/>
    <w:rsid w:val="00BB107B"/>
    <w:rsid w:val="00BB5DC5"/>
    <w:rsid w:val="00BB76C6"/>
    <w:rsid w:val="00BD7CD6"/>
    <w:rsid w:val="00BD7DD0"/>
    <w:rsid w:val="00BE1691"/>
    <w:rsid w:val="00BE36D8"/>
    <w:rsid w:val="00BE3DB0"/>
    <w:rsid w:val="00BF1FBE"/>
    <w:rsid w:val="00BF35A4"/>
    <w:rsid w:val="00BF38C0"/>
    <w:rsid w:val="00BF470C"/>
    <w:rsid w:val="00C0493A"/>
    <w:rsid w:val="00C05BEC"/>
    <w:rsid w:val="00C07A08"/>
    <w:rsid w:val="00C13723"/>
    <w:rsid w:val="00C22984"/>
    <w:rsid w:val="00C237AA"/>
    <w:rsid w:val="00C2542C"/>
    <w:rsid w:val="00C32EA9"/>
    <w:rsid w:val="00C3731E"/>
    <w:rsid w:val="00C37434"/>
    <w:rsid w:val="00C46F14"/>
    <w:rsid w:val="00C504F2"/>
    <w:rsid w:val="00C50674"/>
    <w:rsid w:val="00C5732D"/>
    <w:rsid w:val="00C5735F"/>
    <w:rsid w:val="00C57B82"/>
    <w:rsid w:val="00C60C5A"/>
    <w:rsid w:val="00C611C4"/>
    <w:rsid w:val="00C61365"/>
    <w:rsid w:val="00C61869"/>
    <w:rsid w:val="00C62125"/>
    <w:rsid w:val="00C763AD"/>
    <w:rsid w:val="00C77273"/>
    <w:rsid w:val="00C806A6"/>
    <w:rsid w:val="00C811BF"/>
    <w:rsid w:val="00C83E7B"/>
    <w:rsid w:val="00C86E03"/>
    <w:rsid w:val="00C90FDC"/>
    <w:rsid w:val="00C9365E"/>
    <w:rsid w:val="00CA60DC"/>
    <w:rsid w:val="00CB021E"/>
    <w:rsid w:val="00CB3867"/>
    <w:rsid w:val="00CB59CE"/>
    <w:rsid w:val="00CB6D10"/>
    <w:rsid w:val="00CC1D38"/>
    <w:rsid w:val="00CC3830"/>
    <w:rsid w:val="00CC4EFC"/>
    <w:rsid w:val="00CD2B9D"/>
    <w:rsid w:val="00CD4443"/>
    <w:rsid w:val="00CD5C52"/>
    <w:rsid w:val="00CE1F64"/>
    <w:rsid w:val="00CE6A48"/>
    <w:rsid w:val="00D12661"/>
    <w:rsid w:val="00D12F26"/>
    <w:rsid w:val="00D269ED"/>
    <w:rsid w:val="00D3283D"/>
    <w:rsid w:val="00D32ACC"/>
    <w:rsid w:val="00D3493E"/>
    <w:rsid w:val="00D35969"/>
    <w:rsid w:val="00D46DBA"/>
    <w:rsid w:val="00D476C8"/>
    <w:rsid w:val="00D54164"/>
    <w:rsid w:val="00D63AC0"/>
    <w:rsid w:val="00D63E5B"/>
    <w:rsid w:val="00D67FCD"/>
    <w:rsid w:val="00D706DC"/>
    <w:rsid w:val="00D73714"/>
    <w:rsid w:val="00D74A59"/>
    <w:rsid w:val="00D7682C"/>
    <w:rsid w:val="00D862D5"/>
    <w:rsid w:val="00DA0379"/>
    <w:rsid w:val="00DA03B7"/>
    <w:rsid w:val="00DA130F"/>
    <w:rsid w:val="00DC1103"/>
    <w:rsid w:val="00DC513D"/>
    <w:rsid w:val="00DD3DBD"/>
    <w:rsid w:val="00DF0E43"/>
    <w:rsid w:val="00DF3218"/>
    <w:rsid w:val="00DF36E8"/>
    <w:rsid w:val="00DF4E38"/>
    <w:rsid w:val="00DF4E6A"/>
    <w:rsid w:val="00E00A23"/>
    <w:rsid w:val="00E0179D"/>
    <w:rsid w:val="00E16FAB"/>
    <w:rsid w:val="00E173BC"/>
    <w:rsid w:val="00E20A4D"/>
    <w:rsid w:val="00E25C7D"/>
    <w:rsid w:val="00E3098A"/>
    <w:rsid w:val="00E40DC5"/>
    <w:rsid w:val="00E44122"/>
    <w:rsid w:val="00E57F5D"/>
    <w:rsid w:val="00E636EA"/>
    <w:rsid w:val="00E643BA"/>
    <w:rsid w:val="00E652E0"/>
    <w:rsid w:val="00E66E01"/>
    <w:rsid w:val="00E72365"/>
    <w:rsid w:val="00E8171E"/>
    <w:rsid w:val="00E820D2"/>
    <w:rsid w:val="00E845BD"/>
    <w:rsid w:val="00E95F1A"/>
    <w:rsid w:val="00EA1A0A"/>
    <w:rsid w:val="00EA46EC"/>
    <w:rsid w:val="00EA5239"/>
    <w:rsid w:val="00EB0C67"/>
    <w:rsid w:val="00EB730D"/>
    <w:rsid w:val="00EC3905"/>
    <w:rsid w:val="00EC584F"/>
    <w:rsid w:val="00ED2EA8"/>
    <w:rsid w:val="00ED5D76"/>
    <w:rsid w:val="00EE1D99"/>
    <w:rsid w:val="00EE6847"/>
    <w:rsid w:val="00EF2D8A"/>
    <w:rsid w:val="00F00704"/>
    <w:rsid w:val="00F0264F"/>
    <w:rsid w:val="00F03FF8"/>
    <w:rsid w:val="00F05565"/>
    <w:rsid w:val="00F05669"/>
    <w:rsid w:val="00F164EF"/>
    <w:rsid w:val="00F24579"/>
    <w:rsid w:val="00F24B06"/>
    <w:rsid w:val="00F2619B"/>
    <w:rsid w:val="00F3367C"/>
    <w:rsid w:val="00F43BAC"/>
    <w:rsid w:val="00F44F70"/>
    <w:rsid w:val="00F47264"/>
    <w:rsid w:val="00F51848"/>
    <w:rsid w:val="00F5591C"/>
    <w:rsid w:val="00F66B2A"/>
    <w:rsid w:val="00F73434"/>
    <w:rsid w:val="00F803A5"/>
    <w:rsid w:val="00F8442B"/>
    <w:rsid w:val="00F87392"/>
    <w:rsid w:val="00F93052"/>
    <w:rsid w:val="00F96E21"/>
    <w:rsid w:val="00FB3826"/>
    <w:rsid w:val="00FB3FD0"/>
    <w:rsid w:val="00FB72F0"/>
    <w:rsid w:val="00FC30FA"/>
    <w:rsid w:val="00FC36B2"/>
    <w:rsid w:val="00FC7802"/>
    <w:rsid w:val="00FD5BF3"/>
    <w:rsid w:val="00FE18C0"/>
    <w:rsid w:val="00FE2DF8"/>
    <w:rsid w:val="00FE783D"/>
    <w:rsid w:val="00FF7A7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10FED8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HTML Acronym" w:uiPriority="0"/>
    <w:lsdException w:name="HTML Cite" w:uiPriority="0"/>
    <w:lsdException w:name="HTML Code" w:uiPriority="0"/>
    <w:lsdException w:name="HTML Definition" w:uiPriority="0"/>
    <w:lsdException w:name="HTML Keyboard" w:uiPriority="0"/>
    <w:lsdException w:name="HTML Preformatted" w:uiPriority="0"/>
    <w:lsdException w:name="HTML Sample" w:uiPriority="0"/>
    <w:lsdException w:name="HTML Typewriter" w:uiPriority="0"/>
    <w:lsdException w:name="HTML Variable" w:uiPriority="0"/>
    <w:lsdException w:name="Balloon Text" w:uiPriority="0"/>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9A7F20"/>
    <w:rPr>
      <w:lang w:val="en-GB"/>
    </w:rPr>
  </w:style>
  <w:style w:type="paragraph" w:styleId="Heading1">
    <w:name w:val="heading 1"/>
    <w:basedOn w:val="Normal"/>
    <w:next w:val="Normal"/>
    <w:link w:val="Heading1Char"/>
    <w:uiPriority w:val="9"/>
    <w:qFormat/>
    <w:rsid w:val="006E637D"/>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semiHidden/>
    <w:unhideWhenUsed/>
    <w:qFormat/>
    <w:rsid w:val="00BA058A"/>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eText">
    <w:name w:val="Base_Text"/>
    <w:rsid w:val="009A3899"/>
    <w:pPr>
      <w:spacing w:before="120"/>
    </w:pPr>
    <w:rPr>
      <w:rFonts w:eastAsia="Times New Roman"/>
      <w:sz w:val="24"/>
      <w:szCs w:val="24"/>
    </w:rPr>
  </w:style>
  <w:style w:type="paragraph" w:customStyle="1" w:styleId="1stparatext">
    <w:name w:val="1st para text"/>
    <w:basedOn w:val="BaseText"/>
    <w:rsid w:val="009A3899"/>
  </w:style>
  <w:style w:type="paragraph" w:customStyle="1" w:styleId="BaseHeading">
    <w:name w:val="Base_Heading"/>
    <w:rsid w:val="009A3899"/>
    <w:pPr>
      <w:keepNext/>
      <w:spacing w:before="240"/>
      <w:outlineLvl w:val="0"/>
    </w:pPr>
    <w:rPr>
      <w:rFonts w:eastAsia="Times New Roman"/>
      <w:kern w:val="28"/>
      <w:sz w:val="28"/>
      <w:szCs w:val="28"/>
    </w:rPr>
  </w:style>
  <w:style w:type="paragraph" w:customStyle="1" w:styleId="AbstractHead">
    <w:name w:val="Abstract Head"/>
    <w:basedOn w:val="BaseHeading"/>
    <w:rsid w:val="009A3899"/>
  </w:style>
  <w:style w:type="paragraph" w:customStyle="1" w:styleId="AbstractSummary">
    <w:name w:val="Abstract/Summary"/>
    <w:basedOn w:val="BaseText"/>
    <w:rsid w:val="009A3899"/>
  </w:style>
  <w:style w:type="paragraph" w:customStyle="1" w:styleId="Referencesandnotes">
    <w:name w:val="References and notes"/>
    <w:basedOn w:val="BaseText"/>
    <w:rsid w:val="009A3899"/>
    <w:pPr>
      <w:ind w:left="720" w:hanging="720"/>
    </w:pPr>
  </w:style>
  <w:style w:type="paragraph" w:customStyle="1" w:styleId="Acknowledgement">
    <w:name w:val="Acknowledgement"/>
    <w:basedOn w:val="Referencesandnotes"/>
    <w:rsid w:val="009A3899"/>
  </w:style>
  <w:style w:type="paragraph" w:customStyle="1" w:styleId="Subhead">
    <w:name w:val="Subhead"/>
    <w:basedOn w:val="BaseHeading"/>
    <w:rsid w:val="009A3899"/>
    <w:rPr>
      <w:b/>
      <w:bCs/>
      <w:sz w:val="24"/>
      <w:szCs w:val="24"/>
    </w:rPr>
  </w:style>
  <w:style w:type="paragraph" w:customStyle="1" w:styleId="AppendixHead">
    <w:name w:val="AppendixHead"/>
    <w:basedOn w:val="Subhead"/>
    <w:rsid w:val="009A3899"/>
  </w:style>
  <w:style w:type="paragraph" w:customStyle="1" w:styleId="AppendixSubhead">
    <w:name w:val="AppendixSubhead"/>
    <w:basedOn w:val="Subhead"/>
    <w:rsid w:val="009A3899"/>
  </w:style>
  <w:style w:type="paragraph" w:customStyle="1" w:styleId="Articletype">
    <w:name w:val="Article type"/>
    <w:basedOn w:val="BaseText"/>
    <w:rsid w:val="009A3899"/>
  </w:style>
  <w:style w:type="character" w:customStyle="1" w:styleId="aubase">
    <w:name w:val="au_base"/>
    <w:rsid w:val="009A3899"/>
    <w:rPr>
      <w:sz w:val="24"/>
    </w:rPr>
  </w:style>
  <w:style w:type="character" w:customStyle="1" w:styleId="aucollab">
    <w:name w:val="au_collab"/>
    <w:basedOn w:val="aubase"/>
    <w:rsid w:val="009A3899"/>
    <w:rPr>
      <w:sz w:val="24"/>
      <w:bdr w:val="none" w:sz="0" w:space="0" w:color="auto"/>
      <w:shd w:val="clear" w:color="auto" w:fill="C0C0C0"/>
    </w:rPr>
  </w:style>
  <w:style w:type="character" w:customStyle="1" w:styleId="audeg">
    <w:name w:val="au_deg"/>
    <w:basedOn w:val="DefaultParagraphFont"/>
    <w:rsid w:val="009A3899"/>
    <w:rPr>
      <w:sz w:val="24"/>
      <w:bdr w:val="none" w:sz="0" w:space="0" w:color="auto"/>
      <w:shd w:val="clear" w:color="auto" w:fill="FFFF00"/>
    </w:rPr>
  </w:style>
  <w:style w:type="character" w:customStyle="1" w:styleId="aufname">
    <w:name w:val="au_fname"/>
    <w:basedOn w:val="aubase"/>
    <w:rsid w:val="009A3899"/>
    <w:rPr>
      <w:sz w:val="24"/>
      <w:bdr w:val="none" w:sz="0" w:space="0" w:color="auto"/>
      <w:shd w:val="clear" w:color="auto" w:fill="00FFFF"/>
    </w:rPr>
  </w:style>
  <w:style w:type="character" w:customStyle="1" w:styleId="aurole">
    <w:name w:val="au_role"/>
    <w:basedOn w:val="aubase"/>
    <w:rsid w:val="009A3899"/>
    <w:rPr>
      <w:sz w:val="24"/>
      <w:bdr w:val="none" w:sz="0" w:space="0" w:color="auto"/>
      <w:shd w:val="clear" w:color="auto" w:fill="808000"/>
    </w:rPr>
  </w:style>
  <w:style w:type="character" w:customStyle="1" w:styleId="ausuffix">
    <w:name w:val="au_suffix"/>
    <w:basedOn w:val="aubase"/>
    <w:rsid w:val="009A3899"/>
    <w:rPr>
      <w:sz w:val="24"/>
      <w:bdr w:val="none" w:sz="0" w:space="0" w:color="auto"/>
      <w:shd w:val="clear" w:color="auto" w:fill="FF00FF"/>
    </w:rPr>
  </w:style>
  <w:style w:type="character" w:customStyle="1" w:styleId="ausurname">
    <w:name w:val="au_surname"/>
    <w:basedOn w:val="aubase"/>
    <w:rsid w:val="009A3899"/>
    <w:rPr>
      <w:sz w:val="24"/>
      <w:bdr w:val="none" w:sz="0" w:space="0" w:color="auto"/>
      <w:shd w:val="clear" w:color="auto" w:fill="00FF00"/>
    </w:rPr>
  </w:style>
  <w:style w:type="paragraph" w:customStyle="1" w:styleId="AuthorAttribute">
    <w:name w:val="Author Attribute"/>
    <w:basedOn w:val="BaseText"/>
    <w:rsid w:val="009A3899"/>
    <w:pPr>
      <w:spacing w:before="480"/>
    </w:pPr>
  </w:style>
  <w:style w:type="paragraph" w:customStyle="1" w:styleId="Footnote">
    <w:name w:val="Footnote"/>
    <w:basedOn w:val="BaseText"/>
    <w:rsid w:val="009A3899"/>
  </w:style>
  <w:style w:type="paragraph" w:customStyle="1" w:styleId="AuthorFootnote">
    <w:name w:val="AuthorFootnote"/>
    <w:basedOn w:val="Footnote"/>
    <w:rsid w:val="009A3899"/>
    <w:pPr>
      <w:autoSpaceDE w:val="0"/>
      <w:autoSpaceDN w:val="0"/>
      <w:adjustRightInd w:val="0"/>
    </w:pPr>
    <w:rPr>
      <w:lang w:bidi="he-IL"/>
    </w:rPr>
  </w:style>
  <w:style w:type="paragraph" w:customStyle="1" w:styleId="Authors">
    <w:name w:val="Authors"/>
    <w:basedOn w:val="BaseText"/>
    <w:rsid w:val="009A3899"/>
    <w:pPr>
      <w:spacing w:after="360"/>
      <w:jc w:val="center"/>
    </w:pPr>
  </w:style>
  <w:style w:type="paragraph" w:styleId="BalloonText">
    <w:name w:val="Balloon Text"/>
    <w:basedOn w:val="Normal"/>
    <w:link w:val="BalloonTextChar"/>
    <w:semiHidden/>
    <w:rsid w:val="009A3899"/>
    <w:rPr>
      <w:rFonts w:ascii="Lucida Grande" w:eastAsia="Times New Roman" w:hAnsi="Lucida Grande"/>
      <w:sz w:val="18"/>
      <w:szCs w:val="18"/>
    </w:rPr>
  </w:style>
  <w:style w:type="character" w:customStyle="1" w:styleId="BalloonTextChar">
    <w:name w:val="Balloon Text Char"/>
    <w:basedOn w:val="DefaultParagraphFont"/>
    <w:link w:val="BalloonText"/>
    <w:semiHidden/>
    <w:rsid w:val="009A3899"/>
    <w:rPr>
      <w:rFonts w:ascii="Lucida Grande" w:eastAsia="Times New Roman" w:hAnsi="Lucida Grande"/>
      <w:sz w:val="18"/>
      <w:szCs w:val="18"/>
    </w:rPr>
  </w:style>
  <w:style w:type="character" w:customStyle="1" w:styleId="bibarticle">
    <w:name w:val="bib_article"/>
    <w:basedOn w:val="DefaultParagraphFont"/>
    <w:rsid w:val="009A3899"/>
    <w:rPr>
      <w:sz w:val="24"/>
      <w:bdr w:val="none" w:sz="0" w:space="0" w:color="auto"/>
      <w:shd w:val="clear" w:color="auto" w:fill="00FFFF"/>
    </w:rPr>
  </w:style>
  <w:style w:type="character" w:customStyle="1" w:styleId="bibbase">
    <w:name w:val="bib_base"/>
    <w:rsid w:val="009A3899"/>
    <w:rPr>
      <w:sz w:val="24"/>
    </w:rPr>
  </w:style>
  <w:style w:type="character" w:customStyle="1" w:styleId="bibcomment">
    <w:name w:val="bib_comment"/>
    <w:basedOn w:val="bibbase"/>
    <w:rsid w:val="009A3899"/>
    <w:rPr>
      <w:sz w:val="24"/>
    </w:rPr>
  </w:style>
  <w:style w:type="character" w:customStyle="1" w:styleId="bibdeg">
    <w:name w:val="bib_deg"/>
    <w:basedOn w:val="bibbase"/>
    <w:rsid w:val="009A3899"/>
    <w:rPr>
      <w:sz w:val="24"/>
    </w:rPr>
  </w:style>
  <w:style w:type="character" w:customStyle="1" w:styleId="bibdoi">
    <w:name w:val="bib_doi"/>
    <w:basedOn w:val="bibbase"/>
    <w:rsid w:val="009A3899"/>
    <w:rPr>
      <w:sz w:val="24"/>
      <w:bdr w:val="none" w:sz="0" w:space="0" w:color="auto"/>
      <w:shd w:val="clear" w:color="auto" w:fill="00FF00"/>
    </w:rPr>
  </w:style>
  <w:style w:type="character" w:customStyle="1" w:styleId="bibetal">
    <w:name w:val="bib_etal"/>
    <w:basedOn w:val="bibbase"/>
    <w:rsid w:val="009A3899"/>
    <w:rPr>
      <w:sz w:val="24"/>
      <w:bdr w:val="none" w:sz="0" w:space="0" w:color="auto"/>
      <w:shd w:val="clear" w:color="auto" w:fill="008080"/>
    </w:rPr>
  </w:style>
  <w:style w:type="character" w:customStyle="1" w:styleId="bibfname">
    <w:name w:val="bib_fname"/>
    <w:basedOn w:val="bibbase"/>
    <w:rsid w:val="009A3899"/>
    <w:rPr>
      <w:sz w:val="24"/>
      <w:bdr w:val="none" w:sz="0" w:space="0" w:color="auto"/>
      <w:shd w:val="clear" w:color="auto" w:fill="FFFF00"/>
    </w:rPr>
  </w:style>
  <w:style w:type="character" w:customStyle="1" w:styleId="bibfpage">
    <w:name w:val="bib_fpage"/>
    <w:basedOn w:val="bibbase"/>
    <w:rsid w:val="009A3899"/>
    <w:rPr>
      <w:sz w:val="24"/>
      <w:bdr w:val="none" w:sz="0" w:space="0" w:color="auto"/>
      <w:shd w:val="clear" w:color="auto" w:fill="808080"/>
    </w:rPr>
  </w:style>
  <w:style w:type="character" w:customStyle="1" w:styleId="bibissue">
    <w:name w:val="bib_issue"/>
    <w:basedOn w:val="bibbase"/>
    <w:rsid w:val="009A3899"/>
    <w:rPr>
      <w:sz w:val="24"/>
      <w:bdr w:val="none" w:sz="0" w:space="0" w:color="auto"/>
      <w:shd w:val="clear" w:color="auto" w:fill="FFFF00"/>
    </w:rPr>
  </w:style>
  <w:style w:type="character" w:customStyle="1" w:styleId="bibjournal">
    <w:name w:val="bib_journal"/>
    <w:basedOn w:val="bibbase"/>
    <w:rsid w:val="009A3899"/>
    <w:rPr>
      <w:sz w:val="24"/>
      <w:bdr w:val="none" w:sz="0" w:space="0" w:color="auto"/>
      <w:shd w:val="clear" w:color="auto" w:fill="808000"/>
    </w:rPr>
  </w:style>
  <w:style w:type="character" w:customStyle="1" w:styleId="biblpage">
    <w:name w:val="bib_lpage"/>
    <w:basedOn w:val="bibbase"/>
    <w:rsid w:val="009A3899"/>
    <w:rPr>
      <w:sz w:val="24"/>
      <w:bdr w:val="none" w:sz="0" w:space="0" w:color="auto"/>
      <w:shd w:val="clear" w:color="auto" w:fill="808080"/>
    </w:rPr>
  </w:style>
  <w:style w:type="character" w:customStyle="1" w:styleId="bibmedline">
    <w:name w:val="bib_medline"/>
    <w:basedOn w:val="bibbase"/>
    <w:rsid w:val="009A3899"/>
    <w:rPr>
      <w:sz w:val="24"/>
    </w:rPr>
  </w:style>
  <w:style w:type="character" w:customStyle="1" w:styleId="bibnumber">
    <w:name w:val="bib_number"/>
    <w:basedOn w:val="bibbase"/>
    <w:rsid w:val="009A3899"/>
    <w:rPr>
      <w:sz w:val="24"/>
    </w:rPr>
  </w:style>
  <w:style w:type="character" w:customStyle="1" w:styleId="biborganization">
    <w:name w:val="bib_organization"/>
    <w:basedOn w:val="bibbase"/>
    <w:rsid w:val="009A3899"/>
    <w:rPr>
      <w:sz w:val="24"/>
      <w:bdr w:val="none" w:sz="0" w:space="0" w:color="auto"/>
      <w:shd w:val="clear" w:color="auto" w:fill="808000"/>
    </w:rPr>
  </w:style>
  <w:style w:type="character" w:customStyle="1" w:styleId="bibsuffix">
    <w:name w:val="bib_suffix"/>
    <w:basedOn w:val="bibbase"/>
    <w:rsid w:val="009A3899"/>
    <w:rPr>
      <w:sz w:val="24"/>
    </w:rPr>
  </w:style>
  <w:style w:type="character" w:customStyle="1" w:styleId="bibsuppl">
    <w:name w:val="bib_suppl"/>
    <w:basedOn w:val="bibbase"/>
    <w:rsid w:val="009A3899"/>
    <w:rPr>
      <w:sz w:val="24"/>
      <w:bdr w:val="none" w:sz="0" w:space="0" w:color="auto"/>
      <w:shd w:val="clear" w:color="auto" w:fill="FFFF00"/>
    </w:rPr>
  </w:style>
  <w:style w:type="character" w:customStyle="1" w:styleId="bibsurname">
    <w:name w:val="bib_surname"/>
    <w:basedOn w:val="bibbase"/>
    <w:rsid w:val="009A3899"/>
    <w:rPr>
      <w:sz w:val="24"/>
      <w:bdr w:val="none" w:sz="0" w:space="0" w:color="auto"/>
      <w:shd w:val="clear" w:color="auto" w:fill="FFFF00"/>
    </w:rPr>
  </w:style>
  <w:style w:type="character" w:customStyle="1" w:styleId="bibunpubl">
    <w:name w:val="bib_unpubl"/>
    <w:basedOn w:val="bibbase"/>
    <w:rsid w:val="009A3899"/>
    <w:rPr>
      <w:sz w:val="24"/>
    </w:rPr>
  </w:style>
  <w:style w:type="character" w:customStyle="1" w:styleId="biburl">
    <w:name w:val="bib_url"/>
    <w:basedOn w:val="bibbase"/>
    <w:rsid w:val="009A3899"/>
    <w:rPr>
      <w:sz w:val="24"/>
      <w:bdr w:val="none" w:sz="0" w:space="0" w:color="auto"/>
      <w:shd w:val="clear" w:color="auto" w:fill="00FF00"/>
    </w:rPr>
  </w:style>
  <w:style w:type="character" w:customStyle="1" w:styleId="bibvolume">
    <w:name w:val="bib_volume"/>
    <w:basedOn w:val="bibbase"/>
    <w:rsid w:val="009A3899"/>
    <w:rPr>
      <w:sz w:val="24"/>
      <w:bdr w:val="none" w:sz="0" w:space="0" w:color="auto"/>
      <w:shd w:val="clear" w:color="auto" w:fill="00FF00"/>
    </w:rPr>
  </w:style>
  <w:style w:type="character" w:customStyle="1" w:styleId="bibyear">
    <w:name w:val="bib_year"/>
    <w:basedOn w:val="bibbase"/>
    <w:rsid w:val="009A3899"/>
    <w:rPr>
      <w:sz w:val="24"/>
      <w:bdr w:val="none" w:sz="0" w:space="0" w:color="auto"/>
      <w:shd w:val="clear" w:color="auto" w:fill="FF00FF"/>
    </w:rPr>
  </w:style>
  <w:style w:type="paragraph" w:customStyle="1" w:styleId="BookorMeetingInformation">
    <w:name w:val="Book or Meeting Information"/>
    <w:basedOn w:val="BaseText"/>
    <w:rsid w:val="009A3899"/>
  </w:style>
  <w:style w:type="paragraph" w:customStyle="1" w:styleId="BookInformation">
    <w:name w:val="BookInformation"/>
    <w:basedOn w:val="BaseText"/>
    <w:rsid w:val="009A3899"/>
  </w:style>
  <w:style w:type="paragraph" w:customStyle="1" w:styleId="Level2Head">
    <w:name w:val="Level 2 Head"/>
    <w:basedOn w:val="BaseHeading"/>
    <w:rsid w:val="009A3899"/>
    <w:pPr>
      <w:outlineLvl w:val="1"/>
    </w:pPr>
    <w:rPr>
      <w:i/>
      <w:iCs/>
      <w:sz w:val="24"/>
      <w:szCs w:val="24"/>
    </w:rPr>
  </w:style>
  <w:style w:type="paragraph" w:customStyle="1" w:styleId="BoxLevel2Head">
    <w:name w:val="BoxLevel 2 Head"/>
    <w:basedOn w:val="Level2Head"/>
    <w:rsid w:val="009A3899"/>
    <w:pPr>
      <w:shd w:val="clear" w:color="auto" w:fill="E6E6E6"/>
    </w:pPr>
  </w:style>
  <w:style w:type="paragraph" w:customStyle="1" w:styleId="BoxListUnnumbered">
    <w:name w:val="BoxListUnnumbered"/>
    <w:basedOn w:val="BaseText"/>
    <w:rsid w:val="009A3899"/>
    <w:pPr>
      <w:shd w:val="clear" w:color="auto" w:fill="E6E6E6"/>
      <w:ind w:left="1080" w:hanging="360"/>
    </w:pPr>
  </w:style>
  <w:style w:type="paragraph" w:customStyle="1" w:styleId="BoxList">
    <w:name w:val="BoxList"/>
    <w:basedOn w:val="BoxListUnnumbered"/>
    <w:rsid w:val="009A3899"/>
  </w:style>
  <w:style w:type="paragraph" w:customStyle="1" w:styleId="BoxSubhead">
    <w:name w:val="BoxSubhead"/>
    <w:basedOn w:val="Subhead"/>
    <w:rsid w:val="009A3899"/>
    <w:pPr>
      <w:shd w:val="clear" w:color="auto" w:fill="E6E6E6"/>
    </w:pPr>
  </w:style>
  <w:style w:type="paragraph" w:customStyle="1" w:styleId="Paragraph">
    <w:name w:val="Paragraph"/>
    <w:basedOn w:val="BaseText"/>
    <w:rsid w:val="009A3899"/>
    <w:pPr>
      <w:ind w:firstLine="720"/>
    </w:pPr>
  </w:style>
  <w:style w:type="paragraph" w:customStyle="1" w:styleId="BoxText">
    <w:name w:val="BoxText"/>
    <w:basedOn w:val="Paragraph"/>
    <w:rsid w:val="009A3899"/>
    <w:pPr>
      <w:shd w:val="clear" w:color="auto" w:fill="E6E6E6"/>
    </w:pPr>
  </w:style>
  <w:style w:type="paragraph" w:customStyle="1" w:styleId="BoxTitle">
    <w:name w:val="BoxTitle"/>
    <w:basedOn w:val="BaseHeading"/>
    <w:rsid w:val="009A3899"/>
    <w:pPr>
      <w:shd w:val="clear" w:color="auto" w:fill="E6E6E6"/>
    </w:pPr>
    <w:rPr>
      <w:b/>
      <w:sz w:val="24"/>
      <w:szCs w:val="24"/>
    </w:rPr>
  </w:style>
  <w:style w:type="paragraph" w:customStyle="1" w:styleId="BulletedText">
    <w:name w:val="Bulleted Text"/>
    <w:basedOn w:val="BaseText"/>
    <w:rsid w:val="009A3899"/>
    <w:pPr>
      <w:ind w:left="720" w:hanging="720"/>
    </w:pPr>
  </w:style>
  <w:style w:type="paragraph" w:customStyle="1" w:styleId="career-magazine">
    <w:name w:val="career-magazine"/>
    <w:basedOn w:val="BaseText"/>
    <w:rsid w:val="009A3899"/>
    <w:pPr>
      <w:jc w:val="right"/>
    </w:pPr>
    <w:rPr>
      <w:color w:val="FF0000"/>
    </w:rPr>
  </w:style>
  <w:style w:type="paragraph" w:customStyle="1" w:styleId="career-stage">
    <w:name w:val="career-stage"/>
    <w:basedOn w:val="BaseText"/>
    <w:rsid w:val="009A3899"/>
    <w:pPr>
      <w:jc w:val="right"/>
    </w:pPr>
    <w:rPr>
      <w:color w:val="339966"/>
    </w:rPr>
  </w:style>
  <w:style w:type="character" w:customStyle="1" w:styleId="citebase">
    <w:name w:val="cite_base"/>
    <w:rsid w:val="009A3899"/>
    <w:rPr>
      <w:sz w:val="24"/>
    </w:rPr>
  </w:style>
  <w:style w:type="character" w:customStyle="1" w:styleId="citebib">
    <w:name w:val="cite_bib"/>
    <w:basedOn w:val="DefaultParagraphFont"/>
    <w:rsid w:val="009A3899"/>
    <w:rPr>
      <w:sz w:val="24"/>
      <w:bdr w:val="none" w:sz="0" w:space="0" w:color="auto"/>
      <w:shd w:val="clear" w:color="auto" w:fill="00FFFF"/>
    </w:rPr>
  </w:style>
  <w:style w:type="character" w:customStyle="1" w:styleId="citebox">
    <w:name w:val="cite_box"/>
    <w:basedOn w:val="citebase"/>
    <w:rsid w:val="009A3899"/>
    <w:rPr>
      <w:sz w:val="24"/>
    </w:rPr>
  </w:style>
  <w:style w:type="character" w:customStyle="1" w:styleId="citeen">
    <w:name w:val="cite_en"/>
    <w:basedOn w:val="citebase"/>
    <w:rsid w:val="009A3899"/>
    <w:rPr>
      <w:sz w:val="24"/>
      <w:shd w:val="clear" w:color="auto" w:fill="FFFF00"/>
      <w:vertAlign w:val="superscript"/>
    </w:rPr>
  </w:style>
  <w:style w:type="character" w:customStyle="1" w:styleId="citeeq">
    <w:name w:val="cite_eq"/>
    <w:basedOn w:val="citebase"/>
    <w:rsid w:val="009A3899"/>
    <w:rPr>
      <w:sz w:val="24"/>
      <w:bdr w:val="none" w:sz="0" w:space="0" w:color="auto"/>
      <w:shd w:val="clear" w:color="auto" w:fill="FF99CC"/>
    </w:rPr>
  </w:style>
  <w:style w:type="character" w:customStyle="1" w:styleId="citefig">
    <w:name w:val="cite_fig"/>
    <w:basedOn w:val="citebase"/>
    <w:rsid w:val="009A3899"/>
    <w:rPr>
      <w:color w:val="000000"/>
      <w:sz w:val="24"/>
      <w:bdr w:val="none" w:sz="0" w:space="0" w:color="auto"/>
      <w:shd w:val="clear" w:color="auto" w:fill="00FF00"/>
    </w:rPr>
  </w:style>
  <w:style w:type="character" w:customStyle="1" w:styleId="citefn">
    <w:name w:val="cite_fn"/>
    <w:basedOn w:val="citebase"/>
    <w:rsid w:val="009A3899"/>
    <w:rPr>
      <w:sz w:val="24"/>
      <w:bdr w:val="none" w:sz="0" w:space="0" w:color="auto"/>
      <w:shd w:val="clear" w:color="auto" w:fill="FF0000"/>
    </w:rPr>
  </w:style>
  <w:style w:type="character" w:customStyle="1" w:styleId="citetbl">
    <w:name w:val="cite_tbl"/>
    <w:basedOn w:val="citebase"/>
    <w:rsid w:val="009A3899"/>
    <w:rPr>
      <w:color w:val="000000"/>
      <w:sz w:val="24"/>
      <w:bdr w:val="none" w:sz="0" w:space="0" w:color="auto"/>
      <w:shd w:val="clear" w:color="auto" w:fill="FF00FF"/>
    </w:rPr>
  </w:style>
  <w:style w:type="character" w:styleId="CommentReference">
    <w:name w:val="annotation reference"/>
    <w:basedOn w:val="DefaultParagraphFont"/>
    <w:rsid w:val="009A3899"/>
    <w:rPr>
      <w:sz w:val="18"/>
      <w:szCs w:val="18"/>
    </w:rPr>
  </w:style>
  <w:style w:type="paragraph" w:styleId="CommentText">
    <w:name w:val="annotation text"/>
    <w:basedOn w:val="Normal"/>
    <w:link w:val="CommentTextChar"/>
    <w:semiHidden/>
    <w:rsid w:val="009A3899"/>
    <w:rPr>
      <w:rFonts w:eastAsia="Times New Roman"/>
    </w:rPr>
  </w:style>
  <w:style w:type="character" w:customStyle="1" w:styleId="CommentTextChar">
    <w:name w:val="Comment Text Char"/>
    <w:basedOn w:val="DefaultParagraphFont"/>
    <w:link w:val="CommentText"/>
    <w:semiHidden/>
    <w:rsid w:val="009A3899"/>
    <w:rPr>
      <w:rFonts w:ascii="Times New Roman" w:eastAsia="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9A3899"/>
    <w:rPr>
      <w:b/>
      <w:bCs/>
    </w:rPr>
  </w:style>
  <w:style w:type="character" w:customStyle="1" w:styleId="CommentSubjectChar">
    <w:name w:val="Comment Subject Char"/>
    <w:basedOn w:val="CommentTextChar"/>
    <w:link w:val="CommentSubject"/>
    <w:uiPriority w:val="99"/>
    <w:semiHidden/>
    <w:rsid w:val="009A3899"/>
    <w:rPr>
      <w:rFonts w:ascii="Times New Roman" w:eastAsia="Times New Roman" w:hAnsi="Times New Roman"/>
      <w:b/>
      <w:bCs/>
      <w:sz w:val="20"/>
      <w:szCs w:val="20"/>
    </w:rPr>
  </w:style>
  <w:style w:type="paragraph" w:customStyle="1" w:styleId="ContinuedParagraph">
    <w:name w:val="ContinuedParagraph"/>
    <w:basedOn w:val="Paragraph"/>
    <w:rsid w:val="009A3899"/>
    <w:pPr>
      <w:ind w:firstLine="0"/>
    </w:pPr>
  </w:style>
  <w:style w:type="character" w:customStyle="1" w:styleId="ContractNumber">
    <w:name w:val="Contract Number"/>
    <w:basedOn w:val="DefaultParagraphFont"/>
    <w:rsid w:val="009A3899"/>
    <w:rPr>
      <w:sz w:val="24"/>
      <w:szCs w:val="24"/>
      <w:bdr w:val="none" w:sz="0" w:space="0" w:color="auto"/>
      <w:shd w:val="clear" w:color="auto" w:fill="CCFFCC"/>
    </w:rPr>
  </w:style>
  <w:style w:type="character" w:customStyle="1" w:styleId="ContractSponsor">
    <w:name w:val="Contract Sponsor"/>
    <w:basedOn w:val="DefaultParagraphFont"/>
    <w:rsid w:val="009A3899"/>
    <w:rPr>
      <w:sz w:val="24"/>
      <w:szCs w:val="24"/>
      <w:bdr w:val="none" w:sz="0" w:space="0" w:color="auto"/>
      <w:shd w:val="clear" w:color="auto" w:fill="FFCC99"/>
    </w:rPr>
  </w:style>
  <w:style w:type="paragraph" w:customStyle="1" w:styleId="Correspondence">
    <w:name w:val="Correspondence"/>
    <w:basedOn w:val="BaseText"/>
    <w:rsid w:val="009A3899"/>
    <w:pPr>
      <w:spacing w:before="0" w:after="240"/>
    </w:pPr>
  </w:style>
  <w:style w:type="paragraph" w:customStyle="1" w:styleId="DateAccepted">
    <w:name w:val="Date Accepted"/>
    <w:basedOn w:val="BaseText"/>
    <w:rsid w:val="009A3899"/>
    <w:pPr>
      <w:spacing w:before="360"/>
    </w:pPr>
  </w:style>
  <w:style w:type="paragraph" w:customStyle="1" w:styleId="Deck">
    <w:name w:val="Deck"/>
    <w:basedOn w:val="BaseHeading"/>
    <w:rsid w:val="009A3899"/>
    <w:pPr>
      <w:outlineLvl w:val="1"/>
    </w:pPr>
  </w:style>
  <w:style w:type="paragraph" w:customStyle="1" w:styleId="DefTerm">
    <w:name w:val="DefTerm"/>
    <w:basedOn w:val="BaseText"/>
    <w:rsid w:val="009A3899"/>
    <w:pPr>
      <w:ind w:left="720"/>
    </w:pPr>
  </w:style>
  <w:style w:type="paragraph" w:customStyle="1" w:styleId="Definition">
    <w:name w:val="Definition"/>
    <w:basedOn w:val="DefTerm"/>
    <w:rsid w:val="009A3899"/>
    <w:pPr>
      <w:ind w:left="1080" w:hanging="360"/>
    </w:pPr>
  </w:style>
  <w:style w:type="paragraph" w:customStyle="1" w:styleId="DefListTitle">
    <w:name w:val="DefListTitle"/>
    <w:basedOn w:val="BaseHeading"/>
    <w:rsid w:val="009A3899"/>
  </w:style>
  <w:style w:type="paragraph" w:customStyle="1" w:styleId="discipline">
    <w:name w:val="discipline"/>
    <w:basedOn w:val="BaseText"/>
    <w:rsid w:val="009A3899"/>
    <w:pPr>
      <w:jc w:val="right"/>
    </w:pPr>
    <w:rPr>
      <w:color w:val="993366"/>
    </w:rPr>
  </w:style>
  <w:style w:type="paragraph" w:customStyle="1" w:styleId="Editors">
    <w:name w:val="Editors"/>
    <w:basedOn w:val="Authors"/>
    <w:rsid w:val="009A3899"/>
  </w:style>
  <w:style w:type="character" w:styleId="Emphasis">
    <w:name w:val="Emphasis"/>
    <w:basedOn w:val="DefaultParagraphFont"/>
    <w:uiPriority w:val="20"/>
    <w:qFormat/>
    <w:rsid w:val="009A3899"/>
    <w:rPr>
      <w:i/>
      <w:iCs/>
    </w:rPr>
  </w:style>
  <w:style w:type="character" w:styleId="EndnoteReference">
    <w:name w:val="endnote reference"/>
    <w:basedOn w:val="DefaultParagraphFont"/>
    <w:semiHidden/>
    <w:rsid w:val="009A3899"/>
    <w:rPr>
      <w:vertAlign w:val="superscript"/>
    </w:rPr>
  </w:style>
  <w:style w:type="paragraph" w:styleId="EndnoteText">
    <w:name w:val="endnote text"/>
    <w:basedOn w:val="Normal"/>
    <w:link w:val="EndnoteTextChar"/>
    <w:semiHidden/>
    <w:rsid w:val="009A3899"/>
    <w:rPr>
      <w:rFonts w:ascii="Cambria" w:eastAsia="Cambria" w:hAnsi="Cambria"/>
    </w:rPr>
  </w:style>
  <w:style w:type="character" w:customStyle="1" w:styleId="EndnoteTextChar">
    <w:name w:val="Endnote Text Char"/>
    <w:basedOn w:val="DefaultParagraphFont"/>
    <w:link w:val="EndnoteText"/>
    <w:semiHidden/>
    <w:rsid w:val="009A3899"/>
    <w:rPr>
      <w:rFonts w:ascii="Cambria" w:eastAsia="Cambria" w:hAnsi="Cambria"/>
      <w:sz w:val="20"/>
      <w:szCs w:val="20"/>
    </w:rPr>
  </w:style>
  <w:style w:type="character" w:customStyle="1" w:styleId="eqno">
    <w:name w:val="eq_no"/>
    <w:basedOn w:val="citebase"/>
    <w:rsid w:val="009A3899"/>
    <w:rPr>
      <w:sz w:val="24"/>
    </w:rPr>
  </w:style>
  <w:style w:type="paragraph" w:customStyle="1" w:styleId="Equation">
    <w:name w:val="Equation"/>
    <w:basedOn w:val="BaseText"/>
    <w:rsid w:val="009A3899"/>
    <w:pPr>
      <w:jc w:val="center"/>
    </w:pPr>
  </w:style>
  <w:style w:type="paragraph" w:customStyle="1" w:styleId="FieldCodes">
    <w:name w:val="FieldCodes"/>
    <w:basedOn w:val="BaseText"/>
    <w:rsid w:val="009A3899"/>
  </w:style>
  <w:style w:type="paragraph" w:customStyle="1" w:styleId="Legend">
    <w:name w:val="Legend"/>
    <w:basedOn w:val="BaseHeading"/>
    <w:rsid w:val="009A3899"/>
    <w:rPr>
      <w:sz w:val="24"/>
      <w:szCs w:val="24"/>
    </w:rPr>
  </w:style>
  <w:style w:type="paragraph" w:customStyle="1" w:styleId="FigureCopyright">
    <w:name w:val="FigureCopyright"/>
    <w:basedOn w:val="Legend"/>
    <w:rsid w:val="009A3899"/>
    <w:pPr>
      <w:autoSpaceDE w:val="0"/>
      <w:autoSpaceDN w:val="0"/>
      <w:adjustRightInd w:val="0"/>
      <w:spacing w:before="80"/>
    </w:pPr>
    <w:rPr>
      <w:lang w:bidi="he-IL"/>
    </w:rPr>
  </w:style>
  <w:style w:type="paragraph" w:customStyle="1" w:styleId="FigureCredit">
    <w:name w:val="FigureCredit"/>
    <w:basedOn w:val="FigureCopyright"/>
    <w:rsid w:val="009A3899"/>
  </w:style>
  <w:style w:type="character" w:styleId="FollowedHyperlink">
    <w:name w:val="FollowedHyperlink"/>
    <w:basedOn w:val="DefaultParagraphFont"/>
    <w:rsid w:val="009A3899"/>
    <w:rPr>
      <w:color w:val="800080"/>
      <w:u w:val="single"/>
    </w:rPr>
  </w:style>
  <w:style w:type="paragraph" w:styleId="Footer">
    <w:name w:val="footer"/>
    <w:basedOn w:val="Normal"/>
    <w:link w:val="FooterChar"/>
    <w:rsid w:val="009A3899"/>
    <w:pPr>
      <w:tabs>
        <w:tab w:val="center" w:pos="4320"/>
        <w:tab w:val="right" w:pos="8640"/>
      </w:tabs>
    </w:pPr>
    <w:rPr>
      <w:rFonts w:eastAsia="Times New Roman"/>
    </w:rPr>
  </w:style>
  <w:style w:type="character" w:customStyle="1" w:styleId="FooterChar">
    <w:name w:val="Footer Char"/>
    <w:basedOn w:val="DefaultParagraphFont"/>
    <w:link w:val="Footer"/>
    <w:rsid w:val="009A3899"/>
    <w:rPr>
      <w:rFonts w:ascii="Times New Roman" w:eastAsia="Times New Roman" w:hAnsi="Times New Roman"/>
      <w:sz w:val="20"/>
      <w:szCs w:val="20"/>
    </w:rPr>
  </w:style>
  <w:style w:type="character" w:styleId="FootnoteReference">
    <w:name w:val="footnote reference"/>
    <w:basedOn w:val="DefaultParagraphFont"/>
    <w:semiHidden/>
    <w:rsid w:val="009A3899"/>
    <w:rPr>
      <w:vertAlign w:val="superscript"/>
    </w:rPr>
  </w:style>
  <w:style w:type="paragraph" w:customStyle="1" w:styleId="Gloss">
    <w:name w:val="Gloss"/>
    <w:basedOn w:val="AbstractSummary"/>
    <w:rsid w:val="009A3899"/>
  </w:style>
  <w:style w:type="paragraph" w:customStyle="1" w:styleId="Glossary">
    <w:name w:val="Glossary"/>
    <w:basedOn w:val="BaseText"/>
    <w:rsid w:val="009A3899"/>
  </w:style>
  <w:style w:type="paragraph" w:customStyle="1" w:styleId="GlossHead">
    <w:name w:val="GlossHead"/>
    <w:basedOn w:val="AbstractHead"/>
    <w:rsid w:val="009A3899"/>
  </w:style>
  <w:style w:type="paragraph" w:customStyle="1" w:styleId="GraphicAltText">
    <w:name w:val="GraphicAltText"/>
    <w:basedOn w:val="Legend"/>
    <w:rsid w:val="009A3899"/>
    <w:pPr>
      <w:autoSpaceDE w:val="0"/>
      <w:autoSpaceDN w:val="0"/>
      <w:adjustRightInd w:val="0"/>
    </w:pPr>
  </w:style>
  <w:style w:type="paragraph" w:customStyle="1" w:styleId="GraphicCredit">
    <w:name w:val="GraphicCredit"/>
    <w:basedOn w:val="FigureCredit"/>
    <w:rsid w:val="009A3899"/>
  </w:style>
  <w:style w:type="paragraph" w:customStyle="1" w:styleId="Head">
    <w:name w:val="Head"/>
    <w:basedOn w:val="BaseHeading"/>
    <w:rsid w:val="009A3899"/>
    <w:pPr>
      <w:spacing w:before="120" w:after="120"/>
      <w:jc w:val="center"/>
    </w:pPr>
    <w:rPr>
      <w:b/>
      <w:bCs/>
    </w:rPr>
  </w:style>
  <w:style w:type="paragraph" w:styleId="Header">
    <w:name w:val="header"/>
    <w:basedOn w:val="Normal"/>
    <w:link w:val="HeaderChar"/>
    <w:rsid w:val="009A3899"/>
    <w:pPr>
      <w:tabs>
        <w:tab w:val="center" w:pos="4320"/>
        <w:tab w:val="right" w:pos="8640"/>
      </w:tabs>
    </w:pPr>
    <w:rPr>
      <w:rFonts w:eastAsia="Times New Roman"/>
    </w:rPr>
  </w:style>
  <w:style w:type="character" w:customStyle="1" w:styleId="HeaderChar">
    <w:name w:val="Header Char"/>
    <w:basedOn w:val="DefaultParagraphFont"/>
    <w:link w:val="Header"/>
    <w:rsid w:val="009A3899"/>
    <w:rPr>
      <w:rFonts w:ascii="Times New Roman" w:eastAsia="Times New Roman" w:hAnsi="Times New Roman"/>
      <w:sz w:val="20"/>
      <w:szCs w:val="20"/>
    </w:rPr>
  </w:style>
  <w:style w:type="character" w:styleId="HTMLAcronym">
    <w:name w:val="HTML Acronym"/>
    <w:basedOn w:val="DefaultParagraphFont"/>
    <w:rsid w:val="009A3899"/>
  </w:style>
  <w:style w:type="character" w:styleId="HTMLCite">
    <w:name w:val="HTML Cite"/>
    <w:basedOn w:val="DefaultParagraphFont"/>
    <w:rsid w:val="009A3899"/>
    <w:rPr>
      <w:i/>
      <w:iCs/>
    </w:rPr>
  </w:style>
  <w:style w:type="character" w:styleId="HTMLCode">
    <w:name w:val="HTML Code"/>
    <w:basedOn w:val="DefaultParagraphFont"/>
    <w:rsid w:val="009A3899"/>
    <w:rPr>
      <w:rFonts w:ascii="Courier New" w:hAnsi="Courier New" w:cs="Courier New"/>
      <w:sz w:val="20"/>
      <w:szCs w:val="20"/>
    </w:rPr>
  </w:style>
  <w:style w:type="character" w:styleId="HTMLDefinition">
    <w:name w:val="HTML Definition"/>
    <w:basedOn w:val="DefaultParagraphFont"/>
    <w:rsid w:val="009A3899"/>
    <w:rPr>
      <w:i/>
      <w:iCs/>
    </w:rPr>
  </w:style>
  <w:style w:type="character" w:styleId="HTMLKeyboard">
    <w:name w:val="HTML Keyboard"/>
    <w:basedOn w:val="DefaultParagraphFont"/>
    <w:rsid w:val="009A3899"/>
    <w:rPr>
      <w:rFonts w:ascii="Courier New" w:hAnsi="Courier New" w:cs="Courier New"/>
      <w:sz w:val="20"/>
      <w:szCs w:val="20"/>
    </w:rPr>
  </w:style>
  <w:style w:type="paragraph" w:styleId="HTMLPreformatted">
    <w:name w:val="HTML Preformatted"/>
    <w:basedOn w:val="Normal"/>
    <w:link w:val="HTMLPreformattedChar"/>
    <w:rsid w:val="009A3899"/>
    <w:rPr>
      <w:rFonts w:ascii="Consolas" w:eastAsia="Times New Roman" w:hAnsi="Consolas"/>
    </w:rPr>
  </w:style>
  <w:style w:type="character" w:customStyle="1" w:styleId="HTMLPreformattedChar">
    <w:name w:val="HTML Preformatted Char"/>
    <w:basedOn w:val="DefaultParagraphFont"/>
    <w:link w:val="HTMLPreformatted"/>
    <w:rsid w:val="009A3899"/>
    <w:rPr>
      <w:rFonts w:ascii="Consolas" w:eastAsia="Times New Roman" w:hAnsi="Consolas"/>
      <w:sz w:val="20"/>
      <w:szCs w:val="20"/>
    </w:rPr>
  </w:style>
  <w:style w:type="character" w:styleId="HTMLSample">
    <w:name w:val="HTML Sample"/>
    <w:basedOn w:val="DefaultParagraphFont"/>
    <w:rsid w:val="009A3899"/>
    <w:rPr>
      <w:rFonts w:ascii="Courier New" w:hAnsi="Courier New" w:cs="Courier New"/>
    </w:rPr>
  </w:style>
  <w:style w:type="character" w:styleId="HTMLTypewriter">
    <w:name w:val="HTML Typewriter"/>
    <w:basedOn w:val="DefaultParagraphFont"/>
    <w:rsid w:val="009A3899"/>
    <w:rPr>
      <w:rFonts w:ascii="Courier New" w:hAnsi="Courier New" w:cs="Courier New"/>
      <w:sz w:val="20"/>
      <w:szCs w:val="20"/>
    </w:rPr>
  </w:style>
  <w:style w:type="character" w:styleId="HTMLVariable">
    <w:name w:val="HTML Variable"/>
    <w:basedOn w:val="DefaultParagraphFont"/>
    <w:rsid w:val="009A3899"/>
    <w:rPr>
      <w:i/>
      <w:iCs/>
    </w:rPr>
  </w:style>
  <w:style w:type="character" w:styleId="Hyperlink">
    <w:name w:val="Hyperlink"/>
    <w:basedOn w:val="DefaultParagraphFont"/>
    <w:rsid w:val="009A3899"/>
    <w:rPr>
      <w:color w:val="0000FF"/>
      <w:u w:val="single"/>
    </w:rPr>
  </w:style>
  <w:style w:type="paragraph" w:customStyle="1" w:styleId="InstructionsText">
    <w:name w:val="Instructions Text"/>
    <w:basedOn w:val="BaseText"/>
    <w:rsid w:val="009A3899"/>
  </w:style>
  <w:style w:type="paragraph" w:customStyle="1" w:styleId="Overline">
    <w:name w:val="Overline"/>
    <w:basedOn w:val="BaseText"/>
    <w:rsid w:val="009A3899"/>
  </w:style>
  <w:style w:type="paragraph" w:customStyle="1" w:styleId="IssueName">
    <w:name w:val="IssueName"/>
    <w:basedOn w:val="Overline"/>
    <w:rsid w:val="009A3899"/>
  </w:style>
  <w:style w:type="paragraph" w:customStyle="1" w:styleId="Keywords">
    <w:name w:val="Keywords"/>
    <w:basedOn w:val="BaseText"/>
    <w:rsid w:val="009A3899"/>
  </w:style>
  <w:style w:type="paragraph" w:customStyle="1" w:styleId="Level3Head">
    <w:name w:val="Level 3 Head"/>
    <w:basedOn w:val="BaseHeading"/>
    <w:rsid w:val="009A3899"/>
    <w:pPr>
      <w:outlineLvl w:val="2"/>
    </w:pPr>
    <w:rPr>
      <w:sz w:val="24"/>
      <w:szCs w:val="24"/>
      <w:u w:val="single"/>
    </w:rPr>
  </w:style>
  <w:style w:type="paragraph" w:customStyle="1" w:styleId="Level4Head">
    <w:name w:val="Level 4 Head"/>
    <w:basedOn w:val="BaseHeading"/>
    <w:rsid w:val="009A3899"/>
    <w:pPr>
      <w:ind w:left="346"/>
    </w:pPr>
    <w:rPr>
      <w:sz w:val="24"/>
      <w:szCs w:val="24"/>
    </w:rPr>
  </w:style>
  <w:style w:type="character" w:styleId="LineNumber">
    <w:name w:val="line number"/>
    <w:basedOn w:val="DefaultParagraphFont"/>
    <w:rsid w:val="009A3899"/>
  </w:style>
  <w:style w:type="paragraph" w:customStyle="1" w:styleId="Literaryquote">
    <w:name w:val="Literary quote"/>
    <w:basedOn w:val="BaseText"/>
    <w:rsid w:val="009A3899"/>
    <w:pPr>
      <w:ind w:left="1440" w:right="1440"/>
    </w:pPr>
  </w:style>
  <w:style w:type="paragraph" w:customStyle="1" w:styleId="MaterialsText">
    <w:name w:val="Materials Text"/>
    <w:basedOn w:val="BaseText"/>
    <w:rsid w:val="009A3899"/>
  </w:style>
  <w:style w:type="paragraph" w:customStyle="1" w:styleId="NoteInProof">
    <w:name w:val="NoteInProof"/>
    <w:basedOn w:val="BaseText"/>
    <w:rsid w:val="009A3899"/>
  </w:style>
  <w:style w:type="paragraph" w:customStyle="1" w:styleId="Notes">
    <w:name w:val="Notes"/>
    <w:basedOn w:val="BaseText"/>
    <w:rsid w:val="009A3899"/>
    <w:rPr>
      <w:i/>
    </w:rPr>
  </w:style>
  <w:style w:type="paragraph" w:customStyle="1" w:styleId="Notes-Helvetica">
    <w:name w:val="Notes-Helvetica"/>
    <w:basedOn w:val="BaseText"/>
    <w:rsid w:val="009A3899"/>
    <w:rPr>
      <w:i/>
    </w:rPr>
  </w:style>
  <w:style w:type="paragraph" w:customStyle="1" w:styleId="NumberedInstructions">
    <w:name w:val="Numbered Instructions"/>
    <w:basedOn w:val="BaseText"/>
    <w:rsid w:val="009A3899"/>
  </w:style>
  <w:style w:type="paragraph" w:customStyle="1" w:styleId="OutlineLevel1">
    <w:name w:val="OutlineLevel1"/>
    <w:basedOn w:val="BaseHeading"/>
    <w:rsid w:val="009A3899"/>
    <w:rPr>
      <w:b/>
      <w:bCs/>
    </w:rPr>
  </w:style>
  <w:style w:type="paragraph" w:customStyle="1" w:styleId="OutlineLevel2">
    <w:name w:val="OutlineLevel2"/>
    <w:basedOn w:val="BaseHeading"/>
    <w:rsid w:val="009A3899"/>
    <w:pPr>
      <w:ind w:left="360"/>
      <w:outlineLvl w:val="1"/>
    </w:pPr>
    <w:rPr>
      <w:b/>
      <w:bCs/>
      <w:sz w:val="24"/>
      <w:szCs w:val="24"/>
    </w:rPr>
  </w:style>
  <w:style w:type="paragraph" w:customStyle="1" w:styleId="OutlineLevel3">
    <w:name w:val="OutlineLevel3"/>
    <w:basedOn w:val="BaseHeading"/>
    <w:rsid w:val="009A3899"/>
    <w:pPr>
      <w:ind w:left="720"/>
      <w:outlineLvl w:val="2"/>
    </w:pPr>
    <w:rPr>
      <w:b/>
      <w:bCs/>
      <w:sz w:val="24"/>
      <w:szCs w:val="24"/>
    </w:rPr>
  </w:style>
  <w:style w:type="character" w:styleId="PageNumber">
    <w:name w:val="page number"/>
    <w:basedOn w:val="DefaultParagraphFont"/>
    <w:rsid w:val="009A3899"/>
  </w:style>
  <w:style w:type="paragraph" w:customStyle="1" w:styleId="Preformat">
    <w:name w:val="Preformat"/>
    <w:basedOn w:val="BaseText"/>
    <w:rsid w:val="009A3899"/>
    <w:pPr>
      <w:tabs>
        <w:tab w:val="left" w:pos="360"/>
        <w:tab w:val="left" w:pos="720"/>
        <w:tab w:val="left" w:pos="1080"/>
        <w:tab w:val="left" w:pos="1440"/>
        <w:tab w:val="left" w:pos="1800"/>
        <w:tab w:val="left" w:pos="2160"/>
        <w:tab w:val="left" w:pos="2520"/>
        <w:tab w:val="left" w:pos="2880"/>
      </w:tabs>
    </w:pPr>
    <w:rPr>
      <w:rFonts w:ascii="Courier New" w:hAnsi="Courier New" w:cs="Courier New"/>
    </w:rPr>
  </w:style>
  <w:style w:type="paragraph" w:customStyle="1" w:styleId="ProductAuthors">
    <w:name w:val="ProductAuthors"/>
    <w:basedOn w:val="BaseText"/>
    <w:rsid w:val="009A3899"/>
  </w:style>
  <w:style w:type="paragraph" w:customStyle="1" w:styleId="ProductInformation">
    <w:name w:val="ProductInformation"/>
    <w:basedOn w:val="BaseText"/>
    <w:rsid w:val="009A3899"/>
  </w:style>
  <w:style w:type="paragraph" w:customStyle="1" w:styleId="ProductTitle">
    <w:name w:val="ProductTitle"/>
    <w:basedOn w:val="BaseText"/>
    <w:rsid w:val="009A3899"/>
    <w:rPr>
      <w:b/>
      <w:bCs/>
    </w:rPr>
  </w:style>
  <w:style w:type="paragraph" w:customStyle="1" w:styleId="PublishedOnline">
    <w:name w:val="Published Online"/>
    <w:basedOn w:val="DateAccepted"/>
    <w:rsid w:val="009A3899"/>
  </w:style>
  <w:style w:type="paragraph" w:customStyle="1" w:styleId="RecipeMaterials">
    <w:name w:val="Recipe Materials"/>
    <w:basedOn w:val="BaseText"/>
    <w:rsid w:val="009A3899"/>
  </w:style>
  <w:style w:type="paragraph" w:customStyle="1" w:styleId="Refhead">
    <w:name w:val="Ref head"/>
    <w:basedOn w:val="BaseHeading"/>
    <w:rsid w:val="009A3899"/>
    <w:pPr>
      <w:spacing w:before="120" w:after="120"/>
    </w:pPr>
    <w:rPr>
      <w:b/>
      <w:bCs/>
      <w:sz w:val="24"/>
      <w:szCs w:val="24"/>
    </w:rPr>
  </w:style>
  <w:style w:type="paragraph" w:customStyle="1" w:styleId="ReferenceNote">
    <w:name w:val="Reference Note"/>
    <w:basedOn w:val="Referencesandnotes"/>
    <w:rsid w:val="009A3899"/>
  </w:style>
  <w:style w:type="paragraph" w:customStyle="1" w:styleId="ReferencesandnotesLong">
    <w:name w:val="References and notes Long"/>
    <w:basedOn w:val="BaseText"/>
    <w:rsid w:val="009A3899"/>
    <w:pPr>
      <w:ind w:left="720" w:hanging="720"/>
    </w:pPr>
  </w:style>
  <w:style w:type="paragraph" w:customStyle="1" w:styleId="region">
    <w:name w:val="region"/>
    <w:basedOn w:val="BaseText"/>
    <w:rsid w:val="009A3899"/>
    <w:pPr>
      <w:jc w:val="right"/>
    </w:pPr>
    <w:rPr>
      <w:color w:val="0000FF"/>
    </w:rPr>
  </w:style>
  <w:style w:type="paragraph" w:customStyle="1" w:styleId="RelatedArticle">
    <w:name w:val="RelatedArticle"/>
    <w:basedOn w:val="Referencesandnotes"/>
    <w:rsid w:val="009A3899"/>
  </w:style>
  <w:style w:type="paragraph" w:customStyle="1" w:styleId="RunHead">
    <w:name w:val="RunHead"/>
    <w:basedOn w:val="BaseText"/>
    <w:rsid w:val="009A3899"/>
  </w:style>
  <w:style w:type="paragraph" w:customStyle="1" w:styleId="SOMContent">
    <w:name w:val="SOMContent"/>
    <w:basedOn w:val="1stparatext"/>
    <w:rsid w:val="009A3899"/>
  </w:style>
  <w:style w:type="paragraph" w:customStyle="1" w:styleId="SOMHead">
    <w:name w:val="SOMHead"/>
    <w:basedOn w:val="BaseHeading"/>
    <w:rsid w:val="009A3899"/>
    <w:rPr>
      <w:b/>
      <w:sz w:val="24"/>
      <w:szCs w:val="24"/>
    </w:rPr>
  </w:style>
  <w:style w:type="paragraph" w:customStyle="1" w:styleId="Speaker">
    <w:name w:val="Speaker"/>
    <w:basedOn w:val="Paragraph"/>
    <w:rsid w:val="009A3899"/>
    <w:pPr>
      <w:autoSpaceDE w:val="0"/>
      <w:autoSpaceDN w:val="0"/>
      <w:adjustRightInd w:val="0"/>
    </w:pPr>
    <w:rPr>
      <w:b/>
      <w:lang w:bidi="he-IL"/>
    </w:rPr>
  </w:style>
  <w:style w:type="paragraph" w:customStyle="1" w:styleId="Speech">
    <w:name w:val="Speech"/>
    <w:basedOn w:val="Paragraph"/>
    <w:rsid w:val="009A3899"/>
    <w:pPr>
      <w:autoSpaceDE w:val="0"/>
      <w:autoSpaceDN w:val="0"/>
      <w:adjustRightInd w:val="0"/>
    </w:pPr>
    <w:rPr>
      <w:lang w:bidi="he-IL"/>
    </w:rPr>
  </w:style>
  <w:style w:type="character" w:styleId="Strong">
    <w:name w:val="Strong"/>
    <w:basedOn w:val="DefaultParagraphFont"/>
    <w:uiPriority w:val="22"/>
    <w:qFormat/>
    <w:rsid w:val="009A3899"/>
    <w:rPr>
      <w:b/>
      <w:bCs/>
    </w:rPr>
  </w:style>
  <w:style w:type="paragraph" w:customStyle="1" w:styleId="SX-Abstract">
    <w:name w:val="SX-Abstract"/>
    <w:basedOn w:val="Normal"/>
    <w:qFormat/>
    <w:rsid w:val="009A3899"/>
    <w:pPr>
      <w:widowControl w:val="0"/>
      <w:spacing w:before="120" w:after="240" w:line="210" w:lineRule="exact"/>
      <w:ind w:left="700" w:right="700"/>
      <w:jc w:val="both"/>
    </w:pPr>
    <w:rPr>
      <w:rFonts w:ascii="BlissRegular" w:eastAsia="Times New Roman" w:hAnsi="BlissRegular"/>
      <w:b/>
    </w:rPr>
  </w:style>
  <w:style w:type="paragraph" w:customStyle="1" w:styleId="SX-Affiliation">
    <w:name w:val="SX-Affiliation"/>
    <w:basedOn w:val="Normal"/>
    <w:next w:val="Normal"/>
    <w:qFormat/>
    <w:rsid w:val="009A3899"/>
    <w:pPr>
      <w:spacing w:after="160" w:line="190" w:lineRule="exact"/>
    </w:pPr>
    <w:rPr>
      <w:rFonts w:ascii="BlissRegular" w:eastAsia="Times New Roman" w:hAnsi="BlissRegular"/>
      <w:sz w:val="16"/>
    </w:rPr>
  </w:style>
  <w:style w:type="paragraph" w:customStyle="1" w:styleId="SX-Articlehead">
    <w:name w:val="SX-Article head"/>
    <w:basedOn w:val="Normal"/>
    <w:qFormat/>
    <w:rsid w:val="009A3899"/>
    <w:pPr>
      <w:spacing w:before="210" w:line="210" w:lineRule="exact"/>
      <w:ind w:firstLine="288"/>
      <w:jc w:val="both"/>
    </w:pPr>
    <w:rPr>
      <w:rFonts w:eastAsia="Times New Roman"/>
      <w:b/>
      <w:sz w:val="18"/>
    </w:rPr>
  </w:style>
  <w:style w:type="paragraph" w:customStyle="1" w:styleId="SX-Authornames">
    <w:name w:val="SX-Author names"/>
    <w:basedOn w:val="Normal"/>
    <w:rsid w:val="009A3899"/>
    <w:pPr>
      <w:spacing w:after="120" w:line="210" w:lineRule="exact"/>
    </w:pPr>
    <w:rPr>
      <w:rFonts w:ascii="BlissMedium" w:eastAsia="Times New Roman" w:hAnsi="BlissMedium"/>
    </w:rPr>
  </w:style>
  <w:style w:type="paragraph" w:customStyle="1" w:styleId="SX-Bodytext">
    <w:name w:val="SX-Body text"/>
    <w:basedOn w:val="Normal"/>
    <w:next w:val="Normal"/>
    <w:rsid w:val="009A3899"/>
    <w:pPr>
      <w:spacing w:line="210" w:lineRule="exact"/>
      <w:ind w:firstLine="288"/>
      <w:jc w:val="both"/>
    </w:pPr>
    <w:rPr>
      <w:rFonts w:eastAsia="Times New Roman"/>
      <w:sz w:val="18"/>
    </w:rPr>
  </w:style>
  <w:style w:type="paragraph" w:customStyle="1" w:styleId="SX-Bodytextflush">
    <w:name w:val="SX-Body text flush"/>
    <w:basedOn w:val="SX-Bodytext"/>
    <w:next w:val="SX-Bodytext"/>
    <w:rsid w:val="009A3899"/>
    <w:pPr>
      <w:ind w:firstLine="0"/>
    </w:pPr>
  </w:style>
  <w:style w:type="paragraph" w:customStyle="1" w:styleId="SX-Correspondence">
    <w:name w:val="SX-Correspondence"/>
    <w:basedOn w:val="SX-Affiliation"/>
    <w:qFormat/>
    <w:rsid w:val="009A3899"/>
    <w:pPr>
      <w:spacing w:after="80"/>
    </w:pPr>
  </w:style>
  <w:style w:type="paragraph" w:customStyle="1" w:styleId="SX-Date">
    <w:name w:val="SX-Date"/>
    <w:basedOn w:val="Normal"/>
    <w:qFormat/>
    <w:rsid w:val="009A3899"/>
    <w:pPr>
      <w:spacing w:before="180" w:line="190" w:lineRule="exact"/>
      <w:ind w:left="245" w:hanging="245"/>
      <w:jc w:val="both"/>
    </w:pPr>
    <w:rPr>
      <w:rFonts w:eastAsia="Times New Roman"/>
      <w:sz w:val="16"/>
    </w:rPr>
  </w:style>
  <w:style w:type="paragraph" w:customStyle="1" w:styleId="SX-Equation">
    <w:name w:val="SX-Equation"/>
    <w:basedOn w:val="SX-Bodytextflush"/>
    <w:next w:val="SX-Bodytext"/>
    <w:rsid w:val="009A3899"/>
    <w:pPr>
      <w:autoSpaceDE w:val="0"/>
      <w:autoSpaceDN w:val="0"/>
      <w:adjustRightInd w:val="0"/>
      <w:spacing w:line="240" w:lineRule="auto"/>
      <w:jc w:val="center"/>
    </w:pPr>
  </w:style>
  <w:style w:type="paragraph" w:customStyle="1" w:styleId="SX-Legend">
    <w:name w:val="SX-Legend"/>
    <w:basedOn w:val="SX-Authornames"/>
    <w:rsid w:val="009A3899"/>
    <w:pPr>
      <w:jc w:val="both"/>
    </w:pPr>
    <w:rPr>
      <w:sz w:val="18"/>
    </w:rPr>
  </w:style>
  <w:style w:type="paragraph" w:customStyle="1" w:styleId="SX-References">
    <w:name w:val="SX-References"/>
    <w:basedOn w:val="Normal"/>
    <w:rsid w:val="009A3899"/>
    <w:pPr>
      <w:spacing w:line="190" w:lineRule="exact"/>
      <w:ind w:left="245" w:hanging="245"/>
      <w:jc w:val="both"/>
    </w:pPr>
    <w:rPr>
      <w:rFonts w:eastAsia="Times New Roman"/>
      <w:sz w:val="16"/>
    </w:rPr>
  </w:style>
  <w:style w:type="paragraph" w:customStyle="1" w:styleId="SX-RefHead">
    <w:name w:val="SX-RefHead"/>
    <w:basedOn w:val="Normal"/>
    <w:rsid w:val="009A3899"/>
    <w:pPr>
      <w:spacing w:before="200" w:line="190" w:lineRule="exact"/>
    </w:pPr>
    <w:rPr>
      <w:rFonts w:eastAsia="Times New Roman"/>
      <w:b/>
      <w:sz w:val="16"/>
    </w:rPr>
  </w:style>
  <w:style w:type="character" w:customStyle="1" w:styleId="SX-reflink">
    <w:name w:val="SX-reflink"/>
    <w:basedOn w:val="DefaultParagraphFont"/>
    <w:uiPriority w:val="1"/>
    <w:qFormat/>
    <w:rsid w:val="009A3899"/>
    <w:rPr>
      <w:color w:val="0000FF"/>
      <w:sz w:val="16"/>
      <w:u w:val="words"/>
      <w:bdr w:val="none" w:sz="0" w:space="0" w:color="auto"/>
      <w:shd w:val="clear" w:color="auto" w:fill="FFFFFF"/>
    </w:rPr>
  </w:style>
  <w:style w:type="paragraph" w:customStyle="1" w:styleId="SX-SOMHead">
    <w:name w:val="SX-SOMHead"/>
    <w:basedOn w:val="SX-RefHead"/>
    <w:rsid w:val="009A3899"/>
  </w:style>
  <w:style w:type="paragraph" w:customStyle="1" w:styleId="SX-Tablehead">
    <w:name w:val="SX-Tablehead"/>
    <w:basedOn w:val="Normal"/>
    <w:qFormat/>
    <w:rsid w:val="009A3899"/>
    <w:rPr>
      <w:rFonts w:eastAsia="Times New Roman"/>
      <w:szCs w:val="24"/>
    </w:rPr>
  </w:style>
  <w:style w:type="paragraph" w:customStyle="1" w:styleId="SX-Tablelegend">
    <w:name w:val="SX-Tablelegend"/>
    <w:basedOn w:val="Normal"/>
    <w:qFormat/>
    <w:rsid w:val="009A3899"/>
    <w:pPr>
      <w:spacing w:line="190" w:lineRule="exact"/>
      <w:ind w:left="245" w:hanging="245"/>
      <w:jc w:val="both"/>
    </w:pPr>
    <w:rPr>
      <w:rFonts w:eastAsia="Times New Roman"/>
      <w:sz w:val="16"/>
    </w:rPr>
  </w:style>
  <w:style w:type="paragraph" w:customStyle="1" w:styleId="SX-Tabletext">
    <w:name w:val="SX-Tabletext"/>
    <w:basedOn w:val="Normal"/>
    <w:qFormat/>
    <w:rsid w:val="009A3899"/>
    <w:pPr>
      <w:spacing w:line="210" w:lineRule="exact"/>
      <w:jc w:val="center"/>
    </w:pPr>
    <w:rPr>
      <w:rFonts w:eastAsia="Times New Roman"/>
      <w:sz w:val="18"/>
    </w:rPr>
  </w:style>
  <w:style w:type="paragraph" w:customStyle="1" w:styleId="SX-Tabletitle">
    <w:name w:val="SX-Tabletitle"/>
    <w:basedOn w:val="Normal"/>
    <w:qFormat/>
    <w:rsid w:val="009A3899"/>
    <w:pPr>
      <w:spacing w:after="120" w:line="210" w:lineRule="exact"/>
      <w:jc w:val="both"/>
    </w:pPr>
    <w:rPr>
      <w:rFonts w:ascii="BlissMedium" w:eastAsia="Times New Roman" w:hAnsi="BlissMedium"/>
      <w:sz w:val="18"/>
    </w:rPr>
  </w:style>
  <w:style w:type="paragraph" w:customStyle="1" w:styleId="SX-Title">
    <w:name w:val="SX-Title"/>
    <w:basedOn w:val="Normal"/>
    <w:rsid w:val="009A3899"/>
    <w:pPr>
      <w:spacing w:after="240" w:line="500" w:lineRule="exact"/>
    </w:pPr>
    <w:rPr>
      <w:rFonts w:ascii="BlissBold" w:eastAsia="Times New Roman" w:hAnsi="BlissBold"/>
      <w:b/>
      <w:sz w:val="44"/>
    </w:rPr>
  </w:style>
  <w:style w:type="paragraph" w:customStyle="1" w:styleId="Tablecolumnhead">
    <w:name w:val="Table column head"/>
    <w:basedOn w:val="BaseText"/>
    <w:rsid w:val="009A3899"/>
    <w:pPr>
      <w:spacing w:before="0"/>
    </w:pPr>
  </w:style>
  <w:style w:type="paragraph" w:customStyle="1" w:styleId="Tabletext">
    <w:name w:val="Table text"/>
    <w:basedOn w:val="BaseText"/>
    <w:rsid w:val="009A3899"/>
    <w:pPr>
      <w:spacing w:before="0"/>
    </w:pPr>
  </w:style>
  <w:style w:type="paragraph" w:customStyle="1" w:styleId="TableLegend">
    <w:name w:val="TableLegend"/>
    <w:basedOn w:val="BaseText"/>
    <w:rsid w:val="009A3899"/>
    <w:pPr>
      <w:spacing w:before="0"/>
    </w:pPr>
  </w:style>
  <w:style w:type="paragraph" w:customStyle="1" w:styleId="TableTitle">
    <w:name w:val="TableTitle"/>
    <w:basedOn w:val="BaseHeading"/>
    <w:rsid w:val="009A3899"/>
  </w:style>
  <w:style w:type="paragraph" w:customStyle="1" w:styleId="Teaser">
    <w:name w:val="Teaser"/>
    <w:basedOn w:val="BaseText"/>
    <w:rsid w:val="009A3899"/>
  </w:style>
  <w:style w:type="paragraph" w:customStyle="1" w:styleId="TWIS">
    <w:name w:val="TWIS"/>
    <w:basedOn w:val="AbstractSummary"/>
    <w:rsid w:val="009A3899"/>
    <w:pPr>
      <w:autoSpaceDE w:val="0"/>
      <w:autoSpaceDN w:val="0"/>
      <w:adjustRightInd w:val="0"/>
    </w:pPr>
  </w:style>
  <w:style w:type="paragraph" w:customStyle="1" w:styleId="TWISorEC">
    <w:name w:val="TWIS or EC"/>
    <w:basedOn w:val="Normal"/>
    <w:rsid w:val="009A3899"/>
    <w:pPr>
      <w:spacing w:line="210" w:lineRule="exact"/>
    </w:pPr>
    <w:rPr>
      <w:rFonts w:ascii="BlissRegular" w:eastAsia="Times New Roman" w:hAnsi="BlissRegular"/>
      <w:sz w:val="19"/>
    </w:rPr>
  </w:style>
  <w:style w:type="paragraph" w:customStyle="1" w:styleId="work-sector">
    <w:name w:val="work-sector"/>
    <w:basedOn w:val="BaseText"/>
    <w:rsid w:val="009A3899"/>
    <w:pPr>
      <w:jc w:val="right"/>
    </w:pPr>
    <w:rPr>
      <w:color w:val="003300"/>
    </w:rPr>
  </w:style>
  <w:style w:type="paragraph" w:customStyle="1" w:styleId="DOI">
    <w:name w:val="DOI"/>
    <w:basedOn w:val="DateAccepted"/>
    <w:qFormat/>
    <w:rsid w:val="009A7F20"/>
  </w:style>
  <w:style w:type="paragraph" w:styleId="NormalWeb">
    <w:name w:val="Normal (Web)"/>
    <w:basedOn w:val="Normal"/>
    <w:uiPriority w:val="99"/>
    <w:unhideWhenUsed/>
    <w:rsid w:val="00574A5A"/>
    <w:pPr>
      <w:spacing w:before="100" w:beforeAutospacing="1" w:after="100" w:afterAutospacing="1"/>
    </w:pPr>
    <w:rPr>
      <w:rFonts w:ascii="Times" w:eastAsiaTheme="minorEastAsia" w:hAnsi="Times"/>
    </w:rPr>
  </w:style>
  <w:style w:type="paragraph" w:styleId="ListParagraph">
    <w:name w:val="List Paragraph"/>
    <w:basedOn w:val="Normal"/>
    <w:uiPriority w:val="72"/>
    <w:qFormat/>
    <w:rsid w:val="00994DC3"/>
    <w:pPr>
      <w:ind w:left="720"/>
      <w:contextualSpacing/>
    </w:pPr>
  </w:style>
  <w:style w:type="paragraph" w:styleId="Revision">
    <w:name w:val="Revision"/>
    <w:hidden/>
    <w:uiPriority w:val="71"/>
    <w:rsid w:val="00043260"/>
    <w:rPr>
      <w:lang w:val="en-GB"/>
    </w:rPr>
  </w:style>
  <w:style w:type="paragraph" w:customStyle="1" w:styleId="SMHeading">
    <w:name w:val="SM Heading"/>
    <w:basedOn w:val="Heading1"/>
    <w:qFormat/>
    <w:rsid w:val="006E637D"/>
    <w:pPr>
      <w:keepLines w:val="0"/>
      <w:spacing w:before="240" w:after="60"/>
    </w:pPr>
    <w:rPr>
      <w:rFonts w:ascii="Times New Roman" w:eastAsia="Times New Roman" w:hAnsi="Times New Roman" w:cs="Times New Roman"/>
      <w:color w:val="auto"/>
      <w:kern w:val="32"/>
      <w:sz w:val="24"/>
      <w:szCs w:val="24"/>
      <w:lang w:val="en-US"/>
    </w:rPr>
  </w:style>
  <w:style w:type="character" w:customStyle="1" w:styleId="tgc">
    <w:name w:val="_tgc"/>
    <w:rsid w:val="006E637D"/>
  </w:style>
  <w:style w:type="character" w:customStyle="1" w:styleId="st">
    <w:name w:val="st"/>
    <w:rsid w:val="006E637D"/>
  </w:style>
  <w:style w:type="character" w:customStyle="1" w:styleId="Heading1Char">
    <w:name w:val="Heading 1 Char"/>
    <w:basedOn w:val="DefaultParagraphFont"/>
    <w:link w:val="Heading1"/>
    <w:uiPriority w:val="9"/>
    <w:rsid w:val="006E637D"/>
    <w:rPr>
      <w:rFonts w:asciiTheme="majorHAnsi" w:eastAsiaTheme="majorEastAsia" w:hAnsiTheme="majorHAnsi" w:cstheme="majorBidi"/>
      <w:b/>
      <w:bCs/>
      <w:color w:val="345A8A" w:themeColor="accent1" w:themeShade="B5"/>
      <w:sz w:val="32"/>
      <w:szCs w:val="32"/>
      <w:lang w:val="en-GB"/>
    </w:rPr>
  </w:style>
  <w:style w:type="table" w:styleId="TableGrid">
    <w:name w:val="Table Grid"/>
    <w:basedOn w:val="TableNormal"/>
    <w:uiPriority w:val="59"/>
    <w:rsid w:val="002B2CF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semiHidden/>
    <w:rsid w:val="00BA058A"/>
    <w:rPr>
      <w:rFonts w:asciiTheme="majorHAnsi" w:eastAsiaTheme="majorEastAsia" w:hAnsiTheme="majorHAnsi" w:cstheme="majorBidi"/>
      <w:b/>
      <w:bCs/>
      <w:color w:val="4F81BD" w:themeColor="accent1"/>
      <w:sz w:val="26"/>
      <w:szCs w:val="26"/>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HTML Acronym" w:uiPriority="0"/>
    <w:lsdException w:name="HTML Cite" w:uiPriority="0"/>
    <w:lsdException w:name="HTML Code" w:uiPriority="0"/>
    <w:lsdException w:name="HTML Definition" w:uiPriority="0"/>
    <w:lsdException w:name="HTML Keyboard" w:uiPriority="0"/>
    <w:lsdException w:name="HTML Preformatted" w:uiPriority="0"/>
    <w:lsdException w:name="HTML Sample" w:uiPriority="0"/>
    <w:lsdException w:name="HTML Typewriter" w:uiPriority="0"/>
    <w:lsdException w:name="HTML Variable" w:uiPriority="0"/>
    <w:lsdException w:name="Balloon Text" w:uiPriority="0"/>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9A7F20"/>
    <w:rPr>
      <w:lang w:val="en-GB"/>
    </w:rPr>
  </w:style>
  <w:style w:type="paragraph" w:styleId="Heading1">
    <w:name w:val="heading 1"/>
    <w:basedOn w:val="Normal"/>
    <w:next w:val="Normal"/>
    <w:link w:val="Heading1Char"/>
    <w:uiPriority w:val="9"/>
    <w:qFormat/>
    <w:rsid w:val="006E637D"/>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semiHidden/>
    <w:unhideWhenUsed/>
    <w:qFormat/>
    <w:rsid w:val="00BA058A"/>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eText">
    <w:name w:val="Base_Text"/>
    <w:rsid w:val="009A3899"/>
    <w:pPr>
      <w:spacing w:before="120"/>
    </w:pPr>
    <w:rPr>
      <w:rFonts w:eastAsia="Times New Roman"/>
      <w:sz w:val="24"/>
      <w:szCs w:val="24"/>
    </w:rPr>
  </w:style>
  <w:style w:type="paragraph" w:customStyle="1" w:styleId="1stparatext">
    <w:name w:val="1st para text"/>
    <w:basedOn w:val="BaseText"/>
    <w:rsid w:val="009A3899"/>
  </w:style>
  <w:style w:type="paragraph" w:customStyle="1" w:styleId="BaseHeading">
    <w:name w:val="Base_Heading"/>
    <w:rsid w:val="009A3899"/>
    <w:pPr>
      <w:keepNext/>
      <w:spacing w:before="240"/>
      <w:outlineLvl w:val="0"/>
    </w:pPr>
    <w:rPr>
      <w:rFonts w:eastAsia="Times New Roman"/>
      <w:kern w:val="28"/>
      <w:sz w:val="28"/>
      <w:szCs w:val="28"/>
    </w:rPr>
  </w:style>
  <w:style w:type="paragraph" w:customStyle="1" w:styleId="AbstractHead">
    <w:name w:val="Abstract Head"/>
    <w:basedOn w:val="BaseHeading"/>
    <w:rsid w:val="009A3899"/>
  </w:style>
  <w:style w:type="paragraph" w:customStyle="1" w:styleId="AbstractSummary">
    <w:name w:val="Abstract/Summary"/>
    <w:basedOn w:val="BaseText"/>
    <w:rsid w:val="009A3899"/>
  </w:style>
  <w:style w:type="paragraph" w:customStyle="1" w:styleId="Referencesandnotes">
    <w:name w:val="References and notes"/>
    <w:basedOn w:val="BaseText"/>
    <w:rsid w:val="009A3899"/>
    <w:pPr>
      <w:ind w:left="720" w:hanging="720"/>
    </w:pPr>
  </w:style>
  <w:style w:type="paragraph" w:customStyle="1" w:styleId="Acknowledgement">
    <w:name w:val="Acknowledgement"/>
    <w:basedOn w:val="Referencesandnotes"/>
    <w:rsid w:val="009A3899"/>
  </w:style>
  <w:style w:type="paragraph" w:customStyle="1" w:styleId="Subhead">
    <w:name w:val="Subhead"/>
    <w:basedOn w:val="BaseHeading"/>
    <w:rsid w:val="009A3899"/>
    <w:rPr>
      <w:b/>
      <w:bCs/>
      <w:sz w:val="24"/>
      <w:szCs w:val="24"/>
    </w:rPr>
  </w:style>
  <w:style w:type="paragraph" w:customStyle="1" w:styleId="AppendixHead">
    <w:name w:val="AppendixHead"/>
    <w:basedOn w:val="Subhead"/>
    <w:rsid w:val="009A3899"/>
  </w:style>
  <w:style w:type="paragraph" w:customStyle="1" w:styleId="AppendixSubhead">
    <w:name w:val="AppendixSubhead"/>
    <w:basedOn w:val="Subhead"/>
    <w:rsid w:val="009A3899"/>
  </w:style>
  <w:style w:type="paragraph" w:customStyle="1" w:styleId="Articletype">
    <w:name w:val="Article type"/>
    <w:basedOn w:val="BaseText"/>
    <w:rsid w:val="009A3899"/>
  </w:style>
  <w:style w:type="character" w:customStyle="1" w:styleId="aubase">
    <w:name w:val="au_base"/>
    <w:rsid w:val="009A3899"/>
    <w:rPr>
      <w:sz w:val="24"/>
    </w:rPr>
  </w:style>
  <w:style w:type="character" w:customStyle="1" w:styleId="aucollab">
    <w:name w:val="au_collab"/>
    <w:basedOn w:val="aubase"/>
    <w:rsid w:val="009A3899"/>
    <w:rPr>
      <w:sz w:val="24"/>
      <w:bdr w:val="none" w:sz="0" w:space="0" w:color="auto"/>
      <w:shd w:val="clear" w:color="auto" w:fill="C0C0C0"/>
    </w:rPr>
  </w:style>
  <w:style w:type="character" w:customStyle="1" w:styleId="audeg">
    <w:name w:val="au_deg"/>
    <w:basedOn w:val="DefaultParagraphFont"/>
    <w:rsid w:val="009A3899"/>
    <w:rPr>
      <w:sz w:val="24"/>
      <w:bdr w:val="none" w:sz="0" w:space="0" w:color="auto"/>
      <w:shd w:val="clear" w:color="auto" w:fill="FFFF00"/>
    </w:rPr>
  </w:style>
  <w:style w:type="character" w:customStyle="1" w:styleId="aufname">
    <w:name w:val="au_fname"/>
    <w:basedOn w:val="aubase"/>
    <w:rsid w:val="009A3899"/>
    <w:rPr>
      <w:sz w:val="24"/>
      <w:bdr w:val="none" w:sz="0" w:space="0" w:color="auto"/>
      <w:shd w:val="clear" w:color="auto" w:fill="00FFFF"/>
    </w:rPr>
  </w:style>
  <w:style w:type="character" w:customStyle="1" w:styleId="aurole">
    <w:name w:val="au_role"/>
    <w:basedOn w:val="aubase"/>
    <w:rsid w:val="009A3899"/>
    <w:rPr>
      <w:sz w:val="24"/>
      <w:bdr w:val="none" w:sz="0" w:space="0" w:color="auto"/>
      <w:shd w:val="clear" w:color="auto" w:fill="808000"/>
    </w:rPr>
  </w:style>
  <w:style w:type="character" w:customStyle="1" w:styleId="ausuffix">
    <w:name w:val="au_suffix"/>
    <w:basedOn w:val="aubase"/>
    <w:rsid w:val="009A3899"/>
    <w:rPr>
      <w:sz w:val="24"/>
      <w:bdr w:val="none" w:sz="0" w:space="0" w:color="auto"/>
      <w:shd w:val="clear" w:color="auto" w:fill="FF00FF"/>
    </w:rPr>
  </w:style>
  <w:style w:type="character" w:customStyle="1" w:styleId="ausurname">
    <w:name w:val="au_surname"/>
    <w:basedOn w:val="aubase"/>
    <w:rsid w:val="009A3899"/>
    <w:rPr>
      <w:sz w:val="24"/>
      <w:bdr w:val="none" w:sz="0" w:space="0" w:color="auto"/>
      <w:shd w:val="clear" w:color="auto" w:fill="00FF00"/>
    </w:rPr>
  </w:style>
  <w:style w:type="paragraph" w:customStyle="1" w:styleId="AuthorAttribute">
    <w:name w:val="Author Attribute"/>
    <w:basedOn w:val="BaseText"/>
    <w:rsid w:val="009A3899"/>
    <w:pPr>
      <w:spacing w:before="480"/>
    </w:pPr>
  </w:style>
  <w:style w:type="paragraph" w:customStyle="1" w:styleId="Footnote">
    <w:name w:val="Footnote"/>
    <w:basedOn w:val="BaseText"/>
    <w:rsid w:val="009A3899"/>
  </w:style>
  <w:style w:type="paragraph" w:customStyle="1" w:styleId="AuthorFootnote">
    <w:name w:val="AuthorFootnote"/>
    <w:basedOn w:val="Footnote"/>
    <w:rsid w:val="009A3899"/>
    <w:pPr>
      <w:autoSpaceDE w:val="0"/>
      <w:autoSpaceDN w:val="0"/>
      <w:adjustRightInd w:val="0"/>
    </w:pPr>
    <w:rPr>
      <w:lang w:bidi="he-IL"/>
    </w:rPr>
  </w:style>
  <w:style w:type="paragraph" w:customStyle="1" w:styleId="Authors">
    <w:name w:val="Authors"/>
    <w:basedOn w:val="BaseText"/>
    <w:rsid w:val="009A3899"/>
    <w:pPr>
      <w:spacing w:after="360"/>
      <w:jc w:val="center"/>
    </w:pPr>
  </w:style>
  <w:style w:type="paragraph" w:styleId="BalloonText">
    <w:name w:val="Balloon Text"/>
    <w:basedOn w:val="Normal"/>
    <w:link w:val="BalloonTextChar"/>
    <w:semiHidden/>
    <w:rsid w:val="009A3899"/>
    <w:rPr>
      <w:rFonts w:ascii="Lucida Grande" w:eastAsia="Times New Roman" w:hAnsi="Lucida Grande"/>
      <w:sz w:val="18"/>
      <w:szCs w:val="18"/>
    </w:rPr>
  </w:style>
  <w:style w:type="character" w:customStyle="1" w:styleId="BalloonTextChar">
    <w:name w:val="Balloon Text Char"/>
    <w:basedOn w:val="DefaultParagraphFont"/>
    <w:link w:val="BalloonText"/>
    <w:semiHidden/>
    <w:rsid w:val="009A3899"/>
    <w:rPr>
      <w:rFonts w:ascii="Lucida Grande" w:eastAsia="Times New Roman" w:hAnsi="Lucida Grande"/>
      <w:sz w:val="18"/>
      <w:szCs w:val="18"/>
    </w:rPr>
  </w:style>
  <w:style w:type="character" w:customStyle="1" w:styleId="bibarticle">
    <w:name w:val="bib_article"/>
    <w:basedOn w:val="DefaultParagraphFont"/>
    <w:rsid w:val="009A3899"/>
    <w:rPr>
      <w:sz w:val="24"/>
      <w:bdr w:val="none" w:sz="0" w:space="0" w:color="auto"/>
      <w:shd w:val="clear" w:color="auto" w:fill="00FFFF"/>
    </w:rPr>
  </w:style>
  <w:style w:type="character" w:customStyle="1" w:styleId="bibbase">
    <w:name w:val="bib_base"/>
    <w:rsid w:val="009A3899"/>
    <w:rPr>
      <w:sz w:val="24"/>
    </w:rPr>
  </w:style>
  <w:style w:type="character" w:customStyle="1" w:styleId="bibcomment">
    <w:name w:val="bib_comment"/>
    <w:basedOn w:val="bibbase"/>
    <w:rsid w:val="009A3899"/>
    <w:rPr>
      <w:sz w:val="24"/>
    </w:rPr>
  </w:style>
  <w:style w:type="character" w:customStyle="1" w:styleId="bibdeg">
    <w:name w:val="bib_deg"/>
    <w:basedOn w:val="bibbase"/>
    <w:rsid w:val="009A3899"/>
    <w:rPr>
      <w:sz w:val="24"/>
    </w:rPr>
  </w:style>
  <w:style w:type="character" w:customStyle="1" w:styleId="bibdoi">
    <w:name w:val="bib_doi"/>
    <w:basedOn w:val="bibbase"/>
    <w:rsid w:val="009A3899"/>
    <w:rPr>
      <w:sz w:val="24"/>
      <w:bdr w:val="none" w:sz="0" w:space="0" w:color="auto"/>
      <w:shd w:val="clear" w:color="auto" w:fill="00FF00"/>
    </w:rPr>
  </w:style>
  <w:style w:type="character" w:customStyle="1" w:styleId="bibetal">
    <w:name w:val="bib_etal"/>
    <w:basedOn w:val="bibbase"/>
    <w:rsid w:val="009A3899"/>
    <w:rPr>
      <w:sz w:val="24"/>
      <w:bdr w:val="none" w:sz="0" w:space="0" w:color="auto"/>
      <w:shd w:val="clear" w:color="auto" w:fill="008080"/>
    </w:rPr>
  </w:style>
  <w:style w:type="character" w:customStyle="1" w:styleId="bibfname">
    <w:name w:val="bib_fname"/>
    <w:basedOn w:val="bibbase"/>
    <w:rsid w:val="009A3899"/>
    <w:rPr>
      <w:sz w:val="24"/>
      <w:bdr w:val="none" w:sz="0" w:space="0" w:color="auto"/>
      <w:shd w:val="clear" w:color="auto" w:fill="FFFF00"/>
    </w:rPr>
  </w:style>
  <w:style w:type="character" w:customStyle="1" w:styleId="bibfpage">
    <w:name w:val="bib_fpage"/>
    <w:basedOn w:val="bibbase"/>
    <w:rsid w:val="009A3899"/>
    <w:rPr>
      <w:sz w:val="24"/>
      <w:bdr w:val="none" w:sz="0" w:space="0" w:color="auto"/>
      <w:shd w:val="clear" w:color="auto" w:fill="808080"/>
    </w:rPr>
  </w:style>
  <w:style w:type="character" w:customStyle="1" w:styleId="bibissue">
    <w:name w:val="bib_issue"/>
    <w:basedOn w:val="bibbase"/>
    <w:rsid w:val="009A3899"/>
    <w:rPr>
      <w:sz w:val="24"/>
      <w:bdr w:val="none" w:sz="0" w:space="0" w:color="auto"/>
      <w:shd w:val="clear" w:color="auto" w:fill="FFFF00"/>
    </w:rPr>
  </w:style>
  <w:style w:type="character" w:customStyle="1" w:styleId="bibjournal">
    <w:name w:val="bib_journal"/>
    <w:basedOn w:val="bibbase"/>
    <w:rsid w:val="009A3899"/>
    <w:rPr>
      <w:sz w:val="24"/>
      <w:bdr w:val="none" w:sz="0" w:space="0" w:color="auto"/>
      <w:shd w:val="clear" w:color="auto" w:fill="808000"/>
    </w:rPr>
  </w:style>
  <w:style w:type="character" w:customStyle="1" w:styleId="biblpage">
    <w:name w:val="bib_lpage"/>
    <w:basedOn w:val="bibbase"/>
    <w:rsid w:val="009A3899"/>
    <w:rPr>
      <w:sz w:val="24"/>
      <w:bdr w:val="none" w:sz="0" w:space="0" w:color="auto"/>
      <w:shd w:val="clear" w:color="auto" w:fill="808080"/>
    </w:rPr>
  </w:style>
  <w:style w:type="character" w:customStyle="1" w:styleId="bibmedline">
    <w:name w:val="bib_medline"/>
    <w:basedOn w:val="bibbase"/>
    <w:rsid w:val="009A3899"/>
    <w:rPr>
      <w:sz w:val="24"/>
    </w:rPr>
  </w:style>
  <w:style w:type="character" w:customStyle="1" w:styleId="bibnumber">
    <w:name w:val="bib_number"/>
    <w:basedOn w:val="bibbase"/>
    <w:rsid w:val="009A3899"/>
    <w:rPr>
      <w:sz w:val="24"/>
    </w:rPr>
  </w:style>
  <w:style w:type="character" w:customStyle="1" w:styleId="biborganization">
    <w:name w:val="bib_organization"/>
    <w:basedOn w:val="bibbase"/>
    <w:rsid w:val="009A3899"/>
    <w:rPr>
      <w:sz w:val="24"/>
      <w:bdr w:val="none" w:sz="0" w:space="0" w:color="auto"/>
      <w:shd w:val="clear" w:color="auto" w:fill="808000"/>
    </w:rPr>
  </w:style>
  <w:style w:type="character" w:customStyle="1" w:styleId="bibsuffix">
    <w:name w:val="bib_suffix"/>
    <w:basedOn w:val="bibbase"/>
    <w:rsid w:val="009A3899"/>
    <w:rPr>
      <w:sz w:val="24"/>
    </w:rPr>
  </w:style>
  <w:style w:type="character" w:customStyle="1" w:styleId="bibsuppl">
    <w:name w:val="bib_suppl"/>
    <w:basedOn w:val="bibbase"/>
    <w:rsid w:val="009A3899"/>
    <w:rPr>
      <w:sz w:val="24"/>
      <w:bdr w:val="none" w:sz="0" w:space="0" w:color="auto"/>
      <w:shd w:val="clear" w:color="auto" w:fill="FFFF00"/>
    </w:rPr>
  </w:style>
  <w:style w:type="character" w:customStyle="1" w:styleId="bibsurname">
    <w:name w:val="bib_surname"/>
    <w:basedOn w:val="bibbase"/>
    <w:rsid w:val="009A3899"/>
    <w:rPr>
      <w:sz w:val="24"/>
      <w:bdr w:val="none" w:sz="0" w:space="0" w:color="auto"/>
      <w:shd w:val="clear" w:color="auto" w:fill="FFFF00"/>
    </w:rPr>
  </w:style>
  <w:style w:type="character" w:customStyle="1" w:styleId="bibunpubl">
    <w:name w:val="bib_unpubl"/>
    <w:basedOn w:val="bibbase"/>
    <w:rsid w:val="009A3899"/>
    <w:rPr>
      <w:sz w:val="24"/>
    </w:rPr>
  </w:style>
  <w:style w:type="character" w:customStyle="1" w:styleId="biburl">
    <w:name w:val="bib_url"/>
    <w:basedOn w:val="bibbase"/>
    <w:rsid w:val="009A3899"/>
    <w:rPr>
      <w:sz w:val="24"/>
      <w:bdr w:val="none" w:sz="0" w:space="0" w:color="auto"/>
      <w:shd w:val="clear" w:color="auto" w:fill="00FF00"/>
    </w:rPr>
  </w:style>
  <w:style w:type="character" w:customStyle="1" w:styleId="bibvolume">
    <w:name w:val="bib_volume"/>
    <w:basedOn w:val="bibbase"/>
    <w:rsid w:val="009A3899"/>
    <w:rPr>
      <w:sz w:val="24"/>
      <w:bdr w:val="none" w:sz="0" w:space="0" w:color="auto"/>
      <w:shd w:val="clear" w:color="auto" w:fill="00FF00"/>
    </w:rPr>
  </w:style>
  <w:style w:type="character" w:customStyle="1" w:styleId="bibyear">
    <w:name w:val="bib_year"/>
    <w:basedOn w:val="bibbase"/>
    <w:rsid w:val="009A3899"/>
    <w:rPr>
      <w:sz w:val="24"/>
      <w:bdr w:val="none" w:sz="0" w:space="0" w:color="auto"/>
      <w:shd w:val="clear" w:color="auto" w:fill="FF00FF"/>
    </w:rPr>
  </w:style>
  <w:style w:type="paragraph" w:customStyle="1" w:styleId="BookorMeetingInformation">
    <w:name w:val="Book or Meeting Information"/>
    <w:basedOn w:val="BaseText"/>
    <w:rsid w:val="009A3899"/>
  </w:style>
  <w:style w:type="paragraph" w:customStyle="1" w:styleId="BookInformation">
    <w:name w:val="BookInformation"/>
    <w:basedOn w:val="BaseText"/>
    <w:rsid w:val="009A3899"/>
  </w:style>
  <w:style w:type="paragraph" w:customStyle="1" w:styleId="Level2Head">
    <w:name w:val="Level 2 Head"/>
    <w:basedOn w:val="BaseHeading"/>
    <w:rsid w:val="009A3899"/>
    <w:pPr>
      <w:outlineLvl w:val="1"/>
    </w:pPr>
    <w:rPr>
      <w:i/>
      <w:iCs/>
      <w:sz w:val="24"/>
      <w:szCs w:val="24"/>
    </w:rPr>
  </w:style>
  <w:style w:type="paragraph" w:customStyle="1" w:styleId="BoxLevel2Head">
    <w:name w:val="BoxLevel 2 Head"/>
    <w:basedOn w:val="Level2Head"/>
    <w:rsid w:val="009A3899"/>
    <w:pPr>
      <w:shd w:val="clear" w:color="auto" w:fill="E6E6E6"/>
    </w:pPr>
  </w:style>
  <w:style w:type="paragraph" w:customStyle="1" w:styleId="BoxListUnnumbered">
    <w:name w:val="BoxListUnnumbered"/>
    <w:basedOn w:val="BaseText"/>
    <w:rsid w:val="009A3899"/>
    <w:pPr>
      <w:shd w:val="clear" w:color="auto" w:fill="E6E6E6"/>
      <w:ind w:left="1080" w:hanging="360"/>
    </w:pPr>
  </w:style>
  <w:style w:type="paragraph" w:customStyle="1" w:styleId="BoxList">
    <w:name w:val="BoxList"/>
    <w:basedOn w:val="BoxListUnnumbered"/>
    <w:rsid w:val="009A3899"/>
  </w:style>
  <w:style w:type="paragraph" w:customStyle="1" w:styleId="BoxSubhead">
    <w:name w:val="BoxSubhead"/>
    <w:basedOn w:val="Subhead"/>
    <w:rsid w:val="009A3899"/>
    <w:pPr>
      <w:shd w:val="clear" w:color="auto" w:fill="E6E6E6"/>
    </w:pPr>
  </w:style>
  <w:style w:type="paragraph" w:customStyle="1" w:styleId="Paragraph">
    <w:name w:val="Paragraph"/>
    <w:basedOn w:val="BaseText"/>
    <w:rsid w:val="009A3899"/>
    <w:pPr>
      <w:ind w:firstLine="720"/>
    </w:pPr>
  </w:style>
  <w:style w:type="paragraph" w:customStyle="1" w:styleId="BoxText">
    <w:name w:val="BoxText"/>
    <w:basedOn w:val="Paragraph"/>
    <w:rsid w:val="009A3899"/>
    <w:pPr>
      <w:shd w:val="clear" w:color="auto" w:fill="E6E6E6"/>
    </w:pPr>
  </w:style>
  <w:style w:type="paragraph" w:customStyle="1" w:styleId="BoxTitle">
    <w:name w:val="BoxTitle"/>
    <w:basedOn w:val="BaseHeading"/>
    <w:rsid w:val="009A3899"/>
    <w:pPr>
      <w:shd w:val="clear" w:color="auto" w:fill="E6E6E6"/>
    </w:pPr>
    <w:rPr>
      <w:b/>
      <w:sz w:val="24"/>
      <w:szCs w:val="24"/>
    </w:rPr>
  </w:style>
  <w:style w:type="paragraph" w:customStyle="1" w:styleId="BulletedText">
    <w:name w:val="Bulleted Text"/>
    <w:basedOn w:val="BaseText"/>
    <w:rsid w:val="009A3899"/>
    <w:pPr>
      <w:ind w:left="720" w:hanging="720"/>
    </w:pPr>
  </w:style>
  <w:style w:type="paragraph" w:customStyle="1" w:styleId="career-magazine">
    <w:name w:val="career-magazine"/>
    <w:basedOn w:val="BaseText"/>
    <w:rsid w:val="009A3899"/>
    <w:pPr>
      <w:jc w:val="right"/>
    </w:pPr>
    <w:rPr>
      <w:color w:val="FF0000"/>
    </w:rPr>
  </w:style>
  <w:style w:type="paragraph" w:customStyle="1" w:styleId="career-stage">
    <w:name w:val="career-stage"/>
    <w:basedOn w:val="BaseText"/>
    <w:rsid w:val="009A3899"/>
    <w:pPr>
      <w:jc w:val="right"/>
    </w:pPr>
    <w:rPr>
      <w:color w:val="339966"/>
    </w:rPr>
  </w:style>
  <w:style w:type="character" w:customStyle="1" w:styleId="citebase">
    <w:name w:val="cite_base"/>
    <w:rsid w:val="009A3899"/>
    <w:rPr>
      <w:sz w:val="24"/>
    </w:rPr>
  </w:style>
  <w:style w:type="character" w:customStyle="1" w:styleId="citebib">
    <w:name w:val="cite_bib"/>
    <w:basedOn w:val="DefaultParagraphFont"/>
    <w:rsid w:val="009A3899"/>
    <w:rPr>
      <w:sz w:val="24"/>
      <w:bdr w:val="none" w:sz="0" w:space="0" w:color="auto"/>
      <w:shd w:val="clear" w:color="auto" w:fill="00FFFF"/>
    </w:rPr>
  </w:style>
  <w:style w:type="character" w:customStyle="1" w:styleId="citebox">
    <w:name w:val="cite_box"/>
    <w:basedOn w:val="citebase"/>
    <w:rsid w:val="009A3899"/>
    <w:rPr>
      <w:sz w:val="24"/>
    </w:rPr>
  </w:style>
  <w:style w:type="character" w:customStyle="1" w:styleId="citeen">
    <w:name w:val="cite_en"/>
    <w:basedOn w:val="citebase"/>
    <w:rsid w:val="009A3899"/>
    <w:rPr>
      <w:sz w:val="24"/>
      <w:shd w:val="clear" w:color="auto" w:fill="FFFF00"/>
      <w:vertAlign w:val="superscript"/>
    </w:rPr>
  </w:style>
  <w:style w:type="character" w:customStyle="1" w:styleId="citeeq">
    <w:name w:val="cite_eq"/>
    <w:basedOn w:val="citebase"/>
    <w:rsid w:val="009A3899"/>
    <w:rPr>
      <w:sz w:val="24"/>
      <w:bdr w:val="none" w:sz="0" w:space="0" w:color="auto"/>
      <w:shd w:val="clear" w:color="auto" w:fill="FF99CC"/>
    </w:rPr>
  </w:style>
  <w:style w:type="character" w:customStyle="1" w:styleId="citefig">
    <w:name w:val="cite_fig"/>
    <w:basedOn w:val="citebase"/>
    <w:rsid w:val="009A3899"/>
    <w:rPr>
      <w:color w:val="000000"/>
      <w:sz w:val="24"/>
      <w:bdr w:val="none" w:sz="0" w:space="0" w:color="auto"/>
      <w:shd w:val="clear" w:color="auto" w:fill="00FF00"/>
    </w:rPr>
  </w:style>
  <w:style w:type="character" w:customStyle="1" w:styleId="citefn">
    <w:name w:val="cite_fn"/>
    <w:basedOn w:val="citebase"/>
    <w:rsid w:val="009A3899"/>
    <w:rPr>
      <w:sz w:val="24"/>
      <w:bdr w:val="none" w:sz="0" w:space="0" w:color="auto"/>
      <w:shd w:val="clear" w:color="auto" w:fill="FF0000"/>
    </w:rPr>
  </w:style>
  <w:style w:type="character" w:customStyle="1" w:styleId="citetbl">
    <w:name w:val="cite_tbl"/>
    <w:basedOn w:val="citebase"/>
    <w:rsid w:val="009A3899"/>
    <w:rPr>
      <w:color w:val="000000"/>
      <w:sz w:val="24"/>
      <w:bdr w:val="none" w:sz="0" w:space="0" w:color="auto"/>
      <w:shd w:val="clear" w:color="auto" w:fill="FF00FF"/>
    </w:rPr>
  </w:style>
  <w:style w:type="character" w:styleId="CommentReference">
    <w:name w:val="annotation reference"/>
    <w:basedOn w:val="DefaultParagraphFont"/>
    <w:rsid w:val="009A3899"/>
    <w:rPr>
      <w:sz w:val="18"/>
      <w:szCs w:val="18"/>
    </w:rPr>
  </w:style>
  <w:style w:type="paragraph" w:styleId="CommentText">
    <w:name w:val="annotation text"/>
    <w:basedOn w:val="Normal"/>
    <w:link w:val="CommentTextChar"/>
    <w:semiHidden/>
    <w:rsid w:val="009A3899"/>
    <w:rPr>
      <w:rFonts w:eastAsia="Times New Roman"/>
    </w:rPr>
  </w:style>
  <w:style w:type="character" w:customStyle="1" w:styleId="CommentTextChar">
    <w:name w:val="Comment Text Char"/>
    <w:basedOn w:val="DefaultParagraphFont"/>
    <w:link w:val="CommentText"/>
    <w:semiHidden/>
    <w:rsid w:val="009A3899"/>
    <w:rPr>
      <w:rFonts w:ascii="Times New Roman" w:eastAsia="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9A3899"/>
    <w:rPr>
      <w:b/>
      <w:bCs/>
    </w:rPr>
  </w:style>
  <w:style w:type="character" w:customStyle="1" w:styleId="CommentSubjectChar">
    <w:name w:val="Comment Subject Char"/>
    <w:basedOn w:val="CommentTextChar"/>
    <w:link w:val="CommentSubject"/>
    <w:uiPriority w:val="99"/>
    <w:semiHidden/>
    <w:rsid w:val="009A3899"/>
    <w:rPr>
      <w:rFonts w:ascii="Times New Roman" w:eastAsia="Times New Roman" w:hAnsi="Times New Roman"/>
      <w:b/>
      <w:bCs/>
      <w:sz w:val="20"/>
      <w:szCs w:val="20"/>
    </w:rPr>
  </w:style>
  <w:style w:type="paragraph" w:customStyle="1" w:styleId="ContinuedParagraph">
    <w:name w:val="ContinuedParagraph"/>
    <w:basedOn w:val="Paragraph"/>
    <w:rsid w:val="009A3899"/>
    <w:pPr>
      <w:ind w:firstLine="0"/>
    </w:pPr>
  </w:style>
  <w:style w:type="character" w:customStyle="1" w:styleId="ContractNumber">
    <w:name w:val="Contract Number"/>
    <w:basedOn w:val="DefaultParagraphFont"/>
    <w:rsid w:val="009A3899"/>
    <w:rPr>
      <w:sz w:val="24"/>
      <w:szCs w:val="24"/>
      <w:bdr w:val="none" w:sz="0" w:space="0" w:color="auto"/>
      <w:shd w:val="clear" w:color="auto" w:fill="CCFFCC"/>
    </w:rPr>
  </w:style>
  <w:style w:type="character" w:customStyle="1" w:styleId="ContractSponsor">
    <w:name w:val="Contract Sponsor"/>
    <w:basedOn w:val="DefaultParagraphFont"/>
    <w:rsid w:val="009A3899"/>
    <w:rPr>
      <w:sz w:val="24"/>
      <w:szCs w:val="24"/>
      <w:bdr w:val="none" w:sz="0" w:space="0" w:color="auto"/>
      <w:shd w:val="clear" w:color="auto" w:fill="FFCC99"/>
    </w:rPr>
  </w:style>
  <w:style w:type="paragraph" w:customStyle="1" w:styleId="Correspondence">
    <w:name w:val="Correspondence"/>
    <w:basedOn w:val="BaseText"/>
    <w:rsid w:val="009A3899"/>
    <w:pPr>
      <w:spacing w:before="0" w:after="240"/>
    </w:pPr>
  </w:style>
  <w:style w:type="paragraph" w:customStyle="1" w:styleId="DateAccepted">
    <w:name w:val="Date Accepted"/>
    <w:basedOn w:val="BaseText"/>
    <w:rsid w:val="009A3899"/>
    <w:pPr>
      <w:spacing w:before="360"/>
    </w:pPr>
  </w:style>
  <w:style w:type="paragraph" w:customStyle="1" w:styleId="Deck">
    <w:name w:val="Deck"/>
    <w:basedOn w:val="BaseHeading"/>
    <w:rsid w:val="009A3899"/>
    <w:pPr>
      <w:outlineLvl w:val="1"/>
    </w:pPr>
  </w:style>
  <w:style w:type="paragraph" w:customStyle="1" w:styleId="DefTerm">
    <w:name w:val="DefTerm"/>
    <w:basedOn w:val="BaseText"/>
    <w:rsid w:val="009A3899"/>
    <w:pPr>
      <w:ind w:left="720"/>
    </w:pPr>
  </w:style>
  <w:style w:type="paragraph" w:customStyle="1" w:styleId="Definition">
    <w:name w:val="Definition"/>
    <w:basedOn w:val="DefTerm"/>
    <w:rsid w:val="009A3899"/>
    <w:pPr>
      <w:ind w:left="1080" w:hanging="360"/>
    </w:pPr>
  </w:style>
  <w:style w:type="paragraph" w:customStyle="1" w:styleId="DefListTitle">
    <w:name w:val="DefListTitle"/>
    <w:basedOn w:val="BaseHeading"/>
    <w:rsid w:val="009A3899"/>
  </w:style>
  <w:style w:type="paragraph" w:customStyle="1" w:styleId="discipline">
    <w:name w:val="discipline"/>
    <w:basedOn w:val="BaseText"/>
    <w:rsid w:val="009A3899"/>
    <w:pPr>
      <w:jc w:val="right"/>
    </w:pPr>
    <w:rPr>
      <w:color w:val="993366"/>
    </w:rPr>
  </w:style>
  <w:style w:type="paragraph" w:customStyle="1" w:styleId="Editors">
    <w:name w:val="Editors"/>
    <w:basedOn w:val="Authors"/>
    <w:rsid w:val="009A3899"/>
  </w:style>
  <w:style w:type="character" w:styleId="Emphasis">
    <w:name w:val="Emphasis"/>
    <w:basedOn w:val="DefaultParagraphFont"/>
    <w:uiPriority w:val="20"/>
    <w:qFormat/>
    <w:rsid w:val="009A3899"/>
    <w:rPr>
      <w:i/>
      <w:iCs/>
    </w:rPr>
  </w:style>
  <w:style w:type="character" w:styleId="EndnoteReference">
    <w:name w:val="endnote reference"/>
    <w:basedOn w:val="DefaultParagraphFont"/>
    <w:semiHidden/>
    <w:rsid w:val="009A3899"/>
    <w:rPr>
      <w:vertAlign w:val="superscript"/>
    </w:rPr>
  </w:style>
  <w:style w:type="paragraph" w:styleId="EndnoteText">
    <w:name w:val="endnote text"/>
    <w:basedOn w:val="Normal"/>
    <w:link w:val="EndnoteTextChar"/>
    <w:semiHidden/>
    <w:rsid w:val="009A3899"/>
    <w:rPr>
      <w:rFonts w:ascii="Cambria" w:eastAsia="Cambria" w:hAnsi="Cambria"/>
    </w:rPr>
  </w:style>
  <w:style w:type="character" w:customStyle="1" w:styleId="EndnoteTextChar">
    <w:name w:val="Endnote Text Char"/>
    <w:basedOn w:val="DefaultParagraphFont"/>
    <w:link w:val="EndnoteText"/>
    <w:semiHidden/>
    <w:rsid w:val="009A3899"/>
    <w:rPr>
      <w:rFonts w:ascii="Cambria" w:eastAsia="Cambria" w:hAnsi="Cambria"/>
      <w:sz w:val="20"/>
      <w:szCs w:val="20"/>
    </w:rPr>
  </w:style>
  <w:style w:type="character" w:customStyle="1" w:styleId="eqno">
    <w:name w:val="eq_no"/>
    <w:basedOn w:val="citebase"/>
    <w:rsid w:val="009A3899"/>
    <w:rPr>
      <w:sz w:val="24"/>
    </w:rPr>
  </w:style>
  <w:style w:type="paragraph" w:customStyle="1" w:styleId="Equation">
    <w:name w:val="Equation"/>
    <w:basedOn w:val="BaseText"/>
    <w:rsid w:val="009A3899"/>
    <w:pPr>
      <w:jc w:val="center"/>
    </w:pPr>
  </w:style>
  <w:style w:type="paragraph" w:customStyle="1" w:styleId="FieldCodes">
    <w:name w:val="FieldCodes"/>
    <w:basedOn w:val="BaseText"/>
    <w:rsid w:val="009A3899"/>
  </w:style>
  <w:style w:type="paragraph" w:customStyle="1" w:styleId="Legend">
    <w:name w:val="Legend"/>
    <w:basedOn w:val="BaseHeading"/>
    <w:rsid w:val="009A3899"/>
    <w:rPr>
      <w:sz w:val="24"/>
      <w:szCs w:val="24"/>
    </w:rPr>
  </w:style>
  <w:style w:type="paragraph" w:customStyle="1" w:styleId="FigureCopyright">
    <w:name w:val="FigureCopyright"/>
    <w:basedOn w:val="Legend"/>
    <w:rsid w:val="009A3899"/>
    <w:pPr>
      <w:autoSpaceDE w:val="0"/>
      <w:autoSpaceDN w:val="0"/>
      <w:adjustRightInd w:val="0"/>
      <w:spacing w:before="80"/>
    </w:pPr>
    <w:rPr>
      <w:lang w:bidi="he-IL"/>
    </w:rPr>
  </w:style>
  <w:style w:type="paragraph" w:customStyle="1" w:styleId="FigureCredit">
    <w:name w:val="FigureCredit"/>
    <w:basedOn w:val="FigureCopyright"/>
    <w:rsid w:val="009A3899"/>
  </w:style>
  <w:style w:type="character" w:styleId="FollowedHyperlink">
    <w:name w:val="FollowedHyperlink"/>
    <w:basedOn w:val="DefaultParagraphFont"/>
    <w:rsid w:val="009A3899"/>
    <w:rPr>
      <w:color w:val="800080"/>
      <w:u w:val="single"/>
    </w:rPr>
  </w:style>
  <w:style w:type="paragraph" w:styleId="Footer">
    <w:name w:val="footer"/>
    <w:basedOn w:val="Normal"/>
    <w:link w:val="FooterChar"/>
    <w:rsid w:val="009A3899"/>
    <w:pPr>
      <w:tabs>
        <w:tab w:val="center" w:pos="4320"/>
        <w:tab w:val="right" w:pos="8640"/>
      </w:tabs>
    </w:pPr>
    <w:rPr>
      <w:rFonts w:eastAsia="Times New Roman"/>
    </w:rPr>
  </w:style>
  <w:style w:type="character" w:customStyle="1" w:styleId="FooterChar">
    <w:name w:val="Footer Char"/>
    <w:basedOn w:val="DefaultParagraphFont"/>
    <w:link w:val="Footer"/>
    <w:rsid w:val="009A3899"/>
    <w:rPr>
      <w:rFonts w:ascii="Times New Roman" w:eastAsia="Times New Roman" w:hAnsi="Times New Roman"/>
      <w:sz w:val="20"/>
      <w:szCs w:val="20"/>
    </w:rPr>
  </w:style>
  <w:style w:type="character" w:styleId="FootnoteReference">
    <w:name w:val="footnote reference"/>
    <w:basedOn w:val="DefaultParagraphFont"/>
    <w:semiHidden/>
    <w:rsid w:val="009A3899"/>
    <w:rPr>
      <w:vertAlign w:val="superscript"/>
    </w:rPr>
  </w:style>
  <w:style w:type="paragraph" w:customStyle="1" w:styleId="Gloss">
    <w:name w:val="Gloss"/>
    <w:basedOn w:val="AbstractSummary"/>
    <w:rsid w:val="009A3899"/>
  </w:style>
  <w:style w:type="paragraph" w:customStyle="1" w:styleId="Glossary">
    <w:name w:val="Glossary"/>
    <w:basedOn w:val="BaseText"/>
    <w:rsid w:val="009A3899"/>
  </w:style>
  <w:style w:type="paragraph" w:customStyle="1" w:styleId="GlossHead">
    <w:name w:val="GlossHead"/>
    <w:basedOn w:val="AbstractHead"/>
    <w:rsid w:val="009A3899"/>
  </w:style>
  <w:style w:type="paragraph" w:customStyle="1" w:styleId="GraphicAltText">
    <w:name w:val="GraphicAltText"/>
    <w:basedOn w:val="Legend"/>
    <w:rsid w:val="009A3899"/>
    <w:pPr>
      <w:autoSpaceDE w:val="0"/>
      <w:autoSpaceDN w:val="0"/>
      <w:adjustRightInd w:val="0"/>
    </w:pPr>
  </w:style>
  <w:style w:type="paragraph" w:customStyle="1" w:styleId="GraphicCredit">
    <w:name w:val="GraphicCredit"/>
    <w:basedOn w:val="FigureCredit"/>
    <w:rsid w:val="009A3899"/>
  </w:style>
  <w:style w:type="paragraph" w:customStyle="1" w:styleId="Head">
    <w:name w:val="Head"/>
    <w:basedOn w:val="BaseHeading"/>
    <w:rsid w:val="009A3899"/>
    <w:pPr>
      <w:spacing w:before="120" w:after="120"/>
      <w:jc w:val="center"/>
    </w:pPr>
    <w:rPr>
      <w:b/>
      <w:bCs/>
    </w:rPr>
  </w:style>
  <w:style w:type="paragraph" w:styleId="Header">
    <w:name w:val="header"/>
    <w:basedOn w:val="Normal"/>
    <w:link w:val="HeaderChar"/>
    <w:rsid w:val="009A3899"/>
    <w:pPr>
      <w:tabs>
        <w:tab w:val="center" w:pos="4320"/>
        <w:tab w:val="right" w:pos="8640"/>
      </w:tabs>
    </w:pPr>
    <w:rPr>
      <w:rFonts w:eastAsia="Times New Roman"/>
    </w:rPr>
  </w:style>
  <w:style w:type="character" w:customStyle="1" w:styleId="HeaderChar">
    <w:name w:val="Header Char"/>
    <w:basedOn w:val="DefaultParagraphFont"/>
    <w:link w:val="Header"/>
    <w:rsid w:val="009A3899"/>
    <w:rPr>
      <w:rFonts w:ascii="Times New Roman" w:eastAsia="Times New Roman" w:hAnsi="Times New Roman"/>
      <w:sz w:val="20"/>
      <w:szCs w:val="20"/>
    </w:rPr>
  </w:style>
  <w:style w:type="character" w:styleId="HTMLAcronym">
    <w:name w:val="HTML Acronym"/>
    <w:basedOn w:val="DefaultParagraphFont"/>
    <w:rsid w:val="009A3899"/>
  </w:style>
  <w:style w:type="character" w:styleId="HTMLCite">
    <w:name w:val="HTML Cite"/>
    <w:basedOn w:val="DefaultParagraphFont"/>
    <w:rsid w:val="009A3899"/>
    <w:rPr>
      <w:i/>
      <w:iCs/>
    </w:rPr>
  </w:style>
  <w:style w:type="character" w:styleId="HTMLCode">
    <w:name w:val="HTML Code"/>
    <w:basedOn w:val="DefaultParagraphFont"/>
    <w:rsid w:val="009A3899"/>
    <w:rPr>
      <w:rFonts w:ascii="Courier New" w:hAnsi="Courier New" w:cs="Courier New"/>
      <w:sz w:val="20"/>
      <w:szCs w:val="20"/>
    </w:rPr>
  </w:style>
  <w:style w:type="character" w:styleId="HTMLDefinition">
    <w:name w:val="HTML Definition"/>
    <w:basedOn w:val="DefaultParagraphFont"/>
    <w:rsid w:val="009A3899"/>
    <w:rPr>
      <w:i/>
      <w:iCs/>
    </w:rPr>
  </w:style>
  <w:style w:type="character" w:styleId="HTMLKeyboard">
    <w:name w:val="HTML Keyboard"/>
    <w:basedOn w:val="DefaultParagraphFont"/>
    <w:rsid w:val="009A3899"/>
    <w:rPr>
      <w:rFonts w:ascii="Courier New" w:hAnsi="Courier New" w:cs="Courier New"/>
      <w:sz w:val="20"/>
      <w:szCs w:val="20"/>
    </w:rPr>
  </w:style>
  <w:style w:type="paragraph" w:styleId="HTMLPreformatted">
    <w:name w:val="HTML Preformatted"/>
    <w:basedOn w:val="Normal"/>
    <w:link w:val="HTMLPreformattedChar"/>
    <w:rsid w:val="009A3899"/>
    <w:rPr>
      <w:rFonts w:ascii="Consolas" w:eastAsia="Times New Roman" w:hAnsi="Consolas"/>
    </w:rPr>
  </w:style>
  <w:style w:type="character" w:customStyle="1" w:styleId="HTMLPreformattedChar">
    <w:name w:val="HTML Preformatted Char"/>
    <w:basedOn w:val="DefaultParagraphFont"/>
    <w:link w:val="HTMLPreformatted"/>
    <w:rsid w:val="009A3899"/>
    <w:rPr>
      <w:rFonts w:ascii="Consolas" w:eastAsia="Times New Roman" w:hAnsi="Consolas"/>
      <w:sz w:val="20"/>
      <w:szCs w:val="20"/>
    </w:rPr>
  </w:style>
  <w:style w:type="character" w:styleId="HTMLSample">
    <w:name w:val="HTML Sample"/>
    <w:basedOn w:val="DefaultParagraphFont"/>
    <w:rsid w:val="009A3899"/>
    <w:rPr>
      <w:rFonts w:ascii="Courier New" w:hAnsi="Courier New" w:cs="Courier New"/>
    </w:rPr>
  </w:style>
  <w:style w:type="character" w:styleId="HTMLTypewriter">
    <w:name w:val="HTML Typewriter"/>
    <w:basedOn w:val="DefaultParagraphFont"/>
    <w:rsid w:val="009A3899"/>
    <w:rPr>
      <w:rFonts w:ascii="Courier New" w:hAnsi="Courier New" w:cs="Courier New"/>
      <w:sz w:val="20"/>
      <w:szCs w:val="20"/>
    </w:rPr>
  </w:style>
  <w:style w:type="character" w:styleId="HTMLVariable">
    <w:name w:val="HTML Variable"/>
    <w:basedOn w:val="DefaultParagraphFont"/>
    <w:rsid w:val="009A3899"/>
    <w:rPr>
      <w:i/>
      <w:iCs/>
    </w:rPr>
  </w:style>
  <w:style w:type="character" w:styleId="Hyperlink">
    <w:name w:val="Hyperlink"/>
    <w:basedOn w:val="DefaultParagraphFont"/>
    <w:rsid w:val="009A3899"/>
    <w:rPr>
      <w:color w:val="0000FF"/>
      <w:u w:val="single"/>
    </w:rPr>
  </w:style>
  <w:style w:type="paragraph" w:customStyle="1" w:styleId="InstructionsText">
    <w:name w:val="Instructions Text"/>
    <w:basedOn w:val="BaseText"/>
    <w:rsid w:val="009A3899"/>
  </w:style>
  <w:style w:type="paragraph" w:customStyle="1" w:styleId="Overline">
    <w:name w:val="Overline"/>
    <w:basedOn w:val="BaseText"/>
    <w:rsid w:val="009A3899"/>
  </w:style>
  <w:style w:type="paragraph" w:customStyle="1" w:styleId="IssueName">
    <w:name w:val="IssueName"/>
    <w:basedOn w:val="Overline"/>
    <w:rsid w:val="009A3899"/>
  </w:style>
  <w:style w:type="paragraph" w:customStyle="1" w:styleId="Keywords">
    <w:name w:val="Keywords"/>
    <w:basedOn w:val="BaseText"/>
    <w:rsid w:val="009A3899"/>
  </w:style>
  <w:style w:type="paragraph" w:customStyle="1" w:styleId="Level3Head">
    <w:name w:val="Level 3 Head"/>
    <w:basedOn w:val="BaseHeading"/>
    <w:rsid w:val="009A3899"/>
    <w:pPr>
      <w:outlineLvl w:val="2"/>
    </w:pPr>
    <w:rPr>
      <w:sz w:val="24"/>
      <w:szCs w:val="24"/>
      <w:u w:val="single"/>
    </w:rPr>
  </w:style>
  <w:style w:type="paragraph" w:customStyle="1" w:styleId="Level4Head">
    <w:name w:val="Level 4 Head"/>
    <w:basedOn w:val="BaseHeading"/>
    <w:rsid w:val="009A3899"/>
    <w:pPr>
      <w:ind w:left="346"/>
    </w:pPr>
    <w:rPr>
      <w:sz w:val="24"/>
      <w:szCs w:val="24"/>
    </w:rPr>
  </w:style>
  <w:style w:type="character" w:styleId="LineNumber">
    <w:name w:val="line number"/>
    <w:basedOn w:val="DefaultParagraphFont"/>
    <w:rsid w:val="009A3899"/>
  </w:style>
  <w:style w:type="paragraph" w:customStyle="1" w:styleId="Literaryquote">
    <w:name w:val="Literary quote"/>
    <w:basedOn w:val="BaseText"/>
    <w:rsid w:val="009A3899"/>
    <w:pPr>
      <w:ind w:left="1440" w:right="1440"/>
    </w:pPr>
  </w:style>
  <w:style w:type="paragraph" w:customStyle="1" w:styleId="MaterialsText">
    <w:name w:val="Materials Text"/>
    <w:basedOn w:val="BaseText"/>
    <w:rsid w:val="009A3899"/>
  </w:style>
  <w:style w:type="paragraph" w:customStyle="1" w:styleId="NoteInProof">
    <w:name w:val="NoteInProof"/>
    <w:basedOn w:val="BaseText"/>
    <w:rsid w:val="009A3899"/>
  </w:style>
  <w:style w:type="paragraph" w:customStyle="1" w:styleId="Notes">
    <w:name w:val="Notes"/>
    <w:basedOn w:val="BaseText"/>
    <w:rsid w:val="009A3899"/>
    <w:rPr>
      <w:i/>
    </w:rPr>
  </w:style>
  <w:style w:type="paragraph" w:customStyle="1" w:styleId="Notes-Helvetica">
    <w:name w:val="Notes-Helvetica"/>
    <w:basedOn w:val="BaseText"/>
    <w:rsid w:val="009A3899"/>
    <w:rPr>
      <w:i/>
    </w:rPr>
  </w:style>
  <w:style w:type="paragraph" w:customStyle="1" w:styleId="NumberedInstructions">
    <w:name w:val="Numbered Instructions"/>
    <w:basedOn w:val="BaseText"/>
    <w:rsid w:val="009A3899"/>
  </w:style>
  <w:style w:type="paragraph" w:customStyle="1" w:styleId="OutlineLevel1">
    <w:name w:val="OutlineLevel1"/>
    <w:basedOn w:val="BaseHeading"/>
    <w:rsid w:val="009A3899"/>
    <w:rPr>
      <w:b/>
      <w:bCs/>
    </w:rPr>
  </w:style>
  <w:style w:type="paragraph" w:customStyle="1" w:styleId="OutlineLevel2">
    <w:name w:val="OutlineLevel2"/>
    <w:basedOn w:val="BaseHeading"/>
    <w:rsid w:val="009A3899"/>
    <w:pPr>
      <w:ind w:left="360"/>
      <w:outlineLvl w:val="1"/>
    </w:pPr>
    <w:rPr>
      <w:b/>
      <w:bCs/>
      <w:sz w:val="24"/>
      <w:szCs w:val="24"/>
    </w:rPr>
  </w:style>
  <w:style w:type="paragraph" w:customStyle="1" w:styleId="OutlineLevel3">
    <w:name w:val="OutlineLevel3"/>
    <w:basedOn w:val="BaseHeading"/>
    <w:rsid w:val="009A3899"/>
    <w:pPr>
      <w:ind w:left="720"/>
      <w:outlineLvl w:val="2"/>
    </w:pPr>
    <w:rPr>
      <w:b/>
      <w:bCs/>
      <w:sz w:val="24"/>
      <w:szCs w:val="24"/>
    </w:rPr>
  </w:style>
  <w:style w:type="character" w:styleId="PageNumber">
    <w:name w:val="page number"/>
    <w:basedOn w:val="DefaultParagraphFont"/>
    <w:rsid w:val="009A3899"/>
  </w:style>
  <w:style w:type="paragraph" w:customStyle="1" w:styleId="Preformat">
    <w:name w:val="Preformat"/>
    <w:basedOn w:val="BaseText"/>
    <w:rsid w:val="009A3899"/>
    <w:pPr>
      <w:tabs>
        <w:tab w:val="left" w:pos="360"/>
        <w:tab w:val="left" w:pos="720"/>
        <w:tab w:val="left" w:pos="1080"/>
        <w:tab w:val="left" w:pos="1440"/>
        <w:tab w:val="left" w:pos="1800"/>
        <w:tab w:val="left" w:pos="2160"/>
        <w:tab w:val="left" w:pos="2520"/>
        <w:tab w:val="left" w:pos="2880"/>
      </w:tabs>
    </w:pPr>
    <w:rPr>
      <w:rFonts w:ascii="Courier New" w:hAnsi="Courier New" w:cs="Courier New"/>
    </w:rPr>
  </w:style>
  <w:style w:type="paragraph" w:customStyle="1" w:styleId="ProductAuthors">
    <w:name w:val="ProductAuthors"/>
    <w:basedOn w:val="BaseText"/>
    <w:rsid w:val="009A3899"/>
  </w:style>
  <w:style w:type="paragraph" w:customStyle="1" w:styleId="ProductInformation">
    <w:name w:val="ProductInformation"/>
    <w:basedOn w:val="BaseText"/>
    <w:rsid w:val="009A3899"/>
  </w:style>
  <w:style w:type="paragraph" w:customStyle="1" w:styleId="ProductTitle">
    <w:name w:val="ProductTitle"/>
    <w:basedOn w:val="BaseText"/>
    <w:rsid w:val="009A3899"/>
    <w:rPr>
      <w:b/>
      <w:bCs/>
    </w:rPr>
  </w:style>
  <w:style w:type="paragraph" w:customStyle="1" w:styleId="PublishedOnline">
    <w:name w:val="Published Online"/>
    <w:basedOn w:val="DateAccepted"/>
    <w:rsid w:val="009A3899"/>
  </w:style>
  <w:style w:type="paragraph" w:customStyle="1" w:styleId="RecipeMaterials">
    <w:name w:val="Recipe Materials"/>
    <w:basedOn w:val="BaseText"/>
    <w:rsid w:val="009A3899"/>
  </w:style>
  <w:style w:type="paragraph" w:customStyle="1" w:styleId="Refhead">
    <w:name w:val="Ref head"/>
    <w:basedOn w:val="BaseHeading"/>
    <w:rsid w:val="009A3899"/>
    <w:pPr>
      <w:spacing w:before="120" w:after="120"/>
    </w:pPr>
    <w:rPr>
      <w:b/>
      <w:bCs/>
      <w:sz w:val="24"/>
      <w:szCs w:val="24"/>
    </w:rPr>
  </w:style>
  <w:style w:type="paragraph" w:customStyle="1" w:styleId="ReferenceNote">
    <w:name w:val="Reference Note"/>
    <w:basedOn w:val="Referencesandnotes"/>
    <w:rsid w:val="009A3899"/>
  </w:style>
  <w:style w:type="paragraph" w:customStyle="1" w:styleId="ReferencesandnotesLong">
    <w:name w:val="References and notes Long"/>
    <w:basedOn w:val="BaseText"/>
    <w:rsid w:val="009A3899"/>
    <w:pPr>
      <w:ind w:left="720" w:hanging="720"/>
    </w:pPr>
  </w:style>
  <w:style w:type="paragraph" w:customStyle="1" w:styleId="region">
    <w:name w:val="region"/>
    <w:basedOn w:val="BaseText"/>
    <w:rsid w:val="009A3899"/>
    <w:pPr>
      <w:jc w:val="right"/>
    </w:pPr>
    <w:rPr>
      <w:color w:val="0000FF"/>
    </w:rPr>
  </w:style>
  <w:style w:type="paragraph" w:customStyle="1" w:styleId="RelatedArticle">
    <w:name w:val="RelatedArticle"/>
    <w:basedOn w:val="Referencesandnotes"/>
    <w:rsid w:val="009A3899"/>
  </w:style>
  <w:style w:type="paragraph" w:customStyle="1" w:styleId="RunHead">
    <w:name w:val="RunHead"/>
    <w:basedOn w:val="BaseText"/>
    <w:rsid w:val="009A3899"/>
  </w:style>
  <w:style w:type="paragraph" w:customStyle="1" w:styleId="SOMContent">
    <w:name w:val="SOMContent"/>
    <w:basedOn w:val="1stparatext"/>
    <w:rsid w:val="009A3899"/>
  </w:style>
  <w:style w:type="paragraph" w:customStyle="1" w:styleId="SOMHead">
    <w:name w:val="SOMHead"/>
    <w:basedOn w:val="BaseHeading"/>
    <w:rsid w:val="009A3899"/>
    <w:rPr>
      <w:b/>
      <w:sz w:val="24"/>
      <w:szCs w:val="24"/>
    </w:rPr>
  </w:style>
  <w:style w:type="paragraph" w:customStyle="1" w:styleId="Speaker">
    <w:name w:val="Speaker"/>
    <w:basedOn w:val="Paragraph"/>
    <w:rsid w:val="009A3899"/>
    <w:pPr>
      <w:autoSpaceDE w:val="0"/>
      <w:autoSpaceDN w:val="0"/>
      <w:adjustRightInd w:val="0"/>
    </w:pPr>
    <w:rPr>
      <w:b/>
      <w:lang w:bidi="he-IL"/>
    </w:rPr>
  </w:style>
  <w:style w:type="paragraph" w:customStyle="1" w:styleId="Speech">
    <w:name w:val="Speech"/>
    <w:basedOn w:val="Paragraph"/>
    <w:rsid w:val="009A3899"/>
    <w:pPr>
      <w:autoSpaceDE w:val="0"/>
      <w:autoSpaceDN w:val="0"/>
      <w:adjustRightInd w:val="0"/>
    </w:pPr>
    <w:rPr>
      <w:lang w:bidi="he-IL"/>
    </w:rPr>
  </w:style>
  <w:style w:type="character" w:styleId="Strong">
    <w:name w:val="Strong"/>
    <w:basedOn w:val="DefaultParagraphFont"/>
    <w:uiPriority w:val="22"/>
    <w:qFormat/>
    <w:rsid w:val="009A3899"/>
    <w:rPr>
      <w:b/>
      <w:bCs/>
    </w:rPr>
  </w:style>
  <w:style w:type="paragraph" w:customStyle="1" w:styleId="SX-Abstract">
    <w:name w:val="SX-Abstract"/>
    <w:basedOn w:val="Normal"/>
    <w:qFormat/>
    <w:rsid w:val="009A3899"/>
    <w:pPr>
      <w:widowControl w:val="0"/>
      <w:spacing w:before="120" w:after="240" w:line="210" w:lineRule="exact"/>
      <w:ind w:left="700" w:right="700"/>
      <w:jc w:val="both"/>
    </w:pPr>
    <w:rPr>
      <w:rFonts w:ascii="BlissRegular" w:eastAsia="Times New Roman" w:hAnsi="BlissRegular"/>
      <w:b/>
    </w:rPr>
  </w:style>
  <w:style w:type="paragraph" w:customStyle="1" w:styleId="SX-Affiliation">
    <w:name w:val="SX-Affiliation"/>
    <w:basedOn w:val="Normal"/>
    <w:next w:val="Normal"/>
    <w:qFormat/>
    <w:rsid w:val="009A3899"/>
    <w:pPr>
      <w:spacing w:after="160" w:line="190" w:lineRule="exact"/>
    </w:pPr>
    <w:rPr>
      <w:rFonts w:ascii="BlissRegular" w:eastAsia="Times New Roman" w:hAnsi="BlissRegular"/>
      <w:sz w:val="16"/>
    </w:rPr>
  </w:style>
  <w:style w:type="paragraph" w:customStyle="1" w:styleId="SX-Articlehead">
    <w:name w:val="SX-Article head"/>
    <w:basedOn w:val="Normal"/>
    <w:qFormat/>
    <w:rsid w:val="009A3899"/>
    <w:pPr>
      <w:spacing w:before="210" w:line="210" w:lineRule="exact"/>
      <w:ind w:firstLine="288"/>
      <w:jc w:val="both"/>
    </w:pPr>
    <w:rPr>
      <w:rFonts w:eastAsia="Times New Roman"/>
      <w:b/>
      <w:sz w:val="18"/>
    </w:rPr>
  </w:style>
  <w:style w:type="paragraph" w:customStyle="1" w:styleId="SX-Authornames">
    <w:name w:val="SX-Author names"/>
    <w:basedOn w:val="Normal"/>
    <w:rsid w:val="009A3899"/>
    <w:pPr>
      <w:spacing w:after="120" w:line="210" w:lineRule="exact"/>
    </w:pPr>
    <w:rPr>
      <w:rFonts w:ascii="BlissMedium" w:eastAsia="Times New Roman" w:hAnsi="BlissMedium"/>
    </w:rPr>
  </w:style>
  <w:style w:type="paragraph" w:customStyle="1" w:styleId="SX-Bodytext">
    <w:name w:val="SX-Body text"/>
    <w:basedOn w:val="Normal"/>
    <w:next w:val="Normal"/>
    <w:rsid w:val="009A3899"/>
    <w:pPr>
      <w:spacing w:line="210" w:lineRule="exact"/>
      <w:ind w:firstLine="288"/>
      <w:jc w:val="both"/>
    </w:pPr>
    <w:rPr>
      <w:rFonts w:eastAsia="Times New Roman"/>
      <w:sz w:val="18"/>
    </w:rPr>
  </w:style>
  <w:style w:type="paragraph" w:customStyle="1" w:styleId="SX-Bodytextflush">
    <w:name w:val="SX-Body text flush"/>
    <w:basedOn w:val="SX-Bodytext"/>
    <w:next w:val="SX-Bodytext"/>
    <w:rsid w:val="009A3899"/>
    <w:pPr>
      <w:ind w:firstLine="0"/>
    </w:pPr>
  </w:style>
  <w:style w:type="paragraph" w:customStyle="1" w:styleId="SX-Correspondence">
    <w:name w:val="SX-Correspondence"/>
    <w:basedOn w:val="SX-Affiliation"/>
    <w:qFormat/>
    <w:rsid w:val="009A3899"/>
    <w:pPr>
      <w:spacing w:after="80"/>
    </w:pPr>
  </w:style>
  <w:style w:type="paragraph" w:customStyle="1" w:styleId="SX-Date">
    <w:name w:val="SX-Date"/>
    <w:basedOn w:val="Normal"/>
    <w:qFormat/>
    <w:rsid w:val="009A3899"/>
    <w:pPr>
      <w:spacing w:before="180" w:line="190" w:lineRule="exact"/>
      <w:ind w:left="245" w:hanging="245"/>
      <w:jc w:val="both"/>
    </w:pPr>
    <w:rPr>
      <w:rFonts w:eastAsia="Times New Roman"/>
      <w:sz w:val="16"/>
    </w:rPr>
  </w:style>
  <w:style w:type="paragraph" w:customStyle="1" w:styleId="SX-Equation">
    <w:name w:val="SX-Equation"/>
    <w:basedOn w:val="SX-Bodytextflush"/>
    <w:next w:val="SX-Bodytext"/>
    <w:rsid w:val="009A3899"/>
    <w:pPr>
      <w:autoSpaceDE w:val="0"/>
      <w:autoSpaceDN w:val="0"/>
      <w:adjustRightInd w:val="0"/>
      <w:spacing w:line="240" w:lineRule="auto"/>
      <w:jc w:val="center"/>
    </w:pPr>
  </w:style>
  <w:style w:type="paragraph" w:customStyle="1" w:styleId="SX-Legend">
    <w:name w:val="SX-Legend"/>
    <w:basedOn w:val="SX-Authornames"/>
    <w:rsid w:val="009A3899"/>
    <w:pPr>
      <w:jc w:val="both"/>
    </w:pPr>
    <w:rPr>
      <w:sz w:val="18"/>
    </w:rPr>
  </w:style>
  <w:style w:type="paragraph" w:customStyle="1" w:styleId="SX-References">
    <w:name w:val="SX-References"/>
    <w:basedOn w:val="Normal"/>
    <w:rsid w:val="009A3899"/>
    <w:pPr>
      <w:spacing w:line="190" w:lineRule="exact"/>
      <w:ind w:left="245" w:hanging="245"/>
      <w:jc w:val="both"/>
    </w:pPr>
    <w:rPr>
      <w:rFonts w:eastAsia="Times New Roman"/>
      <w:sz w:val="16"/>
    </w:rPr>
  </w:style>
  <w:style w:type="paragraph" w:customStyle="1" w:styleId="SX-RefHead">
    <w:name w:val="SX-RefHead"/>
    <w:basedOn w:val="Normal"/>
    <w:rsid w:val="009A3899"/>
    <w:pPr>
      <w:spacing w:before="200" w:line="190" w:lineRule="exact"/>
    </w:pPr>
    <w:rPr>
      <w:rFonts w:eastAsia="Times New Roman"/>
      <w:b/>
      <w:sz w:val="16"/>
    </w:rPr>
  </w:style>
  <w:style w:type="character" w:customStyle="1" w:styleId="SX-reflink">
    <w:name w:val="SX-reflink"/>
    <w:basedOn w:val="DefaultParagraphFont"/>
    <w:uiPriority w:val="1"/>
    <w:qFormat/>
    <w:rsid w:val="009A3899"/>
    <w:rPr>
      <w:color w:val="0000FF"/>
      <w:sz w:val="16"/>
      <w:u w:val="words"/>
      <w:bdr w:val="none" w:sz="0" w:space="0" w:color="auto"/>
      <w:shd w:val="clear" w:color="auto" w:fill="FFFFFF"/>
    </w:rPr>
  </w:style>
  <w:style w:type="paragraph" w:customStyle="1" w:styleId="SX-SOMHead">
    <w:name w:val="SX-SOMHead"/>
    <w:basedOn w:val="SX-RefHead"/>
    <w:rsid w:val="009A3899"/>
  </w:style>
  <w:style w:type="paragraph" w:customStyle="1" w:styleId="SX-Tablehead">
    <w:name w:val="SX-Tablehead"/>
    <w:basedOn w:val="Normal"/>
    <w:qFormat/>
    <w:rsid w:val="009A3899"/>
    <w:rPr>
      <w:rFonts w:eastAsia="Times New Roman"/>
      <w:szCs w:val="24"/>
    </w:rPr>
  </w:style>
  <w:style w:type="paragraph" w:customStyle="1" w:styleId="SX-Tablelegend">
    <w:name w:val="SX-Tablelegend"/>
    <w:basedOn w:val="Normal"/>
    <w:qFormat/>
    <w:rsid w:val="009A3899"/>
    <w:pPr>
      <w:spacing w:line="190" w:lineRule="exact"/>
      <w:ind w:left="245" w:hanging="245"/>
      <w:jc w:val="both"/>
    </w:pPr>
    <w:rPr>
      <w:rFonts w:eastAsia="Times New Roman"/>
      <w:sz w:val="16"/>
    </w:rPr>
  </w:style>
  <w:style w:type="paragraph" w:customStyle="1" w:styleId="SX-Tabletext">
    <w:name w:val="SX-Tabletext"/>
    <w:basedOn w:val="Normal"/>
    <w:qFormat/>
    <w:rsid w:val="009A3899"/>
    <w:pPr>
      <w:spacing w:line="210" w:lineRule="exact"/>
      <w:jc w:val="center"/>
    </w:pPr>
    <w:rPr>
      <w:rFonts w:eastAsia="Times New Roman"/>
      <w:sz w:val="18"/>
    </w:rPr>
  </w:style>
  <w:style w:type="paragraph" w:customStyle="1" w:styleId="SX-Tabletitle">
    <w:name w:val="SX-Tabletitle"/>
    <w:basedOn w:val="Normal"/>
    <w:qFormat/>
    <w:rsid w:val="009A3899"/>
    <w:pPr>
      <w:spacing w:after="120" w:line="210" w:lineRule="exact"/>
      <w:jc w:val="both"/>
    </w:pPr>
    <w:rPr>
      <w:rFonts w:ascii="BlissMedium" w:eastAsia="Times New Roman" w:hAnsi="BlissMedium"/>
      <w:sz w:val="18"/>
    </w:rPr>
  </w:style>
  <w:style w:type="paragraph" w:customStyle="1" w:styleId="SX-Title">
    <w:name w:val="SX-Title"/>
    <w:basedOn w:val="Normal"/>
    <w:rsid w:val="009A3899"/>
    <w:pPr>
      <w:spacing w:after="240" w:line="500" w:lineRule="exact"/>
    </w:pPr>
    <w:rPr>
      <w:rFonts w:ascii="BlissBold" w:eastAsia="Times New Roman" w:hAnsi="BlissBold"/>
      <w:b/>
      <w:sz w:val="44"/>
    </w:rPr>
  </w:style>
  <w:style w:type="paragraph" w:customStyle="1" w:styleId="Tablecolumnhead">
    <w:name w:val="Table column head"/>
    <w:basedOn w:val="BaseText"/>
    <w:rsid w:val="009A3899"/>
    <w:pPr>
      <w:spacing w:before="0"/>
    </w:pPr>
  </w:style>
  <w:style w:type="paragraph" w:customStyle="1" w:styleId="Tabletext">
    <w:name w:val="Table text"/>
    <w:basedOn w:val="BaseText"/>
    <w:rsid w:val="009A3899"/>
    <w:pPr>
      <w:spacing w:before="0"/>
    </w:pPr>
  </w:style>
  <w:style w:type="paragraph" w:customStyle="1" w:styleId="TableLegend">
    <w:name w:val="TableLegend"/>
    <w:basedOn w:val="BaseText"/>
    <w:rsid w:val="009A3899"/>
    <w:pPr>
      <w:spacing w:before="0"/>
    </w:pPr>
  </w:style>
  <w:style w:type="paragraph" w:customStyle="1" w:styleId="TableTitle">
    <w:name w:val="TableTitle"/>
    <w:basedOn w:val="BaseHeading"/>
    <w:rsid w:val="009A3899"/>
  </w:style>
  <w:style w:type="paragraph" w:customStyle="1" w:styleId="Teaser">
    <w:name w:val="Teaser"/>
    <w:basedOn w:val="BaseText"/>
    <w:rsid w:val="009A3899"/>
  </w:style>
  <w:style w:type="paragraph" w:customStyle="1" w:styleId="TWIS">
    <w:name w:val="TWIS"/>
    <w:basedOn w:val="AbstractSummary"/>
    <w:rsid w:val="009A3899"/>
    <w:pPr>
      <w:autoSpaceDE w:val="0"/>
      <w:autoSpaceDN w:val="0"/>
      <w:adjustRightInd w:val="0"/>
    </w:pPr>
  </w:style>
  <w:style w:type="paragraph" w:customStyle="1" w:styleId="TWISorEC">
    <w:name w:val="TWIS or EC"/>
    <w:basedOn w:val="Normal"/>
    <w:rsid w:val="009A3899"/>
    <w:pPr>
      <w:spacing w:line="210" w:lineRule="exact"/>
    </w:pPr>
    <w:rPr>
      <w:rFonts w:ascii="BlissRegular" w:eastAsia="Times New Roman" w:hAnsi="BlissRegular"/>
      <w:sz w:val="19"/>
    </w:rPr>
  </w:style>
  <w:style w:type="paragraph" w:customStyle="1" w:styleId="work-sector">
    <w:name w:val="work-sector"/>
    <w:basedOn w:val="BaseText"/>
    <w:rsid w:val="009A3899"/>
    <w:pPr>
      <w:jc w:val="right"/>
    </w:pPr>
    <w:rPr>
      <w:color w:val="003300"/>
    </w:rPr>
  </w:style>
  <w:style w:type="paragraph" w:customStyle="1" w:styleId="DOI">
    <w:name w:val="DOI"/>
    <w:basedOn w:val="DateAccepted"/>
    <w:qFormat/>
    <w:rsid w:val="009A7F20"/>
  </w:style>
  <w:style w:type="paragraph" w:styleId="NormalWeb">
    <w:name w:val="Normal (Web)"/>
    <w:basedOn w:val="Normal"/>
    <w:uiPriority w:val="99"/>
    <w:unhideWhenUsed/>
    <w:rsid w:val="00574A5A"/>
    <w:pPr>
      <w:spacing w:before="100" w:beforeAutospacing="1" w:after="100" w:afterAutospacing="1"/>
    </w:pPr>
    <w:rPr>
      <w:rFonts w:ascii="Times" w:eastAsiaTheme="minorEastAsia" w:hAnsi="Times"/>
    </w:rPr>
  </w:style>
  <w:style w:type="paragraph" w:styleId="ListParagraph">
    <w:name w:val="List Paragraph"/>
    <w:basedOn w:val="Normal"/>
    <w:uiPriority w:val="72"/>
    <w:qFormat/>
    <w:rsid w:val="00994DC3"/>
    <w:pPr>
      <w:ind w:left="720"/>
      <w:contextualSpacing/>
    </w:pPr>
  </w:style>
  <w:style w:type="paragraph" w:styleId="Revision">
    <w:name w:val="Revision"/>
    <w:hidden/>
    <w:uiPriority w:val="71"/>
    <w:rsid w:val="00043260"/>
    <w:rPr>
      <w:lang w:val="en-GB"/>
    </w:rPr>
  </w:style>
  <w:style w:type="paragraph" w:customStyle="1" w:styleId="SMHeading">
    <w:name w:val="SM Heading"/>
    <w:basedOn w:val="Heading1"/>
    <w:qFormat/>
    <w:rsid w:val="006E637D"/>
    <w:pPr>
      <w:keepLines w:val="0"/>
      <w:spacing w:before="240" w:after="60"/>
    </w:pPr>
    <w:rPr>
      <w:rFonts w:ascii="Times New Roman" w:eastAsia="Times New Roman" w:hAnsi="Times New Roman" w:cs="Times New Roman"/>
      <w:color w:val="auto"/>
      <w:kern w:val="32"/>
      <w:sz w:val="24"/>
      <w:szCs w:val="24"/>
      <w:lang w:val="en-US"/>
    </w:rPr>
  </w:style>
  <w:style w:type="character" w:customStyle="1" w:styleId="tgc">
    <w:name w:val="_tgc"/>
    <w:rsid w:val="006E637D"/>
  </w:style>
  <w:style w:type="character" w:customStyle="1" w:styleId="st">
    <w:name w:val="st"/>
    <w:rsid w:val="006E637D"/>
  </w:style>
  <w:style w:type="character" w:customStyle="1" w:styleId="Heading1Char">
    <w:name w:val="Heading 1 Char"/>
    <w:basedOn w:val="DefaultParagraphFont"/>
    <w:link w:val="Heading1"/>
    <w:uiPriority w:val="9"/>
    <w:rsid w:val="006E637D"/>
    <w:rPr>
      <w:rFonts w:asciiTheme="majorHAnsi" w:eastAsiaTheme="majorEastAsia" w:hAnsiTheme="majorHAnsi" w:cstheme="majorBidi"/>
      <w:b/>
      <w:bCs/>
      <w:color w:val="345A8A" w:themeColor="accent1" w:themeShade="B5"/>
      <w:sz w:val="32"/>
      <w:szCs w:val="32"/>
      <w:lang w:val="en-GB"/>
    </w:rPr>
  </w:style>
  <w:style w:type="table" w:styleId="TableGrid">
    <w:name w:val="Table Grid"/>
    <w:basedOn w:val="TableNormal"/>
    <w:uiPriority w:val="59"/>
    <w:rsid w:val="002B2CF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semiHidden/>
    <w:rsid w:val="00BA058A"/>
    <w:rPr>
      <w:rFonts w:asciiTheme="majorHAnsi" w:eastAsiaTheme="majorEastAsia" w:hAnsiTheme="majorHAnsi" w:cstheme="majorBidi"/>
      <w:b/>
      <w:bCs/>
      <w:color w:val="4F81BD" w:themeColor="accent1"/>
      <w:sz w:val="26"/>
      <w:szCs w:val="2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932398">
      <w:bodyDiv w:val="1"/>
      <w:marLeft w:val="0"/>
      <w:marRight w:val="0"/>
      <w:marTop w:val="0"/>
      <w:marBottom w:val="0"/>
      <w:divBdr>
        <w:top w:val="none" w:sz="0" w:space="0" w:color="auto"/>
        <w:left w:val="none" w:sz="0" w:space="0" w:color="auto"/>
        <w:bottom w:val="none" w:sz="0" w:space="0" w:color="auto"/>
        <w:right w:val="none" w:sz="0" w:space="0" w:color="auto"/>
      </w:divBdr>
    </w:div>
    <w:div w:id="340471325">
      <w:bodyDiv w:val="1"/>
      <w:marLeft w:val="0"/>
      <w:marRight w:val="0"/>
      <w:marTop w:val="0"/>
      <w:marBottom w:val="0"/>
      <w:divBdr>
        <w:top w:val="none" w:sz="0" w:space="0" w:color="auto"/>
        <w:left w:val="none" w:sz="0" w:space="0" w:color="auto"/>
        <w:bottom w:val="none" w:sz="0" w:space="0" w:color="auto"/>
        <w:right w:val="none" w:sz="0" w:space="0" w:color="auto"/>
      </w:divBdr>
      <w:divsChild>
        <w:div w:id="1745494314">
          <w:marLeft w:val="0"/>
          <w:marRight w:val="0"/>
          <w:marTop w:val="0"/>
          <w:marBottom w:val="0"/>
          <w:divBdr>
            <w:top w:val="none" w:sz="0" w:space="0" w:color="auto"/>
            <w:left w:val="none" w:sz="0" w:space="0" w:color="auto"/>
            <w:bottom w:val="none" w:sz="0" w:space="0" w:color="auto"/>
            <w:right w:val="none" w:sz="0" w:space="0" w:color="auto"/>
          </w:divBdr>
          <w:divsChild>
            <w:div w:id="416709273">
              <w:marLeft w:val="0"/>
              <w:marRight w:val="0"/>
              <w:marTop w:val="0"/>
              <w:marBottom w:val="0"/>
              <w:divBdr>
                <w:top w:val="none" w:sz="0" w:space="0" w:color="auto"/>
                <w:left w:val="none" w:sz="0" w:space="0" w:color="auto"/>
                <w:bottom w:val="none" w:sz="0" w:space="0" w:color="auto"/>
                <w:right w:val="none" w:sz="0" w:space="0" w:color="auto"/>
              </w:divBdr>
            </w:div>
          </w:divsChild>
        </w:div>
        <w:div w:id="1450931068">
          <w:marLeft w:val="0"/>
          <w:marRight w:val="0"/>
          <w:marTop w:val="0"/>
          <w:marBottom w:val="225"/>
          <w:divBdr>
            <w:top w:val="none" w:sz="0" w:space="0" w:color="auto"/>
            <w:left w:val="none" w:sz="0" w:space="0" w:color="auto"/>
            <w:bottom w:val="none" w:sz="0" w:space="0" w:color="auto"/>
            <w:right w:val="none" w:sz="0" w:space="0" w:color="auto"/>
          </w:divBdr>
          <w:divsChild>
            <w:div w:id="9187200">
              <w:marLeft w:val="0"/>
              <w:marRight w:val="0"/>
              <w:marTop w:val="0"/>
              <w:marBottom w:val="0"/>
              <w:divBdr>
                <w:top w:val="none" w:sz="0" w:space="0" w:color="auto"/>
                <w:left w:val="none" w:sz="0" w:space="0" w:color="auto"/>
                <w:bottom w:val="none" w:sz="0" w:space="0" w:color="auto"/>
                <w:right w:val="none" w:sz="0" w:space="0" w:color="auto"/>
              </w:divBdr>
              <w:divsChild>
                <w:div w:id="1303269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4298998">
      <w:bodyDiv w:val="1"/>
      <w:marLeft w:val="0"/>
      <w:marRight w:val="0"/>
      <w:marTop w:val="0"/>
      <w:marBottom w:val="0"/>
      <w:divBdr>
        <w:top w:val="none" w:sz="0" w:space="0" w:color="auto"/>
        <w:left w:val="none" w:sz="0" w:space="0" w:color="auto"/>
        <w:bottom w:val="none" w:sz="0" w:space="0" w:color="auto"/>
        <w:right w:val="none" w:sz="0" w:space="0" w:color="auto"/>
      </w:divBdr>
    </w:div>
    <w:div w:id="641425020">
      <w:bodyDiv w:val="1"/>
      <w:marLeft w:val="0"/>
      <w:marRight w:val="0"/>
      <w:marTop w:val="0"/>
      <w:marBottom w:val="0"/>
      <w:divBdr>
        <w:top w:val="none" w:sz="0" w:space="0" w:color="auto"/>
        <w:left w:val="none" w:sz="0" w:space="0" w:color="auto"/>
        <w:bottom w:val="none" w:sz="0" w:space="0" w:color="auto"/>
        <w:right w:val="none" w:sz="0" w:space="0" w:color="auto"/>
      </w:divBdr>
      <w:divsChild>
        <w:div w:id="805271469">
          <w:marLeft w:val="0"/>
          <w:marRight w:val="0"/>
          <w:marTop w:val="0"/>
          <w:marBottom w:val="0"/>
          <w:divBdr>
            <w:top w:val="none" w:sz="0" w:space="0" w:color="auto"/>
            <w:left w:val="none" w:sz="0" w:space="0" w:color="auto"/>
            <w:bottom w:val="none" w:sz="0" w:space="0" w:color="auto"/>
            <w:right w:val="none" w:sz="0" w:space="0" w:color="auto"/>
          </w:divBdr>
        </w:div>
      </w:divsChild>
    </w:div>
    <w:div w:id="1143499071">
      <w:bodyDiv w:val="1"/>
      <w:marLeft w:val="0"/>
      <w:marRight w:val="0"/>
      <w:marTop w:val="0"/>
      <w:marBottom w:val="0"/>
      <w:divBdr>
        <w:top w:val="none" w:sz="0" w:space="0" w:color="auto"/>
        <w:left w:val="none" w:sz="0" w:space="0" w:color="auto"/>
        <w:bottom w:val="none" w:sz="0" w:space="0" w:color="auto"/>
        <w:right w:val="none" w:sz="0" w:space="0" w:color="auto"/>
      </w:divBdr>
      <w:divsChild>
        <w:div w:id="663439702">
          <w:marLeft w:val="0"/>
          <w:marRight w:val="0"/>
          <w:marTop w:val="0"/>
          <w:marBottom w:val="0"/>
          <w:divBdr>
            <w:top w:val="none" w:sz="0" w:space="0" w:color="auto"/>
            <w:left w:val="none" w:sz="0" w:space="0" w:color="auto"/>
            <w:bottom w:val="none" w:sz="0" w:space="0" w:color="auto"/>
            <w:right w:val="none" w:sz="0" w:space="0" w:color="auto"/>
          </w:divBdr>
        </w:div>
      </w:divsChild>
    </w:div>
    <w:div w:id="1198741070">
      <w:bodyDiv w:val="1"/>
      <w:marLeft w:val="0"/>
      <w:marRight w:val="0"/>
      <w:marTop w:val="0"/>
      <w:marBottom w:val="0"/>
      <w:divBdr>
        <w:top w:val="none" w:sz="0" w:space="0" w:color="auto"/>
        <w:left w:val="none" w:sz="0" w:space="0" w:color="auto"/>
        <w:bottom w:val="none" w:sz="0" w:space="0" w:color="auto"/>
        <w:right w:val="none" w:sz="0" w:space="0" w:color="auto"/>
      </w:divBdr>
    </w:div>
    <w:div w:id="1288925827">
      <w:bodyDiv w:val="1"/>
      <w:marLeft w:val="0"/>
      <w:marRight w:val="0"/>
      <w:marTop w:val="0"/>
      <w:marBottom w:val="0"/>
      <w:divBdr>
        <w:top w:val="none" w:sz="0" w:space="0" w:color="auto"/>
        <w:left w:val="none" w:sz="0" w:space="0" w:color="auto"/>
        <w:bottom w:val="none" w:sz="0" w:space="0" w:color="auto"/>
        <w:right w:val="none" w:sz="0" w:space="0" w:color="auto"/>
      </w:divBdr>
    </w:div>
    <w:div w:id="1409838856">
      <w:bodyDiv w:val="1"/>
      <w:marLeft w:val="0"/>
      <w:marRight w:val="0"/>
      <w:marTop w:val="0"/>
      <w:marBottom w:val="0"/>
      <w:divBdr>
        <w:top w:val="none" w:sz="0" w:space="0" w:color="auto"/>
        <w:left w:val="none" w:sz="0" w:space="0" w:color="auto"/>
        <w:bottom w:val="none" w:sz="0" w:space="0" w:color="auto"/>
        <w:right w:val="none" w:sz="0" w:space="0" w:color="auto"/>
      </w:divBdr>
    </w:div>
    <w:div w:id="1710254704">
      <w:bodyDiv w:val="1"/>
      <w:marLeft w:val="0"/>
      <w:marRight w:val="0"/>
      <w:marTop w:val="0"/>
      <w:marBottom w:val="0"/>
      <w:divBdr>
        <w:top w:val="none" w:sz="0" w:space="0" w:color="auto"/>
        <w:left w:val="none" w:sz="0" w:space="0" w:color="auto"/>
        <w:bottom w:val="none" w:sz="0" w:space="0" w:color="auto"/>
        <w:right w:val="none" w:sz="0" w:space="0" w:color="auto"/>
      </w:divBdr>
    </w:div>
    <w:div w:id="1733039534">
      <w:bodyDiv w:val="1"/>
      <w:marLeft w:val="0"/>
      <w:marRight w:val="0"/>
      <w:marTop w:val="0"/>
      <w:marBottom w:val="0"/>
      <w:divBdr>
        <w:top w:val="none" w:sz="0" w:space="0" w:color="auto"/>
        <w:left w:val="none" w:sz="0" w:space="0" w:color="auto"/>
        <w:bottom w:val="none" w:sz="0" w:space="0" w:color="auto"/>
        <w:right w:val="none" w:sz="0" w:space="0" w:color="auto"/>
      </w:divBdr>
    </w:div>
    <w:div w:id="1862235764">
      <w:bodyDiv w:val="1"/>
      <w:marLeft w:val="0"/>
      <w:marRight w:val="0"/>
      <w:marTop w:val="0"/>
      <w:marBottom w:val="0"/>
      <w:divBdr>
        <w:top w:val="none" w:sz="0" w:space="0" w:color="auto"/>
        <w:left w:val="none" w:sz="0" w:space="0" w:color="auto"/>
        <w:bottom w:val="none" w:sz="0" w:space="0" w:color="auto"/>
        <w:right w:val="none" w:sz="0" w:space="0" w:color="auto"/>
      </w:divBdr>
    </w:div>
    <w:div w:id="1876845303">
      <w:bodyDiv w:val="1"/>
      <w:marLeft w:val="0"/>
      <w:marRight w:val="0"/>
      <w:marTop w:val="0"/>
      <w:marBottom w:val="0"/>
      <w:divBdr>
        <w:top w:val="none" w:sz="0" w:space="0" w:color="auto"/>
        <w:left w:val="none" w:sz="0" w:space="0" w:color="auto"/>
        <w:bottom w:val="none" w:sz="0" w:space="0" w:color="auto"/>
        <w:right w:val="none" w:sz="0" w:space="0" w:color="auto"/>
      </w:divBdr>
    </w:div>
    <w:div w:id="1902473678">
      <w:bodyDiv w:val="1"/>
      <w:marLeft w:val="0"/>
      <w:marRight w:val="0"/>
      <w:marTop w:val="0"/>
      <w:marBottom w:val="0"/>
      <w:divBdr>
        <w:top w:val="none" w:sz="0" w:space="0" w:color="auto"/>
        <w:left w:val="none" w:sz="0" w:space="0" w:color="auto"/>
        <w:bottom w:val="none" w:sz="0" w:space="0" w:color="auto"/>
        <w:right w:val="none" w:sz="0" w:space="0" w:color="auto"/>
      </w:divBdr>
      <w:divsChild>
        <w:div w:id="1701782027">
          <w:marLeft w:val="0"/>
          <w:marRight w:val="0"/>
          <w:marTop w:val="0"/>
          <w:marBottom w:val="0"/>
          <w:divBdr>
            <w:top w:val="none" w:sz="0" w:space="0" w:color="auto"/>
            <w:left w:val="none" w:sz="0" w:space="0" w:color="auto"/>
            <w:bottom w:val="none" w:sz="0" w:space="0" w:color="auto"/>
            <w:right w:val="none" w:sz="0" w:space="0" w:color="auto"/>
          </w:divBdr>
          <w:divsChild>
            <w:div w:id="1612779734">
              <w:marLeft w:val="0"/>
              <w:marRight w:val="0"/>
              <w:marTop w:val="0"/>
              <w:marBottom w:val="0"/>
              <w:divBdr>
                <w:top w:val="none" w:sz="0" w:space="0" w:color="auto"/>
                <w:left w:val="none" w:sz="0" w:space="0" w:color="auto"/>
                <w:bottom w:val="none" w:sz="0" w:space="0" w:color="auto"/>
                <w:right w:val="none" w:sz="0" w:space="0" w:color="auto"/>
              </w:divBdr>
            </w:div>
            <w:div w:id="331494889">
              <w:marLeft w:val="0"/>
              <w:marRight w:val="0"/>
              <w:marTop w:val="0"/>
              <w:marBottom w:val="0"/>
              <w:divBdr>
                <w:top w:val="none" w:sz="0" w:space="0" w:color="auto"/>
                <w:left w:val="none" w:sz="0" w:space="0" w:color="auto"/>
                <w:bottom w:val="none" w:sz="0" w:space="0" w:color="auto"/>
                <w:right w:val="none" w:sz="0" w:space="0" w:color="auto"/>
              </w:divBdr>
            </w:div>
          </w:divsChild>
        </w:div>
        <w:div w:id="731539788">
          <w:marLeft w:val="0"/>
          <w:marRight w:val="0"/>
          <w:marTop w:val="0"/>
          <w:marBottom w:val="0"/>
          <w:divBdr>
            <w:top w:val="none" w:sz="0" w:space="0" w:color="auto"/>
            <w:left w:val="none" w:sz="0" w:space="0" w:color="auto"/>
            <w:bottom w:val="none" w:sz="0" w:space="0" w:color="auto"/>
            <w:right w:val="none" w:sz="0" w:space="0" w:color="auto"/>
          </w:divBdr>
        </w:div>
      </w:divsChild>
    </w:div>
  </w:divs>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a.brand@gurdon.cam.ac.uk" TargetMode="Externa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18</Pages>
  <Words>24984</Words>
  <Characters>142413</Characters>
  <Application>Microsoft Macintosh Word</Application>
  <DocSecurity>0</DocSecurity>
  <Lines>1186</Lines>
  <Paragraphs>334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167063</CharactersWithSpaces>
  <SharedDoc>false</SharedDoc>
  <HLinks>
    <vt:vector size="24" baseType="variant">
      <vt:variant>
        <vt:i4>7077934</vt:i4>
      </vt:variant>
      <vt:variant>
        <vt:i4>9</vt:i4>
      </vt:variant>
      <vt:variant>
        <vt:i4>0</vt:i4>
      </vt:variant>
      <vt:variant>
        <vt:i4>5</vt:i4>
      </vt:variant>
      <vt:variant>
        <vt:lpwstr>http://www.sciencemag.org/about/authors/prep/res/refs.xhtml</vt:lpwstr>
      </vt:variant>
      <vt:variant>
        <vt:lpwstr/>
      </vt:variant>
      <vt:variant>
        <vt:i4>5177356</vt:i4>
      </vt:variant>
      <vt:variant>
        <vt:i4>6</vt:i4>
      </vt:variant>
      <vt:variant>
        <vt:i4>0</vt:i4>
      </vt:variant>
      <vt:variant>
        <vt:i4>5</vt:i4>
      </vt:variant>
      <vt:variant>
        <vt:lpwstr>http://www.tug.org/utilities/texconv/textopc.html</vt:lpwstr>
      </vt:variant>
      <vt:variant>
        <vt:lpwstr/>
      </vt:variant>
      <vt:variant>
        <vt:i4>3801121</vt:i4>
      </vt:variant>
      <vt:variant>
        <vt:i4>3</vt:i4>
      </vt:variant>
      <vt:variant>
        <vt:i4>0</vt:i4>
      </vt:variant>
      <vt:variant>
        <vt:i4>5</vt:i4>
      </vt:variant>
      <vt:variant>
        <vt:lpwstr>http://www.sciencemag.org/site/feature/contribinfo/index.xhtml</vt:lpwstr>
      </vt:variant>
      <vt:variant>
        <vt:lpwstr/>
      </vt:variant>
      <vt:variant>
        <vt:i4>7798821</vt:i4>
      </vt:variant>
      <vt:variant>
        <vt:i4>0</vt:i4>
      </vt:variant>
      <vt:variant>
        <vt:i4>0</vt:i4>
      </vt:variant>
      <vt:variant>
        <vt:i4>5</vt:i4>
      </vt:variant>
      <vt:variant>
        <vt:lpwstr>http://www.submit2science.org/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bhanson</dc:creator>
  <cp:lastModifiedBy>Seth Cheetham</cp:lastModifiedBy>
  <cp:revision>2</cp:revision>
  <cp:lastPrinted>2017-04-17T11:27:00Z</cp:lastPrinted>
  <dcterms:created xsi:type="dcterms:W3CDTF">2017-10-23T05:58:00Z</dcterms:created>
  <dcterms:modified xsi:type="dcterms:W3CDTF">2017-10-23T05:58:00Z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http://www.zotero.org/styles/nature</vt:lpwstr>
  </property>
  <property fmtid="{D5CDD505-2E9C-101B-9397-08002B2CF9AE}" pid="4" name="Mendeley Recent Style Id 0_1">
    <vt:lpwstr>http://www.zotero.org/styles/american-political-science-association</vt:lpwstr>
  </property>
  <property fmtid="{D5CDD505-2E9C-101B-9397-08002B2CF9AE}" pid="5" name="Mendeley Recent Style Name 0_1">
    <vt:lpwstr>American Political Science Association</vt:lpwstr>
  </property>
  <property fmtid="{D5CDD505-2E9C-101B-9397-08002B2CF9AE}" pid="6" name="Mendeley Recent Style Id 1_1">
    <vt:lpwstr>http://www.zotero.org/styles/apa</vt:lpwstr>
  </property>
  <property fmtid="{D5CDD505-2E9C-101B-9397-08002B2CF9AE}" pid="7" name="Mendeley Recent Style Name 1_1">
    <vt:lpwstr>American Psychological Association 6th edition</vt:lpwstr>
  </property>
  <property fmtid="{D5CDD505-2E9C-101B-9397-08002B2CF9AE}" pid="8" name="Mendeley Recent Style Id 2_1">
    <vt:lpwstr>http://www.zotero.org/styles/american-sociological-association</vt:lpwstr>
  </property>
  <property fmtid="{D5CDD505-2E9C-101B-9397-08002B2CF9AE}" pid="9" name="Mendeley Recent Style Name 2_1">
    <vt:lpwstr>American Sociological Association</vt:lpwstr>
  </property>
  <property fmtid="{D5CDD505-2E9C-101B-9397-08002B2CF9AE}" pid="10" name="Mendeley Recent Style Id 3_1">
    <vt:lpwstr>http://www.zotero.org/styles/cell</vt:lpwstr>
  </property>
  <property fmtid="{D5CDD505-2E9C-101B-9397-08002B2CF9AE}" pid="11" name="Mendeley Recent Style Name 3_1">
    <vt:lpwstr>Cell</vt:lpwstr>
  </property>
  <property fmtid="{D5CDD505-2E9C-101B-9397-08002B2CF9AE}" pid="12" name="Mendeley Recent Style Id 4_1">
    <vt:lpwstr>http://www.zotero.org/styles/development</vt:lpwstr>
  </property>
  <property fmtid="{D5CDD505-2E9C-101B-9397-08002B2CF9AE}" pid="13" name="Mendeley Recent Style Name 4_1">
    <vt:lpwstr>Development</vt:lpwstr>
  </property>
  <property fmtid="{D5CDD505-2E9C-101B-9397-08002B2CF9AE}" pid="14" name="Mendeley Recent Style Id 5_1">
    <vt:lpwstr>http://www.zotero.org/styles/embo-reports</vt:lpwstr>
  </property>
  <property fmtid="{D5CDD505-2E9C-101B-9397-08002B2CF9AE}" pid="15" name="Mendeley Recent Style Name 5_1">
    <vt:lpwstr>EMBO reports</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7th edition</vt:lpwstr>
  </property>
  <property fmtid="{D5CDD505-2E9C-101B-9397-08002B2CF9AE}" pid="22" name="Mendeley Recent Style Id 9_1">
    <vt:lpwstr>http://www.zotero.org/styles/nature</vt:lpwstr>
  </property>
  <property fmtid="{D5CDD505-2E9C-101B-9397-08002B2CF9AE}" pid="23" name="Mendeley Recent Style Name 9_1">
    <vt:lpwstr>Nature</vt:lpwstr>
  </property>
  <property fmtid="{D5CDD505-2E9C-101B-9397-08002B2CF9AE}" pid="24" name="Mendeley Unique User Id_1">
    <vt:lpwstr>7473b918-026e-37c7-8189-0a292524d51a</vt:lpwstr>
  </property>
</Properties>
</file>