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8EC32B" w14:textId="5E41193A" w:rsidR="00F20752" w:rsidRPr="00796F65" w:rsidRDefault="003019A4" w:rsidP="003019A4">
      <w:pPr>
        <w:spacing w:line="480" w:lineRule="auto"/>
        <w:jc w:val="both"/>
        <w:rPr>
          <w:rFonts w:ascii="Times New Roman" w:hAnsi="Times New Roman" w:cs="Times New Roman"/>
          <w:b/>
        </w:rPr>
      </w:pPr>
      <w:r>
        <w:rPr>
          <w:rFonts w:ascii="Times New Roman" w:hAnsi="Times New Roman" w:cs="Times New Roman"/>
          <w:b/>
        </w:rPr>
        <w:t>IS CARBOPLATIN-BASED CHEMOTHERAPY AS EFFECTIVE AS C</w:t>
      </w:r>
      <w:r w:rsidR="007C18B1">
        <w:rPr>
          <w:rFonts w:ascii="Times New Roman" w:hAnsi="Times New Roman" w:cs="Times New Roman"/>
          <w:b/>
        </w:rPr>
        <w:t xml:space="preserve">ISPLATIN-BASED CHEMOTHERAPY IN THE TREATMENT OF </w:t>
      </w:r>
      <w:r>
        <w:rPr>
          <w:rFonts w:ascii="Times New Roman" w:hAnsi="Times New Roman" w:cs="Times New Roman"/>
          <w:b/>
        </w:rPr>
        <w:t xml:space="preserve">ADVANCED-STAGE </w:t>
      </w:r>
      <w:commentRangeStart w:id="0"/>
      <w:r w:rsidR="00AC4598" w:rsidRPr="00796F65">
        <w:rPr>
          <w:rFonts w:ascii="Times New Roman" w:hAnsi="Times New Roman" w:cs="Times New Roman"/>
          <w:b/>
        </w:rPr>
        <w:t xml:space="preserve">DYSGERMINOMA </w:t>
      </w:r>
      <w:commentRangeEnd w:id="0"/>
      <w:r w:rsidR="0013421A" w:rsidRPr="00796F65">
        <w:rPr>
          <w:rStyle w:val="CommentReference"/>
          <w:rFonts w:ascii="Times New Roman" w:hAnsi="Times New Roman" w:cs="Times New Roman"/>
          <w:sz w:val="24"/>
          <w:szCs w:val="24"/>
        </w:rPr>
        <w:commentReference w:id="0"/>
      </w:r>
      <w:r w:rsidR="00AC4598" w:rsidRPr="00796F65">
        <w:rPr>
          <w:rFonts w:ascii="Times New Roman" w:hAnsi="Times New Roman" w:cs="Times New Roman"/>
          <w:b/>
        </w:rPr>
        <w:t>IN CHILD</w:t>
      </w:r>
      <w:r w:rsidR="00313C3A" w:rsidRPr="00796F65">
        <w:rPr>
          <w:rFonts w:ascii="Times New Roman" w:hAnsi="Times New Roman" w:cs="Times New Roman"/>
          <w:b/>
        </w:rPr>
        <w:t>REN, ADOLESCENT</w:t>
      </w:r>
      <w:r w:rsidR="00D73076" w:rsidRPr="00796F65">
        <w:rPr>
          <w:rFonts w:ascii="Times New Roman" w:hAnsi="Times New Roman" w:cs="Times New Roman"/>
          <w:b/>
        </w:rPr>
        <w:t>S</w:t>
      </w:r>
      <w:r w:rsidR="00313C3A" w:rsidRPr="00796F65">
        <w:rPr>
          <w:rFonts w:ascii="Times New Roman" w:hAnsi="Times New Roman" w:cs="Times New Roman"/>
          <w:b/>
        </w:rPr>
        <w:t xml:space="preserve"> AND YOUNG ADULT</w:t>
      </w:r>
      <w:r w:rsidR="001D53FC" w:rsidRPr="00796F65">
        <w:rPr>
          <w:rFonts w:ascii="Times New Roman" w:hAnsi="Times New Roman" w:cs="Times New Roman"/>
          <w:b/>
        </w:rPr>
        <w:t>S</w:t>
      </w:r>
      <w:r w:rsidR="00EC014B">
        <w:rPr>
          <w:rFonts w:ascii="Times New Roman" w:hAnsi="Times New Roman" w:cs="Times New Roman"/>
          <w:b/>
        </w:rPr>
        <w:t>?</w:t>
      </w:r>
    </w:p>
    <w:p w14:paraId="6AE22FF2" w14:textId="788B7C80" w:rsidR="00913E19" w:rsidRPr="00796F65" w:rsidRDefault="00830D7A" w:rsidP="00796F65">
      <w:pPr>
        <w:spacing w:line="480" w:lineRule="auto"/>
        <w:jc w:val="both"/>
        <w:rPr>
          <w:rFonts w:ascii="Times New Roman" w:hAnsi="Times New Roman" w:cs="Times New Roman"/>
          <w:vertAlign w:val="superscript"/>
        </w:rPr>
      </w:pPr>
      <w:r w:rsidRPr="00796F65">
        <w:rPr>
          <w:rFonts w:ascii="Times New Roman" w:hAnsi="Times New Roman" w:cs="Times New Roman"/>
        </w:rPr>
        <w:t>Rachana Shah</w:t>
      </w:r>
      <w:r w:rsidR="00E84A36" w:rsidRPr="00796F65">
        <w:rPr>
          <w:rFonts w:ascii="Times New Roman" w:hAnsi="Times New Roman" w:cs="Times New Roman"/>
          <w:vertAlign w:val="superscript"/>
        </w:rPr>
        <w:t>1</w:t>
      </w:r>
      <w:r w:rsidRPr="00796F65">
        <w:rPr>
          <w:rFonts w:ascii="Times New Roman" w:hAnsi="Times New Roman" w:cs="Times New Roman"/>
        </w:rPr>
        <w:t>, Caihong Xia</w:t>
      </w:r>
      <w:r w:rsidR="001B5E07" w:rsidRPr="00796F65">
        <w:rPr>
          <w:rFonts w:ascii="Times New Roman" w:hAnsi="Times New Roman" w:cs="Times New Roman"/>
          <w:vertAlign w:val="superscript"/>
        </w:rPr>
        <w:t>2</w:t>
      </w:r>
      <w:r w:rsidRPr="00796F65">
        <w:rPr>
          <w:rFonts w:ascii="Times New Roman" w:hAnsi="Times New Roman" w:cs="Times New Roman"/>
        </w:rPr>
        <w:t>, Mark Krailo</w:t>
      </w:r>
      <w:r w:rsidR="001B5E07" w:rsidRPr="00796F65">
        <w:rPr>
          <w:rFonts w:ascii="Times New Roman" w:hAnsi="Times New Roman" w:cs="Times New Roman"/>
          <w:vertAlign w:val="superscript"/>
        </w:rPr>
        <w:t>2</w:t>
      </w:r>
      <w:r w:rsidR="00E84A36" w:rsidRPr="00796F65">
        <w:rPr>
          <w:rFonts w:ascii="Times New Roman" w:hAnsi="Times New Roman" w:cs="Times New Roman"/>
          <w:vertAlign w:val="subscript"/>
        </w:rPr>
        <w:t>’</w:t>
      </w:r>
      <w:r w:rsidR="001B5E07" w:rsidRPr="00796F65">
        <w:rPr>
          <w:rFonts w:ascii="Times New Roman" w:hAnsi="Times New Roman" w:cs="Times New Roman"/>
          <w:vertAlign w:val="superscript"/>
        </w:rPr>
        <w:t>3</w:t>
      </w:r>
      <w:r w:rsidRPr="00796F65">
        <w:rPr>
          <w:rFonts w:ascii="Times New Roman" w:hAnsi="Times New Roman" w:cs="Times New Roman"/>
        </w:rPr>
        <w:t xml:space="preserve">, </w:t>
      </w:r>
      <w:r w:rsidR="00D7333C" w:rsidRPr="00796F65">
        <w:rPr>
          <w:rFonts w:ascii="Times New Roman" w:hAnsi="Times New Roman" w:cs="Times New Roman"/>
        </w:rPr>
        <w:t>James F. Amatruda</w:t>
      </w:r>
      <w:r w:rsidR="00BA327D" w:rsidRPr="00796F65">
        <w:rPr>
          <w:rFonts w:ascii="Times New Roman" w:hAnsi="Times New Roman" w:cs="Times New Roman"/>
          <w:vertAlign w:val="superscript"/>
        </w:rPr>
        <w:t>4</w:t>
      </w:r>
      <w:r w:rsidR="00D7333C" w:rsidRPr="00796F65">
        <w:rPr>
          <w:rFonts w:ascii="Times New Roman" w:hAnsi="Times New Roman" w:cs="Times New Roman"/>
        </w:rPr>
        <w:t>, G. Suren Arul</w:t>
      </w:r>
      <w:r w:rsidR="00A47082" w:rsidRPr="00796F65">
        <w:rPr>
          <w:rFonts w:ascii="Times New Roman" w:hAnsi="Times New Roman" w:cs="Times New Roman"/>
          <w:vertAlign w:val="superscript"/>
        </w:rPr>
        <w:t>5</w:t>
      </w:r>
      <w:r w:rsidR="00D7333C" w:rsidRPr="00796F65">
        <w:rPr>
          <w:rFonts w:ascii="Times New Roman" w:hAnsi="Times New Roman" w:cs="Times New Roman"/>
        </w:rPr>
        <w:t>, Deborah F. Billmire</w:t>
      </w:r>
      <w:r w:rsidR="00A47082" w:rsidRPr="00796F65">
        <w:rPr>
          <w:rFonts w:ascii="Times New Roman" w:hAnsi="Times New Roman" w:cs="Times New Roman"/>
          <w:vertAlign w:val="superscript"/>
        </w:rPr>
        <w:t>6</w:t>
      </w:r>
      <w:r w:rsidR="00D7333C" w:rsidRPr="00796F65">
        <w:rPr>
          <w:rFonts w:ascii="Times New Roman" w:hAnsi="Times New Roman" w:cs="Times New Roman"/>
        </w:rPr>
        <w:t>, William E. Brady</w:t>
      </w:r>
      <w:r w:rsidR="00A47082" w:rsidRPr="00796F65">
        <w:rPr>
          <w:rFonts w:ascii="Times New Roman" w:hAnsi="Times New Roman" w:cs="Times New Roman"/>
          <w:vertAlign w:val="superscript"/>
        </w:rPr>
        <w:t>7</w:t>
      </w:r>
      <w:r w:rsidR="00D7333C" w:rsidRPr="00796F65">
        <w:rPr>
          <w:rFonts w:ascii="Times New Roman" w:hAnsi="Times New Roman" w:cs="Times New Roman"/>
        </w:rPr>
        <w:t>, Allan Covens</w:t>
      </w:r>
      <w:r w:rsidR="004B4C8D" w:rsidRPr="00796F65">
        <w:rPr>
          <w:rFonts w:ascii="Times New Roman" w:hAnsi="Times New Roman" w:cs="Times New Roman"/>
          <w:vertAlign w:val="superscript"/>
        </w:rPr>
        <w:t>8</w:t>
      </w:r>
      <w:r w:rsidR="00D7333C" w:rsidRPr="00796F65">
        <w:rPr>
          <w:rFonts w:ascii="Times New Roman" w:hAnsi="Times New Roman" w:cs="Times New Roman"/>
        </w:rPr>
        <w:t>, David M. Gershenson</w:t>
      </w:r>
      <w:r w:rsidR="003906B9" w:rsidRPr="00796F65">
        <w:rPr>
          <w:rFonts w:ascii="Times New Roman" w:hAnsi="Times New Roman" w:cs="Times New Roman"/>
          <w:vertAlign w:val="superscript"/>
        </w:rPr>
        <w:t>9</w:t>
      </w:r>
      <w:r w:rsidR="00D7333C" w:rsidRPr="00796F65">
        <w:rPr>
          <w:rFonts w:ascii="Times New Roman" w:hAnsi="Times New Roman" w:cs="Times New Roman"/>
        </w:rPr>
        <w:t>, Juliet P. Hale</w:t>
      </w:r>
      <w:r w:rsidR="003906B9" w:rsidRPr="00796F65">
        <w:rPr>
          <w:rFonts w:ascii="Times New Roman" w:hAnsi="Times New Roman" w:cs="Times New Roman"/>
          <w:vertAlign w:val="superscript"/>
        </w:rPr>
        <w:t>10</w:t>
      </w:r>
      <w:r w:rsidR="00D7333C" w:rsidRPr="00796F65">
        <w:rPr>
          <w:rFonts w:ascii="Times New Roman" w:hAnsi="Times New Roman" w:cs="Times New Roman"/>
        </w:rPr>
        <w:t xml:space="preserve">, </w:t>
      </w:r>
      <w:r w:rsidR="003906B9" w:rsidRPr="00796F65">
        <w:rPr>
          <w:rFonts w:ascii="Times New Roman" w:hAnsi="Times New Roman" w:cs="Times New Roman"/>
        </w:rPr>
        <w:t xml:space="preserve">Jean </w:t>
      </w:r>
      <w:r w:rsidR="00D7333C" w:rsidRPr="00796F65">
        <w:rPr>
          <w:rFonts w:ascii="Times New Roman" w:hAnsi="Times New Roman" w:cs="Times New Roman"/>
        </w:rPr>
        <w:t>Hurteau</w:t>
      </w:r>
      <w:r w:rsidR="003906B9" w:rsidRPr="00796F65">
        <w:rPr>
          <w:rFonts w:ascii="Times New Roman" w:hAnsi="Times New Roman" w:cs="Times New Roman"/>
          <w:vertAlign w:val="superscript"/>
        </w:rPr>
        <w:t>11</w:t>
      </w:r>
      <w:r w:rsidR="00D7333C" w:rsidRPr="00796F65">
        <w:rPr>
          <w:rFonts w:ascii="Times New Roman" w:hAnsi="Times New Roman" w:cs="Times New Roman"/>
        </w:rPr>
        <w:t>, Matthew J. Murray</w:t>
      </w:r>
      <w:r w:rsidR="00746907" w:rsidRPr="00796F65">
        <w:rPr>
          <w:rFonts w:ascii="Times New Roman" w:hAnsi="Times New Roman" w:cs="Times New Roman"/>
          <w:vertAlign w:val="superscript"/>
        </w:rPr>
        <w:t>12</w:t>
      </w:r>
      <w:r w:rsidR="00D7333C" w:rsidRPr="00796F65">
        <w:rPr>
          <w:rFonts w:ascii="Times New Roman" w:hAnsi="Times New Roman" w:cs="Times New Roman"/>
        </w:rPr>
        <w:t xml:space="preserve">, </w:t>
      </w:r>
      <w:r w:rsidR="00F969FC" w:rsidRPr="00796F65">
        <w:rPr>
          <w:rFonts w:ascii="Times New Roman" w:hAnsi="Times New Roman" w:cs="Times New Roman"/>
        </w:rPr>
        <w:t xml:space="preserve">James C. </w:t>
      </w:r>
      <w:r w:rsidR="00D7333C" w:rsidRPr="00796F65">
        <w:rPr>
          <w:rFonts w:ascii="Times New Roman" w:hAnsi="Times New Roman" w:cs="Times New Roman"/>
        </w:rPr>
        <w:t>Nicholson</w:t>
      </w:r>
      <w:r w:rsidR="00746907" w:rsidRPr="00796F65">
        <w:rPr>
          <w:rFonts w:ascii="Times New Roman" w:hAnsi="Times New Roman" w:cs="Times New Roman"/>
          <w:vertAlign w:val="superscript"/>
        </w:rPr>
        <w:t>12</w:t>
      </w:r>
      <w:r w:rsidR="00D7333C" w:rsidRPr="00796F65">
        <w:rPr>
          <w:rFonts w:ascii="Times New Roman" w:hAnsi="Times New Roman" w:cs="Times New Roman"/>
        </w:rPr>
        <w:t>, Thomas A. Olson</w:t>
      </w:r>
      <w:r w:rsidR="00F969FC" w:rsidRPr="00796F65">
        <w:rPr>
          <w:rFonts w:ascii="Times New Roman" w:hAnsi="Times New Roman" w:cs="Times New Roman"/>
          <w:vertAlign w:val="superscript"/>
        </w:rPr>
        <w:t>13</w:t>
      </w:r>
      <w:r w:rsidR="00D7333C" w:rsidRPr="00796F65">
        <w:rPr>
          <w:rFonts w:ascii="Times New Roman" w:hAnsi="Times New Roman" w:cs="Times New Roman"/>
        </w:rPr>
        <w:t xml:space="preserve">, </w:t>
      </w:r>
      <w:r w:rsidR="00F969FC" w:rsidRPr="00796F65">
        <w:rPr>
          <w:rFonts w:ascii="Times New Roman" w:hAnsi="Times New Roman" w:cs="Times New Roman"/>
        </w:rPr>
        <w:t xml:space="preserve">Farzana </w:t>
      </w:r>
      <w:r w:rsidR="00D7333C" w:rsidRPr="00796F65">
        <w:rPr>
          <w:rFonts w:ascii="Times New Roman" w:hAnsi="Times New Roman" w:cs="Times New Roman"/>
        </w:rPr>
        <w:t>Pashankar</w:t>
      </w:r>
      <w:r w:rsidR="00F969FC" w:rsidRPr="00796F65">
        <w:rPr>
          <w:rFonts w:ascii="Times New Roman" w:hAnsi="Times New Roman" w:cs="Times New Roman"/>
          <w:vertAlign w:val="superscript"/>
        </w:rPr>
        <w:t>14</w:t>
      </w:r>
      <w:r w:rsidR="00D7333C" w:rsidRPr="00796F65">
        <w:rPr>
          <w:rFonts w:ascii="Times New Roman" w:hAnsi="Times New Roman" w:cs="Times New Roman"/>
        </w:rPr>
        <w:t xml:space="preserve">, </w:t>
      </w:r>
      <w:r w:rsidR="00F969FC" w:rsidRPr="00796F65">
        <w:rPr>
          <w:rFonts w:ascii="Times New Roman" w:hAnsi="Times New Roman" w:cs="Times New Roman"/>
        </w:rPr>
        <w:t xml:space="preserve">Carlos </w:t>
      </w:r>
      <w:r w:rsidR="00D7333C" w:rsidRPr="00796F65">
        <w:rPr>
          <w:rFonts w:ascii="Times New Roman" w:hAnsi="Times New Roman" w:cs="Times New Roman"/>
        </w:rPr>
        <w:t>Rodriguez-Galindo</w:t>
      </w:r>
      <w:r w:rsidR="00F969FC" w:rsidRPr="00796F65">
        <w:rPr>
          <w:rFonts w:ascii="Times New Roman" w:hAnsi="Times New Roman" w:cs="Times New Roman"/>
          <w:vertAlign w:val="superscript"/>
        </w:rPr>
        <w:t>15</w:t>
      </w:r>
      <w:r w:rsidR="009457B5" w:rsidRPr="00796F65">
        <w:rPr>
          <w:rFonts w:ascii="Times New Roman" w:hAnsi="Times New Roman" w:cs="Times New Roman"/>
        </w:rPr>
        <w:t xml:space="preserve">, Furqan </w:t>
      </w:r>
      <w:r w:rsidR="00D7333C" w:rsidRPr="00796F65">
        <w:rPr>
          <w:rFonts w:ascii="Times New Roman" w:hAnsi="Times New Roman" w:cs="Times New Roman"/>
        </w:rPr>
        <w:t>Shaikh</w:t>
      </w:r>
      <w:r w:rsidR="00F969FC" w:rsidRPr="00796F65">
        <w:rPr>
          <w:rFonts w:ascii="Times New Roman" w:hAnsi="Times New Roman" w:cs="Times New Roman"/>
          <w:vertAlign w:val="superscript"/>
        </w:rPr>
        <w:t>8</w:t>
      </w:r>
      <w:r w:rsidR="00D7333C" w:rsidRPr="00796F65">
        <w:rPr>
          <w:rFonts w:ascii="Times New Roman" w:hAnsi="Times New Roman" w:cs="Times New Roman"/>
        </w:rPr>
        <w:t xml:space="preserve">, </w:t>
      </w:r>
      <w:r w:rsidR="009457B5" w:rsidRPr="00796F65">
        <w:rPr>
          <w:rFonts w:ascii="Times New Roman" w:hAnsi="Times New Roman" w:cs="Times New Roman"/>
        </w:rPr>
        <w:t xml:space="preserve">Daniel </w:t>
      </w:r>
      <w:r w:rsidR="00D7333C" w:rsidRPr="00796F65">
        <w:rPr>
          <w:rFonts w:ascii="Times New Roman" w:hAnsi="Times New Roman" w:cs="Times New Roman"/>
        </w:rPr>
        <w:t>Stark</w:t>
      </w:r>
      <w:r w:rsidR="00F969FC" w:rsidRPr="00796F65">
        <w:rPr>
          <w:rFonts w:ascii="Times New Roman" w:hAnsi="Times New Roman" w:cs="Times New Roman"/>
          <w:vertAlign w:val="superscript"/>
        </w:rPr>
        <w:t>16</w:t>
      </w:r>
      <w:r w:rsidR="00D7333C" w:rsidRPr="00796F65">
        <w:rPr>
          <w:rFonts w:ascii="Times New Roman" w:hAnsi="Times New Roman" w:cs="Times New Roman"/>
        </w:rPr>
        <w:t xml:space="preserve">, </w:t>
      </w:r>
      <w:r w:rsidR="00FD53BF" w:rsidRPr="00796F65">
        <w:rPr>
          <w:rFonts w:ascii="Times New Roman" w:hAnsi="Times New Roman" w:cs="Times New Roman"/>
        </w:rPr>
        <w:t xml:space="preserve">A. </w:t>
      </w:r>
      <w:r w:rsidR="00783F06" w:rsidRPr="00796F65">
        <w:rPr>
          <w:rFonts w:ascii="Times New Roman" w:hAnsi="Times New Roman" w:cs="Times New Roman"/>
        </w:rPr>
        <w:t>Lindsay</w:t>
      </w:r>
      <w:r w:rsidR="001B5E07" w:rsidRPr="00796F65">
        <w:rPr>
          <w:rFonts w:ascii="Times New Roman" w:hAnsi="Times New Roman" w:cs="Times New Roman"/>
        </w:rPr>
        <w:t xml:space="preserve"> Frazier</w:t>
      </w:r>
      <w:r w:rsidR="00F969FC" w:rsidRPr="00796F65">
        <w:rPr>
          <w:rFonts w:ascii="Times New Roman" w:hAnsi="Times New Roman" w:cs="Times New Roman"/>
          <w:vertAlign w:val="superscript"/>
        </w:rPr>
        <w:t>1</w:t>
      </w:r>
      <w:r w:rsidR="006070FF" w:rsidRPr="00796F65">
        <w:rPr>
          <w:rFonts w:ascii="Times New Roman" w:hAnsi="Times New Roman" w:cs="Times New Roman"/>
          <w:vertAlign w:val="superscript"/>
        </w:rPr>
        <w:t>7</w:t>
      </w:r>
      <w:r w:rsidR="001B5E07" w:rsidRPr="00796F65">
        <w:rPr>
          <w:rFonts w:ascii="Times New Roman" w:hAnsi="Times New Roman" w:cs="Times New Roman"/>
        </w:rPr>
        <w:t xml:space="preserve">, </w:t>
      </w:r>
      <w:r w:rsidRPr="00796F65">
        <w:rPr>
          <w:rFonts w:ascii="Times New Roman" w:hAnsi="Times New Roman" w:cs="Times New Roman"/>
        </w:rPr>
        <w:t>Sara Stoneham</w:t>
      </w:r>
      <w:r w:rsidR="006070FF" w:rsidRPr="00796F65">
        <w:rPr>
          <w:rFonts w:ascii="Times New Roman" w:hAnsi="Times New Roman" w:cs="Times New Roman"/>
          <w:vertAlign w:val="superscript"/>
        </w:rPr>
        <w:t>18</w:t>
      </w:r>
    </w:p>
    <w:p w14:paraId="748C2617" w14:textId="2E389820" w:rsidR="00E84A36" w:rsidRPr="00796F65" w:rsidRDefault="00E84A36"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Cincinnati Children’s Hospital Medical Center, Universi</w:t>
      </w:r>
      <w:r w:rsidR="00A76DC8" w:rsidRPr="00796F65">
        <w:rPr>
          <w:rFonts w:ascii="Times New Roman" w:hAnsi="Times New Roman" w:cs="Times New Roman"/>
        </w:rPr>
        <w:t xml:space="preserve">ty of Cincinnati, </w:t>
      </w:r>
      <w:r w:rsidR="00BA327D" w:rsidRPr="00796F65">
        <w:rPr>
          <w:rFonts w:ascii="Times New Roman" w:hAnsi="Times New Roman" w:cs="Times New Roman"/>
        </w:rPr>
        <w:t>Ohio, U</w:t>
      </w:r>
      <w:r w:rsidR="00C305D3" w:rsidRPr="00796F65">
        <w:rPr>
          <w:rFonts w:ascii="Times New Roman" w:hAnsi="Times New Roman" w:cs="Times New Roman"/>
        </w:rPr>
        <w:t>.</w:t>
      </w:r>
      <w:r w:rsidR="00BA327D" w:rsidRPr="00796F65">
        <w:rPr>
          <w:rFonts w:ascii="Times New Roman" w:hAnsi="Times New Roman" w:cs="Times New Roman"/>
        </w:rPr>
        <w:t>S</w:t>
      </w:r>
      <w:r w:rsidR="00C305D3" w:rsidRPr="00796F65">
        <w:rPr>
          <w:rFonts w:ascii="Times New Roman" w:hAnsi="Times New Roman" w:cs="Times New Roman"/>
        </w:rPr>
        <w:t>.</w:t>
      </w:r>
    </w:p>
    <w:p w14:paraId="362F5C2F" w14:textId="08EECBE0" w:rsidR="001B5E07" w:rsidRPr="00796F65" w:rsidRDefault="001B5E07"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Children’s Oncology Group</w:t>
      </w:r>
      <w:r w:rsidR="00BA327D" w:rsidRPr="00796F65">
        <w:rPr>
          <w:rFonts w:ascii="Times New Roman" w:hAnsi="Times New Roman" w:cs="Times New Roman"/>
        </w:rPr>
        <w:t xml:space="preserve">, </w:t>
      </w:r>
      <w:r w:rsidR="00C305D3" w:rsidRPr="00796F65">
        <w:rPr>
          <w:rFonts w:ascii="Times New Roman" w:hAnsi="Times New Roman" w:cs="Times New Roman"/>
        </w:rPr>
        <w:t>U.S.</w:t>
      </w:r>
    </w:p>
    <w:p w14:paraId="53065D1F" w14:textId="1B514C50" w:rsidR="001B5E07" w:rsidRPr="00796F65" w:rsidRDefault="001B5E07"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Uni</w:t>
      </w:r>
      <w:r w:rsidR="00BA327D" w:rsidRPr="00796F65">
        <w:rPr>
          <w:rFonts w:ascii="Times New Roman" w:hAnsi="Times New Roman" w:cs="Times New Roman"/>
        </w:rPr>
        <w:t xml:space="preserve">versity of Southern California, California, </w:t>
      </w:r>
      <w:r w:rsidR="00C305D3" w:rsidRPr="00796F65">
        <w:rPr>
          <w:rFonts w:ascii="Times New Roman" w:hAnsi="Times New Roman" w:cs="Times New Roman"/>
        </w:rPr>
        <w:t>U.S.</w:t>
      </w:r>
    </w:p>
    <w:p w14:paraId="78B79B5D" w14:textId="4AD66889" w:rsidR="00BA327D" w:rsidRPr="00796F65" w:rsidRDefault="00BA327D"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University of Texas Southwestern Medical Center, Children’s Medical Center, Texas, </w:t>
      </w:r>
      <w:r w:rsidR="00C305D3" w:rsidRPr="00796F65">
        <w:rPr>
          <w:rFonts w:ascii="Times New Roman" w:hAnsi="Times New Roman" w:cs="Times New Roman"/>
        </w:rPr>
        <w:t>U.S.</w:t>
      </w:r>
    </w:p>
    <w:p w14:paraId="4429319B" w14:textId="58C7E5B0" w:rsidR="00BA327D" w:rsidRPr="00796F65" w:rsidRDefault="00BA327D"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Birmingham Children’s Hospital NHS Foundation Trust, Birmingham, </w:t>
      </w:r>
      <w:r w:rsidR="00EA2B02" w:rsidRPr="00796F65">
        <w:rPr>
          <w:rFonts w:ascii="Times New Roman" w:hAnsi="Times New Roman" w:cs="Times New Roman"/>
        </w:rPr>
        <w:t>U.K</w:t>
      </w:r>
    </w:p>
    <w:p w14:paraId="0B4B942C" w14:textId="0FB03883" w:rsidR="00A47082" w:rsidRPr="00796F65" w:rsidRDefault="00A47082"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Riley Hospital for Children, Indiana, </w:t>
      </w:r>
      <w:r w:rsidR="00C305D3" w:rsidRPr="00796F65">
        <w:rPr>
          <w:rFonts w:ascii="Times New Roman" w:hAnsi="Times New Roman" w:cs="Times New Roman"/>
        </w:rPr>
        <w:t>U.S.</w:t>
      </w:r>
    </w:p>
    <w:p w14:paraId="72E2B643" w14:textId="74DE19D2" w:rsidR="00A47082" w:rsidRPr="00796F65" w:rsidRDefault="00A47082"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Roswell Park Cancer Institute, New York, </w:t>
      </w:r>
      <w:r w:rsidR="00C305D3" w:rsidRPr="00796F65">
        <w:rPr>
          <w:rFonts w:ascii="Times New Roman" w:hAnsi="Times New Roman" w:cs="Times New Roman"/>
        </w:rPr>
        <w:t>U.S.</w:t>
      </w:r>
    </w:p>
    <w:p w14:paraId="38656D64" w14:textId="7D557EF3" w:rsidR="004B4C8D" w:rsidRPr="00796F65" w:rsidRDefault="004B4C8D"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University of Toronto, Toronto, Canada</w:t>
      </w:r>
    </w:p>
    <w:p w14:paraId="198FF261" w14:textId="1B04E35C" w:rsidR="003906B9" w:rsidRPr="00796F65" w:rsidRDefault="003906B9"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The University of Texas MD Anderson Cancer Center, </w:t>
      </w:r>
      <w:r w:rsidR="00E876A4" w:rsidRPr="00796F65">
        <w:rPr>
          <w:rFonts w:ascii="Times New Roman" w:hAnsi="Times New Roman" w:cs="Times New Roman"/>
        </w:rPr>
        <w:t xml:space="preserve">Houston, </w:t>
      </w:r>
      <w:r w:rsidRPr="00796F65">
        <w:rPr>
          <w:rFonts w:ascii="Times New Roman" w:hAnsi="Times New Roman" w:cs="Times New Roman"/>
        </w:rPr>
        <w:t xml:space="preserve">Texas, </w:t>
      </w:r>
      <w:r w:rsidR="00C305D3" w:rsidRPr="00796F65">
        <w:rPr>
          <w:rFonts w:ascii="Times New Roman" w:hAnsi="Times New Roman" w:cs="Times New Roman"/>
        </w:rPr>
        <w:t>U.S.</w:t>
      </w:r>
    </w:p>
    <w:p w14:paraId="17220AE4" w14:textId="76AC23E6" w:rsidR="003906B9" w:rsidRPr="00796F65" w:rsidRDefault="003906B9"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Royal Victoria Infirmary, Newcastle Upon Tyne Hospitals Trust, </w:t>
      </w:r>
      <w:r w:rsidRPr="00796F65">
        <w:rPr>
          <w:rFonts w:ascii="Times New Roman" w:eastAsia="Times New Roman" w:hAnsi="Times New Roman" w:cs="Times New Roman"/>
          <w:color w:val="000000"/>
        </w:rPr>
        <w:t xml:space="preserve">Newcastle Upon Tyne, </w:t>
      </w:r>
      <w:r w:rsidR="00EA2B02" w:rsidRPr="00796F65">
        <w:rPr>
          <w:rFonts w:ascii="Times New Roman" w:hAnsi="Times New Roman" w:cs="Times New Roman"/>
        </w:rPr>
        <w:t>U.K</w:t>
      </w:r>
      <w:r w:rsidR="00F66F06" w:rsidRPr="00796F65">
        <w:rPr>
          <w:rFonts w:ascii="Times New Roman" w:hAnsi="Times New Roman" w:cs="Times New Roman"/>
        </w:rPr>
        <w:t>.</w:t>
      </w:r>
    </w:p>
    <w:p w14:paraId="09AA6A7D" w14:textId="4557992F" w:rsidR="003906B9" w:rsidRPr="00796F65" w:rsidRDefault="003D0AAA"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lastRenderedPageBreak/>
        <w:t>North Shore University Health System,</w:t>
      </w:r>
      <w:r w:rsidR="00D94C60" w:rsidRPr="00796F65">
        <w:rPr>
          <w:rFonts w:ascii="Times New Roman" w:hAnsi="Times New Roman" w:cs="Times New Roman"/>
        </w:rPr>
        <w:t xml:space="preserve"> University of Chicago Pritzker School of Medicine, Chicago,</w:t>
      </w:r>
      <w:r w:rsidRPr="00796F65">
        <w:rPr>
          <w:rFonts w:ascii="Times New Roman" w:hAnsi="Times New Roman" w:cs="Times New Roman"/>
        </w:rPr>
        <w:t xml:space="preserve"> Illinois, </w:t>
      </w:r>
      <w:r w:rsidR="00C305D3" w:rsidRPr="00796F65">
        <w:rPr>
          <w:rFonts w:ascii="Times New Roman" w:hAnsi="Times New Roman" w:cs="Times New Roman"/>
        </w:rPr>
        <w:t>U.S.</w:t>
      </w:r>
    </w:p>
    <w:p w14:paraId="54148D11" w14:textId="44EA302E" w:rsidR="00746907" w:rsidRPr="00796F65" w:rsidRDefault="00746907"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Cambridge University Hospitals NHS Foundation Trust, Cambridge, </w:t>
      </w:r>
      <w:r w:rsidR="00EA2B02" w:rsidRPr="00796F65">
        <w:rPr>
          <w:rFonts w:ascii="Times New Roman" w:hAnsi="Times New Roman" w:cs="Times New Roman"/>
        </w:rPr>
        <w:t>U.K</w:t>
      </w:r>
      <w:r w:rsidR="00F66F06" w:rsidRPr="00796F65">
        <w:rPr>
          <w:rFonts w:ascii="Times New Roman" w:hAnsi="Times New Roman" w:cs="Times New Roman"/>
        </w:rPr>
        <w:t>.</w:t>
      </w:r>
    </w:p>
    <w:p w14:paraId="0A7ECF96" w14:textId="419603A0" w:rsidR="00AA4506" w:rsidRPr="00796F65" w:rsidRDefault="00AA4506"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Aflac Cancer Center, Children’s Healthcare of Atlanta, Emory University, Georgia, </w:t>
      </w:r>
      <w:r w:rsidR="00C305D3" w:rsidRPr="00796F65">
        <w:rPr>
          <w:rFonts w:ascii="Times New Roman" w:hAnsi="Times New Roman" w:cs="Times New Roman"/>
        </w:rPr>
        <w:t>U.S.</w:t>
      </w:r>
    </w:p>
    <w:p w14:paraId="681C2408" w14:textId="4C30D645" w:rsidR="00F969FC" w:rsidRPr="00796F65" w:rsidRDefault="00F969FC"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Yale University School of Medicine, </w:t>
      </w:r>
      <w:r w:rsidR="00542826" w:rsidRPr="00796F65">
        <w:rPr>
          <w:rFonts w:ascii="Times New Roman" w:hAnsi="Times New Roman" w:cs="Times New Roman"/>
        </w:rPr>
        <w:t>New Haven, CT</w:t>
      </w:r>
      <w:r w:rsidRPr="00796F65">
        <w:rPr>
          <w:rFonts w:ascii="Times New Roman" w:hAnsi="Times New Roman" w:cs="Times New Roman"/>
        </w:rPr>
        <w:t xml:space="preserve">, </w:t>
      </w:r>
      <w:r w:rsidR="00C305D3" w:rsidRPr="00796F65">
        <w:rPr>
          <w:rFonts w:ascii="Times New Roman" w:hAnsi="Times New Roman" w:cs="Times New Roman"/>
        </w:rPr>
        <w:t>U.S.</w:t>
      </w:r>
    </w:p>
    <w:p w14:paraId="3579A28E" w14:textId="10AB5DB6" w:rsidR="006070FF" w:rsidRPr="00796F65" w:rsidRDefault="006070FF"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St. Jude Children’s Research Hospital, Memphis, Tennessee, U.S.</w:t>
      </w:r>
    </w:p>
    <w:p w14:paraId="177019F3" w14:textId="0F6A28CE" w:rsidR="00F969FC" w:rsidRPr="00796F65" w:rsidRDefault="00F969FC"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Leeds Institute of Cancer Studies and Pathology, Leeds Institute of Oncology and St. James’s University Hospital, Leeds, </w:t>
      </w:r>
      <w:r w:rsidR="00F66F06" w:rsidRPr="00796F65">
        <w:rPr>
          <w:rFonts w:ascii="Times New Roman" w:hAnsi="Times New Roman" w:cs="Times New Roman"/>
        </w:rPr>
        <w:t>U.K.</w:t>
      </w:r>
    </w:p>
    <w:p w14:paraId="59F4E419" w14:textId="6603A90F" w:rsidR="006070FF" w:rsidRPr="00796F65" w:rsidRDefault="006070FF"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Dana-Farber/Boston Children’s Cancer and Blood Disorders Center Massachusetts, U.S.</w:t>
      </w:r>
    </w:p>
    <w:p w14:paraId="2AE3F26F" w14:textId="323618DC" w:rsidR="00E84A36" w:rsidRPr="00796F65" w:rsidRDefault="00E84A36" w:rsidP="00796F65">
      <w:pPr>
        <w:pStyle w:val="ListParagraph"/>
        <w:numPr>
          <w:ilvl w:val="0"/>
          <w:numId w:val="6"/>
        </w:numPr>
        <w:spacing w:line="480" w:lineRule="auto"/>
        <w:jc w:val="both"/>
        <w:rPr>
          <w:rFonts w:ascii="Times New Roman" w:hAnsi="Times New Roman" w:cs="Times New Roman"/>
        </w:rPr>
      </w:pPr>
      <w:r w:rsidRPr="00796F65">
        <w:rPr>
          <w:rFonts w:ascii="Times New Roman" w:hAnsi="Times New Roman" w:cs="Times New Roman"/>
        </w:rPr>
        <w:t xml:space="preserve">Children’s and Young Persons Cancer Services, University College London Hospital Trusts, London, </w:t>
      </w:r>
      <w:r w:rsidR="00F66F06" w:rsidRPr="00796F65">
        <w:rPr>
          <w:rFonts w:ascii="Times New Roman" w:hAnsi="Times New Roman" w:cs="Times New Roman"/>
        </w:rPr>
        <w:t>U.K</w:t>
      </w:r>
      <w:r w:rsidRPr="00796F65">
        <w:rPr>
          <w:rFonts w:ascii="Times New Roman" w:hAnsi="Times New Roman" w:cs="Times New Roman"/>
        </w:rPr>
        <w:t xml:space="preserve">. </w:t>
      </w:r>
    </w:p>
    <w:p w14:paraId="3BFFB90D" w14:textId="77777777" w:rsidR="00070252" w:rsidRPr="00796F65" w:rsidRDefault="0097337B" w:rsidP="00796F65">
      <w:pPr>
        <w:spacing w:line="480" w:lineRule="auto"/>
        <w:ind w:left="360"/>
        <w:jc w:val="both"/>
        <w:outlineLvl w:val="0"/>
        <w:rPr>
          <w:rFonts w:ascii="Times New Roman" w:hAnsi="Times New Roman" w:cs="Times New Roman"/>
          <w:b/>
        </w:rPr>
      </w:pPr>
      <w:r w:rsidRPr="00796F65">
        <w:rPr>
          <w:rFonts w:ascii="Times New Roman" w:hAnsi="Times New Roman" w:cs="Times New Roman"/>
          <w:b/>
        </w:rPr>
        <w:t>Corresponding Author:</w:t>
      </w:r>
    </w:p>
    <w:p w14:paraId="05AA4B74" w14:textId="066A53E7" w:rsidR="009F3FF5" w:rsidRPr="00796F65" w:rsidRDefault="00070252" w:rsidP="00796F65">
      <w:pPr>
        <w:spacing w:line="480" w:lineRule="auto"/>
        <w:ind w:left="360"/>
        <w:jc w:val="both"/>
        <w:outlineLvl w:val="0"/>
        <w:rPr>
          <w:rFonts w:ascii="Times New Roman" w:hAnsi="Times New Roman" w:cs="Times New Roman"/>
        </w:rPr>
      </w:pPr>
      <w:r w:rsidRPr="00796F65">
        <w:rPr>
          <w:rFonts w:ascii="Times New Roman" w:hAnsi="Times New Roman" w:cs="Times New Roman"/>
        </w:rPr>
        <w:t>Rachana Shah</w:t>
      </w:r>
      <w:r w:rsidR="00277B40" w:rsidRPr="00796F65">
        <w:rPr>
          <w:rFonts w:ascii="Times New Roman" w:hAnsi="Times New Roman" w:cs="Times New Roman"/>
        </w:rPr>
        <w:t>, MD</w:t>
      </w:r>
      <w:r w:rsidR="009F3FF5" w:rsidRPr="00796F65">
        <w:rPr>
          <w:rFonts w:ascii="Times New Roman" w:hAnsi="Times New Roman" w:cs="Times New Roman"/>
        </w:rPr>
        <w:t>, MS</w:t>
      </w:r>
    </w:p>
    <w:p w14:paraId="1EC16AFC" w14:textId="77777777" w:rsidR="009F3FF5" w:rsidRPr="00796F65" w:rsidRDefault="009F3FF5" w:rsidP="00796F65">
      <w:pPr>
        <w:spacing w:line="480" w:lineRule="auto"/>
        <w:ind w:left="360"/>
        <w:jc w:val="both"/>
        <w:outlineLvl w:val="0"/>
        <w:rPr>
          <w:rFonts w:ascii="Times New Roman" w:hAnsi="Times New Roman" w:cs="Times New Roman"/>
          <w:noProof/>
          <w:color w:val="000000" w:themeColor="text1"/>
        </w:rPr>
      </w:pPr>
      <w:r w:rsidRPr="00796F65">
        <w:rPr>
          <w:rFonts w:ascii="Times New Roman" w:hAnsi="Times New Roman" w:cs="Times New Roman"/>
          <w:noProof/>
          <w:color w:val="000000" w:themeColor="text1"/>
        </w:rPr>
        <w:t>Division of Hematology, Oncology and Blood and Marrow Transplantation</w:t>
      </w:r>
    </w:p>
    <w:p w14:paraId="257225CF" w14:textId="77777777" w:rsidR="009F3FF5" w:rsidRPr="00796F65" w:rsidRDefault="009F3FF5" w:rsidP="00796F65">
      <w:pPr>
        <w:spacing w:line="480" w:lineRule="auto"/>
        <w:ind w:left="360"/>
        <w:jc w:val="both"/>
        <w:outlineLvl w:val="0"/>
        <w:rPr>
          <w:rFonts w:ascii="Times New Roman" w:hAnsi="Times New Roman" w:cs="Times New Roman"/>
          <w:noProof/>
          <w:color w:val="000000" w:themeColor="text1"/>
        </w:rPr>
      </w:pPr>
      <w:r w:rsidRPr="00796F65">
        <w:rPr>
          <w:rFonts w:ascii="Times New Roman" w:hAnsi="Times New Roman" w:cs="Times New Roman"/>
          <w:noProof/>
          <w:color w:val="000000" w:themeColor="text1"/>
        </w:rPr>
        <w:t>Children’s Center for Cancer and Blood Diseases, Children's Hospital of Los Angeles</w:t>
      </w:r>
    </w:p>
    <w:p w14:paraId="3E85A5A8" w14:textId="2721354B" w:rsidR="009F3FF5" w:rsidRPr="00796F65" w:rsidRDefault="009F3FF5" w:rsidP="00796F65">
      <w:pPr>
        <w:spacing w:line="480" w:lineRule="auto"/>
        <w:ind w:left="360"/>
        <w:jc w:val="both"/>
        <w:outlineLvl w:val="0"/>
        <w:rPr>
          <w:rFonts w:ascii="Times New Roman" w:hAnsi="Times New Roman" w:cs="Times New Roman"/>
          <w:noProof/>
          <w:color w:val="000000" w:themeColor="text1"/>
        </w:rPr>
      </w:pPr>
      <w:r w:rsidRPr="00796F65">
        <w:rPr>
          <w:rFonts w:ascii="Times New Roman" w:hAnsi="Times New Roman" w:cs="Times New Roman"/>
          <w:noProof/>
          <w:color w:val="000000" w:themeColor="text1"/>
        </w:rPr>
        <w:t>Keck School of Medicine, University of Southern California</w:t>
      </w:r>
    </w:p>
    <w:p w14:paraId="51794DE7" w14:textId="77BBC8E1" w:rsidR="00070252" w:rsidRPr="00796F65" w:rsidRDefault="009F3FF5" w:rsidP="00796F65">
      <w:pPr>
        <w:spacing w:line="480" w:lineRule="auto"/>
        <w:ind w:left="360"/>
        <w:jc w:val="both"/>
        <w:rPr>
          <w:rFonts w:ascii="Times New Roman" w:hAnsi="Times New Roman" w:cs="Times New Roman"/>
        </w:rPr>
      </w:pPr>
      <w:r w:rsidRPr="00796F65">
        <w:rPr>
          <w:rFonts w:ascii="Times New Roman" w:hAnsi="Times New Roman" w:cs="Times New Roman"/>
        </w:rPr>
        <w:t>4650 Sunset Blvd., MS#54</w:t>
      </w:r>
      <w:r w:rsidR="00277B40" w:rsidRPr="00796F65">
        <w:rPr>
          <w:rFonts w:ascii="Times New Roman" w:hAnsi="Times New Roman" w:cs="Times New Roman"/>
        </w:rPr>
        <w:t xml:space="preserve">, </w:t>
      </w:r>
      <w:r w:rsidRPr="00796F65">
        <w:rPr>
          <w:rFonts w:ascii="Times New Roman" w:hAnsi="Times New Roman" w:cs="Times New Roman"/>
        </w:rPr>
        <w:t>Los Angeles</w:t>
      </w:r>
      <w:r w:rsidR="00070252" w:rsidRPr="00796F65">
        <w:rPr>
          <w:rFonts w:ascii="Times New Roman" w:hAnsi="Times New Roman" w:cs="Times New Roman"/>
        </w:rPr>
        <w:t xml:space="preserve">, </w:t>
      </w:r>
      <w:r w:rsidRPr="00796F65">
        <w:rPr>
          <w:rFonts w:ascii="Times New Roman" w:hAnsi="Times New Roman" w:cs="Times New Roman"/>
        </w:rPr>
        <w:t>CA</w:t>
      </w:r>
      <w:r w:rsidR="00070252" w:rsidRPr="00796F65">
        <w:rPr>
          <w:rFonts w:ascii="Times New Roman" w:hAnsi="Times New Roman" w:cs="Times New Roman"/>
        </w:rPr>
        <w:t xml:space="preserve">- </w:t>
      </w:r>
      <w:r w:rsidRPr="00796F65">
        <w:rPr>
          <w:rFonts w:ascii="Times New Roman" w:hAnsi="Times New Roman" w:cs="Times New Roman"/>
        </w:rPr>
        <w:t>90027</w:t>
      </w:r>
    </w:p>
    <w:p w14:paraId="7617DEBE" w14:textId="53756443" w:rsidR="00070252" w:rsidRPr="00796F65" w:rsidRDefault="00070252" w:rsidP="00796F65">
      <w:pPr>
        <w:spacing w:line="480" w:lineRule="auto"/>
        <w:ind w:left="360"/>
        <w:jc w:val="both"/>
        <w:outlineLvl w:val="0"/>
        <w:rPr>
          <w:rFonts w:ascii="Times New Roman" w:hAnsi="Times New Roman" w:cs="Times New Roman"/>
        </w:rPr>
      </w:pPr>
      <w:r w:rsidRPr="00796F65">
        <w:rPr>
          <w:rFonts w:ascii="Times New Roman" w:hAnsi="Times New Roman" w:cs="Times New Roman"/>
        </w:rPr>
        <w:t>Email:</w:t>
      </w:r>
      <w:r w:rsidR="00B523F7" w:rsidRPr="00796F65">
        <w:rPr>
          <w:rFonts w:ascii="Times New Roman" w:hAnsi="Times New Roman" w:cs="Times New Roman"/>
        </w:rPr>
        <w:t xml:space="preserve"> </w:t>
      </w:r>
      <w:r w:rsidR="00B523F7" w:rsidRPr="00796F65">
        <w:rPr>
          <w:rStyle w:val="Hyperlink"/>
          <w:rFonts w:ascii="Times New Roman" w:hAnsi="Times New Roman" w:cs="Times New Roman"/>
        </w:rPr>
        <w:t>rshah@chla.usc.edu</w:t>
      </w:r>
      <w:r w:rsidR="00277B40" w:rsidRPr="00796F65">
        <w:rPr>
          <w:rFonts w:ascii="Times New Roman" w:hAnsi="Times New Roman" w:cs="Times New Roman"/>
        </w:rPr>
        <w:t xml:space="preserve">; </w:t>
      </w:r>
      <w:r w:rsidRPr="00796F65">
        <w:rPr>
          <w:rFonts w:ascii="Times New Roman" w:hAnsi="Times New Roman" w:cs="Times New Roman"/>
        </w:rPr>
        <w:t xml:space="preserve">Phone: </w:t>
      </w:r>
      <w:r w:rsidR="004C0A01">
        <w:rPr>
          <w:rFonts w:ascii="Times New Roman" w:hAnsi="Times New Roman" w:cs="Times New Roman"/>
        </w:rPr>
        <w:t>323-361-5418</w:t>
      </w:r>
      <w:r w:rsidR="00D45CE8" w:rsidRPr="00796F65">
        <w:rPr>
          <w:rFonts w:ascii="Times New Roman" w:hAnsi="Times New Roman" w:cs="Times New Roman"/>
        </w:rPr>
        <w:t xml:space="preserve">; Fax: </w:t>
      </w:r>
      <w:r w:rsidR="00B523F7" w:rsidRPr="00796F65">
        <w:rPr>
          <w:rFonts w:ascii="Times New Roman" w:hAnsi="Times New Roman" w:cs="Times New Roman"/>
        </w:rPr>
        <w:t>323</w:t>
      </w:r>
      <w:r w:rsidR="00D45CE8" w:rsidRPr="00796F65">
        <w:rPr>
          <w:rFonts w:ascii="Times New Roman" w:hAnsi="Times New Roman" w:cs="Times New Roman"/>
        </w:rPr>
        <w:t>-</w:t>
      </w:r>
      <w:r w:rsidR="00B523F7" w:rsidRPr="00796F65">
        <w:rPr>
          <w:rFonts w:ascii="Times New Roman" w:hAnsi="Times New Roman" w:cs="Times New Roman"/>
        </w:rPr>
        <w:t>361</w:t>
      </w:r>
      <w:r w:rsidR="00D45CE8" w:rsidRPr="00796F65">
        <w:rPr>
          <w:rFonts w:ascii="Times New Roman" w:hAnsi="Times New Roman" w:cs="Times New Roman"/>
        </w:rPr>
        <w:t>-</w:t>
      </w:r>
      <w:r w:rsidR="00B523F7" w:rsidRPr="00796F65">
        <w:rPr>
          <w:rFonts w:ascii="Times New Roman" w:hAnsi="Times New Roman" w:cs="Times New Roman"/>
        </w:rPr>
        <w:t>8174</w:t>
      </w:r>
    </w:p>
    <w:p w14:paraId="1F5EB39B" w14:textId="77777777" w:rsidR="002C6100" w:rsidRPr="00796F65" w:rsidRDefault="002C6100" w:rsidP="00796F65">
      <w:pPr>
        <w:spacing w:line="480" w:lineRule="auto"/>
        <w:jc w:val="both"/>
        <w:rPr>
          <w:rFonts w:ascii="Times New Roman" w:hAnsi="Times New Roman" w:cs="Times New Roman"/>
          <w:b/>
        </w:rPr>
      </w:pPr>
      <w:r w:rsidRPr="00796F65">
        <w:rPr>
          <w:rFonts w:ascii="Times New Roman" w:hAnsi="Times New Roman" w:cs="Times New Roman"/>
          <w:b/>
        </w:rPr>
        <w:br w:type="page"/>
      </w:r>
    </w:p>
    <w:p w14:paraId="728E1B14" w14:textId="3CB16286" w:rsidR="00A951D7" w:rsidRPr="00796F65" w:rsidRDefault="00277B40" w:rsidP="00796F65">
      <w:pPr>
        <w:spacing w:line="480" w:lineRule="auto"/>
        <w:ind w:left="360"/>
        <w:jc w:val="both"/>
        <w:outlineLvl w:val="0"/>
        <w:rPr>
          <w:rFonts w:ascii="Times New Roman" w:hAnsi="Times New Roman" w:cs="Times New Roman"/>
        </w:rPr>
      </w:pPr>
      <w:commentRangeStart w:id="1"/>
      <w:r w:rsidRPr="00796F65">
        <w:rPr>
          <w:rFonts w:ascii="Times New Roman" w:hAnsi="Times New Roman" w:cs="Times New Roman"/>
          <w:b/>
        </w:rPr>
        <w:lastRenderedPageBreak/>
        <w:t>Word Count</w:t>
      </w:r>
      <w:r w:rsidRPr="00796F65">
        <w:rPr>
          <w:rFonts w:ascii="Times New Roman" w:hAnsi="Times New Roman" w:cs="Times New Roman"/>
        </w:rPr>
        <w:t>:</w:t>
      </w:r>
      <w:r w:rsidR="00A951D7" w:rsidRPr="00796F65">
        <w:rPr>
          <w:rFonts w:ascii="Times New Roman" w:hAnsi="Times New Roman" w:cs="Times New Roman"/>
          <w:b/>
        </w:rPr>
        <w:t xml:space="preserve"> </w:t>
      </w:r>
      <w:r w:rsidRPr="00796F65">
        <w:rPr>
          <w:rFonts w:ascii="Times New Roman" w:hAnsi="Times New Roman" w:cs="Times New Roman"/>
        </w:rPr>
        <w:t>Abstract</w:t>
      </w:r>
      <w:r w:rsidR="003A109F" w:rsidRPr="00796F65">
        <w:rPr>
          <w:rFonts w:ascii="Times New Roman" w:hAnsi="Times New Roman" w:cs="Times New Roman"/>
        </w:rPr>
        <w:t>:</w:t>
      </w:r>
      <w:r w:rsidR="009B62A8" w:rsidRPr="00796F65">
        <w:rPr>
          <w:rFonts w:ascii="Times New Roman" w:hAnsi="Times New Roman" w:cs="Times New Roman"/>
        </w:rPr>
        <w:t xml:space="preserve"> </w:t>
      </w:r>
      <w:r w:rsidR="00177F16" w:rsidRPr="00796F65">
        <w:rPr>
          <w:rFonts w:ascii="Times New Roman" w:hAnsi="Times New Roman" w:cs="Times New Roman"/>
        </w:rPr>
        <w:t>250</w:t>
      </w:r>
      <w:r w:rsidR="003A109F" w:rsidRPr="00796F65">
        <w:rPr>
          <w:rFonts w:ascii="Times New Roman" w:hAnsi="Times New Roman" w:cs="Times New Roman"/>
        </w:rPr>
        <w:t xml:space="preserve">; </w:t>
      </w:r>
      <w:r w:rsidRPr="00796F65">
        <w:rPr>
          <w:rFonts w:ascii="Times New Roman" w:hAnsi="Times New Roman" w:cs="Times New Roman"/>
        </w:rPr>
        <w:t>Main Text:</w:t>
      </w:r>
      <w:r w:rsidR="009B62A8" w:rsidRPr="00796F65">
        <w:rPr>
          <w:rFonts w:ascii="Times New Roman" w:hAnsi="Times New Roman" w:cs="Times New Roman"/>
        </w:rPr>
        <w:t xml:space="preserve"> </w:t>
      </w:r>
      <w:r w:rsidR="00E632ED" w:rsidRPr="00796F65">
        <w:rPr>
          <w:rFonts w:ascii="Times New Roman" w:hAnsi="Times New Roman" w:cs="Times New Roman"/>
        </w:rPr>
        <w:t>2</w:t>
      </w:r>
      <w:r w:rsidR="00CF5E4C">
        <w:rPr>
          <w:rFonts w:ascii="Times New Roman" w:hAnsi="Times New Roman" w:cs="Times New Roman"/>
        </w:rPr>
        <w:t>979</w:t>
      </w:r>
    </w:p>
    <w:p w14:paraId="19E11749" w14:textId="5F27E703" w:rsidR="008527F5" w:rsidRPr="00796F65" w:rsidRDefault="00763CD8" w:rsidP="00796F65">
      <w:pPr>
        <w:tabs>
          <w:tab w:val="left" w:pos="360"/>
        </w:tabs>
        <w:spacing w:line="480" w:lineRule="auto"/>
        <w:jc w:val="both"/>
        <w:outlineLvl w:val="0"/>
        <w:rPr>
          <w:rFonts w:ascii="Times New Roman" w:hAnsi="Times New Roman" w:cs="Times New Roman"/>
        </w:rPr>
      </w:pPr>
      <w:r w:rsidRPr="00796F65">
        <w:rPr>
          <w:rFonts w:ascii="Times New Roman" w:hAnsi="Times New Roman" w:cs="Times New Roman"/>
          <w:b/>
        </w:rPr>
        <w:t xml:space="preserve">     </w:t>
      </w:r>
      <w:r w:rsidR="00A951D7" w:rsidRPr="00796F65">
        <w:rPr>
          <w:rFonts w:ascii="Times New Roman" w:hAnsi="Times New Roman" w:cs="Times New Roman"/>
          <w:b/>
        </w:rPr>
        <w:t>Number of Tables</w:t>
      </w:r>
      <w:r w:rsidR="00A951D7" w:rsidRPr="00796F65">
        <w:rPr>
          <w:rFonts w:ascii="Times New Roman" w:hAnsi="Times New Roman" w:cs="Times New Roman"/>
        </w:rPr>
        <w:t>:</w:t>
      </w:r>
      <w:r w:rsidR="00661B3B" w:rsidRPr="00796F65">
        <w:rPr>
          <w:rFonts w:ascii="Times New Roman" w:hAnsi="Times New Roman" w:cs="Times New Roman"/>
        </w:rPr>
        <w:t xml:space="preserve"> </w:t>
      </w:r>
      <w:r w:rsidR="00102F11" w:rsidRPr="00796F65">
        <w:rPr>
          <w:rFonts w:ascii="Times New Roman" w:hAnsi="Times New Roman" w:cs="Times New Roman"/>
        </w:rPr>
        <w:t>4</w:t>
      </w:r>
      <w:r w:rsidR="00D048C6" w:rsidRPr="00796F65">
        <w:rPr>
          <w:rFonts w:ascii="Times New Roman" w:hAnsi="Times New Roman" w:cs="Times New Roman"/>
        </w:rPr>
        <w:tab/>
      </w:r>
      <w:r w:rsidR="00D048C6" w:rsidRPr="00796F65">
        <w:rPr>
          <w:rFonts w:ascii="Times New Roman" w:hAnsi="Times New Roman" w:cs="Times New Roman"/>
        </w:rPr>
        <w:tab/>
      </w:r>
    </w:p>
    <w:p w14:paraId="15E3BF42" w14:textId="53F9C26D" w:rsidR="002E5539" w:rsidRPr="00796F65" w:rsidRDefault="002E5539" w:rsidP="00796F65">
      <w:pPr>
        <w:spacing w:line="480" w:lineRule="auto"/>
        <w:jc w:val="both"/>
        <w:outlineLvl w:val="0"/>
        <w:rPr>
          <w:rFonts w:ascii="Times New Roman" w:hAnsi="Times New Roman" w:cs="Times New Roman"/>
        </w:rPr>
      </w:pPr>
      <w:r w:rsidRPr="00796F65">
        <w:rPr>
          <w:rFonts w:ascii="Times New Roman" w:hAnsi="Times New Roman" w:cs="Times New Roman"/>
          <w:b/>
        </w:rPr>
        <w:t xml:space="preserve">     Supplemental Tables</w:t>
      </w:r>
      <w:r w:rsidR="00AA390D" w:rsidRPr="00796F65">
        <w:rPr>
          <w:rFonts w:ascii="Times New Roman" w:hAnsi="Times New Roman" w:cs="Times New Roman"/>
        </w:rPr>
        <w:t xml:space="preserve">: </w:t>
      </w:r>
      <w:r w:rsidR="009F6CED" w:rsidRPr="00796F65">
        <w:rPr>
          <w:rFonts w:ascii="Times New Roman" w:hAnsi="Times New Roman" w:cs="Times New Roman"/>
        </w:rPr>
        <w:t>4</w:t>
      </w:r>
    </w:p>
    <w:p w14:paraId="147DAC1B" w14:textId="1BC52519" w:rsidR="00A951D7" w:rsidRPr="00796F65" w:rsidRDefault="00A951D7" w:rsidP="00796F65">
      <w:pPr>
        <w:spacing w:line="480" w:lineRule="auto"/>
        <w:ind w:left="360"/>
        <w:jc w:val="both"/>
        <w:outlineLvl w:val="0"/>
        <w:rPr>
          <w:rFonts w:ascii="Times New Roman" w:hAnsi="Times New Roman" w:cs="Times New Roman"/>
        </w:rPr>
      </w:pPr>
      <w:r w:rsidRPr="00796F65">
        <w:rPr>
          <w:rFonts w:ascii="Times New Roman" w:hAnsi="Times New Roman" w:cs="Times New Roman"/>
          <w:b/>
        </w:rPr>
        <w:t>Number of Figures</w:t>
      </w:r>
      <w:r w:rsidRPr="00796F65">
        <w:rPr>
          <w:rFonts w:ascii="Times New Roman" w:hAnsi="Times New Roman" w:cs="Times New Roman"/>
        </w:rPr>
        <w:t>:</w:t>
      </w:r>
      <w:r w:rsidR="00D45CE8" w:rsidRPr="00796F65">
        <w:rPr>
          <w:rFonts w:ascii="Times New Roman" w:hAnsi="Times New Roman" w:cs="Times New Roman"/>
        </w:rPr>
        <w:t xml:space="preserve"> </w:t>
      </w:r>
      <w:r w:rsidR="00102F11" w:rsidRPr="00796F65">
        <w:rPr>
          <w:rFonts w:ascii="Times New Roman" w:hAnsi="Times New Roman" w:cs="Times New Roman"/>
        </w:rPr>
        <w:t>2</w:t>
      </w:r>
    </w:p>
    <w:commentRangeEnd w:id="1"/>
    <w:p w14:paraId="34403404" w14:textId="17C5FB4E" w:rsidR="00A951D7" w:rsidRPr="00796F65" w:rsidRDefault="00525E6C" w:rsidP="00796F65">
      <w:pPr>
        <w:spacing w:line="480" w:lineRule="auto"/>
        <w:ind w:left="360"/>
        <w:jc w:val="both"/>
        <w:outlineLvl w:val="0"/>
        <w:rPr>
          <w:rFonts w:ascii="Times New Roman" w:hAnsi="Times New Roman" w:cs="Times New Roman"/>
        </w:rPr>
      </w:pPr>
      <w:r w:rsidRPr="00796F65">
        <w:rPr>
          <w:rStyle w:val="CommentReference"/>
          <w:rFonts w:ascii="Times New Roman" w:hAnsi="Times New Roman" w:cs="Times New Roman"/>
          <w:sz w:val="24"/>
          <w:szCs w:val="24"/>
        </w:rPr>
        <w:commentReference w:id="1"/>
      </w:r>
      <w:r w:rsidR="00A951D7" w:rsidRPr="00796F65">
        <w:rPr>
          <w:rFonts w:ascii="Times New Roman" w:hAnsi="Times New Roman" w:cs="Times New Roman"/>
          <w:b/>
        </w:rPr>
        <w:t>Short Title:</w:t>
      </w:r>
      <w:r w:rsidR="00A951D7" w:rsidRPr="00796F65">
        <w:rPr>
          <w:rFonts w:ascii="Times New Roman" w:hAnsi="Times New Roman" w:cs="Times New Roman"/>
        </w:rPr>
        <w:t xml:space="preserve"> </w:t>
      </w:r>
      <w:r w:rsidR="00D048C6" w:rsidRPr="00796F65">
        <w:rPr>
          <w:rFonts w:ascii="Times New Roman" w:hAnsi="Times New Roman" w:cs="Times New Roman"/>
        </w:rPr>
        <w:t xml:space="preserve">Ovarian </w:t>
      </w:r>
      <w:r w:rsidR="00A951D7" w:rsidRPr="00796F65">
        <w:rPr>
          <w:rFonts w:ascii="Times New Roman" w:hAnsi="Times New Roman" w:cs="Times New Roman"/>
        </w:rPr>
        <w:t>Dysgerminoma</w:t>
      </w:r>
    </w:p>
    <w:p w14:paraId="686BC646" w14:textId="1824CB61" w:rsidR="00763CD8" w:rsidRPr="00796F65" w:rsidRDefault="00A951D7" w:rsidP="00796F65">
      <w:pPr>
        <w:spacing w:line="480" w:lineRule="auto"/>
        <w:ind w:left="360"/>
        <w:jc w:val="both"/>
        <w:rPr>
          <w:rFonts w:ascii="Times New Roman" w:hAnsi="Times New Roman" w:cs="Times New Roman"/>
        </w:rPr>
      </w:pPr>
      <w:r w:rsidRPr="00796F65">
        <w:rPr>
          <w:rFonts w:ascii="Times New Roman" w:hAnsi="Times New Roman" w:cs="Times New Roman"/>
          <w:b/>
        </w:rPr>
        <w:t>Keywords:</w:t>
      </w:r>
      <w:r w:rsidRPr="00796F65">
        <w:rPr>
          <w:rFonts w:ascii="Times New Roman" w:hAnsi="Times New Roman" w:cs="Times New Roman"/>
        </w:rPr>
        <w:t xml:space="preserve"> Dysgerminoma, Malignant Ovarian Germ Cell Tumor</w:t>
      </w:r>
      <w:r w:rsidR="00352516" w:rsidRPr="00796F65">
        <w:rPr>
          <w:rFonts w:ascii="Times New Roman" w:hAnsi="Times New Roman" w:cs="Times New Roman"/>
        </w:rPr>
        <w:t xml:space="preserve"> (MOGCT), Pediatric, Adolescent and Young Adult</w:t>
      </w:r>
      <w:r w:rsidRPr="00796F65">
        <w:rPr>
          <w:rFonts w:ascii="Times New Roman" w:hAnsi="Times New Roman" w:cs="Times New Roman"/>
        </w:rPr>
        <w:t xml:space="preserve"> (AYA),</w:t>
      </w:r>
      <w:r w:rsidRPr="00796F65">
        <w:rPr>
          <w:rFonts w:ascii="Times New Roman" w:hAnsi="Times New Roman" w:cs="Times New Roman"/>
          <w:b/>
        </w:rPr>
        <w:t xml:space="preserve"> </w:t>
      </w:r>
      <w:r w:rsidR="005432FF" w:rsidRPr="00796F65">
        <w:rPr>
          <w:rFonts w:ascii="Times New Roman" w:hAnsi="Times New Roman" w:cs="Times New Roman"/>
        </w:rPr>
        <w:t xml:space="preserve">Malignant Germ Cell Tumor International </w:t>
      </w:r>
      <w:r w:rsidR="00794BD3" w:rsidRPr="00796F65">
        <w:rPr>
          <w:rFonts w:ascii="Times New Roman" w:hAnsi="Times New Roman" w:cs="Times New Roman"/>
        </w:rPr>
        <w:t xml:space="preserve">Consortium </w:t>
      </w:r>
      <w:r w:rsidR="005432FF" w:rsidRPr="00796F65">
        <w:rPr>
          <w:rFonts w:ascii="Times New Roman" w:hAnsi="Times New Roman" w:cs="Times New Roman"/>
        </w:rPr>
        <w:t>(MaGIC)</w:t>
      </w:r>
      <w:r w:rsidR="00763CD8" w:rsidRPr="00796F65">
        <w:rPr>
          <w:rFonts w:ascii="Times New Roman" w:hAnsi="Times New Roman" w:cs="Times New Roman"/>
        </w:rPr>
        <w:t>.</w:t>
      </w:r>
    </w:p>
    <w:p w14:paraId="0D090C84" w14:textId="2F31E764" w:rsidR="00E04322" w:rsidRPr="00796F65" w:rsidRDefault="00E04322" w:rsidP="00796F65">
      <w:pPr>
        <w:spacing w:line="480" w:lineRule="auto"/>
        <w:ind w:left="360"/>
        <w:jc w:val="both"/>
        <w:outlineLvl w:val="0"/>
        <w:rPr>
          <w:rFonts w:ascii="Times New Roman" w:hAnsi="Times New Roman" w:cs="Times New Roman"/>
          <w:b/>
        </w:rPr>
      </w:pPr>
      <w:r w:rsidRPr="00796F65">
        <w:rPr>
          <w:rFonts w:ascii="Times New Roman" w:hAnsi="Times New Roman" w:cs="Times New Roman"/>
          <w:b/>
        </w:rPr>
        <w:t>Abbreviations:</w:t>
      </w:r>
    </w:p>
    <w:p w14:paraId="2E45A31A" w14:textId="14E8EBEF" w:rsidR="00E04322" w:rsidRPr="00796F65" w:rsidRDefault="008D4E0D"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Adolescent</w:t>
      </w:r>
      <w:r w:rsidR="00E04322" w:rsidRPr="00796F65">
        <w:rPr>
          <w:rFonts w:ascii="Times New Roman" w:hAnsi="Times New Roman" w:cs="Times New Roman"/>
        </w:rPr>
        <w:t xml:space="preserve"> and Young Ad</w:t>
      </w:r>
      <w:r w:rsidR="00313C3A" w:rsidRPr="00796F65">
        <w:rPr>
          <w:rFonts w:ascii="Times New Roman" w:hAnsi="Times New Roman" w:cs="Times New Roman"/>
        </w:rPr>
        <w:t xml:space="preserve">ult </w:t>
      </w:r>
      <w:r w:rsidR="00E04322" w:rsidRPr="00796F65">
        <w:rPr>
          <w:rFonts w:ascii="Times New Roman" w:hAnsi="Times New Roman" w:cs="Times New Roman"/>
        </w:rPr>
        <w:t>(AYA</w:t>
      </w:r>
      <w:r w:rsidR="00E04322" w:rsidRPr="00796F65">
        <w:rPr>
          <w:rFonts w:ascii="Times New Roman" w:hAnsi="Times New Roman" w:cs="Times New Roman"/>
          <w:b/>
        </w:rPr>
        <w:t>)</w:t>
      </w:r>
    </w:p>
    <w:p w14:paraId="4976EA9F" w14:textId="77777777" w:rsidR="00DE47EC" w:rsidRPr="00796F65" w:rsidRDefault="00DE47EC"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Germ Cell Tumor (GCT)</w:t>
      </w:r>
    </w:p>
    <w:p w14:paraId="70856B6B" w14:textId="19CB847B" w:rsidR="00DE47EC" w:rsidRPr="00796F65" w:rsidRDefault="00DE47EC"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Malignant Ovarian Germ Cell Tumor (MOGCT)</w:t>
      </w:r>
    </w:p>
    <w:p w14:paraId="5C6F8C13" w14:textId="3B75A797" w:rsidR="00E04322" w:rsidRPr="00796F65" w:rsidRDefault="00E04322"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Malignant Germ Cell Tumor Inte</w:t>
      </w:r>
      <w:r w:rsidR="00580D7C" w:rsidRPr="00796F65">
        <w:rPr>
          <w:rFonts w:ascii="Times New Roman" w:hAnsi="Times New Roman" w:cs="Times New Roman"/>
        </w:rPr>
        <w:t xml:space="preserve">rnational </w:t>
      </w:r>
      <w:r w:rsidR="0033224E" w:rsidRPr="00796F65">
        <w:rPr>
          <w:rFonts w:ascii="Times New Roman" w:hAnsi="Times New Roman" w:cs="Times New Roman"/>
        </w:rPr>
        <w:t xml:space="preserve">Consortium </w:t>
      </w:r>
      <w:r w:rsidR="00580D7C" w:rsidRPr="00796F65">
        <w:rPr>
          <w:rFonts w:ascii="Times New Roman" w:hAnsi="Times New Roman" w:cs="Times New Roman"/>
        </w:rPr>
        <w:t>(MaGIC)</w:t>
      </w:r>
    </w:p>
    <w:p w14:paraId="5CDE2BA6" w14:textId="77777777" w:rsidR="00C361B4" w:rsidRPr="00796F65" w:rsidRDefault="00C361B4"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United States (U.S.)</w:t>
      </w:r>
    </w:p>
    <w:p w14:paraId="0797928F" w14:textId="6DF8CE50" w:rsidR="00C361B4" w:rsidRPr="00796F65" w:rsidRDefault="00C361B4"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United Kingdom (U.K.)</w:t>
      </w:r>
    </w:p>
    <w:p w14:paraId="45271093" w14:textId="32692AB1" w:rsidR="00626A43" w:rsidRPr="00796F65" w:rsidRDefault="00626A43"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Clinical Trial Organizations (CTOs)</w:t>
      </w:r>
    </w:p>
    <w:p w14:paraId="0F3166EF" w14:textId="1CB9BA6F" w:rsidR="00E04322" w:rsidRPr="00796F65" w:rsidRDefault="00E04322"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Children’s Oncology Group (COG, United States</w:t>
      </w:r>
      <w:r w:rsidR="00AC5A50" w:rsidRPr="00796F65">
        <w:rPr>
          <w:rFonts w:ascii="Times New Roman" w:hAnsi="Times New Roman" w:cs="Times New Roman"/>
        </w:rPr>
        <w:t>, Canada and Australia</w:t>
      </w:r>
      <w:r w:rsidRPr="00796F65">
        <w:rPr>
          <w:rFonts w:ascii="Times New Roman" w:hAnsi="Times New Roman" w:cs="Times New Roman"/>
        </w:rPr>
        <w:t>)</w:t>
      </w:r>
    </w:p>
    <w:p w14:paraId="79675D5A" w14:textId="0D7533D8" w:rsidR="00482C24" w:rsidRPr="00796F65" w:rsidRDefault="00482C24"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United Kingdom Children's Cancer Study Group (UKCCSG)</w:t>
      </w:r>
    </w:p>
    <w:p w14:paraId="2ECDBDAA" w14:textId="318C961B" w:rsidR="00E04322" w:rsidRPr="00796F65" w:rsidRDefault="00E04322"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Children’s Cancer and Leuk</w:t>
      </w:r>
      <w:r w:rsidR="00B801D9" w:rsidRPr="00796F65">
        <w:rPr>
          <w:rFonts w:ascii="Times New Roman" w:hAnsi="Times New Roman" w:cs="Times New Roman"/>
        </w:rPr>
        <w:t>a</w:t>
      </w:r>
      <w:r w:rsidRPr="00796F65">
        <w:rPr>
          <w:rFonts w:ascii="Times New Roman" w:hAnsi="Times New Roman" w:cs="Times New Roman"/>
        </w:rPr>
        <w:t>emia Group (CCLG, United Kingdom)</w:t>
      </w:r>
    </w:p>
    <w:p w14:paraId="3A0D9807" w14:textId="327D660D" w:rsidR="00E04322" w:rsidRPr="00796F65" w:rsidRDefault="00E04322"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Gynecologic Oncology Group (GOG</w:t>
      </w:r>
      <w:r w:rsidR="00442BFC" w:rsidRPr="00796F65">
        <w:rPr>
          <w:rFonts w:ascii="Times New Roman" w:hAnsi="Times New Roman" w:cs="Times New Roman"/>
        </w:rPr>
        <w:t>, United States</w:t>
      </w:r>
      <w:r w:rsidRPr="00796F65">
        <w:rPr>
          <w:rFonts w:ascii="Times New Roman" w:hAnsi="Times New Roman" w:cs="Times New Roman"/>
        </w:rPr>
        <w:t>)</w:t>
      </w:r>
    </w:p>
    <w:p w14:paraId="6BA68365" w14:textId="37B6BA04" w:rsidR="006410BE" w:rsidRPr="00796F65" w:rsidRDefault="006410BE"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International Federation of Gynecology and Obstetrics (FIGO)</w:t>
      </w:r>
    </w:p>
    <w:p w14:paraId="5C3F5C3E" w14:textId="05C2AA97" w:rsidR="00206CBE" w:rsidRPr="00796F65" w:rsidRDefault="00206CBE"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International Germ Cell Cancer Collaborative Group (IGCCCG)</w:t>
      </w:r>
    </w:p>
    <w:p w14:paraId="472ED377" w14:textId="0DA3B40F" w:rsidR="00E04322" w:rsidRPr="00796F65" w:rsidRDefault="00E04322"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Cisplatin</w:t>
      </w:r>
      <w:r w:rsidR="00CA0599" w:rsidRPr="00796F65">
        <w:rPr>
          <w:rFonts w:ascii="Times New Roman" w:hAnsi="Times New Roman" w:cs="Times New Roman"/>
        </w:rPr>
        <w:t>, Etoposide, Bleomycin</w:t>
      </w:r>
      <w:r w:rsidR="00CA0226" w:rsidRPr="00796F65">
        <w:rPr>
          <w:rFonts w:ascii="Times New Roman" w:hAnsi="Times New Roman" w:cs="Times New Roman"/>
        </w:rPr>
        <w:t xml:space="preserve"> once weekly</w:t>
      </w:r>
      <w:r w:rsidR="00CA0599" w:rsidRPr="00796F65">
        <w:rPr>
          <w:rFonts w:ascii="Times New Roman" w:hAnsi="Times New Roman" w:cs="Times New Roman"/>
        </w:rPr>
        <w:t xml:space="preserve"> (</w:t>
      </w:r>
      <w:r w:rsidR="00DC6A30" w:rsidRPr="00796F65">
        <w:rPr>
          <w:rFonts w:ascii="Times New Roman" w:hAnsi="Times New Roman" w:cs="Times New Roman"/>
        </w:rPr>
        <w:t>BEP</w:t>
      </w:r>
      <w:r w:rsidRPr="00796F65">
        <w:rPr>
          <w:rFonts w:ascii="Times New Roman" w:hAnsi="Times New Roman" w:cs="Times New Roman"/>
        </w:rPr>
        <w:t>)</w:t>
      </w:r>
    </w:p>
    <w:p w14:paraId="00DDB337" w14:textId="0B38C0BA" w:rsidR="00673F22" w:rsidRPr="00796F65" w:rsidRDefault="00673F22"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lastRenderedPageBreak/>
        <w:t xml:space="preserve">Cisplatin, Etoposide, Bleomycin </w:t>
      </w:r>
      <w:r w:rsidR="00CA0226" w:rsidRPr="00796F65">
        <w:rPr>
          <w:rFonts w:ascii="Times New Roman" w:hAnsi="Times New Roman" w:cs="Times New Roman"/>
        </w:rPr>
        <w:t xml:space="preserve">once per cycle </w:t>
      </w:r>
      <w:r w:rsidRPr="00796F65">
        <w:rPr>
          <w:rFonts w:ascii="Times New Roman" w:hAnsi="Times New Roman" w:cs="Times New Roman"/>
        </w:rPr>
        <w:t>(PEb</w:t>
      </w:r>
      <w:r w:rsidR="005A7424" w:rsidRPr="00796F65">
        <w:rPr>
          <w:rFonts w:ascii="Times New Roman" w:hAnsi="Times New Roman" w:cs="Times New Roman"/>
        </w:rPr>
        <w:t xml:space="preserve"> or pediatric BEP</w:t>
      </w:r>
      <w:r w:rsidRPr="00796F65">
        <w:rPr>
          <w:rFonts w:ascii="Times New Roman" w:hAnsi="Times New Roman" w:cs="Times New Roman"/>
        </w:rPr>
        <w:t>)</w:t>
      </w:r>
    </w:p>
    <w:p w14:paraId="178EC968" w14:textId="12FA0350" w:rsidR="005A7424" w:rsidRPr="00796F65" w:rsidRDefault="005A7424"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 xml:space="preserve"> High Dose Cisplatin, Etoposide, Bleomycin </w:t>
      </w:r>
      <w:r w:rsidR="009A577C" w:rsidRPr="00796F65">
        <w:rPr>
          <w:rFonts w:ascii="Times New Roman" w:hAnsi="Times New Roman" w:cs="Times New Roman"/>
        </w:rPr>
        <w:t xml:space="preserve">once per cycle </w:t>
      </w:r>
      <w:r w:rsidRPr="00796F65">
        <w:rPr>
          <w:rFonts w:ascii="Times New Roman" w:hAnsi="Times New Roman" w:cs="Times New Roman"/>
        </w:rPr>
        <w:t>(HD-PEb)</w:t>
      </w:r>
    </w:p>
    <w:p w14:paraId="5ED4524D" w14:textId="4158CB45" w:rsidR="00E04322" w:rsidRPr="00796F65" w:rsidRDefault="00E04322"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Carbop</w:t>
      </w:r>
      <w:r w:rsidR="005B4BF3" w:rsidRPr="00796F65">
        <w:rPr>
          <w:rFonts w:ascii="Times New Roman" w:hAnsi="Times New Roman" w:cs="Times New Roman"/>
        </w:rPr>
        <w:t xml:space="preserve">latin, Etoposide, Bleomycin </w:t>
      </w:r>
      <w:r w:rsidR="009A577C" w:rsidRPr="00796F65">
        <w:rPr>
          <w:rFonts w:ascii="Times New Roman" w:hAnsi="Times New Roman" w:cs="Times New Roman"/>
        </w:rPr>
        <w:t xml:space="preserve">once per cycle </w:t>
      </w:r>
      <w:r w:rsidR="005B4BF3" w:rsidRPr="00796F65">
        <w:rPr>
          <w:rFonts w:ascii="Times New Roman" w:hAnsi="Times New Roman" w:cs="Times New Roman"/>
        </w:rPr>
        <w:t>(JEb</w:t>
      </w:r>
      <w:r w:rsidRPr="00796F65">
        <w:rPr>
          <w:rFonts w:ascii="Times New Roman" w:hAnsi="Times New Roman" w:cs="Times New Roman"/>
        </w:rPr>
        <w:t>)</w:t>
      </w:r>
    </w:p>
    <w:p w14:paraId="66A7436A" w14:textId="4DA9F312" w:rsidR="005A7424" w:rsidRPr="00796F65" w:rsidRDefault="005A7424"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Carboplatin, Etoposide (JE)</w:t>
      </w:r>
    </w:p>
    <w:p w14:paraId="55CE07C2" w14:textId="6C6BA2D8" w:rsidR="00EE3D89" w:rsidRPr="00796F65" w:rsidRDefault="00580D7C"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Alpha-fetoprotein (AFP)</w:t>
      </w:r>
    </w:p>
    <w:p w14:paraId="6244F340" w14:textId="78531B12" w:rsidR="005A33F5" w:rsidRPr="00796F65" w:rsidRDefault="005A33F5"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 xml:space="preserve">Beta-human chorionic gonadotropin </w:t>
      </w:r>
      <w:r w:rsidR="00DF5B1F" w:rsidRPr="00796F65">
        <w:rPr>
          <w:rFonts w:ascii="Times New Roman" w:hAnsi="Times New Roman" w:cs="Times New Roman"/>
          <w:color w:val="000000"/>
        </w:rPr>
        <w:t>(β-h</w:t>
      </w:r>
      <w:r w:rsidRPr="00796F65">
        <w:rPr>
          <w:rFonts w:ascii="Times New Roman" w:hAnsi="Times New Roman" w:cs="Times New Roman"/>
          <w:color w:val="000000"/>
        </w:rPr>
        <w:t xml:space="preserve">CG) </w:t>
      </w:r>
    </w:p>
    <w:p w14:paraId="430C6BC1" w14:textId="2742833E" w:rsidR="009371CE" w:rsidRPr="00796F65" w:rsidRDefault="009371CE"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color w:val="000000"/>
        </w:rPr>
        <w:t>Lactate Dehydrogenase (LDH)</w:t>
      </w:r>
    </w:p>
    <w:p w14:paraId="441DA8CF" w14:textId="3DB1A52F" w:rsidR="00A74B0B" w:rsidRPr="00796F65" w:rsidRDefault="00A74B0B"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 xml:space="preserve">Event-free survival (EFS) </w:t>
      </w:r>
    </w:p>
    <w:p w14:paraId="36816F24" w14:textId="39898D4F" w:rsidR="00A74B0B" w:rsidRPr="00796F65" w:rsidRDefault="00A74B0B"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Overall survival (OS)</w:t>
      </w:r>
    </w:p>
    <w:p w14:paraId="6CFEE62A" w14:textId="558B95DD" w:rsidR="00FF433A" w:rsidRPr="00796F65" w:rsidRDefault="00FF433A"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Years (y)</w:t>
      </w:r>
    </w:p>
    <w:p w14:paraId="670133A6" w14:textId="14ED4ECB" w:rsidR="00FF433A" w:rsidRPr="00796F65" w:rsidRDefault="00FF433A"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Versus (vs.)</w:t>
      </w:r>
    </w:p>
    <w:p w14:paraId="5AB29CF3" w14:textId="113BF79D" w:rsidR="00DE47EC" w:rsidRPr="00796F65" w:rsidRDefault="00DE47EC" w:rsidP="00796F65">
      <w:pPr>
        <w:pStyle w:val="ListParagraph"/>
        <w:numPr>
          <w:ilvl w:val="0"/>
          <w:numId w:val="7"/>
        </w:numPr>
        <w:spacing w:line="480" w:lineRule="auto"/>
        <w:jc w:val="both"/>
        <w:rPr>
          <w:rFonts w:ascii="Times New Roman" w:hAnsi="Times New Roman" w:cs="Times New Roman"/>
        </w:rPr>
      </w:pPr>
      <w:r w:rsidRPr="00796F65">
        <w:rPr>
          <w:rFonts w:ascii="Times New Roman" w:hAnsi="Times New Roman" w:cs="Times New Roman"/>
        </w:rPr>
        <w:t>Second malignant neoplasm (SMN)</w:t>
      </w:r>
    </w:p>
    <w:p w14:paraId="2886AD17" w14:textId="77777777" w:rsidR="00E04322" w:rsidRPr="00796F65" w:rsidRDefault="00E04322" w:rsidP="00796F65">
      <w:pPr>
        <w:spacing w:line="480" w:lineRule="auto"/>
        <w:jc w:val="both"/>
        <w:rPr>
          <w:rFonts w:ascii="Times New Roman" w:hAnsi="Times New Roman" w:cs="Times New Roman"/>
        </w:rPr>
      </w:pPr>
    </w:p>
    <w:p w14:paraId="56080733" w14:textId="77777777" w:rsidR="00E04322" w:rsidRPr="00796F65" w:rsidRDefault="00E04322" w:rsidP="00796F65">
      <w:pPr>
        <w:spacing w:line="480" w:lineRule="auto"/>
        <w:jc w:val="both"/>
        <w:rPr>
          <w:rFonts w:ascii="Times New Roman" w:hAnsi="Times New Roman" w:cs="Times New Roman"/>
          <w:b/>
        </w:rPr>
      </w:pPr>
      <w:r w:rsidRPr="00796F65">
        <w:rPr>
          <w:rFonts w:ascii="Times New Roman" w:hAnsi="Times New Roman" w:cs="Times New Roman"/>
          <w:b/>
        </w:rPr>
        <w:br w:type="page"/>
      </w:r>
    </w:p>
    <w:p w14:paraId="425F2DFE" w14:textId="3FAA7985" w:rsidR="00605445" w:rsidRPr="00796F65" w:rsidRDefault="00605445" w:rsidP="00796F65">
      <w:pPr>
        <w:spacing w:line="480" w:lineRule="auto"/>
        <w:jc w:val="both"/>
        <w:outlineLvl w:val="0"/>
        <w:rPr>
          <w:rFonts w:ascii="Times New Roman" w:hAnsi="Times New Roman" w:cs="Times New Roman"/>
        </w:rPr>
      </w:pPr>
      <w:commentRangeStart w:id="2"/>
      <w:r w:rsidRPr="00796F65">
        <w:rPr>
          <w:rFonts w:ascii="Times New Roman" w:hAnsi="Times New Roman" w:cs="Times New Roman"/>
          <w:b/>
        </w:rPr>
        <w:lastRenderedPageBreak/>
        <w:t>Abstract</w:t>
      </w:r>
      <w:commentRangeEnd w:id="2"/>
      <w:r w:rsidR="00BC0E10" w:rsidRPr="00796F65">
        <w:rPr>
          <w:rStyle w:val="CommentReference"/>
          <w:rFonts w:ascii="Times New Roman" w:hAnsi="Times New Roman" w:cs="Times New Roman"/>
          <w:sz w:val="24"/>
          <w:szCs w:val="24"/>
        </w:rPr>
        <w:commentReference w:id="2"/>
      </w:r>
    </w:p>
    <w:p w14:paraId="0819284A" w14:textId="77777777" w:rsidR="00C3546D" w:rsidRPr="00796F65" w:rsidRDefault="00C3546D" w:rsidP="00796F65">
      <w:pPr>
        <w:spacing w:line="480" w:lineRule="auto"/>
        <w:jc w:val="both"/>
        <w:rPr>
          <w:rFonts w:ascii="Times New Roman" w:hAnsi="Times New Roman" w:cs="Times New Roman"/>
        </w:rPr>
      </w:pPr>
      <w:r w:rsidRPr="00796F65">
        <w:rPr>
          <w:rFonts w:ascii="Times New Roman" w:hAnsi="Times New Roman" w:cs="Times New Roman"/>
          <w:b/>
        </w:rPr>
        <w:t>Background</w:t>
      </w:r>
      <w:r w:rsidRPr="00796F65">
        <w:rPr>
          <w:rFonts w:ascii="Times New Roman" w:hAnsi="Times New Roman" w:cs="Times New Roman"/>
        </w:rPr>
        <w:t>:</w:t>
      </w:r>
    </w:p>
    <w:p w14:paraId="482B4B9E" w14:textId="1C8BAB0D" w:rsidR="00C3546D" w:rsidRPr="00796F65" w:rsidRDefault="00C3546D" w:rsidP="00796F65">
      <w:pPr>
        <w:spacing w:line="480" w:lineRule="auto"/>
        <w:jc w:val="both"/>
        <w:rPr>
          <w:rFonts w:ascii="Times New Roman" w:hAnsi="Times New Roman" w:cs="Times New Roman"/>
          <w:bCs/>
        </w:rPr>
      </w:pPr>
      <w:r w:rsidRPr="00796F65">
        <w:rPr>
          <w:rFonts w:ascii="Times New Roman" w:hAnsi="Times New Roman" w:cs="Times New Roman"/>
          <w:bCs/>
        </w:rPr>
        <w:t xml:space="preserve">Dysgerminoma is </w:t>
      </w:r>
      <w:r w:rsidR="0033426B" w:rsidRPr="00796F65">
        <w:rPr>
          <w:rFonts w:ascii="Times New Roman" w:hAnsi="Times New Roman" w:cs="Times New Roman"/>
          <w:bCs/>
        </w:rPr>
        <w:t xml:space="preserve">the most common </w:t>
      </w:r>
      <w:r w:rsidRPr="00796F65">
        <w:rPr>
          <w:rFonts w:ascii="Times New Roman" w:hAnsi="Times New Roman" w:cs="Times New Roman"/>
          <w:bCs/>
        </w:rPr>
        <w:t>malignant ovarian germ cell tumor (GCT)</w:t>
      </w:r>
      <w:r w:rsidR="00CE6470">
        <w:rPr>
          <w:rFonts w:ascii="Times New Roman" w:hAnsi="Times New Roman" w:cs="Times New Roman"/>
          <w:bCs/>
        </w:rPr>
        <w:t xml:space="preserve"> with peak</w:t>
      </w:r>
      <w:r w:rsidR="002919DF" w:rsidRPr="00796F65">
        <w:rPr>
          <w:rFonts w:ascii="Times New Roman" w:hAnsi="Times New Roman" w:cs="Times New Roman"/>
          <w:bCs/>
        </w:rPr>
        <w:t xml:space="preserve"> </w:t>
      </w:r>
      <w:r w:rsidRPr="00796F65">
        <w:rPr>
          <w:rFonts w:ascii="Times New Roman" w:hAnsi="Times New Roman" w:cs="Times New Roman"/>
          <w:bCs/>
        </w:rPr>
        <w:t>incidence during ado</w:t>
      </w:r>
      <w:r w:rsidR="0050722D" w:rsidRPr="00796F65">
        <w:rPr>
          <w:rFonts w:ascii="Times New Roman" w:hAnsi="Times New Roman" w:cs="Times New Roman"/>
          <w:bCs/>
        </w:rPr>
        <w:t>lescence and young adulthood</w:t>
      </w:r>
      <w:r w:rsidR="0033426B" w:rsidRPr="00796F65">
        <w:rPr>
          <w:rFonts w:ascii="Times New Roman" w:hAnsi="Times New Roman" w:cs="Times New Roman"/>
          <w:bCs/>
        </w:rPr>
        <w:t xml:space="preserve">. </w:t>
      </w:r>
      <w:r w:rsidRPr="00796F65">
        <w:rPr>
          <w:rFonts w:ascii="Times New Roman" w:hAnsi="Times New Roman" w:cs="Times New Roman"/>
          <w:bCs/>
        </w:rPr>
        <w:t xml:space="preserve">Current standard of care </w:t>
      </w:r>
      <w:r w:rsidR="00283887" w:rsidRPr="00796F65">
        <w:rPr>
          <w:rFonts w:ascii="Times New Roman" w:hAnsi="Times New Roman" w:cs="Times New Roman"/>
          <w:bCs/>
        </w:rPr>
        <w:t xml:space="preserve">for patients </w:t>
      </w:r>
      <w:r w:rsidR="00367A42" w:rsidRPr="00796F65">
        <w:rPr>
          <w:rFonts w:ascii="Times New Roman" w:hAnsi="Times New Roman" w:cs="Times New Roman"/>
          <w:bCs/>
        </w:rPr>
        <w:t xml:space="preserve">with </w:t>
      </w:r>
      <w:r w:rsidR="00283887" w:rsidRPr="00796F65">
        <w:rPr>
          <w:rFonts w:ascii="Times New Roman" w:hAnsi="Times New Roman" w:cs="Times New Roman"/>
          <w:bCs/>
        </w:rPr>
        <w:t>disease that has spread outside of the ovary</w:t>
      </w:r>
      <w:r w:rsidR="009A051B" w:rsidRPr="00796F65">
        <w:rPr>
          <w:rFonts w:ascii="Times New Roman" w:hAnsi="Times New Roman" w:cs="Times New Roman"/>
          <w:bCs/>
        </w:rPr>
        <w:t xml:space="preserve"> </w:t>
      </w:r>
      <w:r w:rsidR="006C4CB3">
        <w:rPr>
          <w:rFonts w:ascii="Times New Roman" w:hAnsi="Times New Roman" w:cs="Times New Roman"/>
          <w:bCs/>
        </w:rPr>
        <w:t xml:space="preserve">(advanced-stage) </w:t>
      </w:r>
      <w:r w:rsidR="007E1F6B" w:rsidRPr="00796F65">
        <w:rPr>
          <w:rFonts w:ascii="Times New Roman" w:hAnsi="Times New Roman" w:cs="Times New Roman"/>
          <w:bCs/>
        </w:rPr>
        <w:t>utilizes</w:t>
      </w:r>
      <w:r w:rsidR="0033426B" w:rsidRPr="00796F65">
        <w:rPr>
          <w:rFonts w:ascii="Times New Roman" w:hAnsi="Times New Roman" w:cs="Times New Roman"/>
          <w:bCs/>
        </w:rPr>
        <w:t xml:space="preserve"> </w:t>
      </w:r>
      <w:r w:rsidRPr="00796F65">
        <w:rPr>
          <w:rFonts w:ascii="Times New Roman" w:hAnsi="Times New Roman" w:cs="Times New Roman"/>
          <w:bCs/>
        </w:rPr>
        <w:t>platin-based</w:t>
      </w:r>
      <w:r w:rsidR="00731489">
        <w:rPr>
          <w:rFonts w:ascii="Times New Roman" w:hAnsi="Times New Roman" w:cs="Times New Roman"/>
          <w:bCs/>
        </w:rPr>
        <w:t xml:space="preserve"> </w:t>
      </w:r>
      <w:r w:rsidRPr="00796F65">
        <w:rPr>
          <w:rFonts w:ascii="Times New Roman" w:hAnsi="Times New Roman" w:cs="Times New Roman"/>
          <w:bCs/>
        </w:rPr>
        <w:t>chemotherapy</w:t>
      </w:r>
      <w:r w:rsidR="009A051B" w:rsidRPr="00796F65">
        <w:rPr>
          <w:rFonts w:ascii="Times New Roman" w:hAnsi="Times New Roman" w:cs="Times New Roman"/>
          <w:bCs/>
        </w:rPr>
        <w:t xml:space="preserve"> regimen</w:t>
      </w:r>
      <w:r w:rsidR="00267AB1" w:rsidRPr="00796F65">
        <w:rPr>
          <w:rFonts w:ascii="Times New Roman" w:hAnsi="Times New Roman" w:cs="Times New Roman"/>
          <w:bCs/>
        </w:rPr>
        <w:t>s</w:t>
      </w:r>
      <w:r w:rsidR="00283887" w:rsidRPr="00796F65">
        <w:rPr>
          <w:rFonts w:ascii="Times New Roman" w:hAnsi="Times New Roman" w:cs="Times New Roman"/>
          <w:bCs/>
        </w:rPr>
        <w:t>.</w:t>
      </w:r>
      <w:r w:rsidR="00933D72" w:rsidRPr="00796F65">
        <w:rPr>
          <w:rFonts w:ascii="Times New Roman" w:hAnsi="Times New Roman" w:cs="Times New Roman"/>
          <w:bCs/>
        </w:rPr>
        <w:t xml:space="preserve"> </w:t>
      </w:r>
      <w:r w:rsidR="0050722D" w:rsidRPr="009B41D1">
        <w:rPr>
          <w:rFonts w:ascii="Times New Roman" w:hAnsi="Times New Roman" w:cs="Times New Roman"/>
          <w:bCs/>
        </w:rPr>
        <w:t xml:space="preserve">The </w:t>
      </w:r>
      <w:r w:rsidR="00CF6B0D" w:rsidRPr="009B41D1">
        <w:rPr>
          <w:rFonts w:ascii="Times New Roman" w:hAnsi="Times New Roman" w:cs="Times New Roman"/>
          <w:bCs/>
        </w:rPr>
        <w:t xml:space="preserve">study </w:t>
      </w:r>
      <w:r w:rsidR="002919DF" w:rsidRPr="009B41D1">
        <w:rPr>
          <w:rFonts w:ascii="Times New Roman" w:hAnsi="Times New Roman" w:cs="Times New Roman"/>
          <w:bCs/>
        </w:rPr>
        <w:t>objective</w:t>
      </w:r>
      <w:r w:rsidR="0033426B" w:rsidRPr="009B41D1">
        <w:rPr>
          <w:rFonts w:ascii="Times New Roman" w:hAnsi="Times New Roman" w:cs="Times New Roman"/>
          <w:bCs/>
        </w:rPr>
        <w:t xml:space="preserve"> was to </w:t>
      </w:r>
      <w:r w:rsidR="005D105A" w:rsidRPr="009B41D1">
        <w:rPr>
          <w:rFonts w:ascii="Times New Roman" w:hAnsi="Times New Roman" w:cs="Times New Roman"/>
          <w:bCs/>
        </w:rPr>
        <w:t>com</w:t>
      </w:r>
      <w:r w:rsidR="0033426B" w:rsidRPr="009B41D1">
        <w:rPr>
          <w:rFonts w:ascii="Times New Roman" w:hAnsi="Times New Roman" w:cs="Times New Roman"/>
          <w:bCs/>
        </w:rPr>
        <w:t>pare</w:t>
      </w:r>
      <w:r w:rsidR="0050722D" w:rsidRPr="009B41D1">
        <w:rPr>
          <w:rFonts w:ascii="Times New Roman" w:hAnsi="Times New Roman" w:cs="Times New Roman"/>
          <w:bCs/>
        </w:rPr>
        <w:t xml:space="preserve"> </w:t>
      </w:r>
      <w:r w:rsidR="002919DF" w:rsidRPr="009B41D1">
        <w:rPr>
          <w:rFonts w:ascii="Times New Roman" w:hAnsi="Times New Roman" w:cs="Times New Roman"/>
          <w:bCs/>
        </w:rPr>
        <w:t xml:space="preserve">clinical </w:t>
      </w:r>
      <w:r w:rsidR="0050722D" w:rsidRPr="009B41D1">
        <w:rPr>
          <w:rFonts w:ascii="Times New Roman" w:hAnsi="Times New Roman" w:cs="Times New Roman"/>
          <w:bCs/>
        </w:rPr>
        <w:t xml:space="preserve">outcomes </w:t>
      </w:r>
      <w:r w:rsidR="00153E23" w:rsidRPr="009B41D1">
        <w:rPr>
          <w:rFonts w:ascii="Times New Roman" w:hAnsi="Times New Roman" w:cs="Times New Roman"/>
          <w:bCs/>
        </w:rPr>
        <w:t>between platin</w:t>
      </w:r>
      <w:r w:rsidR="00DA4BD3" w:rsidRPr="009B41D1">
        <w:rPr>
          <w:rFonts w:ascii="Times New Roman" w:hAnsi="Times New Roman" w:cs="Times New Roman"/>
          <w:bCs/>
        </w:rPr>
        <w:t xml:space="preserve">-based </w:t>
      </w:r>
      <w:r w:rsidR="00731489" w:rsidRPr="009B41D1">
        <w:rPr>
          <w:rFonts w:ascii="Times New Roman" w:hAnsi="Times New Roman" w:cs="Times New Roman"/>
          <w:bCs/>
        </w:rPr>
        <w:t xml:space="preserve">(carboplatin versus cisplatin) </w:t>
      </w:r>
      <w:r w:rsidR="00DA4BD3" w:rsidRPr="009B41D1">
        <w:rPr>
          <w:rFonts w:ascii="Times New Roman" w:hAnsi="Times New Roman" w:cs="Times New Roman"/>
          <w:bCs/>
        </w:rPr>
        <w:t>strat</w:t>
      </w:r>
      <w:r w:rsidR="001D160E" w:rsidRPr="009B41D1">
        <w:rPr>
          <w:rFonts w:ascii="Times New Roman" w:hAnsi="Times New Roman" w:cs="Times New Roman"/>
          <w:bCs/>
        </w:rPr>
        <w:t>e</w:t>
      </w:r>
      <w:r w:rsidR="00DA4BD3" w:rsidRPr="009B41D1">
        <w:rPr>
          <w:rFonts w:ascii="Times New Roman" w:hAnsi="Times New Roman" w:cs="Times New Roman"/>
          <w:bCs/>
        </w:rPr>
        <w:t xml:space="preserve">gies </w:t>
      </w:r>
      <w:r w:rsidR="0050722D" w:rsidRPr="009B41D1">
        <w:rPr>
          <w:rFonts w:ascii="Times New Roman" w:hAnsi="Times New Roman" w:cs="Times New Roman"/>
          <w:bCs/>
        </w:rPr>
        <w:t xml:space="preserve">across </w:t>
      </w:r>
      <w:r w:rsidR="005D105A" w:rsidRPr="009B41D1">
        <w:rPr>
          <w:rFonts w:ascii="Times New Roman" w:hAnsi="Times New Roman" w:cs="Times New Roman"/>
          <w:bCs/>
        </w:rPr>
        <w:t xml:space="preserve">all </w:t>
      </w:r>
      <w:r w:rsidR="0049393A" w:rsidRPr="009B41D1">
        <w:rPr>
          <w:rFonts w:ascii="Times New Roman" w:hAnsi="Times New Roman" w:cs="Times New Roman"/>
          <w:bCs/>
        </w:rPr>
        <w:t xml:space="preserve">age </w:t>
      </w:r>
      <w:r w:rsidR="00EC4528" w:rsidRPr="009B41D1">
        <w:rPr>
          <w:rFonts w:ascii="Times New Roman" w:hAnsi="Times New Roman" w:cs="Times New Roman"/>
          <w:bCs/>
        </w:rPr>
        <w:t>groups</w:t>
      </w:r>
      <w:r w:rsidR="0093026E" w:rsidRPr="009B41D1">
        <w:rPr>
          <w:rFonts w:ascii="Times New Roman" w:hAnsi="Times New Roman" w:cs="Times New Roman"/>
          <w:bCs/>
        </w:rPr>
        <w:t xml:space="preserve"> (children, adolescents and young adult women)</w:t>
      </w:r>
      <w:r w:rsidR="0063226A">
        <w:rPr>
          <w:rFonts w:ascii="Times New Roman" w:hAnsi="Times New Roman" w:cs="Times New Roman"/>
          <w:bCs/>
        </w:rPr>
        <w:t xml:space="preserve"> for advanced-stage dysgerminoma</w:t>
      </w:r>
      <w:r w:rsidR="00DA4BD3" w:rsidRPr="009B41D1">
        <w:rPr>
          <w:rFonts w:ascii="Times New Roman" w:hAnsi="Times New Roman" w:cs="Times New Roman"/>
          <w:bCs/>
        </w:rPr>
        <w:t>.</w:t>
      </w:r>
    </w:p>
    <w:p w14:paraId="4000BC3C" w14:textId="77777777" w:rsidR="00C3546D" w:rsidRPr="00796F65" w:rsidRDefault="00C3546D" w:rsidP="00796F65">
      <w:pPr>
        <w:spacing w:line="480" w:lineRule="auto"/>
        <w:jc w:val="both"/>
        <w:rPr>
          <w:rFonts w:ascii="Times New Roman" w:hAnsi="Times New Roman" w:cs="Times New Roman"/>
          <w:b/>
          <w:bCs/>
        </w:rPr>
      </w:pPr>
      <w:r w:rsidRPr="00796F65">
        <w:rPr>
          <w:rFonts w:ascii="Times New Roman" w:hAnsi="Times New Roman" w:cs="Times New Roman"/>
          <w:b/>
          <w:bCs/>
        </w:rPr>
        <w:t>Methods</w:t>
      </w:r>
    </w:p>
    <w:p w14:paraId="7742250E" w14:textId="352DD994" w:rsidR="00C3546D" w:rsidRPr="00796F65" w:rsidRDefault="00C3546D" w:rsidP="00796F65">
      <w:pPr>
        <w:spacing w:line="480" w:lineRule="auto"/>
        <w:jc w:val="both"/>
        <w:rPr>
          <w:rFonts w:ascii="Times New Roman" w:hAnsi="Times New Roman" w:cs="Times New Roman"/>
          <w:bCs/>
        </w:rPr>
      </w:pPr>
      <w:r w:rsidRPr="00796F65">
        <w:rPr>
          <w:rFonts w:ascii="Times New Roman" w:hAnsi="Times New Roman" w:cs="Times New Roman"/>
          <w:bCs/>
        </w:rPr>
        <w:t>The Malignant Germ Cell Tum</w:t>
      </w:r>
      <w:r w:rsidR="00B872EC" w:rsidRPr="00796F65">
        <w:rPr>
          <w:rFonts w:ascii="Times New Roman" w:hAnsi="Times New Roman" w:cs="Times New Roman"/>
          <w:bCs/>
        </w:rPr>
        <w:t>or International Co</w:t>
      </w:r>
      <w:r w:rsidR="00283887" w:rsidRPr="00796F65">
        <w:rPr>
          <w:rFonts w:ascii="Times New Roman" w:hAnsi="Times New Roman" w:cs="Times New Roman"/>
          <w:bCs/>
        </w:rPr>
        <w:t>nsortium (MaGIC)</w:t>
      </w:r>
      <w:r w:rsidRPr="00796F65">
        <w:rPr>
          <w:rFonts w:ascii="Times New Roman" w:hAnsi="Times New Roman" w:cs="Times New Roman"/>
          <w:bCs/>
        </w:rPr>
        <w:t xml:space="preserve"> </w:t>
      </w:r>
      <w:r w:rsidR="00894A3C" w:rsidRPr="00796F65">
        <w:rPr>
          <w:rFonts w:ascii="Times New Roman" w:hAnsi="Times New Roman" w:cs="Times New Roman"/>
          <w:bCs/>
        </w:rPr>
        <w:t>pooled</w:t>
      </w:r>
      <w:r w:rsidRPr="00796F65">
        <w:rPr>
          <w:rFonts w:ascii="Times New Roman" w:hAnsi="Times New Roman" w:cs="Times New Roman"/>
          <w:bCs/>
        </w:rPr>
        <w:t xml:space="preserve"> data from </w:t>
      </w:r>
      <w:r w:rsidR="00CB3810" w:rsidRPr="00796F65">
        <w:rPr>
          <w:rFonts w:ascii="Times New Roman" w:hAnsi="Times New Roman" w:cs="Times New Roman"/>
          <w:bCs/>
        </w:rPr>
        <w:t xml:space="preserve">six </w:t>
      </w:r>
      <w:r w:rsidRPr="00796F65">
        <w:rPr>
          <w:rFonts w:ascii="Times New Roman" w:hAnsi="Times New Roman" w:cs="Times New Roman"/>
          <w:bCs/>
        </w:rPr>
        <w:t xml:space="preserve">GCT trials </w:t>
      </w:r>
      <w:r w:rsidR="00A951EA" w:rsidRPr="00796F65">
        <w:rPr>
          <w:rFonts w:ascii="Times New Roman" w:hAnsi="Times New Roman" w:cs="Times New Roman"/>
          <w:bCs/>
        </w:rPr>
        <w:t>(3=</w:t>
      </w:r>
      <w:r w:rsidR="00BB628B" w:rsidRPr="00796F65">
        <w:rPr>
          <w:rFonts w:ascii="Times New Roman" w:hAnsi="Times New Roman" w:cs="Times New Roman"/>
          <w:bCs/>
        </w:rPr>
        <w:t>pediatric,</w:t>
      </w:r>
      <w:r w:rsidR="005A027F" w:rsidRPr="00796F65">
        <w:rPr>
          <w:rFonts w:ascii="Times New Roman" w:hAnsi="Times New Roman" w:cs="Times New Roman"/>
          <w:bCs/>
        </w:rPr>
        <w:t>3</w:t>
      </w:r>
      <w:r w:rsidR="00A951EA" w:rsidRPr="00796F65">
        <w:rPr>
          <w:rFonts w:ascii="Times New Roman" w:hAnsi="Times New Roman" w:cs="Times New Roman"/>
          <w:bCs/>
        </w:rPr>
        <w:t>=</w:t>
      </w:r>
      <w:r w:rsidR="005A027F" w:rsidRPr="00796F65">
        <w:rPr>
          <w:rFonts w:ascii="Times New Roman" w:hAnsi="Times New Roman" w:cs="Times New Roman"/>
          <w:bCs/>
        </w:rPr>
        <w:t xml:space="preserve">adult) </w:t>
      </w:r>
      <w:r w:rsidRPr="00796F65">
        <w:rPr>
          <w:rFonts w:ascii="Times New Roman" w:hAnsi="Times New Roman" w:cs="Times New Roman"/>
          <w:bCs/>
        </w:rPr>
        <w:t xml:space="preserve">conducted </w:t>
      </w:r>
      <w:r w:rsidR="00043DCC" w:rsidRPr="00796F65">
        <w:rPr>
          <w:rFonts w:ascii="Times New Roman" w:hAnsi="Times New Roman" w:cs="Times New Roman"/>
          <w:bCs/>
        </w:rPr>
        <w:t>internationally</w:t>
      </w:r>
      <w:r w:rsidR="00A55D3E" w:rsidRPr="00796F65">
        <w:rPr>
          <w:rFonts w:ascii="Times New Roman" w:hAnsi="Times New Roman" w:cs="Times New Roman"/>
          <w:bCs/>
        </w:rPr>
        <w:t xml:space="preserve"> by pediatric and gynecologic oncology clinical trial organizations</w:t>
      </w:r>
      <w:r w:rsidR="008651C6" w:rsidRPr="00796F65">
        <w:rPr>
          <w:rFonts w:ascii="Times New Roman" w:hAnsi="Times New Roman" w:cs="Times New Roman"/>
          <w:bCs/>
        </w:rPr>
        <w:t xml:space="preserve"> (CTOs)</w:t>
      </w:r>
      <w:r w:rsidR="00043DCC" w:rsidRPr="00796F65">
        <w:rPr>
          <w:rFonts w:ascii="Times New Roman" w:hAnsi="Times New Roman" w:cs="Times New Roman"/>
          <w:bCs/>
        </w:rPr>
        <w:t xml:space="preserve"> </w:t>
      </w:r>
      <w:r w:rsidR="004267DC" w:rsidRPr="00796F65">
        <w:rPr>
          <w:rFonts w:ascii="Times New Roman" w:hAnsi="Times New Roman" w:cs="Times New Roman"/>
          <w:bCs/>
        </w:rPr>
        <w:t>between 1983-</w:t>
      </w:r>
      <w:r w:rsidRPr="00796F65">
        <w:rPr>
          <w:rFonts w:ascii="Times New Roman" w:hAnsi="Times New Roman" w:cs="Times New Roman"/>
          <w:bCs/>
        </w:rPr>
        <w:t>2009</w:t>
      </w:r>
      <w:r w:rsidR="00283887" w:rsidRPr="00796F65">
        <w:rPr>
          <w:rFonts w:ascii="Times New Roman" w:hAnsi="Times New Roman" w:cs="Times New Roman"/>
          <w:bCs/>
        </w:rPr>
        <w:t>.</w:t>
      </w:r>
      <w:r w:rsidR="008E5B9F" w:rsidRPr="00796F65">
        <w:rPr>
          <w:rFonts w:ascii="Times New Roman" w:hAnsi="Times New Roman" w:cs="Times New Roman"/>
          <w:bCs/>
        </w:rPr>
        <w:t xml:space="preserve"> </w:t>
      </w:r>
      <w:r w:rsidR="00283887" w:rsidRPr="00796F65">
        <w:rPr>
          <w:rFonts w:ascii="Times New Roman" w:hAnsi="Times New Roman" w:cs="Times New Roman"/>
          <w:bCs/>
        </w:rPr>
        <w:t>N</w:t>
      </w:r>
      <w:r w:rsidRPr="00796F65">
        <w:rPr>
          <w:rFonts w:ascii="Times New Roman" w:hAnsi="Times New Roman" w:cs="Times New Roman"/>
          <w:bCs/>
        </w:rPr>
        <w:t>ewly diagnosed</w:t>
      </w:r>
      <w:r w:rsidR="00C322F7" w:rsidRPr="00796F65">
        <w:rPr>
          <w:rFonts w:ascii="Times New Roman" w:hAnsi="Times New Roman" w:cs="Times New Roman"/>
          <w:bCs/>
        </w:rPr>
        <w:t xml:space="preserve"> </w:t>
      </w:r>
      <w:r w:rsidR="00AD1617" w:rsidRPr="00796F65">
        <w:rPr>
          <w:rFonts w:ascii="Times New Roman" w:hAnsi="Times New Roman" w:cs="Times New Roman"/>
          <w:bCs/>
        </w:rPr>
        <w:t>patients</w:t>
      </w:r>
      <w:r w:rsidR="00C322F7" w:rsidRPr="00796F65">
        <w:rPr>
          <w:rFonts w:ascii="Times New Roman" w:hAnsi="Times New Roman" w:cs="Times New Roman"/>
          <w:bCs/>
        </w:rPr>
        <w:t>,</w:t>
      </w:r>
      <w:r w:rsidR="00AD1617" w:rsidRPr="00796F65">
        <w:rPr>
          <w:rFonts w:ascii="Times New Roman" w:hAnsi="Times New Roman" w:cs="Times New Roman"/>
          <w:bCs/>
        </w:rPr>
        <w:t xml:space="preserve"> with </w:t>
      </w:r>
      <w:r w:rsidR="008F729C" w:rsidRPr="00796F65">
        <w:rPr>
          <w:rFonts w:ascii="Times New Roman" w:hAnsi="Times New Roman" w:cs="Times New Roman"/>
          <w:bCs/>
        </w:rPr>
        <w:t>advanced</w:t>
      </w:r>
      <w:r w:rsidR="00D735DE" w:rsidRPr="00796F65">
        <w:rPr>
          <w:rFonts w:ascii="Times New Roman" w:hAnsi="Times New Roman" w:cs="Times New Roman"/>
          <w:bCs/>
        </w:rPr>
        <w:t>-</w:t>
      </w:r>
      <w:r w:rsidR="008651C6" w:rsidRPr="00796F65">
        <w:rPr>
          <w:rFonts w:ascii="Times New Roman" w:hAnsi="Times New Roman" w:cs="Times New Roman"/>
          <w:bCs/>
        </w:rPr>
        <w:t>stage</w:t>
      </w:r>
      <w:r w:rsidR="008F729C" w:rsidRPr="00796F65">
        <w:rPr>
          <w:rFonts w:ascii="Times New Roman" w:hAnsi="Times New Roman" w:cs="Times New Roman"/>
          <w:bCs/>
        </w:rPr>
        <w:t xml:space="preserve"> (</w:t>
      </w:r>
      <w:r w:rsidR="007416EA" w:rsidRPr="00796F65">
        <w:rPr>
          <w:rFonts w:ascii="Times New Roman" w:hAnsi="Times New Roman" w:cs="Times New Roman"/>
          <w:bCs/>
        </w:rPr>
        <w:t xml:space="preserve">FIGO </w:t>
      </w:r>
      <w:r w:rsidR="00AD1617" w:rsidRPr="00796F65">
        <w:rPr>
          <w:rFonts w:ascii="Times New Roman" w:hAnsi="Times New Roman" w:cs="Times New Roman"/>
          <w:bCs/>
        </w:rPr>
        <w:t>I</w:t>
      </w:r>
      <w:r w:rsidR="0050722D" w:rsidRPr="00796F65">
        <w:rPr>
          <w:rFonts w:ascii="Times New Roman" w:hAnsi="Times New Roman" w:cs="Times New Roman"/>
          <w:bCs/>
        </w:rPr>
        <w:t>C</w:t>
      </w:r>
      <w:r w:rsidR="00283887" w:rsidRPr="00796F65">
        <w:rPr>
          <w:rFonts w:ascii="Times New Roman" w:hAnsi="Times New Roman" w:cs="Times New Roman"/>
          <w:bCs/>
        </w:rPr>
        <w:t>-IV</w:t>
      </w:r>
      <w:r w:rsidR="004F7024" w:rsidRPr="00796F65">
        <w:rPr>
          <w:rFonts w:ascii="Times New Roman" w:hAnsi="Times New Roman" w:cs="Times New Roman"/>
          <w:bCs/>
        </w:rPr>
        <w:t>)</w:t>
      </w:r>
      <w:r w:rsidRPr="00796F65">
        <w:rPr>
          <w:rFonts w:ascii="Times New Roman" w:hAnsi="Times New Roman" w:cs="Times New Roman"/>
          <w:bCs/>
        </w:rPr>
        <w:t xml:space="preserve"> dysgerminoma</w:t>
      </w:r>
      <w:r w:rsidR="00C322F7" w:rsidRPr="00796F65">
        <w:rPr>
          <w:rFonts w:ascii="Times New Roman" w:hAnsi="Times New Roman" w:cs="Times New Roman"/>
          <w:bCs/>
        </w:rPr>
        <w:t>,</w:t>
      </w:r>
      <w:r w:rsidRPr="00796F65">
        <w:rPr>
          <w:rFonts w:ascii="Times New Roman" w:hAnsi="Times New Roman" w:cs="Times New Roman"/>
          <w:bCs/>
        </w:rPr>
        <w:t xml:space="preserve"> who received </w:t>
      </w:r>
      <w:r w:rsidR="006B1B12">
        <w:rPr>
          <w:rFonts w:ascii="Times New Roman" w:hAnsi="Times New Roman" w:cs="Times New Roman"/>
          <w:bCs/>
        </w:rPr>
        <w:t>either carboplatin- or cisplatin-</w:t>
      </w:r>
      <w:r w:rsidR="007503CC" w:rsidRPr="00796F65">
        <w:rPr>
          <w:rFonts w:ascii="Times New Roman" w:hAnsi="Times New Roman" w:cs="Times New Roman"/>
          <w:bCs/>
        </w:rPr>
        <w:t xml:space="preserve">based </w:t>
      </w:r>
      <w:r w:rsidRPr="00796F65">
        <w:rPr>
          <w:rFonts w:ascii="Times New Roman" w:hAnsi="Times New Roman" w:cs="Times New Roman"/>
          <w:bCs/>
        </w:rPr>
        <w:t>chemotherapy</w:t>
      </w:r>
      <w:r w:rsidR="00283887" w:rsidRPr="00796F65">
        <w:rPr>
          <w:rFonts w:ascii="Times New Roman" w:hAnsi="Times New Roman" w:cs="Times New Roman"/>
          <w:bCs/>
        </w:rPr>
        <w:t xml:space="preserve"> were eligible for analysis</w:t>
      </w:r>
      <w:r w:rsidRPr="00796F65">
        <w:rPr>
          <w:rFonts w:ascii="Times New Roman" w:hAnsi="Times New Roman" w:cs="Times New Roman"/>
          <w:bCs/>
        </w:rPr>
        <w:t>.</w:t>
      </w:r>
    </w:p>
    <w:p w14:paraId="3F94936E" w14:textId="77777777" w:rsidR="00C3546D" w:rsidRPr="00796F65" w:rsidRDefault="00C3546D" w:rsidP="00796F65">
      <w:pPr>
        <w:spacing w:line="480" w:lineRule="auto"/>
        <w:jc w:val="both"/>
        <w:rPr>
          <w:rFonts w:ascii="Times New Roman" w:hAnsi="Times New Roman" w:cs="Times New Roman"/>
          <w:b/>
          <w:bCs/>
        </w:rPr>
      </w:pPr>
      <w:r w:rsidRPr="00796F65">
        <w:rPr>
          <w:rFonts w:ascii="Times New Roman" w:hAnsi="Times New Roman" w:cs="Times New Roman"/>
          <w:b/>
          <w:bCs/>
        </w:rPr>
        <w:t>Results</w:t>
      </w:r>
    </w:p>
    <w:p w14:paraId="41E8BADA" w14:textId="2BD64C18" w:rsidR="00C3546D" w:rsidRPr="00796F65" w:rsidRDefault="00E114C1" w:rsidP="00796F65">
      <w:pPr>
        <w:spacing w:line="480" w:lineRule="auto"/>
        <w:jc w:val="both"/>
        <w:rPr>
          <w:rFonts w:ascii="Times New Roman" w:hAnsi="Times New Roman" w:cs="Times New Roman"/>
          <w:bCs/>
        </w:rPr>
      </w:pPr>
      <w:r w:rsidRPr="00796F65">
        <w:rPr>
          <w:rFonts w:ascii="Times New Roman" w:hAnsi="Times New Roman" w:cs="Times New Roman"/>
          <w:bCs/>
        </w:rPr>
        <w:t>1</w:t>
      </w:r>
      <w:r w:rsidR="005A027F" w:rsidRPr="00796F65">
        <w:rPr>
          <w:rFonts w:ascii="Times New Roman" w:hAnsi="Times New Roman" w:cs="Times New Roman"/>
          <w:bCs/>
        </w:rPr>
        <w:t>2</w:t>
      </w:r>
      <w:r w:rsidRPr="00796F65">
        <w:rPr>
          <w:rFonts w:ascii="Times New Roman" w:hAnsi="Times New Roman" w:cs="Times New Roman"/>
          <w:bCs/>
        </w:rPr>
        <w:t>6 eligible patients</w:t>
      </w:r>
      <w:r w:rsidR="00086A8B" w:rsidRPr="00796F65">
        <w:rPr>
          <w:rFonts w:ascii="Times New Roman" w:hAnsi="Times New Roman" w:cs="Times New Roman"/>
          <w:bCs/>
        </w:rPr>
        <w:t xml:space="preserve"> were identified</w:t>
      </w:r>
      <w:r w:rsidRPr="00796F65">
        <w:rPr>
          <w:rFonts w:ascii="Times New Roman" w:hAnsi="Times New Roman" w:cs="Times New Roman"/>
          <w:bCs/>
        </w:rPr>
        <w:t xml:space="preserve">; </w:t>
      </w:r>
      <w:r w:rsidR="009464E7" w:rsidRPr="00796F65">
        <w:rPr>
          <w:rFonts w:ascii="Times New Roman" w:hAnsi="Times New Roman" w:cs="Times New Roman"/>
          <w:bCs/>
        </w:rPr>
        <w:t>56</w:t>
      </w:r>
      <w:r w:rsidRPr="00796F65">
        <w:rPr>
          <w:rFonts w:ascii="Times New Roman" w:hAnsi="Times New Roman" w:cs="Times New Roman"/>
          <w:bCs/>
        </w:rPr>
        <w:t xml:space="preserve"> patients (</w:t>
      </w:r>
      <w:r w:rsidR="009464E7" w:rsidRPr="00796F65">
        <w:rPr>
          <w:rFonts w:ascii="Times New Roman" w:hAnsi="Times New Roman" w:cs="Times New Roman"/>
          <w:bCs/>
        </w:rPr>
        <w:t>38</w:t>
      </w:r>
      <w:r w:rsidR="007416EA" w:rsidRPr="00796F65">
        <w:rPr>
          <w:rFonts w:ascii="Times New Roman" w:hAnsi="Times New Roman" w:cs="Times New Roman"/>
          <w:bCs/>
        </w:rPr>
        <w:t>=</w:t>
      </w:r>
      <w:r w:rsidRPr="00796F65">
        <w:rPr>
          <w:rFonts w:ascii="Times New Roman" w:hAnsi="Times New Roman" w:cs="Times New Roman"/>
          <w:bCs/>
        </w:rPr>
        <w:t>pediatric,</w:t>
      </w:r>
      <w:r w:rsidR="009464E7" w:rsidRPr="00796F65">
        <w:rPr>
          <w:rFonts w:ascii="Times New Roman" w:hAnsi="Times New Roman" w:cs="Times New Roman"/>
          <w:bCs/>
        </w:rPr>
        <w:t>18</w:t>
      </w:r>
      <w:r w:rsidR="007416EA" w:rsidRPr="00796F65">
        <w:rPr>
          <w:rFonts w:ascii="Times New Roman" w:hAnsi="Times New Roman" w:cs="Times New Roman"/>
          <w:bCs/>
        </w:rPr>
        <w:t>=</w:t>
      </w:r>
      <w:r w:rsidRPr="00796F65">
        <w:rPr>
          <w:rFonts w:ascii="Times New Roman" w:hAnsi="Times New Roman" w:cs="Times New Roman"/>
          <w:bCs/>
        </w:rPr>
        <w:t>adult) received carbop</w:t>
      </w:r>
      <w:r w:rsidR="00633286" w:rsidRPr="00796F65">
        <w:rPr>
          <w:rFonts w:ascii="Times New Roman" w:hAnsi="Times New Roman" w:cs="Times New Roman"/>
          <w:bCs/>
        </w:rPr>
        <w:t xml:space="preserve">latin-based and 70 patients </w:t>
      </w:r>
      <w:r w:rsidR="007416EA" w:rsidRPr="00796F65">
        <w:rPr>
          <w:rFonts w:ascii="Times New Roman" w:hAnsi="Times New Roman" w:cs="Times New Roman"/>
          <w:bCs/>
        </w:rPr>
        <w:t>(50=</w:t>
      </w:r>
      <w:r w:rsidRPr="00796F65">
        <w:rPr>
          <w:rFonts w:ascii="Times New Roman" w:hAnsi="Times New Roman" w:cs="Times New Roman"/>
          <w:bCs/>
        </w:rPr>
        <w:t>pediatric,</w:t>
      </w:r>
      <w:r w:rsidR="007416EA" w:rsidRPr="00796F65">
        <w:rPr>
          <w:rFonts w:ascii="Times New Roman" w:hAnsi="Times New Roman" w:cs="Times New Roman"/>
          <w:bCs/>
        </w:rPr>
        <w:t>20=</w:t>
      </w:r>
      <w:r w:rsidRPr="00796F65">
        <w:rPr>
          <w:rFonts w:ascii="Times New Roman" w:hAnsi="Times New Roman" w:cs="Times New Roman"/>
          <w:bCs/>
        </w:rPr>
        <w:t>adult) received cisplatin-based chemotherapy</w:t>
      </w:r>
      <w:r w:rsidR="00DD7C61" w:rsidRPr="00796F65">
        <w:rPr>
          <w:rFonts w:ascii="Times New Roman" w:hAnsi="Times New Roman" w:cs="Times New Roman"/>
          <w:bCs/>
        </w:rPr>
        <w:t>.</w:t>
      </w:r>
      <w:r w:rsidRPr="00796F65">
        <w:rPr>
          <w:rFonts w:ascii="Times New Roman" w:hAnsi="Times New Roman" w:cs="Times New Roman"/>
          <w:bCs/>
        </w:rPr>
        <w:t xml:space="preserve"> </w:t>
      </w:r>
      <w:r w:rsidR="00FC2076" w:rsidRPr="00796F65">
        <w:rPr>
          <w:rFonts w:ascii="Times New Roman" w:hAnsi="Times New Roman" w:cs="Times New Roman"/>
          <w:bCs/>
        </w:rPr>
        <w:t>Mean age was 20</w:t>
      </w:r>
      <w:r w:rsidR="00C3546D" w:rsidRPr="00796F65">
        <w:rPr>
          <w:rFonts w:ascii="Times New Roman" w:hAnsi="Times New Roman" w:cs="Times New Roman"/>
          <w:bCs/>
        </w:rPr>
        <w:t xml:space="preserve"> years</w:t>
      </w:r>
      <w:r w:rsidR="0050722D" w:rsidRPr="00796F65">
        <w:rPr>
          <w:rFonts w:ascii="Times New Roman" w:hAnsi="Times New Roman" w:cs="Times New Roman"/>
          <w:bCs/>
        </w:rPr>
        <w:t>(y)</w:t>
      </w:r>
      <w:r w:rsidR="00C3546D" w:rsidRPr="00796F65">
        <w:rPr>
          <w:rFonts w:ascii="Times New Roman" w:hAnsi="Times New Roman" w:cs="Times New Roman"/>
          <w:bCs/>
        </w:rPr>
        <w:t xml:space="preserve"> (range</w:t>
      </w:r>
      <w:r w:rsidR="00F51C2C" w:rsidRPr="00796F65">
        <w:rPr>
          <w:rFonts w:ascii="Times New Roman" w:hAnsi="Times New Roman" w:cs="Times New Roman"/>
          <w:bCs/>
        </w:rPr>
        <w:t>=</w:t>
      </w:r>
      <w:r w:rsidR="00FC2076" w:rsidRPr="00796F65">
        <w:rPr>
          <w:rFonts w:ascii="Times New Roman" w:hAnsi="Times New Roman" w:cs="Times New Roman"/>
          <w:bCs/>
        </w:rPr>
        <w:t>6</w:t>
      </w:r>
      <w:r w:rsidR="00C3546D" w:rsidRPr="00796F65">
        <w:rPr>
          <w:rFonts w:ascii="Times New Roman" w:hAnsi="Times New Roman" w:cs="Times New Roman"/>
          <w:bCs/>
        </w:rPr>
        <w:t>-46</w:t>
      </w:r>
      <w:r w:rsidR="0050722D" w:rsidRPr="00796F65">
        <w:rPr>
          <w:rFonts w:ascii="Times New Roman" w:hAnsi="Times New Roman" w:cs="Times New Roman"/>
          <w:bCs/>
        </w:rPr>
        <w:t>y</w:t>
      </w:r>
      <w:r w:rsidR="00C3546D" w:rsidRPr="00796F65">
        <w:rPr>
          <w:rFonts w:ascii="Times New Roman" w:hAnsi="Times New Roman" w:cs="Times New Roman"/>
          <w:bCs/>
        </w:rPr>
        <w:t>).</w:t>
      </w:r>
      <w:r w:rsidR="00DD7C61" w:rsidRPr="00796F65">
        <w:rPr>
          <w:rFonts w:ascii="Times New Roman" w:hAnsi="Times New Roman" w:cs="Times New Roman"/>
          <w:bCs/>
        </w:rPr>
        <w:t xml:space="preserve"> </w:t>
      </w:r>
      <w:r w:rsidR="00045022" w:rsidRPr="00796F65">
        <w:rPr>
          <w:rFonts w:ascii="Times New Roman" w:hAnsi="Times New Roman" w:cs="Times New Roman"/>
          <w:bCs/>
        </w:rPr>
        <w:t xml:space="preserve">The median follow-up </w:t>
      </w:r>
      <w:r w:rsidR="00C3546D" w:rsidRPr="00796F65">
        <w:rPr>
          <w:rFonts w:ascii="Times New Roman" w:hAnsi="Times New Roman" w:cs="Times New Roman"/>
          <w:bCs/>
        </w:rPr>
        <w:t>was 10.</w:t>
      </w:r>
      <w:r w:rsidR="00E744BB" w:rsidRPr="00796F65">
        <w:rPr>
          <w:rFonts w:ascii="Times New Roman" w:hAnsi="Times New Roman" w:cs="Times New Roman"/>
          <w:bCs/>
        </w:rPr>
        <w:t>3</w:t>
      </w:r>
      <w:r w:rsidR="0050722D" w:rsidRPr="00796F65">
        <w:rPr>
          <w:rFonts w:ascii="Times New Roman" w:hAnsi="Times New Roman" w:cs="Times New Roman"/>
          <w:bCs/>
        </w:rPr>
        <w:t>y</w:t>
      </w:r>
      <w:r w:rsidR="00633286" w:rsidRPr="00796F65">
        <w:rPr>
          <w:rFonts w:ascii="Times New Roman" w:hAnsi="Times New Roman" w:cs="Times New Roman"/>
          <w:bCs/>
        </w:rPr>
        <w:t xml:space="preserve"> </w:t>
      </w:r>
      <w:r w:rsidR="00C3546D" w:rsidRPr="00796F65">
        <w:rPr>
          <w:rFonts w:ascii="Times New Roman" w:hAnsi="Times New Roman" w:cs="Times New Roman"/>
          <w:bCs/>
        </w:rPr>
        <w:t>(range</w:t>
      </w:r>
      <w:r w:rsidR="00F51C2C" w:rsidRPr="00796F65">
        <w:rPr>
          <w:rFonts w:ascii="Times New Roman" w:hAnsi="Times New Roman" w:cs="Times New Roman"/>
          <w:bCs/>
        </w:rPr>
        <w:t>=</w:t>
      </w:r>
      <w:r w:rsidR="00C3546D" w:rsidRPr="00796F65">
        <w:rPr>
          <w:rFonts w:ascii="Times New Roman" w:hAnsi="Times New Roman" w:cs="Times New Roman"/>
          <w:bCs/>
        </w:rPr>
        <w:t>0.17-21.7</w:t>
      </w:r>
      <w:r w:rsidR="0050722D" w:rsidRPr="00796F65">
        <w:rPr>
          <w:rFonts w:ascii="Times New Roman" w:hAnsi="Times New Roman" w:cs="Times New Roman"/>
          <w:bCs/>
        </w:rPr>
        <w:t>y</w:t>
      </w:r>
      <w:r w:rsidR="00C3546D" w:rsidRPr="00796F65">
        <w:rPr>
          <w:rFonts w:ascii="Times New Roman" w:hAnsi="Times New Roman" w:cs="Times New Roman"/>
          <w:bCs/>
        </w:rPr>
        <w:t>). The five-year event-free survival (EFS</w:t>
      </w:r>
      <w:r w:rsidR="00902B0E" w:rsidRPr="00796F65">
        <w:rPr>
          <w:rFonts w:ascii="Times New Roman" w:hAnsi="Times New Roman" w:cs="Times New Roman"/>
          <w:bCs/>
          <w:vertAlign w:val="subscript"/>
        </w:rPr>
        <w:t>5</w:t>
      </w:r>
      <w:r w:rsidR="00C3546D" w:rsidRPr="00796F65">
        <w:rPr>
          <w:rFonts w:ascii="Times New Roman" w:hAnsi="Times New Roman" w:cs="Times New Roman"/>
          <w:bCs/>
        </w:rPr>
        <w:t>) and overall survival (OS</w:t>
      </w:r>
      <w:r w:rsidR="00902B0E" w:rsidRPr="00796F65">
        <w:rPr>
          <w:rFonts w:ascii="Times New Roman" w:hAnsi="Times New Roman" w:cs="Times New Roman"/>
          <w:bCs/>
          <w:vertAlign w:val="subscript"/>
        </w:rPr>
        <w:t>5</w:t>
      </w:r>
      <w:r w:rsidR="00C3546D" w:rsidRPr="00796F65">
        <w:rPr>
          <w:rFonts w:ascii="Times New Roman" w:hAnsi="Times New Roman" w:cs="Times New Roman"/>
          <w:bCs/>
        </w:rPr>
        <w:t xml:space="preserve">) </w:t>
      </w:r>
      <w:r w:rsidR="007E74BA" w:rsidRPr="00796F65">
        <w:rPr>
          <w:rFonts w:ascii="Times New Roman" w:hAnsi="Times New Roman" w:cs="Times New Roman"/>
          <w:bCs/>
        </w:rPr>
        <w:t>was</w:t>
      </w:r>
      <w:r w:rsidR="00C3546D" w:rsidRPr="00796F65">
        <w:rPr>
          <w:rFonts w:ascii="Times New Roman" w:hAnsi="Times New Roman" w:cs="Times New Roman"/>
          <w:bCs/>
        </w:rPr>
        <w:t xml:space="preserve"> 94.</w:t>
      </w:r>
      <w:r w:rsidR="00BE76F6" w:rsidRPr="00796F65">
        <w:rPr>
          <w:rFonts w:ascii="Times New Roman" w:hAnsi="Times New Roman" w:cs="Times New Roman"/>
          <w:bCs/>
        </w:rPr>
        <w:t>1</w:t>
      </w:r>
      <w:r w:rsidR="00C3546D" w:rsidRPr="00796F65">
        <w:rPr>
          <w:rFonts w:ascii="Times New Roman" w:hAnsi="Times New Roman" w:cs="Times New Roman"/>
          <w:bCs/>
        </w:rPr>
        <w:t>%</w:t>
      </w:r>
      <w:r w:rsidR="00660BF6" w:rsidRPr="00796F65">
        <w:rPr>
          <w:rFonts w:ascii="Times New Roman" w:hAnsi="Times New Roman" w:cs="Times New Roman"/>
        </w:rPr>
        <w:t xml:space="preserve"> (95%CI,</w:t>
      </w:r>
      <w:r w:rsidR="00C61737" w:rsidRPr="00796F65">
        <w:rPr>
          <w:rFonts w:ascii="Times New Roman" w:hAnsi="Times New Roman" w:cs="Times New Roman"/>
        </w:rPr>
        <w:t>0.</w:t>
      </w:r>
      <w:r w:rsidR="00CD54E4" w:rsidRPr="00796F65">
        <w:rPr>
          <w:rFonts w:ascii="Times New Roman" w:hAnsi="Times New Roman" w:cs="Times New Roman"/>
        </w:rPr>
        <w:t>88</w:t>
      </w:r>
      <w:r w:rsidR="00B53823" w:rsidRPr="00796F65">
        <w:rPr>
          <w:rFonts w:ascii="Times New Roman" w:hAnsi="Times New Roman" w:cs="Times New Roman"/>
        </w:rPr>
        <w:t>-</w:t>
      </w:r>
      <w:r w:rsidR="00C61737" w:rsidRPr="00796F65">
        <w:rPr>
          <w:rFonts w:ascii="Times New Roman" w:hAnsi="Times New Roman" w:cs="Times New Roman"/>
        </w:rPr>
        <w:t>0.97</w:t>
      </w:r>
      <w:r w:rsidR="00B53823" w:rsidRPr="00796F65">
        <w:rPr>
          <w:rFonts w:ascii="Times New Roman" w:hAnsi="Times New Roman" w:cs="Times New Roman"/>
        </w:rPr>
        <w:t>)</w:t>
      </w:r>
      <w:r w:rsidR="00AA1DFF" w:rsidRPr="00796F65">
        <w:rPr>
          <w:rFonts w:ascii="Times New Roman" w:hAnsi="Times New Roman" w:cs="Times New Roman"/>
        </w:rPr>
        <w:t xml:space="preserve"> </w:t>
      </w:r>
      <w:r w:rsidR="00C3546D" w:rsidRPr="00796F65">
        <w:rPr>
          <w:rFonts w:ascii="Times New Roman" w:hAnsi="Times New Roman" w:cs="Times New Roman"/>
          <w:bCs/>
        </w:rPr>
        <w:t>and</w:t>
      </w:r>
      <w:r w:rsidR="00C3546D" w:rsidRPr="00796F65">
        <w:rPr>
          <w:rFonts w:ascii="Times New Roman" w:hAnsi="Times New Roman" w:cs="Times New Roman"/>
          <w:b/>
          <w:bCs/>
        </w:rPr>
        <w:t xml:space="preserve"> </w:t>
      </w:r>
      <w:r w:rsidR="00C3546D" w:rsidRPr="00796F65">
        <w:rPr>
          <w:rFonts w:ascii="Times New Roman" w:hAnsi="Times New Roman" w:cs="Times New Roman"/>
          <w:bCs/>
        </w:rPr>
        <w:t>96.</w:t>
      </w:r>
      <w:r w:rsidR="00BE76F6" w:rsidRPr="00796F65">
        <w:rPr>
          <w:rFonts w:ascii="Times New Roman" w:hAnsi="Times New Roman" w:cs="Times New Roman"/>
          <w:bCs/>
        </w:rPr>
        <w:t>6</w:t>
      </w:r>
      <w:r w:rsidR="00660BF6" w:rsidRPr="00796F65">
        <w:rPr>
          <w:rFonts w:ascii="Times New Roman" w:hAnsi="Times New Roman" w:cs="Times New Roman"/>
          <w:bCs/>
        </w:rPr>
        <w:t>% (95%CI,</w:t>
      </w:r>
      <w:r w:rsidR="00C61737" w:rsidRPr="00796F65">
        <w:rPr>
          <w:rFonts w:ascii="Times New Roman" w:hAnsi="Times New Roman" w:cs="Times New Roman"/>
          <w:bCs/>
        </w:rPr>
        <w:t>0.</w:t>
      </w:r>
      <w:r w:rsidR="00CD54E4" w:rsidRPr="00796F65">
        <w:rPr>
          <w:rFonts w:ascii="Times New Roman" w:hAnsi="Times New Roman" w:cs="Times New Roman"/>
          <w:bCs/>
        </w:rPr>
        <w:t>91</w:t>
      </w:r>
      <w:r w:rsidR="003F0BAD" w:rsidRPr="00796F65">
        <w:rPr>
          <w:rFonts w:ascii="Times New Roman" w:hAnsi="Times New Roman" w:cs="Times New Roman"/>
          <w:bCs/>
        </w:rPr>
        <w:t>-</w:t>
      </w:r>
      <w:r w:rsidR="00C61737" w:rsidRPr="00796F65">
        <w:rPr>
          <w:rFonts w:ascii="Times New Roman" w:hAnsi="Times New Roman" w:cs="Times New Roman"/>
          <w:bCs/>
        </w:rPr>
        <w:t>0.</w:t>
      </w:r>
      <w:r w:rsidR="003F0BAD" w:rsidRPr="00796F65">
        <w:rPr>
          <w:rFonts w:ascii="Times New Roman" w:hAnsi="Times New Roman" w:cs="Times New Roman"/>
          <w:bCs/>
        </w:rPr>
        <w:t>9</w:t>
      </w:r>
      <w:r w:rsidR="00A92DAA" w:rsidRPr="00796F65">
        <w:rPr>
          <w:rFonts w:ascii="Times New Roman" w:hAnsi="Times New Roman" w:cs="Times New Roman"/>
          <w:bCs/>
        </w:rPr>
        <w:t>9</w:t>
      </w:r>
      <w:r w:rsidR="003F0BAD" w:rsidRPr="00796F65">
        <w:rPr>
          <w:rFonts w:ascii="Times New Roman" w:hAnsi="Times New Roman" w:cs="Times New Roman"/>
          <w:bCs/>
        </w:rPr>
        <w:t>)</w:t>
      </w:r>
      <w:r w:rsidR="00C3546D" w:rsidRPr="00796F65">
        <w:rPr>
          <w:rFonts w:ascii="Times New Roman" w:hAnsi="Times New Roman" w:cs="Times New Roman"/>
          <w:bCs/>
        </w:rPr>
        <w:t xml:space="preserve"> respectively.</w:t>
      </w:r>
      <w:r w:rsidR="00A13C1A">
        <w:rPr>
          <w:rFonts w:ascii="Times New Roman" w:hAnsi="Times New Roman" w:cs="Times New Roman"/>
          <w:bCs/>
        </w:rPr>
        <w:t xml:space="preserve"> </w:t>
      </w:r>
      <w:r w:rsidR="00D60603">
        <w:rPr>
          <w:rFonts w:ascii="Times New Roman" w:hAnsi="Times New Roman" w:cs="Times New Roman"/>
          <w:bCs/>
        </w:rPr>
        <w:t>S</w:t>
      </w:r>
      <w:r w:rsidRPr="00796F65">
        <w:rPr>
          <w:rFonts w:ascii="Times New Roman" w:hAnsi="Times New Roman" w:cs="Times New Roman"/>
          <w:bCs/>
        </w:rPr>
        <w:t>urvival outcomes were comparable between carboplatin-(EFS</w:t>
      </w:r>
      <w:r w:rsidRPr="00796F65">
        <w:rPr>
          <w:rFonts w:ascii="Times New Roman" w:hAnsi="Times New Roman" w:cs="Times New Roman"/>
          <w:bCs/>
          <w:vertAlign w:val="subscript"/>
        </w:rPr>
        <w:t>5</w:t>
      </w:r>
      <w:r w:rsidR="00F95393" w:rsidRPr="00796F65">
        <w:rPr>
          <w:rFonts w:ascii="Times New Roman" w:hAnsi="Times New Roman" w:cs="Times New Roman"/>
          <w:bCs/>
        </w:rPr>
        <w:t>=96.0</w:t>
      </w:r>
      <w:r w:rsidRPr="00796F65">
        <w:rPr>
          <w:rFonts w:ascii="Times New Roman" w:hAnsi="Times New Roman" w:cs="Times New Roman"/>
          <w:bCs/>
        </w:rPr>
        <w:t>%</w:t>
      </w:r>
      <w:r w:rsidR="00B57ED2" w:rsidRPr="00796F65">
        <w:rPr>
          <w:rFonts w:ascii="Times New Roman" w:hAnsi="Times New Roman" w:cs="Times New Roman"/>
          <w:bCs/>
        </w:rPr>
        <w:t xml:space="preserve"> (95%CI,</w:t>
      </w:r>
      <w:r w:rsidR="006B138B" w:rsidRPr="00796F65">
        <w:rPr>
          <w:rFonts w:ascii="Times New Roman" w:hAnsi="Times New Roman" w:cs="Times New Roman"/>
          <w:bCs/>
        </w:rPr>
        <w:t>0.</w:t>
      </w:r>
      <w:r w:rsidR="0012758D" w:rsidRPr="00796F65">
        <w:rPr>
          <w:rFonts w:ascii="Times New Roman" w:hAnsi="Times New Roman" w:cs="Times New Roman"/>
          <w:bCs/>
        </w:rPr>
        <w:t>85</w:t>
      </w:r>
      <w:r w:rsidR="007B0753" w:rsidRPr="00796F65">
        <w:rPr>
          <w:rFonts w:ascii="Times New Roman" w:hAnsi="Times New Roman" w:cs="Times New Roman"/>
          <w:bCs/>
        </w:rPr>
        <w:t>-</w:t>
      </w:r>
      <w:r w:rsidR="006B138B" w:rsidRPr="00796F65">
        <w:rPr>
          <w:rFonts w:ascii="Times New Roman" w:hAnsi="Times New Roman" w:cs="Times New Roman"/>
          <w:bCs/>
        </w:rPr>
        <w:t>0.</w:t>
      </w:r>
      <w:r w:rsidR="007B0753" w:rsidRPr="00796F65">
        <w:rPr>
          <w:rFonts w:ascii="Times New Roman" w:hAnsi="Times New Roman" w:cs="Times New Roman"/>
          <w:bCs/>
        </w:rPr>
        <w:t>9</w:t>
      </w:r>
      <w:r w:rsidR="00F95393" w:rsidRPr="00796F65">
        <w:rPr>
          <w:rFonts w:ascii="Times New Roman" w:hAnsi="Times New Roman" w:cs="Times New Roman"/>
          <w:bCs/>
        </w:rPr>
        <w:t>9</w:t>
      </w:r>
      <w:r w:rsidR="007B0753" w:rsidRPr="00796F65">
        <w:rPr>
          <w:rFonts w:ascii="Times New Roman" w:hAnsi="Times New Roman" w:cs="Times New Roman"/>
          <w:bCs/>
        </w:rPr>
        <w:t>)</w:t>
      </w:r>
      <w:r w:rsidRPr="00796F65">
        <w:rPr>
          <w:rFonts w:ascii="Times New Roman" w:hAnsi="Times New Roman" w:cs="Times New Roman"/>
          <w:bCs/>
        </w:rPr>
        <w:t>,</w:t>
      </w:r>
      <w:r w:rsidR="007B0753" w:rsidRPr="00796F65">
        <w:rPr>
          <w:rFonts w:ascii="Times New Roman" w:hAnsi="Times New Roman" w:cs="Times New Roman"/>
          <w:bCs/>
        </w:rPr>
        <w:t xml:space="preserve"> </w:t>
      </w:r>
      <w:r w:rsidRPr="00796F65">
        <w:rPr>
          <w:rFonts w:ascii="Times New Roman" w:hAnsi="Times New Roman" w:cs="Times New Roman"/>
          <w:bCs/>
        </w:rPr>
        <w:t>OS</w:t>
      </w:r>
      <w:r w:rsidRPr="00796F65">
        <w:rPr>
          <w:rFonts w:ascii="Times New Roman" w:hAnsi="Times New Roman" w:cs="Times New Roman"/>
          <w:bCs/>
          <w:vertAlign w:val="subscript"/>
        </w:rPr>
        <w:t>5</w:t>
      </w:r>
      <w:r w:rsidR="00B57ED2" w:rsidRPr="00796F65">
        <w:rPr>
          <w:rFonts w:ascii="Times New Roman" w:hAnsi="Times New Roman" w:cs="Times New Roman"/>
          <w:bCs/>
        </w:rPr>
        <w:t>=96.0</w:t>
      </w:r>
      <w:r w:rsidRPr="00796F65">
        <w:rPr>
          <w:rFonts w:ascii="Times New Roman" w:hAnsi="Times New Roman" w:cs="Times New Roman"/>
          <w:bCs/>
        </w:rPr>
        <w:t>%</w:t>
      </w:r>
      <w:r w:rsidR="00660BF6" w:rsidRPr="00796F65">
        <w:rPr>
          <w:rFonts w:ascii="Times New Roman" w:hAnsi="Times New Roman" w:cs="Times New Roman"/>
          <w:bCs/>
        </w:rPr>
        <w:t xml:space="preserve"> (95%CI,</w:t>
      </w:r>
      <w:r w:rsidR="00365A7F" w:rsidRPr="00796F65">
        <w:rPr>
          <w:rFonts w:ascii="Times New Roman" w:hAnsi="Times New Roman" w:cs="Times New Roman"/>
          <w:bCs/>
        </w:rPr>
        <w:t>0.85</w:t>
      </w:r>
      <w:r w:rsidR="00B57ED2" w:rsidRPr="00796F65">
        <w:rPr>
          <w:rFonts w:ascii="Times New Roman" w:hAnsi="Times New Roman" w:cs="Times New Roman"/>
          <w:bCs/>
        </w:rPr>
        <w:t>-</w:t>
      </w:r>
      <w:r w:rsidR="006B138B" w:rsidRPr="00796F65">
        <w:rPr>
          <w:rFonts w:ascii="Times New Roman" w:hAnsi="Times New Roman" w:cs="Times New Roman"/>
          <w:bCs/>
        </w:rPr>
        <w:t>0.</w:t>
      </w:r>
      <w:r w:rsidR="00B57ED2" w:rsidRPr="00796F65">
        <w:rPr>
          <w:rFonts w:ascii="Times New Roman" w:hAnsi="Times New Roman" w:cs="Times New Roman"/>
          <w:bCs/>
        </w:rPr>
        <w:t>99)</w:t>
      </w:r>
      <w:r w:rsidRPr="00796F65">
        <w:rPr>
          <w:rFonts w:ascii="Times New Roman" w:hAnsi="Times New Roman" w:cs="Times New Roman"/>
          <w:bCs/>
        </w:rPr>
        <w:t>) and cisplatin-(EFS</w:t>
      </w:r>
      <w:r w:rsidRPr="00796F65">
        <w:rPr>
          <w:rFonts w:ascii="Times New Roman" w:hAnsi="Times New Roman" w:cs="Times New Roman"/>
          <w:bCs/>
          <w:vertAlign w:val="subscript"/>
        </w:rPr>
        <w:t>5</w:t>
      </w:r>
      <w:r w:rsidR="00C03C64" w:rsidRPr="00796F65">
        <w:rPr>
          <w:rFonts w:ascii="Times New Roman" w:hAnsi="Times New Roman" w:cs="Times New Roman"/>
          <w:bCs/>
        </w:rPr>
        <w:t>=93.2</w:t>
      </w:r>
      <w:r w:rsidRPr="00796F65">
        <w:rPr>
          <w:rFonts w:ascii="Times New Roman" w:hAnsi="Times New Roman" w:cs="Times New Roman"/>
          <w:bCs/>
        </w:rPr>
        <w:t>%</w:t>
      </w:r>
      <w:r w:rsidR="0026301A" w:rsidRPr="00796F65">
        <w:rPr>
          <w:rFonts w:ascii="Times New Roman" w:hAnsi="Times New Roman" w:cs="Times New Roman"/>
          <w:bCs/>
        </w:rPr>
        <w:t xml:space="preserve"> </w:t>
      </w:r>
      <w:r w:rsidR="00660BF6" w:rsidRPr="00796F65">
        <w:rPr>
          <w:rFonts w:ascii="Times New Roman" w:hAnsi="Times New Roman" w:cs="Times New Roman"/>
          <w:bCs/>
        </w:rPr>
        <w:t>(95%CI,</w:t>
      </w:r>
      <w:r w:rsidR="00FB61D5" w:rsidRPr="00796F65">
        <w:rPr>
          <w:rFonts w:ascii="Times New Roman" w:hAnsi="Times New Roman" w:cs="Times New Roman"/>
          <w:bCs/>
        </w:rPr>
        <w:t>0.</w:t>
      </w:r>
      <w:r w:rsidR="00CD54E4" w:rsidRPr="00796F65">
        <w:rPr>
          <w:rFonts w:ascii="Times New Roman" w:hAnsi="Times New Roman" w:cs="Times New Roman"/>
          <w:bCs/>
        </w:rPr>
        <w:t>8</w:t>
      </w:r>
      <w:r w:rsidR="00F31B4A" w:rsidRPr="00796F65">
        <w:rPr>
          <w:rFonts w:ascii="Times New Roman" w:hAnsi="Times New Roman" w:cs="Times New Roman"/>
          <w:bCs/>
        </w:rPr>
        <w:t>3</w:t>
      </w:r>
      <w:r w:rsidR="00C03C64" w:rsidRPr="00796F65">
        <w:rPr>
          <w:rFonts w:ascii="Times New Roman" w:hAnsi="Times New Roman" w:cs="Times New Roman"/>
          <w:bCs/>
        </w:rPr>
        <w:t>-</w:t>
      </w:r>
      <w:r w:rsidR="00FB61D5" w:rsidRPr="00796F65">
        <w:rPr>
          <w:rFonts w:ascii="Times New Roman" w:hAnsi="Times New Roman" w:cs="Times New Roman"/>
          <w:bCs/>
        </w:rPr>
        <w:t>0.</w:t>
      </w:r>
      <w:r w:rsidR="00C03C64" w:rsidRPr="00796F65">
        <w:rPr>
          <w:rFonts w:ascii="Times New Roman" w:hAnsi="Times New Roman" w:cs="Times New Roman"/>
          <w:bCs/>
        </w:rPr>
        <w:t>97</w:t>
      </w:r>
      <w:r w:rsidR="007B0753" w:rsidRPr="00796F65">
        <w:rPr>
          <w:rFonts w:ascii="Times New Roman" w:hAnsi="Times New Roman" w:cs="Times New Roman"/>
          <w:bCs/>
        </w:rPr>
        <w:t>))</w:t>
      </w:r>
      <w:r w:rsidRPr="00796F65">
        <w:rPr>
          <w:rFonts w:ascii="Times New Roman" w:hAnsi="Times New Roman" w:cs="Times New Roman"/>
          <w:bCs/>
        </w:rPr>
        <w:t>,</w:t>
      </w:r>
      <w:r w:rsidR="007B0753" w:rsidRPr="00796F65">
        <w:rPr>
          <w:rFonts w:ascii="Times New Roman" w:hAnsi="Times New Roman" w:cs="Times New Roman"/>
          <w:bCs/>
        </w:rPr>
        <w:t xml:space="preserve"> </w:t>
      </w:r>
      <w:r w:rsidRPr="00796F65">
        <w:rPr>
          <w:rFonts w:ascii="Times New Roman" w:hAnsi="Times New Roman" w:cs="Times New Roman"/>
          <w:bCs/>
        </w:rPr>
        <w:t>OS</w:t>
      </w:r>
      <w:r w:rsidRPr="00796F65">
        <w:rPr>
          <w:rFonts w:ascii="Times New Roman" w:hAnsi="Times New Roman" w:cs="Times New Roman"/>
          <w:bCs/>
          <w:vertAlign w:val="subscript"/>
        </w:rPr>
        <w:t>5</w:t>
      </w:r>
      <w:r w:rsidR="00C03C64" w:rsidRPr="00796F65">
        <w:rPr>
          <w:rFonts w:ascii="Times New Roman" w:hAnsi="Times New Roman" w:cs="Times New Roman"/>
          <w:bCs/>
        </w:rPr>
        <w:t>=96.</w:t>
      </w:r>
      <w:r w:rsidR="006703E5" w:rsidRPr="00796F65">
        <w:rPr>
          <w:rFonts w:ascii="Times New Roman" w:hAnsi="Times New Roman" w:cs="Times New Roman"/>
          <w:bCs/>
        </w:rPr>
        <w:t>6</w:t>
      </w:r>
      <w:r w:rsidRPr="00796F65">
        <w:rPr>
          <w:rFonts w:ascii="Times New Roman" w:hAnsi="Times New Roman" w:cs="Times New Roman"/>
          <w:bCs/>
        </w:rPr>
        <w:t>%</w:t>
      </w:r>
      <w:r w:rsidR="00660BF6" w:rsidRPr="00796F65">
        <w:rPr>
          <w:rFonts w:ascii="Times New Roman" w:hAnsi="Times New Roman" w:cs="Times New Roman"/>
          <w:bCs/>
        </w:rPr>
        <w:t xml:space="preserve"> (95%CI,</w:t>
      </w:r>
      <w:r w:rsidR="00FB61D5" w:rsidRPr="00796F65">
        <w:rPr>
          <w:rFonts w:ascii="Times New Roman" w:hAnsi="Times New Roman" w:cs="Times New Roman"/>
          <w:bCs/>
        </w:rPr>
        <w:t>0.</w:t>
      </w:r>
      <w:r w:rsidR="00F31B4A" w:rsidRPr="00796F65">
        <w:rPr>
          <w:rFonts w:ascii="Times New Roman" w:hAnsi="Times New Roman" w:cs="Times New Roman"/>
          <w:bCs/>
        </w:rPr>
        <w:t>87</w:t>
      </w:r>
      <w:r w:rsidR="00C03C64" w:rsidRPr="00796F65">
        <w:rPr>
          <w:rFonts w:ascii="Times New Roman" w:hAnsi="Times New Roman" w:cs="Times New Roman"/>
          <w:bCs/>
        </w:rPr>
        <w:t>-</w:t>
      </w:r>
      <w:r w:rsidR="00FB61D5" w:rsidRPr="00796F65">
        <w:rPr>
          <w:rFonts w:ascii="Times New Roman" w:hAnsi="Times New Roman" w:cs="Times New Roman"/>
          <w:bCs/>
        </w:rPr>
        <w:t>0.</w:t>
      </w:r>
      <w:r w:rsidR="00C03C64" w:rsidRPr="00796F65">
        <w:rPr>
          <w:rFonts w:ascii="Times New Roman" w:hAnsi="Times New Roman" w:cs="Times New Roman"/>
          <w:bCs/>
        </w:rPr>
        <w:t>99</w:t>
      </w:r>
      <w:r w:rsidR="00B57ED2" w:rsidRPr="00796F65">
        <w:rPr>
          <w:rFonts w:ascii="Times New Roman" w:hAnsi="Times New Roman" w:cs="Times New Roman"/>
          <w:bCs/>
        </w:rPr>
        <w:t>)</w:t>
      </w:r>
      <w:r w:rsidRPr="00796F65">
        <w:rPr>
          <w:rFonts w:ascii="Times New Roman" w:hAnsi="Times New Roman" w:cs="Times New Roman"/>
          <w:bCs/>
        </w:rPr>
        <w:t xml:space="preserve">) based regimens. </w:t>
      </w:r>
      <w:r w:rsidR="00A13C1A" w:rsidRPr="00796F65">
        <w:rPr>
          <w:rFonts w:ascii="Times New Roman" w:hAnsi="Times New Roman" w:cs="Times New Roman"/>
        </w:rPr>
        <w:t xml:space="preserve">Across three age groups, comparison of </w:t>
      </w:r>
      <w:r w:rsidR="00A13C1A" w:rsidRPr="00796F65">
        <w:rPr>
          <w:rFonts w:ascii="Times New Roman" w:hAnsi="Times New Roman" w:cs="Times New Roman"/>
        </w:rPr>
        <w:lastRenderedPageBreak/>
        <w:t>the EFS</w:t>
      </w:r>
      <w:r w:rsidR="00A13C1A" w:rsidRPr="00796F65">
        <w:rPr>
          <w:rFonts w:ascii="Times New Roman" w:hAnsi="Times New Roman" w:cs="Times New Roman"/>
          <w:vertAlign w:val="subscript"/>
        </w:rPr>
        <w:t>5</w:t>
      </w:r>
      <w:r w:rsidR="00A13C1A" w:rsidRPr="00796F65">
        <w:rPr>
          <w:rFonts w:ascii="Times New Roman" w:hAnsi="Times New Roman" w:cs="Times New Roman"/>
        </w:rPr>
        <w:t xml:space="preserve"> (&lt;11y=100%, 11-25y=91.4% (95%CI,0.82-0.96), &gt;25y=97.1% (95%CI,0.81-0.99)) and OS</w:t>
      </w:r>
      <w:r w:rsidR="00A13C1A" w:rsidRPr="00796F65">
        <w:rPr>
          <w:rFonts w:ascii="Times New Roman" w:hAnsi="Times New Roman" w:cs="Times New Roman"/>
          <w:vertAlign w:val="subscript"/>
        </w:rPr>
        <w:t xml:space="preserve">5 </w:t>
      </w:r>
      <w:r w:rsidR="00A13C1A" w:rsidRPr="00796F65">
        <w:rPr>
          <w:rFonts w:ascii="Times New Roman" w:hAnsi="Times New Roman" w:cs="Times New Roman"/>
        </w:rPr>
        <w:t>(&lt;11y=100%, 11-25y=95.7% (95%CI,0.87-0.99), &gt;25y=97.1% (95%CI,0.81-0.99)) did not demonstrate any statistically significant differences in outcomes.</w:t>
      </w:r>
    </w:p>
    <w:p w14:paraId="18551982" w14:textId="77777777" w:rsidR="00C3546D" w:rsidRPr="00796F65" w:rsidRDefault="00C3546D" w:rsidP="00796F65">
      <w:pPr>
        <w:spacing w:line="480" w:lineRule="auto"/>
        <w:jc w:val="both"/>
        <w:rPr>
          <w:rFonts w:ascii="Times New Roman" w:hAnsi="Times New Roman" w:cs="Times New Roman"/>
          <w:b/>
          <w:bCs/>
        </w:rPr>
      </w:pPr>
      <w:r w:rsidRPr="00796F65">
        <w:rPr>
          <w:rFonts w:ascii="Times New Roman" w:hAnsi="Times New Roman" w:cs="Times New Roman"/>
          <w:b/>
          <w:bCs/>
        </w:rPr>
        <w:t>Conclusions</w:t>
      </w:r>
    </w:p>
    <w:p w14:paraId="13C061AD" w14:textId="2C1B8807" w:rsidR="00C3546D" w:rsidRPr="00796F65" w:rsidRDefault="007E5622" w:rsidP="00796F65">
      <w:pPr>
        <w:spacing w:line="480" w:lineRule="auto"/>
        <w:jc w:val="both"/>
        <w:rPr>
          <w:rFonts w:ascii="Times New Roman" w:hAnsi="Times New Roman" w:cs="Times New Roman"/>
          <w:bCs/>
        </w:rPr>
      </w:pPr>
      <w:r w:rsidRPr="00796F65">
        <w:rPr>
          <w:rFonts w:ascii="Times New Roman" w:hAnsi="Times New Roman" w:cs="Times New Roman"/>
          <w:bCs/>
        </w:rPr>
        <w:t>P</w:t>
      </w:r>
      <w:r w:rsidR="00C3546D" w:rsidRPr="00796F65">
        <w:rPr>
          <w:rFonts w:ascii="Times New Roman" w:hAnsi="Times New Roman" w:cs="Times New Roman"/>
          <w:bCs/>
        </w:rPr>
        <w:t>atients diagnosed with</w:t>
      </w:r>
      <w:r w:rsidR="00E114C1" w:rsidRPr="00796F65">
        <w:rPr>
          <w:rFonts w:ascii="Times New Roman" w:hAnsi="Times New Roman" w:cs="Times New Roman"/>
          <w:bCs/>
        </w:rPr>
        <w:t xml:space="preserve"> dysgerminoma</w:t>
      </w:r>
      <w:r w:rsidR="00C3546D" w:rsidRPr="00796F65">
        <w:rPr>
          <w:rFonts w:ascii="Times New Roman" w:hAnsi="Times New Roman" w:cs="Times New Roman"/>
          <w:bCs/>
        </w:rPr>
        <w:t xml:space="preserve"> have an excellent OS, across all ages</w:t>
      </w:r>
      <w:r w:rsidR="00D3540C">
        <w:rPr>
          <w:rFonts w:ascii="Times New Roman" w:hAnsi="Times New Roman" w:cs="Times New Roman"/>
          <w:bCs/>
        </w:rPr>
        <w:t xml:space="preserve">, </w:t>
      </w:r>
      <w:r w:rsidR="00D3540C" w:rsidRPr="00796F65">
        <w:rPr>
          <w:rFonts w:ascii="Times New Roman" w:hAnsi="Times New Roman" w:cs="Times New Roman"/>
          <w:bCs/>
        </w:rPr>
        <w:t>even in the context of metastatic disease.</w:t>
      </w:r>
      <w:r w:rsidR="00C3546D" w:rsidRPr="00796F65">
        <w:rPr>
          <w:rFonts w:ascii="Times New Roman" w:hAnsi="Times New Roman" w:cs="Times New Roman"/>
          <w:bCs/>
        </w:rPr>
        <w:t xml:space="preserve"> Data from three large </w:t>
      </w:r>
      <w:r w:rsidR="008651C6" w:rsidRPr="00796F65">
        <w:rPr>
          <w:rFonts w:ascii="Times New Roman" w:hAnsi="Times New Roman" w:cs="Times New Roman"/>
          <w:bCs/>
        </w:rPr>
        <w:t>CTOs</w:t>
      </w:r>
      <w:r w:rsidR="00C3546D" w:rsidRPr="00796F65">
        <w:rPr>
          <w:rFonts w:ascii="Times New Roman" w:hAnsi="Times New Roman" w:cs="Times New Roman"/>
          <w:bCs/>
        </w:rPr>
        <w:t xml:space="preserve"> supports </w:t>
      </w:r>
      <w:r w:rsidR="00BA2F28" w:rsidRPr="00796F65">
        <w:rPr>
          <w:rFonts w:ascii="Times New Roman" w:hAnsi="Times New Roman" w:cs="Times New Roman"/>
          <w:bCs/>
        </w:rPr>
        <w:t xml:space="preserve">the </w:t>
      </w:r>
      <w:r w:rsidR="000F5198" w:rsidRPr="00796F65">
        <w:rPr>
          <w:rFonts w:ascii="Times New Roman" w:hAnsi="Times New Roman" w:cs="Times New Roman"/>
          <w:bCs/>
        </w:rPr>
        <w:t xml:space="preserve">investigation </w:t>
      </w:r>
      <w:r w:rsidR="00BA2F28" w:rsidRPr="00796F65">
        <w:rPr>
          <w:rFonts w:ascii="Times New Roman" w:hAnsi="Times New Roman" w:cs="Times New Roman"/>
          <w:bCs/>
        </w:rPr>
        <w:t xml:space="preserve">of </w:t>
      </w:r>
      <w:r w:rsidR="008123EF" w:rsidRPr="00796F65">
        <w:rPr>
          <w:rFonts w:ascii="Times New Roman" w:hAnsi="Times New Roman" w:cs="Times New Roman"/>
          <w:bCs/>
        </w:rPr>
        <w:t>carboplatin-</w:t>
      </w:r>
      <w:r w:rsidR="00C3546D" w:rsidRPr="00796F65">
        <w:rPr>
          <w:rFonts w:ascii="Times New Roman" w:hAnsi="Times New Roman" w:cs="Times New Roman"/>
          <w:bCs/>
        </w:rPr>
        <w:t>based</w:t>
      </w:r>
      <w:r w:rsidR="00B14D1A" w:rsidRPr="00796F65">
        <w:rPr>
          <w:rFonts w:ascii="Times New Roman" w:hAnsi="Times New Roman" w:cs="Times New Roman"/>
          <w:bCs/>
        </w:rPr>
        <w:t xml:space="preserve"> regimens</w:t>
      </w:r>
      <w:r w:rsidR="00BA2F28" w:rsidRPr="00796F65">
        <w:rPr>
          <w:rFonts w:ascii="Times New Roman" w:hAnsi="Times New Roman" w:cs="Times New Roman"/>
          <w:bCs/>
        </w:rPr>
        <w:t xml:space="preserve"> in the frontline treatment of</w:t>
      </w:r>
      <w:r w:rsidR="00C3546D" w:rsidRPr="00796F65">
        <w:rPr>
          <w:rFonts w:ascii="Times New Roman" w:hAnsi="Times New Roman" w:cs="Times New Roman"/>
          <w:bCs/>
        </w:rPr>
        <w:t xml:space="preserve"> all patients with </w:t>
      </w:r>
      <w:r w:rsidR="00810ABD" w:rsidRPr="00796F65">
        <w:rPr>
          <w:rFonts w:ascii="Times New Roman" w:hAnsi="Times New Roman" w:cs="Times New Roman"/>
          <w:bCs/>
        </w:rPr>
        <w:t>advanced-</w:t>
      </w:r>
      <w:r w:rsidR="00367A42" w:rsidRPr="00796F65">
        <w:rPr>
          <w:rFonts w:ascii="Times New Roman" w:hAnsi="Times New Roman" w:cs="Times New Roman"/>
          <w:bCs/>
        </w:rPr>
        <w:t>stage dysgerminoma</w:t>
      </w:r>
      <w:r w:rsidR="00C3546D" w:rsidRPr="00796F65">
        <w:rPr>
          <w:rFonts w:ascii="Times New Roman" w:hAnsi="Times New Roman" w:cs="Times New Roman"/>
          <w:bCs/>
        </w:rPr>
        <w:t xml:space="preserve"> to minimiz</w:t>
      </w:r>
      <w:r w:rsidR="00A8305C" w:rsidRPr="00796F65">
        <w:rPr>
          <w:rFonts w:ascii="Times New Roman" w:hAnsi="Times New Roman" w:cs="Times New Roman"/>
          <w:bCs/>
        </w:rPr>
        <w:t>e</w:t>
      </w:r>
      <w:r w:rsidR="00C3546D" w:rsidRPr="00796F65">
        <w:rPr>
          <w:rFonts w:ascii="Times New Roman" w:hAnsi="Times New Roman" w:cs="Times New Roman"/>
          <w:bCs/>
        </w:rPr>
        <w:t xml:space="preserve"> treatment-related toxicities. </w:t>
      </w:r>
    </w:p>
    <w:p w14:paraId="608731FC" w14:textId="3D957D0B" w:rsidR="00984059" w:rsidRPr="00796F65" w:rsidRDefault="00984059" w:rsidP="00796F65">
      <w:pPr>
        <w:spacing w:line="480" w:lineRule="auto"/>
        <w:jc w:val="both"/>
        <w:rPr>
          <w:rFonts w:ascii="Times New Roman" w:hAnsi="Times New Roman" w:cs="Times New Roman"/>
        </w:rPr>
      </w:pPr>
      <w:r w:rsidRPr="00796F65">
        <w:rPr>
          <w:rFonts w:ascii="Times New Roman" w:hAnsi="Times New Roman" w:cs="Times New Roman"/>
        </w:rPr>
        <w:br w:type="page"/>
      </w:r>
    </w:p>
    <w:p w14:paraId="3C46E7FA" w14:textId="073E3525" w:rsidR="002737F5" w:rsidRPr="00796F65" w:rsidRDefault="002737F5" w:rsidP="00796F65">
      <w:pPr>
        <w:tabs>
          <w:tab w:val="left" w:pos="1440"/>
        </w:tabs>
        <w:spacing w:line="480" w:lineRule="auto"/>
        <w:jc w:val="both"/>
        <w:outlineLvl w:val="0"/>
        <w:rPr>
          <w:rFonts w:ascii="Times New Roman" w:hAnsi="Times New Roman" w:cs="Times New Roman"/>
          <w:b/>
        </w:rPr>
      </w:pPr>
      <w:commentRangeStart w:id="3"/>
      <w:r w:rsidRPr="00796F65">
        <w:rPr>
          <w:rFonts w:ascii="Times New Roman" w:hAnsi="Times New Roman" w:cs="Times New Roman"/>
          <w:b/>
        </w:rPr>
        <w:lastRenderedPageBreak/>
        <w:t>Manuscript</w:t>
      </w:r>
      <w:commentRangeEnd w:id="3"/>
      <w:r w:rsidR="00C23928" w:rsidRPr="00796F65">
        <w:rPr>
          <w:rStyle w:val="CommentReference"/>
          <w:rFonts w:ascii="Times New Roman" w:hAnsi="Times New Roman" w:cs="Times New Roman"/>
          <w:sz w:val="24"/>
          <w:szCs w:val="24"/>
        </w:rPr>
        <w:commentReference w:id="3"/>
      </w:r>
    </w:p>
    <w:p w14:paraId="53719939" w14:textId="5E368B13" w:rsidR="005E149B" w:rsidRPr="00796F65" w:rsidRDefault="002522B2" w:rsidP="00796F65">
      <w:pPr>
        <w:tabs>
          <w:tab w:val="left" w:pos="1440"/>
        </w:tabs>
        <w:spacing w:line="480" w:lineRule="auto"/>
        <w:jc w:val="both"/>
        <w:outlineLvl w:val="0"/>
        <w:rPr>
          <w:rFonts w:ascii="Times New Roman" w:hAnsi="Times New Roman" w:cs="Times New Roman"/>
          <w:b/>
        </w:rPr>
      </w:pPr>
      <w:r w:rsidRPr="00796F65">
        <w:rPr>
          <w:rFonts w:ascii="Times New Roman" w:hAnsi="Times New Roman" w:cs="Times New Roman"/>
          <w:b/>
        </w:rPr>
        <w:t>Introduction</w:t>
      </w:r>
    </w:p>
    <w:p w14:paraId="71ED95FE" w14:textId="52844196" w:rsidR="00C6482B" w:rsidRPr="00796F65" w:rsidRDefault="008073F0" w:rsidP="00796F65">
      <w:pPr>
        <w:widowControl w:val="0"/>
        <w:autoSpaceDE w:val="0"/>
        <w:autoSpaceDN w:val="0"/>
        <w:adjustRightInd w:val="0"/>
        <w:spacing w:line="480" w:lineRule="auto"/>
        <w:jc w:val="both"/>
        <w:rPr>
          <w:rFonts w:ascii="Times New Roman" w:hAnsi="Times New Roman" w:cs="Times New Roman"/>
        </w:rPr>
      </w:pPr>
      <w:r w:rsidRPr="00796F65">
        <w:rPr>
          <w:rFonts w:ascii="Times New Roman" w:hAnsi="Times New Roman" w:cs="Times New Roman"/>
        </w:rPr>
        <w:t>Dysgerminoma</w:t>
      </w:r>
      <w:r w:rsidR="00D731FC" w:rsidRPr="00796F65">
        <w:rPr>
          <w:rFonts w:ascii="Times New Roman" w:hAnsi="Times New Roman" w:cs="Times New Roman"/>
        </w:rPr>
        <w:t xml:space="preserve"> </w:t>
      </w:r>
      <w:r w:rsidR="005B14CB" w:rsidRPr="00796F65">
        <w:rPr>
          <w:rFonts w:ascii="Times New Roman" w:hAnsi="Times New Roman" w:cs="Times New Roman"/>
        </w:rPr>
        <w:t>is</w:t>
      </w:r>
      <w:r w:rsidR="00936E4A" w:rsidRPr="00796F65">
        <w:rPr>
          <w:rFonts w:ascii="Times New Roman" w:hAnsi="Times New Roman" w:cs="Times New Roman"/>
        </w:rPr>
        <w:t xml:space="preserve"> </w:t>
      </w:r>
      <w:r w:rsidRPr="00796F65">
        <w:rPr>
          <w:rFonts w:ascii="Times New Roman" w:hAnsi="Times New Roman" w:cs="Times New Roman"/>
        </w:rPr>
        <w:t xml:space="preserve">the </w:t>
      </w:r>
      <w:r w:rsidR="00BF5083" w:rsidRPr="00796F65">
        <w:rPr>
          <w:rFonts w:ascii="Times New Roman" w:hAnsi="Times New Roman" w:cs="Times New Roman"/>
        </w:rPr>
        <w:t>most common</w:t>
      </w:r>
      <w:r w:rsidR="00783F06" w:rsidRPr="00796F65">
        <w:rPr>
          <w:rFonts w:ascii="Times New Roman" w:hAnsi="Times New Roman" w:cs="Times New Roman"/>
        </w:rPr>
        <w:t xml:space="preserve"> histologic</w:t>
      </w:r>
      <w:r w:rsidR="000F5198" w:rsidRPr="00796F65">
        <w:rPr>
          <w:rFonts w:ascii="Times New Roman" w:hAnsi="Times New Roman" w:cs="Times New Roman"/>
        </w:rPr>
        <w:t>al</w:t>
      </w:r>
      <w:r w:rsidR="00D15410" w:rsidRPr="00796F65">
        <w:rPr>
          <w:rFonts w:ascii="Times New Roman" w:hAnsi="Times New Roman" w:cs="Times New Roman"/>
        </w:rPr>
        <w:t xml:space="preserve"> subtype </w:t>
      </w:r>
      <w:r w:rsidR="00783F06" w:rsidRPr="00796F65">
        <w:rPr>
          <w:rFonts w:ascii="Times New Roman" w:hAnsi="Times New Roman" w:cs="Times New Roman"/>
        </w:rPr>
        <w:t>of</w:t>
      </w:r>
      <w:r w:rsidR="00BF5083" w:rsidRPr="00796F65">
        <w:rPr>
          <w:rFonts w:ascii="Times New Roman" w:hAnsi="Times New Roman" w:cs="Times New Roman"/>
        </w:rPr>
        <w:t xml:space="preserve"> </w:t>
      </w:r>
      <w:r w:rsidR="00DA4BD3" w:rsidRPr="00796F65">
        <w:rPr>
          <w:rFonts w:ascii="Times New Roman" w:hAnsi="Times New Roman" w:cs="Times New Roman"/>
        </w:rPr>
        <w:t xml:space="preserve">all </w:t>
      </w:r>
      <w:r w:rsidR="005B14CB" w:rsidRPr="00796F65">
        <w:rPr>
          <w:rFonts w:ascii="Times New Roman" w:hAnsi="Times New Roman" w:cs="Times New Roman"/>
        </w:rPr>
        <w:t xml:space="preserve">the </w:t>
      </w:r>
      <w:r w:rsidR="00BF5083" w:rsidRPr="00796F65">
        <w:rPr>
          <w:rFonts w:ascii="Times New Roman" w:hAnsi="Times New Roman" w:cs="Times New Roman"/>
        </w:rPr>
        <w:t>ma</w:t>
      </w:r>
      <w:r w:rsidR="004676AA" w:rsidRPr="00796F65">
        <w:rPr>
          <w:rFonts w:ascii="Times New Roman" w:hAnsi="Times New Roman" w:cs="Times New Roman"/>
        </w:rPr>
        <w:t>lignant o</w:t>
      </w:r>
      <w:r w:rsidR="00375AFA" w:rsidRPr="00796F65">
        <w:rPr>
          <w:rFonts w:ascii="Times New Roman" w:hAnsi="Times New Roman" w:cs="Times New Roman"/>
        </w:rPr>
        <w:t>varian germ cell tumor</w:t>
      </w:r>
      <w:r w:rsidR="005B14CB" w:rsidRPr="00796F65">
        <w:rPr>
          <w:rFonts w:ascii="Times New Roman" w:hAnsi="Times New Roman" w:cs="Times New Roman"/>
        </w:rPr>
        <w:t>s</w:t>
      </w:r>
      <w:r w:rsidR="005E149B" w:rsidRPr="00796F65">
        <w:rPr>
          <w:rFonts w:ascii="Times New Roman" w:hAnsi="Times New Roman" w:cs="Times New Roman"/>
        </w:rPr>
        <w:t xml:space="preserve"> (</w:t>
      </w:r>
      <w:r w:rsidR="004676AA" w:rsidRPr="00796F65">
        <w:rPr>
          <w:rFonts w:ascii="Times New Roman" w:hAnsi="Times New Roman" w:cs="Times New Roman"/>
        </w:rPr>
        <w:t>MOGCT</w:t>
      </w:r>
      <w:r w:rsidR="00BF5083" w:rsidRPr="00796F65">
        <w:rPr>
          <w:rFonts w:ascii="Times New Roman" w:hAnsi="Times New Roman" w:cs="Times New Roman"/>
        </w:rPr>
        <w:t xml:space="preserve">). </w:t>
      </w:r>
      <w:r w:rsidR="001E2232" w:rsidRPr="00796F65">
        <w:rPr>
          <w:rFonts w:ascii="Times New Roman" w:hAnsi="Times New Roman" w:cs="Times New Roman"/>
        </w:rPr>
        <w:t xml:space="preserve">Although it can occur </w:t>
      </w:r>
      <w:r w:rsidR="004457D0" w:rsidRPr="00796F65">
        <w:rPr>
          <w:rFonts w:ascii="Times New Roman" w:hAnsi="Times New Roman" w:cs="Times New Roman"/>
        </w:rPr>
        <w:t>during childhood, it is most frequent during adolescence</w:t>
      </w:r>
      <w:r w:rsidR="003A0DBB" w:rsidRPr="00796F65">
        <w:rPr>
          <w:rFonts w:ascii="Times New Roman" w:hAnsi="Times New Roman" w:cs="Times New Roman"/>
        </w:rPr>
        <w:t xml:space="preserve"> and young adulthood</w:t>
      </w:r>
      <w:r w:rsidR="00F90A33" w:rsidRPr="00796F65">
        <w:rPr>
          <w:rFonts w:ascii="Times New Roman" w:hAnsi="Times New Roman" w:cs="Times New Roman"/>
        </w:rPr>
        <w:t>,</w:t>
      </w:r>
      <w:r w:rsidR="004457D0" w:rsidRPr="00796F65">
        <w:rPr>
          <w:rFonts w:ascii="Times New Roman" w:hAnsi="Times New Roman" w:cs="Times New Roman"/>
        </w:rPr>
        <w:t xml:space="preserve"> with</w:t>
      </w:r>
      <w:r w:rsidR="00F90A33" w:rsidRPr="00796F65">
        <w:rPr>
          <w:rFonts w:ascii="Times New Roman" w:hAnsi="Times New Roman" w:cs="Times New Roman"/>
        </w:rPr>
        <w:t xml:space="preserve"> a</w:t>
      </w:r>
      <w:r w:rsidR="004457D0" w:rsidRPr="00796F65">
        <w:rPr>
          <w:rFonts w:ascii="Times New Roman" w:hAnsi="Times New Roman" w:cs="Times New Roman"/>
        </w:rPr>
        <w:t xml:space="preserve"> peak incidence</w:t>
      </w:r>
      <w:r w:rsidR="00040D18" w:rsidRPr="00796F65">
        <w:rPr>
          <w:rFonts w:ascii="Times New Roman" w:hAnsi="Times New Roman" w:cs="Times New Roman"/>
        </w:rPr>
        <w:t xml:space="preserve"> at 15-19 years of age</w:t>
      </w:r>
      <w:r w:rsidR="000F54CA" w:rsidRPr="00796F65">
        <w:rPr>
          <w:rFonts w:ascii="Times New Roman" w:hAnsi="Times New Roman" w:cs="Times New Roman"/>
        </w:rPr>
        <w:t>.</w:t>
      </w:r>
      <w:r w:rsidR="00EA0BF1"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1nk3tgpmss","properties":{"formattedCitation":"[1]","plainCitation":"[1]","noteIndex":0},"citationItems":[{"id":99,"uris":["http://zotero.org/users/608019/items/RBAC3GEZ"],"uri":["http://zotero.org/users/608019/items/RBAC3GEZ"],"itemData":{"id":99,"type":"article-journal","title":"Incidence and survival rates for female malignant germ cell tumors","container-title":"Obstetrics and Gynecology","page":"1075-1085","volume":"107","issue":"5","source":"PubMed","abstract":"OBJECTIVE: To evaluate 30-year, population-based trends in incidence and survival rates for malignant germ cell tumors originating within the female genital tract.\nMETHODS: Surveillance, Epidemiology, and End Results data were used to identify malignant germ cell tumors (1973-2002). Overall and 5-year incidence rates, estimated annual percentage change, and survival rates were calculated and compared by age at diagnosis, race, stage, and histology.\nRESULTS: Of 1,262 cases, there were 414 (32.8%) dysgerminomas, 449 (35.6%) immature teratomas, 37 (2.9%) mature teratomas with malignant degeneration, and 362 (28.7%) mixed germ cell tumors. The 30-year, age-adjusted incidence rate per 100,000 women-years was 0.338, decreasing by 29.4% for dysgerminomas (P = .18) and by 31.5% for mixed germ cell tumors (P = .22). Other nonwhites had higher rates than whites and blacks, but dysgerminoma rates were higher in whites and other nonwhites than in blacks. Using the registries for expanded races, rates were higher for Asian/Pacific Islanders (P = .059) and Hispanics (P = .07). By age at diagnosis, 15-19 year olds had the highest rates and the only significant change in rates (37.5% increase, P = .008). The 5-year relative survival was 83.9%. Survival rates improved significantly over calendar time and varied by histologic subtype, race, stage of disease, and age at diagnosis.\nCONCLUSION: Over the past 30 years, germ cell tumor incidence rates have declined in women and differ from rising trends reported for testicular tumors. Survival rates have improved but were lower for older women and for nondysgerminoma subtypes.","DOI":"10.1097/01.AOG.0000216004.22588.ce","ISSN":"0029-7844","note":"PMID: 16648414","journalAbbreviation":"Obstet Gynecol","language":"eng","author":[{"family":"Smith","given":"Harriet O."},{"family":"Berwick","given":"Marianne"},{"family":"Verschraegen","given":"Claire F."},{"family":"Wiggins","given":"Charles"},{"family":"Lansing","given":"Letitia"},{"family":"Muller","given":"Carolyn Y."},{"family":"Qualls","given":"Clifford R."}],"issued":{"date-parts":[["2006",5]]}}}],"schema":"https://github.com/citation-style-language/schema/raw/master/csl-citation.json"} </w:instrText>
      </w:r>
      <w:r w:rsidR="00EA0BF1" w:rsidRPr="00796F65">
        <w:rPr>
          <w:rFonts w:ascii="Times New Roman" w:hAnsi="Times New Roman" w:cs="Times New Roman"/>
          <w:vertAlign w:val="superscript"/>
        </w:rPr>
        <w:fldChar w:fldCharType="separate"/>
      </w:r>
      <w:r w:rsidR="00180BB9" w:rsidRPr="00796F65">
        <w:rPr>
          <w:rFonts w:ascii="Times New Roman" w:hAnsi="Times New Roman" w:cs="Times New Roman"/>
          <w:noProof/>
          <w:vertAlign w:val="superscript"/>
        </w:rPr>
        <w:t>[1]</w:t>
      </w:r>
      <w:r w:rsidR="00EA0BF1" w:rsidRPr="00796F65">
        <w:rPr>
          <w:rFonts w:ascii="Times New Roman" w:hAnsi="Times New Roman" w:cs="Times New Roman"/>
          <w:vertAlign w:val="superscript"/>
        </w:rPr>
        <w:fldChar w:fldCharType="end"/>
      </w:r>
      <w:r w:rsidR="00365426" w:rsidRPr="00796F65">
        <w:rPr>
          <w:rFonts w:ascii="Times New Roman" w:hAnsi="Times New Roman" w:cs="Times New Roman"/>
          <w:vertAlign w:val="superscript"/>
        </w:rPr>
        <w:t xml:space="preserve"> </w:t>
      </w:r>
      <w:r w:rsidR="00D22B98" w:rsidRPr="00796F65">
        <w:rPr>
          <w:rFonts w:ascii="Times New Roman" w:hAnsi="Times New Roman" w:cs="Times New Roman"/>
        </w:rPr>
        <w:t xml:space="preserve">Dysgerminoma </w:t>
      </w:r>
      <w:r w:rsidR="00A70FA4">
        <w:rPr>
          <w:rFonts w:ascii="Times New Roman" w:hAnsi="Times New Roman" w:cs="Times New Roman"/>
        </w:rPr>
        <w:t>is</w:t>
      </w:r>
      <w:r w:rsidR="00D22B98" w:rsidRPr="00796F65">
        <w:rPr>
          <w:rFonts w:ascii="Times New Roman" w:hAnsi="Times New Roman" w:cs="Times New Roman"/>
        </w:rPr>
        <w:t xml:space="preserve"> exquisitely radio- and chemo-sensitive. Although radiation therapy is effective, it is no longer recommended as frontline therapy</w:t>
      </w:r>
      <w:r w:rsidR="00D22B98" w:rsidRPr="00796F65">
        <w:rPr>
          <w:rFonts w:ascii="Times New Roman" w:hAnsi="Times New Roman" w:cs="Times New Roman"/>
          <w:vertAlign w:val="superscript"/>
        </w:rPr>
        <w:t xml:space="preserve"> </w:t>
      </w:r>
      <w:r w:rsidR="00D22B98" w:rsidRPr="00796F65">
        <w:rPr>
          <w:rFonts w:ascii="Times New Roman" w:hAnsi="Times New Roman" w:cs="Times New Roman"/>
        </w:rPr>
        <w:t>due to the risk of second malignant neoplasm (SMN), premature ovarian failure, and a significant impact on fertility despite contralateral ovarian shielding.</w:t>
      </w:r>
      <w:r w:rsidR="00D22B98"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15vv47ead3","properties":{"formattedCitation":"[2]","plainCitation":"[2]","noteIndex":0},"citationItems":[{"id":54,"uris":["http://zotero.org/users/608019/items/GQGCRX7J"],"uri":["http://zotero.org/users/608019/items/GQGCRX7J"],"itemData":{"id":54,"type":"article-journal","title":"The long-term effects of radiation therapy on patients with ovarian dysgerminoma","container-title":"Cancer","page":"1084-1090","volume":"67","issue":"4","source":"PubMed","abstract":"A retrospective chart review and questionnaire study was undertaken to look at the long-term effects of radiation therapy in ovarian dysgerminoma patients. Forty-three patients and 55 controls responded to a questionnaire that detailed bowel, bladder, thyroid, menstrual, reproductive, sexual, and growth function. Statistically significant differences in the number of bowel movements were noticed when comparing patients with controls. The authors noticed no significant differences between cases and controls in bladder function. No thyroid disorders were attributable to mediastinal radiation therapy. Most patients with intact uteri bleed monthly on hormonal replacement. Three patients with a remaining ovary and uterus resumed menstrual function after substantial doses of abdominopelvic radiation therapy. No patients have conceived. The authors noticed a slight increase in dyspareunia in the treated group, but most patients were satisfied with their sexual function. One premenarchal patient exhibited a growth disorder.","ISSN":"0008-543X","note":"PMID: 1991256","journalAbbreviation":"Cancer","language":"eng","author":[{"family":"Mitchell","given":"M. F."},{"family":"Gershenson","given":"D. M."},{"family":"Soeters","given":"R. P."},{"family":"Eifel","given":"P. J."},{"family":"Delclos","given":"L."},{"family":"Wharton","given":"J. T."}],"issued":{"date-parts":[["1991",2,15]]}}}],"schema":"https://github.com/citation-style-language/schema/raw/master/csl-citation.json"} </w:instrText>
      </w:r>
      <w:r w:rsidR="00D22B98" w:rsidRPr="00796F65">
        <w:rPr>
          <w:rFonts w:ascii="Times New Roman" w:hAnsi="Times New Roman" w:cs="Times New Roman"/>
          <w:vertAlign w:val="superscript"/>
        </w:rPr>
        <w:fldChar w:fldCharType="separate"/>
      </w:r>
      <w:r w:rsidR="00D22B98" w:rsidRPr="00796F65">
        <w:rPr>
          <w:rFonts w:ascii="Times New Roman" w:hAnsi="Times New Roman" w:cs="Times New Roman"/>
          <w:noProof/>
          <w:vertAlign w:val="superscript"/>
        </w:rPr>
        <w:t>[2]</w:t>
      </w:r>
      <w:r w:rsidR="00D22B98" w:rsidRPr="00796F65">
        <w:rPr>
          <w:rFonts w:ascii="Times New Roman" w:hAnsi="Times New Roman" w:cs="Times New Roman"/>
          <w:vertAlign w:val="superscript"/>
        </w:rPr>
        <w:fldChar w:fldCharType="end"/>
      </w:r>
      <w:r w:rsidR="00D22B98" w:rsidRPr="00796F65">
        <w:rPr>
          <w:rFonts w:ascii="Times New Roman" w:hAnsi="Times New Roman" w:cs="Times New Roman"/>
        </w:rPr>
        <w:t xml:space="preserve"> </w:t>
      </w:r>
    </w:p>
    <w:p w14:paraId="3520F9AF" w14:textId="77777777" w:rsidR="00C6482B" w:rsidRPr="00796F65" w:rsidRDefault="00C6482B" w:rsidP="00796F65">
      <w:pPr>
        <w:widowControl w:val="0"/>
        <w:autoSpaceDE w:val="0"/>
        <w:autoSpaceDN w:val="0"/>
        <w:adjustRightInd w:val="0"/>
        <w:spacing w:line="480" w:lineRule="auto"/>
        <w:jc w:val="both"/>
        <w:rPr>
          <w:rFonts w:ascii="Times New Roman" w:hAnsi="Times New Roman" w:cs="Times New Roman"/>
        </w:rPr>
      </w:pPr>
    </w:p>
    <w:p w14:paraId="0E978706" w14:textId="32810CFE" w:rsidR="00911AC0" w:rsidRPr="00796F65" w:rsidRDefault="001F0844" w:rsidP="00796F65">
      <w:pPr>
        <w:widowControl w:val="0"/>
        <w:autoSpaceDE w:val="0"/>
        <w:autoSpaceDN w:val="0"/>
        <w:adjustRightInd w:val="0"/>
        <w:spacing w:line="480" w:lineRule="auto"/>
        <w:jc w:val="both"/>
        <w:rPr>
          <w:rFonts w:ascii="Times New Roman" w:hAnsi="Times New Roman" w:cs="Times New Roman"/>
          <w:vertAlign w:val="superscript"/>
        </w:rPr>
      </w:pPr>
      <w:r w:rsidRPr="00796F65">
        <w:rPr>
          <w:rFonts w:ascii="Times New Roman" w:hAnsi="Times New Roman" w:cs="Times New Roman"/>
        </w:rPr>
        <w:t>The</w:t>
      </w:r>
      <w:r w:rsidR="006D39B7" w:rsidRPr="00796F65">
        <w:rPr>
          <w:rFonts w:ascii="Times New Roman" w:hAnsi="Times New Roman" w:cs="Times New Roman"/>
        </w:rPr>
        <w:t xml:space="preserve"> c</w:t>
      </w:r>
      <w:r w:rsidR="002A4FD2" w:rsidRPr="00796F65">
        <w:rPr>
          <w:rFonts w:ascii="Times New Roman" w:hAnsi="Times New Roman" w:cs="Times New Roman"/>
        </w:rPr>
        <w:t>urren</w:t>
      </w:r>
      <w:r w:rsidR="00FA65F1" w:rsidRPr="00796F65">
        <w:rPr>
          <w:rFonts w:ascii="Times New Roman" w:hAnsi="Times New Roman" w:cs="Times New Roman"/>
        </w:rPr>
        <w:t>t standard of care for advanced-</w:t>
      </w:r>
      <w:r w:rsidR="002A4FD2" w:rsidRPr="00796F65">
        <w:rPr>
          <w:rFonts w:ascii="Times New Roman" w:hAnsi="Times New Roman" w:cs="Times New Roman"/>
        </w:rPr>
        <w:t>stage dysgerminoma</w:t>
      </w:r>
      <w:r w:rsidR="00A15C81" w:rsidRPr="00796F65">
        <w:rPr>
          <w:rFonts w:ascii="Times New Roman" w:hAnsi="Times New Roman" w:cs="Times New Roman"/>
        </w:rPr>
        <w:t>,</w:t>
      </w:r>
      <w:r w:rsidR="009A5A4D" w:rsidRPr="00796F65">
        <w:rPr>
          <w:rFonts w:ascii="Times New Roman" w:hAnsi="Times New Roman" w:cs="Times New Roman"/>
        </w:rPr>
        <w:t xml:space="preserve"> </w:t>
      </w:r>
      <w:r w:rsidR="00692191" w:rsidRPr="00796F65">
        <w:rPr>
          <w:rFonts w:ascii="Times New Roman" w:hAnsi="Times New Roman" w:cs="Times New Roman"/>
        </w:rPr>
        <w:t>i.e.</w:t>
      </w:r>
      <w:r w:rsidR="009A5A4D" w:rsidRPr="00796F65">
        <w:rPr>
          <w:rFonts w:ascii="Times New Roman" w:hAnsi="Times New Roman" w:cs="Times New Roman"/>
        </w:rPr>
        <w:t xml:space="preserve"> </w:t>
      </w:r>
      <w:r w:rsidR="00A15C81" w:rsidRPr="00796F65">
        <w:rPr>
          <w:rFonts w:ascii="Times New Roman" w:hAnsi="Times New Roman" w:cs="Times New Roman"/>
          <w:bCs/>
        </w:rPr>
        <w:t>disease</w:t>
      </w:r>
      <w:r w:rsidR="00550680" w:rsidRPr="00796F65">
        <w:rPr>
          <w:rFonts w:ascii="Times New Roman" w:hAnsi="Times New Roman" w:cs="Times New Roman"/>
          <w:bCs/>
        </w:rPr>
        <w:t xml:space="preserve"> that</w:t>
      </w:r>
      <w:r w:rsidR="00A15C81" w:rsidRPr="00796F65">
        <w:rPr>
          <w:rFonts w:ascii="Times New Roman" w:hAnsi="Times New Roman" w:cs="Times New Roman"/>
          <w:bCs/>
        </w:rPr>
        <w:t xml:space="preserve"> has spread outside of the ovary</w:t>
      </w:r>
      <w:r w:rsidR="009A5A4D" w:rsidRPr="00796F65">
        <w:rPr>
          <w:rFonts w:ascii="Times New Roman" w:hAnsi="Times New Roman" w:cs="Times New Roman"/>
          <w:bCs/>
        </w:rPr>
        <w:t>,</w:t>
      </w:r>
      <w:r w:rsidR="002A4FD2" w:rsidRPr="00796F65">
        <w:rPr>
          <w:rFonts w:ascii="Times New Roman" w:hAnsi="Times New Roman" w:cs="Times New Roman"/>
        </w:rPr>
        <w:t xml:space="preserve"> is post</w:t>
      </w:r>
      <w:r w:rsidR="00D5022C" w:rsidRPr="00796F65">
        <w:rPr>
          <w:rFonts w:ascii="Times New Roman" w:hAnsi="Times New Roman" w:cs="Times New Roman"/>
        </w:rPr>
        <w:t>-</w:t>
      </w:r>
      <w:r w:rsidR="002A4FD2" w:rsidRPr="00796F65">
        <w:rPr>
          <w:rFonts w:ascii="Times New Roman" w:hAnsi="Times New Roman" w:cs="Times New Roman"/>
        </w:rPr>
        <w:t xml:space="preserve">operative </w:t>
      </w:r>
      <w:r w:rsidR="006A26B3" w:rsidRPr="00796F65">
        <w:rPr>
          <w:rFonts w:ascii="Times New Roman" w:hAnsi="Times New Roman" w:cs="Times New Roman"/>
        </w:rPr>
        <w:t xml:space="preserve">adjuvant </w:t>
      </w:r>
      <w:r w:rsidR="002A4FD2" w:rsidRPr="00796F65">
        <w:rPr>
          <w:rFonts w:ascii="Times New Roman" w:hAnsi="Times New Roman" w:cs="Times New Roman"/>
        </w:rPr>
        <w:t>chemotherapy with</w:t>
      </w:r>
      <w:r w:rsidR="0037228D" w:rsidRPr="00796F65">
        <w:rPr>
          <w:rFonts w:ascii="Times New Roman" w:hAnsi="Times New Roman" w:cs="Times New Roman"/>
        </w:rPr>
        <w:t xml:space="preserve"> </w:t>
      </w:r>
      <w:r w:rsidR="00E114C1" w:rsidRPr="00796F65">
        <w:rPr>
          <w:rFonts w:ascii="Times New Roman" w:hAnsi="Times New Roman" w:cs="Times New Roman"/>
        </w:rPr>
        <w:t>either</w:t>
      </w:r>
      <w:r w:rsidR="007F6BBD" w:rsidRPr="00796F65">
        <w:rPr>
          <w:rFonts w:ascii="Times New Roman" w:hAnsi="Times New Roman" w:cs="Times New Roman"/>
        </w:rPr>
        <w:t xml:space="preserve"> </w:t>
      </w:r>
      <w:r w:rsidR="007A2BB3" w:rsidRPr="00796F65">
        <w:rPr>
          <w:rFonts w:ascii="Times New Roman" w:hAnsi="Times New Roman" w:cs="Times New Roman"/>
        </w:rPr>
        <w:t>c</w:t>
      </w:r>
      <w:r w:rsidR="002B2AFC" w:rsidRPr="00796F65">
        <w:rPr>
          <w:rFonts w:ascii="Times New Roman" w:hAnsi="Times New Roman" w:cs="Times New Roman"/>
        </w:rPr>
        <w:t>arboplatin</w:t>
      </w:r>
      <w:r w:rsidR="00341F75" w:rsidRPr="00796F65">
        <w:rPr>
          <w:rFonts w:ascii="Times New Roman" w:hAnsi="Times New Roman" w:cs="Times New Roman"/>
        </w:rPr>
        <w:t xml:space="preserve"> or cisplatin</w:t>
      </w:r>
      <w:r w:rsidR="002A4FD2" w:rsidRPr="00796F65">
        <w:rPr>
          <w:rFonts w:ascii="Times New Roman" w:hAnsi="Times New Roman" w:cs="Times New Roman"/>
        </w:rPr>
        <w:t xml:space="preserve">, </w:t>
      </w:r>
      <w:r w:rsidR="00E114C1" w:rsidRPr="00796F65">
        <w:rPr>
          <w:rFonts w:ascii="Times New Roman" w:hAnsi="Times New Roman" w:cs="Times New Roman"/>
        </w:rPr>
        <w:t xml:space="preserve">combined with </w:t>
      </w:r>
      <w:r w:rsidR="007A2BB3" w:rsidRPr="00796F65">
        <w:rPr>
          <w:rFonts w:ascii="Times New Roman" w:hAnsi="Times New Roman" w:cs="Times New Roman"/>
        </w:rPr>
        <w:t>e</w:t>
      </w:r>
      <w:r w:rsidR="002A4FD2" w:rsidRPr="00796F65">
        <w:rPr>
          <w:rFonts w:ascii="Times New Roman" w:hAnsi="Times New Roman" w:cs="Times New Roman"/>
        </w:rPr>
        <w:t xml:space="preserve">toposide and </w:t>
      </w:r>
      <w:r w:rsidR="007A2BB3" w:rsidRPr="00796F65">
        <w:rPr>
          <w:rFonts w:ascii="Times New Roman" w:hAnsi="Times New Roman" w:cs="Times New Roman"/>
        </w:rPr>
        <w:t>b</w:t>
      </w:r>
      <w:r w:rsidR="002A4FD2" w:rsidRPr="00796F65">
        <w:rPr>
          <w:rFonts w:ascii="Times New Roman" w:hAnsi="Times New Roman" w:cs="Times New Roman"/>
        </w:rPr>
        <w:t>leomycin</w:t>
      </w:r>
      <w:r w:rsidR="00D438AA" w:rsidRPr="00796F65">
        <w:rPr>
          <w:rFonts w:ascii="Times New Roman" w:hAnsi="Times New Roman" w:cs="Times New Roman"/>
        </w:rPr>
        <w:t>.</w:t>
      </w:r>
      <w:r w:rsidR="0006695E" w:rsidRPr="00796F65">
        <w:rPr>
          <w:rFonts w:ascii="Times New Roman" w:hAnsi="Times New Roman" w:cs="Times New Roman"/>
        </w:rPr>
        <w:t xml:space="preserve"> </w:t>
      </w:r>
      <w:r w:rsidR="00D15410" w:rsidRPr="00796F65">
        <w:rPr>
          <w:rFonts w:ascii="Times New Roman" w:hAnsi="Times New Roman" w:cs="Times New Roman"/>
        </w:rPr>
        <w:t>Though</w:t>
      </w:r>
      <w:r w:rsidR="00635C71" w:rsidRPr="00796F65">
        <w:rPr>
          <w:rFonts w:ascii="Times New Roman" w:hAnsi="Times New Roman" w:cs="Times New Roman"/>
        </w:rPr>
        <w:t xml:space="preserve"> the advent of cisplatin-based chemotherapy in the treatment of advanced-stage dysgerminoma has led to excellent cure rates, its success </w:t>
      </w:r>
      <w:r w:rsidR="00965963" w:rsidRPr="00796F65">
        <w:rPr>
          <w:rFonts w:ascii="Times New Roman" w:hAnsi="Times New Roman" w:cs="Times New Roman"/>
        </w:rPr>
        <w:t>has been</w:t>
      </w:r>
      <w:r w:rsidR="00635C71" w:rsidRPr="00796F65">
        <w:rPr>
          <w:rFonts w:ascii="Times New Roman" w:hAnsi="Times New Roman" w:cs="Times New Roman"/>
        </w:rPr>
        <w:t xml:space="preserve"> offset by the emergence of considerable long-term </w:t>
      </w:r>
      <w:r w:rsidR="00692191" w:rsidRPr="00796F65">
        <w:rPr>
          <w:rFonts w:ascii="Times New Roman" w:hAnsi="Times New Roman" w:cs="Times New Roman"/>
        </w:rPr>
        <w:t xml:space="preserve">treatment-related </w:t>
      </w:r>
      <w:r w:rsidR="00635C71" w:rsidRPr="00796F65">
        <w:rPr>
          <w:rFonts w:ascii="Times New Roman" w:hAnsi="Times New Roman" w:cs="Times New Roman"/>
        </w:rPr>
        <w:t>morbidity and mortality.</w:t>
      </w:r>
      <w:r w:rsidR="00911AC0" w:rsidRPr="00796F65">
        <w:rPr>
          <w:rFonts w:ascii="Times New Roman" w:hAnsi="Times New Roman" w:cs="Times New Roman"/>
          <w:b/>
        </w:rPr>
        <w:t xml:space="preserve"> </w:t>
      </w:r>
      <w:r w:rsidR="00091223" w:rsidRPr="00796F65">
        <w:rPr>
          <w:rFonts w:ascii="Times New Roman" w:hAnsi="Times New Roman" w:cs="Times New Roman"/>
        </w:rPr>
        <w:t>T</w:t>
      </w:r>
      <w:r w:rsidR="009F7DF2" w:rsidRPr="00796F65">
        <w:rPr>
          <w:rFonts w:ascii="Times New Roman" w:hAnsi="Times New Roman" w:cs="Times New Roman"/>
        </w:rPr>
        <w:t xml:space="preserve">he </w:t>
      </w:r>
      <w:r w:rsidR="00635C71" w:rsidRPr="00796F65">
        <w:rPr>
          <w:rFonts w:ascii="Times New Roman" w:hAnsi="Times New Roman" w:cs="Times New Roman"/>
        </w:rPr>
        <w:t xml:space="preserve">late effects of cisplatin-based </w:t>
      </w:r>
      <w:r w:rsidR="00E74992" w:rsidRPr="00796F65">
        <w:rPr>
          <w:rFonts w:ascii="Times New Roman" w:hAnsi="Times New Roman" w:cs="Times New Roman"/>
        </w:rPr>
        <w:t>chemo</w:t>
      </w:r>
      <w:r w:rsidR="00635C71" w:rsidRPr="00796F65">
        <w:rPr>
          <w:rFonts w:ascii="Times New Roman" w:hAnsi="Times New Roman" w:cs="Times New Roman"/>
        </w:rPr>
        <w:t xml:space="preserve">therapy </w:t>
      </w:r>
      <w:r w:rsidR="00091223" w:rsidRPr="00796F65">
        <w:rPr>
          <w:rFonts w:ascii="Times New Roman" w:hAnsi="Times New Roman" w:cs="Times New Roman"/>
        </w:rPr>
        <w:t>have</w:t>
      </w:r>
      <w:r w:rsidR="009F7DF2" w:rsidRPr="00796F65">
        <w:rPr>
          <w:rFonts w:ascii="Times New Roman" w:hAnsi="Times New Roman" w:cs="Times New Roman"/>
        </w:rPr>
        <w:t xml:space="preserve"> been </w:t>
      </w:r>
      <w:r w:rsidR="00936E4A" w:rsidRPr="00796F65">
        <w:rPr>
          <w:rFonts w:ascii="Times New Roman" w:hAnsi="Times New Roman" w:cs="Times New Roman"/>
        </w:rPr>
        <w:t xml:space="preserve">widely </w:t>
      </w:r>
      <w:r w:rsidR="00635C71" w:rsidRPr="00796F65">
        <w:rPr>
          <w:rFonts w:ascii="Times New Roman" w:hAnsi="Times New Roman" w:cs="Times New Roman"/>
        </w:rPr>
        <w:t>reported in testicular seminoma, the histologic</w:t>
      </w:r>
      <w:r w:rsidR="00C6482B" w:rsidRPr="00796F65">
        <w:rPr>
          <w:rFonts w:ascii="Times New Roman" w:hAnsi="Times New Roman" w:cs="Times New Roman"/>
        </w:rPr>
        <w:t>al</w:t>
      </w:r>
      <w:r w:rsidR="00635C71" w:rsidRPr="00796F65">
        <w:rPr>
          <w:rFonts w:ascii="Times New Roman" w:hAnsi="Times New Roman" w:cs="Times New Roman"/>
        </w:rPr>
        <w:t xml:space="preserve"> counterpart of ovarian dysgerminoma.</w:t>
      </w:r>
      <w:r w:rsidR="006156F6"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2Evo85I2","properties":{"formattedCitation":"[3]","plainCitation":"[3]","noteIndex":0},"citationItems":[{"id":646,"uris":["http://zotero.org/users/608019/items/XDBURTFX"],"uri":["http://zotero.org/users/608019/items/XDBURTFX"],"itemData":{"id":646,"type":"article-journal","title":"The pathology of some special ovarian tumors and their relation to sex characteristics","container-title":"American Journal of Obstetrics &amp; Gynecology","page":"697-713","volume":"22","issue":"5","source":"www.ajog.org","DOI":"10.1016/S0002-9378(31)90960-5","ISSN":"0002-9378, 1097-6868","journalAbbreviation":"American Journal of Obstetrics &amp; Gynecology","language":"English","author":[{"family":"Meyer","given":"Robert"}],"issued":{"date-parts":[["1931",11,1]]}}}],"schema":"https://github.com/citation-style-language/schema/raw/master/csl-citation.json"} </w:instrText>
      </w:r>
      <w:r w:rsidR="006156F6"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[3]</w:t>
      </w:r>
      <w:r w:rsidR="006156F6" w:rsidRPr="00796F65">
        <w:rPr>
          <w:rFonts w:ascii="Times New Roman" w:hAnsi="Times New Roman" w:cs="Times New Roman"/>
          <w:vertAlign w:val="superscript"/>
        </w:rPr>
        <w:fldChar w:fldCharType="end"/>
      </w:r>
      <w:r w:rsidR="00C6482B" w:rsidRPr="00796F65">
        <w:rPr>
          <w:rFonts w:ascii="Times New Roman" w:hAnsi="Times New Roman" w:cs="Times New Roman"/>
        </w:rPr>
        <w:t xml:space="preserve"> T</w:t>
      </w:r>
      <w:r w:rsidR="00A35422" w:rsidRPr="00796F65">
        <w:rPr>
          <w:rFonts w:ascii="Times New Roman" w:hAnsi="Times New Roman" w:cs="Times New Roman"/>
        </w:rPr>
        <w:t xml:space="preserve">wo of the most </w:t>
      </w:r>
      <w:r w:rsidR="009F7DF2" w:rsidRPr="00796F65">
        <w:rPr>
          <w:rFonts w:ascii="Times New Roman" w:hAnsi="Times New Roman" w:cs="Times New Roman"/>
        </w:rPr>
        <w:t xml:space="preserve">concerning </w:t>
      </w:r>
      <w:r w:rsidR="00A35422" w:rsidRPr="00796F65">
        <w:rPr>
          <w:rFonts w:ascii="Times New Roman" w:hAnsi="Times New Roman" w:cs="Times New Roman"/>
        </w:rPr>
        <w:t xml:space="preserve">late effects of </w:t>
      </w:r>
      <w:r w:rsidR="00936E4A" w:rsidRPr="00796F65">
        <w:rPr>
          <w:rFonts w:ascii="Times New Roman" w:hAnsi="Times New Roman" w:cs="Times New Roman"/>
        </w:rPr>
        <w:t xml:space="preserve">cisplatin </w:t>
      </w:r>
      <w:r w:rsidR="00111A54" w:rsidRPr="00796F65">
        <w:rPr>
          <w:rFonts w:ascii="Times New Roman" w:hAnsi="Times New Roman" w:cs="Times New Roman"/>
        </w:rPr>
        <w:t>for young long-term survivors</w:t>
      </w:r>
      <w:r w:rsidR="00A35422" w:rsidRPr="00796F65">
        <w:rPr>
          <w:rFonts w:ascii="Times New Roman" w:hAnsi="Times New Roman" w:cs="Times New Roman"/>
        </w:rPr>
        <w:t>, are the two-fold risk of cardiovascular disease and SMN.</w:t>
      </w:r>
      <w:r w:rsidR="00087DBE"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{"citationID":"a1vk06q7p7t","properties":{"formattedCitation":"[4, 5]","plainCitation":"[4, 5]","noteIndex":0},"citationItems":[{"id":78,"uris":["http://zotero.org/users/608019/items/KGM6ZQ73"],"uri":["http://zotero.org/users/608019/items/KGM6ZQ73"],"itemData":{"id":78,"type":"article-journal","title":"Testicular cancer survivorship: research strategies and recommendations","container-title":"Journal of the National Cancer Institute","page":"1114-1130","volume":"102","issue":"15","source":"PubMed","abstract":"Testicular cancer represents the most curable solid tumor, with a 10-year survival rate of more than 95%. Given the young average age at diagnosis, it is estimated that effective treatment approaches, in particular, platinum-based chemotherapy, have resulted in an average gain of several decades of life. This success, however, is offset by the emergence of considerable long-term morbidity, including second malignant neoplasms, cardiovascular disease, neurotoxicity, nephrotoxicity, pulmonary toxicity, hypogonadism, decreased fertility, and psychosocial problems. Data on underlying genetic or molecular factors that might identify those patients at highest risk for late sequelae are sparse. Genome-wide association studies and other translational molecular approaches now provide opportunities to identify testicular cancer survivors at greatest risk for therapy-related complications to develop evidence-based long-term follow-up guidelines and interventional strategies. We review research priorities identified during an international workshop devoted to testicular cancer survivors. Recommendations include 1) institution of lifelong follow-up of testicular cancer survivors within a large cohort setting to ascertain risks of emerging toxicities and the evolution of known late sequelae, 2) development of comprehensive risk prediction models that include treatment factors and genetic modifiers of late sequelae, 3) elucidation of the effect(s) of decades-long exposure to low serum levels of platinum, 4) assessment of the overall burden of medical and psychosocial morbidity, and 5) the eventual formulation of evidence-based long-term follow-up guidelines and interventions. Just as testicular cancer once served as the paradigm of a curable malignancy, comprehensive follow-up studies of testicular cancer survivors can pioneer new methodologies in survivorship research for all adult-onset cancer.","DOI":"10.1093/jnci/djq216","ISSN":"1460-2105","note":"PMID: 20585105\nPMCID: PMC2914759","shortTitle":"Testicular cancer survivorship","journalAbbreviation":"J. Natl. Cancer Inst.","language":"eng","author":[{"family":"Travis","given":"Lois B."},{"family":"Beard","given":"Clair"},{"family":"Allan","given":"James M."},{"family":"Dahl","given":"Alv A."},{"family":"Feldman","given":"Darren R."},{"family":"Oldenburg","given":"Jan"},{"family":"Daugaard","given":"Gedske"},{"family":"Kelly","given":"Jennifer L."},{"family":"Dolan","given":"M. Eileen"},{"family":"Hannigan","given":"Robyn"},{"family":"Constine","given":"Louis S."},{"family":"Oeffinger","given":"Kevin C."},{"family":"Okunieff","given":"Paul"},{"family":"Armstrong","given":"Greg"},{"family":"Wiljer","given":"David"},{"family":"Miller","given":"Robert C."},{"family":"Gietema","given":"Jourik A."},{"family":"Leeuwen","given":"Flora E.","non-dropping-particle":"van"},{"family":"Williams","given":"Jacqueline P."},{"family":"Nichols","given":"Craig R."},{"family":"Einhorn","given":"Lawrence H."},{"family":"Fossa","given":"Sophie D."}],"issued":{"date-parts":[["2010",8,4]]}},"label":"page"},{"id":113,"uris":["http://zotero.org/users/608019/items/WBHXRBMS"],"uri":["http://zotero.org/users/608019/items/WBHXRBMS"],"itemData":{"id":113,"type":"article-journal","title":"Second cancers among 40,576 testicular cancer patients: focus on long-term survivors","container-title":"Journal of the National Cancer Institute","page":"1354-1365","volume":"97","issue":"18","source":"PubMed","abstract":"BACKGROUND: Although second primary cancers are a leading cause of death among men with testicular cancer, few studies have quantified risks among long-term survivors.\nMETHODS: Within 14 population-based tumor registries in Europe and North America (1943-2001), we identified 40,576 1-year survivors of testicular cancer and ascertained data on any new incident solid tumors among these patients. We used Poisson regression analysis to model relative risks (RRs) and excess absolute risks (EARs) of second solid cancers. All statistical tests were two-sided.\nRESULTS: A total of 2,285 second solid cancers were reported in the cohort. The relative risk and EAR decreased with increasing age at testicular cancer diagnosis (P &lt; .001); the EAR increased with attained age (P &lt; .001) but the excess RR decreased. Among 10-year survivors diagnosed with testicular cancer at age 35 years, the risk of developing a second solid tumor was increased (RR = 1.9, 95% confidence interval [CI] = 1.8 to 2.1). Risk remained statistically significantly elevated for 35 years (RR = 1.7, 95% CI = 1.5 to 2.0; P &lt; .001). We observed statistically significantly elevated risks, for the first time, for cancers of the pleura (malignant mesothelioma; RR = 3.4, 95% CI = 1.7 to 5.9) and esophagus (RR = 1.7, 95% CI = 1.0 to 2.6). Cancers of the lung (RR = 1.5, 95% CI = 1.2 to 1.7), colon (RR = 2.0, 95% CI = 1.7 to 2.5), bladder (RR = 2.7, 95% CI = 2.2 to 3.1), pancreas (RR = 3.6, 95% CI = 2.8 to 4.6), and stomach (RR = 4.0, 95% CI = 3.2 to 4.8) accounted for almost 60% of the total excess. Overall patterns were similar for seminoma and nonseminoma patients, with lower risks observed for nonseminoma patients treated after 1975. Statistically significantly increased risks of solid cancers were observed among patients treated with radiotherapy alone (RR = 2.0, 95% CI = 1.9 to 2.2), chemotherapy alone (RR = 1.8, 95% CI = 1.3 to 2.5), and both (RR = 2.9, 95% CI = 1.9 to 4.2). For patients diagnosed with seminomas or nonseminomatous tumors at age 35 years, cumulative risks of solid cancer 40 years later (i.e., to age 75 years) were 36% and 31%, respectively, compared with 23% for the general population.\nCONCLUSIONS: Testicular cancer survivors are at statistically significantly increased risk of solid tumors for at least 35 years after treatment. Young patients may experience high levels of risk as they reach older ages. The statistically significantly increased risk of malignant mesothelioma in testicular cancer survivors has, to our knowledge, not been observed previously in a cohort of patients treated with radiotherapy.","DOI":"10.1093/jnci/dji278","ISSN":"1460-2105","note":"PMID: 16174857","shortTitle":"Second cancers among 40,576 testicular cancer patients","journalAbbreviation":"J. Natl. Cancer Inst.","language":"eng","author":[{"family":"Travis","given":"Lois B."},{"family":"Fosså","given":"Sophie D."},{"family":"Schonfeld","given":"Sara J."},{"family":"McMaster","given":"Mary L."},{"family":"Lynch","given":"Charles F."},{"family":"Storm","given":"Hans"},{"family":"Hall","given":"Per"},{"family":"Holowaty","given":"Eric"},{"family":"Andersen","given":"Aage"},{"family":"Pukkala","given":"Eero"},{"family":"Andersson","given":"Michael"},{"family":"Kaijser","given":"Magnus"},{"family":"Gospodarowicz","given":"Mary"},{"family":"Joensuu","given":"Timo"},{"family":"Cohen","given":"Randi J."},{"family":"Boice","given":"John D."},{"family":"Dores","given":"Graça M."},{"family":"Gilbert","given":"Ethel S."}],"issued":{"date-parts":[["2005",9,21]]}},"label":"page"}],"schema":"https://github.com/citation-style-language/schema/raw/master/csl-citation.json"} </w:instrText>
      </w:r>
      <w:r w:rsidR="00087DBE" w:rsidRPr="00796F65">
        <w:rPr>
          <w:rFonts w:ascii="Times New Roman" w:hAnsi="Times New Roman" w:cs="Times New Roman"/>
          <w:vertAlign w:val="superscript"/>
        </w:rPr>
        <w:fldChar w:fldCharType="separate"/>
      </w:r>
      <w:r w:rsidR="00E57EDB" w:rsidRPr="00796F65">
        <w:rPr>
          <w:rFonts w:ascii="Times New Roman" w:hAnsi="Times New Roman" w:cs="Times New Roman"/>
          <w:noProof/>
          <w:vertAlign w:val="superscript"/>
        </w:rPr>
        <w:t>[4,</w:t>
      </w:r>
      <w:r w:rsidR="006156F6" w:rsidRPr="00796F65">
        <w:rPr>
          <w:rFonts w:ascii="Times New Roman" w:hAnsi="Times New Roman" w:cs="Times New Roman"/>
          <w:noProof/>
          <w:vertAlign w:val="superscript"/>
        </w:rPr>
        <w:t>5]</w:t>
      </w:r>
      <w:r w:rsidR="00087DBE" w:rsidRPr="00796F65">
        <w:rPr>
          <w:rFonts w:ascii="Times New Roman" w:hAnsi="Times New Roman" w:cs="Times New Roman"/>
          <w:vertAlign w:val="superscript"/>
        </w:rPr>
        <w:fldChar w:fldCharType="end"/>
      </w:r>
      <w:r w:rsidR="0050722D" w:rsidRPr="00796F65">
        <w:rPr>
          <w:rFonts w:ascii="Times New Roman" w:hAnsi="Times New Roman" w:cs="Times New Roman"/>
        </w:rPr>
        <w:t xml:space="preserve"> </w:t>
      </w:r>
      <w:r w:rsidR="00A35422" w:rsidRPr="00796F65">
        <w:rPr>
          <w:rFonts w:ascii="Times New Roman" w:hAnsi="Times New Roman" w:cs="Times New Roman"/>
        </w:rPr>
        <w:t xml:space="preserve">Other </w:t>
      </w:r>
      <w:r w:rsidR="009F7DF2" w:rsidRPr="00796F65">
        <w:rPr>
          <w:rFonts w:ascii="Times New Roman" w:hAnsi="Times New Roman" w:cs="Times New Roman"/>
        </w:rPr>
        <w:t xml:space="preserve">significant </w:t>
      </w:r>
      <w:r w:rsidR="00036412" w:rsidRPr="00796F65">
        <w:rPr>
          <w:rFonts w:ascii="Times New Roman" w:hAnsi="Times New Roman" w:cs="Times New Roman"/>
        </w:rPr>
        <w:t>l</w:t>
      </w:r>
      <w:r w:rsidR="00C6482B" w:rsidRPr="00796F65">
        <w:rPr>
          <w:rFonts w:ascii="Times New Roman" w:hAnsi="Times New Roman" w:cs="Times New Roman"/>
        </w:rPr>
        <w:t>ate effects</w:t>
      </w:r>
      <w:r w:rsidR="001A477A" w:rsidRPr="00796F65">
        <w:rPr>
          <w:rFonts w:ascii="Times New Roman" w:hAnsi="Times New Roman" w:cs="Times New Roman"/>
        </w:rPr>
        <w:t xml:space="preserve"> </w:t>
      </w:r>
      <w:r w:rsidR="00B2385A" w:rsidRPr="00796F65">
        <w:rPr>
          <w:rFonts w:ascii="Times New Roman" w:hAnsi="Times New Roman" w:cs="Times New Roman"/>
        </w:rPr>
        <w:t xml:space="preserve">include the  </w:t>
      </w:r>
      <w:r w:rsidR="00A16A13" w:rsidRPr="00796F65">
        <w:rPr>
          <w:rFonts w:ascii="Times New Roman" w:hAnsi="Times New Roman" w:cs="Times New Roman"/>
        </w:rPr>
        <w:t xml:space="preserve">risk of </w:t>
      </w:r>
      <w:r w:rsidR="009F7DF2" w:rsidRPr="00796F65">
        <w:rPr>
          <w:rFonts w:ascii="Times New Roman" w:hAnsi="Times New Roman" w:cs="Times New Roman"/>
        </w:rPr>
        <w:t xml:space="preserve">ototoxicity, </w:t>
      </w:r>
      <w:r w:rsidR="00235445" w:rsidRPr="00796F65">
        <w:rPr>
          <w:rFonts w:ascii="Times New Roman" w:hAnsi="Times New Roman" w:cs="Times New Roman"/>
        </w:rPr>
        <w:t>nephrotoxicity</w:t>
      </w:r>
      <w:r w:rsidR="005243DB" w:rsidRPr="00796F65">
        <w:rPr>
          <w:rFonts w:ascii="Times New Roman" w:hAnsi="Times New Roman" w:cs="Times New Roman"/>
        </w:rPr>
        <w:t>, neurotoxicity and</w:t>
      </w:r>
      <w:r w:rsidR="00A35422" w:rsidRPr="00796F65">
        <w:rPr>
          <w:rFonts w:ascii="Times New Roman" w:hAnsi="Times New Roman" w:cs="Times New Roman"/>
        </w:rPr>
        <w:t xml:space="preserve"> </w:t>
      </w:r>
      <w:r w:rsidR="00E37B72" w:rsidRPr="00796F65">
        <w:rPr>
          <w:rFonts w:ascii="Times New Roman" w:hAnsi="Times New Roman" w:cs="Times New Roman"/>
        </w:rPr>
        <w:t xml:space="preserve">gonadotoxicity </w:t>
      </w:r>
      <w:r w:rsidR="0062481C" w:rsidRPr="00796F65">
        <w:rPr>
          <w:rFonts w:ascii="Times New Roman" w:hAnsi="Times New Roman" w:cs="Times New Roman"/>
        </w:rPr>
        <w:t xml:space="preserve">leading to </w:t>
      </w:r>
      <w:r w:rsidR="00E37B72" w:rsidRPr="00796F65">
        <w:rPr>
          <w:rFonts w:ascii="Times New Roman" w:hAnsi="Times New Roman" w:cs="Times New Roman"/>
        </w:rPr>
        <w:t xml:space="preserve">premature </w:t>
      </w:r>
      <w:r w:rsidR="00E114C1" w:rsidRPr="00796F65">
        <w:rPr>
          <w:rFonts w:ascii="Times New Roman" w:hAnsi="Times New Roman" w:cs="Times New Roman"/>
        </w:rPr>
        <w:t>ovarian failure</w:t>
      </w:r>
      <w:r w:rsidR="0062481C" w:rsidRPr="00796F65">
        <w:rPr>
          <w:rFonts w:ascii="Times New Roman" w:hAnsi="Times New Roman" w:cs="Times New Roman"/>
        </w:rPr>
        <w:t xml:space="preserve"> or infertility</w:t>
      </w:r>
      <w:r w:rsidR="00E114C1" w:rsidRPr="00796F65">
        <w:rPr>
          <w:rFonts w:ascii="Times New Roman" w:hAnsi="Times New Roman" w:cs="Times New Roman"/>
        </w:rPr>
        <w:t>.</w:t>
      </w:r>
      <w:r w:rsidR="000F2A63" w:rsidRPr="00F95A30">
        <w:rPr>
          <w:rFonts w:ascii="Times New Roman" w:hAnsi="Times New Roman" w:cs="Times New Roman"/>
          <w:vertAlign w:val="superscript"/>
        </w:rPr>
        <w:fldChar w:fldCharType="begin"/>
      </w:r>
      <w:r w:rsidR="001D179C" w:rsidRPr="00F95A30">
        <w:rPr>
          <w:rFonts w:ascii="Times New Roman" w:hAnsi="Times New Roman" w:cs="Times New Roman"/>
          <w:vertAlign w:val="superscript"/>
        </w:rPr>
        <w:instrText xml:space="preserve"> ADDIN ZOTERO_ITEM CSL_CITATION {"citationID":"a2l8g72sgdf","properties":{"formattedCitation":"[4\\uc0\\u8211{}6]","plainCitation":"[4–6]","noteIndex":0},"citationItems":[{"id":78,"uris":["http://zotero.org/users/608019/items/KGM6ZQ73"],"uri":["http://zotero.org/users/608019/items/KGM6ZQ73"],"itemData":{"id":78,"type":"article-journal","title":"Testicular cancer survivorship: research strategies and recommendations","container-title":"Journal of the National Cancer Institute","page":"1114-1130","volume":"102","issue":"15","source":"PubMed","abstract":"Testicular cancer represents the most curable solid tumor, with a 10-year survival rate of more than 95%. Given the young average age at diagnosis, it is estimated that effective treatment approaches, in particular, platinum-based chemotherapy, have resulted in an average gain of several decades of life. This success, however, is offset by the emergence of considerable long-term morbidity, including second malignant neoplasms, cardiovascular disease, neurotoxicity, nephrotoxicity, pulmonary toxicity, hypogonadism, decreased fertility, and psychosocial problems. Data on underlying genetic or molecular factors that might identify those patients at highest risk for late sequelae are sparse. Genome-wide association studies and other translational molecular approaches now provide opportunities to identify testicular cancer survivors at greatest risk for therapy-related complications to develop evidence-based long-term follow-up guidelines and interventional strategies. We review research priorities identified during an international workshop devoted to testicular cancer survivors. Recommendations include 1) institution of lifelong follow-up of testicular cancer survivors within a large cohort setting to ascertain risks of emerging toxicities and the evolution of known late sequelae, 2) development of comprehensive risk prediction models that include treatment factors and genetic modifiers of late sequelae, 3) elucidation of the effect(s) of decades-long exposure to low serum levels of platinum, 4) assessment of the overall burden of medical and psychosocial morbidity, and 5) the eventual formulation of evidence-based long-term follow-up guidelines and interventions. Just as testicular cancer once served as the paradigm of a curable malignancy, comprehensive follow-up studies of testicular cancer survivors can pioneer new methodologies in survivorship research for all adult-onset cancer.","DOI":"10.1093/jnci/djq216","ISSN":"1460-2105","note":"PMID: 20585105\nPMCID: PMC2914759","shortTitle":"Testicular cancer survivorship","journalAbbreviation":"J. Natl. Cancer Inst.","language":"eng","author":[{"family":"Travis","given":"Lois B."},{"family":"Beard","given":"Clair"},{"family":"Allan","given":"James M."},{"family":"Dahl","given":"Alv A."},{"family":"Feldman","given":"Darren R."},{"family":"Oldenburg","given":"Jan"},{"family":"Daugaard","given":"Gedske"},{"family":"Kelly","given":"Jennifer L."},{"family":"Dolan","given":"M. Eileen"},{"family":"Hannigan","given":"Robyn"},{"family":"Constine","given":"Louis S."},{"family":"Oeffinger","given":"Kevin C."},{"family":"Okunieff","given":"Paul"},{"family":"Armstrong","given":"Greg"},{"family":"Wiljer","given":"David"},{"family":"Miller","given":"Robert C."},{"family":"Gietema","given":"Jourik A."},{"family":"Leeuwen","given":"Flora E.","non-dropping-particle":"van"},{"family":"Williams","given":"Jacqueline P."},{"family":"Nichols","given":"Craig R."},{"family":"Einhorn","given":"Lawrence H."},{"family":"Fossa","given":"Sophie D."}],"issued":{"date-parts":[["2010",8,4]]}},"label":"page"},{"id":113,"uris":["http://zotero.org/users/608019/items/WBHXRBMS"],"uri":["http://zotero.org/users/608019/items/WBHXRBMS"],"itemData":{"id":113,"type":"article-journal","title":"Second cancers among 40,576 testicular cancer patients: focus on long-term survivors","container-title":"Journal of the National Cancer Institute","page":"1354-1365","volume":"97","issue":"18","source":"PubMed","abstract":"BACKGROUND: Although second primary cancers are a leading cause of death among men with testicular cancer, few studies have quantified risks among long-term survivors.\nMETHODS: Within 14 population-based tumor registries in Europe and North America (1943-2001), we identified 40,576 1-year survivors of testicular cancer and ascertained data on any new incident solid tumors among these patients. We used Poisson regression analysis to model relative risks (RRs) and excess absolute risks (EARs) of second solid cancers. All statistical tests were two-sided.\nRESULTS: A total of 2,285 second solid cancers were reported in the cohort. The relative risk and EAR decreased with increasing age at testicular cancer diagnosis (P &lt; .001); the EAR increased with attained age (P &lt; .001) but the excess RR decreased. Among 10-year survivors diagnosed with testicular cancer at age 35 years, the risk of developing a second solid tumor was increased (RR = 1.9, 95% confidence interval [CI] = 1.8 to 2.1). Risk remained statistically significantly elevated for 35 years (RR = 1.7, 95% CI = 1.5 to 2.0; P &lt; .001). We observed statistically significantly elevated risks, for the first time, for cancers of the pleura (malignant mesothelioma; RR = 3.4, 95% CI = 1.7 to 5.9) and esophagus (RR = 1.7, 95% CI = 1.0 to 2.6). Cancers of the lung (RR = 1.5, 95% CI = 1.2 to 1.7), colon (RR = 2.0, 95% CI = 1.7 to 2.5), bladder (RR = 2.7, 95% CI = 2.2 to 3.1), pancreas (RR = 3.6, 95% CI = 2.8 to 4.6), and stomach (RR = 4.0, 95% CI = 3.2 to 4.8) accounted for almost 60% of the total excess. Overall patterns were similar for seminoma and nonseminoma patients, with lower risks observed for nonseminoma patients treated after 1975. Statistically significantly increased risks of solid cancers were observed among patients treated with radiotherapy alone (RR = 2.0, 95% CI = 1.9 to 2.2), chemotherapy alone (RR = 1.8, 95% CI = 1.3 to 2.5), and both (RR = 2.9, 95% CI = 1.9 to 4.2). For patients diagnosed with seminomas or nonseminomatous tumors at age 35 years, cumulative risks of solid cancer 40 years later (i.e., to age 75 years) were 36% and 31%, respectively, compared with 23% for the general population.\nCONCLUSIONS: Testicular cancer survivors are at statistically significantly increased risk of solid tumors for at least 35 years after treatment. Young patients may experience high levels of risk as they reach older ages. The statistically significantly increased risk of malignant mesothelioma in testicular cancer survivors has, to our knowledge, not been observed previously in a cohort of patients treated with radiotherapy.","DOI":"10.1093/jnci/dji278","ISSN":"1460-2105","note":"PMID: 16174857","shortTitle":"Second cancers among 40,576 testicular cancer patients","journalAbbreviation":"J. Natl. Cancer Inst.","language":"eng","author":[{"family":"Travis","given":"Lois B."},{"family":"Fosså","given":"Sophie D."},{"family":"Schonfeld","given":"Sara J."},{"family":"McMaster","given":"Mary L."},{"family":"Lynch","given":"Charles F."},{"family":"Storm","given":"Hans"},{"family":"Hall","given":"Per"},{"family":"Holowaty","given":"Eric"},{"family":"Andersen","given":"Aage"},{"family":"Pukkala","given":"Eero"},{"family":"Andersson","given":"Michael"},{"family":"Kaijser","given":"Magnus"},{"family":"Gospodarowicz","given":"Mary"},{"family":"Joensuu","given":"Timo"},{"family":"Cohen","given":"Randi J."},{"family":"Boice","given":"John D."},{"family":"Dores","given":"Graça M."},{"family":"Gilbert","given":"Ethel S."}],"issued":{"date-parts":[["2005",9,21]]}},"label":"page"},{"id":97,"uris":["http://zotero.org/users/608019/items/QN74P5GX"],"uri":["http://zotero.org/users/608019/items/QN74P5GX"],"itemData":{"id":97,"type":"article-journal","title":"Fertility and gonadal function after adjuvant therapy in women diagnosed with a malignant ovarian germ cell tumor (MOGCT) during the \"cisplatin era\"","container-title":"Gynecologic Oncology","page":"224-229","volume":"136","issue":"2","source":"PubMed","abstract":"PURPOSE: By self-report and serum levels of anti-Mullerian hormone (AMH) this study aims to assess post-treatment fertility after modern treatment of women with malignant ovarian germ cell tumors (MOGCT).\nPATIENTS AND METHODS: In 2013 a questionnaire-based survey was performed in 61 MOGCT patients diagnosed at age &lt;40years from 1980-2009. Forty-nine of them also attended the out-patient clinic. The event of first post-treatment pregnancy (\"fertility\") was documented as cumulative estimates for all 61 patients and within each of 4 treatment groups: Group 1: Surgery only (n=10); Group 2: ≤3cycles of cisplatin-based chemotherapy (CBCT) (n=20); Group 3: &gt;3cycles of CBCT (n=15) and Group 4: other adjuvant treatment (n=16). AMH was determined in 22 women &lt;40years at survey. Statistics were based on Kaplan Meier procedure, log-rank test and a significance level p&lt;0.05.\nRESULTS: At least one post-treatment pregnancy was reported by 34 of 39 MOGCT survivors who attempted motherhood after treatment. The 15-year cumulative post-treatment fertility estimate was 28% (95% CI: 26-30) for all 61 survivors and was significantly higher in patients treated with 3 or fewer cycles of CBCT (53% [95% CI: 50-55]) than those treated with more than 3cycles (20% [95% CI: 17-22]) (P=0.03). Of 22 AMH levels, two were &lt;3pmol/l, with one women being pregnant at survey.\nCONCLUSION: After fertility-sparing surgery and modern cisplatin-based chemotherapy, fertility is preserved in most MOGCT survivors though dependent on the number of cycles. AMH's role as a biomarker of gonadal function seems promising but requires further research.","DOI":"10.1016/j.ygyno.2014.12.010","ISSN":"1095-6859","note":"PMID: 25511159","journalAbbreviation":"Gynecol. Oncol.","language":"eng","author":[{"family":"Solheim","given":"O."},{"family":"Tropé","given":"C. G."},{"family":"Rokkones","given":"E."},{"family":"Kærn","given":"J."},{"family":"Paulsen","given":"T."},{"family":"Salvesen","given":"H. B."},{"family":"Hagen","given":"B."},{"family":"Vereide","given":"A. B."},{"family":"Fosså","given":"S. D."}],"issued":{"date-parts":[["2015",2]]}},"label":"page"}],"schema":"https://github.com/citation-style-language/schema/raw/master/csl-citation.json"} </w:instrText>
      </w:r>
      <w:r w:rsidR="000F2A63" w:rsidRPr="00F95A30">
        <w:rPr>
          <w:rFonts w:ascii="Times New Roman" w:hAnsi="Times New Roman" w:cs="Times New Roman"/>
          <w:vertAlign w:val="superscript"/>
        </w:rPr>
        <w:fldChar w:fldCharType="separate"/>
      </w:r>
      <w:r w:rsidR="001D179C" w:rsidRPr="00F95A30">
        <w:rPr>
          <w:rFonts w:ascii="Times New Roman" w:hAnsi="Times New Roman" w:cs="Times New Roman"/>
          <w:vertAlign w:val="superscript"/>
        </w:rPr>
        <w:t>[4–6]</w:t>
      </w:r>
      <w:r w:rsidR="000F2A63" w:rsidRPr="00F95A30">
        <w:rPr>
          <w:rFonts w:ascii="Times New Roman" w:hAnsi="Times New Roman" w:cs="Times New Roman"/>
          <w:vertAlign w:val="superscript"/>
        </w:rPr>
        <w:fldChar w:fldCharType="end"/>
      </w:r>
      <w:r w:rsidR="000F2A63" w:rsidRPr="00796F65">
        <w:rPr>
          <w:rFonts w:ascii="Times New Roman" w:hAnsi="Times New Roman" w:cs="Times New Roman"/>
          <w:vertAlign w:val="superscript"/>
        </w:rPr>
        <w:t xml:space="preserve"> </w:t>
      </w:r>
      <w:r w:rsidR="00FD0B7D" w:rsidRPr="00796F65">
        <w:rPr>
          <w:rFonts w:ascii="Times New Roman" w:hAnsi="Times New Roman" w:cs="Times New Roman"/>
          <w:vertAlign w:val="superscript"/>
        </w:rPr>
        <w:t xml:space="preserve"> </w:t>
      </w:r>
    </w:p>
    <w:p w14:paraId="029B59BF" w14:textId="77777777" w:rsidR="00911AC0" w:rsidRPr="00796F65" w:rsidRDefault="00911AC0" w:rsidP="00796F65">
      <w:pPr>
        <w:widowControl w:val="0"/>
        <w:autoSpaceDE w:val="0"/>
        <w:autoSpaceDN w:val="0"/>
        <w:adjustRightInd w:val="0"/>
        <w:spacing w:line="480" w:lineRule="auto"/>
        <w:jc w:val="both"/>
        <w:rPr>
          <w:rFonts w:ascii="Times New Roman" w:hAnsi="Times New Roman" w:cs="Times New Roman"/>
          <w:vertAlign w:val="superscript"/>
        </w:rPr>
      </w:pPr>
    </w:p>
    <w:p w14:paraId="47B38C09" w14:textId="1B15C683" w:rsidR="009239A9" w:rsidRPr="00796F65" w:rsidRDefault="00ED027F" w:rsidP="00796F65">
      <w:pPr>
        <w:widowControl w:val="0"/>
        <w:autoSpaceDE w:val="0"/>
        <w:autoSpaceDN w:val="0"/>
        <w:adjustRightInd w:val="0"/>
        <w:spacing w:line="480" w:lineRule="auto"/>
        <w:jc w:val="both"/>
        <w:rPr>
          <w:rFonts w:ascii="Times New Roman" w:hAnsi="Times New Roman" w:cs="Times New Roman"/>
        </w:rPr>
      </w:pPr>
      <w:r w:rsidRPr="00796F65">
        <w:rPr>
          <w:rFonts w:ascii="Times New Roman" w:hAnsi="Times New Roman" w:cs="Times New Roman"/>
        </w:rPr>
        <w:t>To address concern</w:t>
      </w:r>
      <w:r w:rsidR="00B2385A" w:rsidRPr="00796F65">
        <w:rPr>
          <w:rFonts w:ascii="Times New Roman" w:hAnsi="Times New Roman" w:cs="Times New Roman"/>
        </w:rPr>
        <w:t>s</w:t>
      </w:r>
      <w:r w:rsidRPr="00796F65">
        <w:rPr>
          <w:rFonts w:ascii="Times New Roman" w:hAnsi="Times New Roman" w:cs="Times New Roman"/>
        </w:rPr>
        <w:t xml:space="preserve"> </w:t>
      </w:r>
      <w:r w:rsidR="005026FA" w:rsidRPr="00796F65">
        <w:rPr>
          <w:rFonts w:ascii="Times New Roman" w:hAnsi="Times New Roman" w:cs="Times New Roman"/>
        </w:rPr>
        <w:t xml:space="preserve">related to some </w:t>
      </w:r>
      <w:r w:rsidR="00B2385A" w:rsidRPr="00796F65">
        <w:rPr>
          <w:rFonts w:ascii="Times New Roman" w:hAnsi="Times New Roman" w:cs="Times New Roman"/>
        </w:rPr>
        <w:t xml:space="preserve">of </w:t>
      </w:r>
      <w:r w:rsidRPr="00796F65">
        <w:rPr>
          <w:rFonts w:ascii="Times New Roman" w:hAnsi="Times New Roman" w:cs="Times New Roman"/>
        </w:rPr>
        <w:t>the</w:t>
      </w:r>
      <w:r w:rsidR="00F94202" w:rsidRPr="00796F65">
        <w:rPr>
          <w:rFonts w:ascii="Times New Roman" w:hAnsi="Times New Roman" w:cs="Times New Roman"/>
        </w:rPr>
        <w:t xml:space="preserve"> </w:t>
      </w:r>
      <w:r w:rsidR="00AC7C9B" w:rsidRPr="00796F65">
        <w:rPr>
          <w:rFonts w:ascii="Times New Roman" w:hAnsi="Times New Roman" w:cs="Times New Roman"/>
        </w:rPr>
        <w:t>cisplatin-</w:t>
      </w:r>
      <w:r w:rsidR="00D7437C" w:rsidRPr="00796F65">
        <w:rPr>
          <w:rFonts w:ascii="Times New Roman" w:hAnsi="Times New Roman" w:cs="Times New Roman"/>
        </w:rPr>
        <w:t xml:space="preserve">induced </w:t>
      </w:r>
      <w:r w:rsidRPr="00796F65">
        <w:rPr>
          <w:rFonts w:ascii="Times New Roman" w:hAnsi="Times New Roman" w:cs="Times New Roman"/>
        </w:rPr>
        <w:t>toxicities,</w:t>
      </w:r>
      <w:r w:rsidR="00C6482B" w:rsidRPr="00796F65">
        <w:rPr>
          <w:rFonts w:ascii="Times New Roman" w:hAnsi="Times New Roman" w:cs="Times New Roman"/>
        </w:rPr>
        <w:t xml:space="preserve"> </w:t>
      </w:r>
      <w:r w:rsidR="004D5F2E" w:rsidRPr="00796F65">
        <w:rPr>
          <w:rFonts w:ascii="Times New Roman" w:hAnsi="Times New Roman" w:cs="Times New Roman"/>
        </w:rPr>
        <w:t xml:space="preserve">over the last 25 </w:t>
      </w:r>
      <w:r w:rsidR="004D5F2E" w:rsidRPr="00796F65">
        <w:rPr>
          <w:rFonts w:ascii="Times New Roman" w:hAnsi="Times New Roman" w:cs="Times New Roman"/>
        </w:rPr>
        <w:lastRenderedPageBreak/>
        <w:t xml:space="preserve">years, </w:t>
      </w:r>
      <w:r w:rsidR="00FD0B7D" w:rsidRPr="00796F65">
        <w:rPr>
          <w:rFonts w:ascii="Times New Roman" w:hAnsi="Times New Roman" w:cs="Times New Roman"/>
        </w:rPr>
        <w:t>the United Kingdom Children's Cancer Study Group (UKCCSG</w:t>
      </w:r>
      <w:r w:rsidR="004F7146" w:rsidRPr="00796F65">
        <w:rPr>
          <w:rFonts w:ascii="Times New Roman" w:hAnsi="Times New Roman" w:cs="Times New Roman"/>
        </w:rPr>
        <w:t>)</w:t>
      </w:r>
      <w:r w:rsidR="00FD0B7D" w:rsidRPr="00796F65">
        <w:rPr>
          <w:rFonts w:ascii="Times New Roman" w:hAnsi="Times New Roman" w:cs="Times New Roman"/>
        </w:rPr>
        <w:t xml:space="preserve"> </w:t>
      </w:r>
      <w:r w:rsidR="005026FA" w:rsidRPr="00796F65">
        <w:rPr>
          <w:rFonts w:ascii="Times New Roman" w:hAnsi="Times New Roman" w:cs="Times New Roman"/>
        </w:rPr>
        <w:t>ha</w:t>
      </w:r>
      <w:r w:rsidR="004D5F2E" w:rsidRPr="00796F65">
        <w:rPr>
          <w:rFonts w:ascii="Times New Roman" w:hAnsi="Times New Roman" w:cs="Times New Roman"/>
        </w:rPr>
        <w:t>s</w:t>
      </w:r>
      <w:r w:rsidR="005026FA" w:rsidRPr="00796F65">
        <w:rPr>
          <w:rFonts w:ascii="Times New Roman" w:hAnsi="Times New Roman" w:cs="Times New Roman"/>
        </w:rPr>
        <w:t xml:space="preserve"> </w:t>
      </w:r>
      <w:r w:rsidR="00C855DD" w:rsidRPr="00796F65">
        <w:rPr>
          <w:rFonts w:ascii="Times New Roman" w:hAnsi="Times New Roman" w:cs="Times New Roman"/>
        </w:rPr>
        <w:t>utilized</w:t>
      </w:r>
      <w:r w:rsidR="00F4206D" w:rsidRPr="00796F65">
        <w:rPr>
          <w:rFonts w:ascii="Times New Roman" w:hAnsi="Times New Roman" w:cs="Times New Roman"/>
        </w:rPr>
        <w:t xml:space="preserve"> a </w:t>
      </w:r>
      <w:r w:rsidR="00FD0B7D" w:rsidRPr="00796F65">
        <w:rPr>
          <w:rFonts w:ascii="Times New Roman" w:hAnsi="Times New Roman" w:cs="Times New Roman"/>
        </w:rPr>
        <w:t>carboplatin</w:t>
      </w:r>
      <w:r w:rsidR="00274D50" w:rsidRPr="00796F65">
        <w:rPr>
          <w:rFonts w:ascii="Times New Roman" w:hAnsi="Times New Roman" w:cs="Times New Roman"/>
        </w:rPr>
        <w:t>-based</w:t>
      </w:r>
      <w:r w:rsidR="00FD0B7D" w:rsidRPr="00796F65">
        <w:rPr>
          <w:rFonts w:ascii="Times New Roman" w:hAnsi="Times New Roman" w:cs="Times New Roman"/>
        </w:rPr>
        <w:t xml:space="preserve"> </w:t>
      </w:r>
      <w:r w:rsidR="004D5F2E" w:rsidRPr="00796F65">
        <w:rPr>
          <w:rFonts w:ascii="Times New Roman" w:hAnsi="Times New Roman" w:cs="Times New Roman"/>
        </w:rPr>
        <w:t xml:space="preserve">strategy </w:t>
      </w:r>
      <w:r w:rsidR="00DA4BD3" w:rsidRPr="00796F65">
        <w:rPr>
          <w:rFonts w:ascii="Times New Roman" w:hAnsi="Times New Roman" w:cs="Times New Roman"/>
        </w:rPr>
        <w:t xml:space="preserve">in </w:t>
      </w:r>
      <w:r w:rsidRPr="00796F65">
        <w:rPr>
          <w:rFonts w:ascii="Times New Roman" w:hAnsi="Times New Roman" w:cs="Times New Roman"/>
        </w:rPr>
        <w:t>clinical tria</w:t>
      </w:r>
      <w:r w:rsidR="00DA4BD3" w:rsidRPr="00796F65">
        <w:rPr>
          <w:rFonts w:ascii="Times New Roman" w:hAnsi="Times New Roman" w:cs="Times New Roman"/>
        </w:rPr>
        <w:t>l</w:t>
      </w:r>
      <w:r w:rsidR="00274D50" w:rsidRPr="00796F65">
        <w:rPr>
          <w:rFonts w:ascii="Times New Roman" w:hAnsi="Times New Roman" w:cs="Times New Roman"/>
        </w:rPr>
        <w:t xml:space="preserve"> design </w:t>
      </w:r>
      <w:r w:rsidR="004D5F2E" w:rsidRPr="00796F65">
        <w:rPr>
          <w:rFonts w:ascii="Times New Roman" w:hAnsi="Times New Roman" w:cs="Times New Roman"/>
        </w:rPr>
        <w:t xml:space="preserve">in an attempt to </w:t>
      </w:r>
      <w:r w:rsidR="00F94202" w:rsidRPr="00796F65">
        <w:rPr>
          <w:rFonts w:ascii="Times New Roman" w:hAnsi="Times New Roman" w:cs="Times New Roman"/>
        </w:rPr>
        <w:t xml:space="preserve">specifically </w:t>
      </w:r>
      <w:r w:rsidR="00FD0B7D" w:rsidRPr="00796F65">
        <w:rPr>
          <w:rFonts w:ascii="Times New Roman" w:hAnsi="Times New Roman" w:cs="Times New Roman"/>
        </w:rPr>
        <w:t xml:space="preserve">minimize </w:t>
      </w:r>
      <w:r w:rsidR="00F4206D" w:rsidRPr="00796F65">
        <w:rPr>
          <w:rFonts w:ascii="Times New Roman" w:hAnsi="Times New Roman" w:cs="Times New Roman"/>
        </w:rPr>
        <w:t xml:space="preserve">the acute side effects of </w:t>
      </w:r>
      <w:r w:rsidR="00FD0B7D" w:rsidRPr="00796F65">
        <w:rPr>
          <w:rFonts w:ascii="Times New Roman" w:hAnsi="Times New Roman" w:cs="Times New Roman"/>
        </w:rPr>
        <w:t>ototoxicity</w:t>
      </w:r>
      <w:r w:rsidR="005C3EB9" w:rsidRPr="00796F65">
        <w:rPr>
          <w:rFonts w:ascii="Times New Roman" w:hAnsi="Times New Roman" w:cs="Times New Roman"/>
        </w:rPr>
        <w:t xml:space="preserve"> and nephrotoxicity</w:t>
      </w:r>
      <w:r w:rsidR="00FD0B7D" w:rsidRPr="00796F65">
        <w:rPr>
          <w:rFonts w:ascii="Times New Roman" w:hAnsi="Times New Roman" w:cs="Times New Roman"/>
        </w:rPr>
        <w:t>.</w:t>
      </w:r>
      <w:r w:rsidR="00353718"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UhSaNono","properties":{"formattedCitation":"[7]","plainCitation":"[7]","noteIndex":0},"citationItems":[{"id":92,"uris":["http://zotero.org/users/608019/items/PTXF39VH"],"uri":["http://zotero.org/users/608019/items/PTXF39VH"],"itemData":{"id":92,"type":"article-journal","title":"The United Kingdom Children's Cancer Study Group's second germ cell tumor study: carboplatin, etoposide, and bleomycin are effective treatment for children with malignant extracranial germ cell tumors, with acceptable toxicity","container-title":"Journal of Clinical Oncology: Official Journal of the American Society of Clinical Oncology","page":"3809-3818","volume":"18","issue":"22","source":"PubMed","abstract":"PURPOSE: To evaluate carboplatin, etoposide, and bleomycin (JEB) in children with malignant extracranial germ cell tumors (GCTs).\nPATIENTS AND METHODS: Malignant GCTs in children aged 0 to 16 years were excised without major morbidity or otherwise biopsied. Stage I testicular and some ovarian GCTs were resected and monitored with alpha-fetoprotein (AFP) (\"watch-and-wait\" approach). Patients with recurrent stage I disease and all other patients received JEB (etoposide 120 mg/m(2) on days 1 through 3, carboplatin 600 mg/m(2) on day 2, and bleomycin 15 mg/m(2) on day 3). Courses were administered every 3 to 4 weeks until remission, and then two more courses were given. Chemotherapy toxicities were assessed using World Health Organization or Brock grading.\nRESULTS: Between January 1989 and December 1997, 192 patients were registered. Eight were excluded because either there was no histologic diagnosis (n = 3) or chemotherapy was given off-study (n = 5). The remaining 184 patients had germinoma (n = 20), malignant teratoma (n = 55), embryonal carcinoma (n = 1), yolk sac tumor (n = 107), or choriocarcinoma (n = 1). Forty-seven patients were treated with surgery alone, and 137 patients received JEB. The 5-year survival rate in March 1999 for all 184 patients was 93.2% (95% confidence interval [CI], 87.9% to 96.3%); for the 137 JEB-treated patients, it was 90.9% (95% CI, 83.9% to 95.0%), with an event-free survival rate of 87.8% (95% CI, 81.1% to 92.4%). The median follow-up after JEB treatment was 53 months (range, 0 to 109 months); the median number of courses was five (range, three to eight). Site, stage, and AFP level had prognostic significance. Nonfatal hematologic toxicity was common, but deafness and pulmonary and renal toxicities were rare. One child died of a thoracic tumor and bronchopulmonary dysplasia, and another died of acute myeloid leukemia.\nCONCLUSION: Conservative surgery, a watch-and-wait approach after complete excision, and JEB for those requiring chemotherapy produced high cure rates and few serious complications.","ISSN":"0732-183X","note":"PMID: 11078494","shortTitle":"The United Kingdom Children's Cancer Study Group's second germ cell tumor study","journalAbbreviation":"J. Clin. Oncol.","language":"eng","author":[{"family":"Mann","given":"J. R."},{"family":"Raafat","given":"F."},{"family":"Robinson","given":"K."},{"family":"Imeson","given":"J."},{"family":"Gornall","given":"P."},{"family":"Sokal","given":"M."},{"family":"Gray","given":"E."},{"family":"McKeever","given":"P."},{"family":"Hale","given":"J."},{"family":"Bailey","given":"S."},{"family":"Oakhill","given":"A."}],"issued":{"date-parts":[["2000",11,15]]}}}],"schema":"https://github.com/citation-style-language/schema/raw/master/csl-citation.json"} </w:instrText>
      </w:r>
      <w:r w:rsidR="00353718"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[7]</w:t>
      </w:r>
      <w:r w:rsidR="00353718" w:rsidRPr="00796F65">
        <w:rPr>
          <w:rFonts w:ascii="Times New Roman" w:hAnsi="Times New Roman" w:cs="Times New Roman"/>
          <w:vertAlign w:val="superscript"/>
        </w:rPr>
        <w:fldChar w:fldCharType="end"/>
      </w:r>
      <w:r w:rsidR="00BC10FD" w:rsidRPr="00796F65">
        <w:rPr>
          <w:rFonts w:ascii="Times New Roman" w:hAnsi="Times New Roman" w:cs="Times New Roman"/>
        </w:rPr>
        <w:t xml:space="preserve"> </w:t>
      </w:r>
      <w:r w:rsidR="00F4206D" w:rsidRPr="00796F65">
        <w:rPr>
          <w:rFonts w:ascii="Times New Roman" w:hAnsi="Times New Roman" w:cs="Times New Roman"/>
        </w:rPr>
        <w:t xml:space="preserve">However, </w:t>
      </w:r>
      <w:r w:rsidR="00C539F7" w:rsidRPr="00796F65">
        <w:rPr>
          <w:rFonts w:ascii="Times New Roman" w:hAnsi="Times New Roman" w:cs="Times New Roman"/>
        </w:rPr>
        <w:t xml:space="preserve">a </w:t>
      </w:r>
      <w:r w:rsidR="00F4206D" w:rsidRPr="00796F65">
        <w:rPr>
          <w:rFonts w:ascii="Times New Roman" w:hAnsi="Times New Roman" w:cs="Times New Roman"/>
        </w:rPr>
        <w:t xml:space="preserve">comparison of </w:t>
      </w:r>
      <w:r w:rsidR="00C539F7" w:rsidRPr="00796F65">
        <w:rPr>
          <w:rFonts w:ascii="Times New Roman" w:hAnsi="Times New Roman" w:cs="Times New Roman"/>
        </w:rPr>
        <w:t xml:space="preserve">the </w:t>
      </w:r>
      <w:r w:rsidR="00F4206D" w:rsidRPr="00796F65">
        <w:rPr>
          <w:rFonts w:ascii="Times New Roman" w:hAnsi="Times New Roman" w:cs="Times New Roman"/>
        </w:rPr>
        <w:t xml:space="preserve">efficacy of </w:t>
      </w:r>
      <w:r w:rsidR="00BC10FD" w:rsidRPr="00796F65">
        <w:rPr>
          <w:rFonts w:ascii="Times New Roman" w:hAnsi="Times New Roman" w:cs="Times New Roman"/>
        </w:rPr>
        <w:t>carboplatin-based</w:t>
      </w:r>
      <w:r w:rsidR="00F4206D" w:rsidRPr="00796F65">
        <w:rPr>
          <w:rFonts w:ascii="Times New Roman" w:hAnsi="Times New Roman" w:cs="Times New Roman"/>
        </w:rPr>
        <w:t xml:space="preserve"> </w:t>
      </w:r>
      <w:r w:rsidR="00AC7C9B" w:rsidRPr="00796F65">
        <w:rPr>
          <w:rFonts w:ascii="Times New Roman" w:hAnsi="Times New Roman" w:cs="Times New Roman"/>
        </w:rPr>
        <w:t xml:space="preserve">regimens </w:t>
      </w:r>
      <w:r w:rsidR="00BC10FD" w:rsidRPr="00796F65">
        <w:rPr>
          <w:rFonts w:ascii="Times New Roman" w:hAnsi="Times New Roman" w:cs="Times New Roman"/>
        </w:rPr>
        <w:t xml:space="preserve">with </w:t>
      </w:r>
      <w:r w:rsidR="009239A9" w:rsidRPr="00796F65">
        <w:rPr>
          <w:rFonts w:ascii="Times New Roman" w:hAnsi="Times New Roman" w:cs="Times New Roman"/>
        </w:rPr>
        <w:t xml:space="preserve">the </w:t>
      </w:r>
      <w:r w:rsidR="00BC10FD" w:rsidRPr="00796F65">
        <w:rPr>
          <w:rFonts w:ascii="Times New Roman" w:hAnsi="Times New Roman" w:cs="Times New Roman"/>
        </w:rPr>
        <w:t>more conventional cisplatin-</w:t>
      </w:r>
      <w:r w:rsidR="00F4206D" w:rsidRPr="00796F65">
        <w:rPr>
          <w:rFonts w:ascii="Times New Roman" w:hAnsi="Times New Roman" w:cs="Times New Roman"/>
        </w:rPr>
        <w:t>based regimens</w:t>
      </w:r>
      <w:r w:rsidR="00C539F7" w:rsidRPr="00796F65">
        <w:rPr>
          <w:rFonts w:ascii="Times New Roman" w:hAnsi="Times New Roman" w:cs="Times New Roman"/>
        </w:rPr>
        <w:t xml:space="preserve"> remains unexamined</w:t>
      </w:r>
      <w:r w:rsidR="00F4206D" w:rsidRPr="00796F65">
        <w:rPr>
          <w:rFonts w:ascii="Times New Roman" w:hAnsi="Times New Roman" w:cs="Times New Roman"/>
        </w:rPr>
        <w:t xml:space="preserve">. </w:t>
      </w:r>
      <w:r w:rsidR="00BC10FD" w:rsidRPr="00796F65">
        <w:rPr>
          <w:rFonts w:ascii="Times New Roman" w:hAnsi="Times New Roman" w:cs="Times New Roman"/>
        </w:rPr>
        <w:t>Given the anticipated excellent survival outcomes</w:t>
      </w:r>
      <w:r w:rsidR="002A34DF" w:rsidRPr="00796F65">
        <w:rPr>
          <w:rFonts w:ascii="Times New Roman" w:hAnsi="Times New Roman" w:cs="Times New Roman"/>
        </w:rPr>
        <w:t>,</w:t>
      </w:r>
      <w:r w:rsidR="00BC10FD" w:rsidRPr="00796F65">
        <w:rPr>
          <w:rFonts w:ascii="Times New Roman" w:hAnsi="Times New Roman" w:cs="Times New Roman"/>
        </w:rPr>
        <w:t xml:space="preserve"> even in the context of metastatic disease, there is a concerted drive to directing future research strategies towards improving the quality of survival by tailoring therapy to minimize treatment-related toxicities.  </w:t>
      </w:r>
    </w:p>
    <w:p w14:paraId="465586FA" w14:textId="77777777" w:rsidR="00BC10FD" w:rsidRPr="00796F65" w:rsidRDefault="00BC10FD" w:rsidP="00796F65">
      <w:pPr>
        <w:widowControl w:val="0"/>
        <w:autoSpaceDE w:val="0"/>
        <w:autoSpaceDN w:val="0"/>
        <w:adjustRightInd w:val="0"/>
        <w:spacing w:line="480" w:lineRule="auto"/>
        <w:jc w:val="both"/>
        <w:rPr>
          <w:rFonts w:ascii="Times New Roman" w:hAnsi="Times New Roman" w:cs="Times New Roman"/>
        </w:rPr>
      </w:pPr>
    </w:p>
    <w:p w14:paraId="664158E4" w14:textId="22F32386" w:rsidR="0053645C" w:rsidRPr="00BD6A73" w:rsidRDefault="00A268A2" w:rsidP="00796F65">
      <w:pPr>
        <w:pStyle w:val="Bibliography"/>
        <w:jc w:val="both"/>
        <w:rPr>
          <w:rFonts w:ascii="Times New Roman" w:hAnsi="Times New Roman" w:cs="Times New Roman"/>
        </w:rPr>
      </w:pPr>
      <w:r w:rsidRPr="00796F65">
        <w:rPr>
          <w:rFonts w:ascii="Times New Roman" w:hAnsi="Times New Roman" w:cs="Times New Roman"/>
        </w:rPr>
        <w:t xml:space="preserve">Dysgerminoma is a rare disease, </w:t>
      </w:r>
      <w:r w:rsidR="009239A9" w:rsidRPr="00796F65">
        <w:rPr>
          <w:rFonts w:ascii="Times New Roman" w:hAnsi="Times New Roman" w:cs="Times New Roman"/>
        </w:rPr>
        <w:t xml:space="preserve">and </w:t>
      </w:r>
      <w:r w:rsidR="00DA4BD3" w:rsidRPr="00796F65">
        <w:rPr>
          <w:rFonts w:ascii="Times New Roman" w:hAnsi="Times New Roman" w:cs="Times New Roman"/>
        </w:rPr>
        <w:t xml:space="preserve">as such, has been historically difficult to study. </w:t>
      </w:r>
      <w:r w:rsidR="003A5365" w:rsidRPr="00796F65">
        <w:rPr>
          <w:rFonts w:ascii="Times New Roman" w:hAnsi="Times New Roman" w:cs="Times New Roman"/>
        </w:rPr>
        <w:t>I</w:t>
      </w:r>
      <w:r w:rsidRPr="00796F65">
        <w:rPr>
          <w:rFonts w:ascii="Times New Roman" w:hAnsi="Times New Roman" w:cs="Times New Roman"/>
        </w:rPr>
        <w:t>t</w:t>
      </w:r>
      <w:r w:rsidR="00F46DA3" w:rsidRPr="00796F65">
        <w:rPr>
          <w:rFonts w:ascii="Times New Roman" w:hAnsi="Times New Roman" w:cs="Times New Roman"/>
        </w:rPr>
        <w:t>s</w:t>
      </w:r>
      <w:r w:rsidRPr="00796F65">
        <w:rPr>
          <w:rFonts w:ascii="Times New Roman" w:hAnsi="Times New Roman" w:cs="Times New Roman"/>
        </w:rPr>
        <w:t xml:space="preserve"> study </w:t>
      </w:r>
      <w:r w:rsidR="00D03744" w:rsidRPr="00796F65">
        <w:rPr>
          <w:rFonts w:ascii="Times New Roman" w:hAnsi="Times New Roman" w:cs="Times New Roman"/>
        </w:rPr>
        <w:t>has been</w:t>
      </w:r>
      <w:r w:rsidRPr="00796F65">
        <w:rPr>
          <w:rFonts w:ascii="Times New Roman" w:hAnsi="Times New Roman" w:cs="Times New Roman"/>
        </w:rPr>
        <w:t xml:space="preserve"> further hampered by </w:t>
      </w:r>
      <w:r w:rsidR="00083F2B" w:rsidRPr="00796F65">
        <w:rPr>
          <w:rFonts w:ascii="Times New Roman" w:hAnsi="Times New Roman" w:cs="Times New Roman"/>
        </w:rPr>
        <w:t>the fragmentation of care</w:t>
      </w:r>
      <w:r w:rsidR="00797A34" w:rsidRPr="00796F65">
        <w:rPr>
          <w:rFonts w:ascii="Times New Roman" w:hAnsi="Times New Roman" w:cs="Times New Roman"/>
        </w:rPr>
        <w:t xml:space="preserve"> between two</w:t>
      </w:r>
      <w:r w:rsidRPr="00796F65">
        <w:rPr>
          <w:rFonts w:ascii="Times New Roman" w:hAnsi="Times New Roman" w:cs="Times New Roman"/>
        </w:rPr>
        <w:t xml:space="preserve"> different oncologic </w:t>
      </w:r>
      <w:r w:rsidR="00797A34" w:rsidRPr="00796F65">
        <w:rPr>
          <w:rFonts w:ascii="Times New Roman" w:hAnsi="Times New Roman" w:cs="Times New Roman"/>
        </w:rPr>
        <w:t>subspecialties</w:t>
      </w:r>
      <w:r w:rsidRPr="00796F65">
        <w:rPr>
          <w:rFonts w:ascii="Times New Roman" w:hAnsi="Times New Roman" w:cs="Times New Roman"/>
        </w:rPr>
        <w:t>: ped</w:t>
      </w:r>
      <w:r w:rsidR="00797A34" w:rsidRPr="00796F65">
        <w:rPr>
          <w:rFonts w:ascii="Times New Roman" w:hAnsi="Times New Roman" w:cs="Times New Roman"/>
        </w:rPr>
        <w:t xml:space="preserve">iatric </w:t>
      </w:r>
      <w:r w:rsidR="008671F1" w:rsidRPr="00796F65">
        <w:rPr>
          <w:rFonts w:ascii="Times New Roman" w:hAnsi="Times New Roman" w:cs="Times New Roman"/>
        </w:rPr>
        <w:t xml:space="preserve">oncology </w:t>
      </w:r>
      <w:r w:rsidR="00797A34" w:rsidRPr="00796F65">
        <w:rPr>
          <w:rFonts w:ascii="Times New Roman" w:hAnsi="Times New Roman" w:cs="Times New Roman"/>
        </w:rPr>
        <w:t xml:space="preserve">and gynecologic oncology. The </w:t>
      </w:r>
      <w:r w:rsidR="004A2F4B" w:rsidRPr="00796F65">
        <w:rPr>
          <w:rFonts w:ascii="Times New Roman" w:hAnsi="Times New Roman" w:cs="Times New Roman"/>
        </w:rPr>
        <w:t>differences in</w:t>
      </w:r>
      <w:r w:rsidR="00E07EAA" w:rsidRPr="00796F65">
        <w:rPr>
          <w:rFonts w:ascii="Times New Roman" w:hAnsi="Times New Roman" w:cs="Times New Roman"/>
        </w:rPr>
        <w:t xml:space="preserve"> staging</w:t>
      </w:r>
      <w:r w:rsidR="009962CE" w:rsidRPr="00796F65">
        <w:rPr>
          <w:rFonts w:ascii="Times New Roman" w:hAnsi="Times New Roman" w:cs="Times New Roman"/>
        </w:rPr>
        <w:t xml:space="preserve"> systems</w:t>
      </w:r>
      <w:r w:rsidR="00E07EAA" w:rsidRPr="00796F65">
        <w:rPr>
          <w:rFonts w:ascii="Times New Roman" w:hAnsi="Times New Roman" w:cs="Times New Roman"/>
        </w:rPr>
        <w:t>,</w:t>
      </w:r>
      <w:r w:rsidR="00004803" w:rsidRPr="00796F65">
        <w:rPr>
          <w:rFonts w:ascii="Times New Roman" w:hAnsi="Times New Roman" w:cs="Times New Roman"/>
        </w:rPr>
        <w:t xml:space="preserve"> </w:t>
      </w:r>
      <w:r w:rsidR="004A2F4B" w:rsidRPr="00796F65">
        <w:rPr>
          <w:rFonts w:ascii="Times New Roman" w:hAnsi="Times New Roman" w:cs="Times New Roman"/>
        </w:rPr>
        <w:t>inclusion criteria for enrollment</w:t>
      </w:r>
      <w:r w:rsidR="00F52589" w:rsidRPr="00796F65">
        <w:rPr>
          <w:rFonts w:ascii="Times New Roman" w:hAnsi="Times New Roman" w:cs="Times New Roman"/>
        </w:rPr>
        <w:t xml:space="preserve"> on clinical trials</w:t>
      </w:r>
      <w:r w:rsidR="00B36CCA" w:rsidRPr="00796F65">
        <w:rPr>
          <w:rFonts w:ascii="Times New Roman" w:hAnsi="Times New Roman" w:cs="Times New Roman"/>
        </w:rPr>
        <w:t>,</w:t>
      </w:r>
      <w:r w:rsidR="005B557C" w:rsidRPr="00796F65">
        <w:rPr>
          <w:rFonts w:ascii="Times New Roman" w:hAnsi="Times New Roman" w:cs="Times New Roman"/>
        </w:rPr>
        <w:t xml:space="preserve"> </w:t>
      </w:r>
      <w:r w:rsidR="00D74B0B" w:rsidRPr="00796F65">
        <w:rPr>
          <w:rFonts w:ascii="Times New Roman" w:hAnsi="Times New Roman" w:cs="Times New Roman"/>
        </w:rPr>
        <w:t>and treatment regimens</w:t>
      </w:r>
      <w:r w:rsidR="00004803" w:rsidRPr="00796F65">
        <w:rPr>
          <w:rFonts w:ascii="Times New Roman" w:hAnsi="Times New Roman" w:cs="Times New Roman"/>
        </w:rPr>
        <w:t xml:space="preserve"> across various </w:t>
      </w:r>
      <w:r w:rsidR="00F46DA3" w:rsidRPr="00796F65">
        <w:rPr>
          <w:rFonts w:ascii="Times New Roman" w:hAnsi="Times New Roman" w:cs="Times New Roman"/>
        </w:rPr>
        <w:t xml:space="preserve">pediatric and adult </w:t>
      </w:r>
      <w:r w:rsidR="00004803" w:rsidRPr="00796F65">
        <w:rPr>
          <w:rFonts w:ascii="Times New Roman" w:hAnsi="Times New Roman" w:cs="Times New Roman"/>
        </w:rPr>
        <w:t>clinical trials</w:t>
      </w:r>
      <w:r w:rsidR="00372DBA" w:rsidRPr="00796F65">
        <w:rPr>
          <w:rFonts w:ascii="Times New Roman" w:hAnsi="Times New Roman" w:cs="Times New Roman"/>
        </w:rPr>
        <w:t>,</w:t>
      </w:r>
      <w:r w:rsidR="00004803" w:rsidRPr="00796F65">
        <w:rPr>
          <w:rFonts w:ascii="Times New Roman" w:hAnsi="Times New Roman" w:cs="Times New Roman"/>
        </w:rPr>
        <w:t xml:space="preserve"> </w:t>
      </w:r>
      <w:r w:rsidR="00F46DA3" w:rsidRPr="00796F65">
        <w:rPr>
          <w:rFonts w:ascii="Times New Roman" w:hAnsi="Times New Roman" w:cs="Times New Roman"/>
        </w:rPr>
        <w:t xml:space="preserve">nationally and internationally, </w:t>
      </w:r>
      <w:r w:rsidR="00004803" w:rsidRPr="00796F65">
        <w:rPr>
          <w:rFonts w:ascii="Times New Roman" w:hAnsi="Times New Roman" w:cs="Times New Roman"/>
        </w:rPr>
        <w:t xml:space="preserve">have </w:t>
      </w:r>
      <w:r w:rsidRPr="00796F65">
        <w:rPr>
          <w:rFonts w:ascii="Times New Roman" w:hAnsi="Times New Roman" w:cs="Times New Roman"/>
        </w:rPr>
        <w:t>complicated the interpret</w:t>
      </w:r>
      <w:r w:rsidR="00797A34" w:rsidRPr="00796F65">
        <w:rPr>
          <w:rFonts w:ascii="Times New Roman" w:hAnsi="Times New Roman" w:cs="Times New Roman"/>
        </w:rPr>
        <w:t>ation of clinical trial results</w:t>
      </w:r>
      <w:r w:rsidR="00513B8F" w:rsidRPr="00796F65">
        <w:rPr>
          <w:rFonts w:ascii="Times New Roman" w:hAnsi="Times New Roman" w:cs="Times New Roman"/>
        </w:rPr>
        <w:t>.</w:t>
      </w:r>
      <w:r w:rsidR="005B0B65" w:rsidRPr="00796F65">
        <w:rPr>
          <w:rFonts w:ascii="Times New Roman" w:hAnsi="Times New Roman" w:cs="Times New Roman"/>
        </w:rPr>
        <w:t xml:space="preserve"> </w:t>
      </w:r>
      <w:r w:rsidR="00D74B0B" w:rsidRPr="00796F65">
        <w:rPr>
          <w:rFonts w:ascii="Times New Roman" w:hAnsi="Times New Roman" w:cs="Times New Roman"/>
        </w:rPr>
        <w:t xml:space="preserve">To overcome these limitations, the </w:t>
      </w:r>
      <w:r w:rsidR="00346DEC" w:rsidRPr="00796F65">
        <w:rPr>
          <w:rFonts w:ascii="Times New Roman" w:hAnsi="Times New Roman" w:cs="Times New Roman"/>
        </w:rPr>
        <w:t xml:space="preserve">Malignant Germ Cell Tumor International </w:t>
      </w:r>
      <w:r w:rsidR="00E114C1" w:rsidRPr="00796F65">
        <w:rPr>
          <w:rFonts w:ascii="Times New Roman" w:hAnsi="Times New Roman" w:cs="Times New Roman"/>
        </w:rPr>
        <w:t>Consort</w:t>
      </w:r>
      <w:r w:rsidR="0034514F" w:rsidRPr="00796F65">
        <w:rPr>
          <w:rFonts w:ascii="Times New Roman" w:hAnsi="Times New Roman" w:cs="Times New Roman"/>
        </w:rPr>
        <w:t>i</w:t>
      </w:r>
      <w:r w:rsidR="00E114C1" w:rsidRPr="00796F65">
        <w:rPr>
          <w:rFonts w:ascii="Times New Roman" w:hAnsi="Times New Roman" w:cs="Times New Roman"/>
        </w:rPr>
        <w:t xml:space="preserve">um </w:t>
      </w:r>
      <w:r w:rsidR="00346DEC" w:rsidRPr="00796F65">
        <w:rPr>
          <w:rFonts w:ascii="Times New Roman" w:hAnsi="Times New Roman" w:cs="Times New Roman"/>
        </w:rPr>
        <w:t xml:space="preserve">(MaGIC), </w:t>
      </w:r>
      <w:r w:rsidR="00F303A3" w:rsidRPr="00796F65">
        <w:rPr>
          <w:rFonts w:ascii="Times New Roman" w:hAnsi="Times New Roman" w:cs="Times New Roman"/>
        </w:rPr>
        <w:t>comprising</w:t>
      </w:r>
      <w:r w:rsidR="00346DEC" w:rsidRPr="00796F65">
        <w:rPr>
          <w:rFonts w:ascii="Times New Roman" w:hAnsi="Times New Roman" w:cs="Times New Roman"/>
        </w:rPr>
        <w:t xml:space="preserve"> members </w:t>
      </w:r>
      <w:r w:rsidR="00A802F9" w:rsidRPr="00796F65">
        <w:rPr>
          <w:rFonts w:ascii="Times New Roman" w:hAnsi="Times New Roman" w:cs="Times New Roman"/>
        </w:rPr>
        <w:t xml:space="preserve">of </w:t>
      </w:r>
      <w:r w:rsidR="006F0476" w:rsidRPr="00796F65">
        <w:rPr>
          <w:rFonts w:ascii="Times New Roman" w:hAnsi="Times New Roman" w:cs="Times New Roman"/>
        </w:rPr>
        <w:t xml:space="preserve">the </w:t>
      </w:r>
      <w:r w:rsidR="00E0750F" w:rsidRPr="00796F65">
        <w:rPr>
          <w:rFonts w:ascii="Times New Roman" w:hAnsi="Times New Roman" w:cs="Times New Roman"/>
        </w:rPr>
        <w:t xml:space="preserve">Children’s Oncology Group (COG; </w:t>
      </w:r>
      <w:r w:rsidR="00966E33" w:rsidRPr="00796F65">
        <w:rPr>
          <w:rFonts w:ascii="Times New Roman" w:hAnsi="Times New Roman" w:cs="Times New Roman"/>
        </w:rPr>
        <w:t>United States (</w:t>
      </w:r>
      <w:r w:rsidR="00E0750F" w:rsidRPr="00796F65">
        <w:rPr>
          <w:rFonts w:ascii="Times New Roman" w:hAnsi="Times New Roman" w:cs="Times New Roman"/>
        </w:rPr>
        <w:t>U.S</w:t>
      </w:r>
      <w:r w:rsidR="00966E33" w:rsidRPr="00796F65">
        <w:rPr>
          <w:rFonts w:ascii="Times New Roman" w:hAnsi="Times New Roman" w:cs="Times New Roman"/>
        </w:rPr>
        <w:t>.)</w:t>
      </w:r>
      <w:r w:rsidR="00D03744" w:rsidRPr="00796F65">
        <w:rPr>
          <w:rFonts w:ascii="Times New Roman" w:hAnsi="Times New Roman" w:cs="Times New Roman"/>
        </w:rPr>
        <w:t>, Canada and Australia</w:t>
      </w:r>
      <w:r w:rsidR="00E0750F" w:rsidRPr="00796F65">
        <w:rPr>
          <w:rFonts w:ascii="Times New Roman" w:hAnsi="Times New Roman" w:cs="Times New Roman"/>
        </w:rPr>
        <w:t xml:space="preserve">), Gynecologic Oncology Group (GOG; U.S.) and </w:t>
      </w:r>
      <w:r w:rsidR="004F7146" w:rsidRPr="00796F65">
        <w:rPr>
          <w:rFonts w:ascii="Times New Roman" w:hAnsi="Times New Roman" w:cs="Times New Roman"/>
        </w:rPr>
        <w:t xml:space="preserve">UKCCSG later renamed as </w:t>
      </w:r>
      <w:r w:rsidR="00E0750F" w:rsidRPr="00796F65">
        <w:rPr>
          <w:rFonts w:ascii="Times New Roman" w:hAnsi="Times New Roman" w:cs="Times New Roman"/>
        </w:rPr>
        <w:t>Children's Cancer and Leukaemia Group (CCLG; United Kingdom (U.K.)</w:t>
      </w:r>
      <w:r w:rsidR="004474E2" w:rsidRPr="00796F65">
        <w:rPr>
          <w:rFonts w:ascii="Times New Roman" w:hAnsi="Times New Roman" w:cs="Times New Roman"/>
        </w:rPr>
        <w:t>)</w:t>
      </w:r>
      <w:r w:rsidR="00E0750F" w:rsidRPr="00796F65">
        <w:rPr>
          <w:rFonts w:ascii="Times New Roman" w:hAnsi="Times New Roman" w:cs="Times New Roman"/>
        </w:rPr>
        <w:t xml:space="preserve">, </w:t>
      </w:r>
      <w:r w:rsidR="00DB1461" w:rsidRPr="00796F65">
        <w:rPr>
          <w:rFonts w:ascii="Times New Roman" w:hAnsi="Times New Roman" w:cs="Times New Roman"/>
        </w:rPr>
        <w:t>merged</w:t>
      </w:r>
      <w:r w:rsidR="00D74B0B" w:rsidRPr="00796F65">
        <w:rPr>
          <w:rFonts w:ascii="Times New Roman" w:hAnsi="Times New Roman" w:cs="Times New Roman"/>
        </w:rPr>
        <w:t xml:space="preserve"> 25 years of clinical trial data on pediatric</w:t>
      </w:r>
      <w:r w:rsidR="001D3E71" w:rsidRPr="00796F65">
        <w:rPr>
          <w:rFonts w:ascii="Times New Roman" w:hAnsi="Times New Roman" w:cs="Times New Roman"/>
        </w:rPr>
        <w:t xml:space="preserve">, adolescent and young adult (AYA) </w:t>
      </w:r>
      <w:r w:rsidR="008970F1" w:rsidRPr="00796F65">
        <w:rPr>
          <w:rFonts w:ascii="Times New Roman" w:hAnsi="Times New Roman" w:cs="Times New Roman"/>
        </w:rPr>
        <w:t>germ cell tumors (GCTs)</w:t>
      </w:r>
      <w:r w:rsidR="00D74B0B" w:rsidRPr="00796F65">
        <w:rPr>
          <w:rFonts w:ascii="Times New Roman" w:hAnsi="Times New Roman" w:cs="Times New Roman"/>
        </w:rPr>
        <w:t xml:space="preserve">. Although </w:t>
      </w:r>
      <w:r w:rsidR="004F2428" w:rsidRPr="00796F65">
        <w:rPr>
          <w:rFonts w:ascii="Times New Roman" w:hAnsi="Times New Roman" w:cs="Times New Roman"/>
        </w:rPr>
        <w:t xml:space="preserve">some trials </w:t>
      </w:r>
      <w:r w:rsidR="00D74B0B" w:rsidRPr="00796F65">
        <w:rPr>
          <w:rFonts w:ascii="Times New Roman" w:hAnsi="Times New Roman" w:cs="Times New Roman"/>
        </w:rPr>
        <w:t>use</w:t>
      </w:r>
      <w:r w:rsidR="00002192" w:rsidRPr="00796F65">
        <w:rPr>
          <w:rFonts w:ascii="Times New Roman" w:hAnsi="Times New Roman" w:cs="Times New Roman"/>
        </w:rPr>
        <w:t>d a cisplatin-based regimen</w:t>
      </w:r>
      <w:r w:rsidR="00513B8F" w:rsidRPr="00796F65">
        <w:rPr>
          <w:rFonts w:ascii="Times New Roman" w:hAnsi="Times New Roman" w:cs="Times New Roman"/>
        </w:rPr>
        <w:t>,</w:t>
      </w:r>
      <w:r w:rsidRPr="00796F65">
        <w:rPr>
          <w:rFonts w:ascii="Times New Roman" w:hAnsi="Times New Roman" w:cs="Times New Roman"/>
        </w:rPr>
        <w:t xml:space="preserve"> </w:t>
      </w:r>
      <w:r w:rsidR="00622131" w:rsidRPr="00796F65">
        <w:rPr>
          <w:rFonts w:ascii="Times New Roman" w:hAnsi="Times New Roman" w:cs="Times New Roman"/>
        </w:rPr>
        <w:t>and</w:t>
      </w:r>
      <w:r w:rsidR="00A802F9" w:rsidRPr="00796F65">
        <w:rPr>
          <w:rFonts w:ascii="Times New Roman" w:hAnsi="Times New Roman" w:cs="Times New Roman"/>
        </w:rPr>
        <w:t xml:space="preserve"> </w:t>
      </w:r>
      <w:r w:rsidRPr="00796F65">
        <w:rPr>
          <w:rFonts w:ascii="Times New Roman" w:hAnsi="Times New Roman" w:cs="Times New Roman"/>
        </w:rPr>
        <w:t xml:space="preserve">other </w:t>
      </w:r>
      <w:r w:rsidR="004F2428" w:rsidRPr="00796F65">
        <w:rPr>
          <w:rFonts w:ascii="Times New Roman" w:hAnsi="Times New Roman" w:cs="Times New Roman"/>
        </w:rPr>
        <w:t xml:space="preserve">trials </w:t>
      </w:r>
      <w:r w:rsidR="00D74B0B" w:rsidRPr="00796F65">
        <w:rPr>
          <w:rFonts w:ascii="Times New Roman" w:hAnsi="Times New Roman" w:cs="Times New Roman"/>
        </w:rPr>
        <w:t xml:space="preserve">used </w:t>
      </w:r>
      <w:r w:rsidR="00002192" w:rsidRPr="00796F65">
        <w:rPr>
          <w:rFonts w:ascii="Times New Roman" w:hAnsi="Times New Roman" w:cs="Times New Roman"/>
        </w:rPr>
        <w:t>a carboplatin-based regimen</w:t>
      </w:r>
      <w:r w:rsidR="00D74B0B" w:rsidRPr="00796F65">
        <w:rPr>
          <w:rFonts w:ascii="Times New Roman" w:hAnsi="Times New Roman" w:cs="Times New Roman"/>
        </w:rPr>
        <w:t xml:space="preserve">, the pooling of the clinical trial data was justified by a comparison of </w:t>
      </w:r>
      <w:r w:rsidR="0082029B" w:rsidRPr="00796F65">
        <w:rPr>
          <w:rFonts w:ascii="Times New Roman" w:hAnsi="Times New Roman" w:cs="Times New Roman"/>
        </w:rPr>
        <w:t xml:space="preserve">previously </w:t>
      </w:r>
      <w:r w:rsidR="00D74B0B" w:rsidRPr="00796F65">
        <w:rPr>
          <w:rFonts w:ascii="Times New Roman" w:hAnsi="Times New Roman" w:cs="Times New Roman"/>
        </w:rPr>
        <w:t>published results</w:t>
      </w:r>
      <w:r w:rsidR="00CE2A11" w:rsidRPr="00796F65">
        <w:rPr>
          <w:rFonts w:ascii="Times New Roman" w:hAnsi="Times New Roman" w:cs="Times New Roman"/>
          <w:vertAlign w:val="superscript"/>
        </w:rPr>
        <w:t xml:space="preserve"> </w:t>
      </w:r>
      <w:r w:rsidR="00D74B0B" w:rsidRPr="00796F65">
        <w:rPr>
          <w:rFonts w:ascii="Times New Roman" w:hAnsi="Times New Roman" w:cs="Times New Roman"/>
        </w:rPr>
        <w:t>that indicated similar outcomes</w:t>
      </w:r>
      <w:r w:rsidR="00B302CE" w:rsidRPr="00796F65">
        <w:rPr>
          <w:rFonts w:ascii="Times New Roman" w:hAnsi="Times New Roman" w:cs="Times New Roman"/>
        </w:rPr>
        <w:t>.</w:t>
      </w:r>
      <w:r w:rsidR="00EA0BF1" w:rsidRPr="007E6FC9">
        <w:rPr>
          <w:rFonts w:ascii="Times New Roman" w:hAnsi="Times New Roman" w:cs="Times New Roman"/>
          <w:vertAlign w:val="superscript"/>
        </w:rPr>
        <w:fldChar w:fldCharType="begin"/>
      </w:r>
      <w:r w:rsidR="001D179C" w:rsidRPr="007E6FC9">
        <w:rPr>
          <w:rFonts w:ascii="Times New Roman" w:hAnsi="Times New Roman" w:cs="Times New Roman"/>
          <w:vertAlign w:val="superscript"/>
        </w:rPr>
        <w:instrText xml:space="preserve"> ADDIN ZOTERO_ITEM CSL_CITATION {"citationID":"Uh3xsMUo","properties":{"formattedCitation":"[7\\uc0\\u8211{}17]","plainCitation":"[7–17]","noteIndex":0},"citationItems":[{"id":111,"uris":["http://zotero.org/users/608019/items/W5JVXH53"],"uri":["http://zotero.org/users/608019/items/W5JVXH53"],"itemData":{"id":111,"type":"article-journal","title":"Results of the United Kingdom Children's Cancer Study Group's malignant germ cell tumor studies","container-title":"Cancer","page":"1657-1667","volume":"63","issue":"9","source":"PubMed","abstract":"The United Kingdom Children's Cancer Study Group's malignant germ cell tumor studies were undertaken to establish standard protocols for investigating, staging, and treating children, and to study the efficacy of new drug combinations and the value of serial measurement of serum alphafetoprotein (AFP) and human chorionic gonadotrophin (HCG). Boys with Stage I testicular tumors were treated by orchidectomy alone, whereas, after appropriate surgery, chemotherapy was recommended for children with more advanced testicular tumors or with tumors at other sites. From 1979 to 1987, 126 children aged 0 to younger than 16 years with malignant germ cell tumors were registered. They were similar to patients in other large pediatric series with respect to sites of origin, age at presentation in relationship to primary site, histology, female predominance for sacrococcygeal site, and presence of associated malformations (present in 17%). Serum AFP was measured in 123 patients and was elevated in 115, whereas HCG was raised in 19 of 77. Monitoring by serial AFP measurement proved valuable in assessing response to therapy and in early detection of tumor recurrence. When treatment results were assessed in February 1988, 101 of 122 patients were alive (four who received nonprotocol chemotherapy were excluded). Forty-four patients had been cured by surgery alone (41 with testicular tumors, two with ovarian tumors, and one with sacrococcygeal tumor). All of the remaining 78 children received chemotherapy. The initial low dose vincristine, actinomycin, and cyclophosphamide (LDVAC) regimen proved ineffective, actuarial survival at 5 years followup being 8% (12 patients), and a regimen of cisplatin, vinblastine, and bleomycin (PVB) caused unacceptable toxicity, with actuarial survival at 5 years follow-up being 67% (nine patients). Five-year actuarial survival was 87% for 17 children given high dose VAC with or without doxorubicin and 84% for 33 given bleomycin, etoposide, and cisplatin (BEP). All 7 children given various combinations of these regimens survived. Excluding the 12 LDVAC cases, patient survival by site was as follows: testis (59 patients, 100%); vagina, uterus, and prostate (four patients, 100%); ovary (25 patients, 88%); thorax (five patients, 40%), and other (four patients, 67%). Similarly, patient survival by stage was Stage I (62,97%), Stage II (14,86%); Stage III (18,83%); and Stage IV (16,72%). Survival by histology was analysed only in cases for which histologic review had been done the LDVAC cases were excluded.(ABSTRACT TRUNCATED AT 400 WORDS)","ISSN":"0008-543X","note":"PMID: 2467734","journalAbbreviation":"Cancer","language":"eng","author":[{"family":"Mann","given":"J. R."},{"family":"Pearson","given":"D."},{"family":"Barrett","given":"A."},{"family":"Raafat","given":"F."},{"family":"Barnes","given":"J. M."},{"family":"Wallendszus","given":"K. R."}],"issued":{"date-parts":[["1989",5,1]]}}},{"id":92,"uris":["http://zotero.org/users/608019/items/PTXF39VH"],"uri":["http://zotero.org/users/608019/items/PTXF39VH"],"itemData":{"id":92,"type":"article-journal","title":"The United Kingdom Children's Cancer Study Group's second germ cell tumor study: carboplatin, etoposide, and bleomycin are effective treatment for children with malignant extracranial germ cell tumors, with acceptable toxicity","container-title":"Journal of Clinical Oncology: Official Journal of the American Society of Clinical Oncology","page":"3809-3818","volume":"18","issue":"22","source":"PubMed","abstract":"PURPOSE: To evaluate carboplatin, etoposide, and bleomycin (JEB) in children with malignant extracranial germ cell tumors (GCTs).\nPATIENTS AND METHODS: Malignant GCTs in children aged 0 to 16 years were excised without major morbidity or otherwise biopsied. Stage I testicular and some ovarian GCTs were resected and monitored with alpha-fetoprotein (AFP) (\"watch-and-wait\" approach). Patients with recurrent stage I disease and all other patients received JEB (etoposide 120 mg/m(2) on days 1 through 3, carboplatin 600 mg/m(2) on day 2, and bleomycin 15 mg/m(2) on day 3). Courses were administered every 3 to 4 weeks until remission, and then two more courses were given. Chemotherapy toxicities were assessed using World Health Organization or Brock grading.\nRESULTS: Between January 1989 and December 1997, 192 patients were registered. Eight were excluded because either there was no histologic diagnosis (n = 3) or chemotherapy was given off-study (n = 5). The remaining 184 patients had germinoma (n = 20), malignant teratoma (n = 55), embryonal carcinoma (n = 1), yolk sac tumor (n = 107), or choriocarcinoma (n = 1). Forty-seven patients were treated with surgery alone, and 137 patients received JEB. The 5-year survival rate in March 1999 for all 184 patients was 93.2% (95% confidence interval [CI], 87.9% to 96.3%); for the 137 JEB-treated patients, it was 90.9% (95% CI, 83.9% to 95.0%), with an event-free survival rate of 87.8% (95% CI, 81.1% to 92.4%). The median follow-up after JEB treatment was 53 months (range, 0 to 109 months); the median number of courses was five (range, three to eight). Site, stage, and AFP level had prognostic significance. Nonfatal hematologic toxicity was common, but deafness and pulmonary and renal toxicities were rare. One child died of a thoracic tumor and bronchopulmonary dysplasia, and another died of acute myeloid leukemia.\nCONCLUSION: Conservative surgery, a watch-and-wait approach after complete excision, and JEB for those requiring chemotherapy produced high cure rates and few serious complications.","ISSN":"0732-183X","note":"PMID: 11078494","shortTitle":"The United Kingdom Children's Cancer Study Group's second germ cell tumor study","journalAbbreviation":"J. Clin. Oncol.","language":"eng","author":[{"family":"Mann","given":"J. R."},{"family":"Raafat","given":"F."},{"family":"Robinson","given":"K."},{"family":"Imeson","given":"J."},{"family":"Gornall","given":"P."},{"family":"Sokal","given":"M."},{"family":"Gray","given":"E."},{"family":"McKeever","given":"P."},{"family":"Hale","given":"J."},{"family":"Bailey","given":"S."},{"family":"Oakhill","given":"A."}],"issued":{"date-parts":[["2000",11,15]]}}},{"id":36,"uris":["http://zotero.org/users/608019/items/BT6ZNJBE"],"uri":["http://zotero.org/users/608019/items/BT6ZNJBE"],"itemData":{"id":36,"type":"article-journal","title":"Chemotherapy of advanced dysgerminoma: trials of the Gynecologic Oncology Group.","container-title":"Journal of Clinical Oncology","page":"1950-1955","volume":"9","issue":"11","source":"jco.ascopubs.org","abstract":"Between 1984 and 1989, 20 assessable patients with incompletely resected ovarian dysgerminoma were treated on two protocols of the Gynecologic Oncology Group (GOG). All patients received cisplatin, bleomycin, and either vinblastine or etoposide. More recent patients also received consolidation chemotherapy with vincristine, dactinomycin, and cyclophosphamide (VAC). Eleven patients had clinically measurable disease, and 10 responded completely. Fourteen second-look procedures were done, and all were negative. Currently, 19 of 20 patients are disease-free with median follow-up of 26 months. Cisplatin-based chemotherapy is highly effective in patients with advanced dysgerminoma.","ISSN":"0732-183X, 1527-7755","note":"PMID: 1719142","shortTitle":"Chemotherapy of advanced dysgerminoma","journalAbbreviation":"JCO","language":"en","author":[{"family":"Williams","given":"S. D."},{"family":"Blessing","given":"J. A."},{"family":"Hatch","given":"K. D."},{"family":"Homesley","given":"H. D."}],"issued":{"date-parts":[["1991",11,1]]}}},{"id":115,"uris":["http://zotero.org/users/608019/items/WCBWFM3K"],"uri":["http://zotero.org/users/608019/items/WCBWFM3K"],"itemData":{"id":115,"type":"article-journal","title":"Adjuvant therapy of ovarian germ cell tumors with cisplatin, etoposide, and bleomycin: a trial of the Gynecologic Oncology Group","container-title":"Journal of Clinical Oncology: Official Journal of the American Society of Clinical Oncology","page":"701-706","volume":"12","issue":"4","source":"PubMed","abstract":"PURPOSE: This study was performed to determine the effectiveness of postoperative adjuvant chemotherapy in patients with surgically resected ovarian germ cell tumors.\nPATIENTS AND METHODS: After tumor removal and thorough surgical staging, patients were enrolled on this study and treated with three courses of cisplatin, etoposide, and bleomycin (BEP). Reassessment laparotomy was required of consenting, appropriate patients initially, but became an optional procedure in 1989.\nRESULTS: Of 93 patients assessable on this trial, 89 are continuously free of germ cell cancer. At second-look laparotomy, two other patients were found to have small foci of immature teratoma; both remain clinically free of recurrence. One received subsequent alternate chemotherapy and one did not. Thus, 91 of 93 patients are currently free of germ cell cancer. Follow-up duration ranges from 4.0 to 90.3 months, with 67 patients monitored for longer than 2 years. Acute toxicity was moderate. One patient developed acute myelomonocytic leukemia 22 months after diagnosis. Another patient was noted to have a malignant lymphoma 69 months after protocol treatment.\nCONCLUSION: Three courses of BEP will nearly always prevent recurrence in well-staged patients with completely resected ovarian germ cell tumors and should be given to all such patients. The development of acute leukemia as a complication of treatment is disturbing and mandates careful long-term follow-up, but is unusual and does not alter the risk-to-benefit ratio of treatment.","ISSN":"0732-183X","note":"PMID: 7512129","shortTitle":"Adjuvant therapy of ovarian germ cell tumors with cisplatin, etoposide, and bleomycin","journalAbbreviation":"J. Clin. Oncol.","language":"eng","author":[{"family":"Williams","given":"S."},{"family":"Blessing","given":"J. A."},{"family":"Liao","given":"S. Y."},{"family":"Ball","given":"H."},{"family":"Hanjani","given":"P."}],"issued":{"date-parts":[["1994",4]]}}},{"id":125,"uris":["http://zotero.org/users/608019/items/X7TI79ZQ"],"uri":["http://zotero.org/users/608019/items/X7TI79ZQ"],"itemData":{"id":125,"type":"article-journal","title":"Adjuvant therapy of completely resected dysgerminoma with carboplatin and etoposide: a trial of the Gynecologic Oncology Group","container-title":"Gynecologic Oncology","page":"496-499","volume":"95","issue":"3","source":"PubMed","abstract":"OBJECTIVE: This study was designed to evaluate the effect of adjuvant chemotherapy with carboplatin and etoposide in patients with completely resected stage IB-III dysgerminoma.\nMETHODS: Eligible patients were treated with three courses of carboplatin 400 mg/m(2) on day 1 plus etoposide 120 mg/m(2) on days 1, 2, and 3 every 4 weeks for three courses.\nRESULTS: Forty-two patients were entered on this trial, of whom 39 were eligible. No patient suffered a recurrence of dysgerminoma, but one patient ultimately died of lung adenocarcinoma. One patient was excluded on pathology review (elements of endodermal sinus tumor were present) developed recurrent tumor and died despite further therapy. As expected, the regimen was well tolerated. Median follow-up of surviving patients is 7.8 years (range: 2.86 months to 10.92 years).\nCONCLUSION: The regimen used in this study is an alternative to cisplatin, etoposide, and bleomycin (BEP) for selected patients for whom minimizing toxicity (particularly neuropathy) is critical or for whom reduction in the number of treatment days is important.","DOI":"10.1016/j.ygyno.2004.07.044","ISSN":"0090-8258","note":"PMID: 15581952","shortTitle":"Adjuvant therapy of completely resected dysgerminoma with carboplatin and etoposide","journalAbbreviation":"Gynecol. Oncol.","language":"eng","author":[{"family":"Williams","given":"Stephen D."},{"family":"Kauderer","given":"James"},{"family":"Burnett","given":"Alexander F."},{"family":"Lentz","given":"Samuel S."},{"family":"Aghajanian","given":"Carol"},{"family":"Armstrong","given":"Deborah K."}],"issued":{"date-parts":[["2004",12]]}}},{"id":53,"uris":["http://zotero.org/users/608019/items/GKHMP5FX"],"uri":["http://zotero.org/users/608019/items/GKHMP5FX"],"itemData":{"id":53,"type":"article-journal","title":"Treatment of children and adolescents with stage II testicular and stages I and II ovarian malignant germ cell tumors: A Pediatric Intergroup Study--Pediatric Oncology Group 9048 and Children's Cancer Group 8891","container-title":"Journal of Clinical Oncology: Official Journal of the American Society of Clinical Oncology","page":"3563-3569","volume":"22","issue":"17","source":"PubMed","abstract":"PURPOSE: To determine whether children with localized gonadal malignant germ cell tumors (MGCT) stage II testicular and stages I and II ovarian treated with four cycles of standard-dose cisplatin combined with etoposide and low-dose bleomycin (PEB) have an event-free survival (EFS) of at least 85% without significant toxicity.\nPATIENTS AND METHODS: Between May 1990 and July 1995, eligible pediatric patients with stage II or recurrent from stage I (as a stage II) testicular MGCT and stages I and II ovarian MGCT were enrolled onto this Pediatric Oncology Group and Children's Cancer Group study. PEB chemotherapy consisted of bleomycin 15 U/m2 on day 1, cisplatin 20 mg/m2/d on days 1 to 5, and etoposide 100 mg/m2/d on days 1 to 5. Patients received four cycles of therapy at 21-day intervals.\nRESULTS: Seventy-four patients with a median age of 10.5 years (range, 8.7 months to 16.7 years) were enrolled. Primary sites included: stage II testicular (n = 17), stage I ovarian (n = 41), and stage II ovarian MGCT (n = 16). Treatment with standard PEB resulted in 6-year EFS of 95% and overall survival (OS) of 95.7%. EFS and OS by primary site were as follows: stage II testicular, 100% and 100%; stage I ovarian, 95.1% and 95.1%; and stage II ovarian, 87.5% and 93.8%, respectively. Two patients died from recurrent disease, and one patient died of secondary acute myelocytic leukemia. Infrequent grade 3 to 4 hematologic toxicity was reported. No grade 3 to 4 renal, pulmonary, or ototoxicity was observed.\nCONCLUSION: Combination chemotherapy with PEB results in excellent EFS and OS with minimal toxicity in children and adolescents with localized gonadal MGCT.","DOI":"10.1200/JCO.2004.01.006","ISSN":"0732-183X","note":"PMID: 15337806","shortTitle":"Treatment of children and adolescents with stage II testicular and stages I and II ovarian malignant germ cell tumors","journalAbbreviation":"J. Clin. Oncol.","language":"eng","author":[{"family":"Rogers","given":"Paul C."},{"family":"Olson","given":"Thomas A."},{"family":"Cullen","given":"John W."},{"family":"Billmire","given":"Deborah F."},{"family":"Marina","given":"Neyssa"},{"family":"Rescorla","given":"Frederick"},{"family":"Davis","given":"Mary M."},{"family":"London","given":"Wendy B."},{"family":"Lauer","given":"Stephen J."},{"family":"Giller","given":"Roger H."},{"family":"Cushing","given":"Barbara"},{"literal":"Pediatric Oncology Group 9048"},{"literal":"Children's Cancer Group 8891"}],"issued":{"date-parts":[["2004",9,1]]}}},{"id":14,"uris":["http://zotero.org/users/608019/items/3VJWN343"],"uri":["http://zotero.org/users/608019/items/3VJWN343"],"itemData":{"id":14,"type":"article-journal","title":"Randomized comparison of combination chemotherapy with etoposide, bleomycin, and either high-dose or standard-dose cisplatin in children and adolescents with high-risk malignant germ cell tumors: a pediatric intergroup study--Pediatric Oncology Group 9049 and Children's Cancer Group 8882","container-title":"Journal of Clinical Oncology: Official Journal of the American Society of Clinical Oncology","page":"2691-2700","volume":"22","issue":"13","source":"PubMed","abstract":"PURPOSE: To determine in a randomized comparison whether combination chemotherapy with high-dose cisplatin (HDPEB) improves the event-free (EFS) and overall (OS) survival of children and adolescents with high-risk malignant germ cell tumors (MGCT) as compared with standard-dose cisplatin (PEB) and to compare the regimens' toxicity.\nPATIENTS AND METHODS: Between March 1990 and February 1996, 299 eligible patients with stage III and IV gonadal and extragonadal (all stages) MGCT were enrolled onto this Pediatric Oncology Group and Children's Cancer Group study. Chemotherapy included bleomycin 15 units/m(2) on day 1, etoposide 100 mg/m(2) on days 1 through 5, and either high-dose cisplatin 40 mg/m(2) on days 1 through 5 (HDPEB; n = 149) or standard-dose cisplatin 20 mg/m(2) on days 1 through 5 (PEB; n = 150). Patients were evaluated after four cycles of therapy, and those with residual disease underwent surgery. Those with malignant disease in resected specimen received two additional cycles of their assigned regimen.\nRESULTS: One hundred thirty-four eligible patients with advanced testicular (n = 60) or ovarian (n = 74) tumors and 165 with stage I to IV extragonadal tumors were enrolled. HDPEB treatment resulted in significantly improved 6-year EFS rate +/- SE (89.6% +/- 3.6% v 80.5% +/- 4.8% for PEB; P =.0284). There was no significant difference in OS (HDPEB 91.7% +/- 3.3% v PEB 86.0% +/- 4.1%). Tumor-related deaths were more common after PEB (14 deaths v two deaths). Toxic deaths were more common with HDPEB (six deaths v one death). Other treatment-related toxicities were more common with HDPEB.\nCONCLUSION: Combination chemotherapy with HDPEB significantly improves EFS for children with high-risk MGCT. The OS is similar in both regimens, and the significant toxicity associated with HDPEB limits its use.","DOI":"10.1200/JCO.2004.08.015","ISSN":"0732-183X","note":"PMID: 15226336","shortTitle":"Randomized comparison of combination chemotherapy with etoposide, bleomycin, and either high-dose or standard-dose cisplatin in children and adolescents with high-risk malignant germ cell tumors","journalAbbreviation":"J. Clin. Oncol.","language":"eng","author":[{"family":"Cushing","given":"Barbara"},{"family":"Giller","given":"Roger"},{"family":"Cullen","given":"John W."},{"family":"Marina","given":"Neyssa M."},{"family":"Lauer","given":"Stephen J."},{"family":"Olson","given":"Thomas A."},{"family":"Rogers","given":"Paul C."},{"family":"Colombani","given":"Paul"},{"family":"Rescorla","given":"Frederick"},{"family":"Billmire","given":"Deborah F."},{"family":"Vinocur","given":"Charles D."},{"family":"Hawkins","given":"Edith P."},{"family":"Davis","given":"Mary Margaret"},{"family":"Perlman","given":"Elizabeth J."},{"family":"London","given":"Wendy B."},{"family":"Castleberry","given":"Robert P."},{"literal":"Pediatric Oncology Group 9049"},{"literal":"Children's Cancer Group 8882"}],"issued":{"date-parts":[["2004",7,1]]}}},{"id":62,"uris":["http://zotero.org/users/608019/items/IH3P3ZID"],"uri":["http://zotero.org/users/608019/items/IH3P3ZID"],"itemData":{"id":62,"type":"article-journal","title":"Amifostine does not protect against the ototoxicity of high-dose cisplatin combined with etoposide and bleomycin in pediatric germ-cell tumors: a Children's Oncology Group study","container-title":"Cancer","page":"841-847","volume":"104","issue":"4","source":"PubMed","abstract":"BACKGROUND: High-dose cisplatin combined with etoposide and bleomycin (HDPEB) improves event-free survival (EFS) in advanced pediatric germ-cell tumors (PGCT), but has significant ototoxicity. Amifostine appears to protect against toxicity. The authors combined amifostine with HDPEB and evaluated the efficacy and toxicity, specifically whether ototoxicity decreased.\nMETHODS: Eligibility criteria included age &lt; 15 years and unresectable Stage III/IV extracranial, extragonadal PGCT. Patients received bleomycin 15 IU/m(2) on Day 1, then etoposide 100 mg/m(2) per day, amifostine 825 mg/m(2) per day, and cisplatin 40 mg/m(2)per day on Days 1-5, intravenously. The cycles were repeated every 3-4 weeks with imaging evaluation after 4 cycles. Patients with residual radiographic abnormalities underwent resection. Patients with residual tumor received two additional HDPEB cycles. Hearing evaluations were required at diagnosis and after two and four cycles. Audiologic results were reviewed and compared with historical controls treated with HDPEB.\nRESULTS: Twenty-five eligible patients were enrolled between April 2000 and April 2002. Their median age was 1.6 years (range, 0.64-13.9 years), 17 patients were female, 11 had metastases, and 24 had a yolk sac carcinoma component histologically. Primary sites included sacrococcygeal area/pelvis (n = 15), vagina (n = 5), and other (n = 5). Two-year EFS and overall survival were 83.5% +/- 12.8% and 85.6% +/- 12.3%, respectively. Eight patients were removed from the study (four had progressive disease/disease recurrence and four had ototoxicity). Grade 3/4 toxicities included neutropenia (n = 20), thrombocytopenia (n = 14), electrolyte imbalances (n = 14), and gastrointestinal toxicity (n = 12). Twenty-four of 25 patients received hearing evaluations, and 75% had significant hearing loss.\nCONCLUSIONS: Amifostine did not protect against HDPEB-associated ototoxicity.","DOI":"10.1002/cncr.21218","ISSN":"0008-543X","note":"PMID: 15999362","shortTitle":"Amifostine does not protect against the ototoxicity of high-dose cisplatin combined with etoposide and bleomycin in pediatric germ-cell tumors","journalAbbreviation":"Cancer","language":"eng","author":[{"family":"Marina","given":"Neyssa"},{"family":"Chang","given":"Kay W."},{"family":"Malogolowkin","given":"Marcio"},{"family":"London","given":"Wendy B."},{"family":"Frazier","given":"A. Lindsay"},{"family":"Womer","given":"Richard B."},{"family":"Rescorla","given":"Frederick"},{"family":"Billmire","given":"Deborah F."},{"family":"Davis","given":"Mary M."},{"family":"Perlman","given":"Elizabeth J."},{"family":"Giller","given":"Roger"},{"family":"Lauer","given":"Stephen J."},{"family":"Olson","given":"Thomas A."},{"literal":"Children's Oncology Group"}],"issued":{"date-parts":[["2005",8,15]]}}},{"id":29,"uris":["http://zotero.org/users/608019/items/8WCCF5TR"],"uri":["http://zotero.org/users/608019/items/8WCCF5TR"],"itemData":{"id":29,"type":"article-journal","title":"Prognostic factors in children with extragonadal malignant germ cell tumors: a pediatric intergroup study","container-title":"Journal of Clinical Oncology: Official Journal of the American Society of Clinical Oncology","page":"2544-2548","volume":"24","issue":"16","source":"PubMed","abstract":"PURPOSE: To investigate prognostic factors for pediatric extragonadal malignant germ cell tumors (PEMGCT).\nMATERIALS AND METHODS: Between 1990 and 1996, patients with stage I through IV PEMGCT were eligible for a trial of cisplatin dose intensity. We retrospectively investigated prognostic factors for PEMGCT, including age, stage, primary site, treatment, and elevated alfa fetoprotein by univariate and multivariate analysis.\nRESULTS: The 165 patients had a median age of 1.9 years (range, 3 days to 18.5 years); 109 were female; and 99 had alfa fetoprotein &gt; or = 10,000. There were 30 stage I/II, 61 stage III, and 74 stage IV tumors; primary sites included 88 sacrococcygeal, 39 thoracic, and 38 others. The 5-year overall survival (OS) and event-free survival (EFS) rates with standard deviations were 83.4% +/- 3.7% and 79.0% +/- 4.1%, respectively. Univariate analysis identified age &gt; or = 12 years as a highly significant prognostic factor for EFS (5-year EFS, 48.9% +/- 15.6% v 84.1% +/- 3.9%; P &lt; .0001) and for OS (5-year OS, 53.7% +/- 14.9% v 88.5% +/- 3.4%; P &lt; .0001), whereas treatment was of borderline significance (P = .0777). Multivariate Cox proportional hazards regression identified only age &gt; or = 12 years as a significant prognostic factor for EFS (P = .0002). In multivariate Cox regression for OS, the combination of age and primary site was highly significant (P &lt; .0001). Patients &gt; or = 12 years of age with thoracic tumors had six times the risk of death compared with patients younger than 12 years with other primaries.\nCONCLUSION: Age is the most predictive factor of EFS in PEMGCT. There is a significant interaction between age and primary site, suggesting that patients &gt; or = 12 years of age with thoracic tumors are a biologically distinct group.","DOI":"10.1200/JCO.2005.04.1251","ISSN":"1527-7755","note":"PMID: 16735707","shortTitle":"Prognostic factors in children with extragonadal malignant germ cell tumors","journalAbbreviation":"J. Clin. Oncol.","language":"eng","author":[{"family":"Marina","given":"Neyssa"},{"family":"London","given":"Wendy B."},{"family":"Frazier","given":"A. Lindsay"},{"family":"Lauer","given":"Stephen"},{"family":"Rescorla","given":"Frederick"},{"family":"Cushing","given":"Barbara"},{"family":"Malogolowkin","given":"Marcio H."},{"family":"Castleberry","given":"Robert P."},{"family":"Womer","given":"Richard B."},{"family":"Olson","given":"Thomas"}],"issued":{"date-parts":[["2006",6,1]]}}},{"id":16,"uris":["http://zotero.org/users/608019/items/4DPNW7B8"],"uri":["http://zotero.org/users/608019/items/4DPNW7B8"],"itemData":{"id":16,"type":"article-journal","title":"Pilot Study of Cisplatin, Etoposide, Bleomycin, and Escalating Dose Cyclophosphamide Therapy for Children With High Risk Germ Cell Tumors: A Report of the Children’s Oncology Group (COG)","container-title":"Pediatric blood &amp; cancer","page":"1602-1605","volume":"60","issue":"10","source":"PubMed Central","abstract":"Background\nTo establish the maximum tolerated dose (MTD) and toxicity profile of cyclophosphamide with cisplatin, etoposide, and bleomycin (C-PEB) in children with high-risk malignant germ cell tumors (HR-MGCT).\n\nProcedure\nEligibility criteria included untreated patients ≤ 21 years of age with stage III/IV extragonadal, extra cranial MGCT. Patients received four cycles (repeated every 3 weeks) of cisplatin (20 mg/m2/day × 5 days), etoposide (100 mg/m2/day × 5 days), and bleomycin (15 mg/m2 on Day 1) with escalating doses of cyclophosphamide on Day 1, assigned at the time of enrollment (1.2, 1.8, or 2.4 g/m2). Patients with complete response had therapy discontinued. Patients with residual disease underwent second-look surgery, those with pathologic evidence of residual MGCT or whose markers had not normalized received two more cycles. All other patients had protocol therapy stopped.\n\nResults\nNineteen patients were enrolled between July 2004 and August 2007. Three patients were non-evaluable. Sixteen patients completed four cycles. Eleven had complete response, one had progressive disease and four had partial response. All four with partial response underwent second look surgery followed by two more cycles. Only one patient, on dose 1.8 g/m2, experienced dose-limiting toxicity (DLT) during the first cycle of therapy (grade 3 hyperglycemia). The 4-year EFS and OS (± standard deviation) were 74 ± 7% and 89 ± 10%, respectively.\n\nConclusion\nThe addition of cyclophosphamide to the standard PEB regimen (cisplatin, etoposide, and bleomycin) is feasible and well-tolerated at all dose levels used on this study.","DOI":"10.1002/pbc.24601","ISSN":"1545-5009","note":"PMID: 23703725\nPMCID: PMC4303038","shortTitle":"Pilot Study of Cisplatin, Etoposide, Bleomycin, and Escalating Dose Cyclophosphamide Therapy for Children With High Risk Germ Cell Tumors","journalAbbreviation":"Pediatr Blood Cancer","author":[{"family":"Malogolowkin","given":"Marcio H."},{"family":"Krailo","given":"Mark"},{"family":"Marina","given":"Neyssa"},{"family":"Olson","given":"Thomas"},{"family":"Frazier","given":"A. Lindsay"}],"issued":{"date-parts":[["2013",10]]}}},{"id":10,"uris":["http://zotero.org/users/608019/items/374HIWWJ"],"uri":["http://zotero.org/users/608019/items/374HIWWJ"],"itemData":{"id":10,"type":"article-journal","title":"Surveillance after initial surgery for pediatric and adolescent girls with stage I ovarian germ cell tumors: report from the Children's Oncology Group","container-title":"Journal of Clinical Oncology: Official Journal of the American Society of Clinical Oncology","page":"465-470","volume":"32","issue":"5","source":"PubMed","abstract":"PURPOSE: To determine whether overall survival (OS) can be preserved for patients with stage I pediatric malignant ovarian germ cell tumor (MOGCT) with an initial strategy of surveillance after surgical resection.\nPATIENTS AND METHODS: Between November 2003 and July 2011, girls age 0 to 16 years with stage I MOGCT were enrolled onto Children's Oncology Group study AGCT0132. Required histology included yolk sac, embryonal carcinoma, or choriocarcinoma. Surveillance included measurement of serum tumor markers and radiologic imaging at defined intervals. In those with residual or recurrent disease, chemotherapy with compressed PEB (cisplatin, etoposide, and bleomycin) was initiated every 3 weeks for three cycles (cisplatin 33 mg/m(2) on days 1 to 3, etoposide 167 mg/m(2) on days 1 to 3, bleomycin 15 U/m(2) on day 1). Survivor functions for event-free survival (EFS) and OS were estimated using the Kaplan-Meier method.\nRESULTS: Twenty-five girls (median age, 12 years) with stage I MOGCT were enrolled onto AGCT0132. Twenty-three patients had elevated alpha-fetoprotein (AFP) at diagnosis. Predominant histology was yolk sac. After a median follow-up of 42 months, 12 patients had evidence of persistent or recurrent disease (4-year EFS, 52%; 95% CI, 31% to 69%). Median time to recurrence was 2 months. All patients had elevated AFP at recurrence; six had localized disease, two had metastatic disease, and four had tumor marker elevation only. Eleven of 12 patients experiencing relapse received successful salvage chemotherapy (4-year OS, 96%; 95% CI, 74% to 99%).\nCONCLUSION: Fifty percent of patients with stage I pediatric MOGCT can be spared chemotherapy; treatment for those who experience recurrence preserves OS. Further study is needed to identify the factors that predict recurrence and whether this strategy can be extended successfully to older adolescents and young adults.","DOI":"10.1200/JCO.2013.51.1006","ISSN":"1527-7755","note":"PMID: 24395845","shortTitle":"Surveillance after initial surgery for pediatric and adolescent girls with stage I ovarian germ cell tumors","journalAbbreviation":"J. Clin. Oncol.","language":"eng","author":[{"family":"Billmire","given":"Deborah F."},{"family":"Cullen","given":"John W."},{"family":"Rescorla","given":"Frederick J."},{"family":"Davis","given":"Mary"},{"family":"Schlatter","given":"Marc G."},{"family":"Olson","given":"Thomas A."},{"family":"Malogolowkin","given":"Marcio H."},{"family":"Pashankar","given":"Farzana"},{"family":"Villaluna","given":"Doojduen"},{"family":"Krailo","given":"Mark"},{"family":"Egler","given":"Rachel A."},{"family":"Rodriguez-Galindo","given":"Carlos"},{"family":"Frazier","given":"A. Lindsay"}],"issued":{"date-parts":[["2014",2,10]]}}}],"schema":"https://github.com/citation-style-language/schema/raw/master/csl-citation.json"} </w:instrText>
      </w:r>
      <w:r w:rsidR="00EA0BF1" w:rsidRPr="007E6FC9">
        <w:rPr>
          <w:rFonts w:ascii="Times New Roman" w:hAnsi="Times New Roman" w:cs="Times New Roman"/>
          <w:vertAlign w:val="superscript"/>
        </w:rPr>
        <w:fldChar w:fldCharType="separate"/>
      </w:r>
      <w:r w:rsidR="001D179C" w:rsidRPr="007E6FC9">
        <w:rPr>
          <w:rFonts w:ascii="Times New Roman" w:hAnsi="Times New Roman" w:cs="Times New Roman"/>
          <w:vertAlign w:val="superscript"/>
        </w:rPr>
        <w:t>[7–17]</w:t>
      </w:r>
      <w:r w:rsidR="00EA0BF1" w:rsidRPr="007E6FC9">
        <w:rPr>
          <w:rFonts w:ascii="Times New Roman" w:hAnsi="Times New Roman" w:cs="Times New Roman"/>
          <w:vertAlign w:val="superscript"/>
        </w:rPr>
        <w:fldChar w:fldCharType="end"/>
      </w:r>
      <w:r w:rsidR="00B302CE" w:rsidRPr="00796F65">
        <w:rPr>
          <w:rFonts w:ascii="Times New Roman" w:hAnsi="Times New Roman" w:cs="Times New Roman"/>
        </w:rPr>
        <w:t xml:space="preserve"> </w:t>
      </w:r>
      <w:r w:rsidR="001B0FAE" w:rsidRPr="00796F65">
        <w:rPr>
          <w:rFonts w:ascii="Times New Roman" w:hAnsi="Times New Roman" w:cs="Times New Roman"/>
        </w:rPr>
        <w:t xml:space="preserve">We </w:t>
      </w:r>
      <w:r w:rsidR="001B0FAE" w:rsidRPr="00796F65">
        <w:rPr>
          <w:rFonts w:ascii="Times New Roman" w:hAnsi="Times New Roman" w:cs="Times New Roman"/>
        </w:rPr>
        <w:lastRenderedPageBreak/>
        <w:t>conducted an</w:t>
      </w:r>
      <w:r w:rsidR="00CE2A11" w:rsidRPr="00796F65">
        <w:rPr>
          <w:rFonts w:ascii="Times New Roman" w:hAnsi="Times New Roman" w:cs="Times New Roman"/>
        </w:rPr>
        <w:t xml:space="preserve"> analysis</w:t>
      </w:r>
      <w:r w:rsidR="003955E9" w:rsidRPr="00796F65">
        <w:rPr>
          <w:rFonts w:ascii="Times New Roman" w:hAnsi="Times New Roman" w:cs="Times New Roman"/>
        </w:rPr>
        <w:t xml:space="preserve"> of the </w:t>
      </w:r>
      <w:r w:rsidR="00346DEC" w:rsidRPr="00796F65">
        <w:rPr>
          <w:rFonts w:ascii="Times New Roman" w:hAnsi="Times New Roman" w:cs="Times New Roman"/>
        </w:rPr>
        <w:t xml:space="preserve">MaGIC </w:t>
      </w:r>
      <w:r w:rsidR="003955E9" w:rsidRPr="00796F65">
        <w:rPr>
          <w:rFonts w:ascii="Times New Roman" w:hAnsi="Times New Roman" w:cs="Times New Roman"/>
        </w:rPr>
        <w:t>data</w:t>
      </w:r>
      <w:r w:rsidR="00712CB5" w:rsidRPr="00796F65">
        <w:rPr>
          <w:rFonts w:ascii="Times New Roman" w:hAnsi="Times New Roman" w:cs="Times New Roman"/>
        </w:rPr>
        <w:t>base</w:t>
      </w:r>
      <w:r w:rsidR="003955E9" w:rsidRPr="00796F65">
        <w:rPr>
          <w:rFonts w:ascii="Times New Roman" w:hAnsi="Times New Roman" w:cs="Times New Roman"/>
        </w:rPr>
        <w:t xml:space="preserve"> </w:t>
      </w:r>
      <w:r w:rsidR="00DB7317" w:rsidRPr="00796F65">
        <w:rPr>
          <w:rFonts w:ascii="Times New Roman" w:hAnsi="Times New Roman" w:cs="Times New Roman"/>
        </w:rPr>
        <w:t>to assess whether</w:t>
      </w:r>
      <w:r w:rsidRPr="00796F65">
        <w:rPr>
          <w:rFonts w:ascii="Times New Roman" w:hAnsi="Times New Roman" w:cs="Times New Roman"/>
        </w:rPr>
        <w:t xml:space="preserve"> a difference in outc</w:t>
      </w:r>
      <w:r w:rsidR="0045721F" w:rsidRPr="00796F65">
        <w:rPr>
          <w:rFonts w:ascii="Times New Roman" w:hAnsi="Times New Roman" w:cs="Times New Roman"/>
        </w:rPr>
        <w:t xml:space="preserve">omes could be detected </w:t>
      </w:r>
      <w:r w:rsidR="00D03744" w:rsidRPr="00796F65">
        <w:rPr>
          <w:rFonts w:ascii="Times New Roman" w:hAnsi="Times New Roman" w:cs="Times New Roman"/>
        </w:rPr>
        <w:t>between</w:t>
      </w:r>
      <w:r w:rsidR="0045721F" w:rsidRPr="00796F65">
        <w:rPr>
          <w:rFonts w:ascii="Times New Roman" w:hAnsi="Times New Roman" w:cs="Times New Roman"/>
        </w:rPr>
        <w:t xml:space="preserve"> </w:t>
      </w:r>
      <w:r w:rsidRPr="00796F65">
        <w:rPr>
          <w:rFonts w:ascii="Times New Roman" w:hAnsi="Times New Roman" w:cs="Times New Roman"/>
        </w:rPr>
        <w:t xml:space="preserve">patients treated with </w:t>
      </w:r>
      <w:r w:rsidR="00240825" w:rsidRPr="00796F65">
        <w:rPr>
          <w:rFonts w:ascii="Times New Roman" w:hAnsi="Times New Roman" w:cs="Times New Roman"/>
        </w:rPr>
        <w:t>cisplatin</w:t>
      </w:r>
      <w:r w:rsidR="008530C9" w:rsidRPr="00796F65">
        <w:rPr>
          <w:rFonts w:ascii="Times New Roman" w:hAnsi="Times New Roman" w:cs="Times New Roman"/>
        </w:rPr>
        <w:t>-based</w:t>
      </w:r>
      <w:r w:rsidRPr="00796F65">
        <w:rPr>
          <w:rFonts w:ascii="Times New Roman" w:hAnsi="Times New Roman" w:cs="Times New Roman"/>
        </w:rPr>
        <w:t xml:space="preserve"> </w:t>
      </w:r>
      <w:r w:rsidR="001404B4">
        <w:rPr>
          <w:rFonts w:ascii="Times New Roman" w:hAnsi="Times New Roman" w:cs="Times New Roman"/>
        </w:rPr>
        <w:t>versus (</w:t>
      </w:r>
      <w:r w:rsidR="00D03744" w:rsidRPr="00796F65">
        <w:rPr>
          <w:rFonts w:ascii="Times New Roman" w:hAnsi="Times New Roman" w:cs="Times New Roman"/>
        </w:rPr>
        <w:t>vs.</w:t>
      </w:r>
      <w:r w:rsidR="001404B4">
        <w:rPr>
          <w:rFonts w:ascii="Times New Roman" w:hAnsi="Times New Roman" w:cs="Times New Roman"/>
        </w:rPr>
        <w:t>)</w:t>
      </w:r>
      <w:r w:rsidRPr="00796F65">
        <w:rPr>
          <w:rFonts w:ascii="Times New Roman" w:hAnsi="Times New Roman" w:cs="Times New Roman"/>
        </w:rPr>
        <w:t xml:space="preserve"> </w:t>
      </w:r>
      <w:r w:rsidR="00240825" w:rsidRPr="00796F65">
        <w:rPr>
          <w:rFonts w:ascii="Times New Roman" w:hAnsi="Times New Roman" w:cs="Times New Roman"/>
        </w:rPr>
        <w:t>carboplatin</w:t>
      </w:r>
      <w:r w:rsidR="008530C9" w:rsidRPr="00796F65">
        <w:rPr>
          <w:rFonts w:ascii="Times New Roman" w:hAnsi="Times New Roman" w:cs="Times New Roman"/>
        </w:rPr>
        <w:t>-based regimens</w:t>
      </w:r>
      <w:r w:rsidRPr="00796F65">
        <w:rPr>
          <w:rFonts w:ascii="Times New Roman" w:hAnsi="Times New Roman" w:cs="Times New Roman"/>
        </w:rPr>
        <w:t>, controlling for other known risk factors</w:t>
      </w:r>
      <w:r w:rsidR="003E2F0C" w:rsidRPr="00796F65">
        <w:rPr>
          <w:rFonts w:ascii="Times New Roman" w:hAnsi="Times New Roman" w:cs="Times New Roman"/>
        </w:rPr>
        <w:t xml:space="preserve"> including age</w:t>
      </w:r>
      <w:r w:rsidRPr="00796F65">
        <w:rPr>
          <w:rFonts w:ascii="Times New Roman" w:hAnsi="Times New Roman" w:cs="Times New Roman"/>
        </w:rPr>
        <w:t>.</w:t>
      </w:r>
      <w:r w:rsidR="00DB7317" w:rsidRPr="00796F65">
        <w:rPr>
          <w:rFonts w:ascii="Times New Roman" w:hAnsi="Times New Roman" w:cs="Times New Roman"/>
        </w:rPr>
        <w:t xml:space="preserve"> </w:t>
      </w:r>
    </w:p>
    <w:p w14:paraId="7FBBB652" w14:textId="77777777" w:rsidR="0053645C" w:rsidRPr="00796F65" w:rsidRDefault="00984059" w:rsidP="00796F65">
      <w:pPr>
        <w:pStyle w:val="Bibliography"/>
        <w:jc w:val="both"/>
        <w:rPr>
          <w:rFonts w:ascii="Times New Roman" w:hAnsi="Times New Roman" w:cs="Times New Roman"/>
          <w:b/>
        </w:rPr>
      </w:pPr>
      <w:r w:rsidRPr="00796F65">
        <w:rPr>
          <w:rFonts w:ascii="Times New Roman" w:hAnsi="Times New Roman" w:cs="Times New Roman"/>
          <w:b/>
        </w:rPr>
        <w:t>Methods</w:t>
      </w:r>
    </w:p>
    <w:p w14:paraId="6073F4A2" w14:textId="77777777" w:rsidR="0053645C" w:rsidRPr="00796F65" w:rsidRDefault="00984059" w:rsidP="00796F65">
      <w:pPr>
        <w:pStyle w:val="Bibliography"/>
        <w:jc w:val="both"/>
        <w:rPr>
          <w:rFonts w:ascii="Times New Roman" w:hAnsi="Times New Roman" w:cs="Times New Roman"/>
          <w:b/>
        </w:rPr>
      </w:pPr>
      <w:r w:rsidRPr="00796F65">
        <w:rPr>
          <w:rFonts w:ascii="Times New Roman" w:hAnsi="Times New Roman" w:cs="Times New Roman"/>
          <w:b/>
        </w:rPr>
        <w:t>Patient Population</w:t>
      </w:r>
    </w:p>
    <w:p w14:paraId="224E8CDC" w14:textId="3103D294" w:rsidR="00D03744" w:rsidRPr="00796F65" w:rsidRDefault="00A268A2" w:rsidP="00796F65">
      <w:pPr>
        <w:pStyle w:val="Bibliography"/>
        <w:jc w:val="both"/>
        <w:rPr>
          <w:rFonts w:ascii="Times New Roman" w:hAnsi="Times New Roman" w:cs="Times New Roman"/>
          <w:color w:val="000000"/>
        </w:rPr>
      </w:pPr>
      <w:r w:rsidRPr="00796F65">
        <w:rPr>
          <w:rFonts w:ascii="Times New Roman" w:hAnsi="Times New Roman" w:cs="Times New Roman"/>
        </w:rPr>
        <w:t>P</w:t>
      </w:r>
      <w:r w:rsidR="00FB6126" w:rsidRPr="00796F65">
        <w:rPr>
          <w:rFonts w:ascii="Times New Roman" w:hAnsi="Times New Roman" w:cs="Times New Roman"/>
        </w:rPr>
        <w:t xml:space="preserve">atients </w:t>
      </w:r>
      <w:r w:rsidRPr="00796F65">
        <w:rPr>
          <w:rFonts w:ascii="Times New Roman" w:hAnsi="Times New Roman" w:cs="Times New Roman"/>
        </w:rPr>
        <w:t xml:space="preserve">in the MaGIC database </w:t>
      </w:r>
      <w:r w:rsidR="00FB6126" w:rsidRPr="00796F65">
        <w:rPr>
          <w:rFonts w:ascii="Times New Roman" w:hAnsi="Times New Roman" w:cs="Times New Roman"/>
        </w:rPr>
        <w:t>with newly diagnosed</w:t>
      </w:r>
      <w:r w:rsidR="00F54DD8" w:rsidRPr="00796F65">
        <w:rPr>
          <w:rFonts w:ascii="Times New Roman" w:hAnsi="Times New Roman" w:cs="Times New Roman"/>
        </w:rPr>
        <w:t xml:space="preserve">, </w:t>
      </w:r>
      <w:r w:rsidR="0047796D" w:rsidRPr="00796F65">
        <w:rPr>
          <w:rFonts w:ascii="Times New Roman" w:hAnsi="Times New Roman" w:cs="Times New Roman"/>
        </w:rPr>
        <w:t xml:space="preserve">pure </w:t>
      </w:r>
      <w:r w:rsidR="00FB6126" w:rsidRPr="00796F65">
        <w:rPr>
          <w:rFonts w:ascii="Times New Roman" w:hAnsi="Times New Roman" w:cs="Times New Roman"/>
        </w:rPr>
        <w:t>ovarian dysgerminoma</w:t>
      </w:r>
      <w:r w:rsidR="00606108" w:rsidRPr="00796F65">
        <w:rPr>
          <w:rFonts w:ascii="Times New Roman" w:hAnsi="Times New Roman" w:cs="Times New Roman"/>
        </w:rPr>
        <w:t xml:space="preserve"> with advanced</w:t>
      </w:r>
      <w:r w:rsidR="00CC71BD" w:rsidRPr="00796F65">
        <w:rPr>
          <w:rFonts w:ascii="Times New Roman" w:hAnsi="Times New Roman" w:cs="Times New Roman"/>
        </w:rPr>
        <w:t>-</w:t>
      </w:r>
      <w:r w:rsidR="00606108" w:rsidRPr="00796F65">
        <w:rPr>
          <w:rFonts w:ascii="Times New Roman" w:hAnsi="Times New Roman" w:cs="Times New Roman"/>
        </w:rPr>
        <w:t>stage disease</w:t>
      </w:r>
      <w:r w:rsidRPr="00796F65">
        <w:rPr>
          <w:rFonts w:ascii="Times New Roman" w:hAnsi="Times New Roman" w:cs="Times New Roman"/>
        </w:rPr>
        <w:t xml:space="preserve"> were included in the analysis</w:t>
      </w:r>
      <w:r w:rsidR="00014579" w:rsidRPr="00796F65">
        <w:rPr>
          <w:rFonts w:ascii="Times New Roman" w:hAnsi="Times New Roman" w:cs="Times New Roman"/>
        </w:rPr>
        <w:t xml:space="preserve"> (n=</w:t>
      </w:r>
      <w:r w:rsidR="00CC71BD" w:rsidRPr="00796F65">
        <w:rPr>
          <w:rFonts w:ascii="Times New Roman" w:hAnsi="Times New Roman" w:cs="Times New Roman"/>
        </w:rPr>
        <w:t>126</w:t>
      </w:r>
      <w:r w:rsidR="00014579" w:rsidRPr="00796F65">
        <w:rPr>
          <w:rFonts w:ascii="Times New Roman" w:hAnsi="Times New Roman" w:cs="Times New Roman"/>
        </w:rPr>
        <w:t>)</w:t>
      </w:r>
      <w:r w:rsidR="006F331F" w:rsidRPr="00796F65">
        <w:rPr>
          <w:rFonts w:ascii="Times New Roman" w:hAnsi="Times New Roman" w:cs="Times New Roman"/>
        </w:rPr>
        <w:t>.</w:t>
      </w:r>
      <w:r w:rsidRPr="00796F65">
        <w:rPr>
          <w:rFonts w:ascii="Times New Roman" w:hAnsi="Times New Roman" w:cs="Times New Roman"/>
        </w:rPr>
        <w:t xml:space="preserve"> </w:t>
      </w:r>
      <w:r w:rsidR="00606108" w:rsidRPr="00796F65">
        <w:rPr>
          <w:rFonts w:ascii="Times New Roman" w:hAnsi="Times New Roman" w:cs="Times New Roman"/>
        </w:rPr>
        <w:t xml:space="preserve">Patients with mixed GCT that included dysgerminoma were </w:t>
      </w:r>
      <w:r w:rsidR="00883140" w:rsidRPr="00796F65">
        <w:rPr>
          <w:rFonts w:ascii="Times New Roman" w:hAnsi="Times New Roman" w:cs="Times New Roman"/>
        </w:rPr>
        <w:t>excluded</w:t>
      </w:r>
      <w:r w:rsidR="00606108" w:rsidRPr="00796F65">
        <w:rPr>
          <w:rFonts w:ascii="Times New Roman" w:hAnsi="Times New Roman" w:cs="Times New Roman"/>
        </w:rPr>
        <w:t xml:space="preserve">. </w:t>
      </w:r>
      <w:r w:rsidRPr="00796F65">
        <w:rPr>
          <w:rFonts w:ascii="Times New Roman" w:hAnsi="Times New Roman" w:cs="Times New Roman"/>
        </w:rPr>
        <w:t xml:space="preserve">All ages were </w:t>
      </w:r>
      <w:r w:rsidR="00606108" w:rsidRPr="00796F65">
        <w:rPr>
          <w:rFonts w:ascii="Times New Roman" w:hAnsi="Times New Roman" w:cs="Times New Roman"/>
        </w:rPr>
        <w:t>eligible for the analysis</w:t>
      </w:r>
      <w:r w:rsidRPr="00796F65">
        <w:rPr>
          <w:rFonts w:ascii="Times New Roman" w:hAnsi="Times New Roman" w:cs="Times New Roman"/>
        </w:rPr>
        <w:t xml:space="preserve">. </w:t>
      </w:r>
      <w:r w:rsidR="006E2E95" w:rsidRPr="00796F65">
        <w:rPr>
          <w:rFonts w:ascii="Times New Roman" w:hAnsi="Times New Roman" w:cs="Times New Roman"/>
          <w:bCs/>
        </w:rPr>
        <w:t xml:space="preserve">Patients with stage I disease who recurred on </w:t>
      </w:r>
      <w:r w:rsidR="00D41269" w:rsidRPr="00796F65">
        <w:rPr>
          <w:rFonts w:ascii="Times New Roman" w:hAnsi="Times New Roman" w:cs="Times New Roman"/>
          <w:bCs/>
        </w:rPr>
        <w:t xml:space="preserve">active </w:t>
      </w:r>
      <w:r w:rsidR="006E2E95" w:rsidRPr="00796F65">
        <w:rPr>
          <w:rFonts w:ascii="Times New Roman" w:hAnsi="Times New Roman" w:cs="Times New Roman"/>
          <w:bCs/>
        </w:rPr>
        <w:t xml:space="preserve">surveillance and were subsequently treated with chemotherapy </w:t>
      </w:r>
      <w:r w:rsidR="00B97BE6" w:rsidRPr="00796F65">
        <w:rPr>
          <w:rFonts w:ascii="Times New Roman" w:hAnsi="Times New Roman" w:cs="Times New Roman"/>
          <w:bCs/>
        </w:rPr>
        <w:t xml:space="preserve">(n=2) </w:t>
      </w:r>
      <w:r w:rsidR="006E2E95" w:rsidRPr="00796F65">
        <w:rPr>
          <w:rFonts w:ascii="Times New Roman" w:hAnsi="Times New Roman" w:cs="Times New Roman"/>
          <w:bCs/>
        </w:rPr>
        <w:t xml:space="preserve">were included in the </w:t>
      </w:r>
      <w:r w:rsidR="000B259B" w:rsidRPr="00796F65">
        <w:rPr>
          <w:rFonts w:ascii="Times New Roman" w:hAnsi="Times New Roman" w:cs="Times New Roman"/>
          <w:bCs/>
        </w:rPr>
        <w:t>analysi</w:t>
      </w:r>
      <w:r w:rsidR="003E2F0C" w:rsidRPr="00796F65">
        <w:rPr>
          <w:rFonts w:ascii="Times New Roman" w:hAnsi="Times New Roman" w:cs="Times New Roman"/>
          <w:bCs/>
        </w:rPr>
        <w:t>s</w:t>
      </w:r>
      <w:r w:rsidR="006E2E95" w:rsidRPr="00796F65">
        <w:rPr>
          <w:rFonts w:ascii="Times New Roman" w:hAnsi="Times New Roman" w:cs="Times New Roman"/>
          <w:bCs/>
        </w:rPr>
        <w:t xml:space="preserve">. </w:t>
      </w:r>
      <w:r w:rsidR="00606108" w:rsidRPr="00796F65">
        <w:rPr>
          <w:rFonts w:ascii="Times New Roman" w:hAnsi="Times New Roman" w:cs="Times New Roman"/>
        </w:rPr>
        <w:t>A</w:t>
      </w:r>
      <w:r w:rsidR="00CC71BD" w:rsidRPr="00796F65">
        <w:rPr>
          <w:rFonts w:ascii="Times New Roman" w:hAnsi="Times New Roman" w:cs="Times New Roman"/>
        </w:rPr>
        <w:t>dvanced-</w:t>
      </w:r>
      <w:r w:rsidR="007C0EC8" w:rsidRPr="00796F65">
        <w:rPr>
          <w:rFonts w:ascii="Times New Roman" w:hAnsi="Times New Roman" w:cs="Times New Roman"/>
        </w:rPr>
        <w:t>stage disease</w:t>
      </w:r>
      <w:r w:rsidR="00606108" w:rsidRPr="00796F65">
        <w:rPr>
          <w:rFonts w:ascii="Times New Roman" w:hAnsi="Times New Roman" w:cs="Times New Roman"/>
        </w:rPr>
        <w:t xml:space="preserve"> was defined as either</w:t>
      </w:r>
      <w:r w:rsidR="00AD00A9" w:rsidRPr="00796F65">
        <w:rPr>
          <w:rFonts w:ascii="Times New Roman" w:hAnsi="Times New Roman" w:cs="Times New Roman"/>
        </w:rPr>
        <w:t xml:space="preserve"> </w:t>
      </w:r>
      <w:r w:rsidR="00AD00A9" w:rsidRPr="00796F65">
        <w:rPr>
          <w:rFonts w:ascii="Times New Roman" w:hAnsi="Times New Roman" w:cs="Times New Roman"/>
          <w:bCs/>
        </w:rPr>
        <w:t>COG/</w:t>
      </w:r>
      <w:r w:rsidR="00AD00A9" w:rsidRPr="00796F65">
        <w:rPr>
          <w:rFonts w:ascii="Times New Roman" w:hAnsi="Times New Roman" w:cs="Times New Roman"/>
        </w:rPr>
        <w:t xml:space="preserve">CCLG </w:t>
      </w:r>
      <w:r w:rsidR="00AD00A9" w:rsidRPr="00796F65">
        <w:rPr>
          <w:rFonts w:ascii="Times New Roman" w:hAnsi="Times New Roman" w:cs="Times New Roman"/>
          <w:bCs/>
        </w:rPr>
        <w:t>stage II-IV</w:t>
      </w:r>
      <w:r w:rsidR="00D03744" w:rsidRPr="00796F65">
        <w:rPr>
          <w:rFonts w:ascii="Times New Roman" w:hAnsi="Times New Roman" w:cs="Times New Roman"/>
          <w:bCs/>
        </w:rPr>
        <w:t xml:space="preserve"> (Appendix 2)</w:t>
      </w:r>
      <w:r w:rsidR="00AD00A9" w:rsidRPr="00796F65">
        <w:rPr>
          <w:rFonts w:ascii="Times New Roman" w:hAnsi="Times New Roman" w:cs="Times New Roman"/>
          <w:bCs/>
        </w:rPr>
        <w:t xml:space="preserve"> or </w:t>
      </w:r>
      <w:r w:rsidR="00AD00A9" w:rsidRPr="00796F65">
        <w:rPr>
          <w:rFonts w:ascii="Times New Roman" w:hAnsi="Times New Roman" w:cs="Times New Roman"/>
        </w:rPr>
        <w:t xml:space="preserve">International Federation of Gynecology and Obstetrics (FIGO) </w:t>
      </w:r>
      <w:r w:rsidR="00D14C04" w:rsidRPr="00796F65">
        <w:rPr>
          <w:rFonts w:ascii="Times New Roman" w:hAnsi="Times New Roman" w:cs="Times New Roman"/>
          <w:bCs/>
        </w:rPr>
        <w:t>stage</w:t>
      </w:r>
      <w:r w:rsidR="00AD00A9" w:rsidRPr="00796F65">
        <w:rPr>
          <w:rFonts w:ascii="Times New Roman" w:hAnsi="Times New Roman" w:cs="Times New Roman"/>
          <w:bCs/>
        </w:rPr>
        <w:t xml:space="preserve"> IC-IV</w:t>
      </w:r>
      <w:r w:rsidR="00D03744" w:rsidRPr="00796F65">
        <w:rPr>
          <w:rFonts w:ascii="Times New Roman" w:hAnsi="Times New Roman" w:cs="Times New Roman"/>
          <w:bCs/>
        </w:rPr>
        <w:t xml:space="preserve"> (Appendix 3)</w:t>
      </w:r>
      <w:r w:rsidR="00AD00A9" w:rsidRPr="00796F65">
        <w:rPr>
          <w:rFonts w:ascii="Times New Roman" w:hAnsi="Times New Roman" w:cs="Times New Roman"/>
          <w:bCs/>
        </w:rPr>
        <w:t>.</w:t>
      </w:r>
      <w:r w:rsidR="00CC71BD" w:rsidRPr="00796F65">
        <w:rPr>
          <w:rFonts w:ascii="Times New Roman" w:hAnsi="Times New Roman" w:cs="Times New Roman"/>
          <w:bCs/>
          <w:vertAlign w:val="superscript"/>
        </w:rPr>
        <w:fldChar w:fldCharType="begin"/>
      </w:r>
      <w:r w:rsidR="001D179C">
        <w:rPr>
          <w:rFonts w:ascii="Times New Roman" w:hAnsi="Times New Roman" w:cs="Times New Roman"/>
          <w:bCs/>
          <w:vertAlign w:val="superscript"/>
        </w:rPr>
        <w:instrText xml:space="preserve"> ADDIN ZOTERO_ITEM CSL_CITATION {"citationID":"ybgAbVq0","properties":{"formattedCitation":"[18]","plainCitation":"[18]","noteIndex":0},"citationItems":[{"id":28,"uris":["http://zotero.org/users/608019/items/8KJ9TMID"],"uri":["http://zotero.org/users/608019/items/8KJ9TMID"],"itemData":{"id":28,"type":"article-journal","title":"Staging classification for cancer of the ovary, fallopian tube, and peritoneum","container-title":"International Journal of Gynaecology and Obstetrics: The Official Organ of the International Federation of Gynaecology and Obstetrics","page":"1-5","volume":"124","issue":"1","source":"PubMed","DOI":"10.1016/j.ijgo.2013.10.001","ISSN":"1879-3479","note":"PMID: 24219974","journalAbbreviation":"Int J Gynaecol Obstet","language":"eng","author":[{"family":"Prat","given":"Jaime"},{"literal":"FIGO Committee on Gynecologic Oncology"}],"issued":{"date-parts":[["2014",1]]}}}],"schema":"https://github.com/citation-style-language/schema/raw/master/csl-citation.json"} </w:instrText>
      </w:r>
      <w:r w:rsidR="00CC71BD" w:rsidRPr="00796F65">
        <w:rPr>
          <w:rFonts w:ascii="Times New Roman" w:hAnsi="Times New Roman" w:cs="Times New Roman"/>
          <w:bCs/>
          <w:vertAlign w:val="superscript"/>
        </w:rPr>
        <w:fldChar w:fldCharType="separate"/>
      </w:r>
      <w:r w:rsidR="006156F6" w:rsidRPr="00796F65">
        <w:rPr>
          <w:rFonts w:ascii="Times New Roman" w:hAnsi="Times New Roman" w:cs="Times New Roman"/>
          <w:bCs/>
          <w:noProof/>
          <w:vertAlign w:val="superscript"/>
        </w:rPr>
        <w:t>[18]</w:t>
      </w:r>
      <w:r w:rsidR="00CC71BD" w:rsidRPr="00796F65">
        <w:rPr>
          <w:rFonts w:ascii="Times New Roman" w:hAnsi="Times New Roman" w:cs="Times New Roman"/>
          <w:bCs/>
          <w:vertAlign w:val="superscript"/>
        </w:rPr>
        <w:fldChar w:fldCharType="end"/>
      </w:r>
      <w:r w:rsidR="00D03744" w:rsidRPr="00796F65">
        <w:rPr>
          <w:rFonts w:ascii="Times New Roman" w:hAnsi="Times New Roman" w:cs="Times New Roman"/>
          <w:bCs/>
        </w:rPr>
        <w:t xml:space="preserve"> </w:t>
      </w:r>
      <w:r w:rsidR="00D03744" w:rsidRPr="00796F65">
        <w:rPr>
          <w:rFonts w:ascii="Times New Roman" w:hAnsi="Times New Roman" w:cs="Times New Roman"/>
          <w:color w:val="000000"/>
        </w:rPr>
        <w:t>Due to irreconcilable differences in staging systems within each cooperative group, patients with staging based on COG/CCLG and FIGO were analyzed separately.</w:t>
      </w:r>
      <w:r w:rsidR="003E2F0C" w:rsidRPr="00796F65">
        <w:rPr>
          <w:rFonts w:ascii="Times New Roman" w:hAnsi="Times New Roman" w:cs="Times New Roman"/>
          <w:color w:val="000000"/>
        </w:rPr>
        <w:t xml:space="preserve"> </w:t>
      </w:r>
    </w:p>
    <w:p w14:paraId="3EA139EB" w14:textId="77777777" w:rsidR="00D03744" w:rsidRPr="00796F65" w:rsidRDefault="00D03744" w:rsidP="00796F65">
      <w:pPr>
        <w:spacing w:line="480" w:lineRule="auto"/>
        <w:jc w:val="both"/>
        <w:rPr>
          <w:rFonts w:ascii="Times New Roman" w:hAnsi="Times New Roman" w:cs="Times New Roman"/>
        </w:rPr>
      </w:pPr>
    </w:p>
    <w:p w14:paraId="4CB3CF15" w14:textId="05C28D55" w:rsidR="0047796D" w:rsidRPr="00796F65" w:rsidRDefault="00606108" w:rsidP="00796F65">
      <w:pPr>
        <w:spacing w:line="480" w:lineRule="auto"/>
        <w:jc w:val="both"/>
        <w:rPr>
          <w:rFonts w:ascii="Times New Roman" w:hAnsi="Times New Roman" w:cs="Times New Roman"/>
          <w:bCs/>
        </w:rPr>
      </w:pPr>
      <w:r w:rsidRPr="00796F65">
        <w:rPr>
          <w:rFonts w:ascii="Times New Roman" w:hAnsi="Times New Roman" w:cs="Times New Roman"/>
        </w:rPr>
        <w:t>Of</w:t>
      </w:r>
      <w:r w:rsidR="0047796D" w:rsidRPr="00796F65">
        <w:rPr>
          <w:rFonts w:ascii="Times New Roman" w:hAnsi="Times New Roman" w:cs="Times New Roman"/>
        </w:rPr>
        <w:t xml:space="preserve"> the</w:t>
      </w:r>
      <w:r w:rsidR="00D03744" w:rsidRPr="00796F65">
        <w:rPr>
          <w:rFonts w:ascii="Times New Roman" w:hAnsi="Times New Roman" w:cs="Times New Roman"/>
        </w:rPr>
        <w:t xml:space="preserve"> </w:t>
      </w:r>
      <w:r w:rsidR="0047796D" w:rsidRPr="00796F65">
        <w:rPr>
          <w:rFonts w:ascii="Times New Roman" w:hAnsi="Times New Roman" w:cs="Times New Roman"/>
        </w:rPr>
        <w:t>1</w:t>
      </w:r>
      <w:r w:rsidR="003E4BF8" w:rsidRPr="00796F65">
        <w:rPr>
          <w:rFonts w:ascii="Times New Roman" w:hAnsi="Times New Roman" w:cs="Times New Roman"/>
        </w:rPr>
        <w:t>2</w:t>
      </w:r>
      <w:r w:rsidR="0047796D" w:rsidRPr="00796F65">
        <w:rPr>
          <w:rFonts w:ascii="Times New Roman" w:hAnsi="Times New Roman" w:cs="Times New Roman"/>
        </w:rPr>
        <w:t>6 patients included</w:t>
      </w:r>
      <w:r w:rsidR="003A4708" w:rsidRPr="00796F65">
        <w:rPr>
          <w:rFonts w:ascii="Times New Roman" w:hAnsi="Times New Roman" w:cs="Times New Roman"/>
        </w:rPr>
        <w:t xml:space="preserve"> in the analysis</w:t>
      </w:r>
      <w:r w:rsidR="008068F2" w:rsidRPr="00796F65">
        <w:rPr>
          <w:rFonts w:ascii="Times New Roman" w:hAnsi="Times New Roman" w:cs="Times New Roman"/>
        </w:rPr>
        <w:t>,</w:t>
      </w:r>
      <w:r w:rsidR="003A4708" w:rsidRPr="00796F65">
        <w:rPr>
          <w:rFonts w:ascii="Times New Roman" w:hAnsi="Times New Roman" w:cs="Times New Roman"/>
        </w:rPr>
        <w:t xml:space="preserve"> </w:t>
      </w:r>
      <w:r w:rsidRPr="00796F65">
        <w:rPr>
          <w:rFonts w:ascii="Times New Roman" w:hAnsi="Times New Roman" w:cs="Times New Roman"/>
        </w:rPr>
        <w:t xml:space="preserve">three patients </w:t>
      </w:r>
      <w:r w:rsidR="0047796D" w:rsidRPr="00796F65">
        <w:rPr>
          <w:rFonts w:ascii="Times New Roman" w:hAnsi="Times New Roman" w:cs="Times New Roman"/>
        </w:rPr>
        <w:t xml:space="preserve">had </w:t>
      </w:r>
      <w:r w:rsidR="00DE56A2" w:rsidRPr="00796F65">
        <w:rPr>
          <w:rFonts w:ascii="Times New Roman" w:hAnsi="Times New Roman" w:cs="Times New Roman"/>
        </w:rPr>
        <w:t xml:space="preserve">pre-operative </w:t>
      </w:r>
      <w:r w:rsidR="000D3CF2" w:rsidRPr="00796F65">
        <w:rPr>
          <w:rFonts w:ascii="Times New Roman" w:hAnsi="Times New Roman" w:cs="Times New Roman"/>
        </w:rPr>
        <w:t>alpha</w:t>
      </w:r>
      <w:r w:rsidR="003E4BF8" w:rsidRPr="00796F65">
        <w:rPr>
          <w:rFonts w:ascii="Times New Roman" w:hAnsi="Times New Roman" w:cs="Times New Roman"/>
        </w:rPr>
        <w:t>-fetoprotein (AFP)</w:t>
      </w:r>
      <w:r w:rsidR="0047796D" w:rsidRPr="00796F65">
        <w:rPr>
          <w:rFonts w:ascii="Times New Roman" w:hAnsi="Times New Roman" w:cs="Times New Roman"/>
        </w:rPr>
        <w:t xml:space="preserve"> levels </w:t>
      </w:r>
      <w:r w:rsidR="003E4BF8" w:rsidRPr="00796F65">
        <w:rPr>
          <w:rFonts w:ascii="Times New Roman" w:hAnsi="Times New Roman" w:cs="Times New Roman"/>
        </w:rPr>
        <w:t xml:space="preserve">at diagnosis </w:t>
      </w:r>
      <w:r w:rsidR="0047796D" w:rsidRPr="00796F65">
        <w:rPr>
          <w:rFonts w:ascii="Times New Roman" w:hAnsi="Times New Roman" w:cs="Times New Roman"/>
        </w:rPr>
        <w:t>that exceeded the expected level for pure ovarian dysgerminoma</w:t>
      </w:r>
      <w:r w:rsidR="0097185D" w:rsidRPr="00796F65">
        <w:rPr>
          <w:rFonts w:ascii="Times New Roman" w:hAnsi="Times New Roman" w:cs="Times New Roman"/>
        </w:rPr>
        <w:t xml:space="preserve"> (AFP=3509, AFP=9922, AFP=10800 </w:t>
      </w:r>
      <w:r w:rsidR="0047796D" w:rsidRPr="00796F65">
        <w:rPr>
          <w:rFonts w:ascii="Times New Roman" w:hAnsi="Times New Roman" w:cs="Times New Roman"/>
        </w:rPr>
        <w:t>ng/mL)</w:t>
      </w:r>
      <w:r w:rsidR="00C00DFC" w:rsidRPr="00796F65">
        <w:rPr>
          <w:rFonts w:ascii="Times New Roman" w:hAnsi="Times New Roman" w:cs="Times New Roman"/>
        </w:rPr>
        <w:t xml:space="preserve">. </w:t>
      </w:r>
      <w:r w:rsidR="00930CF8" w:rsidRPr="00796F65">
        <w:rPr>
          <w:rFonts w:ascii="Times New Roman" w:hAnsi="Times New Roman" w:cs="Times New Roman"/>
        </w:rPr>
        <w:t xml:space="preserve">We </w:t>
      </w:r>
      <w:r w:rsidR="0047796D" w:rsidRPr="00796F65">
        <w:rPr>
          <w:rFonts w:ascii="Times New Roman" w:hAnsi="Times New Roman" w:cs="Times New Roman"/>
        </w:rPr>
        <w:t xml:space="preserve">reviewed the pathologic reports and confirmed that each </w:t>
      </w:r>
      <w:r w:rsidR="00930CF8" w:rsidRPr="00796F65">
        <w:rPr>
          <w:rFonts w:ascii="Times New Roman" w:hAnsi="Times New Roman" w:cs="Times New Roman"/>
        </w:rPr>
        <w:t xml:space="preserve">patient </w:t>
      </w:r>
      <w:r w:rsidR="0047796D" w:rsidRPr="00796F65">
        <w:rPr>
          <w:rFonts w:ascii="Times New Roman" w:hAnsi="Times New Roman" w:cs="Times New Roman"/>
        </w:rPr>
        <w:t>was recorded as</w:t>
      </w:r>
      <w:r w:rsidR="00930CF8" w:rsidRPr="00796F65">
        <w:rPr>
          <w:rFonts w:ascii="Times New Roman" w:hAnsi="Times New Roman" w:cs="Times New Roman"/>
        </w:rPr>
        <w:t xml:space="preserve"> a</w:t>
      </w:r>
      <w:r w:rsidR="0047796D" w:rsidRPr="00796F65">
        <w:rPr>
          <w:rFonts w:ascii="Times New Roman" w:hAnsi="Times New Roman" w:cs="Times New Roman"/>
        </w:rPr>
        <w:t xml:space="preserve"> pure</w:t>
      </w:r>
      <w:r w:rsidR="00930CF8" w:rsidRPr="00796F65">
        <w:rPr>
          <w:rFonts w:ascii="Times New Roman" w:hAnsi="Times New Roman" w:cs="Times New Roman"/>
        </w:rPr>
        <w:t xml:space="preserve"> ovarian</w:t>
      </w:r>
      <w:r w:rsidR="0047796D" w:rsidRPr="00796F65">
        <w:rPr>
          <w:rFonts w:ascii="Times New Roman" w:hAnsi="Times New Roman" w:cs="Times New Roman"/>
        </w:rPr>
        <w:t xml:space="preserve"> dysgerminoma. </w:t>
      </w:r>
      <w:r w:rsidR="00520D8D" w:rsidRPr="00796F65">
        <w:rPr>
          <w:rFonts w:ascii="Times New Roman" w:hAnsi="Times New Roman" w:cs="Times New Roman"/>
        </w:rPr>
        <w:t>W</w:t>
      </w:r>
      <w:r w:rsidR="0047796D" w:rsidRPr="00796F65">
        <w:rPr>
          <w:rFonts w:ascii="Times New Roman" w:hAnsi="Times New Roman" w:cs="Times New Roman"/>
        </w:rPr>
        <w:t>e performed a sensitivity analysis that excluded these 3 patients to examine the impact on outcome</w:t>
      </w:r>
      <w:r w:rsidR="00A52BE5" w:rsidRPr="00796F65">
        <w:rPr>
          <w:rFonts w:ascii="Times New Roman" w:hAnsi="Times New Roman" w:cs="Times New Roman"/>
        </w:rPr>
        <w:t>.</w:t>
      </w:r>
    </w:p>
    <w:p w14:paraId="60EF5463" w14:textId="77777777" w:rsidR="00D03744" w:rsidRPr="00796F65" w:rsidRDefault="00D03744" w:rsidP="00796F65">
      <w:pPr>
        <w:spacing w:line="480" w:lineRule="auto"/>
        <w:jc w:val="both"/>
        <w:outlineLvl w:val="0"/>
        <w:rPr>
          <w:rFonts w:ascii="Times New Roman" w:hAnsi="Times New Roman" w:cs="Times New Roman"/>
          <w:b/>
        </w:rPr>
      </w:pPr>
    </w:p>
    <w:p w14:paraId="731A1252" w14:textId="5081DF7F" w:rsidR="007D4421" w:rsidRPr="00796F65" w:rsidRDefault="00611F64" w:rsidP="00796F65">
      <w:pPr>
        <w:keepNext/>
        <w:spacing w:line="480" w:lineRule="auto"/>
        <w:jc w:val="both"/>
        <w:outlineLvl w:val="0"/>
        <w:rPr>
          <w:rFonts w:ascii="Times New Roman" w:hAnsi="Times New Roman" w:cs="Times New Roman"/>
          <w:b/>
        </w:rPr>
      </w:pPr>
      <w:r w:rsidRPr="00796F65">
        <w:rPr>
          <w:rFonts w:ascii="Times New Roman" w:hAnsi="Times New Roman" w:cs="Times New Roman"/>
          <w:b/>
        </w:rPr>
        <w:lastRenderedPageBreak/>
        <w:t>Clinical Trials</w:t>
      </w:r>
    </w:p>
    <w:p w14:paraId="7DDE0902" w14:textId="147DE89A" w:rsidR="00957F0E" w:rsidRPr="00796F65" w:rsidRDefault="00554C2B" w:rsidP="00796F65">
      <w:pPr>
        <w:spacing w:line="480" w:lineRule="auto"/>
        <w:jc w:val="both"/>
        <w:rPr>
          <w:rFonts w:ascii="Times New Roman" w:hAnsi="Times New Roman" w:cs="Times New Roman"/>
          <w:vertAlign w:val="superscript"/>
        </w:rPr>
      </w:pPr>
      <w:r w:rsidRPr="00796F65">
        <w:rPr>
          <w:rFonts w:ascii="Times New Roman" w:hAnsi="Times New Roman" w:cs="Times New Roman"/>
        </w:rPr>
        <w:t>Six</w:t>
      </w:r>
      <w:r w:rsidR="005F59C4" w:rsidRPr="00796F65">
        <w:rPr>
          <w:rFonts w:ascii="Times New Roman" w:hAnsi="Times New Roman" w:cs="Times New Roman"/>
        </w:rPr>
        <w:t xml:space="preserve"> (GC</w:t>
      </w:r>
      <w:r w:rsidR="000A1F33" w:rsidRPr="00796F65">
        <w:rPr>
          <w:rFonts w:ascii="Times New Roman" w:hAnsi="Times New Roman" w:cs="Times New Roman"/>
        </w:rPr>
        <w:t>1</w:t>
      </w:r>
      <w:r w:rsidR="005F59C4" w:rsidRPr="00796F65">
        <w:rPr>
          <w:rFonts w:ascii="Times New Roman" w:hAnsi="Times New Roman" w:cs="Times New Roman"/>
        </w:rPr>
        <w:t>, GC</w:t>
      </w:r>
      <w:r w:rsidR="000A1F33" w:rsidRPr="00796F65">
        <w:rPr>
          <w:rFonts w:ascii="Times New Roman" w:hAnsi="Times New Roman" w:cs="Times New Roman"/>
        </w:rPr>
        <w:t>2</w:t>
      </w:r>
      <w:r w:rsidR="009B4ABE" w:rsidRPr="00796F65">
        <w:rPr>
          <w:rFonts w:ascii="Times New Roman" w:hAnsi="Times New Roman" w:cs="Times New Roman"/>
        </w:rPr>
        <w:t>,</w:t>
      </w:r>
      <w:r w:rsidR="00085782" w:rsidRPr="00796F65">
        <w:rPr>
          <w:rFonts w:ascii="Times New Roman" w:hAnsi="Times New Roman" w:cs="Times New Roman"/>
        </w:rPr>
        <w:t xml:space="preserve"> INT-0097, </w:t>
      </w:r>
      <w:r w:rsidR="00E026AB" w:rsidRPr="00796F65">
        <w:rPr>
          <w:rFonts w:ascii="Times New Roman" w:hAnsi="Times New Roman" w:cs="Times New Roman"/>
        </w:rPr>
        <w:t>GOG 0078, GOG 0090, GOG 0116)</w:t>
      </w:r>
      <w:r w:rsidR="009B4ABE" w:rsidRPr="00796F65">
        <w:rPr>
          <w:rFonts w:ascii="Times New Roman" w:hAnsi="Times New Roman" w:cs="Times New Roman"/>
        </w:rPr>
        <w:t xml:space="preserve"> of the ten</w:t>
      </w:r>
      <w:r w:rsidR="004867F3" w:rsidRPr="00796F65">
        <w:rPr>
          <w:rFonts w:ascii="Times New Roman" w:hAnsi="Times New Roman" w:cs="Times New Roman"/>
        </w:rPr>
        <w:t xml:space="preserve"> clinical</w:t>
      </w:r>
      <w:r w:rsidR="009B4ABE" w:rsidRPr="00796F65">
        <w:rPr>
          <w:rFonts w:ascii="Times New Roman" w:hAnsi="Times New Roman" w:cs="Times New Roman"/>
        </w:rPr>
        <w:t xml:space="preserve"> trials in the MaGIC data set included patients with dysgerminoma</w:t>
      </w:r>
      <w:r w:rsidR="00A55D3E" w:rsidRPr="00796F65">
        <w:rPr>
          <w:rFonts w:ascii="Times New Roman" w:hAnsi="Times New Roman" w:cs="Times New Roman"/>
        </w:rPr>
        <w:t xml:space="preserve">; details of each trial are </w:t>
      </w:r>
      <w:r w:rsidR="00451E3C" w:rsidRPr="00796F65">
        <w:rPr>
          <w:rFonts w:ascii="Times New Roman" w:hAnsi="Times New Roman" w:cs="Times New Roman"/>
        </w:rPr>
        <w:t xml:space="preserve">summarized in </w:t>
      </w:r>
      <w:r w:rsidR="00B90988" w:rsidRPr="00796F65">
        <w:rPr>
          <w:rFonts w:ascii="Times New Roman" w:hAnsi="Times New Roman" w:cs="Times New Roman"/>
        </w:rPr>
        <w:t>Table 1 and Appendix 1</w:t>
      </w:r>
      <w:r w:rsidR="00514B4E" w:rsidRPr="00796F65">
        <w:rPr>
          <w:rFonts w:ascii="Times New Roman" w:hAnsi="Times New Roman" w:cs="Times New Roman"/>
        </w:rPr>
        <w:t>.</w:t>
      </w:r>
      <w:r w:rsidR="00611F64" w:rsidRPr="00796F65">
        <w:rPr>
          <w:rFonts w:ascii="Times New Roman" w:hAnsi="Times New Roman" w:cs="Times New Roman"/>
        </w:rPr>
        <w:t xml:space="preserve"> The pathology of all patients enrolled on each of these clinical trials underwent</w:t>
      </w:r>
      <w:r w:rsidR="004E216E" w:rsidRPr="00796F65">
        <w:rPr>
          <w:rFonts w:ascii="Times New Roman" w:hAnsi="Times New Roman" w:cs="Times New Roman"/>
        </w:rPr>
        <w:t xml:space="preserve"> a</w:t>
      </w:r>
      <w:r w:rsidR="00611F64" w:rsidRPr="00796F65">
        <w:rPr>
          <w:rFonts w:ascii="Times New Roman" w:hAnsi="Times New Roman" w:cs="Times New Roman"/>
        </w:rPr>
        <w:t xml:space="preserve"> central pathologic review.</w:t>
      </w:r>
      <w:r w:rsidR="00514B4E" w:rsidRPr="00796F65">
        <w:rPr>
          <w:rFonts w:ascii="Times New Roman" w:hAnsi="Times New Roman" w:cs="Times New Roman"/>
        </w:rPr>
        <w:t xml:space="preserve"> </w:t>
      </w:r>
      <w:r w:rsidR="00747925" w:rsidRPr="00796F65">
        <w:rPr>
          <w:rFonts w:ascii="Times New Roman" w:hAnsi="Times New Roman" w:cs="Times New Roman"/>
        </w:rPr>
        <w:t xml:space="preserve">One adult trial (GOG 0116) tested </w:t>
      </w:r>
      <w:r w:rsidR="00D03744" w:rsidRPr="00796F65">
        <w:rPr>
          <w:rFonts w:ascii="Times New Roman" w:hAnsi="Times New Roman" w:cs="Times New Roman"/>
        </w:rPr>
        <w:t xml:space="preserve">“JE” = </w:t>
      </w:r>
      <w:r w:rsidR="00747925" w:rsidRPr="00796F65">
        <w:rPr>
          <w:rFonts w:ascii="Times New Roman" w:hAnsi="Times New Roman" w:cs="Times New Roman"/>
        </w:rPr>
        <w:t>carboplatin 400 mg/m</w:t>
      </w:r>
      <w:r w:rsidR="00747925" w:rsidRPr="00796F65">
        <w:rPr>
          <w:rFonts w:ascii="Times New Roman" w:hAnsi="Times New Roman" w:cs="Times New Roman"/>
          <w:vertAlign w:val="superscript"/>
        </w:rPr>
        <w:t>2</w:t>
      </w:r>
      <w:r w:rsidR="00747925" w:rsidRPr="00796F65">
        <w:rPr>
          <w:rFonts w:ascii="Times New Roman" w:hAnsi="Times New Roman" w:cs="Times New Roman"/>
        </w:rPr>
        <w:t>/cycle, and etoposide 360 mg/m</w:t>
      </w:r>
      <w:r w:rsidR="00747925" w:rsidRPr="00796F65">
        <w:rPr>
          <w:rFonts w:ascii="Times New Roman" w:hAnsi="Times New Roman" w:cs="Times New Roman"/>
          <w:vertAlign w:val="superscript"/>
        </w:rPr>
        <w:t>2</w:t>
      </w:r>
      <w:r w:rsidR="00747925" w:rsidRPr="00796F65">
        <w:rPr>
          <w:rFonts w:ascii="Times New Roman" w:hAnsi="Times New Roman" w:cs="Times New Roman"/>
        </w:rPr>
        <w:t>/cycle, administered every 28 days.</w:t>
      </w:r>
      <w:r w:rsidR="00747925"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22ghl2dtil","properties":{"formattedCitation":"[11]","plainCitation":"[11]","noteIndex":0},"citationItems":[{"id":125,"uris":["http://zotero.org/users/608019/items/X7TI79ZQ"],"uri":["http://zotero.org/users/608019/items/X7TI79ZQ"],"itemData":{"id":125,"type":"article-journal","title":"Adjuvant therapy of completely resected dysgerminoma with carboplatin and etoposide: a trial of the Gynecologic Oncology Group","container-title":"Gynecologic Oncology","page":"496-499","volume":"95","issue":"3","source":"PubMed","abstract":"OBJECTIVE: This study was designed to evaluate the effect of adjuvant chemotherapy with carboplatin and etoposide in patients with completely resected stage IB-III dysgerminoma.\nMETHODS: Eligible patients were treated with three courses of carboplatin 400 mg/m(2) on day 1 plus etoposide 120 mg/m(2) on days 1, 2, and 3 every 4 weeks for three courses.\nRESULTS: Forty-two patients were entered on this trial, of whom 39 were eligible. No patient suffered a recurrence of dysgerminoma, but one patient ultimately died of lung adenocarcinoma. One patient was excluded on pathology review (elements of endodermal sinus tumor were present) developed recurrent tumor and died despite further therapy. As expected, the regimen was well tolerated. Median follow-up of surviving patients is 7.8 years (range: 2.86 months to 10.92 years).\nCONCLUSION: The regimen used in this study is an alternative to cisplatin, etoposide, and bleomycin (BEP) for selected patients for whom minimizing toxicity (particularly neuropathy) is critical or for whom reduction in the number of treatment days is important.","DOI":"10.1016/j.ygyno.2004.07.044","ISSN":"0090-8258","note":"PMID: 15581952","shortTitle":"Adjuvant therapy of completely resected dysgerminoma with carboplatin and etoposide","journalAbbreviation":"Gynecol. Oncol.","language":"eng","author":[{"family":"Williams","given":"Stephen D."},{"family":"Kauderer","given":"James"},{"family":"Burnett","given":"Alexander F."},{"family":"Lentz","given":"Samuel S."},{"family":"Aghajanian","given":"Carol"},{"family":"Armstrong","given":"Deborah K."}],"issued":{"date-parts":[["2004",12]]}}}],"schema":"https://github.com/citation-style-language/schema/raw/master/csl-citation.json"} </w:instrText>
      </w:r>
      <w:r w:rsidR="00747925"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[11]</w:t>
      </w:r>
      <w:r w:rsidR="00747925" w:rsidRPr="00796F65">
        <w:rPr>
          <w:rFonts w:ascii="Times New Roman" w:hAnsi="Times New Roman" w:cs="Times New Roman"/>
          <w:vertAlign w:val="superscript"/>
        </w:rPr>
        <w:fldChar w:fldCharType="end"/>
      </w:r>
      <w:r w:rsidR="00747925" w:rsidRPr="00796F65">
        <w:rPr>
          <w:rFonts w:ascii="Times New Roman" w:hAnsi="Times New Roman" w:cs="Times New Roman"/>
        </w:rPr>
        <w:t xml:space="preserve"> In CCLG, (GC2) tested </w:t>
      </w:r>
      <w:r w:rsidR="00D03744" w:rsidRPr="00796F65">
        <w:rPr>
          <w:rFonts w:ascii="Times New Roman" w:hAnsi="Times New Roman" w:cs="Times New Roman"/>
        </w:rPr>
        <w:t>“JEb”</w:t>
      </w:r>
      <w:r w:rsidR="00E4705C" w:rsidRPr="00796F65">
        <w:rPr>
          <w:rFonts w:ascii="Times New Roman" w:hAnsi="Times New Roman" w:cs="Times New Roman"/>
        </w:rPr>
        <w:t xml:space="preserve"> </w:t>
      </w:r>
      <w:r w:rsidR="00D03744" w:rsidRPr="00796F65">
        <w:rPr>
          <w:rFonts w:ascii="Times New Roman" w:hAnsi="Times New Roman" w:cs="Times New Roman"/>
        </w:rPr>
        <w:t>=</w:t>
      </w:r>
      <w:r w:rsidR="00E4705C" w:rsidRPr="00796F65">
        <w:rPr>
          <w:rFonts w:ascii="Times New Roman" w:hAnsi="Times New Roman" w:cs="Times New Roman"/>
        </w:rPr>
        <w:t xml:space="preserve"> </w:t>
      </w:r>
      <w:r w:rsidR="00747925" w:rsidRPr="00796F65">
        <w:rPr>
          <w:rFonts w:ascii="Times New Roman" w:hAnsi="Times New Roman" w:cs="Times New Roman"/>
        </w:rPr>
        <w:t>carboplatin 600 mg/m</w:t>
      </w:r>
      <w:r w:rsidR="00747925" w:rsidRPr="00796F65">
        <w:rPr>
          <w:rFonts w:ascii="Times New Roman" w:hAnsi="Times New Roman" w:cs="Times New Roman"/>
          <w:vertAlign w:val="superscript"/>
        </w:rPr>
        <w:t>2</w:t>
      </w:r>
      <w:r w:rsidR="00747925" w:rsidRPr="00796F65">
        <w:rPr>
          <w:rFonts w:ascii="Times New Roman" w:hAnsi="Times New Roman" w:cs="Times New Roman"/>
        </w:rPr>
        <w:t>/cycle (area under the curve (AUC), 7.9 mg/mL per minute), etoposide 360 mg/m</w:t>
      </w:r>
      <w:r w:rsidR="00747925" w:rsidRPr="00796F65">
        <w:rPr>
          <w:rFonts w:ascii="Times New Roman" w:hAnsi="Times New Roman" w:cs="Times New Roman"/>
          <w:vertAlign w:val="superscript"/>
        </w:rPr>
        <w:t>2</w:t>
      </w:r>
      <w:r w:rsidR="00747925" w:rsidRPr="00796F65">
        <w:rPr>
          <w:rFonts w:ascii="Times New Roman" w:hAnsi="Times New Roman" w:cs="Times New Roman"/>
        </w:rPr>
        <w:t>/cycle, and bleomycin 15 Units/m</w:t>
      </w:r>
      <w:r w:rsidR="00747925" w:rsidRPr="00796F65">
        <w:rPr>
          <w:rFonts w:ascii="Times New Roman" w:hAnsi="Times New Roman" w:cs="Times New Roman"/>
          <w:vertAlign w:val="superscript"/>
        </w:rPr>
        <w:t>2</w:t>
      </w:r>
      <w:r w:rsidR="00747925" w:rsidRPr="00796F65">
        <w:rPr>
          <w:rFonts w:ascii="Times New Roman" w:hAnsi="Times New Roman" w:cs="Times New Roman"/>
        </w:rPr>
        <w:t>/cycle, administered every 21 days.</w:t>
      </w:r>
      <w:r w:rsidR="00747925"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15mahck3c5","properties":{"formattedCitation":"[7]","plainCitation":"[7]","noteIndex":0},"citationItems":[{"id":92,"uris":["http://zotero.org/users/608019/items/PTXF39VH"],"uri":["http://zotero.org/users/608019/items/PTXF39VH"],"itemData":{"id":92,"type":"article-journal","title":"The United Kingdom Children's Cancer Study Group's second germ cell tumor study: carboplatin, etoposide, and bleomycin are effective treatment for children with malignant extracranial germ cell tumors, with acceptable toxicity","container-title":"Journal of Clinical Oncology: Official Journal of the American Society of Clinical Oncology","page":"3809-3818","volume":"18","issue":"22","source":"PubMed","abstract":"PURPOSE: To evaluate carboplatin, etoposide, and bleomycin (JEB) in children with malignant extracranial germ cell tumors (GCTs).\nPATIENTS AND METHODS: Malignant GCTs in children aged 0 to 16 years were excised without major morbidity or otherwise biopsied. Stage I testicular and some ovarian GCTs were resected and monitored with alpha-fetoprotein (AFP) (\"watch-and-wait\" approach). Patients with recurrent stage I disease and all other patients received JEB (etoposide 120 mg/m(2) on days 1 through 3, carboplatin 600 mg/m(2) on day 2, and bleomycin 15 mg/m(2) on day 3). Courses were administered every 3 to 4 weeks until remission, and then two more courses were given. Chemotherapy toxicities were assessed using World Health Organization or Brock grading.\nRESULTS: Between January 1989 and December 1997, 192 patients were registered. Eight were excluded because either there was no histologic diagnosis (n = 3) or chemotherapy was given off-study (n = 5). The remaining 184 patients had germinoma (n = 20), malignant teratoma (n = 55), embryonal carcinoma (n = 1), yolk sac tumor (n = 107), or choriocarcinoma (n = 1). Forty-seven patients were treated with surgery alone, and 137 patients received JEB. The 5-year survival rate in March 1999 for all 184 patients was 93.2% (95% confidence interval [CI], 87.9% to 96.3%); for the 137 JEB-treated patients, it was 90.9% (95% CI, 83.9% to 95.0%), with an event-free survival rate of 87.8% (95% CI, 81.1% to 92.4%). The median follow-up after JEB treatment was 53 months (range, 0 to 109 months); the median number of courses was five (range, three to eight). Site, stage, and AFP level had prognostic significance. Nonfatal hematologic toxicity was common, but deafness and pulmonary and renal toxicities were rare. One child died of a thoracic tumor and bronchopulmonary dysplasia, and another died of acute myeloid leukemia.\nCONCLUSION: Conservative surgery, a watch-and-wait approach after complete excision, and JEB for those requiring chemotherapy produced high cure rates and few serious complications.","ISSN":"0732-183X","note":"PMID: 11078494","shortTitle":"The United Kingdom Children's Cancer Study Group's second germ cell tumor study","journalAbbreviation":"J. Clin. Oncol.","language":"eng","author":[{"family":"Mann","given":"J. R."},{"family":"Raafat","given":"F."},{"family":"Robinson","given":"K."},{"family":"Imeson","given":"J."},{"family":"Gornall","given":"P."},{"family":"Sokal","given":"M."},{"family":"Gray","given":"E."},{"family":"McKeever","given":"P."},{"family":"Hale","given":"J."},{"family":"Bailey","given":"S."},{"family":"Oakhill","given":"A."}],"issued":{"date-parts":[["2000",11,15]]}}}],"schema":"https://github.com/citation-style-language/schema/raw/master/csl-citation.json"} </w:instrText>
      </w:r>
      <w:r w:rsidR="00747925"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[7]</w:t>
      </w:r>
      <w:r w:rsidR="00747925" w:rsidRPr="00796F65">
        <w:rPr>
          <w:rFonts w:ascii="Times New Roman" w:hAnsi="Times New Roman" w:cs="Times New Roman"/>
          <w:vertAlign w:val="superscript"/>
        </w:rPr>
        <w:fldChar w:fldCharType="end"/>
      </w:r>
      <w:r w:rsidR="00747925" w:rsidRPr="00796F65">
        <w:rPr>
          <w:rFonts w:ascii="Times New Roman" w:hAnsi="Times New Roman" w:cs="Times New Roman"/>
          <w:vertAlign w:val="superscript"/>
        </w:rPr>
        <w:t xml:space="preserve"> </w:t>
      </w:r>
      <w:r w:rsidR="00747925" w:rsidRPr="00796F65">
        <w:rPr>
          <w:rFonts w:ascii="Times New Roman" w:hAnsi="Times New Roman" w:cs="Times New Roman"/>
        </w:rPr>
        <w:t>In GOG</w:t>
      </w:r>
      <w:r w:rsidR="00590BAF" w:rsidRPr="00796F65">
        <w:rPr>
          <w:rFonts w:ascii="Times New Roman" w:hAnsi="Times New Roman" w:cs="Times New Roman"/>
        </w:rPr>
        <w:t xml:space="preserve"> 0078</w:t>
      </w:r>
      <w:r w:rsidR="00747925" w:rsidRPr="00796F65">
        <w:rPr>
          <w:rFonts w:ascii="Times New Roman" w:hAnsi="Times New Roman" w:cs="Times New Roman"/>
        </w:rPr>
        <w:t xml:space="preserve">, the adult </w:t>
      </w:r>
      <w:r w:rsidR="00E4705C" w:rsidRPr="00796F65">
        <w:rPr>
          <w:rFonts w:ascii="Times New Roman" w:hAnsi="Times New Roman" w:cs="Times New Roman"/>
        </w:rPr>
        <w:t>“</w:t>
      </w:r>
      <w:r w:rsidR="00747925" w:rsidRPr="00796F65">
        <w:rPr>
          <w:rFonts w:ascii="Times New Roman" w:hAnsi="Times New Roman" w:cs="Times New Roman"/>
        </w:rPr>
        <w:t>BEP</w:t>
      </w:r>
      <w:r w:rsidR="00E4705C" w:rsidRPr="00796F65">
        <w:rPr>
          <w:rFonts w:ascii="Times New Roman" w:hAnsi="Times New Roman" w:cs="Times New Roman"/>
        </w:rPr>
        <w:t>”</w:t>
      </w:r>
      <w:r w:rsidR="00590BAF" w:rsidRPr="00796F65">
        <w:rPr>
          <w:rFonts w:ascii="Times New Roman" w:hAnsi="Times New Roman" w:cs="Times New Roman"/>
        </w:rPr>
        <w:t xml:space="preserve"> regimen </w:t>
      </w:r>
      <w:r w:rsidR="00747925" w:rsidRPr="00796F65">
        <w:rPr>
          <w:rFonts w:ascii="Times New Roman" w:hAnsi="Times New Roman" w:cs="Times New Roman"/>
        </w:rPr>
        <w:t>consisted of cisplatin 100 mg/m</w:t>
      </w:r>
      <w:r w:rsidR="00747925" w:rsidRPr="00796F65">
        <w:rPr>
          <w:rFonts w:ascii="Times New Roman" w:hAnsi="Times New Roman" w:cs="Times New Roman"/>
          <w:vertAlign w:val="superscript"/>
        </w:rPr>
        <w:t>2</w:t>
      </w:r>
      <w:r w:rsidR="00747925" w:rsidRPr="00796F65">
        <w:rPr>
          <w:rFonts w:ascii="Times New Roman" w:hAnsi="Times New Roman" w:cs="Times New Roman"/>
        </w:rPr>
        <w:t>/cycle, etoposide 500 mg/m</w:t>
      </w:r>
      <w:r w:rsidR="00747925" w:rsidRPr="00796F65">
        <w:rPr>
          <w:rFonts w:ascii="Times New Roman" w:hAnsi="Times New Roman" w:cs="Times New Roman"/>
          <w:vertAlign w:val="superscript"/>
        </w:rPr>
        <w:t>2</w:t>
      </w:r>
      <w:r w:rsidR="00747925" w:rsidRPr="00796F65">
        <w:rPr>
          <w:rFonts w:ascii="Times New Roman" w:hAnsi="Times New Roman" w:cs="Times New Roman"/>
        </w:rPr>
        <w:t xml:space="preserve">/cycle, and bleomycin </w:t>
      </w:r>
      <w:r w:rsidR="00590BAF" w:rsidRPr="00796F65">
        <w:rPr>
          <w:rFonts w:ascii="Times New Roman" w:hAnsi="Times New Roman" w:cs="Times New Roman"/>
        </w:rPr>
        <w:t>30</w:t>
      </w:r>
      <w:r w:rsidR="00747925" w:rsidRPr="00796F65">
        <w:rPr>
          <w:rFonts w:ascii="Times New Roman" w:hAnsi="Times New Roman" w:cs="Times New Roman"/>
        </w:rPr>
        <w:t xml:space="preserve"> Units</w:t>
      </w:r>
      <w:r w:rsidR="00590BAF" w:rsidRPr="00796F65">
        <w:rPr>
          <w:rFonts w:ascii="Times New Roman" w:hAnsi="Times New Roman" w:cs="Times New Roman"/>
        </w:rPr>
        <w:t xml:space="preserve"> weekly</w:t>
      </w:r>
      <w:r w:rsidR="00AC149F" w:rsidRPr="00796F65">
        <w:rPr>
          <w:rFonts w:ascii="Times New Roman" w:hAnsi="Times New Roman" w:cs="Times New Roman"/>
        </w:rPr>
        <w:t xml:space="preserve"> (Days 1, 8, 15)</w:t>
      </w:r>
      <w:r w:rsidR="00747925" w:rsidRPr="00796F65">
        <w:rPr>
          <w:rFonts w:ascii="Times New Roman" w:hAnsi="Times New Roman" w:cs="Times New Roman"/>
        </w:rPr>
        <w:t>, administered every 21 days.</w:t>
      </w:r>
      <w:r w:rsidR="00747925"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fuiE08XU","properties":{"formattedCitation":"[10]","plainCitation":"[10]","noteIndex":0},"citationItems":[{"id":115,"uris":["http://zotero.org/users/608019/items/WCBWFM3K"],"uri":["http://zotero.org/users/608019/items/WCBWFM3K"],"itemData":{"id":115,"type":"article-journal","title":"Adjuvant therapy of ovarian germ cell tumors with cisplatin, etoposide, and bleomycin: a trial of the Gynecologic Oncology Group","container-title":"Journal of Clinical Oncology: Official Journal of the American Society of Clinical Oncology","page":"701-706","volume":"12","issue":"4","source":"PubMed","abstract":"PURPOSE: This study was performed to determine the effectiveness of postoperative adjuvant chemotherapy in patients with surgically resected ovarian germ cell tumors.\nPATIENTS AND METHODS: After tumor removal and thorough surgical staging, patients were enrolled on this study and treated with three courses of cisplatin, etoposide, and bleomycin (BEP). Reassessment laparotomy was required of consenting, appropriate patients initially, but became an optional procedure in 1989.\nRESULTS: Of 93 patients assessable on this trial, 89 are continuously free of germ cell cancer. At second-look laparotomy, two other patients were found to have small foci of immature teratoma; both remain clinically free of recurrence. One received subsequent alternate chemotherapy and one did not. Thus, 91 of 93 patients are currently free of germ cell cancer. Follow-up duration ranges from 4.0 to 90.3 months, with 67 patients monitored for longer than 2 years. Acute toxicity was moderate. One patient developed acute myelomonocytic leukemia 22 months after diagnosis. Another patient was noted to have a malignant lymphoma 69 months after protocol treatment.\nCONCLUSION: Three courses of BEP will nearly always prevent recurrence in well-staged patients with completely resected ovarian germ cell tumors and should be given to all such patients. The development of acute leukemia as a complication of treatment is disturbing and mandates careful long-term follow-up, but is unusual and does not alter the risk-to-benefit ratio of treatment.","ISSN":"0732-183X","note":"PMID: 7512129","shortTitle":"Adjuvant therapy of ovarian germ cell tumors with cisplatin, etoposide, and bleomycin","journalAbbreviation":"J. Clin. Oncol.","language":"eng","author":[{"family":"Williams","given":"S."},{"family":"Blessing","given":"J. A."},{"family":"Liao","given":"S. Y."},{"family":"Ball","given":"H."},{"family":"Hanjani","given":"P."}],"issued":{"date-parts":[["1994",4]]}},"label":"page"}],"schema":"https://github.com/citation-style-language/schema/raw/master/csl-citation.json"} </w:instrText>
      </w:r>
      <w:r w:rsidR="00747925" w:rsidRPr="00796F65">
        <w:rPr>
          <w:rFonts w:ascii="Times New Roman" w:hAnsi="Times New Roman" w:cs="Times New Roman"/>
          <w:vertAlign w:val="superscript"/>
        </w:rPr>
        <w:fldChar w:fldCharType="separate"/>
      </w:r>
      <w:r w:rsidR="00300877" w:rsidRPr="00796F65">
        <w:rPr>
          <w:rFonts w:ascii="Times New Roman" w:hAnsi="Times New Roman" w:cs="Times New Roman"/>
          <w:noProof/>
          <w:vertAlign w:val="superscript"/>
        </w:rPr>
        <w:t>[10]</w:t>
      </w:r>
      <w:r w:rsidR="00747925" w:rsidRPr="00796F65">
        <w:rPr>
          <w:rFonts w:ascii="Times New Roman" w:hAnsi="Times New Roman" w:cs="Times New Roman"/>
          <w:vertAlign w:val="superscript"/>
        </w:rPr>
        <w:fldChar w:fldCharType="end"/>
      </w:r>
      <w:r w:rsidR="00747925" w:rsidRPr="00796F65">
        <w:rPr>
          <w:rFonts w:ascii="Times New Roman" w:hAnsi="Times New Roman" w:cs="Times New Roman"/>
          <w:vertAlign w:val="superscript"/>
        </w:rPr>
        <w:t xml:space="preserve"> </w:t>
      </w:r>
      <w:r w:rsidR="00590BAF" w:rsidRPr="00796F65">
        <w:rPr>
          <w:rFonts w:ascii="Times New Roman" w:hAnsi="Times New Roman" w:cs="Times New Roman"/>
        </w:rPr>
        <w:t>In GOG 0090, the adult “BEP” regimen consisted of cisplatin 100 mg/m</w:t>
      </w:r>
      <w:r w:rsidR="00590BAF" w:rsidRPr="00796F65">
        <w:rPr>
          <w:rFonts w:ascii="Times New Roman" w:hAnsi="Times New Roman" w:cs="Times New Roman"/>
          <w:vertAlign w:val="superscript"/>
        </w:rPr>
        <w:t>2</w:t>
      </w:r>
      <w:r w:rsidR="00590BAF" w:rsidRPr="00796F65">
        <w:rPr>
          <w:rFonts w:ascii="Times New Roman" w:hAnsi="Times New Roman" w:cs="Times New Roman"/>
        </w:rPr>
        <w:t>/cycle, etoposide 500 mg/m</w:t>
      </w:r>
      <w:r w:rsidR="00590BAF" w:rsidRPr="00796F65">
        <w:rPr>
          <w:rFonts w:ascii="Times New Roman" w:hAnsi="Times New Roman" w:cs="Times New Roman"/>
          <w:vertAlign w:val="superscript"/>
        </w:rPr>
        <w:t>2</w:t>
      </w:r>
      <w:r w:rsidR="00590BAF" w:rsidRPr="00796F65">
        <w:rPr>
          <w:rFonts w:ascii="Times New Roman" w:hAnsi="Times New Roman" w:cs="Times New Roman"/>
        </w:rPr>
        <w:t>/cycle, and bleomycin 60 Units/m</w:t>
      </w:r>
      <w:r w:rsidR="00590BAF" w:rsidRPr="00796F65">
        <w:rPr>
          <w:rFonts w:ascii="Times New Roman" w:hAnsi="Times New Roman" w:cs="Times New Roman"/>
          <w:vertAlign w:val="superscript"/>
        </w:rPr>
        <w:t>2</w:t>
      </w:r>
      <w:r w:rsidR="00590BAF" w:rsidRPr="00796F65">
        <w:rPr>
          <w:rFonts w:ascii="Times New Roman" w:hAnsi="Times New Roman" w:cs="Times New Roman"/>
        </w:rPr>
        <w:t>/cycle (20 Units/m</w:t>
      </w:r>
      <w:r w:rsidR="00590BAF" w:rsidRPr="00796F65">
        <w:rPr>
          <w:rFonts w:ascii="Times New Roman" w:hAnsi="Times New Roman" w:cs="Times New Roman"/>
          <w:vertAlign w:val="superscript"/>
        </w:rPr>
        <w:t>2</w:t>
      </w:r>
      <w:r w:rsidR="00093363" w:rsidRPr="00796F65">
        <w:rPr>
          <w:rFonts w:ascii="Times New Roman" w:hAnsi="Times New Roman" w:cs="Times New Roman"/>
        </w:rPr>
        <w:t>/dose on</w:t>
      </w:r>
      <w:r w:rsidR="00590BAF" w:rsidRPr="00796F65">
        <w:rPr>
          <w:rFonts w:ascii="Times New Roman" w:hAnsi="Times New Roman" w:cs="Times New Roman"/>
        </w:rPr>
        <w:t xml:space="preserve"> Days 1, 8, 15), administered every 21 days.</w:t>
      </w:r>
      <w:r w:rsidR="00590BAF"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ACu6jWzN","properties":{"formattedCitation":"[9]","plainCitation":"[9]","noteIndex":0},"citationItems":[{"id":36,"uris":["http://zotero.org/users/608019/items/BT6ZNJBE"],"uri":["http://zotero.org/users/608019/items/BT6ZNJBE"],"itemData":{"id":36,"type":"article-journal","title":"Chemotherapy of advanced dysgerminoma: trials of the Gynecologic Oncology Group.","container-title":"Journal of Clinical Oncology","page":"1950-1955","volume":"9","issue":"11","source":"jco.ascopubs.org","abstract":"Between 1984 and 1989, 20 assessable patients with incompletely resected ovarian dysgerminoma were treated on two protocols of the Gynecologic Oncology Group (GOG). All patients received cisplatin, bleomycin, and either vinblastine or etoposide. More recent patients also received consolidation chemotherapy with vincristine, dactinomycin, and cyclophosphamide (VAC). Eleven patients had clinically measurable disease, and 10 responded completely. Fourteen second-look procedures were done, and all were negative. Currently, 19 of 20 patients are disease-free with median follow-up of 26 months. Cisplatin-based chemotherapy is highly effective in patients with advanced dysgerminoma.","ISSN":"0732-183X, 1527-7755","note":"PMID: 1719142","shortTitle":"Chemotherapy of advanced dysgerminoma","journalAbbreviation":"JCO","language":"en","author":[{"family":"Williams","given":"S. D."},{"family":"Blessing","given":"J. A."},{"family":"Hatch","given":"K. D."},{"family":"Homesley","given":"H. D."}],"issued":{"date-parts":[["1991",11,1]]}}}],"schema":"https://github.com/citation-style-language/schema/raw/master/csl-citation.json"} </w:instrText>
      </w:r>
      <w:r w:rsidR="00590BAF" w:rsidRPr="00796F65">
        <w:rPr>
          <w:rFonts w:ascii="Times New Roman" w:hAnsi="Times New Roman" w:cs="Times New Roman"/>
          <w:vertAlign w:val="superscript"/>
        </w:rPr>
        <w:fldChar w:fldCharType="separate"/>
      </w:r>
      <w:r w:rsidR="00300877" w:rsidRPr="00796F65">
        <w:rPr>
          <w:rFonts w:ascii="Times New Roman" w:hAnsi="Times New Roman" w:cs="Times New Roman"/>
          <w:noProof/>
          <w:vertAlign w:val="superscript"/>
        </w:rPr>
        <w:t>[9]</w:t>
      </w:r>
      <w:r w:rsidR="00590BAF" w:rsidRPr="00796F65">
        <w:rPr>
          <w:rFonts w:ascii="Times New Roman" w:hAnsi="Times New Roman" w:cs="Times New Roman"/>
          <w:vertAlign w:val="superscript"/>
        </w:rPr>
        <w:fldChar w:fldCharType="end"/>
      </w:r>
      <w:r w:rsidR="00300877" w:rsidRPr="00796F65">
        <w:rPr>
          <w:rFonts w:ascii="Times New Roman" w:hAnsi="Times New Roman" w:cs="Times New Roman"/>
          <w:vertAlign w:val="superscript"/>
        </w:rPr>
        <w:t xml:space="preserve"> </w:t>
      </w:r>
      <w:r w:rsidR="00D6275E" w:rsidRPr="00796F65">
        <w:rPr>
          <w:rFonts w:ascii="Times New Roman" w:hAnsi="Times New Roman" w:cs="Times New Roman"/>
        </w:rPr>
        <w:t>I</w:t>
      </w:r>
      <w:r w:rsidR="008353C5" w:rsidRPr="00796F65">
        <w:rPr>
          <w:rFonts w:ascii="Times New Roman" w:hAnsi="Times New Roman" w:cs="Times New Roman"/>
        </w:rPr>
        <w:t>n CCLG</w:t>
      </w:r>
      <w:r w:rsidR="00D6275E" w:rsidRPr="00796F65">
        <w:rPr>
          <w:rFonts w:ascii="Times New Roman" w:hAnsi="Times New Roman" w:cs="Times New Roman"/>
        </w:rPr>
        <w:t xml:space="preserve">, the </w:t>
      </w:r>
      <w:r w:rsidR="00E4705C" w:rsidRPr="00796F65">
        <w:rPr>
          <w:rFonts w:ascii="Times New Roman" w:hAnsi="Times New Roman" w:cs="Times New Roman"/>
        </w:rPr>
        <w:t>“</w:t>
      </w:r>
      <w:r w:rsidR="00D6275E" w:rsidRPr="00796F65">
        <w:rPr>
          <w:rFonts w:ascii="Times New Roman" w:hAnsi="Times New Roman" w:cs="Times New Roman"/>
        </w:rPr>
        <w:t>PEb</w:t>
      </w:r>
      <w:r w:rsidR="00E4705C" w:rsidRPr="00796F65">
        <w:rPr>
          <w:rFonts w:ascii="Times New Roman" w:hAnsi="Times New Roman" w:cs="Times New Roman"/>
        </w:rPr>
        <w:t>”</w:t>
      </w:r>
      <w:r w:rsidR="00D6275E" w:rsidRPr="00796F65">
        <w:rPr>
          <w:rFonts w:ascii="Times New Roman" w:hAnsi="Times New Roman" w:cs="Times New Roman"/>
        </w:rPr>
        <w:t xml:space="preserve"> </w:t>
      </w:r>
      <w:r w:rsidR="00B90988" w:rsidRPr="00796F65">
        <w:rPr>
          <w:rFonts w:ascii="Times New Roman" w:hAnsi="Times New Roman" w:cs="Times New Roman"/>
        </w:rPr>
        <w:t xml:space="preserve">(pediatric BEP) </w:t>
      </w:r>
      <w:r w:rsidR="00D6275E" w:rsidRPr="00796F65">
        <w:rPr>
          <w:rFonts w:ascii="Times New Roman" w:hAnsi="Times New Roman" w:cs="Times New Roman"/>
        </w:rPr>
        <w:t>regimen (GC</w:t>
      </w:r>
      <w:r w:rsidR="000A1F33" w:rsidRPr="00796F65">
        <w:rPr>
          <w:rFonts w:ascii="Times New Roman" w:hAnsi="Times New Roman" w:cs="Times New Roman"/>
        </w:rPr>
        <w:t>1</w:t>
      </w:r>
      <w:r w:rsidR="00D6275E" w:rsidRPr="00796F65">
        <w:rPr>
          <w:rFonts w:ascii="Times New Roman" w:hAnsi="Times New Roman" w:cs="Times New Roman"/>
        </w:rPr>
        <w:t xml:space="preserve">) </w:t>
      </w:r>
      <w:r w:rsidR="002C2568" w:rsidRPr="00796F65">
        <w:rPr>
          <w:rFonts w:ascii="Times New Roman" w:hAnsi="Times New Roman" w:cs="Times New Roman"/>
        </w:rPr>
        <w:t>consisted of</w:t>
      </w:r>
      <w:r w:rsidR="00D6275E" w:rsidRPr="00796F65">
        <w:rPr>
          <w:rFonts w:ascii="Times New Roman" w:hAnsi="Times New Roman" w:cs="Times New Roman"/>
        </w:rPr>
        <w:t xml:space="preserve"> cisplatin 100 mg/m</w:t>
      </w:r>
      <w:r w:rsidR="00D6275E" w:rsidRPr="00796F65">
        <w:rPr>
          <w:rFonts w:ascii="Times New Roman" w:hAnsi="Times New Roman" w:cs="Times New Roman"/>
          <w:vertAlign w:val="superscript"/>
        </w:rPr>
        <w:t>2</w:t>
      </w:r>
      <w:r w:rsidR="00D6275E" w:rsidRPr="00796F65">
        <w:rPr>
          <w:rFonts w:ascii="Times New Roman" w:hAnsi="Times New Roman" w:cs="Times New Roman"/>
        </w:rPr>
        <w:t>/cycle, etoposide 360 mg/m</w:t>
      </w:r>
      <w:r w:rsidR="00D6275E" w:rsidRPr="00796F65">
        <w:rPr>
          <w:rFonts w:ascii="Times New Roman" w:hAnsi="Times New Roman" w:cs="Times New Roman"/>
          <w:vertAlign w:val="superscript"/>
        </w:rPr>
        <w:t>2</w:t>
      </w:r>
      <w:r w:rsidR="00D6275E" w:rsidRPr="00796F65">
        <w:rPr>
          <w:rFonts w:ascii="Times New Roman" w:hAnsi="Times New Roman" w:cs="Times New Roman"/>
        </w:rPr>
        <w:t>/cycle, and bleomycin 15 Units/m</w:t>
      </w:r>
      <w:r w:rsidR="00D6275E" w:rsidRPr="00796F65">
        <w:rPr>
          <w:rFonts w:ascii="Times New Roman" w:hAnsi="Times New Roman" w:cs="Times New Roman"/>
          <w:vertAlign w:val="superscript"/>
        </w:rPr>
        <w:t>2</w:t>
      </w:r>
      <w:r w:rsidR="00D6275E" w:rsidRPr="00796F65">
        <w:rPr>
          <w:rFonts w:ascii="Times New Roman" w:hAnsi="Times New Roman" w:cs="Times New Roman"/>
        </w:rPr>
        <w:t>/cycle, administered every 21 days.</w:t>
      </w:r>
      <w:r w:rsidR="00E33EF7"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vDn5b0UI","properties":{"formattedCitation":"[8]","plainCitation":"[8]","noteIndex":0},"citationItems":[{"id":111,"uris":["http://zotero.org/users/608019/items/W5JVXH53"],"uri":["http://zotero.org/users/608019/items/W5JVXH53"],"itemData":{"id":111,"type":"article-journal","title":"Results of the United Kingdom Children's Cancer Study Group's malignant germ cell tumor studies","container-title":"Cancer","page":"1657-1667","volume":"63","issue":"9","source":"PubMed","abstract":"The United Kingdom Children's Cancer Study Group's malignant germ cell tumor studies were undertaken to establish standard protocols for investigating, staging, and treating children, and to study the efficacy of new drug combinations and the value of serial measurement of serum alphafetoprotein (AFP) and human chorionic gonadotrophin (HCG). Boys with Stage I testicular tumors were treated by orchidectomy alone, whereas, after appropriate surgery, chemotherapy was recommended for children with more advanced testicular tumors or with tumors at other sites. From 1979 to 1987, 126 children aged 0 to younger than 16 years with malignant germ cell tumors were registered. They were similar to patients in other large pediatric series with respect to sites of origin, age at presentation in relationship to primary site, histology, female predominance for sacrococcygeal site, and presence of associated malformations (present in 17%). Serum AFP was measured in 123 patients and was elevated in 115, whereas HCG was raised in 19 of 77. Monitoring by serial AFP measurement proved valuable in assessing response to therapy and in early detection of tumor recurrence. When treatment results were assessed in February 1988, 101 of 122 patients were alive (four who received nonprotocol chemotherapy were excluded). Forty-four patients had been cured by surgery alone (41 with testicular tumors, two with ovarian tumors, and one with sacrococcygeal tumor). All of the remaining 78 children received chemotherapy. The initial low dose vincristine, actinomycin, and cyclophosphamide (LDVAC) regimen proved ineffective, actuarial survival at 5 years followup being 8% (12 patients), and a regimen of cisplatin, vinblastine, and bleomycin (PVB) caused unacceptable toxicity, with actuarial survival at 5 years follow-up being 67% (nine patients). Five-year actuarial survival was 87% for 17 children given high dose VAC with or without doxorubicin and 84% for 33 given bleomycin, etoposide, and cisplatin (BEP). All 7 children given various combinations of these regimens survived. Excluding the 12 LDVAC cases, patient survival by site was as follows: testis (59 patients, 100%); vagina, uterus, and prostate (four patients, 100%); ovary (25 patients, 88%); thorax (five patients, 40%), and other (four patients, 67%). Similarly, patient survival by stage was Stage I (62,97%), Stage II (14,86%); Stage III (18,83%); and Stage IV (16,72%). Survival by histology was analysed only in cases for which histologic review had been done the LDVAC cases were excluded.(ABSTRACT TRUNCATED AT 400 WORDS)","ISSN":"0008-543X","note":"PMID: 2467734","journalAbbreviation":"Cancer","language":"eng","author":[{"family":"Mann","given":"J. R."},{"family":"Pearson","given":"D."},{"family":"Barrett","given":"A."},{"family":"Raafat","given":"F."},{"family":"Barnes","given":"J. M."},{"family":"Wallendszus","given":"K. R."}],"issued":{"date-parts":[["1989",5,1]]}}}],"schema":"https://github.com/citation-style-language/schema/raw/master/csl-citation.json"} </w:instrText>
      </w:r>
      <w:r w:rsidR="00E33EF7"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[8]</w:t>
      </w:r>
      <w:r w:rsidR="00E33EF7" w:rsidRPr="00796F65">
        <w:rPr>
          <w:rFonts w:ascii="Times New Roman" w:hAnsi="Times New Roman" w:cs="Times New Roman"/>
          <w:vertAlign w:val="superscript"/>
        </w:rPr>
        <w:fldChar w:fldCharType="end"/>
      </w:r>
      <w:r w:rsidR="00D6275E" w:rsidRPr="00796F65">
        <w:rPr>
          <w:rFonts w:ascii="Times New Roman" w:hAnsi="Times New Roman" w:cs="Times New Roman"/>
        </w:rPr>
        <w:t xml:space="preserve"> </w:t>
      </w:r>
      <w:r w:rsidR="008353C5" w:rsidRPr="00796F65">
        <w:rPr>
          <w:rFonts w:ascii="Times New Roman" w:hAnsi="Times New Roman" w:cs="Times New Roman"/>
        </w:rPr>
        <w:t>In</w:t>
      </w:r>
      <w:r w:rsidR="007D4421" w:rsidRPr="00796F65">
        <w:rPr>
          <w:rFonts w:ascii="Times New Roman" w:hAnsi="Times New Roman" w:cs="Times New Roman"/>
        </w:rPr>
        <w:t xml:space="preserve"> </w:t>
      </w:r>
      <w:r w:rsidR="008353C5" w:rsidRPr="00796F65">
        <w:rPr>
          <w:rFonts w:ascii="Times New Roman" w:hAnsi="Times New Roman" w:cs="Times New Roman"/>
        </w:rPr>
        <w:t>COG</w:t>
      </w:r>
      <w:r w:rsidR="00D91BEE" w:rsidRPr="00796F65">
        <w:rPr>
          <w:rFonts w:ascii="Times New Roman" w:hAnsi="Times New Roman" w:cs="Times New Roman"/>
        </w:rPr>
        <w:t>,</w:t>
      </w:r>
      <w:r w:rsidR="004850EE" w:rsidRPr="00796F65">
        <w:rPr>
          <w:rFonts w:ascii="Times New Roman" w:hAnsi="Times New Roman" w:cs="Times New Roman"/>
        </w:rPr>
        <w:t xml:space="preserve"> </w:t>
      </w:r>
      <w:r w:rsidR="006D00D6" w:rsidRPr="00796F65">
        <w:rPr>
          <w:rFonts w:ascii="Times New Roman" w:hAnsi="Times New Roman" w:cs="Times New Roman"/>
        </w:rPr>
        <w:t xml:space="preserve">the </w:t>
      </w:r>
      <w:r w:rsidR="00E4705C" w:rsidRPr="00796F65">
        <w:rPr>
          <w:rFonts w:ascii="Times New Roman" w:hAnsi="Times New Roman" w:cs="Times New Roman"/>
        </w:rPr>
        <w:t>“</w:t>
      </w:r>
      <w:r w:rsidR="004850EE" w:rsidRPr="00796F65">
        <w:rPr>
          <w:rFonts w:ascii="Times New Roman" w:hAnsi="Times New Roman" w:cs="Times New Roman"/>
        </w:rPr>
        <w:t>PEb</w:t>
      </w:r>
      <w:r w:rsidR="00E4705C" w:rsidRPr="00796F65">
        <w:rPr>
          <w:rFonts w:ascii="Times New Roman" w:hAnsi="Times New Roman" w:cs="Times New Roman"/>
        </w:rPr>
        <w:t>”</w:t>
      </w:r>
      <w:r w:rsidR="00267715" w:rsidRPr="00796F65">
        <w:rPr>
          <w:rFonts w:ascii="Times New Roman" w:hAnsi="Times New Roman" w:cs="Times New Roman"/>
        </w:rPr>
        <w:t xml:space="preserve"> (pediatric BEP) </w:t>
      </w:r>
      <w:r w:rsidR="007D4421" w:rsidRPr="00796F65">
        <w:rPr>
          <w:rFonts w:ascii="Times New Roman" w:hAnsi="Times New Roman" w:cs="Times New Roman"/>
        </w:rPr>
        <w:t xml:space="preserve">regimen </w:t>
      </w:r>
      <w:r w:rsidR="00452B1F" w:rsidRPr="00796F65">
        <w:rPr>
          <w:rFonts w:ascii="Times New Roman" w:hAnsi="Times New Roman" w:cs="Times New Roman"/>
        </w:rPr>
        <w:t>(</w:t>
      </w:r>
      <w:r w:rsidR="002C2568" w:rsidRPr="00796F65">
        <w:rPr>
          <w:rFonts w:ascii="Times New Roman" w:hAnsi="Times New Roman" w:cs="Times New Roman"/>
        </w:rPr>
        <w:t>INT-0097</w:t>
      </w:r>
      <w:r w:rsidR="00921993" w:rsidRPr="00796F65">
        <w:rPr>
          <w:rFonts w:ascii="Times New Roman" w:hAnsi="Times New Roman" w:cs="Times New Roman"/>
        </w:rPr>
        <w:t>, Arm II</w:t>
      </w:r>
      <w:r w:rsidR="00452B1F" w:rsidRPr="00796F65">
        <w:rPr>
          <w:rFonts w:ascii="Times New Roman" w:hAnsi="Times New Roman" w:cs="Times New Roman"/>
        </w:rPr>
        <w:t xml:space="preserve">) </w:t>
      </w:r>
      <w:r w:rsidR="002C2568" w:rsidRPr="00796F65">
        <w:rPr>
          <w:rFonts w:ascii="Times New Roman" w:hAnsi="Times New Roman" w:cs="Times New Roman"/>
        </w:rPr>
        <w:t>consisted of</w:t>
      </w:r>
      <w:r w:rsidR="007D4421" w:rsidRPr="00796F65">
        <w:rPr>
          <w:rFonts w:ascii="Times New Roman" w:hAnsi="Times New Roman" w:cs="Times New Roman"/>
        </w:rPr>
        <w:t xml:space="preserve"> cisplatin 100 mg/m</w:t>
      </w:r>
      <w:r w:rsidR="007D4421" w:rsidRPr="00796F65">
        <w:rPr>
          <w:rFonts w:ascii="Times New Roman" w:hAnsi="Times New Roman" w:cs="Times New Roman"/>
          <w:vertAlign w:val="superscript"/>
        </w:rPr>
        <w:t>2</w:t>
      </w:r>
      <w:r w:rsidR="00AA04E2" w:rsidRPr="00796F65">
        <w:rPr>
          <w:rFonts w:ascii="Times New Roman" w:hAnsi="Times New Roman" w:cs="Times New Roman"/>
        </w:rPr>
        <w:t>/cycle</w:t>
      </w:r>
      <w:r w:rsidR="007D4421" w:rsidRPr="00796F65">
        <w:rPr>
          <w:rFonts w:ascii="Times New Roman" w:hAnsi="Times New Roman" w:cs="Times New Roman"/>
        </w:rPr>
        <w:t>, etoposide 500 mg/m</w:t>
      </w:r>
      <w:r w:rsidR="007D4421" w:rsidRPr="00796F65">
        <w:rPr>
          <w:rFonts w:ascii="Times New Roman" w:hAnsi="Times New Roman" w:cs="Times New Roman"/>
          <w:vertAlign w:val="superscript"/>
        </w:rPr>
        <w:t>2</w:t>
      </w:r>
      <w:r w:rsidR="00AA04E2" w:rsidRPr="00796F65">
        <w:rPr>
          <w:rFonts w:ascii="Times New Roman" w:hAnsi="Times New Roman" w:cs="Times New Roman"/>
        </w:rPr>
        <w:t>/cycle</w:t>
      </w:r>
      <w:r w:rsidR="007D4421" w:rsidRPr="00796F65">
        <w:rPr>
          <w:rFonts w:ascii="Times New Roman" w:hAnsi="Times New Roman" w:cs="Times New Roman"/>
        </w:rPr>
        <w:t xml:space="preserve">, and bleomycin 15 </w:t>
      </w:r>
      <w:r w:rsidR="00946E7D" w:rsidRPr="00796F65">
        <w:rPr>
          <w:rFonts w:ascii="Times New Roman" w:hAnsi="Times New Roman" w:cs="Times New Roman"/>
        </w:rPr>
        <w:t>Units</w:t>
      </w:r>
      <w:r w:rsidR="007D4421" w:rsidRPr="00796F65">
        <w:rPr>
          <w:rFonts w:ascii="Times New Roman" w:hAnsi="Times New Roman" w:cs="Times New Roman"/>
        </w:rPr>
        <w:t>/m</w:t>
      </w:r>
      <w:r w:rsidR="007D4421" w:rsidRPr="00796F65">
        <w:rPr>
          <w:rFonts w:ascii="Times New Roman" w:hAnsi="Times New Roman" w:cs="Times New Roman"/>
          <w:vertAlign w:val="superscript"/>
        </w:rPr>
        <w:t>2</w:t>
      </w:r>
      <w:r w:rsidR="00AA04E2" w:rsidRPr="00796F65">
        <w:rPr>
          <w:rFonts w:ascii="Times New Roman" w:hAnsi="Times New Roman" w:cs="Times New Roman"/>
        </w:rPr>
        <w:t>/cycle</w:t>
      </w:r>
      <w:r w:rsidR="007D4421" w:rsidRPr="00796F65">
        <w:rPr>
          <w:rFonts w:ascii="Times New Roman" w:hAnsi="Times New Roman" w:cs="Times New Roman"/>
        </w:rPr>
        <w:t>, administered every 21 days.</w:t>
      </w:r>
      <w:r w:rsidR="00B549EA"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{"citationID":"oH7VITxR","properties":{"formattedCitation":"[13, 15]","plainCitation":"[13, 15]","noteIndex":0},"citationItems":[{"id":14,"uris":["http://zotero.org/users/608019/items/3VJWN343"],"uri":["http://zotero.org/users/608019/items/3VJWN343"],"itemData":{"id":14,"type":"article-journal","title":"Randomized comparison of combination chemotherapy with etoposide, bleomycin, and either high-dose or standard-dose cisplatin in children and adolescents with high-risk malignant germ cell tumors: a pediatric intergroup study--Pediatric Oncology Group 9049 and Children's Cancer Group 8882","container-title":"Journal of Clinical Oncology: Official Journal of the American Society of Clinical Oncology","page":"2691-2700","volume":"22","issue":"13","source":"PubMed","abstract":"PURPOSE: To determine in a randomized comparison whether combination chemotherapy with high-dose cisplatin (HDPEB) improves the event-free (EFS) and overall (OS) survival of children and adolescents with high-risk malignant germ cell tumors (MGCT) as compared with standard-dose cisplatin (PEB) and to compare the regimens' toxicity.\nPATIENTS AND METHODS: Between March 1990 and February 1996, 299 eligible patients with stage III and IV gonadal and extragonadal (all stages) MGCT were enrolled onto this Pediatric Oncology Group and Children's Cancer Group study. Chemotherapy included bleomycin 15 units/m(2) on day 1, etoposide 100 mg/m(2) on days 1 through 5, and either high-dose cisplatin 40 mg/m(2) on days 1 through 5 (HDPEB; n = 149) or standard-dose cisplatin 20 mg/m(2) on days 1 through 5 (PEB; n = 150). Patients were evaluated after four cycles of therapy, and those with residual disease underwent surgery. Those with malignant disease in resected specimen received two additional cycles of their assigned regimen.\nRESULTS: One hundred thirty-four eligible patients with advanced testicular (n = 60) or ovarian (n = 74) tumors and 165 with stage I to IV extragonadal tumors were enrolled. HDPEB treatment resulted in significantly improved 6-year EFS rate +/- SE (89.6% +/- 3.6% v 80.5% +/- 4.8% for PEB; P =.0284). There was no significant difference in OS (HDPEB 91.7% +/- 3.3% v PEB 86.0% +/- 4.1%). Tumor-related deaths were more common after PEB (14 deaths v two deaths). Toxic deaths were more common with HDPEB (six deaths v one death). Other treatment-related toxicities were more common with HDPEB.\nCONCLUSION: Combination chemotherapy with HDPEB significantly improves EFS for children with high-risk MGCT. The OS is similar in both regimens, and the significant toxicity associated with HDPEB limits its use.","DOI":"10.1200/JCO.2004.08.015","ISSN":"0732-183X","note":"PMID: 15226336","shortTitle":"Randomized comparison of combination chemotherapy with etoposide, bleomycin, and either high-dose or standard-dose cisplatin in children and adolescents with high-risk malignant germ cell tumors","journalAbbreviation":"J. Clin. Oncol.","language":"eng","author":[{"family":"Cushing","given":"Barbara"},{"family":"Giller","given":"Roger"},{"family":"Cullen","given":"John W."},{"family":"Marina","given":"Neyssa M."},{"family":"Lauer","given":"Stephen J."},{"family":"Olson","given":"Thomas A."},{"family":"Rogers","given":"Paul C."},{"family":"Colombani","given":"Paul"},{"family":"Rescorla","given":"Frederick"},{"family":"Billmire","given":"Deborah F."},{"family":"Vinocur","given":"Charles D."},{"family":"Hawkins","given":"Edith P."},{"family":"Davis","given":"Mary Margaret"},{"family":"Perlman","given":"Elizabeth J."},{"family":"London","given":"Wendy B."},{"family":"Castleberry","given":"Robert P."},{"literal":"Pediatric Oncology Group 9049"},{"literal":"Children's Cancer Group 8882"}],"issued":{"date-parts":[["2004",7,1]]}},"label":"page"},{"id":29,"uris":["http://zotero.org/users/608019/items/8WCCF5TR"],"uri":["http://zotero.org/users/608019/items/8WCCF5TR"],"itemData":{"id":29,"type":"article-journal","title":"Prognostic factors in children with extragonadal malignant germ cell tumors: a pediatric intergroup study","container-title":"Journal of Clinical Oncology: Official Journal of the American Society of Clinical Oncology","page":"2544-2548","volume":"24","issue":"16","source":"PubMed","abstract":"PURPOSE: To investigate prognostic factors for pediatric extragonadal malignant germ cell tumors (PEMGCT).\nMATERIALS AND METHODS: Between 1990 and 1996, patients with stage I through IV PEMGCT were eligible for a trial of cisplatin dose intensity. We retrospectively investigated prognostic factors for PEMGCT, including age, stage, primary site, treatment, and elevated alfa fetoprotein by univariate and multivariate analysis.\nRESULTS: The 165 patients had a median age of 1.9 years (range, 3 days to 18.5 years); 109 were female; and 99 had alfa fetoprotein &gt; or = 10,000. There were 30 stage I/II, 61 stage III, and 74 stage IV tumors; primary sites included 88 sacrococcygeal, 39 thoracic, and 38 others. The 5-year overall survival (OS) and event-free survival (EFS) rates with standard deviations were 83.4% +/- 3.7% and 79.0% +/- 4.1%, respectively. Univariate analysis identified age &gt; or = 12 years as a highly significant prognostic factor for EFS (5-year EFS, 48.9% +/- 15.6% v 84.1% +/- 3.9%; P &lt; .0001) and for OS (5-year OS, 53.7% +/- 14.9% v 88.5% +/- 3.4%; P &lt; .0001), whereas treatment was of borderline significance (P = .0777). Multivariate Cox proportional hazards regression identified only age &gt; or = 12 years as a significant prognostic factor for EFS (P = .0002). In multivariate Cox regression for OS, the combination of age and primary site was highly significant (P &lt; .0001). Patients &gt; or = 12 years of age with thoracic tumors had six times the risk of death compared with patients younger than 12 years with other primaries.\nCONCLUSION: Age is the most predictive factor of EFS in PEMGCT. There is a significant interaction between age and primary site, suggesting that patients &gt; or = 12 years of age with thoracic tumors are a biologically distinct group.","DOI":"10.1200/JCO.2005.04.1251","ISSN":"1527-7755","note":"PMID: 16735707","shortTitle":"Prognostic factors in children with extragonadal malignant germ cell tumors","journalAbbreviation":"J. Clin. Oncol.","language":"eng","author":[{"family":"Marina","given":"Neyssa"},{"family":"London","given":"Wendy B."},{"family":"Frazier","given":"A. Lindsay"},{"family":"Lauer","given":"Stephen"},{"family":"Rescorla","given":"Frederick"},{"family":"Cushing","given":"Barbara"},{"family":"Malogolowkin","given":"Marcio H."},{"family":"Castleberry","given":"Robert P."},{"family":"Womer","given":"Richard B."},{"family":"Olson","given":"Thomas"}],"issued":{"date-parts":[["2006",6,1]]}},"label":"page"}],"schema":"https://github.com/citation-style-language/schema/raw/master/csl-citation.json"} </w:instrText>
      </w:r>
      <w:r w:rsidR="00B549EA"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[13, 15]</w:t>
      </w:r>
      <w:r w:rsidR="00B549EA" w:rsidRPr="00796F65">
        <w:rPr>
          <w:rFonts w:ascii="Times New Roman" w:hAnsi="Times New Roman" w:cs="Times New Roman"/>
          <w:vertAlign w:val="superscript"/>
        </w:rPr>
        <w:fldChar w:fldCharType="end"/>
      </w:r>
      <w:r w:rsidR="007D4421" w:rsidRPr="00796F65">
        <w:rPr>
          <w:rFonts w:ascii="Times New Roman" w:hAnsi="Times New Roman" w:cs="Times New Roman"/>
        </w:rPr>
        <w:t xml:space="preserve"> </w:t>
      </w:r>
      <w:r w:rsidR="000A1F33" w:rsidRPr="00796F65">
        <w:rPr>
          <w:rFonts w:ascii="Times New Roman" w:hAnsi="Times New Roman" w:cs="Times New Roman"/>
        </w:rPr>
        <w:t xml:space="preserve">The </w:t>
      </w:r>
      <w:r w:rsidR="006E0BF5" w:rsidRPr="00796F65">
        <w:rPr>
          <w:rFonts w:ascii="Times New Roman" w:hAnsi="Times New Roman" w:cs="Times New Roman"/>
        </w:rPr>
        <w:t>COG trial (INT-0097</w:t>
      </w:r>
      <w:r w:rsidR="00921993" w:rsidRPr="00796F65">
        <w:rPr>
          <w:rFonts w:ascii="Times New Roman" w:hAnsi="Times New Roman" w:cs="Times New Roman"/>
        </w:rPr>
        <w:t>, Arm I</w:t>
      </w:r>
      <w:r w:rsidR="00FB481A" w:rsidRPr="00796F65">
        <w:rPr>
          <w:rFonts w:ascii="Times New Roman" w:hAnsi="Times New Roman" w:cs="Times New Roman"/>
        </w:rPr>
        <w:t xml:space="preserve">) tested high-dose cisplatin </w:t>
      </w:r>
      <w:r w:rsidR="007D4421" w:rsidRPr="00796F65">
        <w:rPr>
          <w:rFonts w:ascii="Times New Roman" w:hAnsi="Times New Roman" w:cs="Times New Roman"/>
        </w:rPr>
        <w:t>200 mg/m</w:t>
      </w:r>
      <w:r w:rsidR="007D4421" w:rsidRPr="00796F65">
        <w:rPr>
          <w:rFonts w:ascii="Times New Roman" w:hAnsi="Times New Roman" w:cs="Times New Roman"/>
          <w:vertAlign w:val="superscript"/>
        </w:rPr>
        <w:t>2</w:t>
      </w:r>
      <w:r w:rsidR="001419B3" w:rsidRPr="00796F65">
        <w:rPr>
          <w:rFonts w:ascii="Times New Roman" w:hAnsi="Times New Roman" w:cs="Times New Roman"/>
        </w:rPr>
        <w:t>/cycle</w:t>
      </w:r>
      <w:r w:rsidR="00FB481A" w:rsidRPr="00796F65">
        <w:rPr>
          <w:rFonts w:ascii="Times New Roman" w:hAnsi="Times New Roman" w:cs="Times New Roman"/>
        </w:rPr>
        <w:t>, etoposide 500 mg/m</w:t>
      </w:r>
      <w:r w:rsidR="00FB481A" w:rsidRPr="00796F65">
        <w:rPr>
          <w:rFonts w:ascii="Times New Roman" w:hAnsi="Times New Roman" w:cs="Times New Roman"/>
          <w:vertAlign w:val="superscript"/>
        </w:rPr>
        <w:t>2</w:t>
      </w:r>
      <w:r w:rsidR="00FB481A" w:rsidRPr="00796F65">
        <w:rPr>
          <w:rFonts w:ascii="Times New Roman" w:hAnsi="Times New Roman" w:cs="Times New Roman"/>
        </w:rPr>
        <w:t>/cycle, and bleomycin 15 Units/m</w:t>
      </w:r>
      <w:r w:rsidR="00FB481A" w:rsidRPr="00796F65">
        <w:rPr>
          <w:rFonts w:ascii="Times New Roman" w:hAnsi="Times New Roman" w:cs="Times New Roman"/>
          <w:vertAlign w:val="superscript"/>
        </w:rPr>
        <w:t>2</w:t>
      </w:r>
      <w:r w:rsidR="00FB481A" w:rsidRPr="00796F65">
        <w:rPr>
          <w:rFonts w:ascii="Times New Roman" w:hAnsi="Times New Roman" w:cs="Times New Roman"/>
        </w:rPr>
        <w:t>/cycle</w:t>
      </w:r>
      <w:r w:rsidR="004C07C1" w:rsidRPr="00796F65">
        <w:rPr>
          <w:rFonts w:ascii="Times New Roman" w:hAnsi="Times New Roman" w:cs="Times New Roman"/>
        </w:rPr>
        <w:t>, administered every 21 days</w:t>
      </w:r>
      <w:r w:rsidR="007D4421" w:rsidRPr="00796F65">
        <w:rPr>
          <w:rFonts w:ascii="Times New Roman" w:hAnsi="Times New Roman" w:cs="Times New Roman"/>
        </w:rPr>
        <w:t>.</w:t>
      </w:r>
      <w:r w:rsidR="00497AC4"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{"citationID":"Ex0ZYxnV","properties":{"formattedCitation":"[13, 15]","plainCitation":"[13, 15]","noteIndex":0},"citationItems":[{"id":14,"uris":["http://zotero.org/users/608019/items/3VJWN343"],"uri":["http://zotero.org/users/608019/items/3VJWN343"],"itemData":{"id":14,"type":"article-journal","title":"Randomized comparison of combination chemotherapy with etoposide, bleomycin, and either high-dose or standard-dose cisplatin in children and adolescents with high-risk malignant germ cell tumors: a pediatric intergroup study--Pediatric Oncology Group 9049 and Children's Cancer Group 8882","container-title":"Journal of Clinical Oncology: Official Journal of the American Society of Clinical Oncology","page":"2691-2700","volume":"22","issue":"13","source":"PubMed","abstract":"PURPOSE: To determine in a randomized comparison whether combination chemotherapy with high-dose cisplatin (HDPEB) improves the event-free (EFS) and overall (OS) survival of children and adolescents with high-risk malignant germ cell tumors (MGCT) as compared with standard-dose cisplatin (PEB) and to compare the regimens' toxicity.\nPATIENTS AND METHODS: Between March 1990 and February 1996, 299 eligible patients with stage III and IV gonadal and extragonadal (all stages) MGCT were enrolled onto this Pediatric Oncology Group and Children's Cancer Group study. Chemotherapy included bleomycin 15 units/m(2) on day 1, etoposide 100 mg/m(2) on days 1 through 5, and either high-dose cisplatin 40 mg/m(2) on days 1 through 5 (HDPEB; n = 149) or standard-dose cisplatin 20 mg/m(2) on days 1 through 5 (PEB; n = 150). Patients were evaluated after four cycles of therapy, and those with residual disease underwent surgery. Those with malignant disease in resected specimen received two additional cycles of their assigned regimen.\nRESULTS: One hundred thirty-four eligible patients with advanced testicular (n = 60) or ovarian (n = 74) tumors and 165 with stage I to IV extragonadal tumors were enrolled. HDPEB treatment resulted in significantly improved 6-year EFS rate +/- SE (89.6% +/- 3.6% v 80.5% +/- 4.8% for PEB; P =.0284). There was no significant difference in OS (HDPEB 91.7% +/- 3.3% v PEB 86.0% +/- 4.1%). Tumor-related deaths were more common after PEB (14 deaths v two deaths). Toxic deaths were more common with HDPEB (six deaths v one death). Other treatment-related toxicities were more common with HDPEB.\nCONCLUSION: Combination chemotherapy with HDPEB significantly improves EFS for children with high-risk MGCT. The OS is similar in both regimens, and the significant toxicity associated with HDPEB limits its use.","DOI":"10.1200/JCO.2004.08.015","ISSN":"0732-183X","note":"PMID: 15226336","shortTitle":"Randomized comparison of combination chemotherapy with etoposide, bleomycin, and either high-dose or standard-dose cisplatin in children and adolescents with high-risk malignant germ cell tumors","journalAbbreviation":"J. Clin. Oncol.","language":"eng","author":[{"family":"Cushing","given":"Barbara"},{"family":"Giller","given":"Roger"},{"family":"Cullen","given":"John W."},{"family":"Marina","given":"Neyssa M."},{"family":"Lauer","given":"Stephen J."},{"family":"Olson","given":"Thomas A."},{"family":"Rogers","given":"Paul C."},{"family":"Colombani","given":"Paul"},{"family":"Rescorla","given":"Frederick"},{"family":"Billmire","given":"Deborah F."},{"family":"Vinocur","given":"Charles D."},{"family":"Hawkins","given":"Edith P."},{"family":"Davis","given":"Mary Margaret"},{"family":"Perlman","given":"Elizabeth J."},{"family":"London","given":"Wendy B."},{"family":"Castleberry","given":"Robert P."},{"literal":"Pediatric Oncology Group 9049"},{"literal":"Children's Cancer Group 8882"}],"issued":{"date-parts":[["2004",7,1]]}},"label":"page"},{"id":29,"uris":["http://zotero.org/users/608019/items/8WCCF5TR"],"uri":["http://zotero.org/users/608019/items/8WCCF5TR"],"itemData":{"id":29,"type":"article-journal","title":"Prognostic factors in children with extragonadal malignant germ cell tumors: a pediatric intergroup study","container-title":"Journal of Clinical Oncology: Official Journal of the American Society of Clinical Oncology","page":"2544-2548","volume":"24","issue":"16","source":"PubMed","abstract":"PURPOSE: To investigate prognostic factors for pediatric extragonadal malignant germ cell tumors (PEMGCT).\nMATERIALS AND METHODS: Between 1990 and 1996, patients with stage I through IV PEMGCT were eligible for a trial of cisplatin dose intensity. We retrospectively investigated prognostic factors for PEMGCT, including age, stage, primary site, treatment, and elevated alfa fetoprotein by univariate and multivariate analysis.\nRESULTS: The 165 patients had a median age of 1.9 years (range, 3 days to 18.5 years); 109 were female; and 99 had alfa fetoprotein &gt; or = 10,000. There were 30 stage I/II, 61 stage III, and 74 stage IV tumors; primary sites included 88 sacrococcygeal, 39 thoracic, and 38 others. The 5-year overall survival (OS) and event-free survival (EFS) rates with standard deviations were 83.4% +/- 3.7% and 79.0% +/- 4.1%, respectively. Univariate analysis identified age &gt; or = 12 years as a highly significant prognostic factor for EFS (5-year EFS, 48.9% +/- 15.6% v 84.1% +/- 3.9%; P &lt; .0001) and for OS (5-year OS, 53.7% +/- 14.9% v 88.5% +/- 3.4%; P &lt; .0001), whereas treatment was of borderline significance (P = .0777). Multivariate Cox proportional hazards regression identified only age &gt; or = 12 years as a significant prognostic factor for EFS (P = .0002). In multivariate Cox regression for OS, the combination of age and primary site was highly significant (P &lt; .0001). Patients &gt; or = 12 years of age with thoracic tumors had six times the risk of death compared with patients younger than 12 years with other primaries.\nCONCLUSION: Age is the most predictive factor of EFS in PEMGCT. There is a significant interaction between age and primary site, suggesting that patients &gt; or = 12 years of age with thoracic tumors are a biologically distinct group.","DOI":"10.1200/JCO.2005.04.1251","ISSN":"1527-7755","note":"PMID: 16735707","shortTitle":"Prognostic factors in children with extragonadal malignant germ cell tumors","journalAbbreviation":"J. Clin. Oncol.","language":"eng","author":[{"family":"Marina","given":"Neyssa"},{"family":"London","given":"Wendy B."},{"family":"Frazier","given":"A. Lindsay"},{"family":"Lauer","given":"Stephen"},{"family":"Rescorla","given":"Frederick"},{"family":"Cushing","given":"Barbara"},{"family":"Malogolowkin","given":"Marcio H."},{"family":"Castleberry","given":"Robert P."},{"family":"Womer","given":"Richard B."},{"family":"Olson","given":"Thomas"}],"issued":{"date-parts":[["2006",6,1]]}},"label":"page"}],"schema":"https://github.com/citation-style-language/schema/raw/master/csl-citation.json"} </w:instrText>
      </w:r>
      <w:r w:rsidR="00497AC4" w:rsidRPr="00796F65">
        <w:rPr>
          <w:rFonts w:ascii="Times New Roman" w:hAnsi="Times New Roman" w:cs="Times New Roman"/>
          <w:vertAlign w:val="superscript"/>
        </w:rPr>
        <w:fldChar w:fldCharType="separate"/>
      </w:r>
      <w:r w:rsidR="006156F6" w:rsidRPr="00796F65">
        <w:rPr>
          <w:rFonts w:ascii="Times New Roman" w:eastAsia="Times New Roman" w:hAnsi="Times New Roman" w:cs="Times New Roman"/>
          <w:vertAlign w:val="superscript"/>
        </w:rPr>
        <w:t>[13, 15]</w:t>
      </w:r>
      <w:r w:rsidR="00497AC4" w:rsidRPr="00796F65">
        <w:rPr>
          <w:rFonts w:ascii="Times New Roman" w:hAnsi="Times New Roman" w:cs="Times New Roman"/>
          <w:vertAlign w:val="superscript"/>
        </w:rPr>
        <w:fldChar w:fldCharType="end"/>
      </w:r>
      <w:r w:rsidR="007D4421" w:rsidRPr="00796F65">
        <w:rPr>
          <w:rFonts w:ascii="Times New Roman" w:hAnsi="Times New Roman" w:cs="Times New Roman"/>
        </w:rPr>
        <w:t xml:space="preserve"> </w:t>
      </w:r>
    </w:p>
    <w:p w14:paraId="0952E0C6" w14:textId="77777777" w:rsidR="00502C94" w:rsidRPr="00796F65" w:rsidRDefault="00502C94" w:rsidP="00796F65">
      <w:pPr>
        <w:keepNext/>
        <w:spacing w:line="480" w:lineRule="auto"/>
        <w:jc w:val="both"/>
        <w:outlineLvl w:val="0"/>
        <w:rPr>
          <w:rFonts w:ascii="Times New Roman" w:hAnsi="Times New Roman" w:cs="Times New Roman"/>
          <w:b/>
        </w:rPr>
      </w:pPr>
    </w:p>
    <w:p w14:paraId="0431C221" w14:textId="626CF72A" w:rsidR="00007816" w:rsidRPr="00796F65" w:rsidRDefault="007D4421" w:rsidP="00796F65">
      <w:pPr>
        <w:keepNext/>
        <w:spacing w:line="480" w:lineRule="auto"/>
        <w:jc w:val="both"/>
        <w:outlineLvl w:val="0"/>
        <w:rPr>
          <w:rFonts w:ascii="Times New Roman" w:hAnsi="Times New Roman" w:cs="Times New Roman"/>
          <w:b/>
        </w:rPr>
      </w:pPr>
      <w:r w:rsidRPr="00796F65">
        <w:rPr>
          <w:rFonts w:ascii="Times New Roman" w:hAnsi="Times New Roman" w:cs="Times New Roman"/>
          <w:b/>
        </w:rPr>
        <w:t>Statistical Analysis</w:t>
      </w:r>
    </w:p>
    <w:p w14:paraId="78D04854" w14:textId="7661F3DB" w:rsidR="00637058" w:rsidRPr="00796F65" w:rsidRDefault="00637058" w:rsidP="00796F65">
      <w:pPr>
        <w:spacing w:line="480" w:lineRule="auto"/>
        <w:jc w:val="both"/>
        <w:rPr>
          <w:rFonts w:ascii="Times New Roman" w:hAnsi="Times New Roman" w:cs="Times New Roman"/>
        </w:rPr>
      </w:pPr>
      <w:r w:rsidRPr="00796F65">
        <w:rPr>
          <w:rFonts w:ascii="Times New Roman" w:hAnsi="Times New Roman" w:cs="Times New Roman"/>
        </w:rPr>
        <w:t xml:space="preserve">Event-free survival (EFS) was defined as the time from date of enrollment on study; to the date of disease relapse or progression, diagnosis of a SMN, death, or last follow-up, whichever occurred first. A patient without an event was censored at last follow-up. For each of the two patients who relapsed during observation after initial complete resection, EFS was defined as the time from the date chemotherapy was first administered to the date of disease relapse or progression, diagnosis of a SMN, death, or last follow-up, whichever occurred first. </w:t>
      </w:r>
    </w:p>
    <w:p w14:paraId="7D64AC5F" w14:textId="77777777" w:rsidR="00D03744" w:rsidRPr="00796F65" w:rsidRDefault="00D03744" w:rsidP="00796F65">
      <w:pPr>
        <w:spacing w:line="480" w:lineRule="auto"/>
        <w:jc w:val="both"/>
        <w:rPr>
          <w:rFonts w:ascii="Times New Roman" w:hAnsi="Times New Roman" w:cs="Times New Roman"/>
        </w:rPr>
      </w:pPr>
    </w:p>
    <w:p w14:paraId="6973C5C2" w14:textId="583823DC" w:rsidR="00637058" w:rsidRPr="00796F65" w:rsidRDefault="00637058" w:rsidP="00796F65">
      <w:pPr>
        <w:spacing w:line="480" w:lineRule="auto"/>
        <w:jc w:val="both"/>
        <w:rPr>
          <w:rFonts w:ascii="Times New Roman" w:hAnsi="Times New Roman" w:cs="Times New Roman"/>
          <w:vertAlign w:val="superscript"/>
        </w:rPr>
      </w:pPr>
      <w:r w:rsidRPr="00796F65">
        <w:rPr>
          <w:rFonts w:ascii="Times New Roman" w:hAnsi="Times New Roman" w:cs="Times New Roman"/>
        </w:rPr>
        <w:t>Overall Survival (OS) was defined as the time from date of enrollment on study; to the date of death, or last follow-up, whichever occurred first. Patients who died, regardless of the cause, were considered to have experienced an event; otherwise, the patient was censored at last follow-up. For each of the two patients who relapsed during observation after initial complete resection, OS was defined as the date chemotherapy was first administered; to the date of death, or last follow-up, whichever occurred first. Survivor functions for EFS and OS were estimated using the Kaplan-Meier method.</w:t>
      </w:r>
      <w:r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jnpcm935p","properties":{"formattedCitation":"[19]","plainCitation":"[19]","noteIndex":0},"citationItems":[{"id":32,"uris":["http://zotero.org/users/608019/items/9MUIFSQW"],"uri":["http://zotero.org/users/608019/items/9MUIFSQW"],"itemData":{"id":32,"type":"article-journal","title":"Nonparametric estimation from incomplete observations.","page":"457-81","volume":"53","journalAbbreviation":"Journal of the American Statistical Association","author":[{"family":"Kaplan","given":"EL"},{"family":"Meier","given":"P"}],"issued":{"date-parts":[["1958"]]}}}],"schema":"https://github.com/citation-style-language/schema/raw/master/csl-citation.json"} </w:instrText>
      </w:r>
      <w:r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[19]</w:t>
      </w:r>
      <w:r w:rsidRPr="00796F65">
        <w:rPr>
          <w:rFonts w:ascii="Times New Roman" w:hAnsi="Times New Roman" w:cs="Times New Roman"/>
          <w:vertAlign w:val="superscript"/>
        </w:rPr>
        <w:fldChar w:fldCharType="end"/>
      </w:r>
    </w:p>
    <w:p w14:paraId="6CBA9607" w14:textId="77777777" w:rsidR="00010406" w:rsidRPr="00796F65" w:rsidRDefault="00010406" w:rsidP="00796F65">
      <w:pPr>
        <w:spacing w:line="480" w:lineRule="auto"/>
        <w:jc w:val="both"/>
        <w:rPr>
          <w:rFonts w:ascii="Times New Roman" w:hAnsi="Times New Roman" w:cs="Times New Roman"/>
        </w:rPr>
      </w:pPr>
    </w:p>
    <w:p w14:paraId="4B6B9217" w14:textId="4C7E8D0F" w:rsidR="00637058" w:rsidRPr="00796F65" w:rsidRDefault="00637058" w:rsidP="00796F65">
      <w:pPr>
        <w:spacing w:line="480" w:lineRule="auto"/>
        <w:jc w:val="both"/>
        <w:rPr>
          <w:rFonts w:ascii="Times New Roman" w:hAnsi="Times New Roman" w:cs="Times New Roman"/>
        </w:rPr>
      </w:pPr>
      <w:r w:rsidRPr="00796F65">
        <w:rPr>
          <w:rFonts w:ascii="Times New Roman" w:hAnsi="Times New Roman" w:cs="Times New Roman"/>
        </w:rPr>
        <w:t xml:space="preserve">The patient characteristics considered in the exploratory analyses described below were calculated at the relevant date (i.e. date of enrollment </w:t>
      </w:r>
      <w:r w:rsidR="00584ACA" w:rsidRPr="00796F65">
        <w:rPr>
          <w:rFonts w:ascii="Times New Roman" w:hAnsi="Times New Roman" w:cs="Times New Roman"/>
        </w:rPr>
        <w:t xml:space="preserve">on study </w:t>
      </w:r>
      <w:r w:rsidRPr="00796F65">
        <w:rPr>
          <w:rFonts w:ascii="Times New Roman" w:hAnsi="Times New Roman" w:cs="Times New Roman"/>
        </w:rPr>
        <w:t xml:space="preserve">or date chemotherapy was first administered) for each patient. Ninety-five percent confidence intervals </w:t>
      </w:r>
      <w:r w:rsidR="00C42BE9" w:rsidRPr="00796F65">
        <w:rPr>
          <w:rFonts w:ascii="Times New Roman" w:hAnsi="Times New Roman" w:cs="Times New Roman"/>
        </w:rPr>
        <w:t>(</w:t>
      </w:r>
      <w:r w:rsidR="0004205B" w:rsidRPr="00796F65">
        <w:rPr>
          <w:rFonts w:ascii="Times New Roman" w:hAnsi="Times New Roman" w:cs="Times New Roman"/>
        </w:rPr>
        <w:t xml:space="preserve">95% </w:t>
      </w:r>
      <w:r w:rsidR="00C42BE9" w:rsidRPr="00796F65">
        <w:rPr>
          <w:rFonts w:ascii="Times New Roman" w:hAnsi="Times New Roman" w:cs="Times New Roman"/>
        </w:rPr>
        <w:t>CI)</w:t>
      </w:r>
      <w:r w:rsidR="00965779" w:rsidRPr="00796F65">
        <w:rPr>
          <w:rFonts w:ascii="Times New Roman" w:hAnsi="Times New Roman" w:cs="Times New Roman"/>
        </w:rPr>
        <w:t xml:space="preserve"> </w:t>
      </w:r>
      <w:r w:rsidRPr="00796F65">
        <w:rPr>
          <w:rFonts w:ascii="Times New Roman" w:hAnsi="Times New Roman" w:cs="Times New Roman"/>
        </w:rPr>
        <w:t>for the Kaplan-Meier estimates at specified time points were calculated with the complementary log-log transformation.</w:t>
      </w:r>
      <w:r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2jjfuhsi1c","properties":{"formattedCitation":"[20]","plainCitation":"[20]","noteIndex":0},"citationItems":[{"id":87,"uris":["http://zotero.org/users/608019/items/NH2I6WGW"],"uri":["http://zotero.org/users/608019/items/NH2I6WGW"],"itemData":{"id":87,"type":"book","title":"The statistical analysis of failure time data","collection-title":"Wiley series in probability and statistics","publisher":"J. Wiley","ISBN":"978-0-471-36357-6","author":[{"family":"Kalbfleisch","given":"J. D."},{"family":"Prentice","given":"Ross L."}],"issued":{"date-parts":[["2002",1,1]]}}}],"schema":"https://github.com/citation-style-language/schema/raw/master/csl-citation.json"} </w:instrText>
      </w:r>
      <w:r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[20]</w:t>
      </w:r>
      <w:r w:rsidRPr="00796F65">
        <w:rPr>
          <w:rFonts w:ascii="Times New Roman" w:hAnsi="Times New Roman" w:cs="Times New Roman"/>
          <w:vertAlign w:val="superscript"/>
        </w:rPr>
        <w:fldChar w:fldCharType="end"/>
      </w:r>
      <w:r w:rsidRPr="00796F65">
        <w:rPr>
          <w:rFonts w:ascii="Times New Roman" w:hAnsi="Times New Roman" w:cs="Times New Roman"/>
        </w:rPr>
        <w:t xml:space="preserve"> The effects of various factors (age at </w:t>
      </w:r>
      <w:r w:rsidRPr="00796F65">
        <w:rPr>
          <w:rFonts w:ascii="Times New Roman" w:hAnsi="Times New Roman" w:cs="Times New Roman"/>
        </w:rPr>
        <w:lastRenderedPageBreak/>
        <w:t>diagnosis, stage</w:t>
      </w:r>
      <w:r w:rsidR="00992BC5" w:rsidRPr="00796F65">
        <w:rPr>
          <w:rFonts w:ascii="Times New Roman" w:hAnsi="Times New Roman" w:cs="Times New Roman"/>
        </w:rPr>
        <w:t xml:space="preserve"> at diagnosis</w:t>
      </w:r>
      <w:r w:rsidRPr="00796F65">
        <w:rPr>
          <w:rFonts w:ascii="Times New Roman" w:hAnsi="Times New Roman" w:cs="Times New Roman"/>
        </w:rPr>
        <w:t>,</w:t>
      </w:r>
      <w:r w:rsidR="00CE0FB4" w:rsidRPr="00796F65">
        <w:rPr>
          <w:rFonts w:ascii="Times New Roman" w:hAnsi="Times New Roman" w:cs="Times New Roman"/>
        </w:rPr>
        <w:t xml:space="preserve"> AFP at diagnosis,</w:t>
      </w:r>
      <w:r w:rsidRPr="00796F65">
        <w:rPr>
          <w:rFonts w:ascii="Times New Roman" w:hAnsi="Times New Roman" w:cs="Times New Roman"/>
        </w:rPr>
        <w:t xml:space="preserve"> year treated and type of treatment received) on the risk for experiencing an event or death were estimated with relative risk regression.</w:t>
      </w:r>
      <w:r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2jpu177shu","properties":{"formattedCitation":"[20]","plainCitation":"[20]","noteIndex":0},"citationItems":[{"id":87,"uris":["http://zotero.org/users/608019/items/NH2I6WGW"],"uri":["http://zotero.org/users/608019/items/NH2I6WGW"],"itemData":{"id":87,"type":"book","title":"The statistical analysis of failure time data","collection-title":"Wiley series in probability and statistics","publisher":"J. Wiley","ISBN":"978-0-471-36357-6","author":[{"family":"Kalbfleisch","given":"J. D."},{"family":"Prentice","given":"Ross L."}],"issued":{"date-parts":[["2002",1,1]]}}}],"schema":"https://github.com/citation-style-language/schema/raw/master/csl-citation.json"} </w:instrText>
      </w:r>
      <w:r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[20]</w:t>
      </w:r>
      <w:r w:rsidRPr="00796F65">
        <w:rPr>
          <w:rFonts w:ascii="Times New Roman" w:hAnsi="Times New Roman" w:cs="Times New Roman"/>
          <w:vertAlign w:val="superscript"/>
        </w:rPr>
        <w:fldChar w:fldCharType="end"/>
      </w:r>
      <w:r w:rsidRPr="00796F65">
        <w:rPr>
          <w:rFonts w:ascii="Times New Roman" w:hAnsi="Times New Roman" w:cs="Times New Roman"/>
        </w:rPr>
        <w:t xml:space="preserve"> Possible association between risk of EFS event and prognostic factor was assessed using the two-sided log rank test.</w:t>
      </w:r>
      <w:r w:rsidR="004D412E" w:rsidRPr="00796F65">
        <w:rPr>
          <w:rFonts w:ascii="Times New Roman" w:hAnsi="Times New Roman" w:cs="Times New Roman"/>
        </w:rPr>
        <w:t xml:space="preserve"> </w:t>
      </w:r>
      <w:r w:rsidRPr="00796F65">
        <w:rPr>
          <w:rFonts w:ascii="Times New Roman" w:hAnsi="Times New Roman" w:cs="Times New Roman"/>
        </w:rPr>
        <w:t xml:space="preserve">Characteristics associated with </w:t>
      </w:r>
      <w:r w:rsidR="00692401" w:rsidRPr="00796F65">
        <w:rPr>
          <w:rFonts w:ascii="Times New Roman" w:hAnsi="Times New Roman" w:cs="Times New Roman"/>
        </w:rPr>
        <w:t>p-</w:t>
      </w:r>
      <w:r w:rsidRPr="00796F65">
        <w:rPr>
          <w:rFonts w:ascii="Times New Roman" w:hAnsi="Times New Roman" w:cs="Times New Roman"/>
        </w:rPr>
        <w:t>values ≤ 0.05 were considered significantly associated with the risk of an EFS event. All analyses were conducted with Stata 13.1 (StataCorp, College Station, Texas).</w:t>
      </w:r>
      <w:r w:rsidR="00161A3A" w:rsidRPr="00796F65">
        <w:rPr>
          <w:rFonts w:ascii="Times New Roman" w:hAnsi="Times New Roman" w:cs="Times New Roman"/>
        </w:rPr>
        <w:t xml:space="preserve"> </w:t>
      </w:r>
    </w:p>
    <w:p w14:paraId="54E233A1" w14:textId="77777777" w:rsidR="00DD00A5" w:rsidRPr="00796F65" w:rsidRDefault="00DD00A5" w:rsidP="00796F65">
      <w:pPr>
        <w:spacing w:line="480" w:lineRule="auto"/>
        <w:jc w:val="both"/>
        <w:rPr>
          <w:rFonts w:ascii="Times New Roman" w:hAnsi="Times New Roman" w:cs="Times New Roman"/>
        </w:rPr>
      </w:pPr>
    </w:p>
    <w:p w14:paraId="726B1603" w14:textId="6CB6E574" w:rsidR="007A45BB" w:rsidRPr="00796F65" w:rsidRDefault="00E50AED" w:rsidP="00796F65">
      <w:pPr>
        <w:spacing w:line="480" w:lineRule="auto"/>
        <w:jc w:val="both"/>
        <w:outlineLvl w:val="0"/>
        <w:rPr>
          <w:rFonts w:ascii="Times New Roman" w:hAnsi="Times New Roman" w:cs="Times New Roman"/>
        </w:rPr>
      </w:pPr>
      <w:r w:rsidRPr="00796F65">
        <w:rPr>
          <w:rFonts w:ascii="Times New Roman" w:hAnsi="Times New Roman" w:cs="Times New Roman"/>
          <w:b/>
        </w:rPr>
        <w:t>Results</w:t>
      </w:r>
      <w:r w:rsidRPr="00796F65">
        <w:rPr>
          <w:rFonts w:ascii="Times New Roman" w:hAnsi="Times New Roman" w:cs="Times New Roman"/>
        </w:rPr>
        <w:t xml:space="preserve"> </w:t>
      </w:r>
    </w:p>
    <w:p w14:paraId="67F4C584" w14:textId="3C76124F" w:rsidR="00917B8A" w:rsidRPr="00796F65" w:rsidRDefault="007F07E4" w:rsidP="00796F65">
      <w:pPr>
        <w:spacing w:line="480" w:lineRule="auto"/>
        <w:jc w:val="both"/>
        <w:outlineLvl w:val="0"/>
        <w:rPr>
          <w:rFonts w:ascii="Times New Roman" w:hAnsi="Times New Roman" w:cs="Times New Roman"/>
        </w:rPr>
      </w:pPr>
      <w:r w:rsidRPr="00796F65">
        <w:rPr>
          <w:rFonts w:ascii="Times New Roman" w:hAnsi="Times New Roman" w:cs="Times New Roman"/>
          <w:b/>
        </w:rPr>
        <w:t>Patient Characteristics</w:t>
      </w:r>
    </w:p>
    <w:p w14:paraId="086E41A5" w14:textId="4A57A398" w:rsidR="00606108" w:rsidRPr="00796F65" w:rsidRDefault="00C8663C" w:rsidP="00796F65">
      <w:pPr>
        <w:spacing w:line="480" w:lineRule="auto"/>
        <w:jc w:val="both"/>
        <w:rPr>
          <w:rFonts w:ascii="Times New Roman" w:eastAsia="SimHei" w:hAnsi="Times New Roman" w:cs="Times New Roman"/>
        </w:rPr>
      </w:pPr>
      <w:r w:rsidRPr="00796F65">
        <w:rPr>
          <w:rFonts w:ascii="Times New Roman" w:hAnsi="Times New Roman" w:cs="Times New Roman"/>
        </w:rPr>
        <w:t xml:space="preserve">The MaGIC database identified </w:t>
      </w:r>
      <w:r w:rsidR="00DC2133" w:rsidRPr="00796F65">
        <w:rPr>
          <w:rFonts w:ascii="Times New Roman" w:hAnsi="Times New Roman" w:cs="Times New Roman"/>
        </w:rPr>
        <w:t xml:space="preserve">126 </w:t>
      </w:r>
      <w:r w:rsidRPr="00796F65">
        <w:rPr>
          <w:rFonts w:ascii="Times New Roman" w:hAnsi="Times New Roman" w:cs="Times New Roman"/>
        </w:rPr>
        <w:t>eligible patients with</w:t>
      </w:r>
      <w:r w:rsidR="00C37AAD" w:rsidRPr="00796F65">
        <w:rPr>
          <w:rFonts w:ascii="Times New Roman" w:hAnsi="Times New Roman" w:cs="Times New Roman"/>
        </w:rPr>
        <w:t xml:space="preserve"> newly diagnosed, </w:t>
      </w:r>
      <w:r w:rsidR="00DC2133" w:rsidRPr="00796F65">
        <w:rPr>
          <w:rFonts w:ascii="Times New Roman" w:hAnsi="Times New Roman" w:cs="Times New Roman"/>
        </w:rPr>
        <w:t>COG</w:t>
      </w:r>
      <w:r w:rsidR="009D5077" w:rsidRPr="00796F65">
        <w:rPr>
          <w:rFonts w:ascii="Times New Roman" w:hAnsi="Times New Roman" w:cs="Times New Roman"/>
        </w:rPr>
        <w:t>/CCLG</w:t>
      </w:r>
      <w:r w:rsidR="00DC2133" w:rsidRPr="00796F65">
        <w:rPr>
          <w:rFonts w:ascii="Times New Roman" w:hAnsi="Times New Roman" w:cs="Times New Roman"/>
        </w:rPr>
        <w:t xml:space="preserve"> stage II-IV </w:t>
      </w:r>
      <w:r w:rsidR="001B0EBF" w:rsidRPr="00796F65">
        <w:rPr>
          <w:rFonts w:ascii="Times New Roman" w:hAnsi="Times New Roman" w:cs="Times New Roman"/>
        </w:rPr>
        <w:t xml:space="preserve">or </w:t>
      </w:r>
      <w:r w:rsidR="00DC2133" w:rsidRPr="00796F65">
        <w:rPr>
          <w:rFonts w:ascii="Times New Roman" w:hAnsi="Times New Roman" w:cs="Times New Roman"/>
        </w:rPr>
        <w:t xml:space="preserve">FIGO </w:t>
      </w:r>
      <w:r w:rsidR="00C37AAD" w:rsidRPr="00796F65">
        <w:rPr>
          <w:rFonts w:ascii="Times New Roman" w:hAnsi="Times New Roman" w:cs="Times New Roman"/>
        </w:rPr>
        <w:t>stage I</w:t>
      </w:r>
      <w:r w:rsidR="00DC2133" w:rsidRPr="00796F65">
        <w:rPr>
          <w:rFonts w:ascii="Times New Roman" w:hAnsi="Times New Roman" w:cs="Times New Roman"/>
        </w:rPr>
        <w:t>C</w:t>
      </w:r>
      <w:r w:rsidR="00C37AAD" w:rsidRPr="00796F65">
        <w:rPr>
          <w:rFonts w:ascii="Times New Roman" w:hAnsi="Times New Roman" w:cs="Times New Roman"/>
        </w:rPr>
        <w:t>-IV,</w:t>
      </w:r>
      <w:r w:rsidRPr="00796F65">
        <w:rPr>
          <w:rFonts w:ascii="Times New Roman" w:hAnsi="Times New Roman" w:cs="Times New Roman"/>
        </w:rPr>
        <w:t xml:space="preserve"> </w:t>
      </w:r>
      <w:r w:rsidR="001B0EBF" w:rsidRPr="00796F65">
        <w:rPr>
          <w:rFonts w:ascii="Times New Roman" w:hAnsi="Times New Roman" w:cs="Times New Roman"/>
        </w:rPr>
        <w:t xml:space="preserve">pure </w:t>
      </w:r>
      <w:r w:rsidR="00C37AAD" w:rsidRPr="00796F65">
        <w:rPr>
          <w:rFonts w:ascii="Times New Roman" w:hAnsi="Times New Roman" w:cs="Times New Roman"/>
        </w:rPr>
        <w:t>ovarian</w:t>
      </w:r>
      <w:r w:rsidRPr="00796F65">
        <w:rPr>
          <w:rFonts w:ascii="Times New Roman" w:hAnsi="Times New Roman" w:cs="Times New Roman"/>
        </w:rPr>
        <w:t xml:space="preserve"> dysgerminoma</w:t>
      </w:r>
      <w:r w:rsidR="00153E23">
        <w:rPr>
          <w:rFonts w:ascii="Times New Roman" w:hAnsi="Times New Roman" w:cs="Times New Roman"/>
        </w:rPr>
        <w:t xml:space="preserve"> treated with platin</w:t>
      </w:r>
      <w:r w:rsidR="00CE55BF" w:rsidRPr="00796F65">
        <w:rPr>
          <w:rFonts w:ascii="Times New Roman" w:hAnsi="Times New Roman" w:cs="Times New Roman"/>
        </w:rPr>
        <w:t>-based chemotherapy</w:t>
      </w:r>
      <w:r w:rsidRPr="00796F65">
        <w:rPr>
          <w:rFonts w:ascii="Times New Roman" w:hAnsi="Times New Roman" w:cs="Times New Roman"/>
        </w:rPr>
        <w:t xml:space="preserve"> (Figure 1).</w:t>
      </w:r>
      <w:r w:rsidR="001B0EBF" w:rsidRPr="00796F65">
        <w:rPr>
          <w:rFonts w:ascii="Times New Roman" w:hAnsi="Times New Roman" w:cs="Times New Roman"/>
        </w:rPr>
        <w:t xml:space="preserve"> </w:t>
      </w:r>
      <w:r w:rsidR="00EE29D0" w:rsidRPr="00796F65">
        <w:rPr>
          <w:rFonts w:ascii="Times New Roman" w:hAnsi="Times New Roman" w:cs="Times New Roman"/>
        </w:rPr>
        <w:t>Fifty</w:t>
      </w:r>
      <w:r w:rsidR="0067223E" w:rsidRPr="00796F65">
        <w:rPr>
          <w:rFonts w:ascii="Times New Roman" w:hAnsi="Times New Roman" w:cs="Times New Roman"/>
        </w:rPr>
        <w:t xml:space="preserve">-six patients </w:t>
      </w:r>
      <w:r w:rsidR="00FC6AB0" w:rsidRPr="00796F65">
        <w:rPr>
          <w:rFonts w:ascii="Times New Roman" w:hAnsi="Times New Roman" w:cs="Times New Roman"/>
          <w:bCs/>
        </w:rPr>
        <w:t>(38=pediatric,</w:t>
      </w:r>
      <w:r w:rsidR="00103D2D" w:rsidRPr="00796F65">
        <w:rPr>
          <w:rFonts w:ascii="Times New Roman" w:hAnsi="Times New Roman" w:cs="Times New Roman"/>
          <w:bCs/>
        </w:rPr>
        <w:t xml:space="preserve"> </w:t>
      </w:r>
      <w:r w:rsidR="00FC6AB0" w:rsidRPr="00796F65">
        <w:rPr>
          <w:rFonts w:ascii="Times New Roman" w:hAnsi="Times New Roman" w:cs="Times New Roman"/>
          <w:bCs/>
        </w:rPr>
        <w:t xml:space="preserve">18=adult) </w:t>
      </w:r>
      <w:r w:rsidR="0067223E" w:rsidRPr="00796F65">
        <w:rPr>
          <w:rFonts w:ascii="Times New Roman" w:hAnsi="Times New Roman" w:cs="Times New Roman"/>
        </w:rPr>
        <w:t xml:space="preserve">received carboplatin-based and 70 patients </w:t>
      </w:r>
      <w:r w:rsidR="00FC6AB0" w:rsidRPr="00796F65">
        <w:rPr>
          <w:rFonts w:ascii="Times New Roman" w:hAnsi="Times New Roman" w:cs="Times New Roman"/>
          <w:bCs/>
        </w:rPr>
        <w:t>(50=pediatric,</w:t>
      </w:r>
      <w:r w:rsidR="00103D2D" w:rsidRPr="00796F65">
        <w:rPr>
          <w:rFonts w:ascii="Times New Roman" w:hAnsi="Times New Roman" w:cs="Times New Roman"/>
          <w:bCs/>
        </w:rPr>
        <w:t xml:space="preserve"> </w:t>
      </w:r>
      <w:r w:rsidR="00FC6AB0" w:rsidRPr="00796F65">
        <w:rPr>
          <w:rFonts w:ascii="Times New Roman" w:hAnsi="Times New Roman" w:cs="Times New Roman"/>
          <w:bCs/>
        </w:rPr>
        <w:t xml:space="preserve">20=adult) </w:t>
      </w:r>
      <w:r w:rsidR="0067223E" w:rsidRPr="00796F65">
        <w:rPr>
          <w:rFonts w:ascii="Times New Roman" w:hAnsi="Times New Roman" w:cs="Times New Roman"/>
        </w:rPr>
        <w:t xml:space="preserve">received cisplatin-based chemotherapy regimen. </w:t>
      </w:r>
      <w:r w:rsidR="00233087" w:rsidRPr="00796F65">
        <w:rPr>
          <w:rFonts w:ascii="Times New Roman" w:eastAsia="SimHei" w:hAnsi="Times New Roman" w:cs="Times New Roman"/>
        </w:rPr>
        <w:t>The mean age in the cohort was 20 years (y) (range, 6-46y). The majority of the patients included in the analysis were betw</w:t>
      </w:r>
      <w:r w:rsidR="004E138F">
        <w:rPr>
          <w:rFonts w:ascii="Times New Roman" w:eastAsia="SimHei" w:hAnsi="Times New Roman" w:cs="Times New Roman"/>
        </w:rPr>
        <w:t xml:space="preserve">een the age of 11-25y (57.1%); </w:t>
      </w:r>
      <w:r w:rsidR="00233087" w:rsidRPr="00796F65">
        <w:rPr>
          <w:rFonts w:ascii="Times New Roman" w:eastAsia="SimHei" w:hAnsi="Times New Roman" w:cs="Times New Roman"/>
        </w:rPr>
        <w:t>12.7% were &lt;11y</w:t>
      </w:r>
      <w:r w:rsidR="003250C7" w:rsidRPr="00796F65">
        <w:rPr>
          <w:rFonts w:ascii="Times New Roman" w:eastAsia="SimHei" w:hAnsi="Times New Roman" w:cs="Times New Roman"/>
        </w:rPr>
        <w:t xml:space="preserve"> of age</w:t>
      </w:r>
      <w:r w:rsidR="00406720" w:rsidRPr="00796F65">
        <w:rPr>
          <w:rFonts w:ascii="Times New Roman" w:eastAsia="SimHei" w:hAnsi="Times New Roman" w:cs="Times New Roman"/>
        </w:rPr>
        <w:t xml:space="preserve"> and 30.2% were over the age of 25y</w:t>
      </w:r>
      <w:r w:rsidR="00233087" w:rsidRPr="00796F65">
        <w:rPr>
          <w:rFonts w:ascii="Times New Roman" w:eastAsia="SimHei" w:hAnsi="Times New Roman" w:cs="Times New Roman"/>
        </w:rPr>
        <w:t xml:space="preserve">. </w:t>
      </w:r>
      <w:r w:rsidR="00186583" w:rsidRPr="00796F65">
        <w:rPr>
          <w:rFonts w:ascii="Times New Roman" w:hAnsi="Times New Roman" w:cs="Times New Roman"/>
        </w:rPr>
        <w:t>The age distribution was compara</w:t>
      </w:r>
      <w:r w:rsidR="008E1D95" w:rsidRPr="00796F65">
        <w:rPr>
          <w:rFonts w:ascii="Times New Roman" w:hAnsi="Times New Roman" w:cs="Times New Roman"/>
        </w:rPr>
        <w:t>ble between the COG (median 12y</w:t>
      </w:r>
      <w:r w:rsidR="00186583" w:rsidRPr="00796F65">
        <w:rPr>
          <w:rFonts w:ascii="Times New Roman" w:hAnsi="Times New Roman" w:cs="Times New Roman"/>
        </w:rPr>
        <w:t>, range=6-16y) and CCLG (median 13y, range=7-16y) trials. As expected, the median age was higher in the GOG trial</w:t>
      </w:r>
      <w:r w:rsidR="00B16A1B" w:rsidRPr="00796F65">
        <w:rPr>
          <w:rFonts w:ascii="Times New Roman" w:hAnsi="Times New Roman" w:cs="Times New Roman"/>
        </w:rPr>
        <w:t>s</w:t>
      </w:r>
      <w:r w:rsidR="00186583" w:rsidRPr="00796F65">
        <w:rPr>
          <w:rFonts w:ascii="Times New Roman" w:hAnsi="Times New Roman" w:cs="Times New Roman"/>
        </w:rPr>
        <w:t xml:space="preserve"> (median 25y, range=7-46y). </w:t>
      </w:r>
      <w:r w:rsidR="004F1F2A" w:rsidRPr="00796F65">
        <w:rPr>
          <w:rFonts w:ascii="Times New Roman" w:eastAsia="SimHei" w:hAnsi="Times New Roman" w:cs="Times New Roman"/>
        </w:rPr>
        <w:t>The distribution of age was similar between those treated with carboplatin- vs. cisplatin-based regimens.</w:t>
      </w:r>
      <w:r w:rsidR="00127168" w:rsidRPr="00796F65">
        <w:rPr>
          <w:rFonts w:ascii="Times New Roman" w:eastAsia="SimHei" w:hAnsi="Times New Roman" w:cs="Times New Roman"/>
        </w:rPr>
        <w:t xml:space="preserve"> </w:t>
      </w:r>
      <w:r w:rsidR="000F7724" w:rsidRPr="00796F65">
        <w:rPr>
          <w:rFonts w:ascii="Times New Roman" w:eastAsia="SimHei" w:hAnsi="Times New Roman" w:cs="Times New Roman"/>
        </w:rPr>
        <w:t>The mean</w:t>
      </w:r>
      <w:r w:rsidR="00DE56A2" w:rsidRPr="00796F65">
        <w:rPr>
          <w:rFonts w:ascii="Times New Roman" w:eastAsia="SimHei" w:hAnsi="Times New Roman" w:cs="Times New Roman"/>
        </w:rPr>
        <w:t xml:space="preserve"> pre-operative</w:t>
      </w:r>
      <w:r w:rsidR="000F7724" w:rsidRPr="00796F65">
        <w:rPr>
          <w:rFonts w:ascii="Times New Roman" w:eastAsia="SimHei" w:hAnsi="Times New Roman" w:cs="Times New Roman"/>
        </w:rPr>
        <w:t xml:space="preserve"> AFP and </w:t>
      </w:r>
      <w:r w:rsidR="000F7724" w:rsidRPr="00796F65">
        <w:rPr>
          <w:rFonts w:ascii="Times New Roman" w:hAnsi="Times New Roman" w:cs="Times New Roman"/>
        </w:rPr>
        <w:t xml:space="preserve">beta-human chorionic gonadotropin </w:t>
      </w:r>
      <w:r w:rsidR="000F7724" w:rsidRPr="00796F65">
        <w:rPr>
          <w:rFonts w:ascii="Times New Roman" w:hAnsi="Times New Roman" w:cs="Times New Roman"/>
          <w:color w:val="000000"/>
        </w:rPr>
        <w:t xml:space="preserve">(β-hCG) </w:t>
      </w:r>
      <w:r w:rsidR="000F7724" w:rsidRPr="00796F65">
        <w:rPr>
          <w:rFonts w:ascii="Times New Roman" w:eastAsia="SimHei" w:hAnsi="Times New Roman" w:cs="Times New Roman"/>
        </w:rPr>
        <w:t>at diagnosis were 597</w:t>
      </w:r>
      <w:r w:rsidR="005A255E" w:rsidRPr="00796F65">
        <w:rPr>
          <w:rFonts w:ascii="Times New Roman" w:eastAsia="SimHei" w:hAnsi="Times New Roman" w:cs="Times New Roman"/>
        </w:rPr>
        <w:t xml:space="preserve"> </w:t>
      </w:r>
      <w:r w:rsidR="005A255E" w:rsidRPr="00796F65">
        <w:rPr>
          <w:rFonts w:ascii="Times New Roman" w:eastAsia="SimHei" w:hAnsi="Times New Roman" w:cs="Times New Roman"/>
        </w:rPr>
        <w:sym w:font="Symbol" w:char="F0B1"/>
      </w:r>
      <w:r w:rsidR="000F7724" w:rsidRPr="00796F65">
        <w:rPr>
          <w:rFonts w:ascii="Times New Roman" w:eastAsia="SimHei" w:hAnsi="Times New Roman" w:cs="Times New Roman"/>
        </w:rPr>
        <w:t xml:space="preserve"> </w:t>
      </w:r>
      <w:r w:rsidR="005A255E" w:rsidRPr="00796F65">
        <w:rPr>
          <w:rFonts w:ascii="Times New Roman" w:eastAsia="SimHei" w:hAnsi="Times New Roman" w:cs="Times New Roman"/>
        </w:rPr>
        <w:t xml:space="preserve">2306.5 </w:t>
      </w:r>
      <w:r w:rsidR="000F7724" w:rsidRPr="00796F65">
        <w:rPr>
          <w:rFonts w:ascii="Times New Roman" w:eastAsia="SimHei" w:hAnsi="Times New Roman" w:cs="Times New Roman"/>
        </w:rPr>
        <w:t xml:space="preserve">ng/mL (range, 0-10,800 ng/mL) and 6.4 </w:t>
      </w:r>
      <w:r w:rsidR="005A255E" w:rsidRPr="00796F65">
        <w:rPr>
          <w:rFonts w:ascii="Times New Roman" w:eastAsia="SimHei" w:hAnsi="Times New Roman" w:cs="Times New Roman"/>
        </w:rPr>
        <w:sym w:font="Symbol" w:char="F0B1"/>
      </w:r>
      <w:r w:rsidR="005A255E" w:rsidRPr="00796F65">
        <w:rPr>
          <w:rFonts w:ascii="Times New Roman" w:eastAsia="SimHei" w:hAnsi="Times New Roman" w:cs="Times New Roman"/>
        </w:rPr>
        <w:t xml:space="preserve"> 2 </w:t>
      </w:r>
      <w:r w:rsidR="000F7724" w:rsidRPr="00796F65">
        <w:rPr>
          <w:rFonts w:ascii="Times New Roman" w:eastAsia="SimHei" w:hAnsi="Times New Roman" w:cs="Times New Roman"/>
        </w:rPr>
        <w:t xml:space="preserve">IU/L (1-9 IU/L) respectively. The mean </w:t>
      </w:r>
      <w:r w:rsidR="000F7724" w:rsidRPr="00796F65">
        <w:rPr>
          <w:rFonts w:ascii="Times New Roman" w:hAnsi="Times New Roman" w:cs="Times New Roman"/>
        </w:rPr>
        <w:t>lactate dehydrogenase (</w:t>
      </w:r>
      <w:r w:rsidR="000F7724" w:rsidRPr="00796F65">
        <w:rPr>
          <w:rFonts w:ascii="Times New Roman" w:eastAsia="SimHei" w:hAnsi="Times New Roman" w:cs="Times New Roman"/>
        </w:rPr>
        <w:t xml:space="preserve">LDH) at diagnosis was 3260 </w:t>
      </w:r>
      <w:r w:rsidR="008B0271" w:rsidRPr="00796F65">
        <w:rPr>
          <w:rFonts w:ascii="Times New Roman" w:eastAsia="SimHei" w:hAnsi="Times New Roman" w:cs="Times New Roman"/>
        </w:rPr>
        <w:sym w:font="Symbol" w:char="F0B1"/>
      </w:r>
      <w:r w:rsidR="008B0271" w:rsidRPr="00796F65">
        <w:rPr>
          <w:rFonts w:ascii="Times New Roman" w:eastAsia="SimHei" w:hAnsi="Times New Roman" w:cs="Times New Roman"/>
        </w:rPr>
        <w:t xml:space="preserve"> 6772 </w:t>
      </w:r>
      <w:r w:rsidR="000F7724" w:rsidRPr="00796F65">
        <w:rPr>
          <w:rFonts w:ascii="Times New Roman" w:eastAsia="SimHei" w:hAnsi="Times New Roman" w:cs="Times New Roman"/>
        </w:rPr>
        <w:t>unit</w:t>
      </w:r>
      <w:r w:rsidR="00127168" w:rsidRPr="00796F65">
        <w:rPr>
          <w:rFonts w:ascii="Times New Roman" w:eastAsia="SimHei" w:hAnsi="Times New Roman" w:cs="Times New Roman"/>
        </w:rPr>
        <w:t xml:space="preserve">s/L (range, 24-27,447 units/L). </w:t>
      </w:r>
      <w:r w:rsidR="000F7724" w:rsidRPr="00796F65">
        <w:rPr>
          <w:rFonts w:ascii="Times New Roman" w:eastAsia="SimHei" w:hAnsi="Times New Roman" w:cs="Times New Roman"/>
        </w:rPr>
        <w:t xml:space="preserve">Laterality was </w:t>
      </w:r>
      <w:r w:rsidR="000F7724" w:rsidRPr="00796F65">
        <w:rPr>
          <w:rFonts w:ascii="Times New Roman" w:eastAsia="SimHei" w:hAnsi="Times New Roman" w:cs="Times New Roman"/>
        </w:rPr>
        <w:lastRenderedPageBreak/>
        <w:t>not reported in 76 (60.3%) patients. Of the remaining patients, 48 (38.1%) had unilateral disease and 2 (1.6%) had bilateral disease.</w:t>
      </w:r>
      <w:r w:rsidR="00127168" w:rsidRPr="00796F65">
        <w:rPr>
          <w:rFonts w:ascii="Times New Roman" w:eastAsia="SimHei" w:hAnsi="Times New Roman" w:cs="Times New Roman"/>
        </w:rPr>
        <w:t xml:space="preserve"> </w:t>
      </w:r>
      <w:r w:rsidR="00D45692" w:rsidRPr="00796F65">
        <w:rPr>
          <w:rFonts w:ascii="Times New Roman" w:hAnsi="Times New Roman" w:cs="Times New Roman"/>
        </w:rPr>
        <w:t xml:space="preserve">Staging distribution was as follows; COG/CCLG stage II (3.2%), III (30.9%), IV (5.5%), FIGO </w:t>
      </w:r>
      <w:r w:rsidR="00547689" w:rsidRPr="00796F65">
        <w:rPr>
          <w:rFonts w:ascii="Times New Roman" w:hAnsi="Times New Roman" w:cs="Times New Roman"/>
        </w:rPr>
        <w:t xml:space="preserve">stage </w:t>
      </w:r>
      <w:r w:rsidR="00D45692" w:rsidRPr="00796F65">
        <w:rPr>
          <w:rFonts w:ascii="Times New Roman" w:hAnsi="Times New Roman" w:cs="Times New Roman"/>
        </w:rPr>
        <w:t xml:space="preserve">IC (11.9%), II (5.6%), III (31%), IV (4%). Staging information was </w:t>
      </w:r>
      <w:r w:rsidR="0066176F" w:rsidRPr="00796F65">
        <w:rPr>
          <w:rFonts w:ascii="Times New Roman" w:hAnsi="Times New Roman" w:cs="Times New Roman"/>
        </w:rPr>
        <w:t>not reported</w:t>
      </w:r>
      <w:r w:rsidR="00D45692" w:rsidRPr="00796F65">
        <w:rPr>
          <w:rFonts w:ascii="Times New Roman" w:hAnsi="Times New Roman" w:cs="Times New Roman"/>
        </w:rPr>
        <w:t xml:space="preserve"> in 10 (7.9%) patients.</w:t>
      </w:r>
      <w:r w:rsidR="004667FB" w:rsidRPr="00796F65">
        <w:rPr>
          <w:rFonts w:ascii="Times New Roman" w:hAnsi="Times New Roman" w:cs="Times New Roman"/>
        </w:rPr>
        <w:t xml:space="preserve"> </w:t>
      </w:r>
      <w:r w:rsidR="00D45692" w:rsidRPr="00796F65">
        <w:rPr>
          <w:rFonts w:ascii="Times New Roman" w:hAnsi="Times New Roman" w:cs="Times New Roman"/>
        </w:rPr>
        <w:t>Patient characteristics are summarized in Table 2.</w:t>
      </w:r>
    </w:p>
    <w:p w14:paraId="59A5EDD5" w14:textId="77777777" w:rsidR="001007BB" w:rsidRPr="00796F65" w:rsidRDefault="001007BB" w:rsidP="00796F65">
      <w:pPr>
        <w:spacing w:line="480" w:lineRule="auto"/>
        <w:jc w:val="both"/>
        <w:outlineLvl w:val="0"/>
        <w:rPr>
          <w:rFonts w:ascii="Times New Roman" w:hAnsi="Times New Roman" w:cs="Times New Roman"/>
          <w:b/>
        </w:rPr>
      </w:pPr>
    </w:p>
    <w:p w14:paraId="30F71841" w14:textId="18065CC1" w:rsidR="004A4454" w:rsidRPr="00796F65" w:rsidRDefault="001007BB" w:rsidP="00796F65">
      <w:pPr>
        <w:spacing w:line="480" w:lineRule="auto"/>
        <w:jc w:val="both"/>
        <w:outlineLvl w:val="0"/>
        <w:rPr>
          <w:rFonts w:ascii="Times New Roman" w:hAnsi="Times New Roman" w:cs="Times New Roman"/>
          <w:b/>
        </w:rPr>
      </w:pPr>
      <w:r w:rsidRPr="00796F65">
        <w:rPr>
          <w:rFonts w:ascii="Times New Roman" w:hAnsi="Times New Roman" w:cs="Times New Roman"/>
          <w:b/>
        </w:rPr>
        <w:t xml:space="preserve">Prognostic Parameters </w:t>
      </w:r>
    </w:p>
    <w:p w14:paraId="64A37C23" w14:textId="6525A600" w:rsidR="00530BE6" w:rsidRPr="00796F65" w:rsidRDefault="004A4454" w:rsidP="00796F65">
      <w:pPr>
        <w:spacing w:line="480" w:lineRule="auto"/>
        <w:jc w:val="both"/>
        <w:outlineLvl w:val="0"/>
        <w:rPr>
          <w:rFonts w:ascii="Times New Roman" w:hAnsi="Times New Roman" w:cs="Times New Roman"/>
        </w:rPr>
      </w:pPr>
      <w:r w:rsidRPr="00796F65">
        <w:rPr>
          <w:rFonts w:ascii="Times New Roman" w:eastAsia="SimHei" w:hAnsi="Times New Roman" w:cs="Times New Roman"/>
        </w:rPr>
        <w:t xml:space="preserve">Risk of event was evaluated in </w:t>
      </w:r>
      <w:r w:rsidR="00EE29D0" w:rsidRPr="00796F65">
        <w:rPr>
          <w:rFonts w:ascii="Times New Roman" w:eastAsia="SimHei" w:hAnsi="Times New Roman" w:cs="Times New Roman"/>
        </w:rPr>
        <w:t>a</w:t>
      </w:r>
      <w:r w:rsidR="00D553D0" w:rsidRPr="00796F65">
        <w:rPr>
          <w:rFonts w:ascii="Times New Roman" w:eastAsia="SimHei" w:hAnsi="Times New Roman" w:cs="Times New Roman"/>
        </w:rPr>
        <w:t xml:space="preserve"> </w:t>
      </w:r>
      <w:r w:rsidRPr="00796F65">
        <w:rPr>
          <w:rFonts w:ascii="Times New Roman" w:eastAsia="SimHei" w:hAnsi="Times New Roman" w:cs="Times New Roman"/>
        </w:rPr>
        <w:t xml:space="preserve">univariate analysis in </w:t>
      </w:r>
      <w:r w:rsidR="0050502D" w:rsidRPr="00796F65">
        <w:rPr>
          <w:rFonts w:ascii="Times New Roman" w:eastAsia="SimHei" w:hAnsi="Times New Roman" w:cs="Times New Roman"/>
        </w:rPr>
        <w:t>Appendix 4</w:t>
      </w:r>
      <w:r w:rsidRPr="00796F65">
        <w:rPr>
          <w:rFonts w:ascii="Times New Roman" w:eastAsia="SimHei" w:hAnsi="Times New Roman" w:cs="Times New Roman"/>
        </w:rPr>
        <w:t xml:space="preserve">. </w:t>
      </w:r>
      <w:r w:rsidR="00622A71" w:rsidRPr="00796F65">
        <w:rPr>
          <w:rFonts w:ascii="Times New Roman" w:hAnsi="Times New Roman" w:cs="Times New Roman"/>
        </w:rPr>
        <w:t xml:space="preserve">The comparisons of risk of </w:t>
      </w:r>
      <w:r w:rsidR="000466D0" w:rsidRPr="00796F65">
        <w:rPr>
          <w:rFonts w:ascii="Times New Roman" w:hAnsi="Times New Roman" w:cs="Times New Roman"/>
        </w:rPr>
        <w:t xml:space="preserve">an </w:t>
      </w:r>
      <w:r w:rsidR="00622A71" w:rsidRPr="00796F65">
        <w:rPr>
          <w:rFonts w:ascii="Times New Roman" w:hAnsi="Times New Roman" w:cs="Times New Roman"/>
        </w:rPr>
        <w:t xml:space="preserve">EFS </w:t>
      </w:r>
      <w:r w:rsidR="00717512" w:rsidRPr="00796F65">
        <w:rPr>
          <w:rFonts w:ascii="Times New Roman" w:hAnsi="Times New Roman" w:cs="Times New Roman"/>
        </w:rPr>
        <w:t xml:space="preserve">event and </w:t>
      </w:r>
      <w:r w:rsidR="00817310" w:rsidRPr="00796F65">
        <w:rPr>
          <w:rFonts w:ascii="Times New Roman" w:hAnsi="Times New Roman" w:cs="Times New Roman"/>
        </w:rPr>
        <w:t xml:space="preserve">the </w:t>
      </w:r>
      <w:r w:rsidR="00717512" w:rsidRPr="00796F65">
        <w:rPr>
          <w:rFonts w:ascii="Times New Roman" w:hAnsi="Times New Roman" w:cs="Times New Roman"/>
        </w:rPr>
        <w:t>ris</w:t>
      </w:r>
      <w:r w:rsidR="005B619D" w:rsidRPr="00796F65">
        <w:rPr>
          <w:rFonts w:ascii="Times New Roman" w:hAnsi="Times New Roman" w:cs="Times New Roman"/>
        </w:rPr>
        <w:t xml:space="preserve">k of death across the 25 years </w:t>
      </w:r>
      <w:r w:rsidR="00717512" w:rsidRPr="00796F65">
        <w:rPr>
          <w:rFonts w:ascii="Times New Roman" w:hAnsi="Times New Roman" w:cs="Times New Roman"/>
        </w:rPr>
        <w:t>did not demonstrate significant differences in our patient cohort.</w:t>
      </w:r>
      <w:r w:rsidR="00530BE6" w:rsidRPr="00796F65">
        <w:rPr>
          <w:rFonts w:ascii="Times New Roman" w:hAnsi="Times New Roman" w:cs="Times New Roman"/>
        </w:rPr>
        <w:t xml:space="preserve"> N</w:t>
      </w:r>
      <w:r w:rsidR="00530BE6" w:rsidRPr="00796F65">
        <w:rPr>
          <w:rFonts w:ascii="Times New Roman" w:eastAsia="SimHei" w:hAnsi="Times New Roman" w:cs="Times New Roman"/>
        </w:rPr>
        <w:t xml:space="preserve">either age </w:t>
      </w:r>
      <w:r w:rsidR="007D1B57" w:rsidRPr="00796F65">
        <w:rPr>
          <w:rFonts w:ascii="Times New Roman" w:eastAsia="SimHei" w:hAnsi="Times New Roman" w:cs="Times New Roman"/>
        </w:rPr>
        <w:t>(p</w:t>
      </w:r>
      <w:r w:rsidR="00634CC2" w:rsidRPr="00796F65">
        <w:rPr>
          <w:rFonts w:ascii="Times New Roman" w:eastAsia="SimHei" w:hAnsi="Times New Roman" w:cs="Times New Roman"/>
        </w:rPr>
        <w:t>-value</w:t>
      </w:r>
      <w:r w:rsidR="00160F1E" w:rsidRPr="00796F65">
        <w:rPr>
          <w:rFonts w:ascii="Times New Roman" w:eastAsia="SimHei" w:hAnsi="Times New Roman" w:cs="Times New Roman"/>
        </w:rPr>
        <w:t>=</w:t>
      </w:r>
      <w:r w:rsidR="007D1B57" w:rsidRPr="00796F65">
        <w:rPr>
          <w:rFonts w:ascii="Times New Roman" w:eastAsia="SimHei" w:hAnsi="Times New Roman" w:cs="Times New Roman"/>
        </w:rPr>
        <w:t xml:space="preserve">0.27) </w:t>
      </w:r>
      <w:r w:rsidR="000A78CF">
        <w:rPr>
          <w:rFonts w:ascii="Times New Roman" w:eastAsia="SimHei" w:hAnsi="Times New Roman" w:cs="Times New Roman"/>
        </w:rPr>
        <w:t>n</w:t>
      </w:r>
      <w:r w:rsidR="00530BE6" w:rsidRPr="00796F65">
        <w:rPr>
          <w:rFonts w:ascii="Times New Roman" w:eastAsia="SimHei" w:hAnsi="Times New Roman" w:cs="Times New Roman"/>
        </w:rPr>
        <w:t xml:space="preserve">or treatment regimen </w:t>
      </w:r>
      <w:r w:rsidR="007D1B57" w:rsidRPr="00796F65">
        <w:rPr>
          <w:rFonts w:ascii="Times New Roman" w:eastAsia="SimHei" w:hAnsi="Times New Roman" w:cs="Times New Roman"/>
        </w:rPr>
        <w:t>(p</w:t>
      </w:r>
      <w:r w:rsidR="00634CC2" w:rsidRPr="00796F65">
        <w:rPr>
          <w:rFonts w:ascii="Times New Roman" w:eastAsia="SimHei" w:hAnsi="Times New Roman" w:cs="Times New Roman"/>
        </w:rPr>
        <w:t>-value</w:t>
      </w:r>
      <w:r w:rsidR="007D1B57" w:rsidRPr="00796F65">
        <w:rPr>
          <w:rFonts w:ascii="Times New Roman" w:eastAsia="SimHei" w:hAnsi="Times New Roman" w:cs="Times New Roman"/>
        </w:rPr>
        <w:t xml:space="preserve">=0.42) </w:t>
      </w:r>
      <w:r w:rsidR="00530BE6" w:rsidRPr="00796F65">
        <w:rPr>
          <w:rFonts w:ascii="Times New Roman" w:eastAsia="SimHei" w:hAnsi="Times New Roman" w:cs="Times New Roman"/>
        </w:rPr>
        <w:t xml:space="preserve">were significantly related to outcome. Similarly, AFP at diagnosis </w:t>
      </w:r>
      <w:r w:rsidR="007D1B57" w:rsidRPr="00796F65">
        <w:rPr>
          <w:rFonts w:ascii="Times New Roman" w:eastAsia="SimHei" w:hAnsi="Times New Roman" w:cs="Times New Roman"/>
        </w:rPr>
        <w:t>(p</w:t>
      </w:r>
      <w:r w:rsidR="00634CC2" w:rsidRPr="00796F65">
        <w:rPr>
          <w:rFonts w:ascii="Times New Roman" w:eastAsia="SimHei" w:hAnsi="Times New Roman" w:cs="Times New Roman"/>
        </w:rPr>
        <w:t>-value</w:t>
      </w:r>
      <w:r w:rsidR="007D1B57" w:rsidRPr="00796F65">
        <w:rPr>
          <w:rFonts w:ascii="Times New Roman" w:eastAsia="SimHei" w:hAnsi="Times New Roman" w:cs="Times New Roman"/>
        </w:rPr>
        <w:t xml:space="preserve">=0.87) </w:t>
      </w:r>
      <w:r w:rsidR="00530BE6" w:rsidRPr="00796F65">
        <w:rPr>
          <w:rFonts w:ascii="Times New Roman" w:eastAsia="SimHei" w:hAnsi="Times New Roman" w:cs="Times New Roman"/>
        </w:rPr>
        <w:t xml:space="preserve">and era of treatment </w:t>
      </w:r>
      <w:r w:rsidR="007D1B57" w:rsidRPr="00796F65">
        <w:rPr>
          <w:rFonts w:ascii="Times New Roman" w:eastAsia="SimHei" w:hAnsi="Times New Roman" w:cs="Times New Roman"/>
        </w:rPr>
        <w:t>(p</w:t>
      </w:r>
      <w:r w:rsidR="00634CC2" w:rsidRPr="00796F65">
        <w:rPr>
          <w:rFonts w:ascii="Times New Roman" w:eastAsia="SimHei" w:hAnsi="Times New Roman" w:cs="Times New Roman"/>
        </w:rPr>
        <w:t>-value</w:t>
      </w:r>
      <w:r w:rsidR="007D1B57" w:rsidRPr="00796F65">
        <w:rPr>
          <w:rFonts w:ascii="Times New Roman" w:eastAsia="SimHei" w:hAnsi="Times New Roman" w:cs="Times New Roman"/>
        </w:rPr>
        <w:t xml:space="preserve">=0.87) </w:t>
      </w:r>
      <w:r w:rsidR="00530BE6" w:rsidRPr="00796F65">
        <w:rPr>
          <w:rFonts w:ascii="Times New Roman" w:eastAsia="SimHei" w:hAnsi="Times New Roman" w:cs="Times New Roman"/>
        </w:rPr>
        <w:t>did not correlate with outcomes. The only variable that was</w:t>
      </w:r>
      <w:r w:rsidR="00965779" w:rsidRPr="00796F65">
        <w:rPr>
          <w:rFonts w:ascii="Times New Roman" w:eastAsia="SimHei" w:hAnsi="Times New Roman" w:cs="Times New Roman"/>
        </w:rPr>
        <w:t xml:space="preserve"> significant was stage; however</w:t>
      </w:r>
      <w:r w:rsidR="00B6467D">
        <w:rPr>
          <w:rFonts w:ascii="Times New Roman" w:eastAsia="SimHei" w:hAnsi="Times New Roman" w:cs="Times New Roman"/>
        </w:rPr>
        <w:t>,</w:t>
      </w:r>
      <w:r w:rsidR="00530BE6" w:rsidRPr="00796F65">
        <w:rPr>
          <w:rFonts w:ascii="Times New Roman" w:eastAsia="SimHei" w:hAnsi="Times New Roman" w:cs="Times New Roman"/>
        </w:rPr>
        <w:t xml:space="preserve"> there were only </w:t>
      </w:r>
      <w:r w:rsidR="00971E74" w:rsidRPr="00796F65">
        <w:rPr>
          <w:rFonts w:ascii="Times New Roman" w:eastAsia="SimHei" w:hAnsi="Times New Roman" w:cs="Times New Roman"/>
        </w:rPr>
        <w:t>five</w:t>
      </w:r>
      <w:r w:rsidR="00BC33E0" w:rsidRPr="00796F65">
        <w:rPr>
          <w:rFonts w:ascii="Times New Roman" w:eastAsia="SimHei" w:hAnsi="Times New Roman" w:cs="Times New Roman"/>
        </w:rPr>
        <w:t xml:space="preserve"> </w:t>
      </w:r>
      <w:r w:rsidR="00530BE6" w:rsidRPr="00796F65">
        <w:rPr>
          <w:rFonts w:ascii="Times New Roman" w:eastAsia="SimHei" w:hAnsi="Times New Roman" w:cs="Times New Roman"/>
        </w:rPr>
        <w:t xml:space="preserve">patients </w:t>
      </w:r>
      <w:r w:rsidR="00F25BFB" w:rsidRPr="00796F65">
        <w:rPr>
          <w:rFonts w:ascii="Times New Roman" w:eastAsia="SimHei" w:hAnsi="Times New Roman" w:cs="Times New Roman"/>
        </w:rPr>
        <w:t xml:space="preserve">with FIGO stage IV  disease, </w:t>
      </w:r>
      <w:r w:rsidR="00530BE6" w:rsidRPr="00796F65">
        <w:rPr>
          <w:rFonts w:ascii="Times New Roman" w:eastAsia="SimHei" w:hAnsi="Times New Roman" w:cs="Times New Roman"/>
        </w:rPr>
        <w:t>hence</w:t>
      </w:r>
      <w:r w:rsidR="00965779" w:rsidRPr="00796F65">
        <w:rPr>
          <w:rFonts w:ascii="Times New Roman" w:eastAsia="SimHei" w:hAnsi="Times New Roman" w:cs="Times New Roman"/>
        </w:rPr>
        <w:t>,</w:t>
      </w:r>
      <w:r w:rsidR="00530BE6" w:rsidRPr="00796F65">
        <w:rPr>
          <w:rFonts w:ascii="Times New Roman" w:eastAsia="SimHei" w:hAnsi="Times New Roman" w:cs="Times New Roman"/>
        </w:rPr>
        <w:t xml:space="preserve"> the confidence intervals are very broad. </w:t>
      </w:r>
      <w:r w:rsidR="00622A71" w:rsidRPr="00796F65">
        <w:rPr>
          <w:rFonts w:ascii="Times New Roman" w:hAnsi="Times New Roman" w:cs="Times New Roman"/>
        </w:rPr>
        <w:t xml:space="preserve">The small number of EFS and OS </w:t>
      </w:r>
      <w:r w:rsidR="00530BE6" w:rsidRPr="00796F65">
        <w:rPr>
          <w:rFonts w:ascii="Times New Roman" w:hAnsi="Times New Roman" w:cs="Times New Roman"/>
        </w:rPr>
        <w:t xml:space="preserve">events observed in this cohort </w:t>
      </w:r>
      <w:r w:rsidR="00530BE6" w:rsidRPr="00796F65">
        <w:rPr>
          <w:rFonts w:ascii="Times New Roman" w:hAnsi="Times New Roman" w:cs="Times New Roman"/>
          <w:color w:val="000000" w:themeColor="text1"/>
        </w:rPr>
        <w:t xml:space="preserve">precluded the evaluation of any </w:t>
      </w:r>
      <w:r w:rsidR="00530BE6" w:rsidRPr="00796F65">
        <w:rPr>
          <w:rFonts w:ascii="Times New Roman" w:hAnsi="Times New Roman" w:cs="Times New Roman"/>
        </w:rPr>
        <w:t>associ</w:t>
      </w:r>
      <w:r w:rsidR="00622A71" w:rsidRPr="00796F65">
        <w:rPr>
          <w:rFonts w:ascii="Times New Roman" w:hAnsi="Times New Roman" w:cs="Times New Roman"/>
        </w:rPr>
        <w:t xml:space="preserve">ations between risk for </w:t>
      </w:r>
      <w:r w:rsidR="00EB577D" w:rsidRPr="00796F65">
        <w:rPr>
          <w:rFonts w:ascii="Times New Roman" w:hAnsi="Times New Roman" w:cs="Times New Roman"/>
        </w:rPr>
        <w:t xml:space="preserve">an </w:t>
      </w:r>
      <w:r w:rsidR="00622A71" w:rsidRPr="00796F65">
        <w:rPr>
          <w:rFonts w:ascii="Times New Roman" w:hAnsi="Times New Roman" w:cs="Times New Roman"/>
        </w:rPr>
        <w:t xml:space="preserve">EFS </w:t>
      </w:r>
      <w:r w:rsidR="00530BE6" w:rsidRPr="00796F65">
        <w:rPr>
          <w:rFonts w:ascii="Times New Roman" w:hAnsi="Times New Roman" w:cs="Times New Roman"/>
        </w:rPr>
        <w:t>event and patient characteristics in a multivariate analysis.</w:t>
      </w:r>
    </w:p>
    <w:p w14:paraId="5F603CE3" w14:textId="47211614" w:rsidR="00530BE6" w:rsidRPr="00796F65" w:rsidRDefault="00530BE6" w:rsidP="00796F65">
      <w:pPr>
        <w:spacing w:line="480" w:lineRule="auto"/>
        <w:jc w:val="both"/>
        <w:outlineLvl w:val="0"/>
        <w:rPr>
          <w:rFonts w:ascii="Times New Roman" w:hAnsi="Times New Roman" w:cs="Times New Roman"/>
        </w:rPr>
      </w:pPr>
    </w:p>
    <w:p w14:paraId="7A2506BE" w14:textId="77777777" w:rsidR="0053645C" w:rsidRPr="00796F65" w:rsidRDefault="00530BE6" w:rsidP="00796F65">
      <w:pPr>
        <w:spacing w:line="480" w:lineRule="auto"/>
        <w:jc w:val="both"/>
        <w:outlineLvl w:val="0"/>
        <w:rPr>
          <w:rFonts w:ascii="Times New Roman" w:hAnsi="Times New Roman" w:cs="Times New Roman"/>
        </w:rPr>
      </w:pPr>
      <w:r w:rsidRPr="00796F65">
        <w:rPr>
          <w:rFonts w:ascii="Times New Roman" w:hAnsi="Times New Roman" w:cs="Times New Roman"/>
          <w:b/>
        </w:rPr>
        <w:t>Outcomes</w:t>
      </w:r>
      <w:r w:rsidRPr="00796F65">
        <w:rPr>
          <w:rFonts w:ascii="Times New Roman" w:hAnsi="Times New Roman" w:cs="Times New Roman"/>
        </w:rPr>
        <w:t xml:space="preserve"> </w:t>
      </w:r>
    </w:p>
    <w:p w14:paraId="66004852" w14:textId="2B393C60" w:rsidR="00CE0F82" w:rsidRPr="00796F65" w:rsidRDefault="008F6D2D" w:rsidP="00796F65">
      <w:pPr>
        <w:spacing w:line="480" w:lineRule="auto"/>
        <w:jc w:val="both"/>
        <w:outlineLvl w:val="0"/>
        <w:rPr>
          <w:rFonts w:ascii="Times New Roman" w:hAnsi="Times New Roman" w:cs="Times New Roman"/>
        </w:rPr>
      </w:pPr>
      <w:r w:rsidRPr="00796F65">
        <w:rPr>
          <w:rFonts w:ascii="Times New Roman" w:hAnsi="Times New Roman" w:cs="Times New Roman"/>
        </w:rPr>
        <w:t xml:space="preserve">The </w:t>
      </w:r>
      <w:r w:rsidR="00A25E38" w:rsidRPr="00796F65">
        <w:rPr>
          <w:rFonts w:ascii="Times New Roman" w:hAnsi="Times New Roman" w:cs="Times New Roman"/>
        </w:rPr>
        <w:t>five-year event-free survival (</w:t>
      </w:r>
      <w:r w:rsidRPr="00796F65">
        <w:rPr>
          <w:rFonts w:ascii="Times New Roman" w:hAnsi="Times New Roman" w:cs="Times New Roman"/>
        </w:rPr>
        <w:t>EFS</w:t>
      </w:r>
      <w:r w:rsidRPr="00796F65">
        <w:rPr>
          <w:rFonts w:ascii="Times New Roman" w:hAnsi="Times New Roman" w:cs="Times New Roman"/>
          <w:vertAlign w:val="subscript"/>
        </w:rPr>
        <w:t>5</w:t>
      </w:r>
      <w:r w:rsidR="00A25E38" w:rsidRPr="00796F65">
        <w:rPr>
          <w:rFonts w:ascii="Times New Roman" w:hAnsi="Times New Roman" w:cs="Times New Roman"/>
        </w:rPr>
        <w:t>)</w:t>
      </w:r>
      <w:r w:rsidRPr="00796F65">
        <w:rPr>
          <w:rFonts w:ascii="Times New Roman" w:hAnsi="Times New Roman" w:cs="Times New Roman"/>
        </w:rPr>
        <w:t xml:space="preserve"> and </w:t>
      </w:r>
      <w:r w:rsidR="0090682C" w:rsidRPr="00796F65">
        <w:rPr>
          <w:rFonts w:ascii="Times New Roman" w:hAnsi="Times New Roman" w:cs="Times New Roman"/>
        </w:rPr>
        <w:t xml:space="preserve">overall </w:t>
      </w:r>
      <w:r w:rsidR="00A25E38" w:rsidRPr="00796F65">
        <w:rPr>
          <w:rFonts w:ascii="Times New Roman" w:hAnsi="Times New Roman" w:cs="Times New Roman"/>
        </w:rPr>
        <w:t>survival (</w:t>
      </w:r>
      <w:r w:rsidRPr="00796F65">
        <w:rPr>
          <w:rFonts w:ascii="Times New Roman" w:hAnsi="Times New Roman" w:cs="Times New Roman"/>
        </w:rPr>
        <w:t>OS</w:t>
      </w:r>
      <w:r w:rsidRPr="00796F65">
        <w:rPr>
          <w:rFonts w:ascii="Times New Roman" w:hAnsi="Times New Roman" w:cs="Times New Roman"/>
          <w:vertAlign w:val="subscript"/>
        </w:rPr>
        <w:t>5</w:t>
      </w:r>
      <w:r w:rsidR="00A25E38" w:rsidRPr="00796F65">
        <w:rPr>
          <w:rFonts w:ascii="Times New Roman" w:hAnsi="Times New Roman" w:cs="Times New Roman"/>
        </w:rPr>
        <w:t>)</w:t>
      </w:r>
      <w:r w:rsidRPr="00796F65">
        <w:rPr>
          <w:rFonts w:ascii="Times New Roman" w:hAnsi="Times New Roman" w:cs="Times New Roman"/>
        </w:rPr>
        <w:t xml:space="preserve"> for all patients who received chemotherapy (n=126) was 94.1% (95%</w:t>
      </w:r>
      <w:r w:rsidR="0004205B" w:rsidRPr="00796F65">
        <w:rPr>
          <w:rFonts w:ascii="Times New Roman" w:hAnsi="Times New Roman" w:cs="Times New Roman"/>
        </w:rPr>
        <w:t xml:space="preserve"> </w:t>
      </w:r>
      <w:r w:rsidRPr="00796F65">
        <w:rPr>
          <w:rFonts w:ascii="Times New Roman" w:hAnsi="Times New Roman" w:cs="Times New Roman"/>
        </w:rPr>
        <w:t xml:space="preserve">CI, </w:t>
      </w:r>
      <w:r w:rsidR="003E7B0B" w:rsidRPr="00796F65">
        <w:rPr>
          <w:rFonts w:ascii="Times New Roman" w:hAnsi="Times New Roman" w:cs="Times New Roman"/>
        </w:rPr>
        <w:t>0.88 to 0.97</w:t>
      </w:r>
      <w:r w:rsidRPr="00796F65">
        <w:rPr>
          <w:rFonts w:ascii="Times New Roman" w:hAnsi="Times New Roman" w:cs="Times New Roman"/>
        </w:rPr>
        <w:t>) and 96.6% (95%</w:t>
      </w:r>
      <w:r w:rsidR="005D5CD9" w:rsidRPr="00796F65">
        <w:rPr>
          <w:rFonts w:ascii="Times New Roman" w:hAnsi="Times New Roman" w:cs="Times New Roman"/>
        </w:rPr>
        <w:t xml:space="preserve"> </w:t>
      </w:r>
      <w:r w:rsidRPr="00796F65">
        <w:rPr>
          <w:rFonts w:ascii="Times New Roman" w:hAnsi="Times New Roman" w:cs="Times New Roman"/>
        </w:rPr>
        <w:t xml:space="preserve">CI, </w:t>
      </w:r>
      <w:r w:rsidR="005D5CD9" w:rsidRPr="00796F65">
        <w:rPr>
          <w:rFonts w:ascii="Times New Roman" w:hAnsi="Times New Roman" w:cs="Times New Roman"/>
        </w:rPr>
        <w:t>0.91 to 0.99</w:t>
      </w:r>
      <w:r w:rsidRPr="00796F65">
        <w:rPr>
          <w:rFonts w:ascii="Times New Roman" w:hAnsi="Times New Roman" w:cs="Times New Roman"/>
        </w:rPr>
        <w:t>) respectively (Figure 2).</w:t>
      </w:r>
      <w:r w:rsidR="003E3500" w:rsidRPr="00796F65">
        <w:rPr>
          <w:rFonts w:ascii="Times New Roman" w:hAnsi="Times New Roman" w:cs="Times New Roman"/>
        </w:rPr>
        <w:t xml:space="preserve"> </w:t>
      </w:r>
      <w:r w:rsidR="00CE0F82" w:rsidRPr="00796F65">
        <w:rPr>
          <w:rFonts w:ascii="Times New Roman" w:hAnsi="Times New Roman" w:cs="Times New Roman"/>
          <w:bCs/>
        </w:rPr>
        <w:t xml:space="preserve">Survival probabilities by age, stage and treatment regimen are summarized in </w:t>
      </w:r>
      <w:r w:rsidR="00A52BE5" w:rsidRPr="00796F65">
        <w:rPr>
          <w:rFonts w:ascii="Times New Roman" w:hAnsi="Times New Roman" w:cs="Times New Roman"/>
          <w:bCs/>
        </w:rPr>
        <w:t>Table 3</w:t>
      </w:r>
      <w:r w:rsidR="00CE0F82" w:rsidRPr="00796F65">
        <w:rPr>
          <w:rFonts w:ascii="Times New Roman" w:hAnsi="Times New Roman" w:cs="Times New Roman"/>
          <w:bCs/>
        </w:rPr>
        <w:t xml:space="preserve">. </w:t>
      </w:r>
      <w:r w:rsidRPr="00796F65">
        <w:rPr>
          <w:rFonts w:ascii="Times New Roman" w:hAnsi="Times New Roman" w:cs="Times New Roman"/>
        </w:rPr>
        <w:t>Across three age groups, the comparison of the EFS</w:t>
      </w:r>
      <w:r w:rsidRPr="00796F65">
        <w:rPr>
          <w:rFonts w:ascii="Times New Roman" w:hAnsi="Times New Roman" w:cs="Times New Roman"/>
          <w:vertAlign w:val="subscript"/>
        </w:rPr>
        <w:t>5</w:t>
      </w:r>
      <w:r w:rsidRPr="00796F65">
        <w:rPr>
          <w:rFonts w:ascii="Times New Roman" w:hAnsi="Times New Roman" w:cs="Times New Roman"/>
        </w:rPr>
        <w:t xml:space="preserve"> </w:t>
      </w:r>
      <w:r w:rsidRPr="00796F65">
        <w:rPr>
          <w:rFonts w:ascii="Times New Roman" w:hAnsi="Times New Roman" w:cs="Times New Roman"/>
        </w:rPr>
        <w:lastRenderedPageBreak/>
        <w:t>(&lt;11y=100%, 11-25y=91.4% (95%</w:t>
      </w:r>
      <w:r w:rsidR="00816FA5" w:rsidRPr="00796F65">
        <w:rPr>
          <w:rFonts w:ascii="Times New Roman" w:hAnsi="Times New Roman" w:cs="Times New Roman"/>
        </w:rPr>
        <w:t xml:space="preserve"> </w:t>
      </w:r>
      <w:r w:rsidRPr="00796F65">
        <w:rPr>
          <w:rFonts w:ascii="Times New Roman" w:hAnsi="Times New Roman" w:cs="Times New Roman"/>
        </w:rPr>
        <w:t xml:space="preserve">CI, </w:t>
      </w:r>
      <w:r w:rsidR="00816FA5" w:rsidRPr="00796F65">
        <w:rPr>
          <w:rFonts w:ascii="Times New Roman" w:hAnsi="Times New Roman" w:cs="Times New Roman"/>
        </w:rPr>
        <w:t>0.82 to 0.96</w:t>
      </w:r>
      <w:r w:rsidRPr="00796F65">
        <w:rPr>
          <w:rFonts w:ascii="Times New Roman" w:hAnsi="Times New Roman" w:cs="Times New Roman"/>
        </w:rPr>
        <w:t>), &gt;25y=97.1% (95%</w:t>
      </w:r>
      <w:r w:rsidR="006264F7" w:rsidRPr="00796F65">
        <w:rPr>
          <w:rFonts w:ascii="Times New Roman" w:hAnsi="Times New Roman" w:cs="Times New Roman"/>
        </w:rPr>
        <w:t xml:space="preserve"> </w:t>
      </w:r>
      <w:r w:rsidRPr="00796F65">
        <w:rPr>
          <w:rFonts w:ascii="Times New Roman" w:hAnsi="Times New Roman" w:cs="Times New Roman"/>
        </w:rPr>
        <w:t xml:space="preserve">CI, </w:t>
      </w:r>
      <w:r w:rsidR="006264F7" w:rsidRPr="00796F65">
        <w:rPr>
          <w:rFonts w:ascii="Times New Roman" w:hAnsi="Times New Roman" w:cs="Times New Roman"/>
        </w:rPr>
        <w:t>0.</w:t>
      </w:r>
      <w:r w:rsidRPr="00796F65">
        <w:rPr>
          <w:rFonts w:ascii="Times New Roman" w:hAnsi="Times New Roman" w:cs="Times New Roman"/>
        </w:rPr>
        <w:t>8</w:t>
      </w:r>
      <w:r w:rsidR="006264F7" w:rsidRPr="00796F65">
        <w:rPr>
          <w:rFonts w:ascii="Times New Roman" w:hAnsi="Times New Roman" w:cs="Times New Roman"/>
        </w:rPr>
        <w:t>1 to 0.</w:t>
      </w:r>
      <w:r w:rsidRPr="00796F65">
        <w:rPr>
          <w:rFonts w:ascii="Times New Roman" w:hAnsi="Times New Roman" w:cs="Times New Roman"/>
        </w:rPr>
        <w:t>99)) and OS</w:t>
      </w:r>
      <w:r w:rsidRPr="00796F65">
        <w:rPr>
          <w:rFonts w:ascii="Times New Roman" w:hAnsi="Times New Roman" w:cs="Times New Roman"/>
          <w:vertAlign w:val="subscript"/>
        </w:rPr>
        <w:t xml:space="preserve">5 </w:t>
      </w:r>
      <w:r w:rsidRPr="00796F65">
        <w:rPr>
          <w:rFonts w:ascii="Times New Roman" w:hAnsi="Times New Roman" w:cs="Times New Roman"/>
        </w:rPr>
        <w:t>(&lt;11y=100%, 11-25y=95.7% (95%</w:t>
      </w:r>
      <w:r w:rsidR="002C3DC6" w:rsidRPr="00796F65">
        <w:rPr>
          <w:rFonts w:ascii="Times New Roman" w:hAnsi="Times New Roman" w:cs="Times New Roman"/>
        </w:rPr>
        <w:t xml:space="preserve"> </w:t>
      </w:r>
      <w:r w:rsidRPr="00796F65">
        <w:rPr>
          <w:rFonts w:ascii="Times New Roman" w:hAnsi="Times New Roman" w:cs="Times New Roman"/>
        </w:rPr>
        <w:t xml:space="preserve">CI, </w:t>
      </w:r>
      <w:r w:rsidR="002C3DC6" w:rsidRPr="00796F65">
        <w:rPr>
          <w:rFonts w:ascii="Times New Roman" w:hAnsi="Times New Roman" w:cs="Times New Roman"/>
        </w:rPr>
        <w:t>0.</w:t>
      </w:r>
      <w:r w:rsidRPr="00796F65">
        <w:rPr>
          <w:rFonts w:ascii="Times New Roman" w:hAnsi="Times New Roman" w:cs="Times New Roman"/>
        </w:rPr>
        <w:t>87</w:t>
      </w:r>
      <w:r w:rsidR="002C3DC6" w:rsidRPr="00796F65">
        <w:rPr>
          <w:rFonts w:ascii="Times New Roman" w:hAnsi="Times New Roman" w:cs="Times New Roman"/>
        </w:rPr>
        <w:t xml:space="preserve"> to 0.99</w:t>
      </w:r>
      <w:r w:rsidRPr="00796F65">
        <w:rPr>
          <w:rFonts w:ascii="Times New Roman" w:hAnsi="Times New Roman" w:cs="Times New Roman"/>
        </w:rPr>
        <w:t>), &gt;25y=97.1% (95%</w:t>
      </w:r>
      <w:r w:rsidR="00D619B2" w:rsidRPr="00796F65">
        <w:rPr>
          <w:rFonts w:ascii="Times New Roman" w:hAnsi="Times New Roman" w:cs="Times New Roman"/>
        </w:rPr>
        <w:t xml:space="preserve"> </w:t>
      </w:r>
      <w:r w:rsidRPr="00796F65">
        <w:rPr>
          <w:rFonts w:ascii="Times New Roman" w:hAnsi="Times New Roman" w:cs="Times New Roman"/>
        </w:rPr>
        <w:t xml:space="preserve">CI, </w:t>
      </w:r>
      <w:r w:rsidR="00D619B2" w:rsidRPr="00796F65">
        <w:rPr>
          <w:rFonts w:ascii="Times New Roman" w:hAnsi="Times New Roman" w:cs="Times New Roman"/>
        </w:rPr>
        <w:t>0.</w:t>
      </w:r>
      <w:r w:rsidRPr="00796F65">
        <w:rPr>
          <w:rFonts w:ascii="Times New Roman" w:hAnsi="Times New Roman" w:cs="Times New Roman"/>
        </w:rPr>
        <w:t>8</w:t>
      </w:r>
      <w:r w:rsidR="00D619B2" w:rsidRPr="00796F65">
        <w:rPr>
          <w:rFonts w:ascii="Times New Roman" w:hAnsi="Times New Roman" w:cs="Times New Roman"/>
        </w:rPr>
        <w:t>1 to 0.99</w:t>
      </w:r>
      <w:r w:rsidRPr="00796F65">
        <w:rPr>
          <w:rFonts w:ascii="Times New Roman" w:hAnsi="Times New Roman" w:cs="Times New Roman"/>
        </w:rPr>
        <w:t xml:space="preserve">)) did not demonstrate any statistically significant differences in outcomes. </w:t>
      </w:r>
    </w:p>
    <w:p w14:paraId="34AAB0B3" w14:textId="77777777" w:rsidR="00CE0F82" w:rsidRPr="00796F65" w:rsidRDefault="00CE0F82" w:rsidP="00796F65">
      <w:pPr>
        <w:spacing w:line="480" w:lineRule="auto"/>
        <w:jc w:val="both"/>
        <w:outlineLvl w:val="0"/>
        <w:rPr>
          <w:rFonts w:ascii="Times New Roman" w:hAnsi="Times New Roman" w:cs="Times New Roman"/>
        </w:rPr>
      </w:pPr>
    </w:p>
    <w:p w14:paraId="34698360" w14:textId="6373BB84" w:rsidR="008F6D2D" w:rsidRPr="00796F65" w:rsidRDefault="008F6D2D" w:rsidP="00796F65">
      <w:pPr>
        <w:spacing w:line="480" w:lineRule="auto"/>
        <w:jc w:val="both"/>
        <w:outlineLvl w:val="0"/>
        <w:rPr>
          <w:rFonts w:ascii="Times New Roman" w:hAnsi="Times New Roman" w:cs="Times New Roman"/>
          <w:bCs/>
        </w:rPr>
      </w:pPr>
      <w:r w:rsidRPr="00796F65">
        <w:rPr>
          <w:rFonts w:ascii="Times New Roman" w:hAnsi="Times New Roman" w:cs="Times New Roman"/>
        </w:rPr>
        <w:t>Both the EFS</w:t>
      </w:r>
      <w:r w:rsidRPr="00796F65">
        <w:rPr>
          <w:rFonts w:ascii="Times New Roman" w:hAnsi="Times New Roman" w:cs="Times New Roman"/>
          <w:vertAlign w:val="subscript"/>
        </w:rPr>
        <w:t>5</w:t>
      </w:r>
      <w:r w:rsidRPr="00796F65">
        <w:rPr>
          <w:rFonts w:ascii="Times New Roman" w:hAnsi="Times New Roman" w:cs="Times New Roman"/>
        </w:rPr>
        <w:t xml:space="preserve"> and OS</w:t>
      </w:r>
      <w:r w:rsidRPr="00796F65">
        <w:rPr>
          <w:rFonts w:ascii="Times New Roman" w:hAnsi="Times New Roman" w:cs="Times New Roman"/>
          <w:vertAlign w:val="subscript"/>
        </w:rPr>
        <w:t>5</w:t>
      </w:r>
      <w:r w:rsidRPr="00796F65">
        <w:rPr>
          <w:rFonts w:ascii="Times New Roman" w:hAnsi="Times New Roman" w:cs="Times New Roman"/>
        </w:rPr>
        <w:t xml:space="preserve"> for</w:t>
      </w:r>
      <w:r w:rsidRPr="00796F65">
        <w:rPr>
          <w:rFonts w:ascii="Times New Roman" w:hAnsi="Times New Roman" w:cs="Times New Roman"/>
          <w:vertAlign w:val="subscript"/>
        </w:rPr>
        <w:t xml:space="preserve"> </w:t>
      </w:r>
      <w:r w:rsidRPr="00796F65">
        <w:rPr>
          <w:rFonts w:ascii="Times New Roman" w:hAnsi="Times New Roman" w:cs="Times New Roman"/>
          <w:bCs/>
        </w:rPr>
        <w:t>all patients with COG/CCLG stage II-IV disease was 93.8%</w:t>
      </w:r>
      <w:r w:rsidRPr="00796F65">
        <w:rPr>
          <w:rFonts w:ascii="Times New Roman" w:hAnsi="Times New Roman" w:cs="Times New Roman"/>
        </w:rPr>
        <w:t xml:space="preserve"> (95%</w:t>
      </w:r>
      <w:r w:rsidR="006E7272" w:rsidRPr="00796F65">
        <w:rPr>
          <w:rFonts w:ascii="Times New Roman" w:hAnsi="Times New Roman" w:cs="Times New Roman"/>
        </w:rPr>
        <w:t xml:space="preserve"> </w:t>
      </w:r>
      <w:r w:rsidRPr="00796F65">
        <w:rPr>
          <w:rFonts w:ascii="Times New Roman" w:hAnsi="Times New Roman" w:cs="Times New Roman"/>
        </w:rPr>
        <w:t xml:space="preserve">CI, </w:t>
      </w:r>
      <w:r w:rsidR="006E7272" w:rsidRPr="00796F65">
        <w:rPr>
          <w:rFonts w:ascii="Times New Roman" w:hAnsi="Times New Roman" w:cs="Times New Roman"/>
        </w:rPr>
        <w:t>0.</w:t>
      </w:r>
      <w:r w:rsidRPr="00796F65">
        <w:rPr>
          <w:rFonts w:ascii="Times New Roman" w:hAnsi="Times New Roman" w:cs="Times New Roman"/>
        </w:rPr>
        <w:t>82</w:t>
      </w:r>
      <w:r w:rsidR="006E7272" w:rsidRPr="00796F65">
        <w:rPr>
          <w:rFonts w:ascii="Times New Roman" w:hAnsi="Times New Roman" w:cs="Times New Roman"/>
        </w:rPr>
        <w:t xml:space="preserve"> to 0.</w:t>
      </w:r>
      <w:r w:rsidRPr="00796F65">
        <w:rPr>
          <w:rFonts w:ascii="Times New Roman" w:hAnsi="Times New Roman" w:cs="Times New Roman"/>
        </w:rPr>
        <w:t>98). The EFS</w:t>
      </w:r>
      <w:r w:rsidRPr="00796F65">
        <w:rPr>
          <w:rFonts w:ascii="Times New Roman" w:hAnsi="Times New Roman" w:cs="Times New Roman"/>
          <w:vertAlign w:val="subscript"/>
        </w:rPr>
        <w:t>5</w:t>
      </w:r>
      <w:r w:rsidRPr="00796F65">
        <w:rPr>
          <w:rFonts w:ascii="Times New Roman" w:hAnsi="Times New Roman" w:cs="Times New Roman"/>
        </w:rPr>
        <w:t xml:space="preserve"> and OS</w:t>
      </w:r>
      <w:r w:rsidRPr="00796F65">
        <w:rPr>
          <w:rFonts w:ascii="Times New Roman" w:hAnsi="Times New Roman" w:cs="Times New Roman"/>
          <w:vertAlign w:val="subscript"/>
        </w:rPr>
        <w:t>5</w:t>
      </w:r>
      <w:r w:rsidRPr="00796F65">
        <w:rPr>
          <w:rFonts w:ascii="Times New Roman" w:hAnsi="Times New Roman" w:cs="Times New Roman"/>
        </w:rPr>
        <w:t xml:space="preserve"> for</w:t>
      </w:r>
      <w:r w:rsidRPr="00796F65">
        <w:rPr>
          <w:rFonts w:ascii="Times New Roman" w:hAnsi="Times New Roman" w:cs="Times New Roman"/>
          <w:vertAlign w:val="subscript"/>
        </w:rPr>
        <w:t xml:space="preserve"> </w:t>
      </w:r>
      <w:r w:rsidRPr="00796F65">
        <w:rPr>
          <w:rFonts w:ascii="Times New Roman" w:hAnsi="Times New Roman" w:cs="Times New Roman"/>
          <w:bCs/>
        </w:rPr>
        <w:t>all patients with FIGO stage IC-IV was 95.0%</w:t>
      </w:r>
      <w:r w:rsidRPr="00796F65">
        <w:rPr>
          <w:rFonts w:ascii="Times New Roman" w:hAnsi="Times New Roman" w:cs="Times New Roman"/>
        </w:rPr>
        <w:t xml:space="preserve"> (95%</w:t>
      </w:r>
      <w:r w:rsidR="00A91DAC" w:rsidRPr="00796F65">
        <w:rPr>
          <w:rFonts w:ascii="Times New Roman" w:hAnsi="Times New Roman" w:cs="Times New Roman"/>
        </w:rPr>
        <w:t xml:space="preserve"> </w:t>
      </w:r>
      <w:r w:rsidRPr="00796F65">
        <w:rPr>
          <w:rFonts w:ascii="Times New Roman" w:hAnsi="Times New Roman" w:cs="Times New Roman"/>
        </w:rPr>
        <w:t xml:space="preserve">CI, </w:t>
      </w:r>
      <w:r w:rsidR="00A91DAC" w:rsidRPr="00796F65">
        <w:rPr>
          <w:rFonts w:ascii="Times New Roman" w:hAnsi="Times New Roman" w:cs="Times New Roman"/>
        </w:rPr>
        <w:t>0.</w:t>
      </w:r>
      <w:r w:rsidRPr="00796F65">
        <w:rPr>
          <w:rFonts w:ascii="Times New Roman" w:hAnsi="Times New Roman" w:cs="Times New Roman"/>
        </w:rPr>
        <w:t>85</w:t>
      </w:r>
      <w:r w:rsidR="00A91DAC" w:rsidRPr="00796F65">
        <w:rPr>
          <w:rFonts w:ascii="Times New Roman" w:hAnsi="Times New Roman" w:cs="Times New Roman"/>
        </w:rPr>
        <w:t xml:space="preserve"> to 0.</w:t>
      </w:r>
      <w:r w:rsidRPr="00796F65">
        <w:rPr>
          <w:rFonts w:ascii="Times New Roman" w:hAnsi="Times New Roman" w:cs="Times New Roman"/>
        </w:rPr>
        <w:t xml:space="preserve">98) and </w:t>
      </w:r>
      <w:r w:rsidRPr="00796F65">
        <w:rPr>
          <w:rFonts w:ascii="Times New Roman" w:hAnsi="Times New Roman" w:cs="Times New Roman"/>
          <w:bCs/>
        </w:rPr>
        <w:t>98.2%</w:t>
      </w:r>
      <w:r w:rsidRPr="00796F65">
        <w:rPr>
          <w:rFonts w:ascii="Times New Roman" w:hAnsi="Times New Roman" w:cs="Times New Roman"/>
        </w:rPr>
        <w:t xml:space="preserve"> (95%</w:t>
      </w:r>
      <w:r w:rsidR="00A91DAC" w:rsidRPr="00796F65">
        <w:rPr>
          <w:rFonts w:ascii="Times New Roman" w:hAnsi="Times New Roman" w:cs="Times New Roman"/>
        </w:rPr>
        <w:t xml:space="preserve"> </w:t>
      </w:r>
      <w:r w:rsidRPr="00796F65">
        <w:rPr>
          <w:rFonts w:ascii="Times New Roman" w:hAnsi="Times New Roman" w:cs="Times New Roman"/>
        </w:rPr>
        <w:t xml:space="preserve">CI, </w:t>
      </w:r>
      <w:r w:rsidR="00A91DAC" w:rsidRPr="00796F65">
        <w:rPr>
          <w:rFonts w:ascii="Times New Roman" w:hAnsi="Times New Roman" w:cs="Times New Roman"/>
        </w:rPr>
        <w:t>0.88 to 0.99</w:t>
      </w:r>
      <w:r w:rsidRPr="00796F65">
        <w:rPr>
          <w:rFonts w:ascii="Times New Roman" w:hAnsi="Times New Roman" w:cs="Times New Roman"/>
        </w:rPr>
        <w:t xml:space="preserve">) respectively. </w:t>
      </w:r>
      <w:r w:rsidRPr="00796F65">
        <w:rPr>
          <w:rFonts w:ascii="Times New Roman" w:hAnsi="Times New Roman" w:cs="Times New Roman"/>
          <w:bCs/>
        </w:rPr>
        <w:t xml:space="preserve">Excluding the 10 patients in whom staging information was not reported, an analysis of </w:t>
      </w:r>
      <w:r w:rsidR="005A182F" w:rsidRPr="00796F65">
        <w:rPr>
          <w:rFonts w:ascii="Times New Roman" w:hAnsi="Times New Roman" w:cs="Times New Roman"/>
          <w:bCs/>
        </w:rPr>
        <w:t>children</w:t>
      </w:r>
      <w:r w:rsidRPr="00796F65">
        <w:rPr>
          <w:rFonts w:ascii="Times New Roman" w:hAnsi="Times New Roman" w:cs="Times New Roman"/>
          <w:bCs/>
        </w:rPr>
        <w:t>, adolescent</w:t>
      </w:r>
      <w:r w:rsidR="005A182F" w:rsidRPr="00796F65">
        <w:rPr>
          <w:rFonts w:ascii="Times New Roman" w:hAnsi="Times New Roman" w:cs="Times New Roman"/>
          <w:bCs/>
        </w:rPr>
        <w:t>s</w:t>
      </w:r>
      <w:r w:rsidRPr="00796F65">
        <w:rPr>
          <w:rFonts w:ascii="Times New Roman" w:hAnsi="Times New Roman" w:cs="Times New Roman"/>
          <w:bCs/>
        </w:rPr>
        <w:t xml:space="preserve"> and </w:t>
      </w:r>
      <w:r w:rsidR="005A182F" w:rsidRPr="00796F65">
        <w:rPr>
          <w:rFonts w:ascii="Times New Roman" w:hAnsi="Times New Roman" w:cs="Times New Roman"/>
          <w:bCs/>
        </w:rPr>
        <w:t xml:space="preserve">young </w:t>
      </w:r>
      <w:r w:rsidRPr="00796F65">
        <w:rPr>
          <w:rFonts w:ascii="Times New Roman" w:hAnsi="Times New Roman" w:cs="Times New Roman"/>
          <w:bCs/>
        </w:rPr>
        <w:t>adult</w:t>
      </w:r>
      <w:r w:rsidR="005A182F" w:rsidRPr="00796F65">
        <w:rPr>
          <w:rFonts w:ascii="Times New Roman" w:hAnsi="Times New Roman" w:cs="Times New Roman"/>
          <w:bCs/>
        </w:rPr>
        <w:t>s</w:t>
      </w:r>
      <w:r w:rsidRPr="00796F65">
        <w:rPr>
          <w:rFonts w:ascii="Times New Roman" w:hAnsi="Times New Roman" w:cs="Times New Roman"/>
          <w:bCs/>
        </w:rPr>
        <w:t xml:space="preserve"> (n=116) was conducted to compare </w:t>
      </w:r>
      <w:r w:rsidR="00B713CF" w:rsidRPr="00796F65">
        <w:rPr>
          <w:rFonts w:ascii="Times New Roman" w:hAnsi="Times New Roman" w:cs="Times New Roman"/>
          <w:bCs/>
        </w:rPr>
        <w:t xml:space="preserve">locoregionally </w:t>
      </w:r>
      <w:r w:rsidRPr="00796F65">
        <w:rPr>
          <w:rFonts w:ascii="Times New Roman" w:hAnsi="Times New Roman" w:cs="Times New Roman"/>
          <w:bCs/>
        </w:rPr>
        <w:t>advanced-stage disease</w:t>
      </w:r>
      <w:r w:rsidR="00343653" w:rsidRPr="00796F65">
        <w:rPr>
          <w:rFonts w:ascii="Times New Roman" w:hAnsi="Times New Roman" w:cs="Times New Roman"/>
          <w:bCs/>
        </w:rPr>
        <w:t xml:space="preserve"> without metastatic disease</w:t>
      </w:r>
      <w:r w:rsidRPr="00796F65">
        <w:rPr>
          <w:rFonts w:ascii="Times New Roman" w:hAnsi="Times New Roman" w:cs="Times New Roman"/>
          <w:bCs/>
        </w:rPr>
        <w:t xml:space="preserve"> (COG/CCLG stage II-III or FIGO stage IC-III) </w:t>
      </w:r>
      <w:r w:rsidR="0070738E" w:rsidRPr="00796F65">
        <w:rPr>
          <w:rFonts w:ascii="Times New Roman" w:hAnsi="Times New Roman" w:cs="Times New Roman"/>
          <w:bCs/>
        </w:rPr>
        <w:t>vs.</w:t>
      </w:r>
      <w:r w:rsidRPr="00796F65">
        <w:rPr>
          <w:rFonts w:ascii="Times New Roman" w:hAnsi="Times New Roman" w:cs="Times New Roman"/>
          <w:bCs/>
        </w:rPr>
        <w:t xml:space="preserve"> </w:t>
      </w:r>
      <w:r w:rsidR="00343653" w:rsidRPr="00796F65">
        <w:rPr>
          <w:rFonts w:ascii="Times New Roman" w:hAnsi="Times New Roman" w:cs="Times New Roman"/>
          <w:bCs/>
        </w:rPr>
        <w:t xml:space="preserve">advanced-stage disease with </w:t>
      </w:r>
      <w:r w:rsidRPr="00796F65">
        <w:rPr>
          <w:rFonts w:ascii="Times New Roman" w:hAnsi="Times New Roman" w:cs="Times New Roman"/>
          <w:bCs/>
        </w:rPr>
        <w:t>metastatic disease (COG/CCLG stage IV or FIGO stage IV). The EFS</w:t>
      </w:r>
      <w:r w:rsidRPr="00796F65">
        <w:rPr>
          <w:rFonts w:ascii="Times New Roman" w:hAnsi="Times New Roman" w:cs="Times New Roman"/>
          <w:bCs/>
          <w:vertAlign w:val="subscript"/>
        </w:rPr>
        <w:t>5</w:t>
      </w:r>
      <w:r w:rsidR="00951DC6" w:rsidRPr="00796F65">
        <w:rPr>
          <w:rFonts w:ascii="Times New Roman" w:hAnsi="Times New Roman" w:cs="Times New Roman"/>
          <w:bCs/>
        </w:rPr>
        <w:t xml:space="preserve"> </w:t>
      </w:r>
      <w:r w:rsidRPr="00796F65">
        <w:rPr>
          <w:rFonts w:ascii="Times New Roman" w:hAnsi="Times New Roman" w:cs="Times New Roman"/>
          <w:bCs/>
        </w:rPr>
        <w:t>(COG/CCLG II-III=92.9%</w:t>
      </w:r>
      <w:r w:rsidRPr="00796F65">
        <w:rPr>
          <w:rFonts w:ascii="Times New Roman" w:hAnsi="Times New Roman" w:cs="Times New Roman"/>
        </w:rPr>
        <w:t xml:space="preserve"> (95%</w:t>
      </w:r>
      <w:r w:rsidR="007B0927" w:rsidRPr="00796F65">
        <w:rPr>
          <w:rFonts w:ascii="Times New Roman" w:hAnsi="Times New Roman" w:cs="Times New Roman"/>
        </w:rPr>
        <w:t xml:space="preserve"> </w:t>
      </w:r>
      <w:r w:rsidRPr="00796F65">
        <w:rPr>
          <w:rFonts w:ascii="Times New Roman" w:hAnsi="Times New Roman" w:cs="Times New Roman"/>
        </w:rPr>
        <w:t xml:space="preserve">CI, </w:t>
      </w:r>
      <w:r w:rsidR="007B0927" w:rsidRPr="00796F65">
        <w:rPr>
          <w:rFonts w:ascii="Times New Roman" w:hAnsi="Times New Roman" w:cs="Times New Roman"/>
        </w:rPr>
        <w:t>0.80 to 0.98</w:t>
      </w:r>
      <w:r w:rsidRPr="00796F65">
        <w:rPr>
          <w:rFonts w:ascii="Times New Roman" w:hAnsi="Times New Roman" w:cs="Times New Roman"/>
        </w:rPr>
        <w:t>) v</w:t>
      </w:r>
      <w:r w:rsidRPr="00796F65">
        <w:rPr>
          <w:rFonts w:ascii="Times New Roman" w:hAnsi="Times New Roman" w:cs="Times New Roman"/>
          <w:bCs/>
        </w:rPr>
        <w:t>s. COG/CCLG IV=100%) and OS</w:t>
      </w:r>
      <w:r w:rsidRPr="00796F65">
        <w:rPr>
          <w:rFonts w:ascii="Times New Roman" w:hAnsi="Times New Roman" w:cs="Times New Roman"/>
          <w:bCs/>
          <w:vertAlign w:val="subscript"/>
        </w:rPr>
        <w:t>5</w:t>
      </w:r>
      <w:r w:rsidR="00951DC6" w:rsidRPr="00796F65">
        <w:rPr>
          <w:rFonts w:ascii="Times New Roman" w:hAnsi="Times New Roman" w:cs="Times New Roman"/>
          <w:bCs/>
          <w:vertAlign w:val="subscript"/>
        </w:rPr>
        <w:t xml:space="preserve"> </w:t>
      </w:r>
      <w:r w:rsidR="00172E54" w:rsidRPr="00796F65">
        <w:rPr>
          <w:rFonts w:ascii="Times New Roman" w:hAnsi="Times New Roman" w:cs="Times New Roman"/>
          <w:bCs/>
        </w:rPr>
        <w:t>(COG/CCLG II-III</w:t>
      </w:r>
      <w:r w:rsidRPr="00796F65">
        <w:rPr>
          <w:rFonts w:ascii="Times New Roman" w:hAnsi="Times New Roman" w:cs="Times New Roman"/>
          <w:bCs/>
        </w:rPr>
        <w:t>=92.9%</w:t>
      </w:r>
      <w:r w:rsidRPr="00796F65">
        <w:rPr>
          <w:rFonts w:ascii="Times New Roman" w:hAnsi="Times New Roman" w:cs="Times New Roman"/>
        </w:rPr>
        <w:t xml:space="preserve"> (95%</w:t>
      </w:r>
      <w:r w:rsidR="00951DC6" w:rsidRPr="00796F65">
        <w:rPr>
          <w:rFonts w:ascii="Times New Roman" w:hAnsi="Times New Roman" w:cs="Times New Roman"/>
        </w:rPr>
        <w:t xml:space="preserve"> </w:t>
      </w:r>
      <w:r w:rsidRPr="00796F65">
        <w:rPr>
          <w:rFonts w:ascii="Times New Roman" w:hAnsi="Times New Roman" w:cs="Times New Roman"/>
        </w:rPr>
        <w:t xml:space="preserve">CI, </w:t>
      </w:r>
      <w:r w:rsidR="00951DC6" w:rsidRPr="00796F65">
        <w:rPr>
          <w:rFonts w:ascii="Times New Roman" w:hAnsi="Times New Roman" w:cs="Times New Roman"/>
        </w:rPr>
        <w:t>0.80 to 0.98</w:t>
      </w:r>
      <w:r w:rsidRPr="00796F65">
        <w:rPr>
          <w:rFonts w:ascii="Times New Roman" w:hAnsi="Times New Roman" w:cs="Times New Roman"/>
        </w:rPr>
        <w:t xml:space="preserve">) </w:t>
      </w:r>
      <w:r w:rsidRPr="00796F65">
        <w:rPr>
          <w:rFonts w:ascii="Times New Roman" w:hAnsi="Times New Roman" w:cs="Times New Roman"/>
          <w:bCs/>
        </w:rPr>
        <w:t>vs. COG/CCLG IV=100%) demonstrates excellent outcomes even in the context of metastatic disease. Similarly, EFS</w:t>
      </w:r>
      <w:r w:rsidRPr="00796F65">
        <w:rPr>
          <w:rFonts w:ascii="Times New Roman" w:hAnsi="Times New Roman" w:cs="Times New Roman"/>
          <w:bCs/>
          <w:vertAlign w:val="subscript"/>
        </w:rPr>
        <w:t>5</w:t>
      </w:r>
      <w:r w:rsidRPr="00796F65">
        <w:rPr>
          <w:rFonts w:ascii="Times New Roman" w:hAnsi="Times New Roman" w:cs="Times New Roman"/>
          <w:bCs/>
        </w:rPr>
        <w:t xml:space="preserve"> (FIGO stage IC, II, III=98.0%</w:t>
      </w:r>
      <w:r w:rsidRPr="00796F65">
        <w:rPr>
          <w:rFonts w:ascii="Times New Roman" w:hAnsi="Times New Roman" w:cs="Times New Roman"/>
        </w:rPr>
        <w:t xml:space="preserve"> (95%</w:t>
      </w:r>
      <w:r w:rsidR="00FA2EF6" w:rsidRPr="00796F65">
        <w:rPr>
          <w:rFonts w:ascii="Times New Roman" w:hAnsi="Times New Roman" w:cs="Times New Roman"/>
        </w:rPr>
        <w:t xml:space="preserve"> </w:t>
      </w:r>
      <w:r w:rsidRPr="00796F65">
        <w:rPr>
          <w:rFonts w:ascii="Times New Roman" w:hAnsi="Times New Roman" w:cs="Times New Roman"/>
        </w:rPr>
        <w:t xml:space="preserve">CI, </w:t>
      </w:r>
      <w:r w:rsidR="00FA2EF6" w:rsidRPr="00796F65">
        <w:rPr>
          <w:rFonts w:ascii="Times New Roman" w:hAnsi="Times New Roman" w:cs="Times New Roman"/>
        </w:rPr>
        <w:t>0.87 to 0.99</w:t>
      </w:r>
      <w:r w:rsidRPr="00796F65">
        <w:rPr>
          <w:rFonts w:ascii="Times New Roman" w:hAnsi="Times New Roman" w:cs="Times New Roman"/>
        </w:rPr>
        <w:t>)</w:t>
      </w:r>
      <w:r w:rsidRPr="00796F65">
        <w:rPr>
          <w:rFonts w:ascii="Times New Roman" w:hAnsi="Times New Roman" w:cs="Times New Roman"/>
          <w:bCs/>
        </w:rPr>
        <w:t xml:space="preserve"> vs. FIGO stage IV=60%</w:t>
      </w:r>
      <w:r w:rsidRPr="00796F65">
        <w:rPr>
          <w:rFonts w:ascii="Times New Roman" w:hAnsi="Times New Roman" w:cs="Times New Roman"/>
        </w:rPr>
        <w:t xml:space="preserve"> (95%</w:t>
      </w:r>
      <w:r w:rsidR="00A07A3A" w:rsidRPr="00796F65">
        <w:rPr>
          <w:rFonts w:ascii="Times New Roman" w:hAnsi="Times New Roman" w:cs="Times New Roman"/>
        </w:rPr>
        <w:t xml:space="preserve"> </w:t>
      </w:r>
      <w:r w:rsidRPr="00796F65">
        <w:rPr>
          <w:rFonts w:ascii="Times New Roman" w:hAnsi="Times New Roman" w:cs="Times New Roman"/>
        </w:rPr>
        <w:t xml:space="preserve">CI, </w:t>
      </w:r>
      <w:r w:rsidR="00A07A3A" w:rsidRPr="00796F65">
        <w:rPr>
          <w:rFonts w:ascii="Times New Roman" w:hAnsi="Times New Roman" w:cs="Times New Roman"/>
        </w:rPr>
        <w:t>0.13 to 0.88)</w:t>
      </w:r>
      <w:r w:rsidRPr="00796F65">
        <w:rPr>
          <w:rFonts w:ascii="Times New Roman" w:hAnsi="Times New Roman" w:cs="Times New Roman"/>
        </w:rPr>
        <w:t xml:space="preserve"> and</w:t>
      </w:r>
      <w:r w:rsidRPr="00796F65">
        <w:rPr>
          <w:rFonts w:ascii="Times New Roman" w:hAnsi="Times New Roman" w:cs="Times New Roman"/>
          <w:bCs/>
        </w:rPr>
        <w:t xml:space="preserve"> OS</w:t>
      </w:r>
      <w:r w:rsidRPr="00796F65">
        <w:rPr>
          <w:rFonts w:ascii="Times New Roman" w:hAnsi="Times New Roman" w:cs="Times New Roman"/>
          <w:bCs/>
          <w:vertAlign w:val="subscript"/>
        </w:rPr>
        <w:t xml:space="preserve">5 </w:t>
      </w:r>
      <w:r w:rsidRPr="00796F65">
        <w:rPr>
          <w:rFonts w:ascii="Times New Roman" w:hAnsi="Times New Roman" w:cs="Times New Roman"/>
          <w:bCs/>
        </w:rPr>
        <w:t>(FIGO stage IC, II, III=98.0%</w:t>
      </w:r>
      <w:r w:rsidRPr="00796F65">
        <w:rPr>
          <w:rFonts w:ascii="Times New Roman" w:hAnsi="Times New Roman" w:cs="Times New Roman"/>
        </w:rPr>
        <w:t xml:space="preserve"> (95%</w:t>
      </w:r>
      <w:r w:rsidR="00754800" w:rsidRPr="00796F65">
        <w:rPr>
          <w:rFonts w:ascii="Times New Roman" w:hAnsi="Times New Roman" w:cs="Times New Roman"/>
        </w:rPr>
        <w:t xml:space="preserve"> </w:t>
      </w:r>
      <w:r w:rsidRPr="00796F65">
        <w:rPr>
          <w:rFonts w:ascii="Times New Roman" w:hAnsi="Times New Roman" w:cs="Times New Roman"/>
        </w:rPr>
        <w:t xml:space="preserve">CI, </w:t>
      </w:r>
      <w:r w:rsidR="00754800" w:rsidRPr="00796F65">
        <w:rPr>
          <w:rFonts w:ascii="Times New Roman" w:hAnsi="Times New Roman" w:cs="Times New Roman"/>
        </w:rPr>
        <w:t>0.</w:t>
      </w:r>
      <w:r w:rsidRPr="00796F65">
        <w:rPr>
          <w:rFonts w:ascii="Times New Roman" w:hAnsi="Times New Roman" w:cs="Times New Roman"/>
        </w:rPr>
        <w:t>8</w:t>
      </w:r>
      <w:r w:rsidR="00754800" w:rsidRPr="00796F65">
        <w:rPr>
          <w:rFonts w:ascii="Times New Roman" w:hAnsi="Times New Roman" w:cs="Times New Roman"/>
        </w:rPr>
        <w:t>7 to 0.</w:t>
      </w:r>
      <w:r w:rsidRPr="00796F65">
        <w:rPr>
          <w:rFonts w:ascii="Times New Roman" w:hAnsi="Times New Roman" w:cs="Times New Roman"/>
        </w:rPr>
        <w:t>99)</w:t>
      </w:r>
      <w:r w:rsidRPr="00796F65">
        <w:rPr>
          <w:rFonts w:ascii="Times New Roman" w:hAnsi="Times New Roman" w:cs="Times New Roman"/>
          <w:bCs/>
        </w:rPr>
        <w:t xml:space="preserve"> vs. FIGO stage IV=100%) demonstrates overall excellent outcomes. The comparatively low EFS</w:t>
      </w:r>
      <w:r w:rsidRPr="00796F65">
        <w:rPr>
          <w:rFonts w:ascii="Times New Roman" w:hAnsi="Times New Roman" w:cs="Times New Roman"/>
          <w:bCs/>
          <w:vertAlign w:val="subscript"/>
        </w:rPr>
        <w:t>5</w:t>
      </w:r>
      <w:r w:rsidRPr="00796F65">
        <w:rPr>
          <w:rFonts w:ascii="Times New Roman" w:hAnsi="Times New Roman" w:cs="Times New Roman"/>
          <w:bCs/>
        </w:rPr>
        <w:t xml:space="preserve"> in FIGO stage IV patients is attributable to the small number of patients (n=5) in our cohort. </w:t>
      </w:r>
      <w:r w:rsidR="00A342B6" w:rsidRPr="00796F65">
        <w:rPr>
          <w:rFonts w:ascii="Times New Roman" w:hAnsi="Times New Roman" w:cs="Times New Roman"/>
        </w:rPr>
        <w:t>Regardless of the staging system utilized (COG/CCLG vs. FIGO), patients with advanced-stage dysgerminoma had excellent outcomes.</w:t>
      </w:r>
    </w:p>
    <w:p w14:paraId="4EE1D5A9" w14:textId="77777777" w:rsidR="008F6D2D" w:rsidRPr="00796F65" w:rsidRDefault="008F6D2D" w:rsidP="00796F65">
      <w:pPr>
        <w:spacing w:line="480" w:lineRule="auto"/>
        <w:jc w:val="both"/>
        <w:outlineLvl w:val="0"/>
        <w:rPr>
          <w:rFonts w:ascii="Times New Roman" w:hAnsi="Times New Roman" w:cs="Times New Roman"/>
          <w:b/>
        </w:rPr>
      </w:pPr>
    </w:p>
    <w:p w14:paraId="48CEA1CA" w14:textId="4984744B" w:rsidR="008F6D2D" w:rsidRPr="00796F65" w:rsidRDefault="008F6D2D" w:rsidP="00796F65">
      <w:pPr>
        <w:spacing w:line="480" w:lineRule="auto"/>
        <w:jc w:val="both"/>
        <w:rPr>
          <w:rFonts w:ascii="Times New Roman" w:hAnsi="Times New Roman" w:cs="Times New Roman"/>
        </w:rPr>
      </w:pPr>
      <w:r w:rsidRPr="00796F65">
        <w:rPr>
          <w:rFonts w:ascii="Times New Roman" w:hAnsi="Times New Roman" w:cs="Times New Roman"/>
        </w:rPr>
        <w:lastRenderedPageBreak/>
        <w:t xml:space="preserve">Of the 126 patients, 27 were treated on COG trials, 23 on CCLG and remaining 76 were treated on GOG trials. </w:t>
      </w:r>
      <w:r w:rsidRPr="00796F65">
        <w:rPr>
          <w:rFonts w:ascii="Times New Roman" w:hAnsi="Times New Roman" w:cs="Times New Roman"/>
          <w:bCs/>
        </w:rPr>
        <w:t xml:space="preserve">Two of these 126 patients received JEb after demonstrating disease recurrence during active surveillance following initial surgical resection. </w:t>
      </w:r>
      <w:r w:rsidRPr="00796F65">
        <w:rPr>
          <w:rFonts w:ascii="Times New Roman" w:hAnsi="Times New Roman" w:cs="Times New Roman"/>
        </w:rPr>
        <w:t>The remaining 124 patients received adjuvant carboplatin- or cisplatin-based chemotherapy (</w:t>
      </w:r>
      <w:r w:rsidRPr="00796F65">
        <w:rPr>
          <w:rFonts w:ascii="Times New Roman" w:hAnsi="Times New Roman" w:cs="Times New Roman"/>
          <w:bCs/>
        </w:rPr>
        <w:t>JEb=17, JE=37, BE</w:t>
      </w:r>
      <w:r w:rsidR="00364D3F" w:rsidRPr="00796F65">
        <w:rPr>
          <w:rFonts w:ascii="Times New Roman" w:hAnsi="Times New Roman" w:cs="Times New Roman"/>
          <w:bCs/>
        </w:rPr>
        <w:t>P=39, PEb=18, High Dose-PEb (HD-</w:t>
      </w:r>
      <w:r w:rsidRPr="00796F65">
        <w:rPr>
          <w:rFonts w:ascii="Times New Roman" w:hAnsi="Times New Roman" w:cs="Times New Roman"/>
          <w:bCs/>
        </w:rPr>
        <w:t>PEb)=13)</w:t>
      </w:r>
      <w:r w:rsidRPr="00796F65">
        <w:rPr>
          <w:rFonts w:ascii="Times New Roman" w:hAnsi="Times New Roman" w:cs="Times New Roman"/>
        </w:rPr>
        <w:t>. None of the patients in our cohort received radiation therapy. The EFS</w:t>
      </w:r>
      <w:r w:rsidR="001C1B57" w:rsidRPr="00796F65">
        <w:rPr>
          <w:rFonts w:ascii="Times New Roman" w:hAnsi="Times New Roman" w:cs="Times New Roman"/>
          <w:vertAlign w:val="subscript"/>
        </w:rPr>
        <w:t>5</w:t>
      </w:r>
      <w:r w:rsidRPr="00796F65">
        <w:rPr>
          <w:rFonts w:ascii="Times New Roman" w:hAnsi="Times New Roman" w:cs="Times New Roman"/>
        </w:rPr>
        <w:t xml:space="preserve"> and OS</w:t>
      </w:r>
      <w:r w:rsidR="001C1B57" w:rsidRPr="00796F65">
        <w:rPr>
          <w:rFonts w:ascii="Times New Roman" w:hAnsi="Times New Roman" w:cs="Times New Roman"/>
          <w:vertAlign w:val="subscript"/>
        </w:rPr>
        <w:t>5</w:t>
      </w:r>
      <w:r w:rsidRPr="00796F65">
        <w:rPr>
          <w:rFonts w:ascii="Times New Roman" w:hAnsi="Times New Roman" w:cs="Times New Roman"/>
        </w:rPr>
        <w:t xml:space="preserve"> were </w:t>
      </w:r>
      <w:r w:rsidR="00B00842" w:rsidRPr="00796F65">
        <w:rPr>
          <w:rFonts w:ascii="Times New Roman" w:hAnsi="Times New Roman" w:cs="Times New Roman"/>
        </w:rPr>
        <w:t>comparable between carboplatin-</w:t>
      </w:r>
      <w:r w:rsidRPr="00796F65">
        <w:rPr>
          <w:rFonts w:ascii="Times New Roman" w:hAnsi="Times New Roman" w:cs="Times New Roman"/>
        </w:rPr>
        <w:t>(EFS</w:t>
      </w:r>
      <w:r w:rsidR="00AF6B76" w:rsidRPr="00796F65">
        <w:rPr>
          <w:rFonts w:ascii="Times New Roman" w:hAnsi="Times New Roman" w:cs="Times New Roman"/>
          <w:vertAlign w:val="subscript"/>
        </w:rPr>
        <w:t>5</w:t>
      </w:r>
      <w:r w:rsidRPr="00796F65">
        <w:rPr>
          <w:rFonts w:ascii="Times New Roman" w:hAnsi="Times New Roman" w:cs="Times New Roman"/>
        </w:rPr>
        <w:t>=96.0% (95%</w:t>
      </w:r>
      <w:r w:rsidR="00FA5984" w:rsidRPr="00796F65">
        <w:rPr>
          <w:rFonts w:ascii="Times New Roman" w:hAnsi="Times New Roman" w:cs="Times New Roman"/>
        </w:rPr>
        <w:t xml:space="preserve"> </w:t>
      </w:r>
      <w:r w:rsidRPr="00796F65">
        <w:rPr>
          <w:rFonts w:ascii="Times New Roman" w:hAnsi="Times New Roman" w:cs="Times New Roman"/>
        </w:rPr>
        <w:t xml:space="preserve">CI, </w:t>
      </w:r>
      <w:r w:rsidR="00FA5984" w:rsidRPr="00796F65">
        <w:rPr>
          <w:rFonts w:ascii="Times New Roman" w:hAnsi="Times New Roman" w:cs="Times New Roman"/>
        </w:rPr>
        <w:t>0.</w:t>
      </w:r>
      <w:r w:rsidRPr="00796F65">
        <w:rPr>
          <w:rFonts w:ascii="Times New Roman" w:hAnsi="Times New Roman" w:cs="Times New Roman"/>
        </w:rPr>
        <w:t>8</w:t>
      </w:r>
      <w:r w:rsidR="00FA5984" w:rsidRPr="00796F65">
        <w:rPr>
          <w:rFonts w:ascii="Times New Roman" w:hAnsi="Times New Roman" w:cs="Times New Roman"/>
        </w:rPr>
        <w:t>5 to 0.</w:t>
      </w:r>
      <w:r w:rsidRPr="00796F65">
        <w:rPr>
          <w:rFonts w:ascii="Times New Roman" w:hAnsi="Times New Roman" w:cs="Times New Roman"/>
        </w:rPr>
        <w:t>99), OS</w:t>
      </w:r>
      <w:r w:rsidR="00AF6B76" w:rsidRPr="00796F65">
        <w:rPr>
          <w:rFonts w:ascii="Times New Roman" w:hAnsi="Times New Roman" w:cs="Times New Roman"/>
          <w:vertAlign w:val="subscript"/>
        </w:rPr>
        <w:t>5</w:t>
      </w:r>
      <w:r w:rsidRPr="00796F65">
        <w:rPr>
          <w:rFonts w:ascii="Times New Roman" w:hAnsi="Times New Roman" w:cs="Times New Roman"/>
        </w:rPr>
        <w:t>=96.0% (95%</w:t>
      </w:r>
      <w:r w:rsidR="005A70BA" w:rsidRPr="00796F65">
        <w:rPr>
          <w:rFonts w:ascii="Times New Roman" w:hAnsi="Times New Roman" w:cs="Times New Roman"/>
        </w:rPr>
        <w:t xml:space="preserve"> </w:t>
      </w:r>
      <w:r w:rsidRPr="00796F65">
        <w:rPr>
          <w:rFonts w:ascii="Times New Roman" w:hAnsi="Times New Roman" w:cs="Times New Roman"/>
        </w:rPr>
        <w:t xml:space="preserve">CI, </w:t>
      </w:r>
      <w:r w:rsidR="005A70BA" w:rsidRPr="00796F65">
        <w:rPr>
          <w:rFonts w:ascii="Times New Roman" w:hAnsi="Times New Roman" w:cs="Times New Roman"/>
        </w:rPr>
        <w:t>0.85 to 0.</w:t>
      </w:r>
      <w:r w:rsidRPr="00796F65">
        <w:rPr>
          <w:rFonts w:ascii="Times New Roman" w:hAnsi="Times New Roman" w:cs="Times New Roman"/>
        </w:rPr>
        <w:t>99</w:t>
      </w:r>
      <w:r w:rsidR="00B00842" w:rsidRPr="00796F65">
        <w:rPr>
          <w:rFonts w:ascii="Times New Roman" w:hAnsi="Times New Roman" w:cs="Times New Roman"/>
        </w:rPr>
        <w:t>)) and cisplatin-</w:t>
      </w:r>
      <w:r w:rsidRPr="00796F65">
        <w:rPr>
          <w:rFonts w:ascii="Times New Roman" w:hAnsi="Times New Roman" w:cs="Times New Roman"/>
        </w:rPr>
        <w:t>(EFS</w:t>
      </w:r>
      <w:r w:rsidR="00AF6B76" w:rsidRPr="00796F65">
        <w:rPr>
          <w:rFonts w:ascii="Times New Roman" w:hAnsi="Times New Roman" w:cs="Times New Roman"/>
          <w:vertAlign w:val="subscript"/>
        </w:rPr>
        <w:t>5</w:t>
      </w:r>
      <w:r w:rsidRPr="00796F65">
        <w:rPr>
          <w:rFonts w:ascii="Times New Roman" w:hAnsi="Times New Roman" w:cs="Times New Roman"/>
        </w:rPr>
        <w:t>=93.2% (95%</w:t>
      </w:r>
      <w:r w:rsidR="00B00842" w:rsidRPr="00796F65">
        <w:rPr>
          <w:rFonts w:ascii="Times New Roman" w:hAnsi="Times New Roman" w:cs="Times New Roman"/>
        </w:rPr>
        <w:t xml:space="preserve"> </w:t>
      </w:r>
      <w:r w:rsidRPr="00796F65">
        <w:rPr>
          <w:rFonts w:ascii="Times New Roman" w:hAnsi="Times New Roman" w:cs="Times New Roman"/>
        </w:rPr>
        <w:t xml:space="preserve">CI, </w:t>
      </w:r>
      <w:r w:rsidR="00B00842" w:rsidRPr="00796F65">
        <w:rPr>
          <w:rFonts w:ascii="Times New Roman" w:hAnsi="Times New Roman" w:cs="Times New Roman"/>
        </w:rPr>
        <w:t>0.</w:t>
      </w:r>
      <w:r w:rsidRPr="00796F65">
        <w:rPr>
          <w:rFonts w:ascii="Times New Roman" w:hAnsi="Times New Roman" w:cs="Times New Roman"/>
        </w:rPr>
        <w:t>8</w:t>
      </w:r>
      <w:r w:rsidR="00B00842" w:rsidRPr="00796F65">
        <w:rPr>
          <w:rFonts w:ascii="Times New Roman" w:hAnsi="Times New Roman" w:cs="Times New Roman"/>
        </w:rPr>
        <w:t>3 to 0.</w:t>
      </w:r>
      <w:r w:rsidRPr="00796F65">
        <w:rPr>
          <w:rFonts w:ascii="Times New Roman" w:hAnsi="Times New Roman" w:cs="Times New Roman"/>
        </w:rPr>
        <w:t>97), OS</w:t>
      </w:r>
      <w:r w:rsidR="00AF6B76" w:rsidRPr="00796F65">
        <w:rPr>
          <w:rFonts w:ascii="Times New Roman" w:hAnsi="Times New Roman" w:cs="Times New Roman"/>
          <w:vertAlign w:val="subscript"/>
        </w:rPr>
        <w:t>5</w:t>
      </w:r>
      <w:r w:rsidRPr="00796F65">
        <w:rPr>
          <w:rFonts w:ascii="Times New Roman" w:hAnsi="Times New Roman" w:cs="Times New Roman"/>
        </w:rPr>
        <w:t>=96.6% (95%</w:t>
      </w:r>
      <w:r w:rsidR="00B00842" w:rsidRPr="00796F65">
        <w:rPr>
          <w:rFonts w:ascii="Times New Roman" w:hAnsi="Times New Roman" w:cs="Times New Roman"/>
        </w:rPr>
        <w:t xml:space="preserve"> </w:t>
      </w:r>
      <w:r w:rsidRPr="00796F65">
        <w:rPr>
          <w:rFonts w:ascii="Times New Roman" w:hAnsi="Times New Roman" w:cs="Times New Roman"/>
        </w:rPr>
        <w:t xml:space="preserve">CI, </w:t>
      </w:r>
      <w:r w:rsidR="00B00842" w:rsidRPr="00796F65">
        <w:rPr>
          <w:rFonts w:ascii="Times New Roman" w:hAnsi="Times New Roman" w:cs="Times New Roman"/>
        </w:rPr>
        <w:t>0.</w:t>
      </w:r>
      <w:r w:rsidRPr="00796F65">
        <w:rPr>
          <w:rFonts w:ascii="Times New Roman" w:hAnsi="Times New Roman" w:cs="Times New Roman"/>
        </w:rPr>
        <w:t>8</w:t>
      </w:r>
      <w:r w:rsidR="00B00842" w:rsidRPr="00796F65">
        <w:rPr>
          <w:rFonts w:ascii="Times New Roman" w:hAnsi="Times New Roman" w:cs="Times New Roman"/>
        </w:rPr>
        <w:t>7 to 0.</w:t>
      </w:r>
      <w:r w:rsidRPr="00796F65">
        <w:rPr>
          <w:rFonts w:ascii="Times New Roman" w:hAnsi="Times New Roman" w:cs="Times New Roman"/>
        </w:rPr>
        <w:t>99)) based chemotherapy regimens, in advanced-stage dysgerminoma, across all age groups (Figure 2,</w:t>
      </w:r>
      <w:r w:rsidR="00A52BE5" w:rsidRPr="00796F65">
        <w:rPr>
          <w:rFonts w:ascii="Times New Roman" w:hAnsi="Times New Roman" w:cs="Times New Roman"/>
        </w:rPr>
        <w:t xml:space="preserve"> Table 3</w:t>
      </w:r>
      <w:r w:rsidRPr="00796F65">
        <w:rPr>
          <w:rFonts w:ascii="Times New Roman" w:hAnsi="Times New Roman" w:cs="Times New Roman"/>
        </w:rPr>
        <w:t>). For those patients who received chemotherapy and did not experience an event, the median follow-up was 10.3 years (range=0.17-21.7 years). The hazard ratio for an event in patients treated with carboplatin-based regimens was 0.51</w:t>
      </w:r>
      <w:r w:rsidR="003C224E" w:rsidRPr="00796F65">
        <w:rPr>
          <w:rFonts w:ascii="Times New Roman" w:hAnsi="Times New Roman" w:cs="Times New Roman"/>
        </w:rPr>
        <w:t xml:space="preserve"> (</w:t>
      </w:r>
      <w:r w:rsidRPr="00796F65">
        <w:rPr>
          <w:rFonts w:ascii="Times New Roman" w:hAnsi="Times New Roman" w:cs="Times New Roman"/>
        </w:rPr>
        <w:t xml:space="preserve">95% </w:t>
      </w:r>
      <w:r w:rsidR="003C224E" w:rsidRPr="00796F65">
        <w:rPr>
          <w:rFonts w:ascii="Times New Roman" w:hAnsi="Times New Roman" w:cs="Times New Roman"/>
        </w:rPr>
        <w:t xml:space="preserve">CI, 0.10 to </w:t>
      </w:r>
      <w:r w:rsidRPr="00796F65">
        <w:rPr>
          <w:rFonts w:ascii="Times New Roman" w:hAnsi="Times New Roman" w:cs="Times New Roman"/>
        </w:rPr>
        <w:t xml:space="preserve">2.65) </w:t>
      </w:r>
      <w:r w:rsidR="0070738E" w:rsidRPr="00796F65">
        <w:rPr>
          <w:rFonts w:ascii="Times New Roman" w:hAnsi="Times New Roman" w:cs="Times New Roman"/>
        </w:rPr>
        <w:t>vs.</w:t>
      </w:r>
      <w:r w:rsidRPr="00796F65">
        <w:rPr>
          <w:rFonts w:ascii="Times New Roman" w:hAnsi="Times New Roman" w:cs="Times New Roman"/>
        </w:rPr>
        <w:t xml:space="preserve"> 1 in patients treated with cisplatin-based regimens; p-value=0.42 (</w:t>
      </w:r>
      <w:r w:rsidR="00600DFB" w:rsidRPr="00796F65">
        <w:rPr>
          <w:rFonts w:ascii="Times New Roman" w:hAnsi="Times New Roman" w:cs="Times New Roman"/>
        </w:rPr>
        <w:t>Appendix 4</w:t>
      </w:r>
      <w:r w:rsidRPr="00796F65">
        <w:rPr>
          <w:rFonts w:ascii="Times New Roman" w:hAnsi="Times New Roman" w:cs="Times New Roman"/>
        </w:rPr>
        <w:t xml:space="preserve">). </w:t>
      </w:r>
    </w:p>
    <w:p w14:paraId="5AE434F1" w14:textId="7FCFF34A" w:rsidR="000854A3" w:rsidRPr="00796F65" w:rsidRDefault="000854A3" w:rsidP="00796F65">
      <w:pPr>
        <w:spacing w:line="480" w:lineRule="auto"/>
        <w:jc w:val="both"/>
        <w:rPr>
          <w:rFonts w:ascii="Times New Roman" w:hAnsi="Times New Roman" w:cs="Times New Roman"/>
        </w:rPr>
      </w:pPr>
    </w:p>
    <w:p w14:paraId="0A44E989" w14:textId="5A475F3B" w:rsidR="000854A3" w:rsidRPr="00796F65" w:rsidRDefault="00724F91" w:rsidP="00796F65">
      <w:pPr>
        <w:spacing w:line="480" w:lineRule="auto"/>
        <w:jc w:val="both"/>
        <w:rPr>
          <w:rFonts w:ascii="Times New Roman" w:hAnsi="Times New Roman" w:cs="Times New Roman"/>
          <w:bCs/>
        </w:rPr>
      </w:pPr>
      <w:r w:rsidRPr="00796F65">
        <w:rPr>
          <w:rFonts w:ascii="Times New Roman" w:hAnsi="Times New Roman" w:cs="Times New Roman"/>
        </w:rPr>
        <w:t>In the</w:t>
      </w:r>
      <w:r w:rsidR="000854A3" w:rsidRPr="00796F65">
        <w:rPr>
          <w:rFonts w:ascii="Times New Roman" w:hAnsi="Times New Roman" w:cs="Times New Roman"/>
        </w:rPr>
        <w:t xml:space="preserve"> sensitiv</w:t>
      </w:r>
      <w:r w:rsidR="00FA7ADC" w:rsidRPr="00796F65">
        <w:rPr>
          <w:rFonts w:ascii="Times New Roman" w:hAnsi="Times New Roman" w:cs="Times New Roman"/>
        </w:rPr>
        <w:t>ity analysis that excluded the</w:t>
      </w:r>
      <w:r w:rsidR="000854A3" w:rsidRPr="00796F65">
        <w:rPr>
          <w:rFonts w:ascii="Times New Roman" w:hAnsi="Times New Roman" w:cs="Times New Roman"/>
        </w:rPr>
        <w:t xml:space="preserve"> 3 patients</w:t>
      </w:r>
      <w:r w:rsidR="00FA7ADC" w:rsidRPr="00796F65">
        <w:rPr>
          <w:rFonts w:ascii="Times New Roman" w:hAnsi="Times New Roman" w:cs="Times New Roman"/>
        </w:rPr>
        <w:t xml:space="preserve"> with AFP levels at diagnosis that exceeded the expected level for pure ovarian dysgerminoma</w:t>
      </w:r>
      <w:r w:rsidRPr="00796F65">
        <w:rPr>
          <w:rFonts w:ascii="Times New Roman" w:hAnsi="Times New Roman" w:cs="Times New Roman"/>
        </w:rPr>
        <w:t>, a</w:t>
      </w:r>
      <w:r w:rsidR="000854A3" w:rsidRPr="00796F65">
        <w:rPr>
          <w:rFonts w:ascii="Times New Roman" w:eastAsia="SimHei" w:hAnsi="Times New Roman" w:cs="Times New Roman"/>
        </w:rPr>
        <w:t>s expected, the inclusion or exclusion of these 3 patients did not impact the survival probabilities, hence these 3 patients were included in the final analysis.</w:t>
      </w:r>
    </w:p>
    <w:p w14:paraId="3BEF2C8C" w14:textId="2F01806B" w:rsidR="007A45BB" w:rsidRPr="00796F65" w:rsidRDefault="007A45BB" w:rsidP="00796F65">
      <w:pPr>
        <w:spacing w:line="480" w:lineRule="auto"/>
        <w:jc w:val="both"/>
        <w:outlineLvl w:val="0"/>
        <w:rPr>
          <w:rFonts w:ascii="Times New Roman" w:hAnsi="Times New Roman" w:cs="Times New Roman"/>
          <w:b/>
        </w:rPr>
      </w:pPr>
    </w:p>
    <w:p w14:paraId="0D1121B5" w14:textId="113867B4" w:rsidR="00A827DD" w:rsidRPr="00796F65" w:rsidRDefault="005B1309" w:rsidP="00796F65">
      <w:pPr>
        <w:spacing w:line="480" w:lineRule="auto"/>
        <w:jc w:val="both"/>
        <w:outlineLvl w:val="0"/>
        <w:rPr>
          <w:rFonts w:ascii="Times New Roman" w:hAnsi="Times New Roman" w:cs="Times New Roman"/>
          <w:b/>
        </w:rPr>
      </w:pPr>
      <w:r w:rsidRPr="00796F65">
        <w:rPr>
          <w:rFonts w:ascii="Times New Roman" w:hAnsi="Times New Roman" w:cs="Times New Roman"/>
          <w:b/>
        </w:rPr>
        <w:t>Events</w:t>
      </w:r>
    </w:p>
    <w:p w14:paraId="1F4764C3" w14:textId="264F875F" w:rsidR="002B3086" w:rsidRPr="00796F65" w:rsidRDefault="000854A3" w:rsidP="00796F65">
      <w:pPr>
        <w:tabs>
          <w:tab w:val="left" w:pos="1440"/>
        </w:tabs>
        <w:spacing w:line="480" w:lineRule="auto"/>
        <w:jc w:val="both"/>
        <w:rPr>
          <w:rFonts w:ascii="Times New Roman" w:hAnsi="Times New Roman" w:cs="Times New Roman"/>
        </w:rPr>
      </w:pPr>
      <w:r w:rsidRPr="00796F65">
        <w:rPr>
          <w:rFonts w:ascii="Times New Roman" w:hAnsi="Times New Roman" w:cs="Times New Roman"/>
        </w:rPr>
        <w:t xml:space="preserve">The characteristics of the patients who experienced an event are summarized in Table 4. </w:t>
      </w:r>
      <w:r w:rsidR="00B40B42" w:rsidRPr="00796F65">
        <w:rPr>
          <w:rFonts w:ascii="Times New Roman" w:hAnsi="Times New Roman" w:cs="Times New Roman"/>
        </w:rPr>
        <w:t>Seven</w:t>
      </w:r>
      <w:r w:rsidR="001B0DAA" w:rsidRPr="00796F65">
        <w:rPr>
          <w:rFonts w:ascii="Times New Roman" w:hAnsi="Times New Roman" w:cs="Times New Roman"/>
        </w:rPr>
        <w:t xml:space="preserve"> </w:t>
      </w:r>
      <w:r w:rsidR="00B40B42" w:rsidRPr="00796F65">
        <w:rPr>
          <w:rFonts w:ascii="Times New Roman" w:hAnsi="Times New Roman" w:cs="Times New Roman"/>
        </w:rPr>
        <w:t>patients experienced an event</w:t>
      </w:r>
      <w:r w:rsidR="004B2FA5" w:rsidRPr="00796F65">
        <w:rPr>
          <w:rFonts w:ascii="Times New Roman" w:hAnsi="Times New Roman" w:cs="Times New Roman"/>
        </w:rPr>
        <w:t xml:space="preserve">; </w:t>
      </w:r>
      <w:r w:rsidR="008F3F3D" w:rsidRPr="00796F65">
        <w:rPr>
          <w:rFonts w:ascii="Times New Roman" w:hAnsi="Times New Roman" w:cs="Times New Roman"/>
        </w:rPr>
        <w:t>only one patient</w:t>
      </w:r>
      <w:r w:rsidR="00A158D6" w:rsidRPr="00796F65">
        <w:rPr>
          <w:rFonts w:ascii="Times New Roman" w:hAnsi="Times New Roman" w:cs="Times New Roman"/>
        </w:rPr>
        <w:t xml:space="preserve"> </w:t>
      </w:r>
      <w:r w:rsidR="004B2FA5" w:rsidRPr="00796F65">
        <w:rPr>
          <w:rFonts w:ascii="Times New Roman" w:hAnsi="Times New Roman" w:cs="Times New Roman"/>
        </w:rPr>
        <w:t>was</w:t>
      </w:r>
      <w:r w:rsidR="00A158D6" w:rsidRPr="00796F65">
        <w:rPr>
          <w:rFonts w:ascii="Times New Roman" w:hAnsi="Times New Roman" w:cs="Times New Roman"/>
        </w:rPr>
        <w:t xml:space="preserve"> alive at </w:t>
      </w:r>
      <w:r w:rsidR="00126F0E" w:rsidRPr="00796F65">
        <w:rPr>
          <w:rFonts w:ascii="Times New Roman" w:hAnsi="Times New Roman" w:cs="Times New Roman"/>
        </w:rPr>
        <w:t xml:space="preserve">the </w:t>
      </w:r>
      <w:r w:rsidR="00A158D6" w:rsidRPr="00796F65">
        <w:rPr>
          <w:rFonts w:ascii="Times New Roman" w:hAnsi="Times New Roman" w:cs="Times New Roman"/>
        </w:rPr>
        <w:t>last follow up.</w:t>
      </w:r>
      <w:r w:rsidR="00906A5C" w:rsidRPr="00796F65">
        <w:rPr>
          <w:rFonts w:ascii="Times New Roman" w:hAnsi="Times New Roman" w:cs="Times New Roman"/>
        </w:rPr>
        <w:t xml:space="preserve"> </w:t>
      </w:r>
      <w:r w:rsidR="00EF76BD" w:rsidRPr="00796F65">
        <w:rPr>
          <w:rFonts w:ascii="Times New Roman" w:hAnsi="Times New Roman" w:cs="Times New Roman"/>
        </w:rPr>
        <w:t xml:space="preserve">Of </w:t>
      </w:r>
      <w:r w:rsidR="00EF76BD" w:rsidRPr="00796F65">
        <w:rPr>
          <w:rFonts w:ascii="Times New Roman" w:hAnsi="Times New Roman" w:cs="Times New Roman"/>
        </w:rPr>
        <w:lastRenderedPageBreak/>
        <w:t xml:space="preserve">the </w:t>
      </w:r>
      <w:r w:rsidR="0082475E" w:rsidRPr="00796F65">
        <w:rPr>
          <w:rFonts w:ascii="Times New Roman" w:hAnsi="Times New Roman" w:cs="Times New Roman"/>
        </w:rPr>
        <w:t>7</w:t>
      </w:r>
      <w:r w:rsidR="001B0DAA" w:rsidRPr="00796F65">
        <w:rPr>
          <w:rFonts w:ascii="Times New Roman" w:hAnsi="Times New Roman" w:cs="Times New Roman"/>
        </w:rPr>
        <w:t xml:space="preserve"> </w:t>
      </w:r>
      <w:r w:rsidR="0082475E" w:rsidRPr="00796F65">
        <w:rPr>
          <w:rFonts w:ascii="Times New Roman" w:hAnsi="Times New Roman" w:cs="Times New Roman"/>
        </w:rPr>
        <w:t>events</w:t>
      </w:r>
      <w:r w:rsidR="0017595F" w:rsidRPr="00796F65">
        <w:rPr>
          <w:rFonts w:ascii="Times New Roman" w:hAnsi="Times New Roman" w:cs="Times New Roman"/>
        </w:rPr>
        <w:t xml:space="preserve">, </w:t>
      </w:r>
      <w:r w:rsidR="00EF76BD" w:rsidRPr="00796F65">
        <w:rPr>
          <w:rFonts w:ascii="Times New Roman" w:hAnsi="Times New Roman" w:cs="Times New Roman"/>
        </w:rPr>
        <w:t>two</w:t>
      </w:r>
      <w:r w:rsidR="0017595F" w:rsidRPr="00796F65">
        <w:rPr>
          <w:rFonts w:ascii="Times New Roman" w:hAnsi="Times New Roman" w:cs="Times New Roman"/>
        </w:rPr>
        <w:t xml:space="preserve"> patients </w:t>
      </w:r>
      <w:r w:rsidR="003B49DB" w:rsidRPr="00796F65">
        <w:rPr>
          <w:rFonts w:ascii="Times New Roman" w:hAnsi="Times New Roman" w:cs="Times New Roman"/>
        </w:rPr>
        <w:t>experienced death as the first event without any reports of disease progression</w:t>
      </w:r>
      <w:r w:rsidR="00661C09" w:rsidRPr="00796F65">
        <w:rPr>
          <w:rFonts w:ascii="Times New Roman" w:hAnsi="Times New Roman" w:cs="Times New Roman"/>
        </w:rPr>
        <w:t xml:space="preserve">. </w:t>
      </w:r>
      <w:r w:rsidR="008F0733" w:rsidRPr="00796F65">
        <w:rPr>
          <w:rFonts w:ascii="Times New Roman" w:hAnsi="Times New Roman" w:cs="Times New Roman"/>
        </w:rPr>
        <w:t xml:space="preserve">Two events were observed in patients who received carboplatin-based </w:t>
      </w:r>
      <w:r w:rsidR="00661E2A" w:rsidRPr="00796F65">
        <w:rPr>
          <w:rFonts w:ascii="Times New Roman" w:hAnsi="Times New Roman" w:cs="Times New Roman"/>
        </w:rPr>
        <w:t xml:space="preserve">chemotherapy </w:t>
      </w:r>
      <w:r w:rsidR="001B0DAA" w:rsidRPr="00796F65">
        <w:rPr>
          <w:rFonts w:ascii="Times New Roman" w:hAnsi="Times New Roman" w:cs="Times New Roman"/>
        </w:rPr>
        <w:t>(</w:t>
      </w:r>
      <w:r w:rsidR="00091E83" w:rsidRPr="00796F65">
        <w:rPr>
          <w:rFonts w:ascii="Times New Roman" w:hAnsi="Times New Roman" w:cs="Times New Roman"/>
        </w:rPr>
        <w:t>JE=1</w:t>
      </w:r>
      <w:r w:rsidR="00485E29" w:rsidRPr="00796F65">
        <w:rPr>
          <w:rFonts w:ascii="Times New Roman" w:hAnsi="Times New Roman" w:cs="Times New Roman"/>
        </w:rPr>
        <w:t>, JEb=1</w:t>
      </w:r>
      <w:r w:rsidR="00F236AA" w:rsidRPr="00796F65">
        <w:rPr>
          <w:rFonts w:ascii="Times New Roman" w:hAnsi="Times New Roman" w:cs="Times New Roman"/>
        </w:rPr>
        <w:t>), whereas</w:t>
      </w:r>
      <w:r w:rsidR="00666D4C" w:rsidRPr="00796F65">
        <w:rPr>
          <w:rFonts w:ascii="Times New Roman" w:hAnsi="Times New Roman" w:cs="Times New Roman"/>
        </w:rPr>
        <w:t xml:space="preserve"> five</w:t>
      </w:r>
      <w:r w:rsidR="008F0733" w:rsidRPr="00796F65">
        <w:rPr>
          <w:rFonts w:ascii="Times New Roman" w:hAnsi="Times New Roman" w:cs="Times New Roman"/>
        </w:rPr>
        <w:t xml:space="preserve"> events were observed in patients who received cisplatin-based chemotherapy</w:t>
      </w:r>
      <w:r w:rsidR="00091E83" w:rsidRPr="00796F65">
        <w:rPr>
          <w:rFonts w:ascii="Times New Roman" w:hAnsi="Times New Roman" w:cs="Times New Roman"/>
        </w:rPr>
        <w:t xml:space="preserve"> </w:t>
      </w:r>
      <w:r w:rsidR="008F0733" w:rsidRPr="00796F65">
        <w:rPr>
          <w:rFonts w:ascii="Times New Roman" w:hAnsi="Times New Roman" w:cs="Times New Roman"/>
        </w:rPr>
        <w:t>(</w:t>
      </w:r>
      <w:r w:rsidR="00091E83" w:rsidRPr="00796F65">
        <w:rPr>
          <w:rFonts w:ascii="Times New Roman" w:hAnsi="Times New Roman" w:cs="Times New Roman"/>
        </w:rPr>
        <w:t>BEP=3, PEb=2</w:t>
      </w:r>
      <w:r w:rsidR="001B0DAA" w:rsidRPr="00796F65">
        <w:rPr>
          <w:rFonts w:ascii="Times New Roman" w:hAnsi="Times New Roman" w:cs="Times New Roman"/>
        </w:rPr>
        <w:t>)</w:t>
      </w:r>
      <w:r w:rsidR="00076721" w:rsidRPr="00796F65">
        <w:rPr>
          <w:rFonts w:ascii="Times New Roman" w:hAnsi="Times New Roman" w:cs="Times New Roman"/>
        </w:rPr>
        <w:t xml:space="preserve">. </w:t>
      </w:r>
      <w:r w:rsidR="0099650E" w:rsidRPr="00796F65">
        <w:rPr>
          <w:rFonts w:ascii="Times New Roman" w:hAnsi="Times New Roman" w:cs="Times New Roman"/>
          <w:bCs/>
        </w:rPr>
        <w:t>All events</w:t>
      </w:r>
      <w:r w:rsidR="00951BD2" w:rsidRPr="00796F65">
        <w:rPr>
          <w:rFonts w:ascii="Times New Roman" w:hAnsi="Times New Roman" w:cs="Times New Roman"/>
          <w:bCs/>
        </w:rPr>
        <w:t xml:space="preserve"> (</w:t>
      </w:r>
      <w:r w:rsidR="00A5093D" w:rsidRPr="00796F65">
        <w:rPr>
          <w:rFonts w:ascii="Times New Roman" w:hAnsi="Times New Roman" w:cs="Times New Roman"/>
          <w:bCs/>
        </w:rPr>
        <w:t>five</w:t>
      </w:r>
      <w:r w:rsidR="00951BD2" w:rsidRPr="00796F65">
        <w:rPr>
          <w:rFonts w:ascii="Times New Roman" w:hAnsi="Times New Roman" w:cs="Times New Roman"/>
          <w:bCs/>
        </w:rPr>
        <w:t xml:space="preserve"> relapses and two deaths as first event)</w:t>
      </w:r>
      <w:r w:rsidR="0099650E" w:rsidRPr="00796F65">
        <w:rPr>
          <w:rFonts w:ascii="Times New Roman" w:hAnsi="Times New Roman" w:cs="Times New Roman"/>
          <w:bCs/>
        </w:rPr>
        <w:t xml:space="preserve"> occurred within the first 52 months after initial treatment, with a median of </w:t>
      </w:r>
      <w:r w:rsidR="004F641A" w:rsidRPr="00796F65">
        <w:rPr>
          <w:rFonts w:ascii="Times New Roman" w:hAnsi="Times New Roman" w:cs="Times New Roman"/>
          <w:bCs/>
        </w:rPr>
        <w:t>4.2</w:t>
      </w:r>
      <w:r w:rsidR="0099650E" w:rsidRPr="00796F65">
        <w:rPr>
          <w:rFonts w:ascii="Times New Roman" w:hAnsi="Times New Roman" w:cs="Times New Roman"/>
          <w:bCs/>
        </w:rPr>
        <w:t xml:space="preserve"> months. </w:t>
      </w:r>
      <w:r w:rsidR="00782F1F" w:rsidRPr="00796F65">
        <w:rPr>
          <w:rFonts w:ascii="Times New Roman" w:hAnsi="Times New Roman" w:cs="Times New Roman"/>
        </w:rPr>
        <w:t>Data regarding site(s) and stage of relapse, attempted salvage strategies and cause of death were not collected as part of any of the clinical trials contained in the MaGIC database.</w:t>
      </w:r>
    </w:p>
    <w:p w14:paraId="13E335E0" w14:textId="568C48EF" w:rsidR="005B3D1D" w:rsidRPr="00796F65" w:rsidRDefault="005B3D1D" w:rsidP="00796F65">
      <w:pPr>
        <w:spacing w:line="480" w:lineRule="auto"/>
        <w:jc w:val="both"/>
        <w:rPr>
          <w:rFonts w:ascii="Times New Roman" w:hAnsi="Times New Roman" w:cs="Times New Roman"/>
          <w:b/>
        </w:rPr>
      </w:pPr>
    </w:p>
    <w:p w14:paraId="6D763C99" w14:textId="520E9126" w:rsidR="007E1D87" w:rsidRPr="00796F65" w:rsidRDefault="00E50AED" w:rsidP="00796F65">
      <w:pPr>
        <w:spacing w:line="480" w:lineRule="auto"/>
        <w:jc w:val="both"/>
        <w:rPr>
          <w:rFonts w:ascii="Times New Roman" w:hAnsi="Times New Roman" w:cs="Times New Roman"/>
          <w:b/>
        </w:rPr>
      </w:pPr>
      <w:r w:rsidRPr="00796F65">
        <w:rPr>
          <w:rFonts w:ascii="Times New Roman" w:hAnsi="Times New Roman" w:cs="Times New Roman"/>
          <w:b/>
        </w:rPr>
        <w:t>Discussion</w:t>
      </w:r>
      <w:r w:rsidR="00752401" w:rsidRPr="00796F65">
        <w:rPr>
          <w:rFonts w:ascii="Times New Roman" w:hAnsi="Times New Roman" w:cs="Times New Roman"/>
          <w:b/>
        </w:rPr>
        <w:t xml:space="preserve"> </w:t>
      </w:r>
    </w:p>
    <w:p w14:paraId="37D67FE3" w14:textId="629CB61D" w:rsidR="00090C11" w:rsidRPr="00796F65" w:rsidRDefault="00090C11" w:rsidP="00796F65">
      <w:pPr>
        <w:spacing w:line="480" w:lineRule="auto"/>
        <w:jc w:val="both"/>
        <w:rPr>
          <w:rFonts w:ascii="Times New Roman" w:hAnsi="Times New Roman" w:cs="Times New Roman"/>
        </w:rPr>
      </w:pPr>
      <w:r w:rsidRPr="00796F65">
        <w:rPr>
          <w:rFonts w:ascii="Times New Roman" w:hAnsi="Times New Roman" w:cs="Times New Roman"/>
        </w:rPr>
        <w:t>In this study, our analysis compared newly diagnosed patients with advanced-stage pure ovarian dysgerminoma according to age and treatment regimen (carboplatin- or cisplatin-based chemotherapy).</w:t>
      </w:r>
      <w:r w:rsidR="00BE5BA6">
        <w:rPr>
          <w:rFonts w:ascii="Times New Roman" w:hAnsi="Times New Roman" w:cs="Times New Roman"/>
        </w:rPr>
        <w:t xml:space="preserve"> </w:t>
      </w:r>
      <w:r w:rsidRPr="00796F65">
        <w:rPr>
          <w:rFonts w:ascii="Times New Roman" w:hAnsi="Times New Roman" w:cs="Times New Roman"/>
        </w:rPr>
        <w:t>Our data demonstrates that patients with advanced-stage dysgerminoma have an excellent 5-year EFS and OS</w:t>
      </w:r>
      <w:r w:rsidR="008C6CC8">
        <w:rPr>
          <w:rFonts w:ascii="Times New Roman" w:hAnsi="Times New Roman" w:cs="Times New Roman"/>
        </w:rPr>
        <w:t>,</w:t>
      </w:r>
      <w:r w:rsidRPr="00796F65">
        <w:rPr>
          <w:rFonts w:ascii="Times New Roman" w:hAnsi="Times New Roman" w:cs="Times New Roman"/>
        </w:rPr>
        <w:t xml:space="preserve"> </w:t>
      </w:r>
      <w:r w:rsidR="000F23BD" w:rsidRPr="00796F65">
        <w:rPr>
          <w:rFonts w:ascii="Times New Roman" w:hAnsi="Times New Roman" w:cs="Times New Roman"/>
        </w:rPr>
        <w:t>across all age groups</w:t>
      </w:r>
      <w:r w:rsidR="008C6CC8">
        <w:rPr>
          <w:rFonts w:ascii="Times New Roman" w:hAnsi="Times New Roman" w:cs="Times New Roman"/>
        </w:rPr>
        <w:t>,</w:t>
      </w:r>
      <w:r w:rsidR="000F23BD" w:rsidRPr="00796F65">
        <w:rPr>
          <w:rFonts w:ascii="Times New Roman" w:hAnsi="Times New Roman" w:cs="Times New Roman"/>
        </w:rPr>
        <w:t xml:space="preserve"> with both cisplatin</w:t>
      </w:r>
      <w:r w:rsidR="0039376D" w:rsidRPr="00796F65">
        <w:rPr>
          <w:rFonts w:ascii="Times New Roman" w:hAnsi="Times New Roman" w:cs="Times New Roman"/>
        </w:rPr>
        <w:t>-</w:t>
      </w:r>
      <w:r w:rsidR="000F23BD" w:rsidRPr="00796F65">
        <w:rPr>
          <w:rFonts w:ascii="Times New Roman" w:hAnsi="Times New Roman" w:cs="Times New Roman"/>
        </w:rPr>
        <w:t xml:space="preserve"> and carboplatin</w:t>
      </w:r>
      <w:r w:rsidR="0039376D" w:rsidRPr="00796F65">
        <w:rPr>
          <w:rFonts w:ascii="Times New Roman" w:hAnsi="Times New Roman" w:cs="Times New Roman"/>
        </w:rPr>
        <w:t>-based</w:t>
      </w:r>
      <w:r w:rsidR="00074D1D">
        <w:rPr>
          <w:rFonts w:ascii="Times New Roman" w:hAnsi="Times New Roman" w:cs="Times New Roman"/>
        </w:rPr>
        <w:t xml:space="preserve"> strategies. </w:t>
      </w:r>
      <w:r w:rsidRPr="00796F65">
        <w:rPr>
          <w:rFonts w:ascii="Times New Roman" w:hAnsi="Times New Roman" w:cs="Times New Roman"/>
        </w:rPr>
        <w:t>We conducted this analysis particular</w:t>
      </w:r>
      <w:r w:rsidR="00BB7FA3" w:rsidRPr="00796F65">
        <w:rPr>
          <w:rFonts w:ascii="Times New Roman" w:hAnsi="Times New Roman" w:cs="Times New Roman"/>
        </w:rPr>
        <w:t>ly</w:t>
      </w:r>
      <w:r w:rsidRPr="00796F65">
        <w:rPr>
          <w:rFonts w:ascii="Times New Roman" w:hAnsi="Times New Roman" w:cs="Times New Roman"/>
        </w:rPr>
        <w:t xml:space="preserve"> to assess the relative effectiveness of carboplatin- vs. cisplatin-based chemotherapy regimens in the treatment of children, adolescents and young adults with advanced-stage pure ovarian dysgerminoma. Our analysis demonstrates that carboplatin-based chemotherapy regimens are non-inferior to cisplatin-based chemotherapy regimens in the treatment of advanced-stage dysgerminoma across all age groups (</w:t>
      </w:r>
      <w:r w:rsidR="004D4B1D">
        <w:rPr>
          <w:rFonts w:ascii="Times New Roman" w:hAnsi="Times New Roman" w:cs="Times New Roman"/>
        </w:rPr>
        <w:t>children/adolescents</w:t>
      </w:r>
      <w:r w:rsidRPr="00796F65">
        <w:rPr>
          <w:rFonts w:ascii="Times New Roman" w:hAnsi="Times New Roman" w:cs="Times New Roman"/>
        </w:rPr>
        <w:t>: ≤25 years and adult: &gt;25 years).</w:t>
      </w:r>
    </w:p>
    <w:p w14:paraId="3185AFD8" w14:textId="77777777" w:rsidR="00BD6A73" w:rsidRDefault="00BD6A73" w:rsidP="00796F65">
      <w:pPr>
        <w:spacing w:line="480" w:lineRule="auto"/>
        <w:jc w:val="both"/>
        <w:rPr>
          <w:rFonts w:ascii="Times New Roman" w:hAnsi="Times New Roman" w:cs="Times New Roman"/>
        </w:rPr>
      </w:pPr>
    </w:p>
    <w:p w14:paraId="62086838" w14:textId="146C65CF" w:rsidR="00A905EE" w:rsidRPr="00796F65" w:rsidRDefault="00090C11" w:rsidP="00796F65">
      <w:pPr>
        <w:spacing w:line="480" w:lineRule="auto"/>
        <w:jc w:val="both"/>
        <w:rPr>
          <w:rFonts w:ascii="Times New Roman" w:hAnsi="Times New Roman" w:cs="Times New Roman"/>
        </w:rPr>
      </w:pPr>
      <w:r w:rsidRPr="00796F65">
        <w:rPr>
          <w:rFonts w:ascii="Times New Roman" w:hAnsi="Times New Roman" w:cs="Times New Roman"/>
        </w:rPr>
        <w:lastRenderedPageBreak/>
        <w:t>Over the years, results from seminal trials have highlighted the impact of carboplatin dose-response effect on the outcomes. On the UKCCSG GC2 study</w:t>
      </w:r>
      <w:r w:rsidR="00E46FBC" w:rsidRPr="00796F65">
        <w:rPr>
          <w:rFonts w:ascii="Times New Roman" w:hAnsi="Times New Roman" w:cs="Times New Roman"/>
        </w:rPr>
        <w:t>,</w:t>
      </w:r>
      <w:r w:rsidRPr="00796F65">
        <w:rPr>
          <w:rFonts w:ascii="Times New Roman" w:hAnsi="Times New Roman" w:cs="Times New Roman"/>
        </w:rPr>
        <w:t xml:space="preserve"> testing JEb, the EFS</w:t>
      </w:r>
      <w:r w:rsidR="00160A80" w:rsidRPr="00796F65">
        <w:rPr>
          <w:rFonts w:ascii="Times New Roman" w:hAnsi="Times New Roman" w:cs="Times New Roman"/>
          <w:vertAlign w:val="subscript"/>
        </w:rPr>
        <w:t>5</w:t>
      </w:r>
      <w:r w:rsidRPr="00796F65">
        <w:rPr>
          <w:rFonts w:ascii="Times New Roman" w:hAnsi="Times New Roman" w:cs="Times New Roman"/>
        </w:rPr>
        <w:t xml:space="preserve"> for 137 patients was 84.8% in those with COG/CCLG stage III GCT and 78.0% in those with COG/CCLG stage IV GCT.</w:t>
      </w:r>
      <w:r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l1cu2u255","properties":{"formattedCitation":"[7]","plainCitation":"[7]","noteIndex":0},"citationItems":[{"id":92,"uris":["http://zotero.org/users/608019/items/PTXF39VH"],"uri":["http://zotero.org/users/608019/items/PTXF39VH"],"itemData":{"id":92,"type":"article-journal","title":"The United Kingdom Children's Cancer Study Group's second germ cell tumor study: carboplatin, etoposide, and bleomycin are effective treatment for children with malignant extracranial germ cell tumors, with acceptable toxicity","container-title":"Journal of Clinical Oncology: Official Journal of the American Society of Clinical Oncology","page":"3809-3818","volume":"18","issue":"22","source":"PubMed","abstract":"PURPOSE: To evaluate carboplatin, etoposide, and bleomycin (JEB) in children with malignant extracranial germ cell tumors (GCTs).\nPATIENTS AND METHODS: Malignant GCTs in children aged 0 to 16 years were excised without major morbidity or otherwise biopsied. Stage I testicular and some ovarian GCTs were resected and monitored with alpha-fetoprotein (AFP) (\"watch-and-wait\" approach). Patients with recurrent stage I disease and all other patients received JEB (etoposide 120 mg/m(2) on days 1 through 3, carboplatin 600 mg/m(2) on day 2, and bleomycin 15 mg/m(2) on day 3). Courses were administered every 3 to 4 weeks until remission, and then two more courses were given. Chemotherapy toxicities were assessed using World Health Organization or Brock grading.\nRESULTS: Between January 1989 and December 1997, 192 patients were registered. Eight were excluded because either there was no histologic diagnosis (n = 3) or chemotherapy was given off-study (n = 5). The remaining 184 patients had germinoma (n = 20), malignant teratoma (n = 55), embryonal carcinoma (n = 1), yolk sac tumor (n = 107), or choriocarcinoma (n = 1). Forty-seven patients were treated with surgery alone, and 137 patients received JEB. The 5-year survival rate in March 1999 for all 184 patients was 93.2% (95% confidence interval [CI], 87.9% to 96.3%); for the 137 JEB-treated patients, it was 90.9% (95% CI, 83.9% to 95.0%), with an event-free survival rate of 87.8% (95% CI, 81.1% to 92.4%). The median follow-up after JEB treatment was 53 months (range, 0 to 109 months); the median number of courses was five (range, three to eight). Site, stage, and AFP level had prognostic significance. Nonfatal hematologic toxicity was common, but deafness and pulmonary and renal toxicities were rare. One child died of a thoracic tumor and bronchopulmonary dysplasia, and another died of acute myeloid leukemia.\nCONCLUSION: Conservative surgery, a watch-and-wait approach after complete excision, and JEB for those requiring chemotherapy produced high cure rates and few serious complications.","ISSN":"0732-183X","note":"PMID: 11078494","shortTitle":"The United Kingdom Children's Cancer Study Group's second germ cell tumor study","journalAbbreviation":"J. Clin. Oncol.","language":"eng","author":[{"family":"Mann","given":"J. R."},{"family":"Raafat","given":"F."},{"family":"Robinson","given":"K."},{"family":"Imeson","given":"J."},{"family":"Gornall","given":"P."},{"family":"Sokal","given":"M."},{"family":"Gray","given":"E."},{"family":"McKeever","given":"P."},{"family":"Hale","given":"J."},{"family":"Bailey","given":"S."},{"family":"Oakhill","given":"A."}],"issued":{"date-parts":[["2000",11,15]]}}}],"schema":"https://github.com/citation-style-language/schema/raw/master/csl-citation.json"} </w:instrText>
      </w:r>
      <w:r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[7]</w:t>
      </w:r>
      <w:r w:rsidRPr="00796F65">
        <w:rPr>
          <w:rFonts w:ascii="Times New Roman" w:hAnsi="Times New Roman" w:cs="Times New Roman"/>
          <w:vertAlign w:val="superscript"/>
        </w:rPr>
        <w:fldChar w:fldCharType="end"/>
      </w:r>
      <w:r w:rsidRPr="00796F65">
        <w:rPr>
          <w:rFonts w:ascii="Times New Roman" w:hAnsi="Times New Roman" w:cs="Times New Roman"/>
          <w:vertAlign w:val="superscript"/>
        </w:rPr>
        <w:t xml:space="preserve"> </w:t>
      </w:r>
      <w:r w:rsidRPr="00796F65">
        <w:rPr>
          <w:rFonts w:ascii="Times New Roman" w:hAnsi="Times New Roman" w:cs="Times New Roman"/>
        </w:rPr>
        <w:t>The carboplatin dose in GC2 was 600 mg/m</w:t>
      </w:r>
      <w:r w:rsidRPr="00796F65">
        <w:rPr>
          <w:rFonts w:ascii="Times New Roman" w:hAnsi="Times New Roman" w:cs="Times New Roman"/>
          <w:vertAlign w:val="superscript"/>
        </w:rPr>
        <w:t>2</w:t>
      </w:r>
      <w:r w:rsidRPr="00796F65">
        <w:rPr>
          <w:rFonts w:ascii="Times New Roman" w:hAnsi="Times New Roman" w:cs="Times New Roman"/>
        </w:rPr>
        <w:t xml:space="preserve"> per cycle (AUC 7.9 mg/mL per minute), which is significantly higher than the doses used in two large randomized studies with testicular cancer from Memorial Sloan-Kettering Cancer Center (carboplatin=500 mg/m</w:t>
      </w:r>
      <w:r w:rsidRPr="00796F65">
        <w:rPr>
          <w:rFonts w:ascii="Times New Roman" w:hAnsi="Times New Roman" w:cs="Times New Roman"/>
          <w:vertAlign w:val="superscript"/>
        </w:rPr>
        <w:t>2</w:t>
      </w:r>
      <w:r w:rsidR="00160A80" w:rsidRPr="00796F65">
        <w:rPr>
          <w:rFonts w:ascii="Times New Roman" w:hAnsi="Times New Roman" w:cs="Times New Roman"/>
        </w:rPr>
        <w:t xml:space="preserve"> per cycle</w:t>
      </w:r>
      <w:r w:rsidRPr="00796F65">
        <w:rPr>
          <w:rFonts w:ascii="Times New Roman" w:hAnsi="Times New Roman" w:cs="Times New Roman"/>
        </w:rPr>
        <w:t>) and the Southwest Oncology Group (carboplatin=AUC 5mg/mL per minute) that reported carboplatin was less effective than cisplatin.</w:t>
      </w:r>
      <w:r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qv150n9th","properties":{"formattedCitation":"[21]","plainCitation":"[21]","noteIndex":0},"citationItems":[{"id":91,"uris":["http://zotero.org/users/608019/items/PQV6MQK3"],"uri":["http://zotero.org/users/608019/items/PQV6MQK3"],"itemData":{"id":91,"type":"article-journal","title":"Is there a role for carboplatin in the treatment of malignant germ cell tumors? A systematic review of adult and pediatric trials","container-title":"Pediatric Blood &amp; Cancer","page":"587-592","volume":"60","issue":"4","source":"PubMed","abstract":"BACKGROUND: While cisplatin is considered superior to carboplatin for the treatment of malignant germ cell tumors (MGCTs) in adults, pediatric oncology collaborative groups still remain concerned about the late effects of cisplatin in children.\nMETHODS: We performed a literature search to identify randomized controlled trials (RCTs) that used carboplatin for MGCTs in adults. Since no RCTs were available in children, we identified cohort studies of pediatric MGCTs treated with carboplatin. We compared the adult and pediatric studies in terms of characteristics, doses of chemotherapy, and outcomes.\nRESULTS: Of 2,131 publications retrieved, five RCTs in adults (1,340 patients) and four cohort studies in children (219 patients) met criteria for inclusion. All adult RCTs evaluated carboplatin versus cisplatin regimens in men with good-prognosis metastatic MGCTs. Carboplatin regimens had a higher risk of events (RR 2.51, P &lt; 0.001) and of deaths (RR 2.21, P &lt; 0.001) than cisplatin regimens. Across all five RCTs, 497/654 (76%) of adults who received carboplatin remained event-free. Compared to the adult trials, three pediatric studies used carboplatin at a higher dose, frequency, and number of cycles. Across these three studies, 158/179 (88%) of children remained event-free.\nCONCLUSIONS: Cisplatin is superior to carboplatin at the studied doses for the treatment of adult metastatic MGCTs. However, we observe that carboplatin is associated with good outcomes for children with MGCT when used at the higher doses. We hypothesize that a risk-adapted approach utilizing both platinum agents may achieve the optimal balance between cure and late effects.","DOI":"10.1002/pbc.24288","ISSN":"1545-5017","note":"PMID: 22976789","shortTitle":"Is there a role for carboplatin in the treatment of malignant germ cell tumors?","journalAbbreviation":"Pediatr Blood Cancer","language":"eng","author":[{"family":"Shaikh","given":"Furqan"},{"family":"Nathan","given":"Paul C."},{"family":"Hale","given":"Juliet"},{"family":"Uleryk","given":"Elizabeth"},{"family":"Frazier","given":"Lindsay"}],"issued":{"date-parts":[["2013",4]]}}}],"schema":"https://github.com/citation-style-language/schema/raw/master/csl-citation.json"} </w:instrText>
      </w:r>
      <w:r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[21]</w:t>
      </w:r>
      <w:r w:rsidRPr="00796F65">
        <w:rPr>
          <w:rFonts w:ascii="Times New Roman" w:hAnsi="Times New Roman" w:cs="Times New Roman"/>
          <w:vertAlign w:val="superscript"/>
        </w:rPr>
        <w:fldChar w:fldCharType="end"/>
      </w:r>
      <w:r w:rsidRPr="00796F65">
        <w:rPr>
          <w:rFonts w:ascii="Times New Roman" w:hAnsi="Times New Roman" w:cs="Times New Roman"/>
        </w:rPr>
        <w:t xml:space="preserve"> In the 1990s, the U.S. GOG conducted a clinical trial (GOG 0116) to evaluate the effectiveness of de-escalation of adjuvant chemotherapy with carboplatin (400 mg/m</w:t>
      </w:r>
      <w:r w:rsidRPr="00796F65">
        <w:rPr>
          <w:rFonts w:ascii="Times New Roman" w:hAnsi="Times New Roman" w:cs="Times New Roman"/>
          <w:vertAlign w:val="superscript"/>
        </w:rPr>
        <w:t>2</w:t>
      </w:r>
      <w:r w:rsidRPr="00796F65">
        <w:rPr>
          <w:rFonts w:ascii="Times New Roman" w:hAnsi="Times New Roman" w:cs="Times New Roman"/>
        </w:rPr>
        <w:t xml:space="preserve"> per cycle) and etoposide (JE) without bleomycin in completely resected FIGO stages IB-III dysgerminoma.</w:t>
      </w:r>
      <w:r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1kb5voua4l","properties":{"formattedCitation":"[11]","plainCitation":"[11]","noteIndex":0},"citationItems":[{"id":125,"uris":["http://zotero.org/users/608019/items/X7TI79ZQ"],"uri":["http://zotero.org/users/608019/items/X7TI79ZQ"],"itemData":{"id":125,"type":"article-journal","title":"Adjuvant therapy of completely resected dysgerminoma with carboplatin and etoposide: a trial of the Gynecologic Oncology Group","container-title":"Gynecologic Oncology","page":"496-499","volume":"95","issue":"3","source":"PubMed","abstract":"OBJECTIVE: This study was designed to evaluate the effect of adjuvant chemotherapy with carboplatin and etoposide in patients with completely resected stage IB-III dysgerminoma.\nMETHODS: Eligible patients were treated with three courses of carboplatin 400 mg/m(2) on day 1 plus etoposide 120 mg/m(2) on days 1, 2, and 3 every 4 weeks for three courses.\nRESULTS: Forty-two patients were entered on this trial, of whom 39 were eligible. No patient suffered a recurrence of dysgerminoma, but one patient ultimately died of lung adenocarcinoma. One patient was excluded on pathology review (elements of endodermal sinus tumor were present) developed recurrent tumor and died despite further therapy. As expected, the regimen was well tolerated. Median follow-up of surviving patients is 7.8 years (range: 2.86 months to 10.92 years).\nCONCLUSION: The regimen used in this study is an alternative to cisplatin, etoposide, and bleomycin (BEP) for selected patients for whom minimizing toxicity (particularly neuropathy) is critical or for whom reduction in the number of treatment days is important.","DOI":"10.1016/j.ygyno.2004.07.044","ISSN":"0090-8258","note":"PMID: 15581952","shortTitle":"Adjuvant therapy of completely resected dysgerminoma with carboplatin and etoposide","journalAbbreviation":"Gynecol. Oncol.","language":"eng","author":[{"family":"Williams","given":"Stephen D."},{"family":"Kauderer","given":"James"},{"family":"Burnett","given":"Alexander F."},{"family":"Lentz","given":"Samuel S."},{"family":"Aghajanian","given":"Carol"},{"family":"Armstrong","given":"Deborah K."}],"issued":{"date-parts":[["2004",12]]}}}],"schema":"https://github.com/citation-style-language/schema/raw/master/csl-citation.json"} </w:instrText>
      </w:r>
      <w:r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[11]</w:t>
      </w:r>
      <w:r w:rsidRPr="00796F65">
        <w:rPr>
          <w:rFonts w:ascii="Times New Roman" w:hAnsi="Times New Roman" w:cs="Times New Roman"/>
          <w:vertAlign w:val="superscript"/>
        </w:rPr>
        <w:fldChar w:fldCharType="end"/>
      </w:r>
      <w:r w:rsidRPr="00796F65">
        <w:rPr>
          <w:rFonts w:ascii="Times New Roman" w:hAnsi="Times New Roman" w:cs="Times New Roman"/>
        </w:rPr>
        <w:t xml:space="preserve"> However, despite favorable results (EFS=87.6% and OS=90.9%) the study was closed before completing its targeted accrual in light of the aforementioned testicular cancer data. More recently, single-agent carboplatin at a dose of AUC 10 mg/mL per minute, every 3 weeks for 3-4 cycles, was explored and found to be effective (3-year OS=96.3%, 3-year progression free survival=93.2%) in</w:t>
      </w:r>
      <w:r w:rsidR="009B302F" w:rsidRPr="00796F65">
        <w:rPr>
          <w:rFonts w:ascii="Times New Roman" w:hAnsi="Times New Roman" w:cs="Times New Roman"/>
        </w:rPr>
        <w:t xml:space="preserve"> the</w:t>
      </w:r>
      <w:r w:rsidRPr="00796F65">
        <w:rPr>
          <w:rFonts w:ascii="Times New Roman" w:hAnsi="Times New Roman" w:cs="Times New Roman"/>
        </w:rPr>
        <w:t xml:space="preserve"> International Germ</w:t>
      </w:r>
      <w:r w:rsidR="00C71E23" w:rsidRPr="00796F65">
        <w:rPr>
          <w:rFonts w:ascii="Times New Roman" w:hAnsi="Times New Roman" w:cs="Times New Roman"/>
        </w:rPr>
        <w:t xml:space="preserve"> Cell </w:t>
      </w:r>
      <w:r w:rsidR="009B67AA" w:rsidRPr="00796F65">
        <w:rPr>
          <w:rFonts w:ascii="Times New Roman" w:hAnsi="Times New Roman" w:cs="Times New Roman"/>
        </w:rPr>
        <w:t xml:space="preserve">Cancer </w:t>
      </w:r>
      <w:r w:rsidR="00C71E23" w:rsidRPr="00796F65">
        <w:rPr>
          <w:rFonts w:ascii="Times New Roman" w:hAnsi="Times New Roman" w:cs="Times New Roman"/>
        </w:rPr>
        <w:t>Collaborative Group (IGC</w:t>
      </w:r>
      <w:r w:rsidR="009B67AA" w:rsidRPr="00796F65">
        <w:rPr>
          <w:rFonts w:ascii="Times New Roman" w:hAnsi="Times New Roman" w:cs="Times New Roman"/>
        </w:rPr>
        <w:t>C</w:t>
      </w:r>
      <w:r w:rsidR="00C71E23" w:rsidRPr="00796F65">
        <w:rPr>
          <w:rFonts w:ascii="Times New Roman" w:hAnsi="Times New Roman" w:cs="Times New Roman"/>
        </w:rPr>
        <w:t>C</w:t>
      </w:r>
      <w:r w:rsidRPr="00796F65">
        <w:rPr>
          <w:rFonts w:ascii="Times New Roman" w:hAnsi="Times New Roman" w:cs="Times New Roman"/>
        </w:rPr>
        <w:t>G) good prognosis metastatic seminoma.</w:t>
      </w:r>
      <w:r w:rsidRPr="00796F65">
        <w:rPr>
          <w:rFonts w:ascii="Times New Roman" w:hAnsi="Times New Roman" w:cs="Times New Roman"/>
          <w:vertAlign w:val="superscript"/>
        </w:rPr>
        <w:fldChar w:fldCharType="begin"/>
      </w:r>
      <w:r w:rsidR="001D179C">
        <w:rPr>
          <w:rFonts w:ascii="Times New Roman" w:hAnsi="Times New Roman" w:cs="Times New Roman"/>
          <w:vertAlign w:val="superscript"/>
        </w:rPr>
        <w:instrText xml:space="preserve"> ADDIN ZOTERO_ITEM CSL_CITATION {"citationID":"23egthnbf4","properties":{"formattedCitation":"[22]","plainCitation":"[22]","noteIndex":0},"citationItems":[{"id":123,"uris":["http://zotero.org/users/608019/items/X6E8SPTX"],"uri":["http://zotero.org/users/608019/items/X6E8SPTX"],"itemData":{"id":123,"type":"article-journal","title":"Carboplatin AUC 10 for IGCCCG good prognosis metastatic seminoma","container-title":"Acta Oncologica (Stockholm, Sweden)","page":"987-993","volume":"52","issue":"5","source":"PubMed","abstract":"OBJECTIVE: Metastatic seminoma is a highly curable disease. Standard treatment comprises of combination chemotherapy. The short- and long-term toxicities of this treatment are increasingly recognised and the possibility of over treatment in such a curable disease should be considered. We have therefore assessed the use of single agent carboplatin at a dose of AUC 10 in patients with good prognosis metastatic seminoma.\nMATERIALS AND METHODS: Patients with good prognosis metastatic seminoma treated with carboplatin (AUC 10) were identified at our institution and affiliated institutions. Treatment was three weekly for a total of three or four cycles. Outcome and toxicities were analysed.\nRESULTS: With a median follow-up of 36 months, 61 patients in total were treated with carboplatin AUC 10, all good prognosis by the IGCCCG criteria. Forty-eight percent had stage IIA/IIB disease and 52% had greater than stage IIB disease. Thirty-one patients (51%) had a complete response following treatment. Three-year survival was 96.3% with a three-year progression free survival of 93.2%. The main treatment toxicity was haematological with 46% having grade 3, 24% having grade 4 neutropenia and 54% experiencing grade 3/4 thrombocytopenia. There were no treatment related deaths.\nCONCLUSION: Single agent carboplatin at a dose of AUC 10 is an effective treatment for good prognosis metastatic seminoma. The outcome compares favourably to previously published outcomes of combination chemotherapy. Although haematological toxicity is a concern, single agent carboplatin treatment for good prognosis metastatic seminoma could be considered a treatment option and is associated with less toxicity than combination regimens currently used.","DOI":"10.3109/0284186X.2012.714078","ISSN":"1651-226X","note":"PMID: 22943385","journalAbbreviation":"Acta Oncol","language":"eng","author":[{"family":"Tookman","given":"Laura"},{"family":"Rashid","given":"Sukaina"},{"family":"Matakidou","given":"Athena"},{"family":"Phillips","given":"Melissa"},{"family":"Wilson","given":"Peter"},{"family":"Ansell","given":"Wendy"},{"family":"Jamal-Hanjani","given":"Mariam"},{"family":"Chowdhury","given":"Simon"},{"family":"Harland","given":"Stephen"},{"family":"Sarwar","given":"Naveed"},{"family":"Oliver","given":"Timothy"},{"family":"Powles","given":"Thomas"},{"family":"Shamash","given":"Jonathan"}],"issued":{"date-parts":[["2013",6]]}}}],"schema":"https://github.com/citation-style-language/schema/raw/master/csl-citation.json"} </w:instrText>
      </w:r>
      <w:r w:rsidRPr="00796F65">
        <w:rPr>
          <w:rFonts w:ascii="Times New Roman" w:hAnsi="Times New Roman" w:cs="Times New Roman"/>
          <w:vertAlign w:val="superscript"/>
        </w:rPr>
        <w:fldChar w:fldCharType="separate"/>
      </w:r>
      <w:r w:rsidR="006156F6" w:rsidRPr="00796F65">
        <w:rPr>
          <w:rFonts w:ascii="Times New Roman" w:hAnsi="Times New Roman" w:cs="Times New Roman"/>
          <w:noProof/>
          <w:vertAlign w:val="superscript"/>
        </w:rPr>
        <w:t>[22]</w:t>
      </w:r>
      <w:r w:rsidRPr="00796F65">
        <w:rPr>
          <w:rFonts w:ascii="Times New Roman" w:hAnsi="Times New Roman" w:cs="Times New Roman"/>
          <w:vertAlign w:val="superscript"/>
        </w:rPr>
        <w:fldChar w:fldCharType="end"/>
      </w:r>
      <w:r w:rsidRPr="00796F65">
        <w:rPr>
          <w:rFonts w:ascii="Times New Roman" w:hAnsi="Times New Roman" w:cs="Times New Roman"/>
          <w:vertAlign w:val="superscript"/>
        </w:rPr>
        <w:t xml:space="preserve"> </w:t>
      </w:r>
      <w:r w:rsidR="001D179C" w:rsidRPr="001D179C">
        <w:rPr>
          <w:rFonts w:ascii="Times New Roman" w:hAnsi="Times New Roman" w:cs="Times New Roman"/>
        </w:rPr>
        <w:t xml:space="preserve">Biological similarity in </w:t>
      </w:r>
      <w:r w:rsidR="008173EE" w:rsidRPr="001D179C">
        <w:rPr>
          <w:rFonts w:ascii="Times New Roman" w:hAnsi="Times New Roman" w:cs="Times New Roman"/>
        </w:rPr>
        <w:t>behaviors</w:t>
      </w:r>
      <w:r w:rsidR="001D179C" w:rsidRPr="001D179C">
        <w:rPr>
          <w:rFonts w:ascii="Times New Roman" w:hAnsi="Times New Roman" w:cs="Times New Roman"/>
        </w:rPr>
        <w:t xml:space="preserve"> and sensitivities bet</w:t>
      </w:r>
      <w:r w:rsidR="003C7DD5">
        <w:rPr>
          <w:rFonts w:ascii="Times New Roman" w:hAnsi="Times New Roman" w:cs="Times New Roman"/>
        </w:rPr>
        <w:t xml:space="preserve">ween seminoma and dysgerminoma </w:t>
      </w:r>
      <w:r w:rsidR="001D179C" w:rsidRPr="001D179C">
        <w:rPr>
          <w:rFonts w:ascii="Times New Roman" w:hAnsi="Times New Roman" w:cs="Times New Roman"/>
        </w:rPr>
        <w:t>allow us to compare outcomes in future trial development</w:t>
      </w:r>
      <w:r w:rsidR="001D179C">
        <w:rPr>
          <w:rFonts w:ascii="Times New Roman" w:hAnsi="Times New Roman" w:cs="Times New Roman"/>
        </w:rPr>
        <w:t>.</w:t>
      </w:r>
      <w:r w:rsidR="001D179C" w:rsidRPr="001D179C">
        <w:rPr>
          <w:rFonts w:ascii="Times New Roman" w:hAnsi="Times New Roman" w:cs="Times New Roman"/>
          <w:vertAlign w:val="superscript"/>
        </w:rPr>
        <w:fldChar w:fldCharType="begin"/>
      </w:r>
      <w:r w:rsidR="001D179C" w:rsidRPr="001D179C">
        <w:rPr>
          <w:rFonts w:ascii="Times New Roman" w:hAnsi="Times New Roman" w:cs="Times New Roman"/>
          <w:vertAlign w:val="superscript"/>
        </w:rPr>
        <w:instrText xml:space="preserve"> ADDIN ZOTERO_ITEM CSL_CITATION {"citationID":"X3OoNjzW","properties":{"formattedCitation":"[23]","plainCitation":"[23]","noteIndex":0},"citationItems":[{"id":94,"uris":["http://zotero.org/users/608019/items/Q4QV3R6A"],"uri":["http://zotero.org/users/608019/items/Q4QV3R6A"],"itemData":{"id":94,"type":"article-journal","title":"Age-related biological features of germ cell tumors","container-title":"Genes, Chromosomes and Cancer","page":"215-227","volume":"53","issue":"3","source":"Wiley Online Library","abstract":"Germ cell tumors (GCTs) are rare but clinically and pathologically diverse tumors that occur in an extensive range of age groups, from children to older adults and which include both seminomatous and nonseminomatous tumors. Current clinical management for both male and female teenagers and young adults (TYAs) with GCTs remains inconsistent, alternating between pediatric and adult multidisciplinary oncology teams, based on locally defined age cutoffs. Therefore, we reviewed available literature to determine the biological similarities and differences between GCTs in young children (0–12 years), TYAs (13–24 years), and older adults (&gt;24 years). GCTs arising in pediatric and adult populations in general showed marked molecular biological differences within identical histological subtypes, whereas there was a distinct paucity of available data for GCTs in the TYA population. These findings highlight that clinical management based simply on chronological age may be inappropriate for TYA and suggests that the optimal future management of GCTs should consider specific molecular biological factors in addition to clinical parameters in the context of patient-specific age group rather than medical specialty. © 2013 Wiley Periodicals, Inc.","DOI":"10.1002/gcc.22131","ISSN":"1098-2264","journalAbbreviation":"Genes Chromosomes Cancer","language":"en","author":[{"family":"Collinson","given":"Kate"},{"family":"Murray","given":"Matthew J."},{"family":"Orsi","given":"Nicolas M."},{"family":"Cummings","given":"Michele"},{"family":"Shipley","given":"Janet"},{"family":"Joffe","given":"Johnathan K."},{"family":"Coleman","given":"Nicholas"},{"family":"Stark","given":"Daniel"}],"issued":{"date-parts":[["2014",3,1]]}}}],"schema":"https://github.com/citation-style-language/schema/raw/master/csl-citation.json"} </w:instrText>
      </w:r>
      <w:r w:rsidR="001D179C" w:rsidRPr="001D179C">
        <w:rPr>
          <w:rFonts w:ascii="Times New Roman" w:hAnsi="Times New Roman" w:cs="Times New Roman"/>
          <w:vertAlign w:val="superscript"/>
        </w:rPr>
        <w:fldChar w:fldCharType="separate"/>
      </w:r>
      <w:r w:rsidR="001D179C" w:rsidRPr="001D179C">
        <w:rPr>
          <w:rFonts w:ascii="Times New Roman" w:hAnsi="Times New Roman" w:cs="Times New Roman"/>
          <w:noProof/>
          <w:vertAlign w:val="superscript"/>
        </w:rPr>
        <w:t>[23]</w:t>
      </w:r>
      <w:r w:rsidR="001D179C" w:rsidRPr="001D179C">
        <w:rPr>
          <w:rFonts w:ascii="Times New Roman" w:hAnsi="Times New Roman" w:cs="Times New Roman"/>
          <w:vertAlign w:val="superscript"/>
        </w:rPr>
        <w:fldChar w:fldCharType="end"/>
      </w:r>
      <w:r w:rsidR="001D179C">
        <w:rPr>
          <w:rFonts w:ascii="Times New Roman" w:hAnsi="Times New Roman" w:cs="Times New Roman"/>
        </w:rPr>
        <w:t xml:space="preserve"> </w:t>
      </w:r>
      <w:r w:rsidR="0063101C" w:rsidRPr="001D179C">
        <w:rPr>
          <w:rFonts w:ascii="Times New Roman" w:hAnsi="Times New Roman" w:cs="Times New Roman"/>
        </w:rPr>
        <w:t>Clinical</w:t>
      </w:r>
      <w:r w:rsidR="0063101C" w:rsidRPr="00796F65">
        <w:rPr>
          <w:rFonts w:ascii="Times New Roman" w:hAnsi="Times New Roman" w:cs="Times New Roman"/>
        </w:rPr>
        <w:t xml:space="preserve"> trial data from three large clinical trial organizations</w:t>
      </w:r>
      <w:r w:rsidR="00277802" w:rsidRPr="00796F65">
        <w:rPr>
          <w:rFonts w:ascii="Times New Roman" w:hAnsi="Times New Roman" w:cs="Times New Roman"/>
        </w:rPr>
        <w:t>, presented in this analysis,</w:t>
      </w:r>
      <w:r w:rsidR="0063101C" w:rsidRPr="00796F65">
        <w:rPr>
          <w:rFonts w:ascii="Times New Roman" w:hAnsi="Times New Roman" w:cs="Times New Roman"/>
        </w:rPr>
        <w:t xml:space="preserve"> support the study of carboplatin-based </w:t>
      </w:r>
      <w:r w:rsidR="0063101C" w:rsidRPr="00796F65">
        <w:rPr>
          <w:rFonts w:ascii="Times New Roman" w:hAnsi="Times New Roman" w:cs="Times New Roman"/>
          <w:color w:val="000000"/>
        </w:rPr>
        <w:t>chemotherapy</w:t>
      </w:r>
      <w:r w:rsidR="0063101C" w:rsidRPr="00796F65">
        <w:rPr>
          <w:rFonts w:ascii="Times New Roman" w:hAnsi="Times New Roman" w:cs="Times New Roman"/>
        </w:rPr>
        <w:t xml:space="preserve"> regimen, with or without bleomycin, as the frontline treatment for all patients with advanced-stage </w:t>
      </w:r>
      <w:r w:rsidR="0063101C" w:rsidRPr="00796F65">
        <w:rPr>
          <w:rFonts w:ascii="Times New Roman" w:hAnsi="Times New Roman" w:cs="Times New Roman"/>
        </w:rPr>
        <w:lastRenderedPageBreak/>
        <w:t xml:space="preserve">dysgerminoma, to minimize treatment-related toxicities without significantly compromising therapeutic efficacy. </w:t>
      </w:r>
    </w:p>
    <w:p w14:paraId="49EC32E5" w14:textId="328DD2EC" w:rsidR="00090C11" w:rsidRPr="00796F65" w:rsidRDefault="00090C11" w:rsidP="00796F65">
      <w:pPr>
        <w:widowControl w:val="0"/>
        <w:autoSpaceDE w:val="0"/>
        <w:autoSpaceDN w:val="0"/>
        <w:adjustRightInd w:val="0"/>
        <w:spacing w:line="480" w:lineRule="auto"/>
        <w:jc w:val="both"/>
        <w:rPr>
          <w:rFonts w:ascii="Times New Roman" w:hAnsi="Times New Roman" w:cs="Times New Roman"/>
        </w:rPr>
      </w:pPr>
    </w:p>
    <w:p w14:paraId="05694945" w14:textId="77777777" w:rsidR="00090C11" w:rsidRPr="00796F65" w:rsidRDefault="00090C11" w:rsidP="00796F65">
      <w:pPr>
        <w:spacing w:line="480" w:lineRule="auto"/>
        <w:jc w:val="both"/>
        <w:rPr>
          <w:rFonts w:ascii="Times New Roman" w:hAnsi="Times New Roman" w:cs="Times New Roman"/>
        </w:rPr>
      </w:pPr>
      <w:r w:rsidRPr="00796F65">
        <w:rPr>
          <w:rFonts w:ascii="Times New Roman" w:hAnsi="Times New Roman" w:cs="Times New Roman"/>
        </w:rPr>
        <w:t xml:space="preserve">This analysis builds on the success of the MaGIC collaboration by facilitating a comparison of a rare disease internationally, between pediatric, adolescent (COG/CCLG) and adult (GOG) groups, with 25 years of pooled data from three large clinical trial organizations. One limitation of this analysis is the disparity of staging systems in the adult and pediatric clinical trials. This limitation was overcome by analyzing the COG/CCLG and FIGO staging systems separately. The staging systems may be comparable if all relevant clinico-pathological data required to make such assignments are collected in future collaborative prospective clinical trials. Key data pertaining to surgical management, site(s) and stage of relapse, attempted salvage strategies and cause of death was not captured in the MaGIC database. Finally, the limitations related to small number of EFS events and OS events observed have been discussed previously. </w:t>
      </w:r>
    </w:p>
    <w:p w14:paraId="332C99E2" w14:textId="77777777" w:rsidR="00090C11" w:rsidRPr="00796F65" w:rsidRDefault="00090C11" w:rsidP="00796F65">
      <w:pPr>
        <w:spacing w:line="480" w:lineRule="auto"/>
        <w:ind w:firstLine="1440"/>
        <w:jc w:val="both"/>
        <w:rPr>
          <w:rFonts w:ascii="Times New Roman" w:hAnsi="Times New Roman" w:cs="Times New Roman"/>
        </w:rPr>
      </w:pPr>
    </w:p>
    <w:p w14:paraId="543A4EAA" w14:textId="5727BDEA" w:rsidR="00060FEC" w:rsidRPr="005B4BB0" w:rsidRDefault="00090C11" w:rsidP="00796F65">
      <w:pPr>
        <w:spacing w:line="480" w:lineRule="auto"/>
        <w:jc w:val="both"/>
        <w:rPr>
          <w:rFonts w:ascii="Times New Roman" w:hAnsi="Times New Roman" w:cs="Times New Roman"/>
        </w:rPr>
      </w:pPr>
      <w:r w:rsidRPr="00796F65">
        <w:rPr>
          <w:rFonts w:ascii="Times New Roman" w:hAnsi="Times New Roman" w:cs="Times New Roman"/>
        </w:rPr>
        <w:t xml:space="preserve">In summary, results of our analysis illustrate that patients with dysgerminoma have an excellent outcome, even in the context of metastatic disease. Fertility-sparing surgery </w:t>
      </w:r>
      <w:r w:rsidRPr="00796F65">
        <w:rPr>
          <w:rFonts w:ascii="Times New Roman" w:hAnsi="Times New Roman" w:cs="Times New Roman"/>
          <w:color w:val="000000"/>
        </w:rPr>
        <w:t>should be encouraged in the frontline management of dysgerminoma, when feasible and clinically appropriate, without compromising the prognosis.</w:t>
      </w:r>
      <w:r w:rsidRPr="001D179C">
        <w:rPr>
          <w:rFonts w:ascii="Times New Roman" w:hAnsi="Times New Roman" w:cs="Times New Roman"/>
          <w:color w:val="000000"/>
          <w:vertAlign w:val="superscript"/>
        </w:rPr>
        <w:fldChar w:fldCharType="begin"/>
      </w:r>
      <w:r w:rsidR="001D179C" w:rsidRPr="001D179C">
        <w:rPr>
          <w:rFonts w:ascii="Times New Roman" w:hAnsi="Times New Roman" w:cs="Times New Roman"/>
          <w:color w:val="000000"/>
          <w:vertAlign w:val="superscript"/>
        </w:rPr>
        <w:instrText xml:space="preserve"> ADDIN ZOTERO_ITEM CSL_CITATION {"citationID":"ljr84s81h","properties":{"formattedCitation":"[24]","plainCitation":"[24]","noteIndex":0},"citationItems":[{"id":37,"uris":["http://zotero.org/users/608019/items/BXRA36V7"],"uri":["http://zotero.org/users/608019/items/BXRA36V7"],"itemData":{"id":37,"type":"article-journal","title":"Management of ovarian germ cell tumors","container-title":"Journal of Clinical Oncology: Official Journal of the American Society of Clinical Oncology","page":"2938-2943","volume":"25","issue":"20","source":"PubMed","abstract":"PURPOSE: To review contemporary management of malignant ovarian germ cell tumors (MOGCT).\nDESIGN: The literature on the topic of MOGCT is reviewed, including pathology, prognostic factors, surgical strategies, postoperative therapy, late effects of therapy, and treatment of recurrence.\nRESULTS: Prognostic factors for MOGCT include the International Federation of Gynecology and Obstetrics staging system's stage, residual disease, histologic type, and elevation of serum tumor markers. Fertility-sparing surgery is possible in a large proportion of patients. The importance of comprehensive surgical staging is somewhat controversial. For patients with advanced-stage disease, maximum cytoreductive surgery appears to be beneficial. Although second-look surgery is not recommended routinely, selected patients may benefit from secondary cytoreduction. For those patients who require postoperative chemotherapy, standard therapy consists of the combination of bleomycin, etoposide, and cisplatin. However, there is a growing trend toward surveillance; this strategy continues to be studied. Although premature menopause may occur in a small proportion of patients, at least 80% of those who undergo fertility-sparing surgery and chemotherapy may expect to preserve reproductive function. For patients with early-stage disease, cure rates approach 100%. For those with advanced-stage disease, cure rates are reportedly at least 75%.\nCONCLUSION: MOGCT is a rare malignancy that principally affects girls and young women. With optimal therapy, the prognosis is excellent, and most patients may retain reproductive function.","DOI":"10.1200/JCO.2007.10.8738","ISSN":"1527-7755","note":"PMID: 17617525","journalAbbreviation":"J. Clin. Oncol.","language":"eng","author":[{"family":"Gershenson","given":"David M."}],"issued":{"date-parts":[["2007",7,10]]}}}],"schema":"https://github.com/citation-style-language/schema/raw/master/csl-citation.json"} </w:instrText>
      </w:r>
      <w:r w:rsidRPr="001D179C">
        <w:rPr>
          <w:rFonts w:ascii="Times New Roman" w:hAnsi="Times New Roman" w:cs="Times New Roman"/>
          <w:color w:val="000000"/>
          <w:vertAlign w:val="superscript"/>
        </w:rPr>
        <w:fldChar w:fldCharType="separate"/>
      </w:r>
      <w:r w:rsidR="001D179C" w:rsidRPr="001D179C">
        <w:rPr>
          <w:rFonts w:ascii="Times New Roman" w:hAnsi="Times New Roman" w:cs="Times New Roman"/>
          <w:noProof/>
          <w:color w:val="000000"/>
          <w:vertAlign w:val="superscript"/>
        </w:rPr>
        <w:t>[24]</w:t>
      </w:r>
      <w:r w:rsidRPr="001D179C">
        <w:rPr>
          <w:rFonts w:ascii="Times New Roman" w:hAnsi="Times New Roman" w:cs="Times New Roman"/>
          <w:color w:val="000000"/>
          <w:vertAlign w:val="superscript"/>
        </w:rPr>
        <w:fldChar w:fldCharType="end"/>
      </w:r>
      <w:r w:rsidRPr="00796F65">
        <w:rPr>
          <w:rFonts w:ascii="Times New Roman" w:hAnsi="Times New Roman" w:cs="Times New Roman"/>
          <w:color w:val="000000"/>
        </w:rPr>
        <w:t xml:space="preserve"> Within this study and the extensive clinical data that has been collated in this disease, there is no clear evidence that carboplatin-based chemotherapy regimens are associated with an inferior outcome in comparison to cisplatin-based chemotherapy regimens. </w:t>
      </w:r>
      <w:r w:rsidRPr="00796F65">
        <w:rPr>
          <w:rFonts w:ascii="Times New Roman" w:hAnsi="Times New Roman" w:cs="Times New Roman"/>
        </w:rPr>
        <w:t>For advanced-stage dysgerminoma, irrespective of the adjuvant chemotherapy regimen used (BEP, PEb, HD-</w:t>
      </w:r>
      <w:r w:rsidRPr="00796F65">
        <w:rPr>
          <w:rFonts w:ascii="Times New Roman" w:hAnsi="Times New Roman" w:cs="Times New Roman"/>
        </w:rPr>
        <w:lastRenderedPageBreak/>
        <w:t xml:space="preserve">PEb, JEb, JE), excellent outcomes </w:t>
      </w:r>
      <w:r w:rsidR="00123F8A" w:rsidRPr="00796F65">
        <w:rPr>
          <w:rFonts w:ascii="Times New Roman" w:hAnsi="Times New Roman" w:cs="Times New Roman"/>
        </w:rPr>
        <w:t>are</w:t>
      </w:r>
      <w:r w:rsidRPr="00796F65">
        <w:rPr>
          <w:rFonts w:ascii="Times New Roman" w:hAnsi="Times New Roman" w:cs="Times New Roman"/>
        </w:rPr>
        <w:t xml:space="preserve"> preserved across all ages. </w:t>
      </w:r>
      <w:r w:rsidR="00A905EE" w:rsidRPr="00796F65">
        <w:rPr>
          <w:rFonts w:ascii="Times New Roman" w:hAnsi="Times New Roman" w:cs="Times New Roman"/>
        </w:rPr>
        <w:t>A key goal of future international collaborative trial design should be reduction in chemotherapy burden.</w:t>
      </w:r>
      <w:r w:rsidR="005B4BB0">
        <w:rPr>
          <w:rFonts w:ascii="Times New Roman" w:hAnsi="Times New Roman" w:cs="Times New Roman"/>
        </w:rPr>
        <w:t xml:space="preserve"> </w:t>
      </w:r>
      <w:r w:rsidR="00A905EE" w:rsidRPr="00796F65">
        <w:rPr>
          <w:rFonts w:ascii="Times New Roman" w:hAnsi="Times New Roman" w:cs="Times New Roman"/>
        </w:rPr>
        <w:t>Advances in the biologic understanding of advanced-stage dysgerminoma could potentially help identify therape</w:t>
      </w:r>
      <w:r w:rsidR="00EF0803">
        <w:rPr>
          <w:rFonts w:ascii="Times New Roman" w:hAnsi="Times New Roman" w:cs="Times New Roman"/>
        </w:rPr>
        <w:t>utically challenging subgroups</w:t>
      </w:r>
      <w:r w:rsidR="00A905EE" w:rsidRPr="00796F65">
        <w:rPr>
          <w:rFonts w:ascii="Times New Roman" w:hAnsi="Times New Roman" w:cs="Times New Roman"/>
        </w:rPr>
        <w:t xml:space="preserve"> and suggest future directions of research.</w:t>
      </w:r>
      <w:r w:rsidR="00F03EC9" w:rsidRPr="00796F65">
        <w:rPr>
          <w:rFonts w:ascii="Times New Roman" w:hAnsi="Times New Roman" w:cs="Times New Roman"/>
          <w:b/>
        </w:rPr>
        <w:t xml:space="preserve"> </w:t>
      </w:r>
      <w:r w:rsidRPr="00796F65">
        <w:rPr>
          <w:rFonts w:ascii="Times New Roman" w:hAnsi="Times New Roman" w:cs="Times New Roman"/>
        </w:rPr>
        <w:t xml:space="preserve">To </w:t>
      </w:r>
      <w:r w:rsidR="0043569B" w:rsidRPr="00796F65">
        <w:rPr>
          <w:rFonts w:ascii="Times New Roman" w:hAnsi="Times New Roman" w:cs="Times New Roman"/>
        </w:rPr>
        <w:t xml:space="preserve">optimize not only the survival, but the quality of survival for these young patients in the AYA age range </w:t>
      </w:r>
      <w:r w:rsidRPr="00796F65">
        <w:rPr>
          <w:rFonts w:ascii="Times New Roman" w:hAnsi="Times New Roman" w:cs="Times New Roman"/>
        </w:rPr>
        <w:t xml:space="preserve">where MOGCT </w:t>
      </w:r>
      <w:r w:rsidR="005D7BE9" w:rsidRPr="00796F65">
        <w:rPr>
          <w:rFonts w:ascii="Times New Roman" w:hAnsi="Times New Roman" w:cs="Times New Roman"/>
        </w:rPr>
        <w:t xml:space="preserve">are </w:t>
      </w:r>
      <w:r w:rsidRPr="00796F65">
        <w:rPr>
          <w:rFonts w:ascii="Times New Roman" w:hAnsi="Times New Roman" w:cs="Times New Roman"/>
        </w:rPr>
        <w:t xml:space="preserve">most prevalent, we </w:t>
      </w:r>
      <w:r w:rsidR="00C90BA4" w:rsidRPr="00796F65">
        <w:rPr>
          <w:rFonts w:ascii="Times New Roman" w:hAnsi="Times New Roman" w:cs="Times New Roman"/>
        </w:rPr>
        <w:t xml:space="preserve">must </w:t>
      </w:r>
      <w:r w:rsidR="00BC60E1" w:rsidRPr="00796F65">
        <w:rPr>
          <w:rFonts w:ascii="Times New Roman" w:hAnsi="Times New Roman" w:cs="Times New Roman"/>
        </w:rPr>
        <w:t xml:space="preserve">consider how to best to design clinical studies to address </w:t>
      </w:r>
      <w:r w:rsidRPr="00796F65">
        <w:rPr>
          <w:rFonts w:ascii="Times New Roman" w:hAnsi="Times New Roman" w:cs="Times New Roman"/>
        </w:rPr>
        <w:t xml:space="preserve">“rare” </w:t>
      </w:r>
      <w:r w:rsidR="004B0A81" w:rsidRPr="00796F65">
        <w:rPr>
          <w:rFonts w:ascii="Times New Roman" w:hAnsi="Times New Roman" w:cs="Times New Roman"/>
        </w:rPr>
        <w:t>tumo</w:t>
      </w:r>
      <w:r w:rsidR="00BC60E1" w:rsidRPr="00796F65">
        <w:rPr>
          <w:rFonts w:ascii="Times New Roman" w:hAnsi="Times New Roman" w:cs="Times New Roman"/>
        </w:rPr>
        <w:t>rs.</w:t>
      </w:r>
      <w:r w:rsidR="004B0A81" w:rsidRPr="001D179C">
        <w:rPr>
          <w:rFonts w:ascii="Times New Roman" w:hAnsi="Times New Roman" w:cs="Times New Roman"/>
          <w:vertAlign w:val="superscript"/>
        </w:rPr>
        <w:fldChar w:fldCharType="begin"/>
      </w:r>
      <w:r w:rsidR="001D179C" w:rsidRPr="001D179C">
        <w:rPr>
          <w:rFonts w:ascii="Times New Roman" w:hAnsi="Times New Roman" w:cs="Times New Roman"/>
          <w:vertAlign w:val="superscript"/>
        </w:rPr>
        <w:instrText xml:space="preserve"> ADDIN ZOTERO_ITEM CSL_CITATION {"citationID":"sl5gO1la","properties":{"formattedCitation":"[25]","plainCitation":"[25]","noteIndex":0},"citationItems":[{"id":48,"uris":["http://zotero.org/users/608019/items/FP4AMTMD"],"uri":["http://zotero.org/users/608019/items/FP4AMTMD"],"itemData":{"id":48,"type":"article-journal","title":"Adolescents and Young Adults With a “Rare” Cancer: Getting Past Semantics to Optimal Care for Patients With Germ Cell Tumors","container-title":"The Oncologist","page":"689-692","volume":"19","issue":"7","source":"theoncologist.alphamedpress.org","abstract":"The Oncologist is a journal devoted to medical and practice issues for surgical, radiation, and medical oncologists.","DOI":"10.1634/theoncologist.2014-0009","ISSN":"1083-7159, 1549-490X","note":"PMID: 24899644","shortTitle":"Adolescents and Young Adults With a “Rare” Cancer","journalAbbreviation":"The Oncologist","language":"en","author":[{"family":"Stoneham","given":"Sara J."},{"family":"Hale","given":"Juliet P."},{"family":"Rodriguez-Galindo","given":"Carlos"},{"family":"Dang","given":"Ha"},{"family":"Olson","given":"Thomas"},{"family":"Murray","given":"Matthew"},{"family":"Amatruda","given":"James F."},{"family":"Thornton","given":"Claire"},{"family":"Arul","given":"G. Suren"},{"family":"Billmire","given":"Deborah"},{"family":"Krailo","given":"Mark"},{"family":"Stark","given":"Dan"},{"family":"Covens","given":"Al"},{"family":"Hurteau","given":"Jean"},{"family":"Stenning","given":"Sally"},{"family":"Nicholson","given":"James C."},{"family":"Gershenson","given":"David"},{"family":"Frazier","given":"A. Lindsay"}],"issued":{"date-parts":[["2014",7,1]]}}}],"schema":"https://github.com/citation-style-language/schema/raw/master/csl-citation.json"} </w:instrText>
      </w:r>
      <w:r w:rsidR="004B0A81" w:rsidRPr="001D179C">
        <w:rPr>
          <w:rFonts w:ascii="Times New Roman" w:hAnsi="Times New Roman" w:cs="Times New Roman"/>
          <w:vertAlign w:val="superscript"/>
        </w:rPr>
        <w:fldChar w:fldCharType="separate"/>
      </w:r>
      <w:r w:rsidR="001D179C" w:rsidRPr="001D179C">
        <w:rPr>
          <w:rFonts w:ascii="Times New Roman" w:hAnsi="Times New Roman" w:cs="Times New Roman"/>
          <w:noProof/>
          <w:vertAlign w:val="superscript"/>
        </w:rPr>
        <w:t>[25]</w:t>
      </w:r>
      <w:r w:rsidR="004B0A81" w:rsidRPr="001D179C">
        <w:rPr>
          <w:rFonts w:ascii="Times New Roman" w:hAnsi="Times New Roman" w:cs="Times New Roman"/>
          <w:vertAlign w:val="superscript"/>
        </w:rPr>
        <w:fldChar w:fldCharType="end"/>
      </w:r>
      <w:r w:rsidR="004B0A81" w:rsidRPr="00796F65">
        <w:rPr>
          <w:rFonts w:ascii="Times New Roman" w:hAnsi="Times New Roman" w:cs="Times New Roman"/>
        </w:rPr>
        <w:t xml:space="preserve"> </w:t>
      </w:r>
      <w:r w:rsidR="005B14CB" w:rsidRPr="00796F65">
        <w:rPr>
          <w:rFonts w:ascii="Times New Roman" w:hAnsi="Times New Roman" w:cs="Times New Roman"/>
        </w:rPr>
        <w:t xml:space="preserve">Analysis </w:t>
      </w:r>
      <w:r w:rsidR="001A3B42" w:rsidRPr="00796F65">
        <w:rPr>
          <w:rFonts w:ascii="Times New Roman" w:hAnsi="Times New Roman" w:cs="Times New Roman"/>
        </w:rPr>
        <w:t xml:space="preserve">should be conducted </w:t>
      </w:r>
      <w:r w:rsidR="005B14CB" w:rsidRPr="00796F65">
        <w:rPr>
          <w:rFonts w:ascii="Times New Roman" w:hAnsi="Times New Roman" w:cs="Times New Roman"/>
        </w:rPr>
        <w:t xml:space="preserve">by </w:t>
      </w:r>
      <w:r w:rsidR="004B0A81" w:rsidRPr="00796F65">
        <w:rPr>
          <w:rFonts w:ascii="Times New Roman" w:hAnsi="Times New Roman" w:cs="Times New Roman"/>
        </w:rPr>
        <w:t>e</w:t>
      </w:r>
      <w:r w:rsidRPr="00796F65">
        <w:rPr>
          <w:rFonts w:ascii="Times New Roman" w:hAnsi="Times New Roman" w:cs="Times New Roman"/>
        </w:rPr>
        <w:t>xpected outcomes</w:t>
      </w:r>
      <w:r w:rsidR="009C16DF" w:rsidRPr="00796F65">
        <w:rPr>
          <w:rFonts w:ascii="Times New Roman" w:hAnsi="Times New Roman" w:cs="Times New Roman"/>
        </w:rPr>
        <w:t>,</w:t>
      </w:r>
      <w:r w:rsidRPr="00796F65">
        <w:rPr>
          <w:rFonts w:ascii="Times New Roman" w:hAnsi="Times New Roman" w:cs="Times New Roman"/>
        </w:rPr>
        <w:t xml:space="preserve"> </w:t>
      </w:r>
      <w:r w:rsidR="005B14CB" w:rsidRPr="00796F65">
        <w:rPr>
          <w:rFonts w:ascii="Times New Roman" w:hAnsi="Times New Roman" w:cs="Times New Roman"/>
        </w:rPr>
        <w:t>in both seminoma and dysgerminoma</w:t>
      </w:r>
      <w:r w:rsidR="009C16DF" w:rsidRPr="00796F65">
        <w:rPr>
          <w:rFonts w:ascii="Times New Roman" w:hAnsi="Times New Roman" w:cs="Times New Roman"/>
        </w:rPr>
        <w:t>,</w:t>
      </w:r>
      <w:r w:rsidR="005B14CB" w:rsidRPr="00796F65">
        <w:rPr>
          <w:rFonts w:ascii="Times New Roman" w:hAnsi="Times New Roman" w:cs="Times New Roman"/>
        </w:rPr>
        <w:t xml:space="preserve"> </w:t>
      </w:r>
      <w:r w:rsidRPr="00796F65">
        <w:rPr>
          <w:rFonts w:ascii="Times New Roman" w:hAnsi="Times New Roman" w:cs="Times New Roman"/>
        </w:rPr>
        <w:t>instead of</w:t>
      </w:r>
      <w:r w:rsidR="00F52DFD" w:rsidRPr="00796F65">
        <w:rPr>
          <w:rFonts w:ascii="Times New Roman" w:hAnsi="Times New Roman" w:cs="Times New Roman"/>
        </w:rPr>
        <w:t xml:space="preserve"> the</w:t>
      </w:r>
      <w:r w:rsidRPr="00796F65">
        <w:rPr>
          <w:rFonts w:ascii="Times New Roman" w:hAnsi="Times New Roman" w:cs="Times New Roman"/>
        </w:rPr>
        <w:t xml:space="preserve"> </w:t>
      </w:r>
      <w:r w:rsidR="0043569B" w:rsidRPr="00796F65">
        <w:rPr>
          <w:rFonts w:ascii="Times New Roman" w:hAnsi="Times New Roman" w:cs="Times New Roman"/>
        </w:rPr>
        <w:t xml:space="preserve">more conventional </w:t>
      </w:r>
      <w:r w:rsidR="00BC60E1" w:rsidRPr="00796F65">
        <w:rPr>
          <w:rFonts w:ascii="Times New Roman" w:hAnsi="Times New Roman" w:cs="Times New Roman"/>
        </w:rPr>
        <w:t>medical considerations around age and gender.</w:t>
      </w:r>
      <w:r w:rsidRPr="00796F65">
        <w:rPr>
          <w:rFonts w:ascii="Times New Roman" w:hAnsi="Times New Roman" w:cs="Times New Roman"/>
        </w:rPr>
        <w:t xml:space="preserve"> International collaboration </w:t>
      </w:r>
      <w:r w:rsidR="0043569B" w:rsidRPr="00796F65">
        <w:rPr>
          <w:rFonts w:ascii="Times New Roman" w:hAnsi="Times New Roman" w:cs="Times New Roman"/>
        </w:rPr>
        <w:t xml:space="preserve">can </w:t>
      </w:r>
      <w:r w:rsidRPr="00796F65">
        <w:rPr>
          <w:rFonts w:ascii="Times New Roman" w:hAnsi="Times New Roman" w:cs="Times New Roman"/>
        </w:rPr>
        <w:t xml:space="preserve">create the platform for delivery of new trial design; </w:t>
      </w:r>
      <w:r w:rsidR="00C90BA4" w:rsidRPr="00796F65">
        <w:rPr>
          <w:rFonts w:ascii="Times New Roman" w:hAnsi="Times New Roman" w:cs="Times New Roman"/>
        </w:rPr>
        <w:t xml:space="preserve">to </w:t>
      </w:r>
      <w:r w:rsidR="004B0A81" w:rsidRPr="00796F65">
        <w:rPr>
          <w:rFonts w:ascii="Times New Roman" w:hAnsi="Times New Roman" w:cs="Times New Roman"/>
        </w:rPr>
        <w:t xml:space="preserve">facilitate </w:t>
      </w:r>
      <w:r w:rsidRPr="00796F65">
        <w:rPr>
          <w:rFonts w:ascii="Times New Roman" w:hAnsi="Times New Roman" w:cs="Times New Roman"/>
        </w:rPr>
        <w:t xml:space="preserve">building our understanding of biological drivers </w:t>
      </w:r>
      <w:r w:rsidR="00C90BA4" w:rsidRPr="00796F65">
        <w:rPr>
          <w:rFonts w:ascii="Times New Roman" w:hAnsi="Times New Roman" w:cs="Times New Roman"/>
        </w:rPr>
        <w:t xml:space="preserve">which in turn can lead to  </w:t>
      </w:r>
      <w:r w:rsidR="004B0A81" w:rsidRPr="00796F65">
        <w:rPr>
          <w:rFonts w:ascii="Times New Roman" w:hAnsi="Times New Roman" w:cs="Times New Roman"/>
        </w:rPr>
        <w:t>optimization of</w:t>
      </w:r>
      <w:r w:rsidRPr="00796F65">
        <w:rPr>
          <w:rFonts w:ascii="Times New Roman" w:hAnsi="Times New Roman" w:cs="Times New Roman"/>
        </w:rPr>
        <w:t xml:space="preserve"> therapeutic outcomes.</w:t>
      </w:r>
    </w:p>
    <w:p w14:paraId="2E5E485C" w14:textId="77777777" w:rsidR="0053645C" w:rsidRPr="00796F65" w:rsidRDefault="0053645C" w:rsidP="00796F65">
      <w:pPr>
        <w:spacing w:line="480" w:lineRule="auto"/>
        <w:jc w:val="both"/>
        <w:rPr>
          <w:rFonts w:ascii="Times New Roman" w:hAnsi="Times New Roman" w:cs="Times New Roman"/>
          <w:b/>
        </w:rPr>
      </w:pPr>
      <w:r w:rsidRPr="00796F65">
        <w:rPr>
          <w:rFonts w:ascii="Times New Roman" w:hAnsi="Times New Roman" w:cs="Times New Roman"/>
          <w:b/>
        </w:rPr>
        <w:br w:type="page"/>
      </w:r>
    </w:p>
    <w:p w14:paraId="6BF8CBCC" w14:textId="474DDC40" w:rsidR="00315D7E" w:rsidRPr="00796F65" w:rsidRDefault="00090C11" w:rsidP="00796F65">
      <w:pPr>
        <w:spacing w:line="480" w:lineRule="auto"/>
        <w:jc w:val="both"/>
        <w:rPr>
          <w:rFonts w:ascii="Times New Roman" w:hAnsi="Times New Roman" w:cs="Times New Roman"/>
          <w:b/>
        </w:rPr>
      </w:pPr>
      <w:r w:rsidRPr="00796F65">
        <w:rPr>
          <w:rFonts w:ascii="Times New Roman" w:hAnsi="Times New Roman" w:cs="Times New Roman"/>
          <w:b/>
        </w:rPr>
        <w:lastRenderedPageBreak/>
        <w:t>R</w:t>
      </w:r>
      <w:r w:rsidR="00D14F56" w:rsidRPr="00796F65">
        <w:rPr>
          <w:rFonts w:ascii="Times New Roman" w:hAnsi="Times New Roman" w:cs="Times New Roman"/>
          <w:b/>
        </w:rPr>
        <w:t>eferences</w:t>
      </w:r>
    </w:p>
    <w:p w14:paraId="24ED22BB" w14:textId="77777777" w:rsidR="001D179C" w:rsidRPr="001D179C" w:rsidRDefault="005D7BE9" w:rsidP="001D179C">
      <w:pPr>
        <w:pStyle w:val="Bibliography"/>
        <w:jc w:val="both"/>
        <w:rPr>
          <w:rFonts w:ascii="Times New Roman" w:hAnsi="Times New Roman" w:cs="Times New Roman"/>
        </w:rPr>
      </w:pPr>
      <w:r w:rsidRPr="001D179C">
        <w:rPr>
          <w:rFonts w:ascii="Times New Roman" w:hAnsi="Times New Roman" w:cs="Times New Roman"/>
          <w:b/>
        </w:rPr>
        <w:fldChar w:fldCharType="begin"/>
      </w:r>
      <w:r w:rsidR="000E2CC5" w:rsidRPr="001D179C">
        <w:rPr>
          <w:rFonts w:ascii="Times New Roman" w:hAnsi="Times New Roman" w:cs="Times New Roman"/>
          <w:b/>
        </w:rPr>
        <w:instrText xml:space="preserve"> ADDIN ZOTERO_BIBL {"custom":[]} CSL_BIBLIOGRAPHY </w:instrText>
      </w:r>
      <w:r w:rsidRPr="001D179C">
        <w:rPr>
          <w:rFonts w:ascii="Times New Roman" w:hAnsi="Times New Roman" w:cs="Times New Roman"/>
          <w:b/>
        </w:rPr>
        <w:fldChar w:fldCharType="separate"/>
      </w:r>
      <w:r w:rsidR="001D179C" w:rsidRPr="001D179C">
        <w:rPr>
          <w:rFonts w:ascii="Times New Roman" w:hAnsi="Times New Roman" w:cs="Times New Roman"/>
        </w:rPr>
        <w:t xml:space="preserve">1. Smith HO, Berwick M, Verschraegen CF, Wiggins C, Lansing L, Muller CY, Qualls CR. Incidence and survival rates for female malignant germ cell tumors. Obstet Gynecol , 2006 107: 1075–1085. </w:t>
      </w:r>
    </w:p>
    <w:p w14:paraId="385A3008"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2. Mitchell MF, Gershenson DM, Soeters RP, Eifel PJ, Delclos L, Wharton JT. The long-term effects of radiation therapy on patients with ovarian dysgerminoma. Cancer , 1991 67: 1084–1090. </w:t>
      </w:r>
    </w:p>
    <w:p w14:paraId="76F18369"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3. Meyer R. The pathology of some special ovarian tumors and their relation to sex characteristics. American Journal of Obstetrics &amp; Gynecology , 1931 22: 697–713. </w:t>
      </w:r>
    </w:p>
    <w:p w14:paraId="2A4B518D"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4. Travis LB, Beard C, Allan JM, Dahl AA, Feldman DR, Oldenburg J, Daugaard G, Kelly JL, Dolan ME, Hannigan R, Constine LS, Oeffinger KC, Okunieff P, Armstrong G, Wiljer D, Miller RC, Gietema JA, van Leeuwen FE, Williams JP, Nichols CR, Einhorn LH, Fossa SD. Testicular cancer survivorship: research strategies and recommendations. J Natl Cancer Inst , 2010 102: 1114–1130. </w:t>
      </w:r>
    </w:p>
    <w:p w14:paraId="2684522F"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5. Travis LB, Fosså SD, Schonfeld SJ, McMaster ML, Lynch CF, Storm H, Hall P, Holowaty E, Andersen A, Pukkala E, Andersson M, Kaijser M, Gospodarowicz M, Joensuu T, Cohen RJ, Boice JD, Dores GM, Gilbert ES. Second cancers among 40,576 testicular cancer patients: focus on long-term survivors. J Natl Cancer Inst , 2005 97: 1354–1365. </w:t>
      </w:r>
    </w:p>
    <w:p w14:paraId="3D51A53F"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6. Solheim O, Tropé CG, Rokkones E, Kærn J, Paulsen T, Salvesen HB, Hagen B, Vereide AB, Fosså SD. Fertility and gonadal function after adjuvant therapy in women </w:t>
      </w:r>
      <w:r w:rsidRPr="001D179C">
        <w:rPr>
          <w:rFonts w:ascii="Times New Roman" w:hAnsi="Times New Roman" w:cs="Times New Roman"/>
        </w:rPr>
        <w:lastRenderedPageBreak/>
        <w:t xml:space="preserve">diagnosed with a malignant ovarian germ cell tumor (MOGCT) during the “cisplatin era.” Gynecol Oncol , 2015 136: 224–229. </w:t>
      </w:r>
    </w:p>
    <w:p w14:paraId="003D495E"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7. Mann JR, Raafat F, Robinson K, Imeson J, Gornall P, Sokal M, Gray E, McKeever P, Hale J, Bailey S, Oakhill A. The United Kingdom Children’s Cancer Study Group’s second germ cell tumor study: carboplatin, etoposide, and bleomycin are effective treatment for children with malignant extracranial germ cell tumors, with acceptable toxicity. J Clin Oncol , 2000 18: 3809–3818. </w:t>
      </w:r>
    </w:p>
    <w:p w14:paraId="4A3448B4"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8. Mann JR, Pearson D, Barrett A, Raafat F, Barnes JM, Wallendszus KR. Results of the United Kingdom Children’s Cancer Study Group’s malignant germ cell tumor studies. Cancer , 1989 63: 1657–1667. </w:t>
      </w:r>
    </w:p>
    <w:p w14:paraId="52D60C04"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9. Williams SD, Blessing JA, Hatch KD, Homesley HD. Chemotherapy of advanced dysgerminoma: trials of the Gynecologic Oncology Group. JCO , 1991 9: 1950–1955. </w:t>
      </w:r>
    </w:p>
    <w:p w14:paraId="7897C985"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10. Williams S, Blessing JA, Liao SY, Ball H, Hanjani P. Adjuvant therapy of ovarian germ cell tumors with cisplatin, etoposide, and bleomycin: a trial of the Gynecologic Oncology Group. J Clin Oncol , 1994 12: 701–706. </w:t>
      </w:r>
    </w:p>
    <w:p w14:paraId="721AEBE0"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11. Williams SD, Kauderer J, Burnett AF, Lentz SS, Aghajanian C, Armstrong DK. Adjuvant therapy of completely resected dysgerminoma with carboplatin and etoposide: a trial of the Gynecologic Oncology Group. Gynecol Oncol , 2004 95: 496–499. </w:t>
      </w:r>
    </w:p>
    <w:p w14:paraId="0DD7D442"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12. Rogers PC, Olson TA, Cullen JW, Billmire DF, Marina N, Rescorla F, Davis MM, London WB, Lauer SJ, Giller RH, Cushing B, Pediatric Oncology Group 9048, Children’s Cancer Group 8891. Treatment of children and adolescents with stage II </w:t>
      </w:r>
      <w:r w:rsidRPr="001D179C">
        <w:rPr>
          <w:rFonts w:ascii="Times New Roman" w:hAnsi="Times New Roman" w:cs="Times New Roman"/>
        </w:rPr>
        <w:lastRenderedPageBreak/>
        <w:t xml:space="preserve">testicular and stages I and II ovarian malignant germ cell tumors: A Pediatric Intergroup Study--Pediatric Oncology Group 9048 and Children’s Cancer Group 8891. J Clin Oncol , 2004 22: 3563–3569. </w:t>
      </w:r>
    </w:p>
    <w:p w14:paraId="2BF6A066"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13. Cushing B, Giller R, Cullen JW, Marina NM, Lauer SJ, Olson TA, Rogers PC, Colombani P, Rescorla F, Billmire DF, Vinocur CD, Hawkins EP, Davis MM, Perlman EJ, London WB, Castleberry RP, Pediatric Oncology Group 9049, Children’s Cancer Group 8882. Randomized comparison of combination chemotherapy with etoposide, bleomycin, and either high-dose or standard-dose cisplatin in children and adolescents with high-risk malignant germ cell tumors: a pediatric intergroup study--Pediatric Oncology Group 9049 and Children’s Cancer Group 8882. J Clin Oncol , 2004 22: 2691–2700. </w:t>
      </w:r>
    </w:p>
    <w:p w14:paraId="2F743A47"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14. Marina N, Chang KW, Malogolowkin M, London WB, Frazier AL, Womer RB, Rescorla F, Billmire DF, Davis MM, Perlman EJ, Giller R, Lauer SJ, Olson TA, Children’s Oncology Group. Amifostine does not protect against the ototoxicity of high-dose cisplatin combined with etoposide and bleomycin in pediatric germ-cell tumors: a Children’s Oncology Group study. Cancer , 2005 104: 841–847. </w:t>
      </w:r>
    </w:p>
    <w:p w14:paraId="18EC8BBD"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15. Marina N, London WB, Frazier AL, Lauer S, Rescorla F, Cushing B, Malogolowkin MH, Castleberry RP, Womer RB, Olson T. Prognostic factors in children with extragonadal malignant germ cell tumors: a pediatric intergroup study. J Clin Oncol , 2006 24: 2544–2548. </w:t>
      </w:r>
    </w:p>
    <w:p w14:paraId="45B99240"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16. Malogolowkin MH, Krailo M, Marina N, Olson T, Frazier AL. Pilot Study of Cisplatin, Etoposide, Bleomycin, and Escalating Dose Cyclophosphamide Therapy for </w:t>
      </w:r>
      <w:r w:rsidRPr="001D179C">
        <w:rPr>
          <w:rFonts w:ascii="Times New Roman" w:hAnsi="Times New Roman" w:cs="Times New Roman"/>
        </w:rPr>
        <w:lastRenderedPageBreak/>
        <w:t xml:space="preserve">Children With High Risk Germ Cell Tumors: A Report of the Children’s Oncology Group (COG). Pediatr Blood Cancer , 2013 60: 1602–1605. </w:t>
      </w:r>
    </w:p>
    <w:p w14:paraId="7B2C6AC0"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17. Billmire DF, Cullen JW, Rescorla FJ, Davis M, Schlatter MG, Olson TA, Malogolowkin MH, Pashankar F, Villaluna D, Krailo M, Egler RA, Rodriguez-Galindo C, Frazier AL. Surveillance after initial surgery for pediatric and adolescent girls with stage I ovarian germ cell tumors: report from the Children’s Oncology Group. J Clin Oncol , 2014 32: 465–470. </w:t>
      </w:r>
    </w:p>
    <w:p w14:paraId="72084F38"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18. Prat J, FIGO Committee on Gynecologic Oncology. Staging classification for cancer of the ovary, fallopian tube, and peritoneum. Int J Gynaecol Obstet , 2014 124: 1–5. </w:t>
      </w:r>
    </w:p>
    <w:p w14:paraId="43D400C5"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19. Kaplan E, Meier P. Nonparametric estimation from incomplete observations. Journal of the American Statistical Association , 1958 53: 457–81. </w:t>
      </w:r>
    </w:p>
    <w:p w14:paraId="372E4EEC"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20. Kalbfleisch JD, Prentice RL. The statistical analysis of failure time data. J. Wiley, 2002</w:t>
      </w:r>
    </w:p>
    <w:p w14:paraId="069686E9"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21. Shaikh F, Nathan PC, Hale J, Uleryk E, Frazier L. Is there a role for carboplatin in the treatment of malignant germ cell tumors? A systematic review of adult and pediatric trials. Pediatr Blood Cancer , 2013 60: 587–592. </w:t>
      </w:r>
    </w:p>
    <w:p w14:paraId="57C23D95"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22. Tookman L, Rashid S, Matakidou A, Phillips M, Wilson P, Ansell W, Jamal-Hanjani M, Chowdhury S, Harland S, Sarwar N, Oliver T, Powles T, Shamash J. Carboplatin AUC 10 for IGCCCG good prognosis metastatic seminoma. Acta Oncol , 2013 52: 987–993. </w:t>
      </w:r>
    </w:p>
    <w:p w14:paraId="51C16C06"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lastRenderedPageBreak/>
        <w:t xml:space="preserve">23. Collinson K, Murray MJ, Orsi NM, Cummings M, Shipley J, Joffe JK, Coleman N, Stark D. Age-related biological features of germ cell tumors. Genes Chromosomes Cancer , 2014 53: 215–227. </w:t>
      </w:r>
    </w:p>
    <w:p w14:paraId="0459F56E"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24. Gershenson DM. Management of ovarian germ cell tumors. J Clin Oncol , 2007 25: 2938–2943. </w:t>
      </w:r>
    </w:p>
    <w:p w14:paraId="0A2928DF" w14:textId="77777777" w:rsidR="001D179C" w:rsidRPr="001D179C" w:rsidRDefault="001D179C" w:rsidP="001D179C">
      <w:pPr>
        <w:pStyle w:val="Bibliography"/>
        <w:jc w:val="both"/>
        <w:rPr>
          <w:rFonts w:ascii="Times New Roman" w:hAnsi="Times New Roman" w:cs="Times New Roman"/>
        </w:rPr>
      </w:pPr>
      <w:r w:rsidRPr="001D179C">
        <w:rPr>
          <w:rFonts w:ascii="Times New Roman" w:hAnsi="Times New Roman" w:cs="Times New Roman"/>
        </w:rPr>
        <w:t xml:space="preserve">25. Stoneham SJ, Hale JP, Rodriguez-Galindo C, Dang H, Olson T, Murray M, Amatruda JF, Thornton C, Arul GS, Billmire D, Krailo M, Stark D, Covens A, Hurteau J, Stenning S, Nicholson JC, Gershenson D, Frazier AL. Adolescents and Young Adults With a “Rare” Cancer: Getting Past Semantics to Optimal Care for Patients With Germ Cell Tumors. The Oncologist , 2014 19: 689–692. </w:t>
      </w:r>
    </w:p>
    <w:p w14:paraId="110767F5" w14:textId="50D7A724" w:rsidR="005D7BE9" w:rsidRPr="001D179C" w:rsidRDefault="005D7BE9" w:rsidP="001D179C">
      <w:pPr>
        <w:spacing w:line="480" w:lineRule="auto"/>
        <w:jc w:val="both"/>
        <w:rPr>
          <w:rFonts w:ascii="Times New Roman" w:hAnsi="Times New Roman" w:cs="Times New Roman"/>
          <w:b/>
        </w:rPr>
      </w:pPr>
      <w:r w:rsidRPr="001D179C">
        <w:rPr>
          <w:rFonts w:ascii="Times New Roman" w:hAnsi="Times New Roman" w:cs="Times New Roman"/>
          <w:b/>
        </w:rPr>
        <w:fldChar w:fldCharType="end"/>
      </w:r>
    </w:p>
    <w:p w14:paraId="51FF15CC" w14:textId="01619915" w:rsidR="00FA517C" w:rsidRPr="001D179C" w:rsidRDefault="004B0A81" w:rsidP="001D179C">
      <w:pPr>
        <w:spacing w:line="480" w:lineRule="auto"/>
        <w:jc w:val="both"/>
        <w:rPr>
          <w:rFonts w:ascii="Times New Roman" w:hAnsi="Times New Roman" w:cs="Times New Roman"/>
          <w:b/>
        </w:rPr>
      </w:pPr>
      <w:r w:rsidRPr="001D179C">
        <w:rPr>
          <w:rFonts w:ascii="Times New Roman" w:hAnsi="Times New Roman" w:cs="Times New Roman"/>
        </w:rPr>
        <w:t xml:space="preserve"> </w:t>
      </w:r>
      <w:r w:rsidR="005D7BE9" w:rsidRPr="001D179C">
        <w:rPr>
          <w:rFonts w:ascii="Times New Roman" w:hAnsi="Times New Roman" w:cs="Times New Roman"/>
          <w:noProof/>
        </w:rPr>
        <w:t xml:space="preserve"> </w:t>
      </w:r>
    </w:p>
    <w:p w14:paraId="562E6B98" w14:textId="224C117A" w:rsidR="00FA517C" w:rsidRPr="001D179C" w:rsidRDefault="00315D7E" w:rsidP="001D179C">
      <w:pPr>
        <w:pStyle w:val="Bibliography"/>
        <w:jc w:val="both"/>
        <w:rPr>
          <w:rFonts w:ascii="Times New Roman" w:hAnsi="Times New Roman" w:cs="Times New Roman"/>
        </w:rPr>
      </w:pPr>
      <w:r w:rsidRPr="001D179C">
        <w:rPr>
          <w:rFonts w:ascii="Times New Roman" w:hAnsi="Times New Roman" w:cs="Times New Roman"/>
        </w:rPr>
        <w:t xml:space="preserve"> </w:t>
      </w:r>
    </w:p>
    <w:p w14:paraId="028B6FB0" w14:textId="534BD5B0" w:rsidR="00315D7E" w:rsidRPr="001D179C" w:rsidRDefault="00315D7E" w:rsidP="001D179C">
      <w:pPr>
        <w:pStyle w:val="Bibliography"/>
        <w:jc w:val="both"/>
        <w:rPr>
          <w:rFonts w:ascii="Times New Roman" w:hAnsi="Times New Roman" w:cs="Times New Roman"/>
        </w:rPr>
      </w:pPr>
    </w:p>
    <w:p w14:paraId="7AE728D0" w14:textId="77777777" w:rsidR="00960835" w:rsidRPr="00796F65" w:rsidRDefault="00960835" w:rsidP="00796F65">
      <w:pPr>
        <w:pStyle w:val="Bibliography"/>
        <w:jc w:val="both"/>
        <w:rPr>
          <w:rFonts w:ascii="Times New Roman" w:hAnsi="Times New Roman" w:cs="Times New Roman"/>
        </w:rPr>
      </w:pPr>
    </w:p>
    <w:sectPr w:rsidR="00960835" w:rsidRPr="00796F65" w:rsidSect="00A26274">
      <w:headerReference w:type="default" r:id="rId10"/>
      <w:footerReference w:type="even" r:id="rId11"/>
      <w:footerReference w:type="default" r:id="rId12"/>
      <w:pgSz w:w="12240" w:h="15840"/>
      <w:pgMar w:top="1440" w:right="1800" w:bottom="1440" w:left="180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Microsoft Office User" w:date="2017-03-09T12:16:00Z" w:initials="Office">
    <w:p w14:paraId="42E24522" w14:textId="2E3C61AD" w:rsidR="00DA4BD3" w:rsidRPr="00B135EE" w:rsidRDefault="00DA4BD3" w:rsidP="0013421A">
      <w:pPr>
        <w:pStyle w:val="CommentText"/>
        <w:rPr>
          <w:u w:val="single"/>
        </w:rPr>
      </w:pPr>
      <w:r>
        <w:rPr>
          <w:rStyle w:val="CommentReference"/>
        </w:rPr>
        <w:annotationRef/>
      </w:r>
      <w:r w:rsidRPr="00B135EE">
        <w:rPr>
          <w:u w:val="single"/>
        </w:rPr>
        <w:t>Order of Submission (Gynecologic Oncology):</w:t>
      </w:r>
    </w:p>
    <w:p w14:paraId="7D830AC1" w14:textId="77777777" w:rsidR="00DA4BD3" w:rsidRDefault="00DA4BD3" w:rsidP="0013421A">
      <w:pPr>
        <w:pStyle w:val="CommentText"/>
        <w:numPr>
          <w:ilvl w:val="0"/>
          <w:numId w:val="12"/>
        </w:numPr>
      </w:pPr>
      <w:r>
        <w:t>Cover Letter</w:t>
      </w:r>
    </w:p>
    <w:p w14:paraId="2740936A" w14:textId="77777777" w:rsidR="00DA4BD3" w:rsidRDefault="00DA4BD3" w:rsidP="0013421A">
      <w:pPr>
        <w:pStyle w:val="CommentText"/>
        <w:numPr>
          <w:ilvl w:val="0"/>
          <w:numId w:val="12"/>
        </w:numPr>
      </w:pPr>
      <w:r>
        <w:t>Conflict of Interest Forms (one per author)</w:t>
      </w:r>
    </w:p>
    <w:p w14:paraId="73640260" w14:textId="77777777" w:rsidR="00DA4BD3" w:rsidRDefault="00DA4BD3" w:rsidP="0013421A">
      <w:pPr>
        <w:pStyle w:val="CommentText"/>
        <w:numPr>
          <w:ilvl w:val="0"/>
          <w:numId w:val="12"/>
        </w:numPr>
      </w:pPr>
      <w:r>
        <w:t>Manuscript File</w:t>
      </w:r>
    </w:p>
    <w:p w14:paraId="5EBC17E8" w14:textId="77777777" w:rsidR="00DA4BD3" w:rsidRDefault="00DA4BD3" w:rsidP="0013421A">
      <w:pPr>
        <w:pStyle w:val="CommentText"/>
        <w:numPr>
          <w:ilvl w:val="0"/>
          <w:numId w:val="12"/>
        </w:numPr>
      </w:pPr>
      <w:r>
        <w:t>All Tables File</w:t>
      </w:r>
    </w:p>
    <w:p w14:paraId="70EE0302" w14:textId="77777777" w:rsidR="00DA4BD3" w:rsidRDefault="00DA4BD3" w:rsidP="0013421A">
      <w:pPr>
        <w:pStyle w:val="CommentText"/>
        <w:numPr>
          <w:ilvl w:val="0"/>
          <w:numId w:val="12"/>
        </w:numPr>
      </w:pPr>
      <w:r>
        <w:t>All Figures File</w:t>
      </w:r>
    </w:p>
    <w:p w14:paraId="75F65ADC" w14:textId="77777777" w:rsidR="00DA4BD3" w:rsidRDefault="00DA4BD3" w:rsidP="0013421A">
      <w:pPr>
        <w:pStyle w:val="CommentText"/>
        <w:numPr>
          <w:ilvl w:val="0"/>
          <w:numId w:val="12"/>
        </w:numPr>
      </w:pPr>
      <w:r>
        <w:t>All Supplementary Material File</w:t>
      </w:r>
    </w:p>
    <w:p w14:paraId="7670747F" w14:textId="5D7BF7FF" w:rsidR="00DA4BD3" w:rsidRDefault="00DA4BD3" w:rsidP="0013421A">
      <w:pPr>
        <w:pStyle w:val="CommentText"/>
        <w:numPr>
          <w:ilvl w:val="0"/>
          <w:numId w:val="12"/>
        </w:numPr>
      </w:pPr>
      <w:r>
        <w:t>Highlights.</w:t>
      </w:r>
    </w:p>
  </w:comment>
  <w:comment w:id="1" w:author="CCHMC" w:date="2017-03-09T12:16:00Z" w:initials="C">
    <w:p w14:paraId="15FCE407" w14:textId="71220D94" w:rsidR="00DA4BD3" w:rsidRDefault="00DA4BD3" w:rsidP="00525E6C">
      <w:pPr>
        <w:pStyle w:val="NormalWeb"/>
        <w:shd w:val="clear" w:color="auto" w:fill="FFFFFF"/>
        <w:spacing w:line="312" w:lineRule="atLeast"/>
        <w:textAlignment w:val="baseline"/>
        <w:rPr>
          <w:rFonts w:ascii="Arial" w:hAnsi="Arial" w:cs="Arial"/>
          <w:b/>
          <w:bCs/>
          <w:color w:val="000000"/>
          <w:sz w:val="18"/>
          <w:szCs w:val="18"/>
          <w:bdr w:val="none" w:sz="0" w:space="0" w:color="auto" w:frame="1"/>
        </w:rPr>
      </w:pPr>
      <w:r>
        <w:rPr>
          <w:rStyle w:val="CommentReference"/>
        </w:rPr>
        <w:annotationRef/>
      </w:r>
      <w:r w:rsidRPr="00BA5C38">
        <w:rPr>
          <w:rFonts w:ascii="Arial" w:hAnsi="Arial" w:cs="Arial"/>
          <w:bCs/>
          <w:color w:val="000000"/>
          <w:sz w:val="18"/>
          <w:szCs w:val="18"/>
          <w:u w:val="single"/>
          <w:bdr w:val="none" w:sz="0" w:space="0" w:color="auto" w:frame="1"/>
        </w:rPr>
        <w:t>Author Guidelines: Gynecologic Oncology</w:t>
      </w:r>
      <w:r>
        <w:rPr>
          <w:rFonts w:ascii="Arial" w:hAnsi="Arial" w:cs="Arial"/>
          <w:b/>
          <w:bCs/>
          <w:color w:val="000000"/>
          <w:sz w:val="18"/>
          <w:szCs w:val="18"/>
          <w:bdr w:val="none" w:sz="0" w:space="0" w:color="auto" w:frame="1"/>
        </w:rPr>
        <w:t>.</w:t>
      </w:r>
    </w:p>
    <w:p w14:paraId="756C9E07" w14:textId="77777777" w:rsidR="00DA4BD3" w:rsidRDefault="00DA4BD3" w:rsidP="00525E6C">
      <w:pPr>
        <w:pStyle w:val="NormalWeb"/>
        <w:shd w:val="clear" w:color="auto" w:fill="FFFFFF"/>
        <w:spacing w:line="312" w:lineRule="atLeast"/>
        <w:textAlignment w:val="baseline"/>
        <w:rPr>
          <w:rFonts w:ascii="Arial" w:hAnsi="Arial" w:cs="Arial"/>
          <w:b/>
          <w:bCs/>
          <w:color w:val="000000"/>
          <w:sz w:val="18"/>
          <w:szCs w:val="18"/>
          <w:bdr w:val="none" w:sz="0" w:space="0" w:color="auto" w:frame="1"/>
        </w:rPr>
      </w:pPr>
    </w:p>
    <w:p w14:paraId="1A18F1C9" w14:textId="77777777" w:rsidR="00DA4BD3" w:rsidRDefault="00DA4BD3" w:rsidP="00525E6C">
      <w:pPr>
        <w:pStyle w:val="NormalWeb"/>
        <w:shd w:val="clear" w:color="auto" w:fill="FFFFFF"/>
        <w:spacing w:line="312" w:lineRule="atLeast"/>
        <w:textAlignment w:val="baseline"/>
        <w:rPr>
          <w:rFonts w:ascii="Arial" w:hAnsi="Arial" w:cs="Arial"/>
          <w:color w:val="000000"/>
          <w:sz w:val="18"/>
          <w:szCs w:val="18"/>
        </w:rPr>
      </w:pPr>
      <w:r w:rsidRPr="00525E6C">
        <w:rPr>
          <w:rFonts w:ascii="Arial" w:hAnsi="Arial" w:cs="Arial"/>
          <w:b/>
          <w:bCs/>
          <w:color w:val="000000"/>
          <w:sz w:val="18"/>
          <w:szCs w:val="18"/>
          <w:bdr w:val="none" w:sz="0" w:space="0" w:color="auto" w:frame="1"/>
        </w:rPr>
        <w:t>RESEARCH ARTICLES.</w:t>
      </w:r>
      <w:r w:rsidRPr="00525E6C">
        <w:rPr>
          <w:rFonts w:ascii="Arial" w:hAnsi="Arial" w:cs="Arial"/>
          <w:color w:val="000000"/>
          <w:sz w:val="18"/>
          <w:szCs w:val="18"/>
        </w:rPr>
        <w:t> </w:t>
      </w:r>
    </w:p>
    <w:p w14:paraId="028AC6EC" w14:textId="4A00718D" w:rsidR="00DA4BD3" w:rsidRPr="00525E6C" w:rsidRDefault="00DA4BD3" w:rsidP="00525E6C">
      <w:pPr>
        <w:pStyle w:val="NormalWeb"/>
        <w:shd w:val="clear" w:color="auto" w:fill="FFFFFF"/>
        <w:spacing w:line="312" w:lineRule="atLeast"/>
        <w:textAlignment w:val="baseline"/>
        <w:rPr>
          <w:rFonts w:ascii="Arial" w:hAnsi="Arial" w:cs="Arial"/>
          <w:color w:val="000000"/>
          <w:sz w:val="18"/>
          <w:szCs w:val="18"/>
        </w:rPr>
      </w:pPr>
      <w:r w:rsidRPr="00525E6C">
        <w:rPr>
          <w:rFonts w:ascii="Arial" w:hAnsi="Arial" w:cs="Arial"/>
          <w:color w:val="000000"/>
          <w:sz w:val="18"/>
          <w:szCs w:val="18"/>
        </w:rPr>
        <w:t>Articles should represent original and in-depth studies involving any aspect of clinical or laboratory investigation.</w:t>
      </w:r>
    </w:p>
    <w:p w14:paraId="20FE06A1" w14:textId="77777777" w:rsidR="00DA4BD3" w:rsidRPr="00525E6C" w:rsidRDefault="00DA4BD3" w:rsidP="00525E6C">
      <w:pPr>
        <w:shd w:val="clear" w:color="auto" w:fill="FFFFFF"/>
        <w:spacing w:after="240" w:line="312" w:lineRule="atLeast"/>
        <w:textAlignment w:val="baseline"/>
        <w:rPr>
          <w:rFonts w:ascii="Arial" w:hAnsi="Arial" w:cs="Arial"/>
          <w:color w:val="000000"/>
          <w:sz w:val="18"/>
          <w:szCs w:val="18"/>
        </w:rPr>
      </w:pPr>
      <w:r w:rsidRPr="00147BAC">
        <w:rPr>
          <w:rFonts w:ascii="Arial" w:hAnsi="Arial" w:cs="Arial"/>
          <w:b/>
          <w:color w:val="000000"/>
          <w:sz w:val="18"/>
          <w:szCs w:val="18"/>
        </w:rPr>
        <w:t>Abstract:</w:t>
      </w:r>
      <w:r w:rsidRPr="00525E6C">
        <w:rPr>
          <w:rFonts w:ascii="Arial" w:hAnsi="Arial" w:cs="Arial"/>
          <w:color w:val="000000"/>
          <w:sz w:val="18"/>
          <w:szCs w:val="18"/>
        </w:rPr>
        <w:t xml:space="preserve"> structured under headings (Background, Procedure, Results, and Conclusions. Length should be 250 words or less.</w:t>
      </w:r>
    </w:p>
    <w:p w14:paraId="4C511F7D" w14:textId="2C625ACC" w:rsidR="00DA4BD3" w:rsidRPr="00525E6C" w:rsidRDefault="00DA4BD3" w:rsidP="00525E6C">
      <w:pPr>
        <w:shd w:val="clear" w:color="auto" w:fill="FFFFFF"/>
        <w:spacing w:after="240" w:line="312" w:lineRule="atLeast"/>
        <w:textAlignment w:val="baseline"/>
        <w:rPr>
          <w:rFonts w:ascii="Arial" w:hAnsi="Arial" w:cs="Arial"/>
          <w:color w:val="000000"/>
          <w:sz w:val="18"/>
          <w:szCs w:val="18"/>
        </w:rPr>
      </w:pPr>
      <w:r w:rsidRPr="00147BAC">
        <w:rPr>
          <w:rFonts w:ascii="Arial" w:hAnsi="Arial" w:cs="Arial"/>
          <w:b/>
          <w:color w:val="000000"/>
          <w:sz w:val="18"/>
          <w:szCs w:val="18"/>
        </w:rPr>
        <w:t>Length:</w:t>
      </w:r>
      <w:r w:rsidRPr="00525E6C">
        <w:rPr>
          <w:rFonts w:ascii="Arial" w:hAnsi="Arial" w:cs="Arial"/>
          <w:color w:val="000000"/>
          <w:sz w:val="18"/>
          <w:szCs w:val="18"/>
        </w:rPr>
        <w:t xml:space="preserve"> </w:t>
      </w:r>
      <w:r>
        <w:rPr>
          <w:rFonts w:ascii="Arial" w:hAnsi="Arial" w:cs="Arial"/>
          <w:color w:val="000000"/>
          <w:sz w:val="18"/>
          <w:szCs w:val="18"/>
        </w:rPr>
        <w:t>4000</w:t>
      </w:r>
      <w:r w:rsidRPr="00525E6C">
        <w:rPr>
          <w:rFonts w:ascii="Arial" w:hAnsi="Arial" w:cs="Arial"/>
          <w:color w:val="000000"/>
          <w:sz w:val="18"/>
          <w:szCs w:val="18"/>
        </w:rPr>
        <w:t>-word maximum (excludes title page, Abstract, References, Tables, Figu</w:t>
      </w:r>
      <w:r>
        <w:rPr>
          <w:rFonts w:ascii="Arial" w:hAnsi="Arial" w:cs="Arial"/>
          <w:color w:val="000000"/>
          <w:sz w:val="18"/>
          <w:szCs w:val="18"/>
        </w:rPr>
        <w:t xml:space="preserve">res, and Legends.) </w:t>
      </w:r>
      <w:r w:rsidRPr="00DA6BC2">
        <w:rPr>
          <w:rFonts w:ascii="Arial" w:hAnsi="Arial" w:cs="Arial"/>
          <w:b/>
          <w:color w:val="000000"/>
          <w:sz w:val="18"/>
          <w:szCs w:val="18"/>
        </w:rPr>
        <w:t>References</w:t>
      </w:r>
      <w:r>
        <w:rPr>
          <w:rFonts w:ascii="Arial" w:hAnsi="Arial" w:cs="Arial"/>
          <w:color w:val="000000"/>
          <w:sz w:val="18"/>
          <w:szCs w:val="18"/>
        </w:rPr>
        <w:t>: 4</w:t>
      </w:r>
      <w:r w:rsidRPr="00525E6C">
        <w:rPr>
          <w:rFonts w:ascii="Arial" w:hAnsi="Arial" w:cs="Arial"/>
          <w:color w:val="000000"/>
          <w:sz w:val="18"/>
          <w:szCs w:val="18"/>
        </w:rPr>
        <w:t>0 or fewer</w:t>
      </w:r>
    </w:p>
    <w:p w14:paraId="5F31D673" w14:textId="77777777" w:rsidR="00DA4BD3" w:rsidRDefault="00DA4BD3" w:rsidP="00525E6C">
      <w:pPr>
        <w:shd w:val="clear" w:color="auto" w:fill="FFFFFF"/>
        <w:spacing w:after="240" w:line="312" w:lineRule="atLeast"/>
        <w:textAlignment w:val="baseline"/>
        <w:rPr>
          <w:rFonts w:ascii="Arial" w:hAnsi="Arial" w:cs="Arial"/>
          <w:color w:val="000000"/>
          <w:sz w:val="18"/>
          <w:szCs w:val="18"/>
        </w:rPr>
      </w:pPr>
      <w:r w:rsidRPr="00147BAC">
        <w:rPr>
          <w:rFonts w:ascii="Arial" w:hAnsi="Arial" w:cs="Arial"/>
          <w:b/>
          <w:color w:val="000000"/>
          <w:sz w:val="18"/>
          <w:szCs w:val="18"/>
        </w:rPr>
        <w:t>Figures/Tables:</w:t>
      </w:r>
      <w:r w:rsidRPr="00525E6C">
        <w:rPr>
          <w:rFonts w:ascii="Arial" w:hAnsi="Arial" w:cs="Arial"/>
          <w:color w:val="000000"/>
          <w:sz w:val="18"/>
          <w:szCs w:val="18"/>
        </w:rPr>
        <w:t xml:space="preserve"> The number combined should be not be greater than 6 (excluding supplemental material). Tables and figures should not simply repeat information in the text.</w:t>
      </w:r>
    </w:p>
    <w:p w14:paraId="024561A9" w14:textId="22B72682" w:rsidR="00DA4BD3" w:rsidRPr="00BA5C38" w:rsidRDefault="00DA4BD3" w:rsidP="00BA5C38">
      <w:pPr>
        <w:shd w:val="clear" w:color="auto" w:fill="FFFFFF"/>
        <w:spacing w:after="240" w:line="312" w:lineRule="atLeast"/>
        <w:textAlignment w:val="baseline"/>
        <w:rPr>
          <w:rFonts w:ascii="Arial" w:hAnsi="Arial" w:cs="Arial"/>
          <w:color w:val="000000"/>
          <w:sz w:val="18"/>
          <w:szCs w:val="18"/>
        </w:rPr>
      </w:pPr>
      <w:r w:rsidRPr="00BA5C38">
        <w:rPr>
          <w:rFonts w:ascii="Arial" w:hAnsi="Arial" w:cs="Arial"/>
          <w:b/>
          <w:color w:val="000000"/>
          <w:sz w:val="18"/>
          <w:szCs w:val="18"/>
        </w:rPr>
        <w:t>Supplementary Material</w:t>
      </w:r>
      <w:r>
        <w:rPr>
          <w:rFonts w:ascii="Arial" w:hAnsi="Arial" w:cs="Arial"/>
          <w:color w:val="000000"/>
          <w:sz w:val="18"/>
          <w:szCs w:val="18"/>
        </w:rPr>
        <w:t xml:space="preserve">: No Limit. </w:t>
      </w:r>
    </w:p>
  </w:comment>
  <w:comment w:id="2" w:author="Shah, Rachana" w:date="2017-03-09T12:16:00Z" w:initials="SR">
    <w:p w14:paraId="7839A248" w14:textId="598DBD35" w:rsidR="00DA4BD3" w:rsidRDefault="00DA4BD3">
      <w:pPr>
        <w:pStyle w:val="CommentText"/>
      </w:pPr>
      <w:r>
        <w:rPr>
          <w:rStyle w:val="CommentReference"/>
        </w:rPr>
        <w:annotationRef/>
      </w:r>
      <w:r w:rsidRPr="00133C92">
        <w:rPr>
          <w:b/>
          <w:color w:val="FF0000"/>
        </w:rPr>
        <w:t>250.</w:t>
      </w:r>
      <w:r w:rsidRPr="00133C92">
        <w:rPr>
          <w:color w:val="FF0000"/>
        </w:rPr>
        <w:t xml:space="preserve"> </w:t>
      </w:r>
      <w:r>
        <w:t>Word Limit: 250.</w:t>
      </w:r>
    </w:p>
  </w:comment>
  <w:comment w:id="3" w:author="Rachana Shah" w:date="2018-01-25T18:50:00Z" w:initials="RS">
    <w:p w14:paraId="0F0A3765" w14:textId="331D3C9C" w:rsidR="00DA4BD3" w:rsidRDefault="00DA4BD3">
      <w:pPr>
        <w:pStyle w:val="CommentText"/>
      </w:pPr>
      <w:r>
        <w:rPr>
          <w:rStyle w:val="CommentReference"/>
        </w:rPr>
        <w:annotationRef/>
      </w:r>
      <w:r w:rsidR="00CF5E4C">
        <w:rPr>
          <w:b/>
          <w:color w:val="FF0000"/>
        </w:rPr>
        <w:t>2979</w:t>
      </w:r>
      <w:bookmarkStart w:id="4" w:name="_GoBack"/>
      <w:bookmarkEnd w:id="4"/>
      <w:r w:rsidRPr="00133C92">
        <w:rPr>
          <w:b/>
          <w:color w:val="FF0000"/>
        </w:rPr>
        <w:t>.</w:t>
      </w:r>
      <w:r w:rsidRPr="00133C92">
        <w:rPr>
          <w:color w:val="FF0000"/>
        </w:rPr>
        <w:t xml:space="preserve"> </w:t>
      </w:r>
      <w:r>
        <w:t>Word Limit: 4000.</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670747F" w15:done="0"/>
  <w15:commentEx w15:paraId="024561A9" w15:done="0"/>
  <w15:commentEx w15:paraId="7839A248" w15:done="0"/>
  <w15:commentEx w15:paraId="0F0A37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670747F" w16cid:durableId="1E0C4732"/>
  <w16cid:commentId w16cid:paraId="024561A9" w16cid:durableId="1E0C4733"/>
  <w16cid:commentId w16cid:paraId="7839A248" w16cid:durableId="1E0C4734"/>
  <w16cid:commentId w16cid:paraId="0F0A3765" w16cid:durableId="1E14A57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27E187" w14:textId="77777777" w:rsidR="00DB26E4" w:rsidRDefault="00DB26E4" w:rsidP="00AC57BC">
      <w:r>
        <w:separator/>
      </w:r>
    </w:p>
  </w:endnote>
  <w:endnote w:type="continuationSeparator" w:id="0">
    <w:p w14:paraId="7880724B" w14:textId="77777777" w:rsidR="00DB26E4" w:rsidRDefault="00DB26E4" w:rsidP="00AC57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ACFF"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84BD86" w14:textId="77777777" w:rsidR="00DA4BD3" w:rsidRDefault="00DA4BD3" w:rsidP="00191F0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B500131" w14:textId="77777777" w:rsidR="00DA4BD3" w:rsidRDefault="00DA4BD3" w:rsidP="00AC57B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E5BE52" w14:textId="77777777" w:rsidR="00DA4BD3" w:rsidRPr="00E4257A" w:rsidRDefault="00DA4BD3" w:rsidP="00B973E6">
    <w:pPr>
      <w:pStyle w:val="Footer"/>
      <w:framePr w:wrap="none" w:vAnchor="text" w:hAnchor="margin" w:xAlign="right" w:y="1"/>
      <w:rPr>
        <w:rStyle w:val="PageNumber"/>
        <w:rFonts w:ascii="Times New Roman" w:hAnsi="Times New Roman" w:cs="Times New Roman"/>
      </w:rPr>
    </w:pPr>
    <w:r w:rsidRPr="00E4257A">
      <w:rPr>
        <w:rStyle w:val="PageNumber"/>
        <w:rFonts w:ascii="Times New Roman" w:hAnsi="Times New Roman" w:cs="Times New Roman"/>
      </w:rPr>
      <w:fldChar w:fldCharType="begin"/>
    </w:r>
    <w:r w:rsidRPr="00E4257A">
      <w:rPr>
        <w:rStyle w:val="PageNumber"/>
        <w:rFonts w:ascii="Times New Roman" w:hAnsi="Times New Roman" w:cs="Times New Roman"/>
      </w:rPr>
      <w:instrText xml:space="preserve">PAGE  </w:instrText>
    </w:r>
    <w:r w:rsidRPr="00E4257A">
      <w:rPr>
        <w:rStyle w:val="PageNumber"/>
        <w:rFonts w:ascii="Times New Roman" w:hAnsi="Times New Roman" w:cs="Times New Roman"/>
      </w:rPr>
      <w:fldChar w:fldCharType="separate"/>
    </w:r>
    <w:r w:rsidR="005B5AEA" w:rsidRPr="00E4257A">
      <w:rPr>
        <w:rStyle w:val="PageNumber"/>
        <w:rFonts w:ascii="Times New Roman" w:hAnsi="Times New Roman" w:cs="Times New Roman"/>
        <w:noProof/>
      </w:rPr>
      <w:t>20</w:t>
    </w:r>
    <w:r w:rsidRPr="00E4257A">
      <w:rPr>
        <w:rStyle w:val="PageNumber"/>
        <w:rFonts w:ascii="Times New Roman" w:hAnsi="Times New Roman" w:cs="Times New Roman"/>
      </w:rPr>
      <w:fldChar w:fldCharType="end"/>
    </w:r>
  </w:p>
  <w:p w14:paraId="307D5034" w14:textId="40A0197F" w:rsidR="00DA4BD3" w:rsidRDefault="00DA4BD3" w:rsidP="00AC57B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F6E7C3" w14:textId="77777777" w:rsidR="00DB26E4" w:rsidRDefault="00DB26E4" w:rsidP="00AC57BC">
      <w:r>
        <w:separator/>
      </w:r>
    </w:p>
  </w:footnote>
  <w:footnote w:type="continuationSeparator" w:id="0">
    <w:p w14:paraId="12295FEF" w14:textId="77777777" w:rsidR="00DB26E4" w:rsidRDefault="00DB26E4" w:rsidP="00AC57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15C80D" w14:textId="41CF53D5" w:rsidR="00DA4BD3" w:rsidRPr="0008429E" w:rsidRDefault="00DA4BD3" w:rsidP="00AC57BC">
    <w:pPr>
      <w:pStyle w:val="Header"/>
      <w:rPr>
        <w:rFonts w:ascii="Times New Roman" w:hAnsi="Times New Roman" w:cs="Times New Roman"/>
      </w:rPr>
    </w:pPr>
    <w:r w:rsidRPr="0008429E">
      <w:rPr>
        <w:rFonts w:ascii="Times New Roman" w:hAnsi="Times New Roman" w:cs="Times New Roman"/>
      </w:rPr>
      <w:t xml:space="preserve">Dysgerminoma                                                                                        </w:t>
    </w:r>
    <w:r>
      <w:rPr>
        <w:rFonts w:ascii="Times New Roman" w:hAnsi="Times New Roman" w:cs="Times New Roman"/>
      </w:rPr>
      <w:t xml:space="preserve">              </w:t>
    </w:r>
    <w:r w:rsidRPr="0008429E">
      <w:rPr>
        <w:rFonts w:ascii="Times New Roman" w:hAnsi="Times New Roman" w:cs="Times New Roman"/>
      </w:rPr>
      <w:t xml:space="preserve">Shah et al.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2C7CDA"/>
    <w:multiLevelType w:val="hybridMultilevel"/>
    <w:tmpl w:val="19B491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2D50DC"/>
    <w:multiLevelType w:val="hybridMultilevel"/>
    <w:tmpl w:val="7A7695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8E6829"/>
    <w:multiLevelType w:val="hybridMultilevel"/>
    <w:tmpl w:val="4F1665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A956D44"/>
    <w:multiLevelType w:val="hybridMultilevel"/>
    <w:tmpl w:val="5C8489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36F75F6"/>
    <w:multiLevelType w:val="hybridMultilevel"/>
    <w:tmpl w:val="8578D1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CA834D9"/>
    <w:multiLevelType w:val="hybridMultilevel"/>
    <w:tmpl w:val="499434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8E4323"/>
    <w:multiLevelType w:val="hybridMultilevel"/>
    <w:tmpl w:val="C7164D6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40A6CE3"/>
    <w:multiLevelType w:val="hybridMultilevel"/>
    <w:tmpl w:val="13A87A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A7E75B7"/>
    <w:multiLevelType w:val="hybridMultilevel"/>
    <w:tmpl w:val="7C3C8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E1A0B20"/>
    <w:multiLevelType w:val="hybridMultilevel"/>
    <w:tmpl w:val="FE0EEC6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629318A"/>
    <w:multiLevelType w:val="hybridMultilevel"/>
    <w:tmpl w:val="579ED07C"/>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1" w15:restartNumberingAfterBreak="0">
    <w:nsid w:val="5940343C"/>
    <w:multiLevelType w:val="hybridMultilevel"/>
    <w:tmpl w:val="2D5C97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B0C1280"/>
    <w:multiLevelType w:val="hybridMultilevel"/>
    <w:tmpl w:val="C7164D6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12C1B13"/>
    <w:multiLevelType w:val="hybridMultilevel"/>
    <w:tmpl w:val="BBFADF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6081498"/>
    <w:multiLevelType w:val="hybridMultilevel"/>
    <w:tmpl w:val="813EB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4B62849"/>
    <w:multiLevelType w:val="hybridMultilevel"/>
    <w:tmpl w:val="6BB477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4"/>
  </w:num>
  <w:num w:numId="3">
    <w:abstractNumId w:val="13"/>
  </w:num>
  <w:num w:numId="4">
    <w:abstractNumId w:val="7"/>
  </w:num>
  <w:num w:numId="5">
    <w:abstractNumId w:val="10"/>
  </w:num>
  <w:num w:numId="6">
    <w:abstractNumId w:val="5"/>
  </w:num>
  <w:num w:numId="7">
    <w:abstractNumId w:val="6"/>
  </w:num>
  <w:num w:numId="8">
    <w:abstractNumId w:val="12"/>
  </w:num>
  <w:num w:numId="9">
    <w:abstractNumId w:val="0"/>
  </w:num>
  <w:num w:numId="10">
    <w:abstractNumId w:val="2"/>
  </w:num>
  <w:num w:numId="11">
    <w:abstractNumId w:val="3"/>
  </w:num>
  <w:num w:numId="12">
    <w:abstractNumId w:val="15"/>
  </w:num>
  <w:num w:numId="13">
    <w:abstractNumId w:val="11"/>
  </w:num>
  <w:num w:numId="14">
    <w:abstractNumId w:val="1"/>
  </w:num>
  <w:num w:numId="15">
    <w:abstractNumId w:val="8"/>
  </w:num>
  <w:num w:numId="16">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icrosoft Office User">
    <w15:presenceInfo w15:providerId="None" w15:userId="Microsoft Office User"/>
  </w15:person>
  <w15:person w15:author="Rachana Shah">
    <w15:presenceInfo w15:providerId="Windows Live" w15:userId="dcab2d13-364f-468e-8f23-dadcb7ea58b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9"/>
  <w:hideSpellingErrors/>
  <w:hideGrammatical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dgnword-docGUID" w:val="{0FB03DCD-E910-4DEE-9497-72C431C3AA8E}"/>
    <w:docVar w:name="dgnword-eventsink" w:val="175541744"/>
  </w:docVars>
  <w:rsids>
    <w:rsidRoot w:val="00F20752"/>
    <w:rsid w:val="000002D8"/>
    <w:rsid w:val="000013B3"/>
    <w:rsid w:val="0000146E"/>
    <w:rsid w:val="00001936"/>
    <w:rsid w:val="00002192"/>
    <w:rsid w:val="000024C0"/>
    <w:rsid w:val="00002A64"/>
    <w:rsid w:val="00002C9D"/>
    <w:rsid w:val="00003911"/>
    <w:rsid w:val="00004803"/>
    <w:rsid w:val="00005957"/>
    <w:rsid w:val="00005B31"/>
    <w:rsid w:val="00005E1E"/>
    <w:rsid w:val="000060D4"/>
    <w:rsid w:val="00006316"/>
    <w:rsid w:val="000067E5"/>
    <w:rsid w:val="00007339"/>
    <w:rsid w:val="00007816"/>
    <w:rsid w:val="00007C8E"/>
    <w:rsid w:val="00010406"/>
    <w:rsid w:val="00010AEC"/>
    <w:rsid w:val="000128E4"/>
    <w:rsid w:val="00014579"/>
    <w:rsid w:val="00015232"/>
    <w:rsid w:val="0001613C"/>
    <w:rsid w:val="00016D83"/>
    <w:rsid w:val="00017AF5"/>
    <w:rsid w:val="000204BE"/>
    <w:rsid w:val="00020B43"/>
    <w:rsid w:val="00020BF3"/>
    <w:rsid w:val="00022BA9"/>
    <w:rsid w:val="00023334"/>
    <w:rsid w:val="000237FB"/>
    <w:rsid w:val="00023FB5"/>
    <w:rsid w:val="000249FD"/>
    <w:rsid w:val="000257E9"/>
    <w:rsid w:val="00026DB5"/>
    <w:rsid w:val="00030B9B"/>
    <w:rsid w:val="00031555"/>
    <w:rsid w:val="00032104"/>
    <w:rsid w:val="00033121"/>
    <w:rsid w:val="00034670"/>
    <w:rsid w:val="00034BE1"/>
    <w:rsid w:val="000352F0"/>
    <w:rsid w:val="00035B97"/>
    <w:rsid w:val="00035BAF"/>
    <w:rsid w:val="00036180"/>
    <w:rsid w:val="00036412"/>
    <w:rsid w:val="000364A9"/>
    <w:rsid w:val="0003763F"/>
    <w:rsid w:val="00037E3D"/>
    <w:rsid w:val="0004006E"/>
    <w:rsid w:val="00040D18"/>
    <w:rsid w:val="00041C1D"/>
    <w:rsid w:val="0004205B"/>
    <w:rsid w:val="000420E1"/>
    <w:rsid w:val="0004280E"/>
    <w:rsid w:val="00043DCC"/>
    <w:rsid w:val="00044A8E"/>
    <w:rsid w:val="00044B86"/>
    <w:rsid w:val="00045022"/>
    <w:rsid w:val="00045630"/>
    <w:rsid w:val="000458B4"/>
    <w:rsid w:val="0004619C"/>
    <w:rsid w:val="0004661F"/>
    <w:rsid w:val="000466D0"/>
    <w:rsid w:val="00047529"/>
    <w:rsid w:val="00047981"/>
    <w:rsid w:val="00050FD2"/>
    <w:rsid w:val="00052325"/>
    <w:rsid w:val="00052398"/>
    <w:rsid w:val="00054A20"/>
    <w:rsid w:val="00054D22"/>
    <w:rsid w:val="00054D54"/>
    <w:rsid w:val="000552A8"/>
    <w:rsid w:val="000560A9"/>
    <w:rsid w:val="00057F5C"/>
    <w:rsid w:val="00060273"/>
    <w:rsid w:val="000603F0"/>
    <w:rsid w:val="00060FEC"/>
    <w:rsid w:val="00061045"/>
    <w:rsid w:val="00061058"/>
    <w:rsid w:val="0006213D"/>
    <w:rsid w:val="00062816"/>
    <w:rsid w:val="00064013"/>
    <w:rsid w:val="00065A12"/>
    <w:rsid w:val="00065FC3"/>
    <w:rsid w:val="0006695E"/>
    <w:rsid w:val="000701BC"/>
    <w:rsid w:val="00070252"/>
    <w:rsid w:val="00070D88"/>
    <w:rsid w:val="00070F61"/>
    <w:rsid w:val="00072082"/>
    <w:rsid w:val="000724D1"/>
    <w:rsid w:val="00072662"/>
    <w:rsid w:val="000728C9"/>
    <w:rsid w:val="000733B6"/>
    <w:rsid w:val="0007356F"/>
    <w:rsid w:val="00073BFB"/>
    <w:rsid w:val="000741E4"/>
    <w:rsid w:val="00074D1D"/>
    <w:rsid w:val="000752D7"/>
    <w:rsid w:val="00076545"/>
    <w:rsid w:val="00076721"/>
    <w:rsid w:val="00076991"/>
    <w:rsid w:val="00080659"/>
    <w:rsid w:val="0008180B"/>
    <w:rsid w:val="00081EDE"/>
    <w:rsid w:val="00083563"/>
    <w:rsid w:val="00083A26"/>
    <w:rsid w:val="00083D36"/>
    <w:rsid w:val="00083F2B"/>
    <w:rsid w:val="00084033"/>
    <w:rsid w:val="0008429E"/>
    <w:rsid w:val="000843D5"/>
    <w:rsid w:val="0008508E"/>
    <w:rsid w:val="000854A3"/>
    <w:rsid w:val="00085782"/>
    <w:rsid w:val="00085813"/>
    <w:rsid w:val="00085A7A"/>
    <w:rsid w:val="00086A8B"/>
    <w:rsid w:val="00087DBE"/>
    <w:rsid w:val="00090B39"/>
    <w:rsid w:val="00090C11"/>
    <w:rsid w:val="00091223"/>
    <w:rsid w:val="00091E83"/>
    <w:rsid w:val="00092E19"/>
    <w:rsid w:val="00093363"/>
    <w:rsid w:val="00093625"/>
    <w:rsid w:val="000949E8"/>
    <w:rsid w:val="00094D5F"/>
    <w:rsid w:val="00095214"/>
    <w:rsid w:val="00095BAB"/>
    <w:rsid w:val="00096124"/>
    <w:rsid w:val="00097FD3"/>
    <w:rsid w:val="000A1A52"/>
    <w:rsid w:val="000A1D7F"/>
    <w:rsid w:val="000A1F06"/>
    <w:rsid w:val="000A1F33"/>
    <w:rsid w:val="000A2B8E"/>
    <w:rsid w:val="000A3C1A"/>
    <w:rsid w:val="000A7376"/>
    <w:rsid w:val="000A751A"/>
    <w:rsid w:val="000A78CF"/>
    <w:rsid w:val="000B0D9F"/>
    <w:rsid w:val="000B1839"/>
    <w:rsid w:val="000B19F3"/>
    <w:rsid w:val="000B1E58"/>
    <w:rsid w:val="000B2212"/>
    <w:rsid w:val="000B259B"/>
    <w:rsid w:val="000B2C13"/>
    <w:rsid w:val="000B406F"/>
    <w:rsid w:val="000B43C3"/>
    <w:rsid w:val="000B6A4A"/>
    <w:rsid w:val="000C1351"/>
    <w:rsid w:val="000C15CC"/>
    <w:rsid w:val="000C2195"/>
    <w:rsid w:val="000C2B8F"/>
    <w:rsid w:val="000C3AE3"/>
    <w:rsid w:val="000C59C4"/>
    <w:rsid w:val="000D003B"/>
    <w:rsid w:val="000D0C97"/>
    <w:rsid w:val="000D111B"/>
    <w:rsid w:val="000D2967"/>
    <w:rsid w:val="000D3CF2"/>
    <w:rsid w:val="000D602A"/>
    <w:rsid w:val="000D7EA5"/>
    <w:rsid w:val="000D7FC0"/>
    <w:rsid w:val="000E1BF1"/>
    <w:rsid w:val="000E2155"/>
    <w:rsid w:val="000E2CC5"/>
    <w:rsid w:val="000E2D5C"/>
    <w:rsid w:val="000E458F"/>
    <w:rsid w:val="000E72DA"/>
    <w:rsid w:val="000F23BD"/>
    <w:rsid w:val="000F2427"/>
    <w:rsid w:val="000F2898"/>
    <w:rsid w:val="000F2A63"/>
    <w:rsid w:val="000F33D7"/>
    <w:rsid w:val="000F39C3"/>
    <w:rsid w:val="000F5198"/>
    <w:rsid w:val="000F54CA"/>
    <w:rsid w:val="000F6349"/>
    <w:rsid w:val="000F683A"/>
    <w:rsid w:val="000F726B"/>
    <w:rsid w:val="000F7633"/>
    <w:rsid w:val="000F7708"/>
    <w:rsid w:val="000F7724"/>
    <w:rsid w:val="001007BB"/>
    <w:rsid w:val="00100A13"/>
    <w:rsid w:val="0010117F"/>
    <w:rsid w:val="00101AFA"/>
    <w:rsid w:val="001023CA"/>
    <w:rsid w:val="001023E8"/>
    <w:rsid w:val="00102F11"/>
    <w:rsid w:val="001034F8"/>
    <w:rsid w:val="00103655"/>
    <w:rsid w:val="00103D2D"/>
    <w:rsid w:val="00104447"/>
    <w:rsid w:val="00104B62"/>
    <w:rsid w:val="00104D1E"/>
    <w:rsid w:val="00104E85"/>
    <w:rsid w:val="00106C19"/>
    <w:rsid w:val="00106E13"/>
    <w:rsid w:val="001077F7"/>
    <w:rsid w:val="001116AD"/>
    <w:rsid w:val="00111A54"/>
    <w:rsid w:val="00112196"/>
    <w:rsid w:val="00113436"/>
    <w:rsid w:val="00114A85"/>
    <w:rsid w:val="00114B48"/>
    <w:rsid w:val="0011557A"/>
    <w:rsid w:val="00115681"/>
    <w:rsid w:val="00115FBC"/>
    <w:rsid w:val="00116FD9"/>
    <w:rsid w:val="001179BE"/>
    <w:rsid w:val="00121982"/>
    <w:rsid w:val="00122551"/>
    <w:rsid w:val="001228BD"/>
    <w:rsid w:val="00122E0C"/>
    <w:rsid w:val="00123369"/>
    <w:rsid w:val="00123823"/>
    <w:rsid w:val="001238E9"/>
    <w:rsid w:val="00123F8A"/>
    <w:rsid w:val="00124772"/>
    <w:rsid w:val="00124A09"/>
    <w:rsid w:val="001250D0"/>
    <w:rsid w:val="00125E06"/>
    <w:rsid w:val="00125F0C"/>
    <w:rsid w:val="001264A5"/>
    <w:rsid w:val="00126EEE"/>
    <w:rsid w:val="00126F0E"/>
    <w:rsid w:val="00127168"/>
    <w:rsid w:val="0012716A"/>
    <w:rsid w:val="00127504"/>
    <w:rsid w:val="0012758D"/>
    <w:rsid w:val="00131C8E"/>
    <w:rsid w:val="00133C92"/>
    <w:rsid w:val="0013421A"/>
    <w:rsid w:val="00135086"/>
    <w:rsid w:val="00135135"/>
    <w:rsid w:val="00135201"/>
    <w:rsid w:val="00136082"/>
    <w:rsid w:val="001360B2"/>
    <w:rsid w:val="00136BCF"/>
    <w:rsid w:val="001373FF"/>
    <w:rsid w:val="001375AC"/>
    <w:rsid w:val="001404B4"/>
    <w:rsid w:val="001406E1"/>
    <w:rsid w:val="00141347"/>
    <w:rsid w:val="001419B3"/>
    <w:rsid w:val="00141FB1"/>
    <w:rsid w:val="00142CFE"/>
    <w:rsid w:val="00144AB1"/>
    <w:rsid w:val="0014535A"/>
    <w:rsid w:val="00145942"/>
    <w:rsid w:val="00145C8D"/>
    <w:rsid w:val="00146595"/>
    <w:rsid w:val="00146BDA"/>
    <w:rsid w:val="00147BAC"/>
    <w:rsid w:val="001518D5"/>
    <w:rsid w:val="00151DC7"/>
    <w:rsid w:val="00152423"/>
    <w:rsid w:val="00152472"/>
    <w:rsid w:val="00152692"/>
    <w:rsid w:val="00153824"/>
    <w:rsid w:val="00153B57"/>
    <w:rsid w:val="00153E23"/>
    <w:rsid w:val="00154167"/>
    <w:rsid w:val="0015429F"/>
    <w:rsid w:val="00156D0B"/>
    <w:rsid w:val="00157F52"/>
    <w:rsid w:val="00160A80"/>
    <w:rsid w:val="00160F1E"/>
    <w:rsid w:val="001610A2"/>
    <w:rsid w:val="0016153A"/>
    <w:rsid w:val="00161A3A"/>
    <w:rsid w:val="00161AA3"/>
    <w:rsid w:val="00163586"/>
    <w:rsid w:val="00164312"/>
    <w:rsid w:val="0016544E"/>
    <w:rsid w:val="00165B41"/>
    <w:rsid w:val="00166009"/>
    <w:rsid w:val="001661A4"/>
    <w:rsid w:val="00171B6A"/>
    <w:rsid w:val="00171BF7"/>
    <w:rsid w:val="001723B3"/>
    <w:rsid w:val="00172504"/>
    <w:rsid w:val="0017259E"/>
    <w:rsid w:val="00172E54"/>
    <w:rsid w:val="00173951"/>
    <w:rsid w:val="0017425A"/>
    <w:rsid w:val="00174983"/>
    <w:rsid w:val="00174D0C"/>
    <w:rsid w:val="0017595F"/>
    <w:rsid w:val="001775FB"/>
    <w:rsid w:val="00177F16"/>
    <w:rsid w:val="00180193"/>
    <w:rsid w:val="001807E3"/>
    <w:rsid w:val="00180BB9"/>
    <w:rsid w:val="001810A1"/>
    <w:rsid w:val="00181436"/>
    <w:rsid w:val="0018268D"/>
    <w:rsid w:val="00184892"/>
    <w:rsid w:val="001863EF"/>
    <w:rsid w:val="00186583"/>
    <w:rsid w:val="00187CB9"/>
    <w:rsid w:val="00191F06"/>
    <w:rsid w:val="00192FC4"/>
    <w:rsid w:val="00193CA0"/>
    <w:rsid w:val="00193E35"/>
    <w:rsid w:val="00193EBC"/>
    <w:rsid w:val="0019497D"/>
    <w:rsid w:val="001956F5"/>
    <w:rsid w:val="001965A3"/>
    <w:rsid w:val="001967DF"/>
    <w:rsid w:val="00196F69"/>
    <w:rsid w:val="00197099"/>
    <w:rsid w:val="001A0753"/>
    <w:rsid w:val="001A1E27"/>
    <w:rsid w:val="001A250F"/>
    <w:rsid w:val="001A279D"/>
    <w:rsid w:val="001A298D"/>
    <w:rsid w:val="001A30FE"/>
    <w:rsid w:val="001A3903"/>
    <w:rsid w:val="001A3B42"/>
    <w:rsid w:val="001A477A"/>
    <w:rsid w:val="001A4889"/>
    <w:rsid w:val="001A50CC"/>
    <w:rsid w:val="001B0DAA"/>
    <w:rsid w:val="001B0EBF"/>
    <w:rsid w:val="001B0FAE"/>
    <w:rsid w:val="001B2286"/>
    <w:rsid w:val="001B25BA"/>
    <w:rsid w:val="001B2745"/>
    <w:rsid w:val="001B27C1"/>
    <w:rsid w:val="001B4C4D"/>
    <w:rsid w:val="001B5BFC"/>
    <w:rsid w:val="001B5E07"/>
    <w:rsid w:val="001B62E9"/>
    <w:rsid w:val="001B6BC4"/>
    <w:rsid w:val="001C09FE"/>
    <w:rsid w:val="001C1B57"/>
    <w:rsid w:val="001C241F"/>
    <w:rsid w:val="001C3211"/>
    <w:rsid w:val="001C3EEA"/>
    <w:rsid w:val="001C6225"/>
    <w:rsid w:val="001C795E"/>
    <w:rsid w:val="001C7F8E"/>
    <w:rsid w:val="001D0A7B"/>
    <w:rsid w:val="001D0E73"/>
    <w:rsid w:val="001D1307"/>
    <w:rsid w:val="001D160E"/>
    <w:rsid w:val="001D179C"/>
    <w:rsid w:val="001D298A"/>
    <w:rsid w:val="001D3E71"/>
    <w:rsid w:val="001D53FC"/>
    <w:rsid w:val="001D54CB"/>
    <w:rsid w:val="001D5B5C"/>
    <w:rsid w:val="001D602A"/>
    <w:rsid w:val="001D7AD8"/>
    <w:rsid w:val="001E052C"/>
    <w:rsid w:val="001E0784"/>
    <w:rsid w:val="001E0F17"/>
    <w:rsid w:val="001E2232"/>
    <w:rsid w:val="001E262C"/>
    <w:rsid w:val="001E3CA7"/>
    <w:rsid w:val="001E4A30"/>
    <w:rsid w:val="001E506A"/>
    <w:rsid w:val="001E534C"/>
    <w:rsid w:val="001E67E3"/>
    <w:rsid w:val="001E6AFA"/>
    <w:rsid w:val="001E6F30"/>
    <w:rsid w:val="001E78EC"/>
    <w:rsid w:val="001E7CFB"/>
    <w:rsid w:val="001F0844"/>
    <w:rsid w:val="001F2A72"/>
    <w:rsid w:val="001F7255"/>
    <w:rsid w:val="00200409"/>
    <w:rsid w:val="00202681"/>
    <w:rsid w:val="00202A0D"/>
    <w:rsid w:val="002036E9"/>
    <w:rsid w:val="002048E7"/>
    <w:rsid w:val="00205A2D"/>
    <w:rsid w:val="002060CC"/>
    <w:rsid w:val="00206CBE"/>
    <w:rsid w:val="00207119"/>
    <w:rsid w:val="0021001C"/>
    <w:rsid w:val="00210A03"/>
    <w:rsid w:val="00210A06"/>
    <w:rsid w:val="00211319"/>
    <w:rsid w:val="00212BE2"/>
    <w:rsid w:val="00220073"/>
    <w:rsid w:val="00220A18"/>
    <w:rsid w:val="002214B1"/>
    <w:rsid w:val="002217B7"/>
    <w:rsid w:val="002237AD"/>
    <w:rsid w:val="002239E0"/>
    <w:rsid w:val="00225BCB"/>
    <w:rsid w:val="00226C94"/>
    <w:rsid w:val="00227C39"/>
    <w:rsid w:val="002302D0"/>
    <w:rsid w:val="0023041F"/>
    <w:rsid w:val="00230CBF"/>
    <w:rsid w:val="00231AFA"/>
    <w:rsid w:val="002327CF"/>
    <w:rsid w:val="00233087"/>
    <w:rsid w:val="0023409B"/>
    <w:rsid w:val="0023416C"/>
    <w:rsid w:val="00234526"/>
    <w:rsid w:val="00235445"/>
    <w:rsid w:val="0023610D"/>
    <w:rsid w:val="0023724E"/>
    <w:rsid w:val="00237D47"/>
    <w:rsid w:val="00240825"/>
    <w:rsid w:val="0024092F"/>
    <w:rsid w:val="002413E9"/>
    <w:rsid w:val="002422F2"/>
    <w:rsid w:val="00242823"/>
    <w:rsid w:val="002429AA"/>
    <w:rsid w:val="00242E89"/>
    <w:rsid w:val="00244494"/>
    <w:rsid w:val="002448AC"/>
    <w:rsid w:val="00244DCD"/>
    <w:rsid w:val="00245C41"/>
    <w:rsid w:val="0024682D"/>
    <w:rsid w:val="0024745D"/>
    <w:rsid w:val="00250029"/>
    <w:rsid w:val="00251620"/>
    <w:rsid w:val="00251C1D"/>
    <w:rsid w:val="002522B2"/>
    <w:rsid w:val="00253848"/>
    <w:rsid w:val="00254A55"/>
    <w:rsid w:val="002551F5"/>
    <w:rsid w:val="0025563D"/>
    <w:rsid w:val="00256354"/>
    <w:rsid w:val="002570BD"/>
    <w:rsid w:val="00257F4C"/>
    <w:rsid w:val="002601BF"/>
    <w:rsid w:val="00260520"/>
    <w:rsid w:val="00260DDA"/>
    <w:rsid w:val="00261F40"/>
    <w:rsid w:val="0026222A"/>
    <w:rsid w:val="00262B05"/>
    <w:rsid w:val="0026301A"/>
    <w:rsid w:val="00263BC5"/>
    <w:rsid w:val="00264451"/>
    <w:rsid w:val="00265749"/>
    <w:rsid w:val="002661BC"/>
    <w:rsid w:val="00267715"/>
    <w:rsid w:val="00267918"/>
    <w:rsid w:val="00267AB1"/>
    <w:rsid w:val="00270F82"/>
    <w:rsid w:val="00271810"/>
    <w:rsid w:val="0027188F"/>
    <w:rsid w:val="00271907"/>
    <w:rsid w:val="002726B2"/>
    <w:rsid w:val="002727D9"/>
    <w:rsid w:val="002737F5"/>
    <w:rsid w:val="00273B34"/>
    <w:rsid w:val="002747AC"/>
    <w:rsid w:val="00274D50"/>
    <w:rsid w:val="00276533"/>
    <w:rsid w:val="00277802"/>
    <w:rsid w:val="00277B40"/>
    <w:rsid w:val="00277BDA"/>
    <w:rsid w:val="00277FA8"/>
    <w:rsid w:val="002803E1"/>
    <w:rsid w:val="00280722"/>
    <w:rsid w:val="0028106C"/>
    <w:rsid w:val="00282AAA"/>
    <w:rsid w:val="00282C63"/>
    <w:rsid w:val="00283887"/>
    <w:rsid w:val="00284C54"/>
    <w:rsid w:val="00285FC8"/>
    <w:rsid w:val="00286A5D"/>
    <w:rsid w:val="00286F13"/>
    <w:rsid w:val="0029061F"/>
    <w:rsid w:val="002919DF"/>
    <w:rsid w:val="00291A88"/>
    <w:rsid w:val="002936C7"/>
    <w:rsid w:val="002938AE"/>
    <w:rsid w:val="00293973"/>
    <w:rsid w:val="00293A3C"/>
    <w:rsid w:val="0029455D"/>
    <w:rsid w:val="0029512E"/>
    <w:rsid w:val="00295DD2"/>
    <w:rsid w:val="00296885"/>
    <w:rsid w:val="002977B8"/>
    <w:rsid w:val="002A039B"/>
    <w:rsid w:val="002A149E"/>
    <w:rsid w:val="002A2261"/>
    <w:rsid w:val="002A24E3"/>
    <w:rsid w:val="002A2C61"/>
    <w:rsid w:val="002A2EE1"/>
    <w:rsid w:val="002A34DF"/>
    <w:rsid w:val="002A35C4"/>
    <w:rsid w:val="002A4548"/>
    <w:rsid w:val="002A4FD2"/>
    <w:rsid w:val="002A6C07"/>
    <w:rsid w:val="002B0031"/>
    <w:rsid w:val="002B041B"/>
    <w:rsid w:val="002B05D8"/>
    <w:rsid w:val="002B0C09"/>
    <w:rsid w:val="002B1048"/>
    <w:rsid w:val="002B13D0"/>
    <w:rsid w:val="002B1615"/>
    <w:rsid w:val="002B2272"/>
    <w:rsid w:val="002B2AFC"/>
    <w:rsid w:val="002B3086"/>
    <w:rsid w:val="002B3A4C"/>
    <w:rsid w:val="002B48EE"/>
    <w:rsid w:val="002B4F5D"/>
    <w:rsid w:val="002B50A1"/>
    <w:rsid w:val="002B5EB5"/>
    <w:rsid w:val="002B60B2"/>
    <w:rsid w:val="002B68BF"/>
    <w:rsid w:val="002B6A73"/>
    <w:rsid w:val="002B7BB7"/>
    <w:rsid w:val="002C113B"/>
    <w:rsid w:val="002C1FFF"/>
    <w:rsid w:val="002C2568"/>
    <w:rsid w:val="002C3223"/>
    <w:rsid w:val="002C35B8"/>
    <w:rsid w:val="002C3DC6"/>
    <w:rsid w:val="002C4847"/>
    <w:rsid w:val="002C5A1F"/>
    <w:rsid w:val="002C5EBA"/>
    <w:rsid w:val="002C6100"/>
    <w:rsid w:val="002C614E"/>
    <w:rsid w:val="002C621C"/>
    <w:rsid w:val="002C76C1"/>
    <w:rsid w:val="002D002A"/>
    <w:rsid w:val="002D049F"/>
    <w:rsid w:val="002D189A"/>
    <w:rsid w:val="002D196B"/>
    <w:rsid w:val="002D1CE1"/>
    <w:rsid w:val="002D1FF6"/>
    <w:rsid w:val="002D3325"/>
    <w:rsid w:val="002D341D"/>
    <w:rsid w:val="002D43CF"/>
    <w:rsid w:val="002D46C7"/>
    <w:rsid w:val="002D4F84"/>
    <w:rsid w:val="002D5066"/>
    <w:rsid w:val="002D559C"/>
    <w:rsid w:val="002D5AE6"/>
    <w:rsid w:val="002D74A0"/>
    <w:rsid w:val="002D7AE9"/>
    <w:rsid w:val="002D7BB6"/>
    <w:rsid w:val="002E188D"/>
    <w:rsid w:val="002E1DFD"/>
    <w:rsid w:val="002E2707"/>
    <w:rsid w:val="002E27B5"/>
    <w:rsid w:val="002E2D2A"/>
    <w:rsid w:val="002E31C3"/>
    <w:rsid w:val="002E3934"/>
    <w:rsid w:val="002E4396"/>
    <w:rsid w:val="002E45C8"/>
    <w:rsid w:val="002E46AF"/>
    <w:rsid w:val="002E4894"/>
    <w:rsid w:val="002E493F"/>
    <w:rsid w:val="002E4F45"/>
    <w:rsid w:val="002E5539"/>
    <w:rsid w:val="002E7A92"/>
    <w:rsid w:val="002E7CA7"/>
    <w:rsid w:val="002F0117"/>
    <w:rsid w:val="002F066A"/>
    <w:rsid w:val="002F076B"/>
    <w:rsid w:val="002F202F"/>
    <w:rsid w:val="002F2E51"/>
    <w:rsid w:val="002F5138"/>
    <w:rsid w:val="002F53E4"/>
    <w:rsid w:val="002F609E"/>
    <w:rsid w:val="002F6465"/>
    <w:rsid w:val="002F79D5"/>
    <w:rsid w:val="00300877"/>
    <w:rsid w:val="0030179C"/>
    <w:rsid w:val="003019A4"/>
    <w:rsid w:val="00301F55"/>
    <w:rsid w:val="003026AB"/>
    <w:rsid w:val="003029F7"/>
    <w:rsid w:val="00303536"/>
    <w:rsid w:val="0030476B"/>
    <w:rsid w:val="00304EC8"/>
    <w:rsid w:val="003054B7"/>
    <w:rsid w:val="00305E71"/>
    <w:rsid w:val="00307250"/>
    <w:rsid w:val="003079B5"/>
    <w:rsid w:val="00307E5B"/>
    <w:rsid w:val="003103F9"/>
    <w:rsid w:val="00310DF9"/>
    <w:rsid w:val="003133A1"/>
    <w:rsid w:val="00313C3A"/>
    <w:rsid w:val="003141EB"/>
    <w:rsid w:val="003150DF"/>
    <w:rsid w:val="00315645"/>
    <w:rsid w:val="00315D7E"/>
    <w:rsid w:val="00317FF4"/>
    <w:rsid w:val="0032015A"/>
    <w:rsid w:val="00320B12"/>
    <w:rsid w:val="00322E97"/>
    <w:rsid w:val="003230C7"/>
    <w:rsid w:val="0032398C"/>
    <w:rsid w:val="003250C7"/>
    <w:rsid w:val="003269A4"/>
    <w:rsid w:val="00327047"/>
    <w:rsid w:val="00327192"/>
    <w:rsid w:val="0033032A"/>
    <w:rsid w:val="00330CDB"/>
    <w:rsid w:val="003313DA"/>
    <w:rsid w:val="0033224E"/>
    <w:rsid w:val="00333D3E"/>
    <w:rsid w:val="00333EB4"/>
    <w:rsid w:val="0033426B"/>
    <w:rsid w:val="00334690"/>
    <w:rsid w:val="003358D3"/>
    <w:rsid w:val="00335BFE"/>
    <w:rsid w:val="00336505"/>
    <w:rsid w:val="00337502"/>
    <w:rsid w:val="00337D26"/>
    <w:rsid w:val="003404D7"/>
    <w:rsid w:val="0034103F"/>
    <w:rsid w:val="00341F75"/>
    <w:rsid w:val="00343653"/>
    <w:rsid w:val="0034390E"/>
    <w:rsid w:val="003446DD"/>
    <w:rsid w:val="00344941"/>
    <w:rsid w:val="00344EA0"/>
    <w:rsid w:val="0034514F"/>
    <w:rsid w:val="00345F38"/>
    <w:rsid w:val="00346676"/>
    <w:rsid w:val="00346BB5"/>
    <w:rsid w:val="00346DEC"/>
    <w:rsid w:val="00347A4C"/>
    <w:rsid w:val="003508A2"/>
    <w:rsid w:val="0035124F"/>
    <w:rsid w:val="00352516"/>
    <w:rsid w:val="003531B7"/>
    <w:rsid w:val="00353718"/>
    <w:rsid w:val="003541FA"/>
    <w:rsid w:val="003571F1"/>
    <w:rsid w:val="0036010C"/>
    <w:rsid w:val="003608C3"/>
    <w:rsid w:val="003625DA"/>
    <w:rsid w:val="00363782"/>
    <w:rsid w:val="00364D3F"/>
    <w:rsid w:val="00364E32"/>
    <w:rsid w:val="003653BB"/>
    <w:rsid w:val="00365426"/>
    <w:rsid w:val="00365A7F"/>
    <w:rsid w:val="00365AD1"/>
    <w:rsid w:val="00366B1D"/>
    <w:rsid w:val="0036791B"/>
    <w:rsid w:val="00367A42"/>
    <w:rsid w:val="00370767"/>
    <w:rsid w:val="003707B0"/>
    <w:rsid w:val="00370CAC"/>
    <w:rsid w:val="0037228D"/>
    <w:rsid w:val="003725EB"/>
    <w:rsid w:val="003726CE"/>
    <w:rsid w:val="00372DBA"/>
    <w:rsid w:val="00372F13"/>
    <w:rsid w:val="00372FF4"/>
    <w:rsid w:val="00374D00"/>
    <w:rsid w:val="00375894"/>
    <w:rsid w:val="00375AFA"/>
    <w:rsid w:val="003763B7"/>
    <w:rsid w:val="0037686A"/>
    <w:rsid w:val="0037715D"/>
    <w:rsid w:val="00377FAD"/>
    <w:rsid w:val="003801D9"/>
    <w:rsid w:val="003807C5"/>
    <w:rsid w:val="00381C0D"/>
    <w:rsid w:val="00381C55"/>
    <w:rsid w:val="0038240D"/>
    <w:rsid w:val="003824B7"/>
    <w:rsid w:val="003825CE"/>
    <w:rsid w:val="00382D99"/>
    <w:rsid w:val="0038456E"/>
    <w:rsid w:val="0038522A"/>
    <w:rsid w:val="00385622"/>
    <w:rsid w:val="003856E7"/>
    <w:rsid w:val="003857BB"/>
    <w:rsid w:val="003859B3"/>
    <w:rsid w:val="003864CD"/>
    <w:rsid w:val="0038737B"/>
    <w:rsid w:val="00387D9E"/>
    <w:rsid w:val="003906B9"/>
    <w:rsid w:val="00392128"/>
    <w:rsid w:val="00392DED"/>
    <w:rsid w:val="0039376D"/>
    <w:rsid w:val="003940BD"/>
    <w:rsid w:val="00394A50"/>
    <w:rsid w:val="003955E9"/>
    <w:rsid w:val="00396D8D"/>
    <w:rsid w:val="00396F0C"/>
    <w:rsid w:val="0039758E"/>
    <w:rsid w:val="003A0353"/>
    <w:rsid w:val="003A040B"/>
    <w:rsid w:val="003A0DBB"/>
    <w:rsid w:val="003A109F"/>
    <w:rsid w:val="003A22FC"/>
    <w:rsid w:val="003A2BE1"/>
    <w:rsid w:val="003A2F47"/>
    <w:rsid w:val="003A4341"/>
    <w:rsid w:val="003A4708"/>
    <w:rsid w:val="003A5365"/>
    <w:rsid w:val="003A5918"/>
    <w:rsid w:val="003A6022"/>
    <w:rsid w:val="003A62D3"/>
    <w:rsid w:val="003A6B47"/>
    <w:rsid w:val="003A6DB8"/>
    <w:rsid w:val="003B0403"/>
    <w:rsid w:val="003B167D"/>
    <w:rsid w:val="003B2667"/>
    <w:rsid w:val="003B371D"/>
    <w:rsid w:val="003B397A"/>
    <w:rsid w:val="003B49DB"/>
    <w:rsid w:val="003B558F"/>
    <w:rsid w:val="003B6CD1"/>
    <w:rsid w:val="003C0045"/>
    <w:rsid w:val="003C0345"/>
    <w:rsid w:val="003C0659"/>
    <w:rsid w:val="003C224E"/>
    <w:rsid w:val="003C28DD"/>
    <w:rsid w:val="003C3E5D"/>
    <w:rsid w:val="003C3FE8"/>
    <w:rsid w:val="003C5142"/>
    <w:rsid w:val="003C6890"/>
    <w:rsid w:val="003C7D28"/>
    <w:rsid w:val="003C7DD5"/>
    <w:rsid w:val="003C7F05"/>
    <w:rsid w:val="003D064F"/>
    <w:rsid w:val="003D0AAA"/>
    <w:rsid w:val="003D1EA6"/>
    <w:rsid w:val="003D1FB8"/>
    <w:rsid w:val="003D3D1C"/>
    <w:rsid w:val="003D3E8E"/>
    <w:rsid w:val="003D43CD"/>
    <w:rsid w:val="003D60FF"/>
    <w:rsid w:val="003E2F0C"/>
    <w:rsid w:val="003E3500"/>
    <w:rsid w:val="003E3833"/>
    <w:rsid w:val="003E44BE"/>
    <w:rsid w:val="003E49D3"/>
    <w:rsid w:val="003E4BF8"/>
    <w:rsid w:val="003E4DDE"/>
    <w:rsid w:val="003E7B0B"/>
    <w:rsid w:val="003F0403"/>
    <w:rsid w:val="003F0BAD"/>
    <w:rsid w:val="003F1767"/>
    <w:rsid w:val="003F1E36"/>
    <w:rsid w:val="003F3463"/>
    <w:rsid w:val="003F3530"/>
    <w:rsid w:val="003F50F1"/>
    <w:rsid w:val="003F5151"/>
    <w:rsid w:val="003F612F"/>
    <w:rsid w:val="003F6777"/>
    <w:rsid w:val="00400EBA"/>
    <w:rsid w:val="00401685"/>
    <w:rsid w:val="0040259E"/>
    <w:rsid w:val="00402607"/>
    <w:rsid w:val="004026DC"/>
    <w:rsid w:val="004027B4"/>
    <w:rsid w:val="00402BAB"/>
    <w:rsid w:val="00403534"/>
    <w:rsid w:val="00403C6E"/>
    <w:rsid w:val="004048A7"/>
    <w:rsid w:val="00405AD1"/>
    <w:rsid w:val="00406720"/>
    <w:rsid w:val="004069C3"/>
    <w:rsid w:val="00407658"/>
    <w:rsid w:val="00407ACB"/>
    <w:rsid w:val="00407AEA"/>
    <w:rsid w:val="00407E5B"/>
    <w:rsid w:val="00411616"/>
    <w:rsid w:val="004124DA"/>
    <w:rsid w:val="004125FB"/>
    <w:rsid w:val="00412A16"/>
    <w:rsid w:val="00412A78"/>
    <w:rsid w:val="00412CAF"/>
    <w:rsid w:val="00413475"/>
    <w:rsid w:val="0041349F"/>
    <w:rsid w:val="00415151"/>
    <w:rsid w:val="00415458"/>
    <w:rsid w:val="00415E4C"/>
    <w:rsid w:val="00422E92"/>
    <w:rsid w:val="00423998"/>
    <w:rsid w:val="00424649"/>
    <w:rsid w:val="004267DC"/>
    <w:rsid w:val="00427400"/>
    <w:rsid w:val="004305B1"/>
    <w:rsid w:val="00431047"/>
    <w:rsid w:val="004312BF"/>
    <w:rsid w:val="00431E09"/>
    <w:rsid w:val="004322DF"/>
    <w:rsid w:val="004332E7"/>
    <w:rsid w:val="00433DE0"/>
    <w:rsid w:val="00434569"/>
    <w:rsid w:val="00434F43"/>
    <w:rsid w:val="0043569B"/>
    <w:rsid w:val="004362FE"/>
    <w:rsid w:val="0043667C"/>
    <w:rsid w:val="004366CF"/>
    <w:rsid w:val="004369D2"/>
    <w:rsid w:val="00436BDB"/>
    <w:rsid w:val="004377F8"/>
    <w:rsid w:val="00442073"/>
    <w:rsid w:val="004428D1"/>
    <w:rsid w:val="00442A95"/>
    <w:rsid w:val="00442BFC"/>
    <w:rsid w:val="00442E71"/>
    <w:rsid w:val="004436CE"/>
    <w:rsid w:val="00444E1D"/>
    <w:rsid w:val="0044560A"/>
    <w:rsid w:val="004457D0"/>
    <w:rsid w:val="00445802"/>
    <w:rsid w:val="00446E42"/>
    <w:rsid w:val="004470BA"/>
    <w:rsid w:val="0044712E"/>
    <w:rsid w:val="004473EF"/>
    <w:rsid w:val="004474E2"/>
    <w:rsid w:val="00447F2A"/>
    <w:rsid w:val="00451776"/>
    <w:rsid w:val="00451E3C"/>
    <w:rsid w:val="004525C2"/>
    <w:rsid w:val="00452B1F"/>
    <w:rsid w:val="00452B69"/>
    <w:rsid w:val="00453257"/>
    <w:rsid w:val="00454205"/>
    <w:rsid w:val="0045433A"/>
    <w:rsid w:val="0045568B"/>
    <w:rsid w:val="004560B8"/>
    <w:rsid w:val="004569C6"/>
    <w:rsid w:val="00457091"/>
    <w:rsid w:val="0045721F"/>
    <w:rsid w:val="0045790D"/>
    <w:rsid w:val="00460664"/>
    <w:rsid w:val="004618F0"/>
    <w:rsid w:val="00461D01"/>
    <w:rsid w:val="00463F84"/>
    <w:rsid w:val="004647A4"/>
    <w:rsid w:val="004667FB"/>
    <w:rsid w:val="00466B16"/>
    <w:rsid w:val="00466BBB"/>
    <w:rsid w:val="004676AA"/>
    <w:rsid w:val="00467CB1"/>
    <w:rsid w:val="00470387"/>
    <w:rsid w:val="00471F68"/>
    <w:rsid w:val="004729D7"/>
    <w:rsid w:val="00472B4A"/>
    <w:rsid w:val="00473681"/>
    <w:rsid w:val="004737DE"/>
    <w:rsid w:val="00474AF4"/>
    <w:rsid w:val="00474ECD"/>
    <w:rsid w:val="004753C5"/>
    <w:rsid w:val="00475A8C"/>
    <w:rsid w:val="0047607A"/>
    <w:rsid w:val="00476EA6"/>
    <w:rsid w:val="0047796D"/>
    <w:rsid w:val="004779EA"/>
    <w:rsid w:val="00482148"/>
    <w:rsid w:val="00482C24"/>
    <w:rsid w:val="00483631"/>
    <w:rsid w:val="004837FB"/>
    <w:rsid w:val="00483F69"/>
    <w:rsid w:val="004846B3"/>
    <w:rsid w:val="004850EE"/>
    <w:rsid w:val="00485E29"/>
    <w:rsid w:val="00485F73"/>
    <w:rsid w:val="00486112"/>
    <w:rsid w:val="004867F3"/>
    <w:rsid w:val="00487146"/>
    <w:rsid w:val="00487421"/>
    <w:rsid w:val="004874F7"/>
    <w:rsid w:val="00487B53"/>
    <w:rsid w:val="00487B5A"/>
    <w:rsid w:val="004915E7"/>
    <w:rsid w:val="00492268"/>
    <w:rsid w:val="0049393A"/>
    <w:rsid w:val="00493968"/>
    <w:rsid w:val="004975B8"/>
    <w:rsid w:val="00497AC4"/>
    <w:rsid w:val="004A00B1"/>
    <w:rsid w:val="004A07A5"/>
    <w:rsid w:val="004A1102"/>
    <w:rsid w:val="004A1716"/>
    <w:rsid w:val="004A1BFD"/>
    <w:rsid w:val="004A1D8A"/>
    <w:rsid w:val="004A1DE0"/>
    <w:rsid w:val="004A2371"/>
    <w:rsid w:val="004A2F4B"/>
    <w:rsid w:val="004A315C"/>
    <w:rsid w:val="004A3B1A"/>
    <w:rsid w:val="004A3B8A"/>
    <w:rsid w:val="004A4065"/>
    <w:rsid w:val="004A40B0"/>
    <w:rsid w:val="004A4184"/>
    <w:rsid w:val="004A4335"/>
    <w:rsid w:val="004A4454"/>
    <w:rsid w:val="004A4699"/>
    <w:rsid w:val="004A5E24"/>
    <w:rsid w:val="004A6A4C"/>
    <w:rsid w:val="004A6B83"/>
    <w:rsid w:val="004A6CF8"/>
    <w:rsid w:val="004A766D"/>
    <w:rsid w:val="004B00BB"/>
    <w:rsid w:val="004B0A81"/>
    <w:rsid w:val="004B0FA0"/>
    <w:rsid w:val="004B1EF9"/>
    <w:rsid w:val="004B2039"/>
    <w:rsid w:val="004B2EAB"/>
    <w:rsid w:val="004B2FA5"/>
    <w:rsid w:val="004B430E"/>
    <w:rsid w:val="004B4762"/>
    <w:rsid w:val="004B4C8D"/>
    <w:rsid w:val="004B5865"/>
    <w:rsid w:val="004B5AE1"/>
    <w:rsid w:val="004B5B21"/>
    <w:rsid w:val="004B5F19"/>
    <w:rsid w:val="004B668A"/>
    <w:rsid w:val="004B749B"/>
    <w:rsid w:val="004B78FF"/>
    <w:rsid w:val="004C07C1"/>
    <w:rsid w:val="004C0A01"/>
    <w:rsid w:val="004C1148"/>
    <w:rsid w:val="004C117A"/>
    <w:rsid w:val="004C1348"/>
    <w:rsid w:val="004C162A"/>
    <w:rsid w:val="004C235C"/>
    <w:rsid w:val="004C3970"/>
    <w:rsid w:val="004C3F94"/>
    <w:rsid w:val="004C5395"/>
    <w:rsid w:val="004C76EB"/>
    <w:rsid w:val="004C778D"/>
    <w:rsid w:val="004C7D08"/>
    <w:rsid w:val="004D15B5"/>
    <w:rsid w:val="004D1AC3"/>
    <w:rsid w:val="004D32DB"/>
    <w:rsid w:val="004D33F8"/>
    <w:rsid w:val="004D412E"/>
    <w:rsid w:val="004D41DB"/>
    <w:rsid w:val="004D49ED"/>
    <w:rsid w:val="004D4B1D"/>
    <w:rsid w:val="004D5E48"/>
    <w:rsid w:val="004D5F2E"/>
    <w:rsid w:val="004D6174"/>
    <w:rsid w:val="004E05D9"/>
    <w:rsid w:val="004E08C8"/>
    <w:rsid w:val="004E138F"/>
    <w:rsid w:val="004E216E"/>
    <w:rsid w:val="004E31BB"/>
    <w:rsid w:val="004E3445"/>
    <w:rsid w:val="004E360A"/>
    <w:rsid w:val="004E4785"/>
    <w:rsid w:val="004E48BD"/>
    <w:rsid w:val="004E4AC9"/>
    <w:rsid w:val="004E5374"/>
    <w:rsid w:val="004E5A25"/>
    <w:rsid w:val="004E66D8"/>
    <w:rsid w:val="004E6EC4"/>
    <w:rsid w:val="004E7FA3"/>
    <w:rsid w:val="004F070E"/>
    <w:rsid w:val="004F0907"/>
    <w:rsid w:val="004F0EE8"/>
    <w:rsid w:val="004F1F2A"/>
    <w:rsid w:val="004F2428"/>
    <w:rsid w:val="004F247B"/>
    <w:rsid w:val="004F29F6"/>
    <w:rsid w:val="004F3CAE"/>
    <w:rsid w:val="004F4EF5"/>
    <w:rsid w:val="004F511E"/>
    <w:rsid w:val="004F542B"/>
    <w:rsid w:val="004F641A"/>
    <w:rsid w:val="004F7024"/>
    <w:rsid w:val="004F7146"/>
    <w:rsid w:val="0050094D"/>
    <w:rsid w:val="005010F4"/>
    <w:rsid w:val="005026FA"/>
    <w:rsid w:val="00502C94"/>
    <w:rsid w:val="00502F9E"/>
    <w:rsid w:val="005034BB"/>
    <w:rsid w:val="00503D70"/>
    <w:rsid w:val="00504269"/>
    <w:rsid w:val="0050438E"/>
    <w:rsid w:val="00504B46"/>
    <w:rsid w:val="0050502D"/>
    <w:rsid w:val="005055F2"/>
    <w:rsid w:val="00505B2A"/>
    <w:rsid w:val="0050722D"/>
    <w:rsid w:val="005075B7"/>
    <w:rsid w:val="00507FE0"/>
    <w:rsid w:val="00511701"/>
    <w:rsid w:val="00511810"/>
    <w:rsid w:val="005118F6"/>
    <w:rsid w:val="005135DF"/>
    <w:rsid w:val="00513600"/>
    <w:rsid w:val="00513686"/>
    <w:rsid w:val="00513B8F"/>
    <w:rsid w:val="00513F32"/>
    <w:rsid w:val="00514B4E"/>
    <w:rsid w:val="00515D57"/>
    <w:rsid w:val="00516148"/>
    <w:rsid w:val="00520521"/>
    <w:rsid w:val="00520989"/>
    <w:rsid w:val="00520D8D"/>
    <w:rsid w:val="00522D32"/>
    <w:rsid w:val="005243DB"/>
    <w:rsid w:val="00525147"/>
    <w:rsid w:val="00525B30"/>
    <w:rsid w:val="00525E6C"/>
    <w:rsid w:val="005261DF"/>
    <w:rsid w:val="0052716E"/>
    <w:rsid w:val="0052737C"/>
    <w:rsid w:val="00527C0F"/>
    <w:rsid w:val="00530BE6"/>
    <w:rsid w:val="0053130E"/>
    <w:rsid w:val="00531825"/>
    <w:rsid w:val="00531D18"/>
    <w:rsid w:val="0053336D"/>
    <w:rsid w:val="0053370A"/>
    <w:rsid w:val="00534264"/>
    <w:rsid w:val="0053458D"/>
    <w:rsid w:val="005351DF"/>
    <w:rsid w:val="00535C49"/>
    <w:rsid w:val="0053645C"/>
    <w:rsid w:val="0053710A"/>
    <w:rsid w:val="00537DCC"/>
    <w:rsid w:val="0054123E"/>
    <w:rsid w:val="00541388"/>
    <w:rsid w:val="00541A0B"/>
    <w:rsid w:val="005421D0"/>
    <w:rsid w:val="00542826"/>
    <w:rsid w:val="0054293B"/>
    <w:rsid w:val="00542BED"/>
    <w:rsid w:val="00542EF0"/>
    <w:rsid w:val="00542F8F"/>
    <w:rsid w:val="005432FF"/>
    <w:rsid w:val="00543E26"/>
    <w:rsid w:val="00544776"/>
    <w:rsid w:val="005448FD"/>
    <w:rsid w:val="005457B7"/>
    <w:rsid w:val="00546B70"/>
    <w:rsid w:val="00547689"/>
    <w:rsid w:val="00550680"/>
    <w:rsid w:val="0055095F"/>
    <w:rsid w:val="00550F6E"/>
    <w:rsid w:val="00551AB7"/>
    <w:rsid w:val="00551E0F"/>
    <w:rsid w:val="00551E9A"/>
    <w:rsid w:val="005523FB"/>
    <w:rsid w:val="005533DC"/>
    <w:rsid w:val="00553755"/>
    <w:rsid w:val="0055392C"/>
    <w:rsid w:val="0055462E"/>
    <w:rsid w:val="00554C2B"/>
    <w:rsid w:val="00555714"/>
    <w:rsid w:val="00555B96"/>
    <w:rsid w:val="00556006"/>
    <w:rsid w:val="00556485"/>
    <w:rsid w:val="005565F4"/>
    <w:rsid w:val="00556934"/>
    <w:rsid w:val="00557656"/>
    <w:rsid w:val="005578C6"/>
    <w:rsid w:val="00557D11"/>
    <w:rsid w:val="00560D84"/>
    <w:rsid w:val="0056199B"/>
    <w:rsid w:val="00562B5A"/>
    <w:rsid w:val="00562F3D"/>
    <w:rsid w:val="00563FBA"/>
    <w:rsid w:val="00564726"/>
    <w:rsid w:val="005649F4"/>
    <w:rsid w:val="00565060"/>
    <w:rsid w:val="00566D8F"/>
    <w:rsid w:val="00567D58"/>
    <w:rsid w:val="0057041B"/>
    <w:rsid w:val="00572465"/>
    <w:rsid w:val="005747F4"/>
    <w:rsid w:val="00574A44"/>
    <w:rsid w:val="005753B9"/>
    <w:rsid w:val="00580489"/>
    <w:rsid w:val="0058055F"/>
    <w:rsid w:val="00580775"/>
    <w:rsid w:val="00580D7C"/>
    <w:rsid w:val="00580F95"/>
    <w:rsid w:val="00581DD4"/>
    <w:rsid w:val="00581F4B"/>
    <w:rsid w:val="005843A7"/>
    <w:rsid w:val="0058464B"/>
    <w:rsid w:val="00584ACA"/>
    <w:rsid w:val="00585487"/>
    <w:rsid w:val="00585C57"/>
    <w:rsid w:val="00585EE9"/>
    <w:rsid w:val="00586E64"/>
    <w:rsid w:val="005903B6"/>
    <w:rsid w:val="005906A7"/>
    <w:rsid w:val="00590BAF"/>
    <w:rsid w:val="0059186C"/>
    <w:rsid w:val="00593E57"/>
    <w:rsid w:val="00594CC4"/>
    <w:rsid w:val="00595499"/>
    <w:rsid w:val="0059776A"/>
    <w:rsid w:val="00597904"/>
    <w:rsid w:val="005A027F"/>
    <w:rsid w:val="005A182F"/>
    <w:rsid w:val="005A190E"/>
    <w:rsid w:val="005A255E"/>
    <w:rsid w:val="005A33F5"/>
    <w:rsid w:val="005A39C1"/>
    <w:rsid w:val="005A3E13"/>
    <w:rsid w:val="005A58F7"/>
    <w:rsid w:val="005A67D4"/>
    <w:rsid w:val="005A6DFE"/>
    <w:rsid w:val="005A70BA"/>
    <w:rsid w:val="005A7424"/>
    <w:rsid w:val="005B0057"/>
    <w:rsid w:val="005B0915"/>
    <w:rsid w:val="005B0B65"/>
    <w:rsid w:val="005B0E13"/>
    <w:rsid w:val="005B1086"/>
    <w:rsid w:val="005B1309"/>
    <w:rsid w:val="005B14CB"/>
    <w:rsid w:val="005B23C2"/>
    <w:rsid w:val="005B3B22"/>
    <w:rsid w:val="005B3D1D"/>
    <w:rsid w:val="005B4BB0"/>
    <w:rsid w:val="005B4BF3"/>
    <w:rsid w:val="005B51C3"/>
    <w:rsid w:val="005B557C"/>
    <w:rsid w:val="005B5AEA"/>
    <w:rsid w:val="005B5C8E"/>
    <w:rsid w:val="005B619D"/>
    <w:rsid w:val="005B6A19"/>
    <w:rsid w:val="005B6FD4"/>
    <w:rsid w:val="005C0D3B"/>
    <w:rsid w:val="005C1C17"/>
    <w:rsid w:val="005C32B2"/>
    <w:rsid w:val="005C3EB9"/>
    <w:rsid w:val="005C4D4F"/>
    <w:rsid w:val="005C5DFB"/>
    <w:rsid w:val="005D0350"/>
    <w:rsid w:val="005D0D25"/>
    <w:rsid w:val="005D105A"/>
    <w:rsid w:val="005D15C6"/>
    <w:rsid w:val="005D2289"/>
    <w:rsid w:val="005D22A4"/>
    <w:rsid w:val="005D23ED"/>
    <w:rsid w:val="005D2DF8"/>
    <w:rsid w:val="005D3B86"/>
    <w:rsid w:val="005D4C1A"/>
    <w:rsid w:val="005D57B4"/>
    <w:rsid w:val="005D5AB4"/>
    <w:rsid w:val="005D5CD9"/>
    <w:rsid w:val="005D641D"/>
    <w:rsid w:val="005D6AD8"/>
    <w:rsid w:val="005D7BE9"/>
    <w:rsid w:val="005E1186"/>
    <w:rsid w:val="005E149B"/>
    <w:rsid w:val="005E196C"/>
    <w:rsid w:val="005E1E02"/>
    <w:rsid w:val="005E1F95"/>
    <w:rsid w:val="005E28EE"/>
    <w:rsid w:val="005E2CBE"/>
    <w:rsid w:val="005E3C7D"/>
    <w:rsid w:val="005E3DC7"/>
    <w:rsid w:val="005E3F98"/>
    <w:rsid w:val="005E432F"/>
    <w:rsid w:val="005E4B02"/>
    <w:rsid w:val="005E4FF3"/>
    <w:rsid w:val="005E58D6"/>
    <w:rsid w:val="005E63CE"/>
    <w:rsid w:val="005E6C83"/>
    <w:rsid w:val="005F0762"/>
    <w:rsid w:val="005F20B0"/>
    <w:rsid w:val="005F2A8D"/>
    <w:rsid w:val="005F2CDF"/>
    <w:rsid w:val="005F453F"/>
    <w:rsid w:val="005F4C51"/>
    <w:rsid w:val="005F59C4"/>
    <w:rsid w:val="005F5A7C"/>
    <w:rsid w:val="005F5E8B"/>
    <w:rsid w:val="005F6DF5"/>
    <w:rsid w:val="0060092B"/>
    <w:rsid w:val="00600B5B"/>
    <w:rsid w:val="00600CBD"/>
    <w:rsid w:val="00600DFB"/>
    <w:rsid w:val="00603A0A"/>
    <w:rsid w:val="00604559"/>
    <w:rsid w:val="006050CA"/>
    <w:rsid w:val="00605445"/>
    <w:rsid w:val="00605F9A"/>
    <w:rsid w:val="00606108"/>
    <w:rsid w:val="00606A72"/>
    <w:rsid w:val="006070FF"/>
    <w:rsid w:val="006077D2"/>
    <w:rsid w:val="00610309"/>
    <w:rsid w:val="006104F0"/>
    <w:rsid w:val="00610592"/>
    <w:rsid w:val="00610D15"/>
    <w:rsid w:val="00611C72"/>
    <w:rsid w:val="00611F64"/>
    <w:rsid w:val="0061356F"/>
    <w:rsid w:val="00613D60"/>
    <w:rsid w:val="00615573"/>
    <w:rsid w:val="006156F6"/>
    <w:rsid w:val="00615878"/>
    <w:rsid w:val="0061741B"/>
    <w:rsid w:val="006177D6"/>
    <w:rsid w:val="00621088"/>
    <w:rsid w:val="006213F8"/>
    <w:rsid w:val="00622131"/>
    <w:rsid w:val="00622A71"/>
    <w:rsid w:val="0062481C"/>
    <w:rsid w:val="00625761"/>
    <w:rsid w:val="006258DF"/>
    <w:rsid w:val="00625A4E"/>
    <w:rsid w:val="006264F7"/>
    <w:rsid w:val="00626A43"/>
    <w:rsid w:val="00627599"/>
    <w:rsid w:val="006303A8"/>
    <w:rsid w:val="006307FD"/>
    <w:rsid w:val="0063101C"/>
    <w:rsid w:val="006311E8"/>
    <w:rsid w:val="006313B3"/>
    <w:rsid w:val="00631C46"/>
    <w:rsid w:val="0063226A"/>
    <w:rsid w:val="00632815"/>
    <w:rsid w:val="00633286"/>
    <w:rsid w:val="00633F1D"/>
    <w:rsid w:val="00634CC2"/>
    <w:rsid w:val="00635C71"/>
    <w:rsid w:val="00637058"/>
    <w:rsid w:val="00637170"/>
    <w:rsid w:val="006371BD"/>
    <w:rsid w:val="006410BE"/>
    <w:rsid w:val="0064132D"/>
    <w:rsid w:val="006422F1"/>
    <w:rsid w:val="00642877"/>
    <w:rsid w:val="00642C9E"/>
    <w:rsid w:val="00645438"/>
    <w:rsid w:val="00646603"/>
    <w:rsid w:val="00646B28"/>
    <w:rsid w:val="00647741"/>
    <w:rsid w:val="00647962"/>
    <w:rsid w:val="00647CE3"/>
    <w:rsid w:val="00647FD5"/>
    <w:rsid w:val="0065069D"/>
    <w:rsid w:val="00651BA4"/>
    <w:rsid w:val="00652767"/>
    <w:rsid w:val="006527CE"/>
    <w:rsid w:val="00653A77"/>
    <w:rsid w:val="00654818"/>
    <w:rsid w:val="00655BFA"/>
    <w:rsid w:val="00656E1A"/>
    <w:rsid w:val="00660BF6"/>
    <w:rsid w:val="0066176F"/>
    <w:rsid w:val="00661B3B"/>
    <w:rsid w:val="00661C09"/>
    <w:rsid w:val="00661E2A"/>
    <w:rsid w:val="00662CF2"/>
    <w:rsid w:val="00663AF2"/>
    <w:rsid w:val="00663D4A"/>
    <w:rsid w:val="00664F0E"/>
    <w:rsid w:val="006654EC"/>
    <w:rsid w:val="00665AD7"/>
    <w:rsid w:val="00666973"/>
    <w:rsid w:val="00666D4C"/>
    <w:rsid w:val="006674D4"/>
    <w:rsid w:val="006678C4"/>
    <w:rsid w:val="006679FC"/>
    <w:rsid w:val="006703E5"/>
    <w:rsid w:val="006707E5"/>
    <w:rsid w:val="00671C0B"/>
    <w:rsid w:val="00671CC9"/>
    <w:rsid w:val="0067223E"/>
    <w:rsid w:val="00672D04"/>
    <w:rsid w:val="0067344B"/>
    <w:rsid w:val="00673F22"/>
    <w:rsid w:val="006747A1"/>
    <w:rsid w:val="006747FA"/>
    <w:rsid w:val="00674A53"/>
    <w:rsid w:val="00676822"/>
    <w:rsid w:val="00676AD5"/>
    <w:rsid w:val="006774C9"/>
    <w:rsid w:val="00677946"/>
    <w:rsid w:val="00677F10"/>
    <w:rsid w:val="0068204B"/>
    <w:rsid w:val="00683150"/>
    <w:rsid w:val="00684EBE"/>
    <w:rsid w:val="00685194"/>
    <w:rsid w:val="006859E2"/>
    <w:rsid w:val="00686E12"/>
    <w:rsid w:val="006905BC"/>
    <w:rsid w:val="006908E2"/>
    <w:rsid w:val="00691AA3"/>
    <w:rsid w:val="00692191"/>
    <w:rsid w:val="00692401"/>
    <w:rsid w:val="00692B2D"/>
    <w:rsid w:val="006937F7"/>
    <w:rsid w:val="0069395E"/>
    <w:rsid w:val="00693CEE"/>
    <w:rsid w:val="00693F92"/>
    <w:rsid w:val="0069420F"/>
    <w:rsid w:val="0069558A"/>
    <w:rsid w:val="006957B2"/>
    <w:rsid w:val="006961A6"/>
    <w:rsid w:val="00696F74"/>
    <w:rsid w:val="006A1073"/>
    <w:rsid w:val="006A12B5"/>
    <w:rsid w:val="006A12F8"/>
    <w:rsid w:val="006A152A"/>
    <w:rsid w:val="006A16D5"/>
    <w:rsid w:val="006A26B3"/>
    <w:rsid w:val="006A2728"/>
    <w:rsid w:val="006A2F55"/>
    <w:rsid w:val="006A4165"/>
    <w:rsid w:val="006A4F8C"/>
    <w:rsid w:val="006A5BB7"/>
    <w:rsid w:val="006A67B6"/>
    <w:rsid w:val="006B1141"/>
    <w:rsid w:val="006B138B"/>
    <w:rsid w:val="006B1B12"/>
    <w:rsid w:val="006B1C3D"/>
    <w:rsid w:val="006B2846"/>
    <w:rsid w:val="006B39C3"/>
    <w:rsid w:val="006B3DED"/>
    <w:rsid w:val="006B45E8"/>
    <w:rsid w:val="006B48E2"/>
    <w:rsid w:val="006B62BA"/>
    <w:rsid w:val="006B69B3"/>
    <w:rsid w:val="006B6A87"/>
    <w:rsid w:val="006B778B"/>
    <w:rsid w:val="006B78ED"/>
    <w:rsid w:val="006B78F0"/>
    <w:rsid w:val="006C0B46"/>
    <w:rsid w:val="006C3742"/>
    <w:rsid w:val="006C4CB3"/>
    <w:rsid w:val="006C4F19"/>
    <w:rsid w:val="006C5FE8"/>
    <w:rsid w:val="006C66EC"/>
    <w:rsid w:val="006C6DAE"/>
    <w:rsid w:val="006C6EC6"/>
    <w:rsid w:val="006C77C0"/>
    <w:rsid w:val="006D00D6"/>
    <w:rsid w:val="006D1346"/>
    <w:rsid w:val="006D39B7"/>
    <w:rsid w:val="006D4EFE"/>
    <w:rsid w:val="006D5136"/>
    <w:rsid w:val="006D541D"/>
    <w:rsid w:val="006D68D3"/>
    <w:rsid w:val="006D6B11"/>
    <w:rsid w:val="006D76AC"/>
    <w:rsid w:val="006E0BF5"/>
    <w:rsid w:val="006E0C7D"/>
    <w:rsid w:val="006E2AA4"/>
    <w:rsid w:val="006E2E95"/>
    <w:rsid w:val="006E30FA"/>
    <w:rsid w:val="006E314D"/>
    <w:rsid w:val="006E568E"/>
    <w:rsid w:val="006E5C17"/>
    <w:rsid w:val="006E6AEC"/>
    <w:rsid w:val="006E7272"/>
    <w:rsid w:val="006E75A4"/>
    <w:rsid w:val="006E7770"/>
    <w:rsid w:val="006E7A26"/>
    <w:rsid w:val="006F0476"/>
    <w:rsid w:val="006F0B82"/>
    <w:rsid w:val="006F1A36"/>
    <w:rsid w:val="006F2156"/>
    <w:rsid w:val="006F331F"/>
    <w:rsid w:val="006F36CC"/>
    <w:rsid w:val="006F4E94"/>
    <w:rsid w:val="006F518F"/>
    <w:rsid w:val="006F6CF8"/>
    <w:rsid w:val="006F74FB"/>
    <w:rsid w:val="007009C6"/>
    <w:rsid w:val="007017E9"/>
    <w:rsid w:val="007020C9"/>
    <w:rsid w:val="007032CC"/>
    <w:rsid w:val="00703630"/>
    <w:rsid w:val="00703C2F"/>
    <w:rsid w:val="0070729F"/>
    <w:rsid w:val="0070738E"/>
    <w:rsid w:val="007114D4"/>
    <w:rsid w:val="00712017"/>
    <w:rsid w:val="00712CB5"/>
    <w:rsid w:val="00712F34"/>
    <w:rsid w:val="00714084"/>
    <w:rsid w:val="0071447E"/>
    <w:rsid w:val="00716B03"/>
    <w:rsid w:val="00717512"/>
    <w:rsid w:val="007178BA"/>
    <w:rsid w:val="00717DE3"/>
    <w:rsid w:val="0072135C"/>
    <w:rsid w:val="007215B1"/>
    <w:rsid w:val="0072168A"/>
    <w:rsid w:val="0072310C"/>
    <w:rsid w:val="0072338E"/>
    <w:rsid w:val="00724F91"/>
    <w:rsid w:val="00725D31"/>
    <w:rsid w:val="00731489"/>
    <w:rsid w:val="00734992"/>
    <w:rsid w:val="00734BBF"/>
    <w:rsid w:val="00734FAF"/>
    <w:rsid w:val="00737767"/>
    <w:rsid w:val="00737DB5"/>
    <w:rsid w:val="0074035A"/>
    <w:rsid w:val="007403C0"/>
    <w:rsid w:val="007416EA"/>
    <w:rsid w:val="00742545"/>
    <w:rsid w:val="007443BF"/>
    <w:rsid w:val="0074621A"/>
    <w:rsid w:val="00746907"/>
    <w:rsid w:val="00747925"/>
    <w:rsid w:val="007503CC"/>
    <w:rsid w:val="00751ECB"/>
    <w:rsid w:val="00752401"/>
    <w:rsid w:val="00752600"/>
    <w:rsid w:val="0075308B"/>
    <w:rsid w:val="0075398E"/>
    <w:rsid w:val="00753B9F"/>
    <w:rsid w:val="00754800"/>
    <w:rsid w:val="007549F7"/>
    <w:rsid w:val="00754D85"/>
    <w:rsid w:val="00755CA8"/>
    <w:rsid w:val="00756396"/>
    <w:rsid w:val="00756920"/>
    <w:rsid w:val="007571C9"/>
    <w:rsid w:val="007575CA"/>
    <w:rsid w:val="00757E1E"/>
    <w:rsid w:val="00757EF5"/>
    <w:rsid w:val="00760744"/>
    <w:rsid w:val="00760CCB"/>
    <w:rsid w:val="00761CB4"/>
    <w:rsid w:val="00763917"/>
    <w:rsid w:val="00763CD8"/>
    <w:rsid w:val="00764596"/>
    <w:rsid w:val="00766EA2"/>
    <w:rsid w:val="00767D13"/>
    <w:rsid w:val="007716BC"/>
    <w:rsid w:val="00771781"/>
    <w:rsid w:val="00772B57"/>
    <w:rsid w:val="00772D4A"/>
    <w:rsid w:val="00773173"/>
    <w:rsid w:val="007731E0"/>
    <w:rsid w:val="00773F37"/>
    <w:rsid w:val="0077488D"/>
    <w:rsid w:val="00774991"/>
    <w:rsid w:val="00774E7D"/>
    <w:rsid w:val="0077666B"/>
    <w:rsid w:val="00776D38"/>
    <w:rsid w:val="007776F5"/>
    <w:rsid w:val="007800C3"/>
    <w:rsid w:val="007816FA"/>
    <w:rsid w:val="00781CA2"/>
    <w:rsid w:val="007829D1"/>
    <w:rsid w:val="00782F1F"/>
    <w:rsid w:val="00783010"/>
    <w:rsid w:val="0078305F"/>
    <w:rsid w:val="00783507"/>
    <w:rsid w:val="00783F06"/>
    <w:rsid w:val="0078569C"/>
    <w:rsid w:val="0078665D"/>
    <w:rsid w:val="00786D50"/>
    <w:rsid w:val="00786E8D"/>
    <w:rsid w:val="00787106"/>
    <w:rsid w:val="007872D8"/>
    <w:rsid w:val="00787A01"/>
    <w:rsid w:val="00790184"/>
    <w:rsid w:val="00790480"/>
    <w:rsid w:val="007918B3"/>
    <w:rsid w:val="00792444"/>
    <w:rsid w:val="007926C3"/>
    <w:rsid w:val="00792EB5"/>
    <w:rsid w:val="00793432"/>
    <w:rsid w:val="00793743"/>
    <w:rsid w:val="00794BD3"/>
    <w:rsid w:val="0079689B"/>
    <w:rsid w:val="00796F65"/>
    <w:rsid w:val="007976A3"/>
    <w:rsid w:val="00797A34"/>
    <w:rsid w:val="007A27B4"/>
    <w:rsid w:val="007A282D"/>
    <w:rsid w:val="007A2BB3"/>
    <w:rsid w:val="007A2D8A"/>
    <w:rsid w:val="007A45BB"/>
    <w:rsid w:val="007A4962"/>
    <w:rsid w:val="007A4A73"/>
    <w:rsid w:val="007A5E1C"/>
    <w:rsid w:val="007A6B81"/>
    <w:rsid w:val="007A7015"/>
    <w:rsid w:val="007B0753"/>
    <w:rsid w:val="007B0927"/>
    <w:rsid w:val="007B0A31"/>
    <w:rsid w:val="007B0B74"/>
    <w:rsid w:val="007B0EC9"/>
    <w:rsid w:val="007B1F4F"/>
    <w:rsid w:val="007B2409"/>
    <w:rsid w:val="007B262D"/>
    <w:rsid w:val="007B3057"/>
    <w:rsid w:val="007B6125"/>
    <w:rsid w:val="007B61CB"/>
    <w:rsid w:val="007B6830"/>
    <w:rsid w:val="007B6DCC"/>
    <w:rsid w:val="007C0C41"/>
    <w:rsid w:val="007C0EC8"/>
    <w:rsid w:val="007C1744"/>
    <w:rsid w:val="007C18B1"/>
    <w:rsid w:val="007C21A3"/>
    <w:rsid w:val="007C3467"/>
    <w:rsid w:val="007C41AC"/>
    <w:rsid w:val="007C61B2"/>
    <w:rsid w:val="007D1306"/>
    <w:rsid w:val="007D1B57"/>
    <w:rsid w:val="007D1D9D"/>
    <w:rsid w:val="007D1F1D"/>
    <w:rsid w:val="007D4421"/>
    <w:rsid w:val="007D4755"/>
    <w:rsid w:val="007D4ED7"/>
    <w:rsid w:val="007D586C"/>
    <w:rsid w:val="007D668A"/>
    <w:rsid w:val="007D6A8E"/>
    <w:rsid w:val="007D722A"/>
    <w:rsid w:val="007D790C"/>
    <w:rsid w:val="007E198F"/>
    <w:rsid w:val="007E1D87"/>
    <w:rsid w:val="007E1F6B"/>
    <w:rsid w:val="007E2DF7"/>
    <w:rsid w:val="007E2F8C"/>
    <w:rsid w:val="007E3AB8"/>
    <w:rsid w:val="007E42B5"/>
    <w:rsid w:val="007E4B0B"/>
    <w:rsid w:val="007E50E5"/>
    <w:rsid w:val="007E5622"/>
    <w:rsid w:val="007E5D73"/>
    <w:rsid w:val="007E6D05"/>
    <w:rsid w:val="007E6FC9"/>
    <w:rsid w:val="007E74BA"/>
    <w:rsid w:val="007E783E"/>
    <w:rsid w:val="007F07E4"/>
    <w:rsid w:val="007F0E6E"/>
    <w:rsid w:val="007F1960"/>
    <w:rsid w:val="007F20D1"/>
    <w:rsid w:val="007F3910"/>
    <w:rsid w:val="007F5802"/>
    <w:rsid w:val="007F5BA9"/>
    <w:rsid w:val="007F6534"/>
    <w:rsid w:val="007F6BBD"/>
    <w:rsid w:val="007F7179"/>
    <w:rsid w:val="007F76E8"/>
    <w:rsid w:val="007F772F"/>
    <w:rsid w:val="007F77A1"/>
    <w:rsid w:val="00800B4B"/>
    <w:rsid w:val="008029F8"/>
    <w:rsid w:val="00803AF2"/>
    <w:rsid w:val="00804BCA"/>
    <w:rsid w:val="00805308"/>
    <w:rsid w:val="00805E02"/>
    <w:rsid w:val="00806777"/>
    <w:rsid w:val="00806817"/>
    <w:rsid w:val="008068F2"/>
    <w:rsid w:val="00806ACE"/>
    <w:rsid w:val="00806E3B"/>
    <w:rsid w:val="008073F0"/>
    <w:rsid w:val="00807445"/>
    <w:rsid w:val="00810ABD"/>
    <w:rsid w:val="008116A0"/>
    <w:rsid w:val="008123EF"/>
    <w:rsid w:val="00812476"/>
    <w:rsid w:val="00812D21"/>
    <w:rsid w:val="008134D4"/>
    <w:rsid w:val="00814084"/>
    <w:rsid w:val="0081442E"/>
    <w:rsid w:val="00814DDD"/>
    <w:rsid w:val="00815351"/>
    <w:rsid w:val="008161AA"/>
    <w:rsid w:val="0081657E"/>
    <w:rsid w:val="00816FA5"/>
    <w:rsid w:val="00817310"/>
    <w:rsid w:val="008173EE"/>
    <w:rsid w:val="0082029B"/>
    <w:rsid w:val="00820825"/>
    <w:rsid w:val="00820896"/>
    <w:rsid w:val="00820DB7"/>
    <w:rsid w:val="008233B3"/>
    <w:rsid w:val="00823D27"/>
    <w:rsid w:val="0082475E"/>
    <w:rsid w:val="0082477D"/>
    <w:rsid w:val="00824D32"/>
    <w:rsid w:val="008252EE"/>
    <w:rsid w:val="00825BCE"/>
    <w:rsid w:val="00826ECE"/>
    <w:rsid w:val="008300D4"/>
    <w:rsid w:val="008305F4"/>
    <w:rsid w:val="00830B90"/>
    <w:rsid w:val="00830D7A"/>
    <w:rsid w:val="008311E5"/>
    <w:rsid w:val="008319CC"/>
    <w:rsid w:val="0083335B"/>
    <w:rsid w:val="008353C5"/>
    <w:rsid w:val="008354A9"/>
    <w:rsid w:val="0083610B"/>
    <w:rsid w:val="00836CC7"/>
    <w:rsid w:val="0083739A"/>
    <w:rsid w:val="00837E91"/>
    <w:rsid w:val="00841023"/>
    <w:rsid w:val="00846DE8"/>
    <w:rsid w:val="008515E8"/>
    <w:rsid w:val="00851C00"/>
    <w:rsid w:val="00851EAA"/>
    <w:rsid w:val="008527F5"/>
    <w:rsid w:val="008530C9"/>
    <w:rsid w:val="00853E1D"/>
    <w:rsid w:val="00854614"/>
    <w:rsid w:val="00855413"/>
    <w:rsid w:val="00855745"/>
    <w:rsid w:val="00855808"/>
    <w:rsid w:val="00855A9D"/>
    <w:rsid w:val="00855D75"/>
    <w:rsid w:val="00855F97"/>
    <w:rsid w:val="00856EE7"/>
    <w:rsid w:val="0086130B"/>
    <w:rsid w:val="0086136B"/>
    <w:rsid w:val="00861814"/>
    <w:rsid w:val="0086182F"/>
    <w:rsid w:val="00861C03"/>
    <w:rsid w:val="008622DA"/>
    <w:rsid w:val="0086273B"/>
    <w:rsid w:val="00862D19"/>
    <w:rsid w:val="0086335C"/>
    <w:rsid w:val="00863741"/>
    <w:rsid w:val="00863FBF"/>
    <w:rsid w:val="00864139"/>
    <w:rsid w:val="00864432"/>
    <w:rsid w:val="008651C6"/>
    <w:rsid w:val="00865BE5"/>
    <w:rsid w:val="008668AA"/>
    <w:rsid w:val="00866DF0"/>
    <w:rsid w:val="008671F1"/>
    <w:rsid w:val="00867FAC"/>
    <w:rsid w:val="008707E3"/>
    <w:rsid w:val="008714BA"/>
    <w:rsid w:val="0087266D"/>
    <w:rsid w:val="00872DDC"/>
    <w:rsid w:val="008733E8"/>
    <w:rsid w:val="00874407"/>
    <w:rsid w:val="00874C17"/>
    <w:rsid w:val="00874CDB"/>
    <w:rsid w:val="00875DF9"/>
    <w:rsid w:val="00876398"/>
    <w:rsid w:val="00876A24"/>
    <w:rsid w:val="0088004D"/>
    <w:rsid w:val="00880801"/>
    <w:rsid w:val="008818D2"/>
    <w:rsid w:val="0088299C"/>
    <w:rsid w:val="00883140"/>
    <w:rsid w:val="008834A4"/>
    <w:rsid w:val="00883CB2"/>
    <w:rsid w:val="00884169"/>
    <w:rsid w:val="00885C8B"/>
    <w:rsid w:val="00886D18"/>
    <w:rsid w:val="00887FDC"/>
    <w:rsid w:val="0089091B"/>
    <w:rsid w:val="008912BD"/>
    <w:rsid w:val="00894A3C"/>
    <w:rsid w:val="0089551A"/>
    <w:rsid w:val="0089609C"/>
    <w:rsid w:val="00896A8E"/>
    <w:rsid w:val="00896E7A"/>
    <w:rsid w:val="008970F1"/>
    <w:rsid w:val="008971EA"/>
    <w:rsid w:val="00897D6B"/>
    <w:rsid w:val="008A29E6"/>
    <w:rsid w:val="008A41D1"/>
    <w:rsid w:val="008A47A5"/>
    <w:rsid w:val="008A5364"/>
    <w:rsid w:val="008A66D0"/>
    <w:rsid w:val="008A6BC5"/>
    <w:rsid w:val="008A7322"/>
    <w:rsid w:val="008B0271"/>
    <w:rsid w:val="008B0424"/>
    <w:rsid w:val="008B147D"/>
    <w:rsid w:val="008B1EAA"/>
    <w:rsid w:val="008B397F"/>
    <w:rsid w:val="008B3C73"/>
    <w:rsid w:val="008B3EFC"/>
    <w:rsid w:val="008B5420"/>
    <w:rsid w:val="008B5DC7"/>
    <w:rsid w:val="008B5E99"/>
    <w:rsid w:val="008B5FE2"/>
    <w:rsid w:val="008B6AB6"/>
    <w:rsid w:val="008B715C"/>
    <w:rsid w:val="008B75C4"/>
    <w:rsid w:val="008B7A5B"/>
    <w:rsid w:val="008B7A6D"/>
    <w:rsid w:val="008B7C1D"/>
    <w:rsid w:val="008B7D60"/>
    <w:rsid w:val="008C0393"/>
    <w:rsid w:val="008C0BE2"/>
    <w:rsid w:val="008C199E"/>
    <w:rsid w:val="008C19B5"/>
    <w:rsid w:val="008C1DDF"/>
    <w:rsid w:val="008C4760"/>
    <w:rsid w:val="008C6549"/>
    <w:rsid w:val="008C6CC8"/>
    <w:rsid w:val="008C6DD4"/>
    <w:rsid w:val="008D0889"/>
    <w:rsid w:val="008D0C6A"/>
    <w:rsid w:val="008D2135"/>
    <w:rsid w:val="008D399E"/>
    <w:rsid w:val="008D39EA"/>
    <w:rsid w:val="008D3B9D"/>
    <w:rsid w:val="008D4E0D"/>
    <w:rsid w:val="008D557D"/>
    <w:rsid w:val="008D57D3"/>
    <w:rsid w:val="008D5FCB"/>
    <w:rsid w:val="008D66C2"/>
    <w:rsid w:val="008D7669"/>
    <w:rsid w:val="008E0B21"/>
    <w:rsid w:val="008E0B7E"/>
    <w:rsid w:val="008E1D95"/>
    <w:rsid w:val="008E222B"/>
    <w:rsid w:val="008E2398"/>
    <w:rsid w:val="008E29A3"/>
    <w:rsid w:val="008E38FD"/>
    <w:rsid w:val="008E564D"/>
    <w:rsid w:val="008E56C0"/>
    <w:rsid w:val="008E5B9F"/>
    <w:rsid w:val="008E6F59"/>
    <w:rsid w:val="008E71F8"/>
    <w:rsid w:val="008E791F"/>
    <w:rsid w:val="008E7CA6"/>
    <w:rsid w:val="008F013E"/>
    <w:rsid w:val="008F0251"/>
    <w:rsid w:val="008F0295"/>
    <w:rsid w:val="008F0733"/>
    <w:rsid w:val="008F0868"/>
    <w:rsid w:val="008F0D7D"/>
    <w:rsid w:val="008F0D83"/>
    <w:rsid w:val="008F2F73"/>
    <w:rsid w:val="008F31F8"/>
    <w:rsid w:val="008F3F3D"/>
    <w:rsid w:val="008F463D"/>
    <w:rsid w:val="008F4BAD"/>
    <w:rsid w:val="008F6523"/>
    <w:rsid w:val="008F6D2D"/>
    <w:rsid w:val="008F729C"/>
    <w:rsid w:val="009001C0"/>
    <w:rsid w:val="009001CD"/>
    <w:rsid w:val="00900AE1"/>
    <w:rsid w:val="00902B0E"/>
    <w:rsid w:val="0090330A"/>
    <w:rsid w:val="00903C9D"/>
    <w:rsid w:val="0090440E"/>
    <w:rsid w:val="00904780"/>
    <w:rsid w:val="009051FB"/>
    <w:rsid w:val="0090682C"/>
    <w:rsid w:val="00906A5C"/>
    <w:rsid w:val="009079E3"/>
    <w:rsid w:val="00910A4A"/>
    <w:rsid w:val="00910A9A"/>
    <w:rsid w:val="0091143C"/>
    <w:rsid w:val="00911AC0"/>
    <w:rsid w:val="009123F2"/>
    <w:rsid w:val="009133BA"/>
    <w:rsid w:val="00913A05"/>
    <w:rsid w:val="00913E19"/>
    <w:rsid w:val="00916503"/>
    <w:rsid w:val="0091674B"/>
    <w:rsid w:val="009171A0"/>
    <w:rsid w:val="00917B8A"/>
    <w:rsid w:val="00921993"/>
    <w:rsid w:val="00921AB4"/>
    <w:rsid w:val="00921EE7"/>
    <w:rsid w:val="0092224F"/>
    <w:rsid w:val="00922B81"/>
    <w:rsid w:val="0092300B"/>
    <w:rsid w:val="009239A9"/>
    <w:rsid w:val="0092407B"/>
    <w:rsid w:val="009250B1"/>
    <w:rsid w:val="00925463"/>
    <w:rsid w:val="00925570"/>
    <w:rsid w:val="009262F2"/>
    <w:rsid w:val="00926B1A"/>
    <w:rsid w:val="00927685"/>
    <w:rsid w:val="00930102"/>
    <w:rsid w:val="0093026E"/>
    <w:rsid w:val="00930CF8"/>
    <w:rsid w:val="00931B32"/>
    <w:rsid w:val="00932511"/>
    <w:rsid w:val="00933662"/>
    <w:rsid w:val="00933D72"/>
    <w:rsid w:val="00934B5B"/>
    <w:rsid w:val="0093570A"/>
    <w:rsid w:val="00936A4D"/>
    <w:rsid w:val="00936E4A"/>
    <w:rsid w:val="009371CE"/>
    <w:rsid w:val="00940435"/>
    <w:rsid w:val="0094053F"/>
    <w:rsid w:val="00941196"/>
    <w:rsid w:val="009420A4"/>
    <w:rsid w:val="009423C1"/>
    <w:rsid w:val="00943B2F"/>
    <w:rsid w:val="00944394"/>
    <w:rsid w:val="0094514A"/>
    <w:rsid w:val="009457B5"/>
    <w:rsid w:val="009464E7"/>
    <w:rsid w:val="00946B53"/>
    <w:rsid w:val="00946E7D"/>
    <w:rsid w:val="009504A6"/>
    <w:rsid w:val="009506CF"/>
    <w:rsid w:val="00951607"/>
    <w:rsid w:val="0095188D"/>
    <w:rsid w:val="00951BD2"/>
    <w:rsid w:val="00951DC6"/>
    <w:rsid w:val="0095310F"/>
    <w:rsid w:val="0095377F"/>
    <w:rsid w:val="0095379B"/>
    <w:rsid w:val="00953E9A"/>
    <w:rsid w:val="009546B1"/>
    <w:rsid w:val="009547C2"/>
    <w:rsid w:val="00954B44"/>
    <w:rsid w:val="00954E56"/>
    <w:rsid w:val="0095718B"/>
    <w:rsid w:val="0095791D"/>
    <w:rsid w:val="00957E80"/>
    <w:rsid w:val="00957EFE"/>
    <w:rsid w:val="00957F0E"/>
    <w:rsid w:val="00960835"/>
    <w:rsid w:val="009609C9"/>
    <w:rsid w:val="00960E2D"/>
    <w:rsid w:val="009612C8"/>
    <w:rsid w:val="009618A1"/>
    <w:rsid w:val="00961ABF"/>
    <w:rsid w:val="0096278B"/>
    <w:rsid w:val="009629B2"/>
    <w:rsid w:val="00962B0C"/>
    <w:rsid w:val="0096341F"/>
    <w:rsid w:val="00963CF9"/>
    <w:rsid w:val="009641D3"/>
    <w:rsid w:val="0096449E"/>
    <w:rsid w:val="00965779"/>
    <w:rsid w:val="00965963"/>
    <w:rsid w:val="00965CA1"/>
    <w:rsid w:val="00965EDF"/>
    <w:rsid w:val="00966E33"/>
    <w:rsid w:val="00967110"/>
    <w:rsid w:val="00967934"/>
    <w:rsid w:val="0097185D"/>
    <w:rsid w:val="00971E74"/>
    <w:rsid w:val="0097337B"/>
    <w:rsid w:val="009738E0"/>
    <w:rsid w:val="00973F2A"/>
    <w:rsid w:val="00973FE3"/>
    <w:rsid w:val="009745A9"/>
    <w:rsid w:val="0097616A"/>
    <w:rsid w:val="0097641B"/>
    <w:rsid w:val="009764B4"/>
    <w:rsid w:val="00976DDC"/>
    <w:rsid w:val="009772E4"/>
    <w:rsid w:val="00977908"/>
    <w:rsid w:val="009813CD"/>
    <w:rsid w:val="00981CAE"/>
    <w:rsid w:val="00982F45"/>
    <w:rsid w:val="00983144"/>
    <w:rsid w:val="00984059"/>
    <w:rsid w:val="009840BF"/>
    <w:rsid w:val="00986DA6"/>
    <w:rsid w:val="00991041"/>
    <w:rsid w:val="0099263C"/>
    <w:rsid w:val="00992BC5"/>
    <w:rsid w:val="00992E78"/>
    <w:rsid w:val="00994016"/>
    <w:rsid w:val="00994D47"/>
    <w:rsid w:val="00994F08"/>
    <w:rsid w:val="00995CA1"/>
    <w:rsid w:val="009962CE"/>
    <w:rsid w:val="0099647E"/>
    <w:rsid w:val="0099650E"/>
    <w:rsid w:val="00997232"/>
    <w:rsid w:val="009A0129"/>
    <w:rsid w:val="009A051B"/>
    <w:rsid w:val="009A248E"/>
    <w:rsid w:val="009A26ED"/>
    <w:rsid w:val="009A35A2"/>
    <w:rsid w:val="009A394E"/>
    <w:rsid w:val="009A5540"/>
    <w:rsid w:val="009A577C"/>
    <w:rsid w:val="009A5A4D"/>
    <w:rsid w:val="009A6E69"/>
    <w:rsid w:val="009A78A1"/>
    <w:rsid w:val="009A7E67"/>
    <w:rsid w:val="009B0188"/>
    <w:rsid w:val="009B0B3D"/>
    <w:rsid w:val="009B2FAE"/>
    <w:rsid w:val="009B302F"/>
    <w:rsid w:val="009B41D1"/>
    <w:rsid w:val="009B4ABE"/>
    <w:rsid w:val="009B4FDD"/>
    <w:rsid w:val="009B62A8"/>
    <w:rsid w:val="009B639C"/>
    <w:rsid w:val="009B67AA"/>
    <w:rsid w:val="009B7FEE"/>
    <w:rsid w:val="009C0F4C"/>
    <w:rsid w:val="009C16DF"/>
    <w:rsid w:val="009C2776"/>
    <w:rsid w:val="009C28B8"/>
    <w:rsid w:val="009C37CD"/>
    <w:rsid w:val="009C3BEC"/>
    <w:rsid w:val="009C46CF"/>
    <w:rsid w:val="009C4C6C"/>
    <w:rsid w:val="009C6598"/>
    <w:rsid w:val="009D2A47"/>
    <w:rsid w:val="009D2FA2"/>
    <w:rsid w:val="009D3310"/>
    <w:rsid w:val="009D4B3F"/>
    <w:rsid w:val="009D4C01"/>
    <w:rsid w:val="009D5077"/>
    <w:rsid w:val="009D545F"/>
    <w:rsid w:val="009D69CA"/>
    <w:rsid w:val="009D6F14"/>
    <w:rsid w:val="009D72E4"/>
    <w:rsid w:val="009D7A1A"/>
    <w:rsid w:val="009D7F35"/>
    <w:rsid w:val="009E18E1"/>
    <w:rsid w:val="009E3020"/>
    <w:rsid w:val="009E3288"/>
    <w:rsid w:val="009E48C9"/>
    <w:rsid w:val="009E4F13"/>
    <w:rsid w:val="009E5579"/>
    <w:rsid w:val="009E629B"/>
    <w:rsid w:val="009F0DC2"/>
    <w:rsid w:val="009F16C9"/>
    <w:rsid w:val="009F1845"/>
    <w:rsid w:val="009F2E82"/>
    <w:rsid w:val="009F3B23"/>
    <w:rsid w:val="009F3FF5"/>
    <w:rsid w:val="009F40C9"/>
    <w:rsid w:val="009F4218"/>
    <w:rsid w:val="009F4E9C"/>
    <w:rsid w:val="009F5C27"/>
    <w:rsid w:val="009F638E"/>
    <w:rsid w:val="009F6456"/>
    <w:rsid w:val="009F6CED"/>
    <w:rsid w:val="009F7C5A"/>
    <w:rsid w:val="009F7DF2"/>
    <w:rsid w:val="00A001F7"/>
    <w:rsid w:val="00A01140"/>
    <w:rsid w:val="00A016DD"/>
    <w:rsid w:val="00A043E9"/>
    <w:rsid w:val="00A045BF"/>
    <w:rsid w:val="00A04AA1"/>
    <w:rsid w:val="00A05B43"/>
    <w:rsid w:val="00A063B6"/>
    <w:rsid w:val="00A0675C"/>
    <w:rsid w:val="00A07A3A"/>
    <w:rsid w:val="00A07E47"/>
    <w:rsid w:val="00A108C5"/>
    <w:rsid w:val="00A10B41"/>
    <w:rsid w:val="00A10C3E"/>
    <w:rsid w:val="00A13BE3"/>
    <w:rsid w:val="00A13C1A"/>
    <w:rsid w:val="00A1405D"/>
    <w:rsid w:val="00A14531"/>
    <w:rsid w:val="00A154E2"/>
    <w:rsid w:val="00A158D6"/>
    <w:rsid w:val="00A15C81"/>
    <w:rsid w:val="00A160DE"/>
    <w:rsid w:val="00A1618B"/>
    <w:rsid w:val="00A16A13"/>
    <w:rsid w:val="00A20370"/>
    <w:rsid w:val="00A20AC8"/>
    <w:rsid w:val="00A24924"/>
    <w:rsid w:val="00A25A1F"/>
    <w:rsid w:val="00A25E38"/>
    <w:rsid w:val="00A25EAA"/>
    <w:rsid w:val="00A26274"/>
    <w:rsid w:val="00A26456"/>
    <w:rsid w:val="00A2681A"/>
    <w:rsid w:val="00A2689B"/>
    <w:rsid w:val="00A268A2"/>
    <w:rsid w:val="00A26C07"/>
    <w:rsid w:val="00A2735D"/>
    <w:rsid w:val="00A2768E"/>
    <w:rsid w:val="00A30E66"/>
    <w:rsid w:val="00A342B6"/>
    <w:rsid w:val="00A342C5"/>
    <w:rsid w:val="00A35422"/>
    <w:rsid w:val="00A35A46"/>
    <w:rsid w:val="00A40FFE"/>
    <w:rsid w:val="00A42165"/>
    <w:rsid w:val="00A428B5"/>
    <w:rsid w:val="00A454B2"/>
    <w:rsid w:val="00A466FD"/>
    <w:rsid w:val="00A47082"/>
    <w:rsid w:val="00A505BB"/>
    <w:rsid w:val="00A5093D"/>
    <w:rsid w:val="00A512F7"/>
    <w:rsid w:val="00A52418"/>
    <w:rsid w:val="00A52AC5"/>
    <w:rsid w:val="00A52BE5"/>
    <w:rsid w:val="00A53675"/>
    <w:rsid w:val="00A53770"/>
    <w:rsid w:val="00A545F9"/>
    <w:rsid w:val="00A54A1C"/>
    <w:rsid w:val="00A55B04"/>
    <w:rsid w:val="00A55D3E"/>
    <w:rsid w:val="00A56411"/>
    <w:rsid w:val="00A566FA"/>
    <w:rsid w:val="00A56A91"/>
    <w:rsid w:val="00A56A9C"/>
    <w:rsid w:val="00A6050F"/>
    <w:rsid w:val="00A60CED"/>
    <w:rsid w:val="00A61642"/>
    <w:rsid w:val="00A618DC"/>
    <w:rsid w:val="00A61C4B"/>
    <w:rsid w:val="00A63B4B"/>
    <w:rsid w:val="00A63F32"/>
    <w:rsid w:val="00A63F54"/>
    <w:rsid w:val="00A6550E"/>
    <w:rsid w:val="00A65CFF"/>
    <w:rsid w:val="00A6633A"/>
    <w:rsid w:val="00A66AFB"/>
    <w:rsid w:val="00A67B3D"/>
    <w:rsid w:val="00A70437"/>
    <w:rsid w:val="00A70FA4"/>
    <w:rsid w:val="00A7155F"/>
    <w:rsid w:val="00A734B2"/>
    <w:rsid w:val="00A7467E"/>
    <w:rsid w:val="00A74B0B"/>
    <w:rsid w:val="00A76DC8"/>
    <w:rsid w:val="00A77085"/>
    <w:rsid w:val="00A776E2"/>
    <w:rsid w:val="00A802F9"/>
    <w:rsid w:val="00A81AC5"/>
    <w:rsid w:val="00A81D5C"/>
    <w:rsid w:val="00A827DD"/>
    <w:rsid w:val="00A82980"/>
    <w:rsid w:val="00A8305C"/>
    <w:rsid w:val="00A84289"/>
    <w:rsid w:val="00A8546D"/>
    <w:rsid w:val="00A86F95"/>
    <w:rsid w:val="00A872F1"/>
    <w:rsid w:val="00A8784B"/>
    <w:rsid w:val="00A90498"/>
    <w:rsid w:val="00A905EE"/>
    <w:rsid w:val="00A9080E"/>
    <w:rsid w:val="00A90A73"/>
    <w:rsid w:val="00A918B6"/>
    <w:rsid w:val="00A91DAC"/>
    <w:rsid w:val="00A92AE9"/>
    <w:rsid w:val="00A92DAA"/>
    <w:rsid w:val="00A93856"/>
    <w:rsid w:val="00A93ABA"/>
    <w:rsid w:val="00A943C4"/>
    <w:rsid w:val="00A951D7"/>
    <w:rsid w:val="00A951EA"/>
    <w:rsid w:val="00A95255"/>
    <w:rsid w:val="00A95765"/>
    <w:rsid w:val="00A95ED8"/>
    <w:rsid w:val="00A966D9"/>
    <w:rsid w:val="00A9670B"/>
    <w:rsid w:val="00A96AC1"/>
    <w:rsid w:val="00A97233"/>
    <w:rsid w:val="00A97509"/>
    <w:rsid w:val="00AA04E2"/>
    <w:rsid w:val="00AA0983"/>
    <w:rsid w:val="00AA1DFF"/>
    <w:rsid w:val="00AA221C"/>
    <w:rsid w:val="00AA390D"/>
    <w:rsid w:val="00AA41FB"/>
    <w:rsid w:val="00AA4506"/>
    <w:rsid w:val="00AA5E6A"/>
    <w:rsid w:val="00AB169B"/>
    <w:rsid w:val="00AB1851"/>
    <w:rsid w:val="00AB2737"/>
    <w:rsid w:val="00AB3588"/>
    <w:rsid w:val="00AB4735"/>
    <w:rsid w:val="00AB4DB8"/>
    <w:rsid w:val="00AB7725"/>
    <w:rsid w:val="00AB79B5"/>
    <w:rsid w:val="00AB7A0F"/>
    <w:rsid w:val="00AB7AF1"/>
    <w:rsid w:val="00AC067F"/>
    <w:rsid w:val="00AC149F"/>
    <w:rsid w:val="00AC1819"/>
    <w:rsid w:val="00AC1E62"/>
    <w:rsid w:val="00AC1E79"/>
    <w:rsid w:val="00AC361B"/>
    <w:rsid w:val="00AC4598"/>
    <w:rsid w:val="00AC52A3"/>
    <w:rsid w:val="00AC57BC"/>
    <w:rsid w:val="00AC5A50"/>
    <w:rsid w:val="00AC618E"/>
    <w:rsid w:val="00AC6EF2"/>
    <w:rsid w:val="00AC708F"/>
    <w:rsid w:val="00AC7C9B"/>
    <w:rsid w:val="00AD00A9"/>
    <w:rsid w:val="00AD1617"/>
    <w:rsid w:val="00AD1702"/>
    <w:rsid w:val="00AD19E0"/>
    <w:rsid w:val="00AD2C60"/>
    <w:rsid w:val="00AD4125"/>
    <w:rsid w:val="00AD6AE7"/>
    <w:rsid w:val="00AD7E69"/>
    <w:rsid w:val="00AE1630"/>
    <w:rsid w:val="00AE2839"/>
    <w:rsid w:val="00AE2DBB"/>
    <w:rsid w:val="00AE3715"/>
    <w:rsid w:val="00AE3B64"/>
    <w:rsid w:val="00AE4073"/>
    <w:rsid w:val="00AE4538"/>
    <w:rsid w:val="00AE45A6"/>
    <w:rsid w:val="00AE5654"/>
    <w:rsid w:val="00AE7CF3"/>
    <w:rsid w:val="00AF0F46"/>
    <w:rsid w:val="00AF1469"/>
    <w:rsid w:val="00AF20BD"/>
    <w:rsid w:val="00AF2D06"/>
    <w:rsid w:val="00AF2F8B"/>
    <w:rsid w:val="00AF2F92"/>
    <w:rsid w:val="00AF481B"/>
    <w:rsid w:val="00AF5B5A"/>
    <w:rsid w:val="00AF5BE6"/>
    <w:rsid w:val="00AF6B76"/>
    <w:rsid w:val="00AF749A"/>
    <w:rsid w:val="00AF74ED"/>
    <w:rsid w:val="00AF757C"/>
    <w:rsid w:val="00AF7C5B"/>
    <w:rsid w:val="00AF7DC5"/>
    <w:rsid w:val="00B00842"/>
    <w:rsid w:val="00B00888"/>
    <w:rsid w:val="00B00CE3"/>
    <w:rsid w:val="00B00DF9"/>
    <w:rsid w:val="00B0219D"/>
    <w:rsid w:val="00B02F23"/>
    <w:rsid w:val="00B0347A"/>
    <w:rsid w:val="00B03586"/>
    <w:rsid w:val="00B0412D"/>
    <w:rsid w:val="00B06384"/>
    <w:rsid w:val="00B06D06"/>
    <w:rsid w:val="00B073D8"/>
    <w:rsid w:val="00B0784D"/>
    <w:rsid w:val="00B0788E"/>
    <w:rsid w:val="00B10B2D"/>
    <w:rsid w:val="00B12251"/>
    <w:rsid w:val="00B123FD"/>
    <w:rsid w:val="00B132B8"/>
    <w:rsid w:val="00B13445"/>
    <w:rsid w:val="00B135EE"/>
    <w:rsid w:val="00B14333"/>
    <w:rsid w:val="00B14D1A"/>
    <w:rsid w:val="00B16A1B"/>
    <w:rsid w:val="00B16F27"/>
    <w:rsid w:val="00B17259"/>
    <w:rsid w:val="00B178E0"/>
    <w:rsid w:val="00B205D1"/>
    <w:rsid w:val="00B23537"/>
    <w:rsid w:val="00B2385A"/>
    <w:rsid w:val="00B24646"/>
    <w:rsid w:val="00B25FCA"/>
    <w:rsid w:val="00B2612B"/>
    <w:rsid w:val="00B26AC9"/>
    <w:rsid w:val="00B27E7F"/>
    <w:rsid w:val="00B30151"/>
    <w:rsid w:val="00B302CE"/>
    <w:rsid w:val="00B307BA"/>
    <w:rsid w:val="00B30B8E"/>
    <w:rsid w:val="00B319E4"/>
    <w:rsid w:val="00B31D13"/>
    <w:rsid w:val="00B3295F"/>
    <w:rsid w:val="00B32DF8"/>
    <w:rsid w:val="00B343D6"/>
    <w:rsid w:val="00B34618"/>
    <w:rsid w:val="00B34D8B"/>
    <w:rsid w:val="00B354C5"/>
    <w:rsid w:val="00B3563E"/>
    <w:rsid w:val="00B35ACC"/>
    <w:rsid w:val="00B35AF0"/>
    <w:rsid w:val="00B364DF"/>
    <w:rsid w:val="00B3689E"/>
    <w:rsid w:val="00B36943"/>
    <w:rsid w:val="00B36CCA"/>
    <w:rsid w:val="00B37F74"/>
    <w:rsid w:val="00B400BD"/>
    <w:rsid w:val="00B40B42"/>
    <w:rsid w:val="00B4105E"/>
    <w:rsid w:val="00B42382"/>
    <w:rsid w:val="00B45030"/>
    <w:rsid w:val="00B46264"/>
    <w:rsid w:val="00B46DD6"/>
    <w:rsid w:val="00B5068B"/>
    <w:rsid w:val="00B514D8"/>
    <w:rsid w:val="00B523F7"/>
    <w:rsid w:val="00B52FB0"/>
    <w:rsid w:val="00B53823"/>
    <w:rsid w:val="00B53B62"/>
    <w:rsid w:val="00B5403B"/>
    <w:rsid w:val="00B54823"/>
    <w:rsid w:val="00B549EA"/>
    <w:rsid w:val="00B5539B"/>
    <w:rsid w:val="00B5662C"/>
    <w:rsid w:val="00B57403"/>
    <w:rsid w:val="00B57ED2"/>
    <w:rsid w:val="00B6030C"/>
    <w:rsid w:val="00B6038A"/>
    <w:rsid w:val="00B606EA"/>
    <w:rsid w:val="00B609B7"/>
    <w:rsid w:val="00B60F2A"/>
    <w:rsid w:val="00B62DE6"/>
    <w:rsid w:val="00B63562"/>
    <w:rsid w:val="00B64673"/>
    <w:rsid w:val="00B6467D"/>
    <w:rsid w:val="00B6557A"/>
    <w:rsid w:val="00B665AF"/>
    <w:rsid w:val="00B6677A"/>
    <w:rsid w:val="00B667DE"/>
    <w:rsid w:val="00B6686F"/>
    <w:rsid w:val="00B66D04"/>
    <w:rsid w:val="00B6730C"/>
    <w:rsid w:val="00B677B8"/>
    <w:rsid w:val="00B67A92"/>
    <w:rsid w:val="00B67AAB"/>
    <w:rsid w:val="00B70576"/>
    <w:rsid w:val="00B70E2E"/>
    <w:rsid w:val="00B713CF"/>
    <w:rsid w:val="00B716A7"/>
    <w:rsid w:val="00B72E10"/>
    <w:rsid w:val="00B72F0A"/>
    <w:rsid w:val="00B74349"/>
    <w:rsid w:val="00B767C3"/>
    <w:rsid w:val="00B76D44"/>
    <w:rsid w:val="00B801D9"/>
    <w:rsid w:val="00B80DCE"/>
    <w:rsid w:val="00B81CAE"/>
    <w:rsid w:val="00B8233B"/>
    <w:rsid w:val="00B85B80"/>
    <w:rsid w:val="00B86472"/>
    <w:rsid w:val="00B872EC"/>
    <w:rsid w:val="00B87E8D"/>
    <w:rsid w:val="00B90988"/>
    <w:rsid w:val="00B90F78"/>
    <w:rsid w:val="00B91072"/>
    <w:rsid w:val="00B9140B"/>
    <w:rsid w:val="00B922F6"/>
    <w:rsid w:val="00B92738"/>
    <w:rsid w:val="00B93CEA"/>
    <w:rsid w:val="00B93F2E"/>
    <w:rsid w:val="00B94B77"/>
    <w:rsid w:val="00B95C1C"/>
    <w:rsid w:val="00B9709C"/>
    <w:rsid w:val="00B97305"/>
    <w:rsid w:val="00B973E6"/>
    <w:rsid w:val="00B97BE6"/>
    <w:rsid w:val="00BA0DF2"/>
    <w:rsid w:val="00BA130C"/>
    <w:rsid w:val="00BA2683"/>
    <w:rsid w:val="00BA2F28"/>
    <w:rsid w:val="00BA327D"/>
    <w:rsid w:val="00BA3FFE"/>
    <w:rsid w:val="00BA4DCC"/>
    <w:rsid w:val="00BA506C"/>
    <w:rsid w:val="00BA5617"/>
    <w:rsid w:val="00BA5C38"/>
    <w:rsid w:val="00BA6D44"/>
    <w:rsid w:val="00BA6EB6"/>
    <w:rsid w:val="00BB10F1"/>
    <w:rsid w:val="00BB2314"/>
    <w:rsid w:val="00BB32E9"/>
    <w:rsid w:val="00BB3998"/>
    <w:rsid w:val="00BB405C"/>
    <w:rsid w:val="00BB4DEC"/>
    <w:rsid w:val="00BB516F"/>
    <w:rsid w:val="00BB628B"/>
    <w:rsid w:val="00BB64AC"/>
    <w:rsid w:val="00BB7AD2"/>
    <w:rsid w:val="00BB7FA3"/>
    <w:rsid w:val="00BC08DF"/>
    <w:rsid w:val="00BC0BB6"/>
    <w:rsid w:val="00BC0D21"/>
    <w:rsid w:val="00BC0E10"/>
    <w:rsid w:val="00BC104B"/>
    <w:rsid w:val="00BC10FD"/>
    <w:rsid w:val="00BC13F8"/>
    <w:rsid w:val="00BC2DB7"/>
    <w:rsid w:val="00BC33E0"/>
    <w:rsid w:val="00BC3E2F"/>
    <w:rsid w:val="00BC4339"/>
    <w:rsid w:val="00BC6068"/>
    <w:rsid w:val="00BC60E1"/>
    <w:rsid w:val="00BC61CC"/>
    <w:rsid w:val="00BC68F4"/>
    <w:rsid w:val="00BC6EC0"/>
    <w:rsid w:val="00BD0AAC"/>
    <w:rsid w:val="00BD0C02"/>
    <w:rsid w:val="00BD186F"/>
    <w:rsid w:val="00BD1CB4"/>
    <w:rsid w:val="00BD2809"/>
    <w:rsid w:val="00BD2FDB"/>
    <w:rsid w:val="00BD3494"/>
    <w:rsid w:val="00BD48DB"/>
    <w:rsid w:val="00BD4C6A"/>
    <w:rsid w:val="00BD6A73"/>
    <w:rsid w:val="00BD7594"/>
    <w:rsid w:val="00BE0536"/>
    <w:rsid w:val="00BE0F7E"/>
    <w:rsid w:val="00BE17EA"/>
    <w:rsid w:val="00BE1CA7"/>
    <w:rsid w:val="00BE1D9E"/>
    <w:rsid w:val="00BE308B"/>
    <w:rsid w:val="00BE3542"/>
    <w:rsid w:val="00BE5162"/>
    <w:rsid w:val="00BE5BA6"/>
    <w:rsid w:val="00BE5CB5"/>
    <w:rsid w:val="00BE76F6"/>
    <w:rsid w:val="00BE7BE2"/>
    <w:rsid w:val="00BF13D8"/>
    <w:rsid w:val="00BF19B1"/>
    <w:rsid w:val="00BF21A8"/>
    <w:rsid w:val="00BF39E1"/>
    <w:rsid w:val="00BF4681"/>
    <w:rsid w:val="00BF5083"/>
    <w:rsid w:val="00BF5784"/>
    <w:rsid w:val="00BF7A86"/>
    <w:rsid w:val="00C00202"/>
    <w:rsid w:val="00C00DFC"/>
    <w:rsid w:val="00C011E5"/>
    <w:rsid w:val="00C01E5D"/>
    <w:rsid w:val="00C03C64"/>
    <w:rsid w:val="00C04614"/>
    <w:rsid w:val="00C0533C"/>
    <w:rsid w:val="00C0615C"/>
    <w:rsid w:val="00C0629E"/>
    <w:rsid w:val="00C07A4E"/>
    <w:rsid w:val="00C07AD4"/>
    <w:rsid w:val="00C07C03"/>
    <w:rsid w:val="00C132C9"/>
    <w:rsid w:val="00C14B14"/>
    <w:rsid w:val="00C14C2D"/>
    <w:rsid w:val="00C15172"/>
    <w:rsid w:val="00C151BE"/>
    <w:rsid w:val="00C1530F"/>
    <w:rsid w:val="00C17182"/>
    <w:rsid w:val="00C176B6"/>
    <w:rsid w:val="00C21D37"/>
    <w:rsid w:val="00C22896"/>
    <w:rsid w:val="00C2300D"/>
    <w:rsid w:val="00C234FB"/>
    <w:rsid w:val="00C23928"/>
    <w:rsid w:val="00C2415A"/>
    <w:rsid w:val="00C26714"/>
    <w:rsid w:val="00C27278"/>
    <w:rsid w:val="00C30392"/>
    <w:rsid w:val="00C305D3"/>
    <w:rsid w:val="00C310A2"/>
    <w:rsid w:val="00C31348"/>
    <w:rsid w:val="00C322F7"/>
    <w:rsid w:val="00C33328"/>
    <w:rsid w:val="00C34302"/>
    <w:rsid w:val="00C34D0E"/>
    <w:rsid w:val="00C35403"/>
    <w:rsid w:val="00C3546D"/>
    <w:rsid w:val="00C3554E"/>
    <w:rsid w:val="00C35C2F"/>
    <w:rsid w:val="00C361B4"/>
    <w:rsid w:val="00C365D7"/>
    <w:rsid w:val="00C36789"/>
    <w:rsid w:val="00C36A64"/>
    <w:rsid w:val="00C36DB1"/>
    <w:rsid w:val="00C37AAD"/>
    <w:rsid w:val="00C404F4"/>
    <w:rsid w:val="00C41850"/>
    <w:rsid w:val="00C42BE9"/>
    <w:rsid w:val="00C43810"/>
    <w:rsid w:val="00C43FE7"/>
    <w:rsid w:val="00C4515A"/>
    <w:rsid w:val="00C4681B"/>
    <w:rsid w:val="00C50015"/>
    <w:rsid w:val="00C50210"/>
    <w:rsid w:val="00C508F5"/>
    <w:rsid w:val="00C50D4D"/>
    <w:rsid w:val="00C51DE8"/>
    <w:rsid w:val="00C520B3"/>
    <w:rsid w:val="00C53015"/>
    <w:rsid w:val="00C5322E"/>
    <w:rsid w:val="00C539F7"/>
    <w:rsid w:val="00C545C7"/>
    <w:rsid w:val="00C555C4"/>
    <w:rsid w:val="00C5571B"/>
    <w:rsid w:val="00C57D19"/>
    <w:rsid w:val="00C60074"/>
    <w:rsid w:val="00C600F4"/>
    <w:rsid w:val="00C61737"/>
    <w:rsid w:val="00C61CC3"/>
    <w:rsid w:val="00C61E96"/>
    <w:rsid w:val="00C641E4"/>
    <w:rsid w:val="00C645C0"/>
    <w:rsid w:val="00C6482B"/>
    <w:rsid w:val="00C65EA0"/>
    <w:rsid w:val="00C66B0B"/>
    <w:rsid w:val="00C66C78"/>
    <w:rsid w:val="00C70378"/>
    <w:rsid w:val="00C70870"/>
    <w:rsid w:val="00C709DA"/>
    <w:rsid w:val="00C71E23"/>
    <w:rsid w:val="00C71ECA"/>
    <w:rsid w:val="00C73EA9"/>
    <w:rsid w:val="00C74F44"/>
    <w:rsid w:val="00C75D58"/>
    <w:rsid w:val="00C7610D"/>
    <w:rsid w:val="00C7616C"/>
    <w:rsid w:val="00C76755"/>
    <w:rsid w:val="00C7700A"/>
    <w:rsid w:val="00C775DC"/>
    <w:rsid w:val="00C8076A"/>
    <w:rsid w:val="00C81126"/>
    <w:rsid w:val="00C827BF"/>
    <w:rsid w:val="00C82B4E"/>
    <w:rsid w:val="00C83612"/>
    <w:rsid w:val="00C841B9"/>
    <w:rsid w:val="00C855DD"/>
    <w:rsid w:val="00C85AD5"/>
    <w:rsid w:val="00C862FA"/>
    <w:rsid w:val="00C8651B"/>
    <w:rsid w:val="00C8663C"/>
    <w:rsid w:val="00C86F28"/>
    <w:rsid w:val="00C90BA4"/>
    <w:rsid w:val="00C91AC0"/>
    <w:rsid w:val="00C92987"/>
    <w:rsid w:val="00C93179"/>
    <w:rsid w:val="00C96C03"/>
    <w:rsid w:val="00CA0226"/>
    <w:rsid w:val="00CA0599"/>
    <w:rsid w:val="00CA1D85"/>
    <w:rsid w:val="00CA2B2A"/>
    <w:rsid w:val="00CA34AB"/>
    <w:rsid w:val="00CA3713"/>
    <w:rsid w:val="00CA3913"/>
    <w:rsid w:val="00CA3F23"/>
    <w:rsid w:val="00CA6538"/>
    <w:rsid w:val="00CA7C8B"/>
    <w:rsid w:val="00CB00F0"/>
    <w:rsid w:val="00CB0F9C"/>
    <w:rsid w:val="00CB18E4"/>
    <w:rsid w:val="00CB3810"/>
    <w:rsid w:val="00CB3AB9"/>
    <w:rsid w:val="00CB401C"/>
    <w:rsid w:val="00CB4B62"/>
    <w:rsid w:val="00CB5756"/>
    <w:rsid w:val="00CB59CD"/>
    <w:rsid w:val="00CB5F50"/>
    <w:rsid w:val="00CB6519"/>
    <w:rsid w:val="00CB6A40"/>
    <w:rsid w:val="00CB6FB7"/>
    <w:rsid w:val="00CC0EF7"/>
    <w:rsid w:val="00CC1F73"/>
    <w:rsid w:val="00CC28D6"/>
    <w:rsid w:val="00CC5229"/>
    <w:rsid w:val="00CC6565"/>
    <w:rsid w:val="00CC71BD"/>
    <w:rsid w:val="00CC75D7"/>
    <w:rsid w:val="00CC7A98"/>
    <w:rsid w:val="00CD0ACF"/>
    <w:rsid w:val="00CD391A"/>
    <w:rsid w:val="00CD3D2F"/>
    <w:rsid w:val="00CD4430"/>
    <w:rsid w:val="00CD54E4"/>
    <w:rsid w:val="00CE0B12"/>
    <w:rsid w:val="00CE0F82"/>
    <w:rsid w:val="00CE0FB4"/>
    <w:rsid w:val="00CE2A11"/>
    <w:rsid w:val="00CE39E8"/>
    <w:rsid w:val="00CE4322"/>
    <w:rsid w:val="00CE55BF"/>
    <w:rsid w:val="00CE569D"/>
    <w:rsid w:val="00CE5B25"/>
    <w:rsid w:val="00CE5F8E"/>
    <w:rsid w:val="00CE6470"/>
    <w:rsid w:val="00CE665F"/>
    <w:rsid w:val="00CF0C03"/>
    <w:rsid w:val="00CF10D0"/>
    <w:rsid w:val="00CF2973"/>
    <w:rsid w:val="00CF33D5"/>
    <w:rsid w:val="00CF394C"/>
    <w:rsid w:val="00CF54F7"/>
    <w:rsid w:val="00CF5802"/>
    <w:rsid w:val="00CF5E4C"/>
    <w:rsid w:val="00CF6B0D"/>
    <w:rsid w:val="00CF6B8F"/>
    <w:rsid w:val="00CF6C07"/>
    <w:rsid w:val="00CF72F4"/>
    <w:rsid w:val="00CF7472"/>
    <w:rsid w:val="00D00D6B"/>
    <w:rsid w:val="00D0151F"/>
    <w:rsid w:val="00D029E4"/>
    <w:rsid w:val="00D03744"/>
    <w:rsid w:val="00D04737"/>
    <w:rsid w:val="00D048C6"/>
    <w:rsid w:val="00D04F4B"/>
    <w:rsid w:val="00D05293"/>
    <w:rsid w:val="00D05974"/>
    <w:rsid w:val="00D06902"/>
    <w:rsid w:val="00D06AE8"/>
    <w:rsid w:val="00D079E0"/>
    <w:rsid w:val="00D10AD3"/>
    <w:rsid w:val="00D11793"/>
    <w:rsid w:val="00D122B2"/>
    <w:rsid w:val="00D1238F"/>
    <w:rsid w:val="00D14169"/>
    <w:rsid w:val="00D14C04"/>
    <w:rsid w:val="00D14F56"/>
    <w:rsid w:val="00D152B6"/>
    <w:rsid w:val="00D15410"/>
    <w:rsid w:val="00D15B7F"/>
    <w:rsid w:val="00D16957"/>
    <w:rsid w:val="00D16F9E"/>
    <w:rsid w:val="00D17D1D"/>
    <w:rsid w:val="00D204FA"/>
    <w:rsid w:val="00D2110E"/>
    <w:rsid w:val="00D22671"/>
    <w:rsid w:val="00D22978"/>
    <w:rsid w:val="00D22B23"/>
    <w:rsid w:val="00D22B98"/>
    <w:rsid w:val="00D23227"/>
    <w:rsid w:val="00D24FDF"/>
    <w:rsid w:val="00D25F14"/>
    <w:rsid w:val="00D26A38"/>
    <w:rsid w:val="00D27F4B"/>
    <w:rsid w:val="00D300AA"/>
    <w:rsid w:val="00D301D8"/>
    <w:rsid w:val="00D31C25"/>
    <w:rsid w:val="00D31D90"/>
    <w:rsid w:val="00D32649"/>
    <w:rsid w:val="00D32B97"/>
    <w:rsid w:val="00D3412D"/>
    <w:rsid w:val="00D3540C"/>
    <w:rsid w:val="00D37F9F"/>
    <w:rsid w:val="00D406EE"/>
    <w:rsid w:val="00D41072"/>
    <w:rsid w:val="00D41269"/>
    <w:rsid w:val="00D415FD"/>
    <w:rsid w:val="00D416A4"/>
    <w:rsid w:val="00D434CF"/>
    <w:rsid w:val="00D438AA"/>
    <w:rsid w:val="00D43A12"/>
    <w:rsid w:val="00D446A0"/>
    <w:rsid w:val="00D45692"/>
    <w:rsid w:val="00D45CE8"/>
    <w:rsid w:val="00D45F79"/>
    <w:rsid w:val="00D471A1"/>
    <w:rsid w:val="00D4757B"/>
    <w:rsid w:val="00D477B1"/>
    <w:rsid w:val="00D5022C"/>
    <w:rsid w:val="00D51248"/>
    <w:rsid w:val="00D51788"/>
    <w:rsid w:val="00D517CD"/>
    <w:rsid w:val="00D51F9C"/>
    <w:rsid w:val="00D52140"/>
    <w:rsid w:val="00D553D0"/>
    <w:rsid w:val="00D55734"/>
    <w:rsid w:val="00D55EAA"/>
    <w:rsid w:val="00D57C5C"/>
    <w:rsid w:val="00D60603"/>
    <w:rsid w:val="00D619B2"/>
    <w:rsid w:val="00D6275E"/>
    <w:rsid w:val="00D631D4"/>
    <w:rsid w:val="00D63ED5"/>
    <w:rsid w:val="00D6413C"/>
    <w:rsid w:val="00D64837"/>
    <w:rsid w:val="00D659A2"/>
    <w:rsid w:val="00D670A4"/>
    <w:rsid w:val="00D6714E"/>
    <w:rsid w:val="00D67DE5"/>
    <w:rsid w:val="00D70335"/>
    <w:rsid w:val="00D709F4"/>
    <w:rsid w:val="00D72712"/>
    <w:rsid w:val="00D72775"/>
    <w:rsid w:val="00D73076"/>
    <w:rsid w:val="00D731E8"/>
    <w:rsid w:val="00D731FC"/>
    <w:rsid w:val="00D7333C"/>
    <w:rsid w:val="00D735DE"/>
    <w:rsid w:val="00D73EE1"/>
    <w:rsid w:val="00D74237"/>
    <w:rsid w:val="00D74347"/>
    <w:rsid w:val="00D7437C"/>
    <w:rsid w:val="00D74B0B"/>
    <w:rsid w:val="00D754A0"/>
    <w:rsid w:val="00D75AF6"/>
    <w:rsid w:val="00D766C7"/>
    <w:rsid w:val="00D7687D"/>
    <w:rsid w:val="00D77ACA"/>
    <w:rsid w:val="00D80E9C"/>
    <w:rsid w:val="00D81330"/>
    <w:rsid w:val="00D8207D"/>
    <w:rsid w:val="00D8216C"/>
    <w:rsid w:val="00D8450C"/>
    <w:rsid w:val="00D85AE6"/>
    <w:rsid w:val="00D867A3"/>
    <w:rsid w:val="00D873B2"/>
    <w:rsid w:val="00D9190F"/>
    <w:rsid w:val="00D91BEE"/>
    <w:rsid w:val="00D92734"/>
    <w:rsid w:val="00D92896"/>
    <w:rsid w:val="00D92F5F"/>
    <w:rsid w:val="00D94C60"/>
    <w:rsid w:val="00D95425"/>
    <w:rsid w:val="00D9554A"/>
    <w:rsid w:val="00D96394"/>
    <w:rsid w:val="00D965C8"/>
    <w:rsid w:val="00D96698"/>
    <w:rsid w:val="00D96A45"/>
    <w:rsid w:val="00D96EBF"/>
    <w:rsid w:val="00D9729D"/>
    <w:rsid w:val="00D975EA"/>
    <w:rsid w:val="00D97CD6"/>
    <w:rsid w:val="00DA2DE3"/>
    <w:rsid w:val="00DA2E4F"/>
    <w:rsid w:val="00DA3536"/>
    <w:rsid w:val="00DA4BD3"/>
    <w:rsid w:val="00DA4C26"/>
    <w:rsid w:val="00DA54F4"/>
    <w:rsid w:val="00DA6BC2"/>
    <w:rsid w:val="00DA74D3"/>
    <w:rsid w:val="00DA7C80"/>
    <w:rsid w:val="00DB04BC"/>
    <w:rsid w:val="00DB0644"/>
    <w:rsid w:val="00DB091D"/>
    <w:rsid w:val="00DB0FF4"/>
    <w:rsid w:val="00DB1461"/>
    <w:rsid w:val="00DB15C6"/>
    <w:rsid w:val="00DB200A"/>
    <w:rsid w:val="00DB26E4"/>
    <w:rsid w:val="00DB281C"/>
    <w:rsid w:val="00DB2F0C"/>
    <w:rsid w:val="00DB30A7"/>
    <w:rsid w:val="00DB30A9"/>
    <w:rsid w:val="00DB379A"/>
    <w:rsid w:val="00DB37B5"/>
    <w:rsid w:val="00DB43D5"/>
    <w:rsid w:val="00DB43D6"/>
    <w:rsid w:val="00DB4748"/>
    <w:rsid w:val="00DB5CEC"/>
    <w:rsid w:val="00DB6DCD"/>
    <w:rsid w:val="00DB7317"/>
    <w:rsid w:val="00DB7887"/>
    <w:rsid w:val="00DC085F"/>
    <w:rsid w:val="00DC2133"/>
    <w:rsid w:val="00DC23CF"/>
    <w:rsid w:val="00DC4BF7"/>
    <w:rsid w:val="00DC4F68"/>
    <w:rsid w:val="00DC55B1"/>
    <w:rsid w:val="00DC5A26"/>
    <w:rsid w:val="00DC5B01"/>
    <w:rsid w:val="00DC664D"/>
    <w:rsid w:val="00DC6A30"/>
    <w:rsid w:val="00DC6B54"/>
    <w:rsid w:val="00DC7318"/>
    <w:rsid w:val="00DC7F55"/>
    <w:rsid w:val="00DD00A5"/>
    <w:rsid w:val="00DD1211"/>
    <w:rsid w:val="00DD1F13"/>
    <w:rsid w:val="00DD307D"/>
    <w:rsid w:val="00DD3A17"/>
    <w:rsid w:val="00DD4312"/>
    <w:rsid w:val="00DD509F"/>
    <w:rsid w:val="00DD54B1"/>
    <w:rsid w:val="00DD6B0F"/>
    <w:rsid w:val="00DD70F0"/>
    <w:rsid w:val="00DD7761"/>
    <w:rsid w:val="00DD7C61"/>
    <w:rsid w:val="00DE2E73"/>
    <w:rsid w:val="00DE2FDE"/>
    <w:rsid w:val="00DE2FF0"/>
    <w:rsid w:val="00DE3C01"/>
    <w:rsid w:val="00DE3DEA"/>
    <w:rsid w:val="00DE47EC"/>
    <w:rsid w:val="00DE56A2"/>
    <w:rsid w:val="00DE57F6"/>
    <w:rsid w:val="00DE6180"/>
    <w:rsid w:val="00DE64BD"/>
    <w:rsid w:val="00DE683D"/>
    <w:rsid w:val="00DE6BDD"/>
    <w:rsid w:val="00DE6E03"/>
    <w:rsid w:val="00DF097C"/>
    <w:rsid w:val="00DF0D83"/>
    <w:rsid w:val="00DF1740"/>
    <w:rsid w:val="00DF2C53"/>
    <w:rsid w:val="00DF3034"/>
    <w:rsid w:val="00DF334E"/>
    <w:rsid w:val="00DF3637"/>
    <w:rsid w:val="00DF4D8A"/>
    <w:rsid w:val="00DF5A2B"/>
    <w:rsid w:val="00DF5ABF"/>
    <w:rsid w:val="00DF5B1F"/>
    <w:rsid w:val="00DF63EE"/>
    <w:rsid w:val="00DF7BBF"/>
    <w:rsid w:val="00DF7CA9"/>
    <w:rsid w:val="00E0166B"/>
    <w:rsid w:val="00E01E0D"/>
    <w:rsid w:val="00E026AB"/>
    <w:rsid w:val="00E02D98"/>
    <w:rsid w:val="00E0385B"/>
    <w:rsid w:val="00E042A2"/>
    <w:rsid w:val="00E04322"/>
    <w:rsid w:val="00E0437B"/>
    <w:rsid w:val="00E04908"/>
    <w:rsid w:val="00E05403"/>
    <w:rsid w:val="00E05F64"/>
    <w:rsid w:val="00E063D5"/>
    <w:rsid w:val="00E0658B"/>
    <w:rsid w:val="00E0750F"/>
    <w:rsid w:val="00E07E0F"/>
    <w:rsid w:val="00E07EAA"/>
    <w:rsid w:val="00E07EB2"/>
    <w:rsid w:val="00E1066F"/>
    <w:rsid w:val="00E10CA7"/>
    <w:rsid w:val="00E10F68"/>
    <w:rsid w:val="00E114C1"/>
    <w:rsid w:val="00E1196A"/>
    <w:rsid w:val="00E123A8"/>
    <w:rsid w:val="00E12E25"/>
    <w:rsid w:val="00E13282"/>
    <w:rsid w:val="00E13638"/>
    <w:rsid w:val="00E13857"/>
    <w:rsid w:val="00E13F66"/>
    <w:rsid w:val="00E14DDB"/>
    <w:rsid w:val="00E1538F"/>
    <w:rsid w:val="00E15662"/>
    <w:rsid w:val="00E15C02"/>
    <w:rsid w:val="00E1621D"/>
    <w:rsid w:val="00E16801"/>
    <w:rsid w:val="00E17979"/>
    <w:rsid w:val="00E20945"/>
    <w:rsid w:val="00E222D1"/>
    <w:rsid w:val="00E22B1D"/>
    <w:rsid w:val="00E2580F"/>
    <w:rsid w:val="00E2591B"/>
    <w:rsid w:val="00E26119"/>
    <w:rsid w:val="00E269A8"/>
    <w:rsid w:val="00E26A02"/>
    <w:rsid w:val="00E30A05"/>
    <w:rsid w:val="00E3339E"/>
    <w:rsid w:val="00E33C42"/>
    <w:rsid w:val="00E33DEA"/>
    <w:rsid w:val="00E33EF7"/>
    <w:rsid w:val="00E33FFA"/>
    <w:rsid w:val="00E35E5D"/>
    <w:rsid w:val="00E35E63"/>
    <w:rsid w:val="00E35F61"/>
    <w:rsid w:val="00E37926"/>
    <w:rsid w:val="00E37B72"/>
    <w:rsid w:val="00E37FDC"/>
    <w:rsid w:val="00E401FD"/>
    <w:rsid w:val="00E40B6D"/>
    <w:rsid w:val="00E4250D"/>
    <w:rsid w:val="00E4257A"/>
    <w:rsid w:val="00E43091"/>
    <w:rsid w:val="00E46FBC"/>
    <w:rsid w:val="00E4705C"/>
    <w:rsid w:val="00E47C2D"/>
    <w:rsid w:val="00E47CE3"/>
    <w:rsid w:val="00E50AED"/>
    <w:rsid w:val="00E5286C"/>
    <w:rsid w:val="00E52A72"/>
    <w:rsid w:val="00E5384E"/>
    <w:rsid w:val="00E53E75"/>
    <w:rsid w:val="00E5461C"/>
    <w:rsid w:val="00E54A32"/>
    <w:rsid w:val="00E554B3"/>
    <w:rsid w:val="00E5604B"/>
    <w:rsid w:val="00E56DCE"/>
    <w:rsid w:val="00E56F85"/>
    <w:rsid w:val="00E57209"/>
    <w:rsid w:val="00E57533"/>
    <w:rsid w:val="00E57E38"/>
    <w:rsid w:val="00E57EDB"/>
    <w:rsid w:val="00E6027E"/>
    <w:rsid w:val="00E60536"/>
    <w:rsid w:val="00E60894"/>
    <w:rsid w:val="00E63282"/>
    <w:rsid w:val="00E632ED"/>
    <w:rsid w:val="00E63C23"/>
    <w:rsid w:val="00E64BC8"/>
    <w:rsid w:val="00E666A9"/>
    <w:rsid w:val="00E6726C"/>
    <w:rsid w:val="00E67669"/>
    <w:rsid w:val="00E6791F"/>
    <w:rsid w:val="00E70612"/>
    <w:rsid w:val="00E714B2"/>
    <w:rsid w:val="00E7158B"/>
    <w:rsid w:val="00E7271C"/>
    <w:rsid w:val="00E7325A"/>
    <w:rsid w:val="00E732FB"/>
    <w:rsid w:val="00E73654"/>
    <w:rsid w:val="00E744BB"/>
    <w:rsid w:val="00E746BD"/>
    <w:rsid w:val="00E74992"/>
    <w:rsid w:val="00E74A26"/>
    <w:rsid w:val="00E74F9C"/>
    <w:rsid w:val="00E74FD2"/>
    <w:rsid w:val="00E77805"/>
    <w:rsid w:val="00E77E2D"/>
    <w:rsid w:val="00E77FA8"/>
    <w:rsid w:val="00E806B6"/>
    <w:rsid w:val="00E81B10"/>
    <w:rsid w:val="00E82CA3"/>
    <w:rsid w:val="00E82DAC"/>
    <w:rsid w:val="00E82F34"/>
    <w:rsid w:val="00E83D44"/>
    <w:rsid w:val="00E84A36"/>
    <w:rsid w:val="00E84D6B"/>
    <w:rsid w:val="00E8578D"/>
    <w:rsid w:val="00E867A7"/>
    <w:rsid w:val="00E876A4"/>
    <w:rsid w:val="00E87F54"/>
    <w:rsid w:val="00E9011B"/>
    <w:rsid w:val="00E90A8B"/>
    <w:rsid w:val="00E915A0"/>
    <w:rsid w:val="00E91EE5"/>
    <w:rsid w:val="00E920F4"/>
    <w:rsid w:val="00E92376"/>
    <w:rsid w:val="00E92C7C"/>
    <w:rsid w:val="00E93730"/>
    <w:rsid w:val="00E93875"/>
    <w:rsid w:val="00E939F3"/>
    <w:rsid w:val="00E94228"/>
    <w:rsid w:val="00E9677F"/>
    <w:rsid w:val="00E96C1C"/>
    <w:rsid w:val="00EA010F"/>
    <w:rsid w:val="00EA0125"/>
    <w:rsid w:val="00EA05E5"/>
    <w:rsid w:val="00EA0BF1"/>
    <w:rsid w:val="00EA1886"/>
    <w:rsid w:val="00EA2B02"/>
    <w:rsid w:val="00EA3B79"/>
    <w:rsid w:val="00EA51FE"/>
    <w:rsid w:val="00EA55FC"/>
    <w:rsid w:val="00EA5708"/>
    <w:rsid w:val="00EA627A"/>
    <w:rsid w:val="00EA712E"/>
    <w:rsid w:val="00EA7CDC"/>
    <w:rsid w:val="00EA7D47"/>
    <w:rsid w:val="00EB0146"/>
    <w:rsid w:val="00EB0DBB"/>
    <w:rsid w:val="00EB0E5A"/>
    <w:rsid w:val="00EB577D"/>
    <w:rsid w:val="00EB6118"/>
    <w:rsid w:val="00EB6B27"/>
    <w:rsid w:val="00EC014B"/>
    <w:rsid w:val="00EC0900"/>
    <w:rsid w:val="00EC0A76"/>
    <w:rsid w:val="00EC0AF4"/>
    <w:rsid w:val="00EC0BF2"/>
    <w:rsid w:val="00EC1186"/>
    <w:rsid w:val="00EC11CB"/>
    <w:rsid w:val="00EC33DB"/>
    <w:rsid w:val="00EC3A60"/>
    <w:rsid w:val="00EC3AA3"/>
    <w:rsid w:val="00EC3FB1"/>
    <w:rsid w:val="00EC4528"/>
    <w:rsid w:val="00EC4943"/>
    <w:rsid w:val="00EC5021"/>
    <w:rsid w:val="00EC641F"/>
    <w:rsid w:val="00EC79A1"/>
    <w:rsid w:val="00ED027F"/>
    <w:rsid w:val="00ED068C"/>
    <w:rsid w:val="00ED085E"/>
    <w:rsid w:val="00ED262B"/>
    <w:rsid w:val="00ED3A2B"/>
    <w:rsid w:val="00ED3C4D"/>
    <w:rsid w:val="00ED58F8"/>
    <w:rsid w:val="00ED59AE"/>
    <w:rsid w:val="00EE131C"/>
    <w:rsid w:val="00EE29D0"/>
    <w:rsid w:val="00EE3A9D"/>
    <w:rsid w:val="00EE3D89"/>
    <w:rsid w:val="00EE56C6"/>
    <w:rsid w:val="00EE5932"/>
    <w:rsid w:val="00EE5975"/>
    <w:rsid w:val="00EE6166"/>
    <w:rsid w:val="00EE68F1"/>
    <w:rsid w:val="00EE6C03"/>
    <w:rsid w:val="00EE742A"/>
    <w:rsid w:val="00EF0049"/>
    <w:rsid w:val="00EF0803"/>
    <w:rsid w:val="00EF0949"/>
    <w:rsid w:val="00EF1057"/>
    <w:rsid w:val="00EF3ABF"/>
    <w:rsid w:val="00EF4EEE"/>
    <w:rsid w:val="00EF5960"/>
    <w:rsid w:val="00EF677F"/>
    <w:rsid w:val="00EF6BF4"/>
    <w:rsid w:val="00EF6EBD"/>
    <w:rsid w:val="00EF6EE2"/>
    <w:rsid w:val="00EF710C"/>
    <w:rsid w:val="00EF76BD"/>
    <w:rsid w:val="00F003F6"/>
    <w:rsid w:val="00F019F7"/>
    <w:rsid w:val="00F01BD8"/>
    <w:rsid w:val="00F03367"/>
    <w:rsid w:val="00F0384F"/>
    <w:rsid w:val="00F03871"/>
    <w:rsid w:val="00F03EC9"/>
    <w:rsid w:val="00F04326"/>
    <w:rsid w:val="00F06D14"/>
    <w:rsid w:val="00F1120E"/>
    <w:rsid w:val="00F116EA"/>
    <w:rsid w:val="00F11D91"/>
    <w:rsid w:val="00F11DED"/>
    <w:rsid w:val="00F11F4B"/>
    <w:rsid w:val="00F126CD"/>
    <w:rsid w:val="00F12B01"/>
    <w:rsid w:val="00F146DA"/>
    <w:rsid w:val="00F15198"/>
    <w:rsid w:val="00F20113"/>
    <w:rsid w:val="00F20752"/>
    <w:rsid w:val="00F21FDA"/>
    <w:rsid w:val="00F236AA"/>
    <w:rsid w:val="00F23B6A"/>
    <w:rsid w:val="00F2422E"/>
    <w:rsid w:val="00F24FD0"/>
    <w:rsid w:val="00F25B21"/>
    <w:rsid w:val="00F25B73"/>
    <w:rsid w:val="00F25BFB"/>
    <w:rsid w:val="00F269E2"/>
    <w:rsid w:val="00F26C35"/>
    <w:rsid w:val="00F27346"/>
    <w:rsid w:val="00F27566"/>
    <w:rsid w:val="00F27B93"/>
    <w:rsid w:val="00F303A3"/>
    <w:rsid w:val="00F313D9"/>
    <w:rsid w:val="00F31B4A"/>
    <w:rsid w:val="00F321C0"/>
    <w:rsid w:val="00F32241"/>
    <w:rsid w:val="00F33647"/>
    <w:rsid w:val="00F33D28"/>
    <w:rsid w:val="00F34FCE"/>
    <w:rsid w:val="00F37049"/>
    <w:rsid w:val="00F41D87"/>
    <w:rsid w:val="00F41DAC"/>
    <w:rsid w:val="00F4206D"/>
    <w:rsid w:val="00F42153"/>
    <w:rsid w:val="00F43DA7"/>
    <w:rsid w:val="00F445A1"/>
    <w:rsid w:val="00F45262"/>
    <w:rsid w:val="00F45866"/>
    <w:rsid w:val="00F45888"/>
    <w:rsid w:val="00F45B6E"/>
    <w:rsid w:val="00F46577"/>
    <w:rsid w:val="00F46A25"/>
    <w:rsid w:val="00F46D47"/>
    <w:rsid w:val="00F46DA3"/>
    <w:rsid w:val="00F4746B"/>
    <w:rsid w:val="00F47646"/>
    <w:rsid w:val="00F50616"/>
    <w:rsid w:val="00F511F9"/>
    <w:rsid w:val="00F514D8"/>
    <w:rsid w:val="00F51C2C"/>
    <w:rsid w:val="00F52542"/>
    <w:rsid w:val="00F52589"/>
    <w:rsid w:val="00F52DFD"/>
    <w:rsid w:val="00F52DFF"/>
    <w:rsid w:val="00F53AB7"/>
    <w:rsid w:val="00F54DD8"/>
    <w:rsid w:val="00F56559"/>
    <w:rsid w:val="00F56E59"/>
    <w:rsid w:val="00F5714E"/>
    <w:rsid w:val="00F573E5"/>
    <w:rsid w:val="00F57D27"/>
    <w:rsid w:val="00F607F5"/>
    <w:rsid w:val="00F61797"/>
    <w:rsid w:val="00F61C4F"/>
    <w:rsid w:val="00F626F6"/>
    <w:rsid w:val="00F62E16"/>
    <w:rsid w:val="00F637FF"/>
    <w:rsid w:val="00F645C4"/>
    <w:rsid w:val="00F647DF"/>
    <w:rsid w:val="00F64DD0"/>
    <w:rsid w:val="00F66422"/>
    <w:rsid w:val="00F66F06"/>
    <w:rsid w:val="00F67150"/>
    <w:rsid w:val="00F673D0"/>
    <w:rsid w:val="00F67BB4"/>
    <w:rsid w:val="00F67BB8"/>
    <w:rsid w:val="00F7056B"/>
    <w:rsid w:val="00F72F2A"/>
    <w:rsid w:val="00F7557B"/>
    <w:rsid w:val="00F75DE9"/>
    <w:rsid w:val="00F760C3"/>
    <w:rsid w:val="00F764F1"/>
    <w:rsid w:val="00F76D25"/>
    <w:rsid w:val="00F8040D"/>
    <w:rsid w:val="00F8109D"/>
    <w:rsid w:val="00F8135D"/>
    <w:rsid w:val="00F837D4"/>
    <w:rsid w:val="00F86B29"/>
    <w:rsid w:val="00F9058F"/>
    <w:rsid w:val="00F90A33"/>
    <w:rsid w:val="00F90C40"/>
    <w:rsid w:val="00F9223C"/>
    <w:rsid w:val="00F92DAD"/>
    <w:rsid w:val="00F93509"/>
    <w:rsid w:val="00F93983"/>
    <w:rsid w:val="00F94202"/>
    <w:rsid w:val="00F95393"/>
    <w:rsid w:val="00F9591C"/>
    <w:rsid w:val="00F95A30"/>
    <w:rsid w:val="00F95DE2"/>
    <w:rsid w:val="00F96733"/>
    <w:rsid w:val="00F969FC"/>
    <w:rsid w:val="00F96BD7"/>
    <w:rsid w:val="00FA040A"/>
    <w:rsid w:val="00FA085C"/>
    <w:rsid w:val="00FA0D37"/>
    <w:rsid w:val="00FA2466"/>
    <w:rsid w:val="00FA28F6"/>
    <w:rsid w:val="00FA2B08"/>
    <w:rsid w:val="00FA2EF6"/>
    <w:rsid w:val="00FA339A"/>
    <w:rsid w:val="00FA39B3"/>
    <w:rsid w:val="00FA4375"/>
    <w:rsid w:val="00FA517C"/>
    <w:rsid w:val="00FA577D"/>
    <w:rsid w:val="00FA5984"/>
    <w:rsid w:val="00FA5A1F"/>
    <w:rsid w:val="00FA5D24"/>
    <w:rsid w:val="00FA65F1"/>
    <w:rsid w:val="00FA6B88"/>
    <w:rsid w:val="00FA6D76"/>
    <w:rsid w:val="00FA6EE4"/>
    <w:rsid w:val="00FA7ADC"/>
    <w:rsid w:val="00FB0E0B"/>
    <w:rsid w:val="00FB1B5D"/>
    <w:rsid w:val="00FB2D19"/>
    <w:rsid w:val="00FB481A"/>
    <w:rsid w:val="00FB5500"/>
    <w:rsid w:val="00FB6126"/>
    <w:rsid w:val="00FB61A8"/>
    <w:rsid w:val="00FB61D5"/>
    <w:rsid w:val="00FB697A"/>
    <w:rsid w:val="00FB6CE0"/>
    <w:rsid w:val="00FB6E99"/>
    <w:rsid w:val="00FB7E60"/>
    <w:rsid w:val="00FC0225"/>
    <w:rsid w:val="00FC1097"/>
    <w:rsid w:val="00FC12D9"/>
    <w:rsid w:val="00FC2076"/>
    <w:rsid w:val="00FC2975"/>
    <w:rsid w:val="00FC3931"/>
    <w:rsid w:val="00FC399B"/>
    <w:rsid w:val="00FC4F8C"/>
    <w:rsid w:val="00FC637F"/>
    <w:rsid w:val="00FC6A84"/>
    <w:rsid w:val="00FC6AB0"/>
    <w:rsid w:val="00FD0B7D"/>
    <w:rsid w:val="00FD12A0"/>
    <w:rsid w:val="00FD1C2B"/>
    <w:rsid w:val="00FD1D22"/>
    <w:rsid w:val="00FD2359"/>
    <w:rsid w:val="00FD2DFB"/>
    <w:rsid w:val="00FD3403"/>
    <w:rsid w:val="00FD3ED7"/>
    <w:rsid w:val="00FD40F6"/>
    <w:rsid w:val="00FD48CF"/>
    <w:rsid w:val="00FD53BF"/>
    <w:rsid w:val="00FD547A"/>
    <w:rsid w:val="00FD567D"/>
    <w:rsid w:val="00FD6C52"/>
    <w:rsid w:val="00FD7094"/>
    <w:rsid w:val="00FE10B9"/>
    <w:rsid w:val="00FE43AF"/>
    <w:rsid w:val="00FE5261"/>
    <w:rsid w:val="00FE7379"/>
    <w:rsid w:val="00FF1E6D"/>
    <w:rsid w:val="00FF2282"/>
    <w:rsid w:val="00FF433A"/>
    <w:rsid w:val="00FF4396"/>
    <w:rsid w:val="00FF5015"/>
    <w:rsid w:val="00FF52C8"/>
    <w:rsid w:val="00FF56EF"/>
    <w:rsid w:val="00FF58D1"/>
    <w:rsid w:val="00FF59FC"/>
    <w:rsid w:val="00FF6300"/>
    <w:rsid w:val="00FF6386"/>
    <w:rsid w:val="00FF719E"/>
    <w:rsid w:val="00FF74AF"/>
    <w:rsid w:val="00FF74EA"/>
    <w:rsid w:val="00FF7609"/>
    <w:rsid w:val="00FF77C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23DE61C"/>
  <w14:defaultImageDpi w14:val="300"/>
  <w15:docId w15:val="{FC99A979-7E8F-DF4A-8537-4353DE7B7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FC12D9"/>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FC12D9"/>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FC12D9"/>
    <w:rPr>
      <w:color w:val="0000FF" w:themeColor="hyperlink"/>
      <w:u w:val="single"/>
    </w:rPr>
  </w:style>
  <w:style w:type="paragraph" w:styleId="ListParagraph">
    <w:name w:val="List Paragraph"/>
    <w:basedOn w:val="Normal"/>
    <w:uiPriority w:val="34"/>
    <w:qFormat/>
    <w:rsid w:val="00984059"/>
    <w:pPr>
      <w:ind w:left="720"/>
      <w:contextualSpacing/>
    </w:pPr>
  </w:style>
  <w:style w:type="table" w:styleId="TableGrid">
    <w:name w:val="Table Grid"/>
    <w:basedOn w:val="TableNormal"/>
    <w:uiPriority w:val="59"/>
    <w:rsid w:val="008E79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55462E"/>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
    <w:name w:val="Light List"/>
    <w:basedOn w:val="TableNormal"/>
    <w:uiPriority w:val="61"/>
    <w:rsid w:val="0055462E"/>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
    <w:name w:val="Medium Shading 1"/>
    <w:basedOn w:val="TableNormal"/>
    <w:uiPriority w:val="63"/>
    <w:rsid w:val="0055462E"/>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styleId="FollowedHyperlink">
    <w:name w:val="FollowedHyperlink"/>
    <w:basedOn w:val="DefaultParagraphFont"/>
    <w:uiPriority w:val="99"/>
    <w:semiHidden/>
    <w:unhideWhenUsed/>
    <w:rsid w:val="00820DB7"/>
    <w:rPr>
      <w:color w:val="800080" w:themeColor="followedHyperlink"/>
      <w:u w:val="single"/>
    </w:rPr>
  </w:style>
  <w:style w:type="paragraph" w:styleId="NormalWeb">
    <w:name w:val="Normal (Web)"/>
    <w:basedOn w:val="Normal"/>
    <w:uiPriority w:val="99"/>
    <w:semiHidden/>
    <w:unhideWhenUsed/>
    <w:rsid w:val="00D74B0B"/>
    <w:rPr>
      <w:rFonts w:ascii="Times New Roman" w:hAnsi="Times New Roman" w:cs="Times New Roman"/>
    </w:rPr>
  </w:style>
  <w:style w:type="character" w:styleId="CommentReference">
    <w:name w:val="annotation reference"/>
    <w:basedOn w:val="DefaultParagraphFont"/>
    <w:uiPriority w:val="99"/>
    <w:semiHidden/>
    <w:unhideWhenUsed/>
    <w:rsid w:val="00525E6C"/>
    <w:rPr>
      <w:sz w:val="18"/>
      <w:szCs w:val="18"/>
    </w:rPr>
  </w:style>
  <w:style w:type="paragraph" w:styleId="CommentText">
    <w:name w:val="annotation text"/>
    <w:basedOn w:val="Normal"/>
    <w:link w:val="CommentTextChar"/>
    <w:uiPriority w:val="99"/>
    <w:unhideWhenUsed/>
    <w:rsid w:val="00525E6C"/>
  </w:style>
  <w:style w:type="character" w:customStyle="1" w:styleId="CommentTextChar">
    <w:name w:val="Comment Text Char"/>
    <w:basedOn w:val="DefaultParagraphFont"/>
    <w:link w:val="CommentText"/>
    <w:uiPriority w:val="99"/>
    <w:rsid w:val="00525E6C"/>
  </w:style>
  <w:style w:type="paragraph" w:styleId="CommentSubject">
    <w:name w:val="annotation subject"/>
    <w:basedOn w:val="CommentText"/>
    <w:next w:val="CommentText"/>
    <w:link w:val="CommentSubjectChar"/>
    <w:uiPriority w:val="99"/>
    <w:semiHidden/>
    <w:unhideWhenUsed/>
    <w:rsid w:val="00525E6C"/>
    <w:rPr>
      <w:b/>
      <w:bCs/>
      <w:sz w:val="20"/>
      <w:szCs w:val="20"/>
    </w:rPr>
  </w:style>
  <w:style w:type="character" w:customStyle="1" w:styleId="CommentSubjectChar">
    <w:name w:val="Comment Subject Char"/>
    <w:basedOn w:val="CommentTextChar"/>
    <w:link w:val="CommentSubject"/>
    <w:uiPriority w:val="99"/>
    <w:semiHidden/>
    <w:rsid w:val="00525E6C"/>
    <w:rPr>
      <w:b/>
      <w:bCs/>
      <w:sz w:val="20"/>
      <w:szCs w:val="20"/>
    </w:rPr>
  </w:style>
  <w:style w:type="paragraph" w:styleId="BalloonText">
    <w:name w:val="Balloon Text"/>
    <w:basedOn w:val="Normal"/>
    <w:link w:val="BalloonTextChar"/>
    <w:uiPriority w:val="99"/>
    <w:semiHidden/>
    <w:unhideWhenUsed/>
    <w:rsid w:val="00525E6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25E6C"/>
    <w:rPr>
      <w:rFonts w:ascii="Lucida Grande" w:hAnsi="Lucida Grande" w:cs="Lucida Grande"/>
      <w:sz w:val="18"/>
      <w:szCs w:val="18"/>
    </w:rPr>
  </w:style>
  <w:style w:type="character" w:customStyle="1" w:styleId="apple-converted-space">
    <w:name w:val="apple-converted-space"/>
    <w:basedOn w:val="DefaultParagraphFont"/>
    <w:rsid w:val="00525E6C"/>
  </w:style>
  <w:style w:type="paragraph" w:styleId="Header">
    <w:name w:val="header"/>
    <w:basedOn w:val="Normal"/>
    <w:link w:val="HeaderChar"/>
    <w:uiPriority w:val="99"/>
    <w:unhideWhenUsed/>
    <w:rsid w:val="00AC57BC"/>
    <w:pPr>
      <w:tabs>
        <w:tab w:val="center" w:pos="4320"/>
        <w:tab w:val="right" w:pos="8640"/>
      </w:tabs>
    </w:pPr>
  </w:style>
  <w:style w:type="character" w:customStyle="1" w:styleId="HeaderChar">
    <w:name w:val="Header Char"/>
    <w:basedOn w:val="DefaultParagraphFont"/>
    <w:link w:val="Header"/>
    <w:uiPriority w:val="99"/>
    <w:rsid w:val="00AC57BC"/>
  </w:style>
  <w:style w:type="paragraph" w:styleId="Footer">
    <w:name w:val="footer"/>
    <w:basedOn w:val="Normal"/>
    <w:link w:val="FooterChar"/>
    <w:uiPriority w:val="99"/>
    <w:unhideWhenUsed/>
    <w:rsid w:val="00AC57BC"/>
    <w:pPr>
      <w:tabs>
        <w:tab w:val="center" w:pos="4320"/>
        <w:tab w:val="right" w:pos="8640"/>
      </w:tabs>
    </w:pPr>
  </w:style>
  <w:style w:type="character" w:customStyle="1" w:styleId="FooterChar">
    <w:name w:val="Footer Char"/>
    <w:basedOn w:val="DefaultParagraphFont"/>
    <w:link w:val="Footer"/>
    <w:uiPriority w:val="99"/>
    <w:rsid w:val="00AC57BC"/>
  </w:style>
  <w:style w:type="character" w:styleId="PageNumber">
    <w:name w:val="page number"/>
    <w:basedOn w:val="DefaultParagraphFont"/>
    <w:uiPriority w:val="99"/>
    <w:semiHidden/>
    <w:unhideWhenUsed/>
    <w:rsid w:val="00AC57BC"/>
  </w:style>
  <w:style w:type="paragraph" w:styleId="Revision">
    <w:name w:val="Revision"/>
    <w:hidden/>
    <w:uiPriority w:val="99"/>
    <w:semiHidden/>
    <w:rsid w:val="009123F2"/>
  </w:style>
  <w:style w:type="paragraph" w:styleId="Bibliography">
    <w:name w:val="Bibliography"/>
    <w:basedOn w:val="Normal"/>
    <w:next w:val="Normal"/>
    <w:uiPriority w:val="37"/>
    <w:unhideWhenUsed/>
    <w:rsid w:val="00965EDF"/>
    <w:pPr>
      <w:spacing w:after="240" w:line="48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034557">
      <w:bodyDiv w:val="1"/>
      <w:marLeft w:val="0"/>
      <w:marRight w:val="0"/>
      <w:marTop w:val="0"/>
      <w:marBottom w:val="0"/>
      <w:divBdr>
        <w:top w:val="none" w:sz="0" w:space="0" w:color="auto"/>
        <w:left w:val="none" w:sz="0" w:space="0" w:color="auto"/>
        <w:bottom w:val="none" w:sz="0" w:space="0" w:color="auto"/>
        <w:right w:val="none" w:sz="0" w:space="0" w:color="auto"/>
      </w:divBdr>
    </w:div>
    <w:div w:id="87120443">
      <w:bodyDiv w:val="1"/>
      <w:marLeft w:val="0"/>
      <w:marRight w:val="0"/>
      <w:marTop w:val="0"/>
      <w:marBottom w:val="0"/>
      <w:divBdr>
        <w:top w:val="none" w:sz="0" w:space="0" w:color="auto"/>
        <w:left w:val="none" w:sz="0" w:space="0" w:color="auto"/>
        <w:bottom w:val="none" w:sz="0" w:space="0" w:color="auto"/>
        <w:right w:val="none" w:sz="0" w:space="0" w:color="auto"/>
      </w:divBdr>
    </w:div>
    <w:div w:id="94447484">
      <w:bodyDiv w:val="1"/>
      <w:marLeft w:val="0"/>
      <w:marRight w:val="0"/>
      <w:marTop w:val="0"/>
      <w:marBottom w:val="0"/>
      <w:divBdr>
        <w:top w:val="none" w:sz="0" w:space="0" w:color="auto"/>
        <w:left w:val="none" w:sz="0" w:space="0" w:color="auto"/>
        <w:bottom w:val="none" w:sz="0" w:space="0" w:color="auto"/>
        <w:right w:val="none" w:sz="0" w:space="0" w:color="auto"/>
      </w:divBdr>
    </w:div>
    <w:div w:id="106316869">
      <w:bodyDiv w:val="1"/>
      <w:marLeft w:val="0"/>
      <w:marRight w:val="0"/>
      <w:marTop w:val="0"/>
      <w:marBottom w:val="0"/>
      <w:divBdr>
        <w:top w:val="none" w:sz="0" w:space="0" w:color="auto"/>
        <w:left w:val="none" w:sz="0" w:space="0" w:color="auto"/>
        <w:bottom w:val="none" w:sz="0" w:space="0" w:color="auto"/>
        <w:right w:val="none" w:sz="0" w:space="0" w:color="auto"/>
      </w:divBdr>
      <w:divsChild>
        <w:div w:id="47338539">
          <w:marLeft w:val="0"/>
          <w:marRight w:val="0"/>
          <w:marTop w:val="0"/>
          <w:marBottom w:val="0"/>
          <w:divBdr>
            <w:top w:val="none" w:sz="0" w:space="0" w:color="auto"/>
            <w:left w:val="none" w:sz="0" w:space="0" w:color="auto"/>
            <w:bottom w:val="none" w:sz="0" w:space="0" w:color="auto"/>
            <w:right w:val="none" w:sz="0" w:space="0" w:color="auto"/>
          </w:divBdr>
        </w:div>
        <w:div w:id="241139180">
          <w:marLeft w:val="0"/>
          <w:marRight w:val="0"/>
          <w:marTop w:val="0"/>
          <w:marBottom w:val="0"/>
          <w:divBdr>
            <w:top w:val="none" w:sz="0" w:space="0" w:color="auto"/>
            <w:left w:val="none" w:sz="0" w:space="0" w:color="auto"/>
            <w:bottom w:val="none" w:sz="0" w:space="0" w:color="auto"/>
            <w:right w:val="none" w:sz="0" w:space="0" w:color="auto"/>
          </w:divBdr>
        </w:div>
      </w:divsChild>
    </w:div>
    <w:div w:id="107432474">
      <w:bodyDiv w:val="1"/>
      <w:marLeft w:val="0"/>
      <w:marRight w:val="0"/>
      <w:marTop w:val="0"/>
      <w:marBottom w:val="0"/>
      <w:divBdr>
        <w:top w:val="none" w:sz="0" w:space="0" w:color="auto"/>
        <w:left w:val="none" w:sz="0" w:space="0" w:color="auto"/>
        <w:bottom w:val="none" w:sz="0" w:space="0" w:color="auto"/>
        <w:right w:val="none" w:sz="0" w:space="0" w:color="auto"/>
      </w:divBdr>
    </w:div>
    <w:div w:id="175854231">
      <w:bodyDiv w:val="1"/>
      <w:marLeft w:val="0"/>
      <w:marRight w:val="0"/>
      <w:marTop w:val="0"/>
      <w:marBottom w:val="0"/>
      <w:divBdr>
        <w:top w:val="none" w:sz="0" w:space="0" w:color="auto"/>
        <w:left w:val="none" w:sz="0" w:space="0" w:color="auto"/>
        <w:bottom w:val="none" w:sz="0" w:space="0" w:color="auto"/>
        <w:right w:val="none" w:sz="0" w:space="0" w:color="auto"/>
      </w:divBdr>
    </w:div>
    <w:div w:id="218901939">
      <w:bodyDiv w:val="1"/>
      <w:marLeft w:val="0"/>
      <w:marRight w:val="0"/>
      <w:marTop w:val="0"/>
      <w:marBottom w:val="0"/>
      <w:divBdr>
        <w:top w:val="none" w:sz="0" w:space="0" w:color="auto"/>
        <w:left w:val="none" w:sz="0" w:space="0" w:color="auto"/>
        <w:bottom w:val="none" w:sz="0" w:space="0" w:color="auto"/>
        <w:right w:val="none" w:sz="0" w:space="0" w:color="auto"/>
      </w:divBdr>
    </w:div>
    <w:div w:id="287586607">
      <w:bodyDiv w:val="1"/>
      <w:marLeft w:val="0"/>
      <w:marRight w:val="0"/>
      <w:marTop w:val="0"/>
      <w:marBottom w:val="0"/>
      <w:divBdr>
        <w:top w:val="none" w:sz="0" w:space="0" w:color="auto"/>
        <w:left w:val="none" w:sz="0" w:space="0" w:color="auto"/>
        <w:bottom w:val="none" w:sz="0" w:space="0" w:color="auto"/>
        <w:right w:val="none" w:sz="0" w:space="0" w:color="auto"/>
      </w:divBdr>
    </w:div>
    <w:div w:id="295333165">
      <w:bodyDiv w:val="1"/>
      <w:marLeft w:val="0"/>
      <w:marRight w:val="0"/>
      <w:marTop w:val="0"/>
      <w:marBottom w:val="0"/>
      <w:divBdr>
        <w:top w:val="none" w:sz="0" w:space="0" w:color="auto"/>
        <w:left w:val="none" w:sz="0" w:space="0" w:color="auto"/>
        <w:bottom w:val="none" w:sz="0" w:space="0" w:color="auto"/>
        <w:right w:val="none" w:sz="0" w:space="0" w:color="auto"/>
      </w:divBdr>
    </w:div>
    <w:div w:id="354817522">
      <w:bodyDiv w:val="1"/>
      <w:marLeft w:val="0"/>
      <w:marRight w:val="0"/>
      <w:marTop w:val="0"/>
      <w:marBottom w:val="0"/>
      <w:divBdr>
        <w:top w:val="none" w:sz="0" w:space="0" w:color="auto"/>
        <w:left w:val="none" w:sz="0" w:space="0" w:color="auto"/>
        <w:bottom w:val="none" w:sz="0" w:space="0" w:color="auto"/>
        <w:right w:val="none" w:sz="0" w:space="0" w:color="auto"/>
      </w:divBdr>
    </w:div>
    <w:div w:id="512037520">
      <w:bodyDiv w:val="1"/>
      <w:marLeft w:val="0"/>
      <w:marRight w:val="0"/>
      <w:marTop w:val="0"/>
      <w:marBottom w:val="0"/>
      <w:divBdr>
        <w:top w:val="none" w:sz="0" w:space="0" w:color="auto"/>
        <w:left w:val="none" w:sz="0" w:space="0" w:color="auto"/>
        <w:bottom w:val="none" w:sz="0" w:space="0" w:color="auto"/>
        <w:right w:val="none" w:sz="0" w:space="0" w:color="auto"/>
      </w:divBdr>
    </w:div>
    <w:div w:id="535700157">
      <w:bodyDiv w:val="1"/>
      <w:marLeft w:val="0"/>
      <w:marRight w:val="0"/>
      <w:marTop w:val="0"/>
      <w:marBottom w:val="0"/>
      <w:divBdr>
        <w:top w:val="none" w:sz="0" w:space="0" w:color="auto"/>
        <w:left w:val="none" w:sz="0" w:space="0" w:color="auto"/>
        <w:bottom w:val="none" w:sz="0" w:space="0" w:color="auto"/>
        <w:right w:val="none" w:sz="0" w:space="0" w:color="auto"/>
      </w:divBdr>
    </w:div>
    <w:div w:id="556085457">
      <w:bodyDiv w:val="1"/>
      <w:marLeft w:val="0"/>
      <w:marRight w:val="0"/>
      <w:marTop w:val="0"/>
      <w:marBottom w:val="0"/>
      <w:divBdr>
        <w:top w:val="none" w:sz="0" w:space="0" w:color="auto"/>
        <w:left w:val="none" w:sz="0" w:space="0" w:color="auto"/>
        <w:bottom w:val="none" w:sz="0" w:space="0" w:color="auto"/>
        <w:right w:val="none" w:sz="0" w:space="0" w:color="auto"/>
      </w:divBdr>
    </w:div>
    <w:div w:id="563832305">
      <w:bodyDiv w:val="1"/>
      <w:marLeft w:val="0"/>
      <w:marRight w:val="0"/>
      <w:marTop w:val="0"/>
      <w:marBottom w:val="0"/>
      <w:divBdr>
        <w:top w:val="none" w:sz="0" w:space="0" w:color="auto"/>
        <w:left w:val="none" w:sz="0" w:space="0" w:color="auto"/>
        <w:bottom w:val="none" w:sz="0" w:space="0" w:color="auto"/>
        <w:right w:val="none" w:sz="0" w:space="0" w:color="auto"/>
      </w:divBdr>
    </w:div>
    <w:div w:id="665474128">
      <w:bodyDiv w:val="1"/>
      <w:marLeft w:val="0"/>
      <w:marRight w:val="0"/>
      <w:marTop w:val="0"/>
      <w:marBottom w:val="0"/>
      <w:divBdr>
        <w:top w:val="none" w:sz="0" w:space="0" w:color="auto"/>
        <w:left w:val="none" w:sz="0" w:space="0" w:color="auto"/>
        <w:bottom w:val="none" w:sz="0" w:space="0" w:color="auto"/>
        <w:right w:val="none" w:sz="0" w:space="0" w:color="auto"/>
      </w:divBdr>
    </w:div>
    <w:div w:id="685251198">
      <w:bodyDiv w:val="1"/>
      <w:marLeft w:val="0"/>
      <w:marRight w:val="0"/>
      <w:marTop w:val="0"/>
      <w:marBottom w:val="0"/>
      <w:divBdr>
        <w:top w:val="none" w:sz="0" w:space="0" w:color="auto"/>
        <w:left w:val="none" w:sz="0" w:space="0" w:color="auto"/>
        <w:bottom w:val="none" w:sz="0" w:space="0" w:color="auto"/>
        <w:right w:val="none" w:sz="0" w:space="0" w:color="auto"/>
      </w:divBdr>
    </w:div>
    <w:div w:id="695156545">
      <w:bodyDiv w:val="1"/>
      <w:marLeft w:val="0"/>
      <w:marRight w:val="0"/>
      <w:marTop w:val="0"/>
      <w:marBottom w:val="0"/>
      <w:divBdr>
        <w:top w:val="none" w:sz="0" w:space="0" w:color="auto"/>
        <w:left w:val="none" w:sz="0" w:space="0" w:color="auto"/>
        <w:bottom w:val="none" w:sz="0" w:space="0" w:color="auto"/>
        <w:right w:val="none" w:sz="0" w:space="0" w:color="auto"/>
      </w:divBdr>
    </w:div>
    <w:div w:id="706414433">
      <w:bodyDiv w:val="1"/>
      <w:marLeft w:val="0"/>
      <w:marRight w:val="0"/>
      <w:marTop w:val="0"/>
      <w:marBottom w:val="0"/>
      <w:divBdr>
        <w:top w:val="none" w:sz="0" w:space="0" w:color="auto"/>
        <w:left w:val="none" w:sz="0" w:space="0" w:color="auto"/>
        <w:bottom w:val="none" w:sz="0" w:space="0" w:color="auto"/>
        <w:right w:val="none" w:sz="0" w:space="0" w:color="auto"/>
      </w:divBdr>
    </w:div>
    <w:div w:id="722405868">
      <w:bodyDiv w:val="1"/>
      <w:marLeft w:val="0"/>
      <w:marRight w:val="0"/>
      <w:marTop w:val="0"/>
      <w:marBottom w:val="0"/>
      <w:divBdr>
        <w:top w:val="none" w:sz="0" w:space="0" w:color="auto"/>
        <w:left w:val="none" w:sz="0" w:space="0" w:color="auto"/>
        <w:bottom w:val="none" w:sz="0" w:space="0" w:color="auto"/>
        <w:right w:val="none" w:sz="0" w:space="0" w:color="auto"/>
      </w:divBdr>
    </w:div>
    <w:div w:id="729812346">
      <w:bodyDiv w:val="1"/>
      <w:marLeft w:val="0"/>
      <w:marRight w:val="0"/>
      <w:marTop w:val="0"/>
      <w:marBottom w:val="0"/>
      <w:divBdr>
        <w:top w:val="none" w:sz="0" w:space="0" w:color="auto"/>
        <w:left w:val="none" w:sz="0" w:space="0" w:color="auto"/>
        <w:bottom w:val="none" w:sz="0" w:space="0" w:color="auto"/>
        <w:right w:val="none" w:sz="0" w:space="0" w:color="auto"/>
      </w:divBdr>
    </w:div>
    <w:div w:id="744960119">
      <w:bodyDiv w:val="1"/>
      <w:marLeft w:val="0"/>
      <w:marRight w:val="0"/>
      <w:marTop w:val="0"/>
      <w:marBottom w:val="0"/>
      <w:divBdr>
        <w:top w:val="none" w:sz="0" w:space="0" w:color="auto"/>
        <w:left w:val="none" w:sz="0" w:space="0" w:color="auto"/>
        <w:bottom w:val="none" w:sz="0" w:space="0" w:color="auto"/>
        <w:right w:val="none" w:sz="0" w:space="0" w:color="auto"/>
      </w:divBdr>
    </w:div>
    <w:div w:id="768428259">
      <w:bodyDiv w:val="1"/>
      <w:marLeft w:val="0"/>
      <w:marRight w:val="0"/>
      <w:marTop w:val="0"/>
      <w:marBottom w:val="0"/>
      <w:divBdr>
        <w:top w:val="none" w:sz="0" w:space="0" w:color="auto"/>
        <w:left w:val="none" w:sz="0" w:space="0" w:color="auto"/>
        <w:bottom w:val="none" w:sz="0" w:space="0" w:color="auto"/>
        <w:right w:val="none" w:sz="0" w:space="0" w:color="auto"/>
      </w:divBdr>
    </w:div>
    <w:div w:id="800926462">
      <w:bodyDiv w:val="1"/>
      <w:marLeft w:val="0"/>
      <w:marRight w:val="0"/>
      <w:marTop w:val="0"/>
      <w:marBottom w:val="0"/>
      <w:divBdr>
        <w:top w:val="none" w:sz="0" w:space="0" w:color="auto"/>
        <w:left w:val="none" w:sz="0" w:space="0" w:color="auto"/>
        <w:bottom w:val="none" w:sz="0" w:space="0" w:color="auto"/>
        <w:right w:val="none" w:sz="0" w:space="0" w:color="auto"/>
      </w:divBdr>
    </w:div>
    <w:div w:id="806049059">
      <w:bodyDiv w:val="1"/>
      <w:marLeft w:val="0"/>
      <w:marRight w:val="0"/>
      <w:marTop w:val="0"/>
      <w:marBottom w:val="0"/>
      <w:divBdr>
        <w:top w:val="none" w:sz="0" w:space="0" w:color="auto"/>
        <w:left w:val="none" w:sz="0" w:space="0" w:color="auto"/>
        <w:bottom w:val="none" w:sz="0" w:space="0" w:color="auto"/>
        <w:right w:val="none" w:sz="0" w:space="0" w:color="auto"/>
      </w:divBdr>
    </w:div>
    <w:div w:id="833028867">
      <w:bodyDiv w:val="1"/>
      <w:marLeft w:val="0"/>
      <w:marRight w:val="0"/>
      <w:marTop w:val="0"/>
      <w:marBottom w:val="0"/>
      <w:divBdr>
        <w:top w:val="none" w:sz="0" w:space="0" w:color="auto"/>
        <w:left w:val="none" w:sz="0" w:space="0" w:color="auto"/>
        <w:bottom w:val="none" w:sz="0" w:space="0" w:color="auto"/>
        <w:right w:val="none" w:sz="0" w:space="0" w:color="auto"/>
      </w:divBdr>
    </w:div>
    <w:div w:id="833226753">
      <w:bodyDiv w:val="1"/>
      <w:marLeft w:val="0"/>
      <w:marRight w:val="0"/>
      <w:marTop w:val="0"/>
      <w:marBottom w:val="0"/>
      <w:divBdr>
        <w:top w:val="none" w:sz="0" w:space="0" w:color="auto"/>
        <w:left w:val="none" w:sz="0" w:space="0" w:color="auto"/>
        <w:bottom w:val="none" w:sz="0" w:space="0" w:color="auto"/>
        <w:right w:val="none" w:sz="0" w:space="0" w:color="auto"/>
      </w:divBdr>
    </w:div>
    <w:div w:id="879323612">
      <w:bodyDiv w:val="1"/>
      <w:marLeft w:val="0"/>
      <w:marRight w:val="0"/>
      <w:marTop w:val="0"/>
      <w:marBottom w:val="0"/>
      <w:divBdr>
        <w:top w:val="none" w:sz="0" w:space="0" w:color="auto"/>
        <w:left w:val="none" w:sz="0" w:space="0" w:color="auto"/>
        <w:bottom w:val="none" w:sz="0" w:space="0" w:color="auto"/>
        <w:right w:val="none" w:sz="0" w:space="0" w:color="auto"/>
      </w:divBdr>
    </w:div>
    <w:div w:id="958800360">
      <w:bodyDiv w:val="1"/>
      <w:marLeft w:val="0"/>
      <w:marRight w:val="0"/>
      <w:marTop w:val="0"/>
      <w:marBottom w:val="0"/>
      <w:divBdr>
        <w:top w:val="none" w:sz="0" w:space="0" w:color="auto"/>
        <w:left w:val="none" w:sz="0" w:space="0" w:color="auto"/>
        <w:bottom w:val="none" w:sz="0" w:space="0" w:color="auto"/>
        <w:right w:val="none" w:sz="0" w:space="0" w:color="auto"/>
      </w:divBdr>
    </w:div>
    <w:div w:id="1018312967">
      <w:bodyDiv w:val="1"/>
      <w:marLeft w:val="0"/>
      <w:marRight w:val="0"/>
      <w:marTop w:val="0"/>
      <w:marBottom w:val="0"/>
      <w:divBdr>
        <w:top w:val="none" w:sz="0" w:space="0" w:color="auto"/>
        <w:left w:val="none" w:sz="0" w:space="0" w:color="auto"/>
        <w:bottom w:val="none" w:sz="0" w:space="0" w:color="auto"/>
        <w:right w:val="none" w:sz="0" w:space="0" w:color="auto"/>
      </w:divBdr>
    </w:div>
    <w:div w:id="1023894791">
      <w:bodyDiv w:val="1"/>
      <w:marLeft w:val="0"/>
      <w:marRight w:val="0"/>
      <w:marTop w:val="0"/>
      <w:marBottom w:val="0"/>
      <w:divBdr>
        <w:top w:val="none" w:sz="0" w:space="0" w:color="auto"/>
        <w:left w:val="none" w:sz="0" w:space="0" w:color="auto"/>
        <w:bottom w:val="none" w:sz="0" w:space="0" w:color="auto"/>
        <w:right w:val="none" w:sz="0" w:space="0" w:color="auto"/>
      </w:divBdr>
    </w:div>
    <w:div w:id="1024669688">
      <w:bodyDiv w:val="1"/>
      <w:marLeft w:val="0"/>
      <w:marRight w:val="0"/>
      <w:marTop w:val="0"/>
      <w:marBottom w:val="0"/>
      <w:divBdr>
        <w:top w:val="none" w:sz="0" w:space="0" w:color="auto"/>
        <w:left w:val="none" w:sz="0" w:space="0" w:color="auto"/>
        <w:bottom w:val="none" w:sz="0" w:space="0" w:color="auto"/>
        <w:right w:val="none" w:sz="0" w:space="0" w:color="auto"/>
      </w:divBdr>
    </w:div>
    <w:div w:id="1073235416">
      <w:bodyDiv w:val="1"/>
      <w:marLeft w:val="0"/>
      <w:marRight w:val="0"/>
      <w:marTop w:val="0"/>
      <w:marBottom w:val="0"/>
      <w:divBdr>
        <w:top w:val="none" w:sz="0" w:space="0" w:color="auto"/>
        <w:left w:val="none" w:sz="0" w:space="0" w:color="auto"/>
        <w:bottom w:val="none" w:sz="0" w:space="0" w:color="auto"/>
        <w:right w:val="none" w:sz="0" w:space="0" w:color="auto"/>
      </w:divBdr>
    </w:div>
    <w:div w:id="1100219116">
      <w:bodyDiv w:val="1"/>
      <w:marLeft w:val="0"/>
      <w:marRight w:val="0"/>
      <w:marTop w:val="0"/>
      <w:marBottom w:val="0"/>
      <w:divBdr>
        <w:top w:val="none" w:sz="0" w:space="0" w:color="auto"/>
        <w:left w:val="none" w:sz="0" w:space="0" w:color="auto"/>
        <w:bottom w:val="none" w:sz="0" w:space="0" w:color="auto"/>
        <w:right w:val="none" w:sz="0" w:space="0" w:color="auto"/>
      </w:divBdr>
    </w:div>
    <w:div w:id="1109424387">
      <w:bodyDiv w:val="1"/>
      <w:marLeft w:val="0"/>
      <w:marRight w:val="0"/>
      <w:marTop w:val="0"/>
      <w:marBottom w:val="0"/>
      <w:divBdr>
        <w:top w:val="none" w:sz="0" w:space="0" w:color="auto"/>
        <w:left w:val="none" w:sz="0" w:space="0" w:color="auto"/>
        <w:bottom w:val="none" w:sz="0" w:space="0" w:color="auto"/>
        <w:right w:val="none" w:sz="0" w:space="0" w:color="auto"/>
      </w:divBdr>
    </w:div>
    <w:div w:id="1214972553">
      <w:bodyDiv w:val="1"/>
      <w:marLeft w:val="0"/>
      <w:marRight w:val="0"/>
      <w:marTop w:val="0"/>
      <w:marBottom w:val="0"/>
      <w:divBdr>
        <w:top w:val="none" w:sz="0" w:space="0" w:color="auto"/>
        <w:left w:val="none" w:sz="0" w:space="0" w:color="auto"/>
        <w:bottom w:val="none" w:sz="0" w:space="0" w:color="auto"/>
        <w:right w:val="none" w:sz="0" w:space="0" w:color="auto"/>
      </w:divBdr>
    </w:div>
    <w:div w:id="1228028876">
      <w:bodyDiv w:val="1"/>
      <w:marLeft w:val="0"/>
      <w:marRight w:val="0"/>
      <w:marTop w:val="0"/>
      <w:marBottom w:val="0"/>
      <w:divBdr>
        <w:top w:val="none" w:sz="0" w:space="0" w:color="auto"/>
        <w:left w:val="none" w:sz="0" w:space="0" w:color="auto"/>
        <w:bottom w:val="none" w:sz="0" w:space="0" w:color="auto"/>
        <w:right w:val="none" w:sz="0" w:space="0" w:color="auto"/>
      </w:divBdr>
    </w:div>
    <w:div w:id="1326742668">
      <w:bodyDiv w:val="1"/>
      <w:marLeft w:val="0"/>
      <w:marRight w:val="0"/>
      <w:marTop w:val="0"/>
      <w:marBottom w:val="0"/>
      <w:divBdr>
        <w:top w:val="none" w:sz="0" w:space="0" w:color="auto"/>
        <w:left w:val="none" w:sz="0" w:space="0" w:color="auto"/>
        <w:bottom w:val="none" w:sz="0" w:space="0" w:color="auto"/>
        <w:right w:val="none" w:sz="0" w:space="0" w:color="auto"/>
      </w:divBdr>
    </w:div>
    <w:div w:id="1336222968">
      <w:bodyDiv w:val="1"/>
      <w:marLeft w:val="0"/>
      <w:marRight w:val="0"/>
      <w:marTop w:val="0"/>
      <w:marBottom w:val="0"/>
      <w:divBdr>
        <w:top w:val="none" w:sz="0" w:space="0" w:color="auto"/>
        <w:left w:val="none" w:sz="0" w:space="0" w:color="auto"/>
        <w:bottom w:val="none" w:sz="0" w:space="0" w:color="auto"/>
        <w:right w:val="none" w:sz="0" w:space="0" w:color="auto"/>
      </w:divBdr>
    </w:div>
    <w:div w:id="1352611629">
      <w:bodyDiv w:val="1"/>
      <w:marLeft w:val="0"/>
      <w:marRight w:val="0"/>
      <w:marTop w:val="0"/>
      <w:marBottom w:val="0"/>
      <w:divBdr>
        <w:top w:val="none" w:sz="0" w:space="0" w:color="auto"/>
        <w:left w:val="none" w:sz="0" w:space="0" w:color="auto"/>
        <w:bottom w:val="none" w:sz="0" w:space="0" w:color="auto"/>
        <w:right w:val="none" w:sz="0" w:space="0" w:color="auto"/>
      </w:divBdr>
    </w:div>
    <w:div w:id="1407679352">
      <w:bodyDiv w:val="1"/>
      <w:marLeft w:val="0"/>
      <w:marRight w:val="0"/>
      <w:marTop w:val="0"/>
      <w:marBottom w:val="0"/>
      <w:divBdr>
        <w:top w:val="none" w:sz="0" w:space="0" w:color="auto"/>
        <w:left w:val="none" w:sz="0" w:space="0" w:color="auto"/>
        <w:bottom w:val="none" w:sz="0" w:space="0" w:color="auto"/>
        <w:right w:val="none" w:sz="0" w:space="0" w:color="auto"/>
      </w:divBdr>
    </w:div>
    <w:div w:id="1415783401">
      <w:bodyDiv w:val="1"/>
      <w:marLeft w:val="0"/>
      <w:marRight w:val="0"/>
      <w:marTop w:val="0"/>
      <w:marBottom w:val="0"/>
      <w:divBdr>
        <w:top w:val="none" w:sz="0" w:space="0" w:color="auto"/>
        <w:left w:val="none" w:sz="0" w:space="0" w:color="auto"/>
        <w:bottom w:val="none" w:sz="0" w:space="0" w:color="auto"/>
        <w:right w:val="none" w:sz="0" w:space="0" w:color="auto"/>
      </w:divBdr>
    </w:div>
    <w:div w:id="1450276810">
      <w:bodyDiv w:val="1"/>
      <w:marLeft w:val="0"/>
      <w:marRight w:val="0"/>
      <w:marTop w:val="0"/>
      <w:marBottom w:val="0"/>
      <w:divBdr>
        <w:top w:val="none" w:sz="0" w:space="0" w:color="auto"/>
        <w:left w:val="none" w:sz="0" w:space="0" w:color="auto"/>
        <w:bottom w:val="none" w:sz="0" w:space="0" w:color="auto"/>
        <w:right w:val="none" w:sz="0" w:space="0" w:color="auto"/>
      </w:divBdr>
    </w:div>
    <w:div w:id="1480027016">
      <w:bodyDiv w:val="1"/>
      <w:marLeft w:val="0"/>
      <w:marRight w:val="0"/>
      <w:marTop w:val="0"/>
      <w:marBottom w:val="0"/>
      <w:divBdr>
        <w:top w:val="none" w:sz="0" w:space="0" w:color="auto"/>
        <w:left w:val="none" w:sz="0" w:space="0" w:color="auto"/>
        <w:bottom w:val="none" w:sz="0" w:space="0" w:color="auto"/>
        <w:right w:val="none" w:sz="0" w:space="0" w:color="auto"/>
      </w:divBdr>
    </w:div>
    <w:div w:id="1485120317">
      <w:bodyDiv w:val="1"/>
      <w:marLeft w:val="0"/>
      <w:marRight w:val="0"/>
      <w:marTop w:val="0"/>
      <w:marBottom w:val="0"/>
      <w:divBdr>
        <w:top w:val="none" w:sz="0" w:space="0" w:color="auto"/>
        <w:left w:val="none" w:sz="0" w:space="0" w:color="auto"/>
        <w:bottom w:val="none" w:sz="0" w:space="0" w:color="auto"/>
        <w:right w:val="none" w:sz="0" w:space="0" w:color="auto"/>
      </w:divBdr>
    </w:div>
    <w:div w:id="1486818970">
      <w:bodyDiv w:val="1"/>
      <w:marLeft w:val="0"/>
      <w:marRight w:val="0"/>
      <w:marTop w:val="0"/>
      <w:marBottom w:val="0"/>
      <w:divBdr>
        <w:top w:val="none" w:sz="0" w:space="0" w:color="auto"/>
        <w:left w:val="none" w:sz="0" w:space="0" w:color="auto"/>
        <w:bottom w:val="none" w:sz="0" w:space="0" w:color="auto"/>
        <w:right w:val="none" w:sz="0" w:space="0" w:color="auto"/>
      </w:divBdr>
    </w:div>
    <w:div w:id="1518618029">
      <w:bodyDiv w:val="1"/>
      <w:marLeft w:val="0"/>
      <w:marRight w:val="0"/>
      <w:marTop w:val="0"/>
      <w:marBottom w:val="0"/>
      <w:divBdr>
        <w:top w:val="none" w:sz="0" w:space="0" w:color="auto"/>
        <w:left w:val="none" w:sz="0" w:space="0" w:color="auto"/>
        <w:bottom w:val="none" w:sz="0" w:space="0" w:color="auto"/>
        <w:right w:val="none" w:sz="0" w:space="0" w:color="auto"/>
      </w:divBdr>
    </w:div>
    <w:div w:id="1519196379">
      <w:bodyDiv w:val="1"/>
      <w:marLeft w:val="0"/>
      <w:marRight w:val="0"/>
      <w:marTop w:val="0"/>
      <w:marBottom w:val="0"/>
      <w:divBdr>
        <w:top w:val="none" w:sz="0" w:space="0" w:color="auto"/>
        <w:left w:val="none" w:sz="0" w:space="0" w:color="auto"/>
        <w:bottom w:val="none" w:sz="0" w:space="0" w:color="auto"/>
        <w:right w:val="none" w:sz="0" w:space="0" w:color="auto"/>
      </w:divBdr>
    </w:div>
    <w:div w:id="1579168732">
      <w:bodyDiv w:val="1"/>
      <w:marLeft w:val="0"/>
      <w:marRight w:val="0"/>
      <w:marTop w:val="0"/>
      <w:marBottom w:val="0"/>
      <w:divBdr>
        <w:top w:val="none" w:sz="0" w:space="0" w:color="auto"/>
        <w:left w:val="none" w:sz="0" w:space="0" w:color="auto"/>
        <w:bottom w:val="none" w:sz="0" w:space="0" w:color="auto"/>
        <w:right w:val="none" w:sz="0" w:space="0" w:color="auto"/>
      </w:divBdr>
    </w:div>
    <w:div w:id="1595436061">
      <w:bodyDiv w:val="1"/>
      <w:marLeft w:val="0"/>
      <w:marRight w:val="0"/>
      <w:marTop w:val="0"/>
      <w:marBottom w:val="0"/>
      <w:divBdr>
        <w:top w:val="none" w:sz="0" w:space="0" w:color="auto"/>
        <w:left w:val="none" w:sz="0" w:space="0" w:color="auto"/>
        <w:bottom w:val="none" w:sz="0" w:space="0" w:color="auto"/>
        <w:right w:val="none" w:sz="0" w:space="0" w:color="auto"/>
      </w:divBdr>
    </w:div>
    <w:div w:id="1700231037">
      <w:bodyDiv w:val="1"/>
      <w:marLeft w:val="0"/>
      <w:marRight w:val="0"/>
      <w:marTop w:val="0"/>
      <w:marBottom w:val="0"/>
      <w:divBdr>
        <w:top w:val="none" w:sz="0" w:space="0" w:color="auto"/>
        <w:left w:val="none" w:sz="0" w:space="0" w:color="auto"/>
        <w:bottom w:val="none" w:sz="0" w:space="0" w:color="auto"/>
        <w:right w:val="none" w:sz="0" w:space="0" w:color="auto"/>
      </w:divBdr>
    </w:div>
    <w:div w:id="1713652777">
      <w:bodyDiv w:val="1"/>
      <w:marLeft w:val="0"/>
      <w:marRight w:val="0"/>
      <w:marTop w:val="0"/>
      <w:marBottom w:val="0"/>
      <w:divBdr>
        <w:top w:val="none" w:sz="0" w:space="0" w:color="auto"/>
        <w:left w:val="none" w:sz="0" w:space="0" w:color="auto"/>
        <w:bottom w:val="none" w:sz="0" w:space="0" w:color="auto"/>
        <w:right w:val="none" w:sz="0" w:space="0" w:color="auto"/>
      </w:divBdr>
    </w:div>
    <w:div w:id="1745107063">
      <w:bodyDiv w:val="1"/>
      <w:marLeft w:val="0"/>
      <w:marRight w:val="0"/>
      <w:marTop w:val="0"/>
      <w:marBottom w:val="0"/>
      <w:divBdr>
        <w:top w:val="none" w:sz="0" w:space="0" w:color="auto"/>
        <w:left w:val="none" w:sz="0" w:space="0" w:color="auto"/>
        <w:bottom w:val="none" w:sz="0" w:space="0" w:color="auto"/>
        <w:right w:val="none" w:sz="0" w:space="0" w:color="auto"/>
      </w:divBdr>
    </w:div>
    <w:div w:id="1864130442">
      <w:bodyDiv w:val="1"/>
      <w:marLeft w:val="0"/>
      <w:marRight w:val="0"/>
      <w:marTop w:val="0"/>
      <w:marBottom w:val="0"/>
      <w:divBdr>
        <w:top w:val="none" w:sz="0" w:space="0" w:color="auto"/>
        <w:left w:val="none" w:sz="0" w:space="0" w:color="auto"/>
        <w:bottom w:val="none" w:sz="0" w:space="0" w:color="auto"/>
        <w:right w:val="none" w:sz="0" w:space="0" w:color="auto"/>
      </w:divBdr>
    </w:div>
    <w:div w:id="1866870588">
      <w:bodyDiv w:val="1"/>
      <w:marLeft w:val="0"/>
      <w:marRight w:val="0"/>
      <w:marTop w:val="0"/>
      <w:marBottom w:val="0"/>
      <w:divBdr>
        <w:top w:val="none" w:sz="0" w:space="0" w:color="auto"/>
        <w:left w:val="none" w:sz="0" w:space="0" w:color="auto"/>
        <w:bottom w:val="none" w:sz="0" w:space="0" w:color="auto"/>
        <w:right w:val="none" w:sz="0" w:space="0" w:color="auto"/>
      </w:divBdr>
    </w:div>
    <w:div w:id="1878664324">
      <w:bodyDiv w:val="1"/>
      <w:marLeft w:val="0"/>
      <w:marRight w:val="0"/>
      <w:marTop w:val="0"/>
      <w:marBottom w:val="0"/>
      <w:divBdr>
        <w:top w:val="none" w:sz="0" w:space="0" w:color="auto"/>
        <w:left w:val="none" w:sz="0" w:space="0" w:color="auto"/>
        <w:bottom w:val="none" w:sz="0" w:space="0" w:color="auto"/>
        <w:right w:val="none" w:sz="0" w:space="0" w:color="auto"/>
      </w:divBdr>
    </w:div>
    <w:div w:id="1892956231">
      <w:bodyDiv w:val="1"/>
      <w:marLeft w:val="0"/>
      <w:marRight w:val="0"/>
      <w:marTop w:val="0"/>
      <w:marBottom w:val="0"/>
      <w:divBdr>
        <w:top w:val="none" w:sz="0" w:space="0" w:color="auto"/>
        <w:left w:val="none" w:sz="0" w:space="0" w:color="auto"/>
        <w:bottom w:val="none" w:sz="0" w:space="0" w:color="auto"/>
        <w:right w:val="none" w:sz="0" w:space="0" w:color="auto"/>
      </w:divBdr>
    </w:div>
    <w:div w:id="1916358826">
      <w:bodyDiv w:val="1"/>
      <w:marLeft w:val="0"/>
      <w:marRight w:val="0"/>
      <w:marTop w:val="0"/>
      <w:marBottom w:val="0"/>
      <w:divBdr>
        <w:top w:val="none" w:sz="0" w:space="0" w:color="auto"/>
        <w:left w:val="none" w:sz="0" w:space="0" w:color="auto"/>
        <w:bottom w:val="none" w:sz="0" w:space="0" w:color="auto"/>
        <w:right w:val="none" w:sz="0" w:space="0" w:color="auto"/>
      </w:divBdr>
    </w:div>
    <w:div w:id="1938446506">
      <w:bodyDiv w:val="1"/>
      <w:marLeft w:val="0"/>
      <w:marRight w:val="0"/>
      <w:marTop w:val="0"/>
      <w:marBottom w:val="0"/>
      <w:divBdr>
        <w:top w:val="none" w:sz="0" w:space="0" w:color="auto"/>
        <w:left w:val="none" w:sz="0" w:space="0" w:color="auto"/>
        <w:bottom w:val="none" w:sz="0" w:space="0" w:color="auto"/>
        <w:right w:val="none" w:sz="0" w:space="0" w:color="auto"/>
      </w:divBdr>
    </w:div>
    <w:div w:id="1942756347">
      <w:bodyDiv w:val="1"/>
      <w:marLeft w:val="0"/>
      <w:marRight w:val="0"/>
      <w:marTop w:val="0"/>
      <w:marBottom w:val="0"/>
      <w:divBdr>
        <w:top w:val="none" w:sz="0" w:space="0" w:color="auto"/>
        <w:left w:val="none" w:sz="0" w:space="0" w:color="auto"/>
        <w:bottom w:val="none" w:sz="0" w:space="0" w:color="auto"/>
        <w:right w:val="none" w:sz="0" w:space="0" w:color="auto"/>
      </w:divBdr>
    </w:div>
    <w:div w:id="1953508250">
      <w:bodyDiv w:val="1"/>
      <w:marLeft w:val="0"/>
      <w:marRight w:val="0"/>
      <w:marTop w:val="0"/>
      <w:marBottom w:val="0"/>
      <w:divBdr>
        <w:top w:val="none" w:sz="0" w:space="0" w:color="auto"/>
        <w:left w:val="none" w:sz="0" w:space="0" w:color="auto"/>
        <w:bottom w:val="none" w:sz="0" w:space="0" w:color="auto"/>
        <w:right w:val="none" w:sz="0" w:space="0" w:color="auto"/>
      </w:divBdr>
      <w:divsChild>
        <w:div w:id="71974193">
          <w:marLeft w:val="0"/>
          <w:marRight w:val="0"/>
          <w:marTop w:val="0"/>
          <w:marBottom w:val="0"/>
          <w:divBdr>
            <w:top w:val="none" w:sz="0" w:space="0" w:color="auto"/>
            <w:left w:val="none" w:sz="0" w:space="0" w:color="auto"/>
            <w:bottom w:val="none" w:sz="0" w:space="0" w:color="auto"/>
            <w:right w:val="none" w:sz="0" w:space="0" w:color="auto"/>
          </w:divBdr>
        </w:div>
        <w:div w:id="400248810">
          <w:marLeft w:val="0"/>
          <w:marRight w:val="0"/>
          <w:marTop w:val="0"/>
          <w:marBottom w:val="0"/>
          <w:divBdr>
            <w:top w:val="none" w:sz="0" w:space="0" w:color="auto"/>
            <w:left w:val="none" w:sz="0" w:space="0" w:color="auto"/>
            <w:bottom w:val="none" w:sz="0" w:space="0" w:color="auto"/>
            <w:right w:val="none" w:sz="0" w:space="0" w:color="auto"/>
          </w:divBdr>
        </w:div>
      </w:divsChild>
    </w:div>
    <w:div w:id="1979265911">
      <w:bodyDiv w:val="1"/>
      <w:marLeft w:val="0"/>
      <w:marRight w:val="0"/>
      <w:marTop w:val="0"/>
      <w:marBottom w:val="0"/>
      <w:divBdr>
        <w:top w:val="none" w:sz="0" w:space="0" w:color="auto"/>
        <w:left w:val="none" w:sz="0" w:space="0" w:color="auto"/>
        <w:bottom w:val="none" w:sz="0" w:space="0" w:color="auto"/>
        <w:right w:val="none" w:sz="0" w:space="0" w:color="auto"/>
      </w:divBdr>
    </w:div>
    <w:div w:id="1992367318">
      <w:bodyDiv w:val="1"/>
      <w:marLeft w:val="0"/>
      <w:marRight w:val="0"/>
      <w:marTop w:val="0"/>
      <w:marBottom w:val="0"/>
      <w:divBdr>
        <w:top w:val="none" w:sz="0" w:space="0" w:color="auto"/>
        <w:left w:val="none" w:sz="0" w:space="0" w:color="auto"/>
        <w:bottom w:val="none" w:sz="0" w:space="0" w:color="auto"/>
        <w:right w:val="none" w:sz="0" w:space="0" w:color="auto"/>
      </w:divBdr>
    </w:div>
    <w:div w:id="2010331432">
      <w:bodyDiv w:val="1"/>
      <w:marLeft w:val="0"/>
      <w:marRight w:val="0"/>
      <w:marTop w:val="0"/>
      <w:marBottom w:val="0"/>
      <w:divBdr>
        <w:top w:val="none" w:sz="0" w:space="0" w:color="auto"/>
        <w:left w:val="none" w:sz="0" w:space="0" w:color="auto"/>
        <w:bottom w:val="none" w:sz="0" w:space="0" w:color="auto"/>
        <w:right w:val="none" w:sz="0" w:space="0" w:color="auto"/>
      </w:divBdr>
    </w:div>
    <w:div w:id="2055275778">
      <w:bodyDiv w:val="1"/>
      <w:marLeft w:val="0"/>
      <w:marRight w:val="0"/>
      <w:marTop w:val="0"/>
      <w:marBottom w:val="0"/>
      <w:divBdr>
        <w:top w:val="none" w:sz="0" w:space="0" w:color="auto"/>
        <w:left w:val="none" w:sz="0" w:space="0" w:color="auto"/>
        <w:bottom w:val="none" w:sz="0" w:space="0" w:color="auto"/>
        <w:right w:val="none" w:sz="0" w:space="0" w:color="auto"/>
      </w:divBdr>
    </w:div>
    <w:div w:id="2078628444">
      <w:bodyDiv w:val="1"/>
      <w:marLeft w:val="0"/>
      <w:marRight w:val="0"/>
      <w:marTop w:val="0"/>
      <w:marBottom w:val="0"/>
      <w:divBdr>
        <w:top w:val="none" w:sz="0" w:space="0" w:color="auto"/>
        <w:left w:val="none" w:sz="0" w:space="0" w:color="auto"/>
        <w:bottom w:val="none" w:sz="0" w:space="0" w:color="auto"/>
        <w:right w:val="none" w:sz="0" w:space="0" w:color="auto"/>
      </w:divBdr>
    </w:div>
    <w:div w:id="2099211885">
      <w:bodyDiv w:val="1"/>
      <w:marLeft w:val="0"/>
      <w:marRight w:val="0"/>
      <w:marTop w:val="0"/>
      <w:marBottom w:val="0"/>
      <w:divBdr>
        <w:top w:val="none" w:sz="0" w:space="0" w:color="auto"/>
        <w:left w:val="none" w:sz="0" w:space="0" w:color="auto"/>
        <w:bottom w:val="none" w:sz="0" w:space="0" w:color="auto"/>
        <w:right w:val="none" w:sz="0" w:space="0" w:color="auto"/>
      </w:divBdr>
    </w:div>
    <w:div w:id="2122801856">
      <w:bodyDiv w:val="1"/>
      <w:marLeft w:val="0"/>
      <w:marRight w:val="0"/>
      <w:marTop w:val="0"/>
      <w:marBottom w:val="0"/>
      <w:divBdr>
        <w:top w:val="none" w:sz="0" w:space="0" w:color="auto"/>
        <w:left w:val="none" w:sz="0" w:space="0" w:color="auto"/>
        <w:bottom w:val="none" w:sz="0" w:space="0" w:color="auto"/>
        <w:right w:val="none" w:sz="0" w:space="0" w:color="auto"/>
      </w:divBdr>
      <w:divsChild>
        <w:div w:id="1468355847">
          <w:marLeft w:val="0"/>
          <w:marRight w:val="0"/>
          <w:marTop w:val="0"/>
          <w:marBottom w:val="0"/>
          <w:divBdr>
            <w:top w:val="none" w:sz="0" w:space="0" w:color="auto"/>
            <w:left w:val="none" w:sz="0" w:space="0" w:color="auto"/>
            <w:bottom w:val="none" w:sz="0" w:space="0" w:color="auto"/>
            <w:right w:val="none" w:sz="0" w:space="0" w:color="auto"/>
          </w:divBdr>
        </w:div>
      </w:divsChild>
    </w:div>
    <w:div w:id="2130472969">
      <w:bodyDiv w:val="1"/>
      <w:marLeft w:val="0"/>
      <w:marRight w:val="0"/>
      <w:marTop w:val="0"/>
      <w:marBottom w:val="0"/>
      <w:divBdr>
        <w:top w:val="none" w:sz="0" w:space="0" w:color="auto"/>
        <w:left w:val="none" w:sz="0" w:space="0" w:color="auto"/>
        <w:bottom w:val="none" w:sz="0" w:space="0" w:color="auto"/>
        <w:right w:val="none" w:sz="0" w:space="0" w:color="auto"/>
      </w:divBdr>
    </w:div>
    <w:div w:id="2132311884">
      <w:bodyDiv w:val="1"/>
      <w:marLeft w:val="0"/>
      <w:marRight w:val="0"/>
      <w:marTop w:val="0"/>
      <w:marBottom w:val="0"/>
      <w:divBdr>
        <w:top w:val="none" w:sz="0" w:space="0" w:color="auto"/>
        <w:left w:val="none" w:sz="0" w:space="0" w:color="auto"/>
        <w:bottom w:val="none" w:sz="0" w:space="0" w:color="auto"/>
        <w:right w:val="none" w:sz="0" w:space="0" w:color="auto"/>
      </w:divBdr>
    </w:div>
    <w:div w:id="21333297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microsoft.com/office/2016/09/relationships/commentsIds" Target="commentsId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328</TotalTime>
  <Pages>24</Pages>
  <Words>21012</Words>
  <Characters>119771</Characters>
  <Application>Microsoft Office Word</Application>
  <DocSecurity>0</DocSecurity>
  <Lines>998</Lines>
  <Paragraphs>281</Paragraphs>
  <ScaleCrop>false</ScaleCrop>
  <HeadingPairs>
    <vt:vector size="2" baseType="variant">
      <vt:variant>
        <vt:lpstr>Title</vt:lpstr>
      </vt:variant>
      <vt:variant>
        <vt:i4>1</vt:i4>
      </vt:variant>
    </vt:vector>
  </HeadingPairs>
  <TitlesOfParts>
    <vt:vector size="1" baseType="lpstr">
      <vt:lpstr/>
    </vt:vector>
  </TitlesOfParts>
  <Company>University College London Hospital</Company>
  <LinksUpToDate>false</LinksUpToDate>
  <CharactersWithSpaces>140502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CCHMC</dc:creator>
  <cp:lastModifiedBy>Rachana Shah</cp:lastModifiedBy>
  <cp:revision>202</cp:revision>
  <cp:lastPrinted>2018-02-26T17:43:00Z</cp:lastPrinted>
  <dcterms:created xsi:type="dcterms:W3CDTF">2018-01-29T13:36:00Z</dcterms:created>
  <dcterms:modified xsi:type="dcterms:W3CDTF">2018-03-14T01:18:00Z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zotero-version="5.0.37"&gt;&lt;session id="05htucHF"/&gt;&lt;style id="http://www.zotero.org/styles/pediatric-blood-and-cancer" hasBibliography="1" bibliographyStyleHasBeenSet="1"/&gt;&lt;prefs&gt;&lt;pref name="fieldType" value="Field"/&gt;&lt;pref name="storeR</vt:lpwstr>
  </property>
  <property fmtid="{D5CDD505-2E9C-101B-9397-08002B2CF9AE}" pid="3" name="ZOTERO_PREF_2">
    <vt:lpwstr>eferences" value="true"/&gt;&lt;/prefs&gt;&lt;/data&gt;</vt:lpwstr>
  </property>
</Properties>
</file>