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A345DB" w14:textId="03A8DF35" w:rsidR="00580F87" w:rsidRPr="00FB251A" w:rsidRDefault="00580F87" w:rsidP="003E3844">
      <w:pPr>
        <w:spacing w:line="480" w:lineRule="auto"/>
        <w:jc w:val="center"/>
        <w:rPr>
          <w:rFonts w:ascii="Garamond" w:hAnsi="Garamond" w:cs="Times New Roman"/>
          <w:smallCaps/>
          <w:sz w:val="24"/>
          <w:szCs w:val="24"/>
          <w:lang w:val="en-GB"/>
        </w:rPr>
      </w:pPr>
      <w:r>
        <w:rPr>
          <w:rFonts w:ascii="Garamond" w:hAnsi="Garamond" w:cs="Times New Roman"/>
          <w:smallCaps/>
          <w:sz w:val="24"/>
          <w:szCs w:val="24"/>
          <w:lang w:val="en-GB"/>
        </w:rPr>
        <w:t xml:space="preserve">Francis </w:t>
      </w:r>
      <w:r w:rsidRPr="00FB251A">
        <w:rPr>
          <w:rFonts w:ascii="Garamond" w:hAnsi="Garamond" w:cs="Times New Roman"/>
          <w:smallCaps/>
          <w:sz w:val="24"/>
          <w:szCs w:val="24"/>
          <w:lang w:val="en-GB"/>
        </w:rPr>
        <w:t>Bacon on Imperial and Colonial Warfare</w:t>
      </w:r>
    </w:p>
    <w:p w14:paraId="10B71290" w14:textId="326345E5" w:rsidR="00FE1723" w:rsidRDefault="00FE1723" w:rsidP="003E3844">
      <w:pPr>
        <w:spacing w:line="480" w:lineRule="auto"/>
        <w:rPr>
          <w:rFonts w:ascii="Garamond" w:hAnsi="Garamond" w:cs="Times New Roman"/>
          <w:sz w:val="24"/>
          <w:szCs w:val="24"/>
          <w:lang w:val="en-GB"/>
        </w:rPr>
      </w:pPr>
      <w:r>
        <w:rPr>
          <w:rFonts w:ascii="Garamond" w:hAnsi="Garamond" w:cs="Times New Roman"/>
          <w:sz w:val="24"/>
          <w:szCs w:val="24"/>
          <w:lang w:val="en-GB"/>
        </w:rPr>
        <w:t>Abstract:</w:t>
      </w:r>
    </w:p>
    <w:p w14:paraId="257D3C8F" w14:textId="6759009E" w:rsidR="00FE1723" w:rsidRDefault="00FE1723" w:rsidP="003E3844">
      <w:pPr>
        <w:spacing w:line="480" w:lineRule="auto"/>
        <w:rPr>
          <w:rFonts w:ascii="Garamond" w:hAnsi="Garamond" w:cs="Times New Roman"/>
          <w:sz w:val="24"/>
          <w:szCs w:val="24"/>
          <w:lang w:val="en-GB"/>
        </w:rPr>
      </w:pPr>
      <w:r>
        <w:rPr>
          <w:rFonts w:ascii="Garamond" w:hAnsi="Garamond" w:cs="Times New Roman"/>
          <w:sz w:val="24"/>
          <w:szCs w:val="24"/>
          <w:lang w:val="en-GB"/>
        </w:rPr>
        <w:t xml:space="preserve">This article offers a textual and historical reconstruction of Francis Bacon’s thought on imperial and colonial warfare. </w:t>
      </w:r>
      <w:r w:rsidR="006022C3" w:rsidRPr="0020542C">
        <w:rPr>
          <w:rFonts w:ascii="Garamond" w:hAnsi="Garamond" w:cs="Times New Roman"/>
          <w:sz w:val="24"/>
          <w:szCs w:val="24"/>
        </w:rPr>
        <w:t xml:space="preserve">Bacon holds that conquest, acquisition of peoples and territory through force, followed by subjugation, confers a legal right and title. </w:t>
      </w:r>
      <w:r w:rsidR="00D91E8A">
        <w:rPr>
          <w:rFonts w:ascii="Garamond" w:hAnsi="Garamond" w:cs="Times New Roman"/>
          <w:sz w:val="24"/>
          <w:szCs w:val="24"/>
        </w:rPr>
        <w:t>I</w:t>
      </w:r>
      <w:r w:rsidR="006022C3" w:rsidRPr="0020542C">
        <w:rPr>
          <w:rFonts w:ascii="Garamond" w:hAnsi="Garamond" w:cs="Times New Roman"/>
          <w:sz w:val="24"/>
          <w:szCs w:val="24"/>
        </w:rPr>
        <w:t xml:space="preserve">mperial expansion is justified both by arguments concerning the inter-state balance of power and by arguments related to internal order and stability. On Bacon’s view, a successful state must be expansionist, for two key reasons: first, as long as its rivals are expansionist, a state must keep up and even try to outpace them, and, second, that a surplus population will foment civil war unless this “surcharge of people” is farmed out to colonies.  These arguments for imperial state expansion are held to justify both internal and external colonization and empire. Paradoxically, Bacon holds that the internally colonized may be treated with greater severity, as suppressed rebels, than the externally colonized, who are more fitly a subject of the </w:t>
      </w:r>
      <w:proofErr w:type="spellStart"/>
      <w:r w:rsidR="006022C3" w:rsidRPr="0020542C">
        <w:rPr>
          <w:rFonts w:ascii="Garamond" w:hAnsi="Garamond" w:cs="Times New Roman"/>
          <w:i/>
          <w:iCs/>
          <w:sz w:val="24"/>
          <w:szCs w:val="24"/>
        </w:rPr>
        <w:t>ius</w:t>
      </w:r>
      <w:proofErr w:type="spellEnd"/>
      <w:r w:rsidR="006022C3" w:rsidRPr="0020542C">
        <w:rPr>
          <w:rFonts w:ascii="Garamond" w:hAnsi="Garamond" w:cs="Times New Roman"/>
          <w:i/>
          <w:iCs/>
          <w:sz w:val="24"/>
          <w:szCs w:val="24"/>
        </w:rPr>
        <w:t xml:space="preserve"> gentium</w:t>
      </w:r>
      <w:r w:rsidR="006022C3" w:rsidRPr="0020542C">
        <w:rPr>
          <w:rFonts w:ascii="Garamond" w:hAnsi="Garamond" w:cs="Times New Roman"/>
          <w:sz w:val="24"/>
          <w:szCs w:val="24"/>
        </w:rPr>
        <w:t xml:space="preserve">. </w:t>
      </w:r>
      <w:r w:rsidR="00D91E8A">
        <w:rPr>
          <w:rFonts w:ascii="Garamond" w:hAnsi="Garamond" w:cs="Times New Roman"/>
          <w:sz w:val="24"/>
          <w:szCs w:val="24"/>
        </w:rPr>
        <w:t xml:space="preserve"> </w:t>
      </w:r>
      <w:r w:rsidR="006022C3" w:rsidRPr="0020542C">
        <w:rPr>
          <w:rFonts w:ascii="Garamond" w:hAnsi="Garamond" w:cs="Times New Roman"/>
          <w:sz w:val="24"/>
          <w:szCs w:val="24"/>
        </w:rPr>
        <w:t>Bacon holds that toleration offers both an imperial stratagem and a comparative justification for why English and British imperial expansion is more desirable tha</w:t>
      </w:r>
      <w:r w:rsidR="00BF74EA">
        <w:rPr>
          <w:rFonts w:ascii="Garamond" w:hAnsi="Garamond" w:cs="Times New Roman"/>
          <w:sz w:val="24"/>
          <w:szCs w:val="24"/>
        </w:rPr>
        <w:t>n</w:t>
      </w:r>
      <w:r w:rsidR="006022C3" w:rsidRPr="0020542C">
        <w:rPr>
          <w:rFonts w:ascii="Garamond" w:hAnsi="Garamond" w:cs="Times New Roman"/>
          <w:sz w:val="24"/>
          <w:szCs w:val="24"/>
        </w:rPr>
        <w:t xml:space="preserve"> Spanish imperial expansion.</w:t>
      </w:r>
      <w:r w:rsidR="006022C3">
        <w:rPr>
          <w:rFonts w:ascii="Garamond" w:hAnsi="Garamond" w:cs="Times New Roman"/>
          <w:sz w:val="24"/>
          <w:szCs w:val="24"/>
        </w:rPr>
        <w:t xml:space="preserve"> </w:t>
      </w:r>
      <w:r w:rsidR="00A564E1">
        <w:rPr>
          <w:rFonts w:ascii="Garamond" w:hAnsi="Garamond" w:cs="Times New Roman"/>
          <w:sz w:val="24"/>
          <w:szCs w:val="24"/>
          <w:lang w:val="en-GB"/>
        </w:rPr>
        <w:t>The article concludes with broader reflections about how one might understand the place of imperial and colonial projects in Bacon’s thought</w:t>
      </w:r>
      <w:r w:rsidR="00441D03">
        <w:rPr>
          <w:rFonts w:ascii="Garamond" w:hAnsi="Garamond" w:cs="Times New Roman"/>
          <w:sz w:val="24"/>
          <w:szCs w:val="24"/>
          <w:lang w:val="en-GB"/>
        </w:rPr>
        <w:t>, contending that these projects are central to an understanding of Bacon’s political aims and thought more broadly</w:t>
      </w:r>
      <w:r w:rsidR="00A564E1">
        <w:rPr>
          <w:rFonts w:ascii="Garamond" w:hAnsi="Garamond" w:cs="Times New Roman"/>
          <w:sz w:val="24"/>
          <w:szCs w:val="24"/>
          <w:lang w:val="en-GB"/>
        </w:rPr>
        <w:t xml:space="preserve">.  </w:t>
      </w:r>
    </w:p>
    <w:p w14:paraId="6645048F" w14:textId="5C79916D" w:rsidR="00FE1723" w:rsidRDefault="00FE1723" w:rsidP="003E3844">
      <w:pPr>
        <w:spacing w:line="480" w:lineRule="auto"/>
        <w:rPr>
          <w:rFonts w:ascii="Garamond" w:hAnsi="Garamond" w:cs="Times New Roman"/>
          <w:sz w:val="24"/>
          <w:szCs w:val="24"/>
          <w:lang w:val="en-GB"/>
        </w:rPr>
      </w:pPr>
      <w:r>
        <w:rPr>
          <w:rFonts w:ascii="Garamond" w:hAnsi="Garamond" w:cs="Times New Roman"/>
          <w:sz w:val="24"/>
          <w:szCs w:val="24"/>
          <w:lang w:val="en-GB"/>
        </w:rPr>
        <w:t>Keywords: Francis Bacon, empire, colonies, war</w:t>
      </w:r>
    </w:p>
    <w:p w14:paraId="2E05A064" w14:textId="3ECCEF3E" w:rsidR="00ED37F7" w:rsidRDefault="00580F87" w:rsidP="003E3844">
      <w:pPr>
        <w:spacing w:line="480" w:lineRule="auto"/>
        <w:rPr>
          <w:rFonts w:ascii="Garamond" w:hAnsi="Garamond" w:cs="Times New Roman"/>
          <w:sz w:val="24"/>
          <w:szCs w:val="24"/>
          <w:lang w:val="en-GB"/>
        </w:rPr>
      </w:pPr>
      <w:r w:rsidRPr="00FB251A">
        <w:rPr>
          <w:rFonts w:ascii="Garamond" w:hAnsi="Garamond" w:cs="Times New Roman"/>
          <w:sz w:val="24"/>
          <w:szCs w:val="24"/>
          <w:lang w:val="en-GB"/>
        </w:rPr>
        <w:lastRenderedPageBreak/>
        <w:t xml:space="preserve">Francis Bacon </w:t>
      </w:r>
      <w:r w:rsidR="00FE1723">
        <w:rPr>
          <w:rFonts w:ascii="Garamond" w:hAnsi="Garamond" w:cs="Times New Roman"/>
          <w:sz w:val="24"/>
          <w:szCs w:val="24"/>
          <w:lang w:val="en-GB"/>
        </w:rPr>
        <w:t xml:space="preserve">(1561-1626) </w:t>
      </w:r>
      <w:r w:rsidRPr="00FB251A">
        <w:rPr>
          <w:rFonts w:ascii="Garamond" w:hAnsi="Garamond" w:cs="Times New Roman"/>
          <w:sz w:val="24"/>
          <w:szCs w:val="24"/>
          <w:lang w:val="en-GB"/>
        </w:rPr>
        <w:t>was deeply involved in various trans-Atlantic colonial projects,</w:t>
      </w:r>
      <w:r w:rsidRPr="00FB251A">
        <w:rPr>
          <w:rStyle w:val="FootnoteReference"/>
          <w:rFonts w:ascii="Garamond" w:hAnsi="Garamond"/>
          <w:sz w:val="24"/>
          <w:szCs w:val="24"/>
          <w:lang w:val="en-GB"/>
        </w:rPr>
        <w:footnoteReference w:id="1"/>
      </w:r>
      <w:r w:rsidRPr="00FB251A">
        <w:rPr>
          <w:rFonts w:ascii="Garamond" w:hAnsi="Garamond" w:cs="Times New Roman"/>
          <w:sz w:val="24"/>
          <w:szCs w:val="24"/>
          <w:lang w:val="en-GB"/>
        </w:rPr>
        <w:t xml:space="preserve"> sitting as a member of Council for the Virginia Company of London from 1609,</w:t>
      </w:r>
      <w:r w:rsidRPr="00FB251A">
        <w:rPr>
          <w:rStyle w:val="FootnoteReference"/>
          <w:rFonts w:ascii="Garamond" w:hAnsi="Garamond"/>
          <w:sz w:val="24"/>
          <w:szCs w:val="24"/>
          <w:lang w:val="en-GB"/>
        </w:rPr>
        <w:footnoteReference w:id="2"/>
      </w:r>
      <w:r w:rsidRPr="00FB251A">
        <w:rPr>
          <w:rFonts w:ascii="Garamond" w:hAnsi="Garamond" w:cs="Times New Roman"/>
          <w:sz w:val="24"/>
          <w:szCs w:val="24"/>
          <w:lang w:val="en-GB"/>
        </w:rPr>
        <w:t xml:space="preserve"> an incorporator of the Newfoundland Company in 1610</w:t>
      </w:r>
      <w:r w:rsidRPr="00FB251A">
        <w:rPr>
          <w:rStyle w:val="FootnoteReference"/>
          <w:rFonts w:ascii="Garamond" w:hAnsi="Garamond"/>
          <w:sz w:val="24"/>
          <w:szCs w:val="24"/>
          <w:lang w:val="en-GB"/>
        </w:rPr>
        <w:footnoteReference w:id="3"/>
      </w:r>
      <w:r w:rsidRPr="00FB251A">
        <w:rPr>
          <w:rFonts w:ascii="Garamond" w:hAnsi="Garamond" w:cs="Times New Roman"/>
          <w:sz w:val="24"/>
          <w:szCs w:val="24"/>
          <w:lang w:val="en-GB"/>
        </w:rPr>
        <w:t xml:space="preserve"> and of the Northwest Passage Company in 1612,</w:t>
      </w:r>
      <w:r w:rsidRPr="00FB251A">
        <w:rPr>
          <w:rStyle w:val="FootnoteReference"/>
          <w:rFonts w:ascii="Garamond" w:hAnsi="Garamond"/>
          <w:sz w:val="24"/>
          <w:szCs w:val="24"/>
          <w:lang w:val="en-GB"/>
        </w:rPr>
        <w:footnoteReference w:id="4"/>
      </w:r>
      <w:r w:rsidRPr="00FB251A">
        <w:rPr>
          <w:rFonts w:ascii="Garamond" w:hAnsi="Garamond" w:cs="Times New Roman"/>
          <w:sz w:val="24"/>
          <w:szCs w:val="24"/>
          <w:lang w:val="en-GB"/>
        </w:rPr>
        <w:t xml:space="preserve"> and holding membership in the East India Company from 1618.</w:t>
      </w:r>
      <w:r w:rsidRPr="00FB251A">
        <w:rPr>
          <w:rStyle w:val="FootnoteReference"/>
          <w:rFonts w:ascii="Garamond" w:hAnsi="Garamond"/>
          <w:sz w:val="24"/>
          <w:szCs w:val="24"/>
          <w:lang w:val="en-GB"/>
        </w:rPr>
        <w:footnoteReference w:id="5"/>
      </w:r>
      <w:r w:rsidRPr="00FB251A">
        <w:rPr>
          <w:rFonts w:ascii="Garamond" w:hAnsi="Garamond" w:cs="Times New Roman"/>
          <w:sz w:val="24"/>
          <w:szCs w:val="24"/>
          <w:lang w:val="en-GB"/>
        </w:rPr>
        <w:t xml:space="preserve">  Some scholars have been silent on the role of colonies in Bacon’s political thought</w:t>
      </w:r>
      <w:r w:rsidR="006E5108">
        <w:rPr>
          <w:rStyle w:val="FootnoteReference"/>
          <w:rFonts w:ascii="Garamond" w:hAnsi="Garamond" w:cs="Times New Roman"/>
          <w:sz w:val="24"/>
          <w:szCs w:val="24"/>
          <w:lang w:val="en-GB"/>
        </w:rPr>
        <w:footnoteReference w:id="6"/>
      </w:r>
      <w:r w:rsidRPr="00FB251A">
        <w:rPr>
          <w:rFonts w:ascii="Garamond" w:hAnsi="Garamond" w:cs="Times New Roman"/>
          <w:sz w:val="24"/>
          <w:szCs w:val="24"/>
          <w:lang w:val="en-GB"/>
        </w:rPr>
        <w:t xml:space="preserve"> or persistently downplayed this aspect of his work in favour of a “classical republican” reading that eschews both empire</w:t>
      </w:r>
      <w:r w:rsidRPr="00FB251A">
        <w:rPr>
          <w:rStyle w:val="FootnoteReference"/>
          <w:rFonts w:ascii="Garamond" w:hAnsi="Garamond"/>
          <w:sz w:val="24"/>
          <w:szCs w:val="24"/>
          <w:lang w:val="en-GB"/>
        </w:rPr>
        <w:footnoteReference w:id="7"/>
      </w:r>
      <w:r w:rsidRPr="00FB251A">
        <w:rPr>
          <w:rFonts w:ascii="Garamond" w:hAnsi="Garamond" w:cs="Times New Roman"/>
          <w:sz w:val="24"/>
          <w:szCs w:val="24"/>
          <w:lang w:val="en-GB"/>
        </w:rPr>
        <w:t xml:space="preserve"> as well as Bacon’s colonial endeavours</w:t>
      </w:r>
      <w:r w:rsidR="00ED37F7">
        <w:rPr>
          <w:rFonts w:ascii="Garamond" w:hAnsi="Garamond" w:cs="Times New Roman"/>
          <w:sz w:val="24"/>
          <w:szCs w:val="24"/>
          <w:lang w:val="en-GB"/>
        </w:rPr>
        <w:t>.</w:t>
      </w:r>
      <w:r w:rsidRPr="00FB251A">
        <w:rPr>
          <w:rStyle w:val="FootnoteReference"/>
          <w:rFonts w:ascii="Garamond" w:hAnsi="Garamond"/>
          <w:sz w:val="24"/>
          <w:szCs w:val="24"/>
          <w:lang w:val="en-GB"/>
        </w:rPr>
        <w:footnoteReference w:id="8"/>
      </w:r>
      <w:r w:rsidRPr="00FB251A">
        <w:rPr>
          <w:rFonts w:ascii="Garamond" w:hAnsi="Garamond" w:cs="Times New Roman"/>
          <w:sz w:val="24"/>
          <w:szCs w:val="24"/>
          <w:lang w:val="en-GB"/>
        </w:rPr>
        <w:t xml:space="preserve"> </w:t>
      </w:r>
      <w:r w:rsidR="00ED37F7">
        <w:rPr>
          <w:rFonts w:ascii="Garamond" w:hAnsi="Garamond" w:cs="Times New Roman"/>
          <w:sz w:val="24"/>
          <w:szCs w:val="24"/>
          <w:lang w:val="en-GB"/>
        </w:rPr>
        <w:t xml:space="preserve"> O</w:t>
      </w:r>
      <w:r w:rsidRPr="00FB251A">
        <w:rPr>
          <w:rFonts w:ascii="Garamond" w:hAnsi="Garamond" w:cs="Times New Roman"/>
          <w:sz w:val="24"/>
          <w:szCs w:val="24"/>
          <w:lang w:val="en-GB"/>
        </w:rPr>
        <w:t>thers have asserted that colonial apologetics played no role in Bacon’s thought.</w:t>
      </w:r>
      <w:r w:rsidRPr="00FB251A">
        <w:rPr>
          <w:rStyle w:val="FootnoteReference"/>
          <w:rFonts w:ascii="Garamond" w:hAnsi="Garamond"/>
          <w:sz w:val="24"/>
          <w:szCs w:val="24"/>
          <w:lang w:val="en-GB"/>
        </w:rPr>
        <w:footnoteReference w:id="9"/>
      </w:r>
      <w:r w:rsidRPr="00FB251A">
        <w:rPr>
          <w:rFonts w:ascii="Garamond" w:hAnsi="Garamond" w:cs="Times New Roman"/>
          <w:sz w:val="24"/>
          <w:szCs w:val="24"/>
          <w:lang w:val="en-GB"/>
        </w:rPr>
        <w:t xml:space="preserve"> </w:t>
      </w:r>
      <w:r w:rsidR="00F437C3">
        <w:rPr>
          <w:rFonts w:ascii="Garamond" w:hAnsi="Garamond" w:cs="Times New Roman"/>
          <w:sz w:val="24"/>
          <w:szCs w:val="24"/>
          <w:lang w:val="en-GB"/>
        </w:rPr>
        <w:t xml:space="preserve"> </w:t>
      </w:r>
      <w:bookmarkStart w:id="0" w:name="_Hlk36908767"/>
      <w:r w:rsidR="00ED37F7">
        <w:rPr>
          <w:rFonts w:ascii="Garamond" w:hAnsi="Garamond" w:cs="Times New Roman"/>
          <w:sz w:val="24"/>
          <w:szCs w:val="24"/>
          <w:lang w:val="en-GB"/>
        </w:rPr>
        <w:t xml:space="preserve">The present </w:t>
      </w:r>
      <w:r w:rsidR="00ED37F7">
        <w:rPr>
          <w:rFonts w:ascii="Garamond" w:hAnsi="Garamond" w:cs="Times New Roman"/>
          <w:sz w:val="24"/>
          <w:szCs w:val="24"/>
          <w:lang w:val="en-GB"/>
        </w:rPr>
        <w:lastRenderedPageBreak/>
        <w:t>article, by contrast with these approaches, offers a textual and historical reconstruction of Bacon’s thought on imperial and colonial warfare</w:t>
      </w:r>
      <w:r w:rsidR="00D91E8A">
        <w:rPr>
          <w:rFonts w:ascii="Garamond" w:hAnsi="Garamond" w:cs="Times New Roman"/>
          <w:sz w:val="24"/>
          <w:szCs w:val="24"/>
          <w:lang w:val="en-GB"/>
        </w:rPr>
        <w:t>, examining at a wider range of texts across Bacon’s entire corpus, not least his governmental white papers and his concrete policy proposals for English colonies</w:t>
      </w:r>
      <w:r w:rsidR="00ED37F7">
        <w:rPr>
          <w:rFonts w:ascii="Garamond" w:hAnsi="Garamond" w:cs="Times New Roman"/>
          <w:sz w:val="24"/>
          <w:szCs w:val="24"/>
          <w:lang w:val="en-GB"/>
        </w:rPr>
        <w:t xml:space="preserve">.  </w:t>
      </w:r>
      <w:r w:rsidR="00D91E8A">
        <w:rPr>
          <w:rFonts w:ascii="Garamond" w:hAnsi="Garamond" w:cs="Times New Roman"/>
          <w:sz w:val="24"/>
          <w:szCs w:val="24"/>
          <w:lang w:val="en-GB"/>
        </w:rPr>
        <w:t>Drawing upon this wider source base, the article</w:t>
      </w:r>
      <w:r w:rsidR="00ED37F7">
        <w:rPr>
          <w:rFonts w:ascii="Garamond" w:hAnsi="Garamond" w:cs="Times New Roman"/>
          <w:sz w:val="24"/>
          <w:szCs w:val="24"/>
          <w:lang w:val="en-GB"/>
        </w:rPr>
        <w:t xml:space="preserve"> </w:t>
      </w:r>
      <w:r w:rsidRPr="00FB251A">
        <w:rPr>
          <w:rFonts w:ascii="Garamond" w:hAnsi="Garamond" w:cs="Times New Roman"/>
          <w:sz w:val="24"/>
          <w:szCs w:val="24"/>
          <w:lang w:val="en-GB"/>
        </w:rPr>
        <w:t>argue</w:t>
      </w:r>
      <w:r w:rsidR="00F437C3">
        <w:rPr>
          <w:rFonts w:ascii="Garamond" w:hAnsi="Garamond" w:cs="Times New Roman"/>
          <w:sz w:val="24"/>
          <w:szCs w:val="24"/>
          <w:lang w:val="en-GB"/>
        </w:rPr>
        <w:t>s</w:t>
      </w:r>
      <w:r w:rsidRPr="00FB251A">
        <w:rPr>
          <w:rFonts w:ascii="Garamond" w:hAnsi="Garamond" w:cs="Times New Roman"/>
          <w:sz w:val="24"/>
          <w:szCs w:val="24"/>
          <w:lang w:val="en-GB"/>
        </w:rPr>
        <w:t xml:space="preserve"> that Bacon’s colonial and imperial involvement was reflected and meditated upon in his political writings</w:t>
      </w:r>
      <w:r w:rsidR="00ED37F7">
        <w:rPr>
          <w:rFonts w:ascii="Garamond" w:hAnsi="Garamond" w:cs="Times New Roman"/>
          <w:sz w:val="24"/>
          <w:szCs w:val="24"/>
          <w:lang w:val="en-GB"/>
        </w:rPr>
        <w:t>.</w:t>
      </w:r>
    </w:p>
    <w:p w14:paraId="1CDC9AAC" w14:textId="49564DF4" w:rsidR="00293939" w:rsidRDefault="00ED37F7" w:rsidP="00441D03">
      <w:pPr>
        <w:spacing w:line="480" w:lineRule="auto"/>
        <w:ind w:firstLine="360"/>
        <w:rPr>
          <w:rFonts w:ascii="Garamond" w:hAnsi="Garamond" w:cs="Times New Roman"/>
          <w:i/>
          <w:sz w:val="24"/>
          <w:szCs w:val="24"/>
        </w:rPr>
      </w:pPr>
      <w:r>
        <w:rPr>
          <w:rFonts w:ascii="Garamond" w:hAnsi="Garamond" w:cs="Times New Roman"/>
          <w:sz w:val="24"/>
          <w:szCs w:val="24"/>
          <w:lang w:val="en-GB"/>
        </w:rPr>
        <w:t>T</w:t>
      </w:r>
      <w:r w:rsidR="00F437C3">
        <w:rPr>
          <w:rFonts w:ascii="Garamond" w:hAnsi="Garamond" w:cs="Times New Roman"/>
          <w:sz w:val="24"/>
          <w:szCs w:val="24"/>
          <w:lang w:val="en-GB"/>
        </w:rPr>
        <w:t>he argument proceed</w:t>
      </w:r>
      <w:r>
        <w:rPr>
          <w:rFonts w:ascii="Garamond" w:hAnsi="Garamond" w:cs="Times New Roman"/>
          <w:sz w:val="24"/>
          <w:szCs w:val="24"/>
          <w:lang w:val="en-GB"/>
        </w:rPr>
        <w:t>s</w:t>
      </w:r>
      <w:r w:rsidR="00F437C3">
        <w:rPr>
          <w:rFonts w:ascii="Garamond" w:hAnsi="Garamond" w:cs="Times New Roman"/>
          <w:sz w:val="24"/>
          <w:szCs w:val="24"/>
          <w:lang w:val="en-GB"/>
        </w:rPr>
        <w:t xml:space="preserve"> in </w:t>
      </w:r>
      <w:r w:rsidR="00C95682">
        <w:rPr>
          <w:rFonts w:ascii="Garamond" w:hAnsi="Garamond" w:cs="Times New Roman"/>
          <w:sz w:val="24"/>
          <w:szCs w:val="24"/>
          <w:lang w:val="en-GB"/>
        </w:rPr>
        <w:t>seven</w:t>
      </w:r>
      <w:r w:rsidR="00F437C3">
        <w:rPr>
          <w:rFonts w:ascii="Garamond" w:hAnsi="Garamond" w:cs="Times New Roman"/>
          <w:sz w:val="24"/>
          <w:szCs w:val="24"/>
          <w:lang w:val="en-GB"/>
        </w:rPr>
        <w:t xml:space="preserve"> sections.  First</w:t>
      </w:r>
      <w:r w:rsidR="00580F87" w:rsidRPr="00FB251A">
        <w:rPr>
          <w:rFonts w:ascii="Garamond" w:hAnsi="Garamond" w:cs="Times New Roman"/>
          <w:sz w:val="24"/>
          <w:szCs w:val="24"/>
          <w:lang w:val="en-GB"/>
        </w:rPr>
        <w:t>, th</w:t>
      </w:r>
      <w:r w:rsidR="00F437C3">
        <w:rPr>
          <w:rFonts w:ascii="Garamond" w:hAnsi="Garamond" w:cs="Times New Roman"/>
          <w:sz w:val="24"/>
          <w:szCs w:val="24"/>
          <w:lang w:val="en-GB"/>
        </w:rPr>
        <w:t>e</w:t>
      </w:r>
      <w:r w:rsidR="00580F87" w:rsidRPr="00FB251A">
        <w:rPr>
          <w:rFonts w:ascii="Garamond" w:hAnsi="Garamond" w:cs="Times New Roman"/>
          <w:sz w:val="24"/>
          <w:szCs w:val="24"/>
          <w:lang w:val="en-GB"/>
        </w:rPr>
        <w:t xml:space="preserve"> </w:t>
      </w:r>
      <w:r w:rsidR="00580F87">
        <w:rPr>
          <w:rFonts w:ascii="Garamond" w:hAnsi="Garamond" w:cs="Times New Roman"/>
          <w:sz w:val="24"/>
          <w:szCs w:val="24"/>
          <w:lang w:val="en-GB"/>
        </w:rPr>
        <w:t>article</w:t>
      </w:r>
      <w:r w:rsidR="00580F87" w:rsidRPr="00FB251A">
        <w:rPr>
          <w:rFonts w:ascii="Garamond" w:hAnsi="Garamond" w:cs="Times New Roman"/>
          <w:sz w:val="24"/>
          <w:szCs w:val="24"/>
          <w:lang w:val="en-GB"/>
        </w:rPr>
        <w:t xml:space="preserve"> argue</w:t>
      </w:r>
      <w:r w:rsidR="00F437C3">
        <w:rPr>
          <w:rFonts w:ascii="Garamond" w:hAnsi="Garamond" w:cs="Times New Roman"/>
          <w:sz w:val="24"/>
          <w:szCs w:val="24"/>
          <w:lang w:val="en-GB"/>
        </w:rPr>
        <w:t>s</w:t>
      </w:r>
      <w:r w:rsidR="00580F87" w:rsidRPr="00FB251A">
        <w:rPr>
          <w:rFonts w:ascii="Garamond" w:hAnsi="Garamond" w:cs="Times New Roman"/>
          <w:sz w:val="24"/>
          <w:szCs w:val="24"/>
          <w:lang w:val="en-GB"/>
        </w:rPr>
        <w:t xml:space="preserve"> that Bacon’s colonial and imperial involvement, and his political thought regarding colonies and empire, were rooted in a view of imperial dominion based on a title of conquest</w:t>
      </w:r>
      <w:r w:rsidR="00F437C3">
        <w:rPr>
          <w:rFonts w:ascii="Garamond" w:hAnsi="Garamond" w:cs="Times New Roman"/>
          <w:sz w:val="24"/>
          <w:szCs w:val="24"/>
          <w:lang w:val="en-GB"/>
        </w:rPr>
        <w:t xml:space="preserve">.  Second, one may see Bacon’s view of the interrelation of colonization and warfare in his essay “Of Plantations” and its proposals for the Virginia Colony.  Third, in Bacon’s essay “Of Empire”, one sees an argument for imperial expansion and warfare rooted </w:t>
      </w:r>
      <w:r w:rsidR="00AD2F18">
        <w:rPr>
          <w:rFonts w:ascii="Garamond" w:hAnsi="Garamond" w:cs="Times New Roman"/>
          <w:sz w:val="24"/>
          <w:szCs w:val="24"/>
          <w:lang w:val="en-GB"/>
        </w:rPr>
        <w:t>in great power rivalry</w:t>
      </w:r>
      <w:r w:rsidR="00AD0F08">
        <w:rPr>
          <w:rFonts w:ascii="Garamond" w:hAnsi="Garamond" w:cs="Times New Roman"/>
          <w:sz w:val="24"/>
          <w:szCs w:val="24"/>
          <w:lang w:val="en-GB"/>
        </w:rPr>
        <w:t xml:space="preserve"> and</w:t>
      </w:r>
      <w:r w:rsidR="00AD2F18">
        <w:rPr>
          <w:rFonts w:ascii="Garamond" w:hAnsi="Garamond" w:cs="Times New Roman"/>
          <w:sz w:val="24"/>
          <w:szCs w:val="24"/>
          <w:lang w:val="en-GB"/>
        </w:rPr>
        <w:t xml:space="preserve"> the balance of power, </w:t>
      </w:r>
      <w:r w:rsidR="00AD0F08">
        <w:rPr>
          <w:rFonts w:ascii="Garamond" w:hAnsi="Garamond" w:cs="Times New Roman"/>
          <w:sz w:val="24"/>
          <w:szCs w:val="24"/>
          <w:lang w:val="en-GB"/>
        </w:rPr>
        <w:t>particularly in relation to the Spanish empire of the early seventeenth century</w:t>
      </w:r>
      <w:r w:rsidR="00580F87" w:rsidRPr="00FB251A">
        <w:rPr>
          <w:rFonts w:ascii="Garamond" w:hAnsi="Garamond" w:cs="Times New Roman"/>
          <w:sz w:val="24"/>
          <w:szCs w:val="24"/>
          <w:lang w:val="en-GB"/>
        </w:rPr>
        <w:t>.</w:t>
      </w:r>
      <w:r w:rsidR="00AD2F18">
        <w:rPr>
          <w:rFonts w:ascii="Garamond" w:hAnsi="Garamond" w:cs="Times New Roman"/>
          <w:sz w:val="24"/>
          <w:szCs w:val="24"/>
          <w:lang w:val="en-GB"/>
        </w:rPr>
        <w:t xml:space="preserve">  </w:t>
      </w:r>
      <w:r w:rsidR="00A564E1">
        <w:rPr>
          <w:rFonts w:ascii="Garamond" w:hAnsi="Garamond" w:cs="Times New Roman"/>
          <w:sz w:val="24"/>
          <w:szCs w:val="24"/>
          <w:lang w:val="en-GB"/>
        </w:rPr>
        <w:t xml:space="preserve">In </w:t>
      </w:r>
      <w:r w:rsidR="00516BEF">
        <w:rPr>
          <w:rFonts w:ascii="Garamond" w:hAnsi="Garamond" w:cs="Times New Roman"/>
          <w:sz w:val="24"/>
          <w:szCs w:val="24"/>
          <w:lang w:val="en-GB"/>
        </w:rPr>
        <w:t xml:space="preserve">the </w:t>
      </w:r>
      <w:r w:rsidR="00A564E1">
        <w:rPr>
          <w:rFonts w:ascii="Garamond" w:hAnsi="Garamond" w:cs="Times New Roman"/>
          <w:sz w:val="24"/>
          <w:szCs w:val="24"/>
          <w:lang w:val="en-GB"/>
        </w:rPr>
        <w:t xml:space="preserve">fourth and fifth sections, the article considers Bacon’s commitments to colonial warfare in light of his writings on suppressing internal rebellions and his writings on “greatness”, both of which have implications for his writings on Irish colonization.  </w:t>
      </w:r>
      <w:r w:rsidR="004C44DC" w:rsidRPr="0020542C">
        <w:rPr>
          <w:rFonts w:ascii="Garamond" w:hAnsi="Garamond" w:cs="Times New Roman"/>
          <w:sz w:val="24"/>
          <w:szCs w:val="24"/>
        </w:rPr>
        <w:t xml:space="preserve">Paradoxically, Bacon holds that the internally colonized may be treated with greater severity, as suppressed rebels, than the externally colonized, who are more fitly a subject of the </w:t>
      </w:r>
      <w:proofErr w:type="spellStart"/>
      <w:r w:rsidR="004C44DC" w:rsidRPr="0020542C">
        <w:rPr>
          <w:rFonts w:ascii="Garamond" w:hAnsi="Garamond" w:cs="Times New Roman"/>
          <w:i/>
          <w:iCs/>
          <w:sz w:val="24"/>
          <w:szCs w:val="24"/>
        </w:rPr>
        <w:t>ius</w:t>
      </w:r>
      <w:proofErr w:type="spellEnd"/>
      <w:r w:rsidR="004C44DC" w:rsidRPr="0020542C">
        <w:rPr>
          <w:rFonts w:ascii="Garamond" w:hAnsi="Garamond" w:cs="Times New Roman"/>
          <w:i/>
          <w:iCs/>
          <w:sz w:val="24"/>
          <w:szCs w:val="24"/>
        </w:rPr>
        <w:t xml:space="preserve"> gentium</w:t>
      </w:r>
      <w:r w:rsidR="004C44DC" w:rsidRPr="0020542C">
        <w:rPr>
          <w:rFonts w:ascii="Garamond" w:hAnsi="Garamond" w:cs="Times New Roman"/>
          <w:sz w:val="24"/>
          <w:szCs w:val="24"/>
        </w:rPr>
        <w:t xml:space="preserve">.  </w:t>
      </w:r>
      <w:r w:rsidR="00F9208D">
        <w:rPr>
          <w:rFonts w:ascii="Garamond" w:hAnsi="Garamond" w:cs="Times New Roman"/>
          <w:sz w:val="24"/>
          <w:szCs w:val="24"/>
          <w:lang w:val="en-GB"/>
        </w:rPr>
        <w:t>Sixth</w:t>
      </w:r>
      <w:r w:rsidR="00AD0F08">
        <w:rPr>
          <w:rFonts w:ascii="Garamond" w:hAnsi="Garamond" w:cs="Times New Roman"/>
          <w:sz w:val="24"/>
          <w:szCs w:val="24"/>
          <w:lang w:val="en-GB"/>
        </w:rPr>
        <w:t xml:space="preserve">, the article offers an interpretation on Bacon’s </w:t>
      </w:r>
      <w:r w:rsidR="00D51217">
        <w:rPr>
          <w:rFonts w:ascii="Garamond" w:hAnsi="Garamond" w:cs="Times New Roman"/>
          <w:sz w:val="24"/>
          <w:szCs w:val="24"/>
          <w:lang w:val="en-GB"/>
        </w:rPr>
        <w:t xml:space="preserve">practical proposals for the colonization of Ireland </w:t>
      </w:r>
      <w:r w:rsidR="00AD0F08">
        <w:rPr>
          <w:rFonts w:ascii="Garamond" w:hAnsi="Garamond" w:cs="Times New Roman"/>
          <w:sz w:val="24"/>
          <w:szCs w:val="24"/>
          <w:lang w:val="en-GB"/>
        </w:rPr>
        <w:t xml:space="preserve">to display the scope and extent of </w:t>
      </w:r>
      <w:r>
        <w:rPr>
          <w:rFonts w:ascii="Garamond" w:hAnsi="Garamond" w:cs="Times New Roman"/>
          <w:sz w:val="24"/>
          <w:szCs w:val="24"/>
          <w:lang w:val="en-GB"/>
        </w:rPr>
        <w:t>his</w:t>
      </w:r>
      <w:r w:rsidR="00AD0F08">
        <w:rPr>
          <w:rFonts w:ascii="Garamond" w:hAnsi="Garamond" w:cs="Times New Roman"/>
          <w:sz w:val="24"/>
          <w:szCs w:val="24"/>
          <w:lang w:val="en-GB"/>
        </w:rPr>
        <w:t xml:space="preserve"> colonial commitments, with particular attention</w:t>
      </w:r>
      <w:r w:rsidR="00A564E1">
        <w:rPr>
          <w:rFonts w:ascii="Garamond" w:hAnsi="Garamond" w:cs="Times New Roman"/>
          <w:sz w:val="24"/>
          <w:szCs w:val="24"/>
          <w:lang w:val="en-GB"/>
        </w:rPr>
        <w:t>, in a seventh and final section,</w:t>
      </w:r>
      <w:r w:rsidR="00AD0F08">
        <w:rPr>
          <w:rFonts w:ascii="Garamond" w:hAnsi="Garamond" w:cs="Times New Roman"/>
          <w:sz w:val="24"/>
          <w:szCs w:val="24"/>
          <w:lang w:val="en-GB"/>
        </w:rPr>
        <w:t xml:space="preserve"> to Bacon’s advocacy of religious toleration as </w:t>
      </w:r>
      <w:r w:rsidR="004C44DC">
        <w:rPr>
          <w:rFonts w:ascii="Garamond" w:hAnsi="Garamond" w:cs="Times New Roman"/>
          <w:sz w:val="24"/>
          <w:szCs w:val="24"/>
          <w:lang w:val="en-GB"/>
        </w:rPr>
        <w:t xml:space="preserve">both </w:t>
      </w:r>
      <w:r w:rsidR="00AD0F08">
        <w:rPr>
          <w:rFonts w:ascii="Garamond" w:hAnsi="Garamond" w:cs="Times New Roman"/>
          <w:sz w:val="24"/>
          <w:szCs w:val="24"/>
          <w:lang w:val="en-GB"/>
        </w:rPr>
        <w:t>a</w:t>
      </w:r>
      <w:r w:rsidR="004C44DC">
        <w:rPr>
          <w:rFonts w:ascii="Garamond" w:hAnsi="Garamond" w:cs="Times New Roman"/>
          <w:sz w:val="24"/>
          <w:szCs w:val="24"/>
          <w:lang w:val="en-GB"/>
        </w:rPr>
        <w:t>n imperial</w:t>
      </w:r>
      <w:r w:rsidR="00AD0F08">
        <w:rPr>
          <w:rFonts w:ascii="Garamond" w:hAnsi="Garamond" w:cs="Times New Roman"/>
          <w:sz w:val="24"/>
          <w:szCs w:val="24"/>
          <w:lang w:val="en-GB"/>
        </w:rPr>
        <w:t xml:space="preserve"> stratagem </w:t>
      </w:r>
      <w:bookmarkStart w:id="1" w:name="_Hlk36835041"/>
      <w:r w:rsidR="004C44DC" w:rsidRPr="0020542C">
        <w:rPr>
          <w:rFonts w:ascii="Garamond" w:hAnsi="Garamond" w:cs="Times New Roman"/>
          <w:sz w:val="24"/>
          <w:szCs w:val="24"/>
        </w:rPr>
        <w:t>and a comparative justification for why English and British imperial expansion is more desirable tha</w:t>
      </w:r>
      <w:r>
        <w:rPr>
          <w:rFonts w:ascii="Garamond" w:hAnsi="Garamond" w:cs="Times New Roman"/>
          <w:sz w:val="24"/>
          <w:szCs w:val="24"/>
        </w:rPr>
        <w:t>n</w:t>
      </w:r>
      <w:r w:rsidR="004C44DC" w:rsidRPr="0020542C">
        <w:rPr>
          <w:rFonts w:ascii="Garamond" w:hAnsi="Garamond" w:cs="Times New Roman"/>
          <w:sz w:val="24"/>
          <w:szCs w:val="24"/>
        </w:rPr>
        <w:t xml:space="preserve"> Spanish imperial expansion</w:t>
      </w:r>
      <w:r w:rsidR="00D51217">
        <w:rPr>
          <w:rFonts w:ascii="Garamond" w:hAnsi="Garamond" w:cs="Times New Roman"/>
          <w:sz w:val="24"/>
          <w:szCs w:val="24"/>
          <w:lang w:val="en-GB"/>
        </w:rPr>
        <w:t xml:space="preserve">. </w:t>
      </w:r>
      <w:r w:rsidR="00632B74">
        <w:rPr>
          <w:rFonts w:ascii="Garamond" w:hAnsi="Garamond" w:cs="Times New Roman"/>
          <w:sz w:val="24"/>
          <w:szCs w:val="24"/>
          <w:lang w:val="en-GB"/>
        </w:rPr>
        <w:t xml:space="preserve"> Throughout, the article emphasizes Bacon’s concern with regime </w:t>
      </w:r>
      <w:r w:rsidR="00632B74">
        <w:rPr>
          <w:rFonts w:ascii="Garamond" w:hAnsi="Garamond" w:cs="Times New Roman"/>
          <w:sz w:val="24"/>
          <w:szCs w:val="24"/>
          <w:lang w:val="en-GB"/>
        </w:rPr>
        <w:lastRenderedPageBreak/>
        <w:t>stability in his advocacy of empire and colonies.</w:t>
      </w:r>
      <w:r w:rsidR="00D51217">
        <w:rPr>
          <w:rFonts w:ascii="Garamond" w:hAnsi="Garamond" w:cs="Times New Roman"/>
          <w:sz w:val="24"/>
          <w:szCs w:val="24"/>
          <w:lang w:val="en-GB"/>
        </w:rPr>
        <w:t xml:space="preserve"> </w:t>
      </w:r>
      <w:bookmarkEnd w:id="1"/>
      <w:r w:rsidR="00D51217">
        <w:rPr>
          <w:rFonts w:ascii="Garamond" w:hAnsi="Garamond" w:cs="Times New Roman"/>
          <w:sz w:val="24"/>
          <w:szCs w:val="24"/>
          <w:lang w:val="en-GB"/>
        </w:rPr>
        <w:t xml:space="preserve">The article concludes with broader reflections about how one might understand the place of imperial and colonial projects in Bacon’s thought. </w:t>
      </w:r>
      <w:bookmarkEnd w:id="0"/>
    </w:p>
    <w:p w14:paraId="3F4A6418" w14:textId="3131FFCC" w:rsidR="00580F87" w:rsidRPr="0076368D" w:rsidRDefault="00580F87" w:rsidP="00441D03">
      <w:pPr>
        <w:spacing w:line="480" w:lineRule="auto"/>
        <w:ind w:firstLine="360"/>
        <w:rPr>
          <w:rFonts w:ascii="Garamond" w:hAnsi="Garamond" w:cs="Times New Roman"/>
          <w:sz w:val="24"/>
          <w:szCs w:val="24"/>
        </w:rPr>
      </w:pPr>
      <w:r w:rsidRPr="0076368D">
        <w:rPr>
          <w:rFonts w:ascii="Garamond" w:hAnsi="Garamond" w:cs="Times New Roman"/>
          <w:i/>
          <w:sz w:val="24"/>
          <w:szCs w:val="24"/>
        </w:rPr>
        <w:t xml:space="preserve">The Title of the Sword </w:t>
      </w:r>
    </w:p>
    <w:p w14:paraId="071BAE1F" w14:textId="54EF0C46" w:rsidR="00FE1723" w:rsidRPr="00FE1723" w:rsidRDefault="00293939" w:rsidP="0030683F">
      <w:pPr>
        <w:spacing w:line="480" w:lineRule="auto"/>
        <w:ind w:firstLine="360"/>
        <w:rPr>
          <w:rFonts w:ascii="Garamond" w:hAnsi="Garamond" w:cs="Times New Roman"/>
          <w:sz w:val="24"/>
          <w:szCs w:val="24"/>
          <w:lang w:val="en-GB"/>
        </w:rPr>
      </w:pPr>
      <w:bookmarkStart w:id="2" w:name="_Hlk36836570"/>
      <w:r>
        <w:rPr>
          <w:rFonts w:ascii="Garamond" w:hAnsi="Garamond" w:cs="Times New Roman"/>
          <w:sz w:val="24"/>
          <w:szCs w:val="24"/>
          <w:lang w:val="en-GB"/>
        </w:rPr>
        <w:t xml:space="preserve">Empire begins with acquisition through force, followed by subjugation, and Bacon’s thought on the matter begins with the title of conquest. </w:t>
      </w:r>
      <w:r w:rsidR="00FE1723">
        <w:rPr>
          <w:rFonts w:ascii="Garamond" w:hAnsi="Garamond" w:cs="Times New Roman"/>
          <w:sz w:val="24"/>
          <w:szCs w:val="24"/>
          <w:lang w:val="en-GB"/>
        </w:rPr>
        <w:t>Conquest</w:t>
      </w:r>
      <w:r>
        <w:rPr>
          <w:rFonts w:ascii="Garamond" w:hAnsi="Garamond" w:cs="Times New Roman"/>
          <w:sz w:val="24"/>
          <w:szCs w:val="24"/>
          <w:lang w:val="en-GB"/>
        </w:rPr>
        <w:t xml:space="preserve"> </w:t>
      </w:r>
      <w:r w:rsidR="00FE1723">
        <w:rPr>
          <w:rFonts w:ascii="Garamond" w:hAnsi="Garamond" w:cs="Times New Roman"/>
          <w:sz w:val="24"/>
          <w:szCs w:val="24"/>
          <w:lang w:val="en-GB"/>
        </w:rPr>
        <w:t>is enforced submission to sovereign authority.</w:t>
      </w:r>
      <w:bookmarkEnd w:id="2"/>
      <w:r w:rsidR="00FE1723" w:rsidRPr="00FB251A">
        <w:rPr>
          <w:rStyle w:val="FootnoteReference"/>
          <w:rFonts w:ascii="Garamond" w:hAnsi="Garamond"/>
          <w:sz w:val="24"/>
          <w:szCs w:val="24"/>
        </w:rPr>
        <w:footnoteReference w:id="10"/>
      </w:r>
      <w:r w:rsidR="00FE1723" w:rsidRPr="00FB251A">
        <w:rPr>
          <w:rFonts w:ascii="Garamond" w:hAnsi="Garamond" w:cs="Times New Roman"/>
          <w:sz w:val="24"/>
          <w:szCs w:val="24"/>
        </w:rPr>
        <w:t xml:space="preserve"> </w:t>
      </w:r>
      <w:r w:rsidR="00FE1723" w:rsidRPr="00FB251A">
        <w:rPr>
          <w:rFonts w:ascii="Garamond" w:hAnsi="Garamond" w:cs="Times New Roman"/>
          <w:sz w:val="24"/>
          <w:szCs w:val="24"/>
          <w:lang w:val="en-GB"/>
        </w:rPr>
        <w:t>In laying out his view of kingship and obedience whilst arguing</w:t>
      </w:r>
      <w:r w:rsidR="00711CAD" w:rsidRPr="00711CAD">
        <w:rPr>
          <w:rFonts w:ascii="Garamond" w:hAnsi="Garamond" w:cs="Times New Roman"/>
          <w:sz w:val="24"/>
          <w:szCs w:val="24"/>
        </w:rPr>
        <w:t xml:space="preserve"> </w:t>
      </w:r>
      <w:r w:rsidR="00711CAD" w:rsidRPr="00FB251A">
        <w:rPr>
          <w:rFonts w:ascii="Garamond" w:hAnsi="Garamond" w:cs="Times New Roman"/>
          <w:sz w:val="24"/>
          <w:szCs w:val="24"/>
        </w:rPr>
        <w:t xml:space="preserve">for the </w:t>
      </w:r>
      <w:r w:rsidR="00EF3A7E">
        <w:rPr>
          <w:rFonts w:ascii="Garamond" w:hAnsi="Garamond" w:cs="Times New Roman"/>
          <w:sz w:val="24"/>
          <w:szCs w:val="24"/>
        </w:rPr>
        <w:t>plaintiff</w:t>
      </w:r>
      <w:r w:rsidR="00711CAD" w:rsidRPr="00FB251A">
        <w:rPr>
          <w:rFonts w:ascii="Garamond" w:hAnsi="Garamond" w:cs="Times New Roman"/>
          <w:sz w:val="24"/>
          <w:szCs w:val="24"/>
        </w:rPr>
        <w:t xml:space="preserve"> in</w:t>
      </w:r>
      <w:r w:rsidR="00FE1723" w:rsidRPr="00FB251A">
        <w:rPr>
          <w:rFonts w:ascii="Garamond" w:hAnsi="Garamond" w:cs="Times New Roman"/>
          <w:sz w:val="24"/>
          <w:szCs w:val="24"/>
          <w:lang w:val="en-GB"/>
        </w:rPr>
        <w:t xml:space="preserve"> </w:t>
      </w:r>
      <w:r w:rsidR="00FE1723" w:rsidRPr="00FB251A">
        <w:rPr>
          <w:rFonts w:ascii="Garamond" w:hAnsi="Garamond" w:cs="Times New Roman"/>
          <w:i/>
          <w:sz w:val="24"/>
          <w:szCs w:val="24"/>
          <w:lang w:val="en-GB"/>
        </w:rPr>
        <w:t xml:space="preserve">Calvin’s Case </w:t>
      </w:r>
      <w:r w:rsidR="00FE1723" w:rsidRPr="00FB251A">
        <w:rPr>
          <w:rFonts w:ascii="Garamond" w:hAnsi="Garamond" w:cs="Times New Roman"/>
          <w:sz w:val="24"/>
          <w:szCs w:val="24"/>
          <w:lang w:val="en-GB"/>
        </w:rPr>
        <w:t>in 1608, Bacon listed four original grounds which motivate and occasion human beings to submit themselves to obedience to a sovereign power: paternity, admiration of virtue, conduct in war, and conquest.</w:t>
      </w:r>
      <w:r w:rsidR="00FE1723" w:rsidRPr="00FB251A">
        <w:rPr>
          <w:rStyle w:val="FootnoteReference"/>
          <w:rFonts w:ascii="Garamond" w:hAnsi="Garamond"/>
          <w:sz w:val="24"/>
          <w:szCs w:val="24"/>
          <w:lang w:val="en-GB"/>
        </w:rPr>
        <w:footnoteReference w:id="11"/>
      </w:r>
      <w:r w:rsidR="00FE1723" w:rsidRPr="00FB251A">
        <w:rPr>
          <w:rFonts w:ascii="Garamond" w:hAnsi="Garamond" w:cs="Times New Roman"/>
          <w:sz w:val="24"/>
          <w:szCs w:val="24"/>
          <w:lang w:val="en-GB"/>
        </w:rPr>
        <w:t xml:space="preserve"> Of these four modes, Bacon averred that he thought conduct in war “the most usual of all” and generative of a claim of obedience similar to paternity: “For as men owe their life and being to their parents in regard of generation, so they owe it also to saviours in the wars in regard of preservation.”</w:t>
      </w:r>
      <w:r w:rsidR="00FE1723" w:rsidRPr="00FB251A">
        <w:rPr>
          <w:rStyle w:val="FootnoteReference"/>
          <w:rFonts w:ascii="Garamond" w:hAnsi="Garamond"/>
          <w:sz w:val="24"/>
          <w:szCs w:val="24"/>
          <w:lang w:val="en-GB"/>
        </w:rPr>
        <w:footnoteReference w:id="12"/>
      </w:r>
      <w:r w:rsidR="00FE1723" w:rsidRPr="00FB251A">
        <w:rPr>
          <w:rFonts w:ascii="Garamond" w:hAnsi="Garamond" w:cs="Times New Roman"/>
          <w:sz w:val="24"/>
          <w:szCs w:val="24"/>
          <w:lang w:val="en-GB"/>
        </w:rPr>
        <w:t xml:space="preserve">  Conquest, Bacon argues in the immediately succeeding sentences, generates a submission to sovereign authority similar to that generated by war-conduct, “And this likewise is upon the same root, which is the saving or gift as it were of life and being.  For the conqueror hath power of life and death over his captives; and therefore where he giveth them themselves, he may reserve upon such a gift what service and subjection he will.”</w:t>
      </w:r>
      <w:r w:rsidR="00FE1723" w:rsidRPr="00FB251A">
        <w:rPr>
          <w:rStyle w:val="FootnoteReference"/>
          <w:rFonts w:ascii="Garamond" w:hAnsi="Garamond"/>
          <w:sz w:val="24"/>
          <w:szCs w:val="24"/>
          <w:lang w:val="en-GB"/>
        </w:rPr>
        <w:footnoteReference w:id="13"/>
      </w:r>
      <w:r w:rsidR="00FE1723" w:rsidRPr="00FB251A">
        <w:rPr>
          <w:rFonts w:ascii="Garamond" w:hAnsi="Garamond" w:cs="Times New Roman"/>
          <w:sz w:val="24"/>
          <w:szCs w:val="24"/>
          <w:lang w:val="en-GB"/>
        </w:rPr>
        <w:t xml:space="preserve">  Both war-conduct and conquest, in Bacon’s argument, “are evident to be natural and more ancient than law.”</w:t>
      </w:r>
      <w:r w:rsidR="00FE1723" w:rsidRPr="00FB251A">
        <w:rPr>
          <w:rStyle w:val="FootnoteReference"/>
          <w:rFonts w:ascii="Garamond" w:hAnsi="Garamond"/>
          <w:sz w:val="24"/>
          <w:szCs w:val="24"/>
          <w:lang w:val="en-GB"/>
        </w:rPr>
        <w:footnoteReference w:id="14"/>
      </w:r>
      <w:r w:rsidR="00FE1723" w:rsidRPr="00FB251A">
        <w:rPr>
          <w:rFonts w:ascii="Garamond" w:hAnsi="Garamond" w:cs="Times New Roman"/>
          <w:sz w:val="24"/>
          <w:szCs w:val="24"/>
          <w:lang w:val="en-GB"/>
        </w:rPr>
        <w:t xml:space="preserve"> </w:t>
      </w:r>
      <w:r w:rsidR="00FE1723" w:rsidRPr="00FB251A">
        <w:rPr>
          <w:rFonts w:ascii="Garamond" w:hAnsi="Garamond" w:cs="Times New Roman"/>
          <w:sz w:val="24"/>
          <w:szCs w:val="24"/>
          <w:lang w:val="en-GB"/>
        </w:rPr>
        <w:lastRenderedPageBreak/>
        <w:t>Hence conquest, in Bacon’s view, is prior to law in time and generative of a submission to the sovereign power of a conqueror that grounds future legality.</w:t>
      </w:r>
    </w:p>
    <w:p w14:paraId="1A32EE66" w14:textId="486D8CCE"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In his dialogue, </w:t>
      </w:r>
      <w:r w:rsidRPr="00FB251A">
        <w:rPr>
          <w:rFonts w:ascii="Garamond" w:hAnsi="Garamond" w:cs="Times New Roman"/>
          <w:i/>
          <w:sz w:val="24"/>
          <w:szCs w:val="24"/>
        </w:rPr>
        <w:t xml:space="preserve">An Advertisement Touching an Holy War, </w:t>
      </w:r>
      <w:r w:rsidRPr="00FB251A">
        <w:rPr>
          <w:rFonts w:ascii="Garamond" w:hAnsi="Garamond" w:cs="Times New Roman"/>
          <w:sz w:val="24"/>
          <w:szCs w:val="24"/>
        </w:rPr>
        <w:t xml:space="preserve">Bacon’s character Martius, “a </w:t>
      </w:r>
      <w:proofErr w:type="spellStart"/>
      <w:r w:rsidRPr="00FB251A">
        <w:rPr>
          <w:rFonts w:ascii="Garamond" w:hAnsi="Garamond" w:cs="Times New Roman"/>
          <w:sz w:val="24"/>
          <w:szCs w:val="24"/>
        </w:rPr>
        <w:t>Militar</w:t>
      </w:r>
      <w:proofErr w:type="spellEnd"/>
      <w:r w:rsidRPr="00FB251A">
        <w:rPr>
          <w:rFonts w:ascii="Garamond" w:hAnsi="Garamond" w:cs="Times New Roman"/>
          <w:sz w:val="24"/>
          <w:szCs w:val="24"/>
        </w:rPr>
        <w:t xml:space="preserve"> Man”, gives voice to the view that the territorial acquisitions of Portugal under the reign of King Manuel I, not least, all of Brazil, were famed “Conquests” which, in Martius’s estimation were spurred on by “Gold, and </w:t>
      </w:r>
      <w:proofErr w:type="spellStart"/>
      <w:r w:rsidRPr="00FB251A">
        <w:rPr>
          <w:rFonts w:ascii="Garamond" w:hAnsi="Garamond" w:cs="Times New Roman"/>
          <w:sz w:val="24"/>
          <w:szCs w:val="24"/>
        </w:rPr>
        <w:t>Siluer</w:t>
      </w:r>
      <w:proofErr w:type="spellEnd"/>
      <w:r w:rsidRPr="00FB251A">
        <w:rPr>
          <w:rFonts w:ascii="Garamond" w:hAnsi="Garamond" w:cs="Times New Roman"/>
          <w:sz w:val="24"/>
          <w:szCs w:val="24"/>
        </w:rPr>
        <w:t xml:space="preserve">, and </w:t>
      </w:r>
      <w:proofErr w:type="spellStart"/>
      <w:r w:rsidRPr="00FB251A">
        <w:rPr>
          <w:rFonts w:ascii="Garamond" w:hAnsi="Garamond" w:cs="Times New Roman"/>
          <w:sz w:val="24"/>
          <w:szCs w:val="24"/>
        </w:rPr>
        <w:t>Temporall</w:t>
      </w:r>
      <w:proofErr w:type="spellEnd"/>
      <w:r w:rsidRPr="00FB251A">
        <w:rPr>
          <w:rFonts w:ascii="Garamond" w:hAnsi="Garamond" w:cs="Times New Roman"/>
          <w:sz w:val="24"/>
          <w:szCs w:val="24"/>
        </w:rPr>
        <w:t xml:space="preserve"> Profit, and Glory” rather than any </w:t>
      </w:r>
      <w:proofErr w:type="spellStart"/>
      <w:r w:rsidRPr="00FB251A">
        <w:rPr>
          <w:rFonts w:ascii="Garamond" w:hAnsi="Garamond" w:cs="Times New Roman"/>
          <w:sz w:val="24"/>
          <w:szCs w:val="24"/>
        </w:rPr>
        <w:t>pretence</w:t>
      </w:r>
      <w:proofErr w:type="spellEnd"/>
      <w:r w:rsidRPr="00FB251A">
        <w:rPr>
          <w:rFonts w:ascii="Garamond" w:hAnsi="Garamond" w:cs="Times New Roman"/>
          <w:sz w:val="24"/>
          <w:szCs w:val="24"/>
        </w:rPr>
        <w:t xml:space="preserve"> advanced for “the </w:t>
      </w:r>
      <w:r w:rsidRPr="00FB251A">
        <w:rPr>
          <w:rFonts w:ascii="Garamond" w:hAnsi="Garamond" w:cs="Times New Roman"/>
          <w:i/>
          <w:sz w:val="24"/>
          <w:szCs w:val="24"/>
        </w:rPr>
        <w:t>Propagation</w:t>
      </w:r>
      <w:r w:rsidRPr="00FB251A">
        <w:rPr>
          <w:rFonts w:ascii="Garamond" w:hAnsi="Garamond" w:cs="Times New Roman"/>
          <w:sz w:val="24"/>
          <w:szCs w:val="24"/>
        </w:rPr>
        <w:t>, of the Christian faith”.</w:t>
      </w:r>
      <w:r w:rsidRPr="00FB251A">
        <w:rPr>
          <w:rStyle w:val="FootnoteReference"/>
          <w:rFonts w:ascii="Garamond" w:hAnsi="Garamond"/>
          <w:sz w:val="24"/>
          <w:szCs w:val="24"/>
        </w:rPr>
        <w:footnoteReference w:id="15"/>
      </w:r>
      <w:r w:rsidRPr="00FB251A">
        <w:rPr>
          <w:rFonts w:ascii="Garamond" w:hAnsi="Garamond" w:cs="Times New Roman"/>
          <w:sz w:val="24"/>
          <w:szCs w:val="24"/>
        </w:rPr>
        <w:t xml:space="preserve"> Speaking of “the famous </w:t>
      </w:r>
      <w:proofErr w:type="spellStart"/>
      <w:r w:rsidRPr="00FB251A">
        <w:rPr>
          <w:rFonts w:ascii="Garamond" w:hAnsi="Garamond" w:cs="Times New Roman"/>
          <w:sz w:val="24"/>
          <w:szCs w:val="24"/>
        </w:rPr>
        <w:t>Nauigations</w:t>
      </w:r>
      <w:proofErr w:type="spellEnd"/>
      <w:r w:rsidRPr="00FB251A">
        <w:rPr>
          <w:rFonts w:ascii="Garamond" w:hAnsi="Garamond" w:cs="Times New Roman"/>
          <w:sz w:val="24"/>
          <w:szCs w:val="24"/>
        </w:rPr>
        <w:t xml:space="preserve">, and Conquests, of </w:t>
      </w:r>
      <w:r w:rsidRPr="00FB251A">
        <w:rPr>
          <w:rFonts w:ascii="Garamond" w:hAnsi="Garamond" w:cs="Times New Roman"/>
          <w:i/>
          <w:sz w:val="24"/>
          <w:szCs w:val="24"/>
        </w:rPr>
        <w:t>Emanuel</w:t>
      </w:r>
      <w:r w:rsidRPr="00FB251A">
        <w:rPr>
          <w:rFonts w:ascii="Garamond" w:hAnsi="Garamond" w:cs="Times New Roman"/>
          <w:sz w:val="24"/>
          <w:szCs w:val="24"/>
        </w:rPr>
        <w:t xml:space="preserve">, </w:t>
      </w:r>
      <w:r w:rsidRPr="00FB251A">
        <w:rPr>
          <w:rFonts w:ascii="Garamond" w:hAnsi="Garamond" w:cs="Times New Roman"/>
          <w:i/>
          <w:sz w:val="24"/>
          <w:szCs w:val="24"/>
        </w:rPr>
        <w:t xml:space="preserve">King </w:t>
      </w:r>
      <w:r w:rsidRPr="00FB251A">
        <w:rPr>
          <w:rFonts w:ascii="Garamond" w:hAnsi="Garamond" w:cs="Times New Roman"/>
          <w:sz w:val="24"/>
          <w:szCs w:val="24"/>
        </w:rPr>
        <w:t xml:space="preserve">of </w:t>
      </w:r>
      <w:proofErr w:type="spellStart"/>
      <w:r w:rsidRPr="00FB251A">
        <w:rPr>
          <w:rFonts w:ascii="Garamond" w:hAnsi="Garamond" w:cs="Times New Roman"/>
          <w:i/>
          <w:sz w:val="24"/>
          <w:szCs w:val="24"/>
        </w:rPr>
        <w:t>Portugall</w:t>
      </w:r>
      <w:proofErr w:type="spellEnd"/>
      <w:r w:rsidRPr="00FB251A">
        <w:rPr>
          <w:rFonts w:ascii="Garamond" w:hAnsi="Garamond" w:cs="Times New Roman"/>
          <w:sz w:val="24"/>
          <w:szCs w:val="24"/>
        </w:rPr>
        <w:t xml:space="preserve">, whose </w:t>
      </w:r>
      <w:proofErr w:type="spellStart"/>
      <w:r w:rsidRPr="00FB251A">
        <w:rPr>
          <w:rFonts w:ascii="Garamond" w:hAnsi="Garamond" w:cs="Times New Roman"/>
          <w:sz w:val="24"/>
          <w:szCs w:val="24"/>
        </w:rPr>
        <w:t>Armes</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beganne</w:t>
      </w:r>
      <w:proofErr w:type="spellEnd"/>
      <w:r w:rsidRPr="00FB251A">
        <w:rPr>
          <w:rFonts w:ascii="Garamond" w:hAnsi="Garamond" w:cs="Times New Roman"/>
          <w:sz w:val="24"/>
          <w:szCs w:val="24"/>
        </w:rPr>
        <w:t xml:space="preserve"> to circle </w:t>
      </w:r>
      <w:proofErr w:type="spellStart"/>
      <w:r w:rsidRPr="00FB251A">
        <w:rPr>
          <w:rFonts w:ascii="Garamond" w:hAnsi="Garamond" w:cs="Times New Roman"/>
          <w:i/>
          <w:sz w:val="24"/>
          <w:szCs w:val="24"/>
        </w:rPr>
        <w:t>Africke</w:t>
      </w:r>
      <w:proofErr w:type="spellEnd"/>
      <w:r w:rsidRPr="00FB251A">
        <w:rPr>
          <w:rFonts w:ascii="Garamond" w:hAnsi="Garamond" w:cs="Times New Roman"/>
          <w:i/>
          <w:sz w:val="24"/>
          <w:szCs w:val="24"/>
        </w:rPr>
        <w:t xml:space="preserve">, </w:t>
      </w:r>
      <w:r w:rsidRPr="00FB251A">
        <w:rPr>
          <w:rFonts w:ascii="Garamond" w:hAnsi="Garamond" w:cs="Times New Roman"/>
          <w:sz w:val="24"/>
          <w:szCs w:val="24"/>
        </w:rPr>
        <w:t xml:space="preserve">and </w:t>
      </w:r>
      <w:r w:rsidRPr="00FB251A">
        <w:rPr>
          <w:rFonts w:ascii="Garamond" w:hAnsi="Garamond" w:cs="Times New Roman"/>
          <w:i/>
          <w:sz w:val="24"/>
          <w:szCs w:val="24"/>
        </w:rPr>
        <w:t>Asia</w:t>
      </w:r>
      <w:r w:rsidRPr="00FB251A">
        <w:rPr>
          <w:rFonts w:ascii="Garamond" w:hAnsi="Garamond" w:cs="Times New Roman"/>
          <w:sz w:val="24"/>
          <w:szCs w:val="24"/>
        </w:rPr>
        <w:t xml:space="preserve">,” Martius emphasizes that “neither in this, was </w:t>
      </w:r>
      <w:r w:rsidRPr="00FB251A">
        <w:rPr>
          <w:rFonts w:ascii="Garamond" w:hAnsi="Garamond" w:cs="Times New Roman"/>
          <w:i/>
          <w:sz w:val="24"/>
          <w:szCs w:val="24"/>
        </w:rPr>
        <w:t>Religion</w:t>
      </w:r>
      <w:r w:rsidRPr="00FB251A">
        <w:rPr>
          <w:rFonts w:ascii="Garamond" w:hAnsi="Garamond" w:cs="Times New Roman"/>
          <w:sz w:val="24"/>
          <w:szCs w:val="24"/>
        </w:rPr>
        <w:t xml:space="preserve"> the </w:t>
      </w:r>
      <w:proofErr w:type="spellStart"/>
      <w:r w:rsidRPr="00FB251A">
        <w:rPr>
          <w:rFonts w:ascii="Garamond" w:hAnsi="Garamond" w:cs="Times New Roman"/>
          <w:sz w:val="24"/>
          <w:szCs w:val="24"/>
        </w:rPr>
        <w:t>Principall</w:t>
      </w:r>
      <w:proofErr w:type="spellEnd"/>
      <w:r w:rsidRPr="00FB251A">
        <w:rPr>
          <w:rFonts w:ascii="Garamond" w:hAnsi="Garamond" w:cs="Times New Roman"/>
          <w:sz w:val="24"/>
          <w:szCs w:val="24"/>
        </w:rPr>
        <w:t>, but Amplification, and Enlargement, of Riches, and Dominion.”</w:t>
      </w:r>
      <w:r w:rsidRPr="00FB251A">
        <w:rPr>
          <w:rStyle w:val="FootnoteReference"/>
          <w:rFonts w:ascii="Garamond" w:hAnsi="Garamond"/>
          <w:sz w:val="24"/>
          <w:szCs w:val="24"/>
        </w:rPr>
        <w:footnoteReference w:id="16"/>
      </w:r>
      <w:r w:rsidR="00787C57">
        <w:rPr>
          <w:rFonts w:ascii="Garamond" w:hAnsi="Garamond" w:cs="Times New Roman"/>
          <w:sz w:val="24"/>
          <w:szCs w:val="24"/>
        </w:rPr>
        <w:t xml:space="preserve"> </w:t>
      </w:r>
      <w:r w:rsidR="00C10E08">
        <w:rPr>
          <w:rFonts w:ascii="Garamond" w:hAnsi="Garamond" w:cs="Times New Roman"/>
          <w:sz w:val="24"/>
          <w:szCs w:val="24"/>
        </w:rPr>
        <w:t xml:space="preserve"> </w:t>
      </w:r>
      <w:r w:rsidRPr="00FB251A">
        <w:rPr>
          <w:rFonts w:ascii="Garamond" w:hAnsi="Garamond" w:cs="Times New Roman"/>
          <w:sz w:val="24"/>
          <w:szCs w:val="24"/>
        </w:rPr>
        <w:t>Martius seems to hold a similar view of the acquisitions of the Spanish “</w:t>
      </w:r>
      <w:r w:rsidRPr="00FB251A">
        <w:rPr>
          <w:rFonts w:ascii="Garamond" w:hAnsi="Garamond" w:cs="Times New Roman"/>
          <w:i/>
          <w:sz w:val="24"/>
          <w:szCs w:val="24"/>
        </w:rPr>
        <w:t>Castilians</w:t>
      </w:r>
      <w:r w:rsidRPr="00FB251A">
        <w:rPr>
          <w:rFonts w:ascii="Garamond" w:hAnsi="Garamond" w:cs="Times New Roman"/>
          <w:sz w:val="24"/>
          <w:szCs w:val="24"/>
        </w:rPr>
        <w:t xml:space="preserve">” who “opened the </w:t>
      </w:r>
      <w:r w:rsidRPr="00FB251A">
        <w:rPr>
          <w:rFonts w:ascii="Garamond" w:hAnsi="Garamond" w:cs="Times New Roman"/>
          <w:i/>
          <w:sz w:val="24"/>
          <w:szCs w:val="24"/>
        </w:rPr>
        <w:t>New World</w:t>
      </w:r>
      <w:r w:rsidRPr="00FB251A">
        <w:rPr>
          <w:rFonts w:ascii="Garamond" w:hAnsi="Garamond" w:cs="Times New Roman"/>
          <w:sz w:val="24"/>
          <w:szCs w:val="24"/>
        </w:rPr>
        <w:t xml:space="preserve">; And subdued, and planted </w:t>
      </w:r>
      <w:r w:rsidRPr="00FB251A">
        <w:rPr>
          <w:rFonts w:ascii="Garamond" w:hAnsi="Garamond" w:cs="Times New Roman"/>
          <w:i/>
          <w:sz w:val="24"/>
          <w:szCs w:val="24"/>
        </w:rPr>
        <w:t>Mexico</w:t>
      </w:r>
      <w:r w:rsidRPr="00FB251A">
        <w:rPr>
          <w:rFonts w:ascii="Garamond" w:hAnsi="Garamond" w:cs="Times New Roman"/>
          <w:sz w:val="24"/>
          <w:szCs w:val="24"/>
        </w:rPr>
        <w:t xml:space="preserve">, </w:t>
      </w:r>
      <w:r w:rsidRPr="00FB251A">
        <w:rPr>
          <w:rFonts w:ascii="Garamond" w:hAnsi="Garamond" w:cs="Times New Roman"/>
          <w:i/>
          <w:sz w:val="24"/>
          <w:szCs w:val="24"/>
        </w:rPr>
        <w:t>Peru</w:t>
      </w:r>
      <w:r w:rsidRPr="00FB251A">
        <w:rPr>
          <w:rFonts w:ascii="Garamond" w:hAnsi="Garamond" w:cs="Times New Roman"/>
          <w:sz w:val="24"/>
          <w:szCs w:val="24"/>
        </w:rPr>
        <w:t xml:space="preserve">, </w:t>
      </w:r>
      <w:r w:rsidRPr="00FB251A">
        <w:rPr>
          <w:rFonts w:ascii="Garamond" w:hAnsi="Garamond" w:cs="Times New Roman"/>
          <w:i/>
          <w:sz w:val="24"/>
          <w:szCs w:val="24"/>
        </w:rPr>
        <w:t>Chile</w:t>
      </w:r>
      <w:r w:rsidRPr="00FB251A">
        <w:rPr>
          <w:rFonts w:ascii="Garamond" w:hAnsi="Garamond" w:cs="Times New Roman"/>
          <w:sz w:val="24"/>
          <w:szCs w:val="24"/>
        </w:rPr>
        <w:t xml:space="preserve">, and other Parts of the </w:t>
      </w:r>
      <w:r w:rsidRPr="00FB251A">
        <w:rPr>
          <w:rFonts w:ascii="Garamond" w:hAnsi="Garamond" w:cs="Times New Roman"/>
          <w:i/>
          <w:sz w:val="24"/>
          <w:szCs w:val="24"/>
        </w:rPr>
        <w:t>West Indies</w:t>
      </w:r>
      <w:r w:rsidRPr="00FB251A">
        <w:rPr>
          <w:rFonts w:ascii="Garamond" w:hAnsi="Garamond" w:cs="Times New Roman"/>
          <w:sz w:val="24"/>
          <w:szCs w:val="24"/>
        </w:rPr>
        <w:t>.”</w:t>
      </w:r>
      <w:r w:rsidRPr="00FB251A">
        <w:rPr>
          <w:rStyle w:val="FootnoteReference"/>
          <w:rFonts w:ascii="Garamond" w:hAnsi="Garamond"/>
          <w:sz w:val="24"/>
          <w:szCs w:val="24"/>
        </w:rPr>
        <w:footnoteReference w:id="17"/>
      </w:r>
      <w:r w:rsidRPr="00FB251A">
        <w:rPr>
          <w:rFonts w:ascii="Garamond" w:hAnsi="Garamond" w:cs="Times New Roman"/>
          <w:sz w:val="24"/>
          <w:szCs w:val="24"/>
        </w:rPr>
        <w:t xml:space="preserve"> To the extent that to subdue is to compel another to submit by force, to claim, in Baconian terms, that a people or place is “subdued” by force is equivalent to claiming that that people or place has been conquered.  </w:t>
      </w:r>
      <w:r w:rsidR="00E74388">
        <w:rPr>
          <w:rFonts w:ascii="Garamond" w:hAnsi="Garamond" w:cs="Times New Roman"/>
          <w:sz w:val="24"/>
          <w:szCs w:val="24"/>
        </w:rPr>
        <w:t xml:space="preserve">Indeed, </w:t>
      </w:r>
      <w:r w:rsidRPr="00FB251A">
        <w:rPr>
          <w:rFonts w:ascii="Garamond" w:hAnsi="Garamond" w:cs="Times New Roman"/>
          <w:sz w:val="24"/>
          <w:szCs w:val="24"/>
        </w:rPr>
        <w:t xml:space="preserve">Bacon, arguing in </w:t>
      </w:r>
      <w:r w:rsidRPr="00FB251A">
        <w:rPr>
          <w:rFonts w:ascii="Garamond" w:hAnsi="Garamond" w:cs="Times New Roman"/>
          <w:i/>
          <w:sz w:val="24"/>
          <w:szCs w:val="24"/>
        </w:rPr>
        <w:t xml:space="preserve">Calvin’s Case, </w:t>
      </w:r>
      <w:r w:rsidRPr="00FB251A">
        <w:rPr>
          <w:rFonts w:ascii="Garamond" w:hAnsi="Garamond" w:cs="Times New Roman"/>
          <w:sz w:val="24"/>
          <w:szCs w:val="24"/>
        </w:rPr>
        <w:t>understood conquest definitionally to be “</w:t>
      </w:r>
      <w:proofErr w:type="spellStart"/>
      <w:r w:rsidRPr="00FB251A">
        <w:rPr>
          <w:rFonts w:ascii="Garamond" w:hAnsi="Garamond" w:cs="Times New Roman"/>
          <w:sz w:val="24"/>
          <w:szCs w:val="24"/>
        </w:rPr>
        <w:t>inforced</w:t>
      </w:r>
      <w:proofErr w:type="spellEnd"/>
      <w:r w:rsidRPr="00FB251A">
        <w:rPr>
          <w:rFonts w:ascii="Garamond" w:hAnsi="Garamond" w:cs="Times New Roman"/>
          <w:sz w:val="24"/>
          <w:szCs w:val="24"/>
        </w:rPr>
        <w:t xml:space="preserve"> submission” to a sovereign authority.</w:t>
      </w:r>
      <w:r w:rsidRPr="00FB251A">
        <w:rPr>
          <w:rStyle w:val="FootnoteReference"/>
          <w:rFonts w:ascii="Garamond" w:hAnsi="Garamond"/>
          <w:sz w:val="24"/>
          <w:szCs w:val="24"/>
        </w:rPr>
        <w:footnoteReference w:id="18"/>
      </w:r>
      <w:r w:rsidRPr="00FB251A">
        <w:rPr>
          <w:rFonts w:ascii="Garamond" w:hAnsi="Garamond" w:cs="Times New Roman"/>
          <w:sz w:val="24"/>
          <w:szCs w:val="24"/>
        </w:rPr>
        <w:t xml:space="preserve">  Martius thus boldly asserts that the title of Spanish and Portuguese holdings in the Americas and beyond is a title of conquest.  </w:t>
      </w:r>
    </w:p>
    <w:p w14:paraId="2EF08ACF" w14:textId="2DBF8624"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 himself might seem to confirm this assessment, in arguing hypothetically in </w:t>
      </w:r>
      <w:r w:rsidR="00E74388">
        <w:rPr>
          <w:rFonts w:ascii="Garamond" w:hAnsi="Garamond" w:cs="Times New Roman"/>
          <w:i/>
          <w:iCs/>
          <w:sz w:val="24"/>
          <w:szCs w:val="24"/>
        </w:rPr>
        <w:t>Calvin’s Case</w:t>
      </w:r>
      <w:r w:rsidRPr="00FB251A">
        <w:rPr>
          <w:rFonts w:ascii="Garamond" w:hAnsi="Garamond" w:cs="Times New Roman"/>
          <w:sz w:val="24"/>
          <w:szCs w:val="24"/>
        </w:rPr>
        <w:t xml:space="preserve"> that “if Henry VII. had accepted the offer of Christopher Columbus, whereby the Crown of England had obtained the Indies by conquest or occupation, all the Indies had been naturalized by the confession of the adverse part.”</w:t>
      </w:r>
      <w:r w:rsidRPr="00FB251A">
        <w:rPr>
          <w:rStyle w:val="FootnoteReference"/>
          <w:rFonts w:ascii="Garamond" w:hAnsi="Garamond"/>
          <w:sz w:val="24"/>
          <w:szCs w:val="24"/>
        </w:rPr>
        <w:footnoteReference w:id="19"/>
      </w:r>
      <w:r w:rsidRPr="00FB251A">
        <w:rPr>
          <w:rFonts w:ascii="Garamond" w:hAnsi="Garamond" w:cs="Times New Roman"/>
          <w:sz w:val="24"/>
          <w:szCs w:val="24"/>
        </w:rPr>
        <w:t xml:space="preserve">  Had Henry VII of England hired Columbus to explore on his </w:t>
      </w:r>
      <w:r w:rsidRPr="00FB251A">
        <w:rPr>
          <w:rFonts w:ascii="Garamond" w:hAnsi="Garamond" w:cs="Times New Roman"/>
          <w:sz w:val="24"/>
          <w:szCs w:val="24"/>
        </w:rPr>
        <w:lastRenderedPageBreak/>
        <w:t>behalf, the Americas would have accrued to him by title of “conquest or occupation”,</w:t>
      </w:r>
      <w:r w:rsidRPr="00FB251A">
        <w:rPr>
          <w:rStyle w:val="FootnoteReference"/>
          <w:rFonts w:ascii="Garamond" w:hAnsi="Garamond"/>
          <w:sz w:val="24"/>
          <w:szCs w:val="24"/>
        </w:rPr>
        <w:footnoteReference w:id="20"/>
      </w:r>
      <w:r w:rsidRPr="00FB251A">
        <w:rPr>
          <w:rFonts w:ascii="Garamond" w:hAnsi="Garamond" w:cs="Times New Roman"/>
          <w:sz w:val="24"/>
          <w:szCs w:val="24"/>
        </w:rPr>
        <w:t xml:space="preserve"> the very titles which Bacon’s Martius attributes to Portugal and Spain.  </w:t>
      </w:r>
    </w:p>
    <w:p w14:paraId="0D0739F5" w14:textId="438DC35F"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On the note of conquest, Bacon opens his </w:t>
      </w:r>
      <w:proofErr w:type="spellStart"/>
      <w:r w:rsidRPr="00FB251A">
        <w:rPr>
          <w:rFonts w:ascii="Garamond" w:hAnsi="Garamond" w:cs="Times New Roman"/>
          <w:i/>
          <w:sz w:val="24"/>
          <w:szCs w:val="24"/>
        </w:rPr>
        <w:t>Histor</w:t>
      </w:r>
      <w:r w:rsidR="00522E03">
        <w:rPr>
          <w:rFonts w:ascii="Garamond" w:hAnsi="Garamond" w:cs="Times New Roman"/>
          <w:i/>
          <w:sz w:val="24"/>
          <w:szCs w:val="24"/>
        </w:rPr>
        <w:t>ie</w:t>
      </w:r>
      <w:proofErr w:type="spellEnd"/>
      <w:r w:rsidRPr="00FB251A">
        <w:rPr>
          <w:rFonts w:ascii="Garamond" w:hAnsi="Garamond" w:cs="Times New Roman"/>
          <w:i/>
          <w:sz w:val="24"/>
          <w:szCs w:val="24"/>
        </w:rPr>
        <w:t xml:space="preserve"> of the </w:t>
      </w:r>
      <w:proofErr w:type="spellStart"/>
      <w:r w:rsidR="00522E03">
        <w:rPr>
          <w:rFonts w:ascii="Garamond" w:hAnsi="Garamond" w:cs="Times New Roman"/>
          <w:i/>
          <w:sz w:val="24"/>
          <w:szCs w:val="24"/>
        </w:rPr>
        <w:t>ra</w:t>
      </w:r>
      <w:r w:rsidRPr="00FB251A">
        <w:rPr>
          <w:rFonts w:ascii="Garamond" w:hAnsi="Garamond" w:cs="Times New Roman"/>
          <w:i/>
          <w:sz w:val="24"/>
          <w:szCs w:val="24"/>
        </w:rPr>
        <w:t>ign</w:t>
      </w:r>
      <w:r w:rsidR="00522E03">
        <w:rPr>
          <w:rFonts w:ascii="Garamond" w:hAnsi="Garamond" w:cs="Times New Roman"/>
          <w:i/>
          <w:sz w:val="24"/>
          <w:szCs w:val="24"/>
        </w:rPr>
        <w:t>e</w:t>
      </w:r>
      <w:proofErr w:type="spellEnd"/>
      <w:r w:rsidRPr="00FB251A">
        <w:rPr>
          <w:rFonts w:ascii="Garamond" w:hAnsi="Garamond" w:cs="Times New Roman"/>
          <w:i/>
          <w:sz w:val="24"/>
          <w:szCs w:val="24"/>
        </w:rPr>
        <w:t xml:space="preserve"> of King Henry the </w:t>
      </w:r>
      <w:r w:rsidR="00522E03">
        <w:rPr>
          <w:rFonts w:ascii="Garamond" w:hAnsi="Garamond" w:cs="Times New Roman"/>
          <w:i/>
          <w:sz w:val="24"/>
          <w:szCs w:val="24"/>
        </w:rPr>
        <w:t>s</w:t>
      </w:r>
      <w:r w:rsidRPr="00FB251A">
        <w:rPr>
          <w:rFonts w:ascii="Garamond" w:hAnsi="Garamond" w:cs="Times New Roman"/>
          <w:i/>
          <w:sz w:val="24"/>
          <w:szCs w:val="24"/>
        </w:rPr>
        <w:t>eventh</w:t>
      </w:r>
      <w:r w:rsidR="0065034A">
        <w:rPr>
          <w:rFonts w:ascii="Garamond" w:hAnsi="Garamond" w:cs="Times New Roman"/>
          <w:i/>
          <w:sz w:val="24"/>
          <w:szCs w:val="24"/>
        </w:rPr>
        <w:t xml:space="preserve"> </w:t>
      </w:r>
      <w:r w:rsidR="0065034A">
        <w:rPr>
          <w:rFonts w:ascii="Garamond" w:hAnsi="Garamond" w:cs="Times New Roman"/>
          <w:iCs/>
          <w:sz w:val="24"/>
          <w:szCs w:val="24"/>
        </w:rPr>
        <w:t>(1622)</w:t>
      </w:r>
      <w:r w:rsidRPr="00FB251A">
        <w:rPr>
          <w:rFonts w:ascii="Garamond" w:hAnsi="Garamond" w:cs="Times New Roman"/>
          <w:i/>
          <w:sz w:val="24"/>
          <w:szCs w:val="24"/>
        </w:rPr>
        <w:t xml:space="preserve"> </w:t>
      </w:r>
      <w:r w:rsidRPr="00FB251A">
        <w:rPr>
          <w:rFonts w:ascii="Garamond" w:hAnsi="Garamond" w:cs="Times New Roman"/>
          <w:sz w:val="24"/>
          <w:szCs w:val="24"/>
        </w:rPr>
        <w:t>by stressing Henry’s title to rule from conquest, having vanquished the forces of Richard III at Bosworth Field,</w:t>
      </w:r>
      <w:r w:rsidRPr="00FB251A">
        <w:rPr>
          <w:rStyle w:val="FootnoteReference"/>
          <w:rFonts w:ascii="Garamond" w:hAnsi="Garamond"/>
          <w:sz w:val="24"/>
          <w:szCs w:val="24"/>
        </w:rPr>
        <w:footnoteReference w:id="21"/>
      </w:r>
      <w:r w:rsidRPr="00FB251A">
        <w:rPr>
          <w:rFonts w:ascii="Garamond" w:hAnsi="Garamond" w:cs="Times New Roman"/>
          <w:sz w:val="24"/>
          <w:szCs w:val="24"/>
        </w:rPr>
        <w:t xml:space="preserve"> noting that upon the victory, Henry was “in a kind of </w:t>
      </w:r>
      <w:proofErr w:type="spellStart"/>
      <w:r w:rsidRPr="00FB251A">
        <w:rPr>
          <w:rFonts w:ascii="Garamond" w:hAnsi="Garamond" w:cs="Times New Roman"/>
          <w:i/>
          <w:sz w:val="24"/>
          <w:szCs w:val="24"/>
        </w:rPr>
        <w:t>Militar</w:t>
      </w:r>
      <w:proofErr w:type="spellEnd"/>
      <w:r w:rsidRPr="00FB251A">
        <w:rPr>
          <w:rFonts w:ascii="Garamond" w:hAnsi="Garamond" w:cs="Times New Roman"/>
          <w:i/>
          <w:sz w:val="24"/>
          <w:szCs w:val="24"/>
        </w:rPr>
        <w:t xml:space="preserve"> Election</w:t>
      </w:r>
      <w:r w:rsidRPr="00FB251A">
        <w:rPr>
          <w:rFonts w:ascii="Garamond" w:hAnsi="Garamond" w:cs="Times New Roman"/>
          <w:sz w:val="24"/>
          <w:szCs w:val="24"/>
        </w:rPr>
        <w:t xml:space="preserve">, or </w:t>
      </w:r>
      <w:r w:rsidRPr="00FB251A">
        <w:rPr>
          <w:rFonts w:ascii="Garamond" w:hAnsi="Garamond" w:cs="Times New Roman"/>
          <w:i/>
          <w:sz w:val="24"/>
          <w:szCs w:val="24"/>
        </w:rPr>
        <w:t>Recognition</w:t>
      </w:r>
      <w:r w:rsidRPr="00FB251A">
        <w:rPr>
          <w:rFonts w:ascii="Garamond" w:hAnsi="Garamond" w:cs="Times New Roman"/>
          <w:sz w:val="24"/>
          <w:szCs w:val="24"/>
        </w:rPr>
        <w:t>, saluted King.”</w:t>
      </w:r>
      <w:r w:rsidRPr="00FB251A">
        <w:rPr>
          <w:rStyle w:val="FootnoteReference"/>
          <w:rFonts w:ascii="Garamond" w:hAnsi="Garamond"/>
          <w:sz w:val="24"/>
          <w:szCs w:val="24"/>
        </w:rPr>
        <w:footnoteReference w:id="22"/>
      </w:r>
      <w:r w:rsidRPr="00FB251A">
        <w:rPr>
          <w:rFonts w:ascii="Garamond" w:hAnsi="Garamond" w:cs="Times New Roman"/>
          <w:sz w:val="24"/>
          <w:szCs w:val="24"/>
        </w:rPr>
        <w:t xml:space="preserve">  </w:t>
      </w:r>
      <w:r w:rsidR="0065034A">
        <w:rPr>
          <w:rFonts w:ascii="Garamond" w:hAnsi="Garamond" w:cs="Times New Roman"/>
          <w:sz w:val="24"/>
          <w:szCs w:val="24"/>
        </w:rPr>
        <w:t xml:space="preserve">In this history, </w:t>
      </w:r>
      <w:r w:rsidR="00F74B63">
        <w:rPr>
          <w:rFonts w:ascii="Garamond" w:hAnsi="Garamond" w:cs="Times New Roman"/>
          <w:sz w:val="24"/>
          <w:szCs w:val="24"/>
        </w:rPr>
        <w:t>dedicated</w:t>
      </w:r>
      <w:r w:rsidR="0065034A">
        <w:rPr>
          <w:rFonts w:ascii="Garamond" w:hAnsi="Garamond" w:cs="Times New Roman"/>
          <w:sz w:val="24"/>
          <w:szCs w:val="24"/>
        </w:rPr>
        <w:t xml:space="preserve"> to the heir apparent to the throne, Charles, then Prince of Wales, </w:t>
      </w:r>
      <w:r w:rsidRPr="00FB251A">
        <w:rPr>
          <w:rFonts w:ascii="Garamond" w:hAnsi="Garamond" w:cs="Times New Roman"/>
          <w:sz w:val="24"/>
          <w:szCs w:val="24"/>
        </w:rPr>
        <w:t>Bacon stresses that this “</w:t>
      </w:r>
      <w:proofErr w:type="spellStart"/>
      <w:r w:rsidRPr="00FB251A">
        <w:rPr>
          <w:rFonts w:ascii="Garamond" w:hAnsi="Garamond" w:cs="Times New Roman"/>
          <w:i/>
          <w:sz w:val="24"/>
          <w:szCs w:val="24"/>
        </w:rPr>
        <w:t>Militar</w:t>
      </w:r>
      <w:proofErr w:type="spellEnd"/>
      <w:r w:rsidRPr="00FB251A">
        <w:rPr>
          <w:rFonts w:ascii="Garamond" w:hAnsi="Garamond" w:cs="Times New Roman"/>
          <w:i/>
          <w:sz w:val="24"/>
          <w:szCs w:val="24"/>
        </w:rPr>
        <w:t xml:space="preserve"> Election</w:t>
      </w:r>
      <w:r w:rsidRPr="00FB251A">
        <w:rPr>
          <w:rFonts w:ascii="Garamond" w:hAnsi="Garamond" w:cs="Times New Roman"/>
          <w:sz w:val="24"/>
          <w:szCs w:val="24"/>
        </w:rPr>
        <w:t xml:space="preserve">” amounted to a title to the English crown by “the Title of the </w:t>
      </w:r>
      <w:r w:rsidRPr="00FB251A">
        <w:rPr>
          <w:rFonts w:ascii="Garamond" w:hAnsi="Garamond" w:cs="Times New Roman"/>
          <w:i/>
          <w:sz w:val="24"/>
          <w:szCs w:val="24"/>
        </w:rPr>
        <w:t xml:space="preserve">Sword </w:t>
      </w:r>
      <w:r w:rsidRPr="00FB251A">
        <w:rPr>
          <w:rFonts w:ascii="Garamond" w:hAnsi="Garamond" w:cs="Times New Roman"/>
          <w:sz w:val="24"/>
          <w:szCs w:val="24"/>
        </w:rPr>
        <w:t xml:space="preserve">or </w:t>
      </w:r>
      <w:r w:rsidRPr="00FB251A">
        <w:rPr>
          <w:rFonts w:ascii="Garamond" w:hAnsi="Garamond" w:cs="Times New Roman"/>
          <w:i/>
          <w:sz w:val="24"/>
          <w:szCs w:val="24"/>
        </w:rPr>
        <w:t>Conquest</w:t>
      </w:r>
      <w:r w:rsidRPr="00FB251A">
        <w:rPr>
          <w:rFonts w:ascii="Garamond" w:hAnsi="Garamond" w:cs="Times New Roman"/>
          <w:sz w:val="24"/>
          <w:szCs w:val="24"/>
        </w:rPr>
        <w:t>,”</w:t>
      </w:r>
      <w:r w:rsidRPr="00FB251A">
        <w:rPr>
          <w:rStyle w:val="FootnoteReference"/>
          <w:rFonts w:ascii="Garamond" w:hAnsi="Garamond"/>
          <w:sz w:val="24"/>
          <w:szCs w:val="24"/>
        </w:rPr>
        <w:footnoteReference w:id="23"/>
      </w:r>
      <w:r w:rsidRPr="00FB251A">
        <w:rPr>
          <w:rFonts w:ascii="Garamond" w:hAnsi="Garamond" w:cs="Times New Roman"/>
          <w:sz w:val="24"/>
          <w:szCs w:val="24"/>
        </w:rPr>
        <w:t xml:space="preserve"> a title which was accompanied by two hereditary titles: a Yorkist title to rule by marriage to the Lady Elizabeth of York, the eldest daughter of Edward IV;</w:t>
      </w:r>
      <w:r w:rsidRPr="00FB251A">
        <w:rPr>
          <w:rStyle w:val="FootnoteReference"/>
          <w:rFonts w:ascii="Garamond" w:hAnsi="Garamond"/>
          <w:sz w:val="24"/>
          <w:szCs w:val="24"/>
        </w:rPr>
        <w:footnoteReference w:id="24"/>
      </w:r>
      <w:r w:rsidRPr="00FB251A">
        <w:rPr>
          <w:rFonts w:ascii="Garamond" w:hAnsi="Garamond" w:cs="Times New Roman"/>
          <w:sz w:val="24"/>
          <w:szCs w:val="24"/>
        </w:rPr>
        <w:t xml:space="preserve"> and a Lancastrian title in his own person as heir to Kings Henry VI, V, and IV.</w:t>
      </w:r>
      <w:r w:rsidR="00F32E59">
        <w:rPr>
          <w:rFonts w:ascii="Garamond" w:hAnsi="Garamond" w:cs="Times New Roman"/>
          <w:sz w:val="24"/>
          <w:szCs w:val="24"/>
        </w:rPr>
        <w:t xml:space="preserve"> </w:t>
      </w:r>
      <w:r w:rsidRPr="00FB251A">
        <w:rPr>
          <w:rFonts w:ascii="Garamond" w:hAnsi="Garamond" w:cs="Times New Roman"/>
          <w:sz w:val="24"/>
          <w:szCs w:val="24"/>
        </w:rPr>
        <w:t>Both of the hereditary titles, Bacon emphasized, had their pitfalls: although acknowledging the title derived from the House of York to be “fairest,”</w:t>
      </w:r>
      <w:r w:rsidRPr="00FB251A">
        <w:rPr>
          <w:rStyle w:val="FootnoteReference"/>
          <w:rFonts w:ascii="Garamond" w:hAnsi="Garamond"/>
          <w:sz w:val="24"/>
          <w:szCs w:val="24"/>
        </w:rPr>
        <w:footnoteReference w:id="25"/>
      </w:r>
      <w:r w:rsidRPr="00FB251A">
        <w:rPr>
          <w:rFonts w:ascii="Garamond" w:hAnsi="Garamond" w:cs="Times New Roman"/>
          <w:sz w:val="24"/>
          <w:szCs w:val="24"/>
        </w:rPr>
        <w:t xml:space="preserve"> Bacon observed that if Henry chose to rule through the Yorkist title “he could be but a </w:t>
      </w:r>
      <w:r w:rsidRPr="00FB251A">
        <w:rPr>
          <w:rFonts w:ascii="Garamond" w:hAnsi="Garamond" w:cs="Times New Roman"/>
          <w:i/>
          <w:sz w:val="24"/>
          <w:szCs w:val="24"/>
        </w:rPr>
        <w:t xml:space="preserve">King </w:t>
      </w:r>
      <w:r w:rsidRPr="00FB251A">
        <w:rPr>
          <w:rFonts w:ascii="Garamond" w:hAnsi="Garamond" w:cs="Times New Roman"/>
          <w:sz w:val="24"/>
          <w:szCs w:val="24"/>
        </w:rPr>
        <w:t xml:space="preserve">at </w:t>
      </w:r>
      <w:proofErr w:type="spellStart"/>
      <w:r w:rsidRPr="00FB251A">
        <w:rPr>
          <w:rFonts w:ascii="Garamond" w:hAnsi="Garamond" w:cs="Times New Roman"/>
          <w:i/>
          <w:sz w:val="24"/>
          <w:szCs w:val="24"/>
        </w:rPr>
        <w:t>Curtesie</w:t>
      </w:r>
      <w:proofErr w:type="spellEnd"/>
      <w:r w:rsidRPr="00FB251A">
        <w:rPr>
          <w:rFonts w:ascii="Garamond" w:hAnsi="Garamond" w:cs="Times New Roman"/>
          <w:sz w:val="24"/>
          <w:szCs w:val="24"/>
        </w:rPr>
        <w:t xml:space="preserve">, and </w:t>
      </w:r>
      <w:proofErr w:type="spellStart"/>
      <w:r w:rsidRPr="00FB251A">
        <w:rPr>
          <w:rFonts w:ascii="Garamond" w:hAnsi="Garamond" w:cs="Times New Roman"/>
          <w:sz w:val="24"/>
          <w:szCs w:val="24"/>
        </w:rPr>
        <w:t>haue</w:t>
      </w:r>
      <w:proofErr w:type="spellEnd"/>
      <w:r w:rsidRPr="00FB251A">
        <w:rPr>
          <w:rFonts w:ascii="Garamond" w:hAnsi="Garamond" w:cs="Times New Roman"/>
          <w:sz w:val="24"/>
          <w:szCs w:val="24"/>
        </w:rPr>
        <w:t xml:space="preserve"> rather a </w:t>
      </w:r>
      <w:proofErr w:type="spellStart"/>
      <w:r w:rsidRPr="00FB251A">
        <w:rPr>
          <w:rFonts w:ascii="Garamond" w:hAnsi="Garamond" w:cs="Times New Roman"/>
          <w:i/>
          <w:sz w:val="24"/>
          <w:szCs w:val="24"/>
        </w:rPr>
        <w:t>Matrimoniall</w:t>
      </w:r>
      <w:proofErr w:type="spellEnd"/>
      <w:r w:rsidRPr="00FB251A">
        <w:rPr>
          <w:rFonts w:ascii="Garamond" w:hAnsi="Garamond" w:cs="Times New Roman"/>
          <w:sz w:val="24"/>
          <w:szCs w:val="24"/>
        </w:rPr>
        <w:t xml:space="preserve"> then a </w:t>
      </w:r>
      <w:proofErr w:type="spellStart"/>
      <w:r w:rsidRPr="00FB251A">
        <w:rPr>
          <w:rFonts w:ascii="Garamond" w:hAnsi="Garamond" w:cs="Times New Roman"/>
          <w:i/>
          <w:sz w:val="24"/>
          <w:szCs w:val="24"/>
        </w:rPr>
        <w:t>Regall</w:t>
      </w:r>
      <w:proofErr w:type="spellEnd"/>
      <w:r w:rsidRPr="00FB251A">
        <w:rPr>
          <w:rFonts w:ascii="Garamond" w:hAnsi="Garamond" w:cs="Times New Roman"/>
          <w:i/>
          <w:sz w:val="24"/>
          <w:szCs w:val="24"/>
        </w:rPr>
        <w:t xml:space="preserve"> </w:t>
      </w:r>
      <w:r w:rsidRPr="00FB251A">
        <w:rPr>
          <w:rFonts w:ascii="Garamond" w:hAnsi="Garamond" w:cs="Times New Roman"/>
          <w:sz w:val="24"/>
          <w:szCs w:val="24"/>
        </w:rPr>
        <w:t xml:space="preserve">power” as he would hold title only via his wife and would be </w:t>
      </w:r>
      <w:proofErr w:type="spellStart"/>
      <w:r w:rsidRPr="00FB251A">
        <w:rPr>
          <w:rFonts w:ascii="Garamond" w:hAnsi="Garamond" w:cs="Times New Roman"/>
          <w:sz w:val="24"/>
          <w:szCs w:val="24"/>
        </w:rPr>
        <w:t>imperilled</w:t>
      </w:r>
      <w:proofErr w:type="spellEnd"/>
      <w:r w:rsidRPr="00FB251A">
        <w:rPr>
          <w:rFonts w:ascii="Garamond" w:hAnsi="Garamond" w:cs="Times New Roman"/>
          <w:sz w:val="24"/>
          <w:szCs w:val="24"/>
        </w:rPr>
        <w:t xml:space="preserve"> upon her surcease with rival claims to the throne.</w:t>
      </w:r>
      <w:r w:rsidRPr="00FB251A">
        <w:rPr>
          <w:rStyle w:val="FootnoteReference"/>
          <w:rFonts w:ascii="Garamond" w:hAnsi="Garamond"/>
          <w:sz w:val="24"/>
          <w:szCs w:val="24"/>
        </w:rPr>
        <w:footnoteReference w:id="26"/>
      </w:r>
      <w:r w:rsidRPr="00FB251A">
        <w:rPr>
          <w:rFonts w:ascii="Garamond" w:hAnsi="Garamond" w:cs="Times New Roman"/>
          <w:sz w:val="24"/>
          <w:szCs w:val="24"/>
        </w:rPr>
        <w:t xml:space="preserve">  </w:t>
      </w:r>
    </w:p>
    <w:p w14:paraId="4547E992" w14:textId="1D665D4A"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While remarking that Henry was crowned upon his victory at Bosworth Field “as if there were his </w:t>
      </w:r>
      <w:proofErr w:type="spellStart"/>
      <w:r w:rsidRPr="00FB251A">
        <w:rPr>
          <w:rFonts w:ascii="Garamond" w:hAnsi="Garamond" w:cs="Times New Roman"/>
          <w:sz w:val="24"/>
          <w:szCs w:val="24"/>
        </w:rPr>
        <w:t>chiefe</w:t>
      </w:r>
      <w:proofErr w:type="spellEnd"/>
      <w:r w:rsidRPr="00FB251A">
        <w:rPr>
          <w:rFonts w:ascii="Garamond" w:hAnsi="Garamond" w:cs="Times New Roman"/>
          <w:sz w:val="24"/>
          <w:szCs w:val="24"/>
        </w:rPr>
        <w:t xml:space="preserve"> Title”,</w:t>
      </w:r>
      <w:r w:rsidRPr="00FB251A">
        <w:rPr>
          <w:rStyle w:val="FootnoteReference"/>
          <w:rFonts w:ascii="Garamond" w:hAnsi="Garamond"/>
          <w:sz w:val="24"/>
          <w:szCs w:val="24"/>
        </w:rPr>
        <w:footnoteReference w:id="27"/>
      </w:r>
      <w:r w:rsidRPr="00FB251A">
        <w:rPr>
          <w:rFonts w:ascii="Garamond" w:hAnsi="Garamond" w:cs="Times New Roman"/>
          <w:sz w:val="24"/>
          <w:szCs w:val="24"/>
        </w:rPr>
        <w:t xml:space="preserve"> Bacon stresses that publicly avowing to rule by conquest carries its own political and historical heft, </w:t>
      </w:r>
      <w:r w:rsidR="00F32E59">
        <w:rPr>
          <w:rFonts w:ascii="Garamond" w:hAnsi="Garamond" w:cs="Times New Roman"/>
          <w:sz w:val="24"/>
          <w:szCs w:val="24"/>
        </w:rPr>
        <w:t>not only</w:t>
      </w:r>
      <w:r w:rsidR="00F32E59" w:rsidRPr="00FB251A">
        <w:rPr>
          <w:rFonts w:ascii="Garamond" w:hAnsi="Garamond" w:cs="Times New Roman"/>
          <w:sz w:val="24"/>
          <w:szCs w:val="24"/>
        </w:rPr>
        <w:t xml:space="preserve"> </w:t>
      </w:r>
      <w:r w:rsidRPr="00FB251A">
        <w:rPr>
          <w:rFonts w:ascii="Garamond" w:hAnsi="Garamond" w:cs="Times New Roman"/>
          <w:sz w:val="24"/>
          <w:szCs w:val="24"/>
        </w:rPr>
        <w:t xml:space="preserve">scaring away potential friends and potentially encouraging regimental foes but also recalling historical memories of the Norman Conquest, when even “WILLIAM </w:t>
      </w:r>
      <w:proofErr w:type="spellStart"/>
      <w:r w:rsidRPr="00FB251A">
        <w:rPr>
          <w:rFonts w:ascii="Garamond" w:hAnsi="Garamond" w:cs="Times New Roman"/>
          <w:sz w:val="24"/>
          <w:szCs w:val="24"/>
        </w:rPr>
        <w:t>himselfe</w:t>
      </w:r>
      <w:proofErr w:type="spellEnd"/>
      <w:r w:rsidRPr="00FB251A">
        <w:rPr>
          <w:rFonts w:ascii="Garamond" w:hAnsi="Garamond" w:cs="Times New Roman"/>
          <w:sz w:val="24"/>
          <w:szCs w:val="24"/>
        </w:rPr>
        <w:t xml:space="preserve">, commonly called the </w:t>
      </w:r>
      <w:r w:rsidRPr="00FB251A">
        <w:rPr>
          <w:rFonts w:ascii="Garamond" w:hAnsi="Garamond" w:cs="Times New Roman"/>
          <w:i/>
          <w:sz w:val="24"/>
          <w:szCs w:val="24"/>
        </w:rPr>
        <w:t>Conqueror</w:t>
      </w:r>
      <w:r w:rsidRPr="00FB251A">
        <w:rPr>
          <w:rFonts w:ascii="Garamond" w:hAnsi="Garamond" w:cs="Times New Roman"/>
          <w:sz w:val="24"/>
          <w:szCs w:val="24"/>
        </w:rPr>
        <w:t xml:space="preserve">, </w:t>
      </w:r>
      <w:proofErr w:type="spellStart"/>
      <w:r w:rsidRPr="00FB251A">
        <w:rPr>
          <w:rFonts w:ascii="Garamond" w:hAnsi="Garamond" w:cs="Times New Roman"/>
          <w:sz w:val="24"/>
          <w:szCs w:val="24"/>
        </w:rPr>
        <w:t>howsoeuer</w:t>
      </w:r>
      <w:proofErr w:type="spellEnd"/>
      <w:r w:rsidRPr="00FB251A">
        <w:rPr>
          <w:rFonts w:ascii="Garamond" w:hAnsi="Garamond" w:cs="Times New Roman"/>
          <w:sz w:val="24"/>
          <w:szCs w:val="24"/>
        </w:rPr>
        <w:t xml:space="preserve"> he </w:t>
      </w:r>
      <w:proofErr w:type="spellStart"/>
      <w:r w:rsidRPr="00FB251A">
        <w:rPr>
          <w:rFonts w:ascii="Garamond" w:hAnsi="Garamond" w:cs="Times New Roman"/>
          <w:sz w:val="24"/>
          <w:szCs w:val="24"/>
        </w:rPr>
        <w:t>vsed</w:t>
      </w:r>
      <w:proofErr w:type="spellEnd"/>
      <w:r w:rsidRPr="00FB251A">
        <w:rPr>
          <w:rFonts w:ascii="Garamond" w:hAnsi="Garamond" w:cs="Times New Roman"/>
          <w:sz w:val="24"/>
          <w:szCs w:val="24"/>
        </w:rPr>
        <w:t xml:space="preserve"> and exercised the power of a </w:t>
      </w:r>
      <w:r w:rsidRPr="00FB251A">
        <w:rPr>
          <w:rFonts w:ascii="Garamond" w:hAnsi="Garamond" w:cs="Times New Roman"/>
          <w:i/>
          <w:sz w:val="24"/>
          <w:szCs w:val="24"/>
        </w:rPr>
        <w:t>Conqueror</w:t>
      </w:r>
      <w:r w:rsidRPr="00FB251A">
        <w:rPr>
          <w:rFonts w:ascii="Garamond" w:hAnsi="Garamond" w:cs="Times New Roman"/>
          <w:sz w:val="24"/>
          <w:szCs w:val="24"/>
        </w:rPr>
        <w:t xml:space="preserve"> to reward </w:t>
      </w:r>
      <w:r w:rsidRPr="00FB251A">
        <w:rPr>
          <w:rFonts w:ascii="Garamond" w:hAnsi="Garamond" w:cs="Times New Roman"/>
          <w:sz w:val="24"/>
          <w:szCs w:val="24"/>
        </w:rPr>
        <w:lastRenderedPageBreak/>
        <w:t xml:space="preserve">his </w:t>
      </w:r>
      <w:r w:rsidRPr="00FB251A">
        <w:rPr>
          <w:rFonts w:ascii="Garamond" w:hAnsi="Garamond" w:cs="Times New Roman"/>
          <w:i/>
          <w:sz w:val="24"/>
          <w:szCs w:val="24"/>
        </w:rPr>
        <w:t>Normans</w:t>
      </w:r>
      <w:r w:rsidRPr="00FB251A">
        <w:rPr>
          <w:rFonts w:ascii="Garamond" w:hAnsi="Garamond" w:cs="Times New Roman"/>
          <w:sz w:val="24"/>
          <w:szCs w:val="24"/>
        </w:rPr>
        <w:t xml:space="preserve">, yet he </w:t>
      </w:r>
      <w:proofErr w:type="spellStart"/>
      <w:r w:rsidRPr="00FB251A">
        <w:rPr>
          <w:rFonts w:ascii="Garamond" w:hAnsi="Garamond" w:cs="Times New Roman"/>
          <w:sz w:val="24"/>
          <w:szCs w:val="24"/>
        </w:rPr>
        <w:t>forbare</w:t>
      </w:r>
      <w:proofErr w:type="spellEnd"/>
      <w:r w:rsidRPr="00FB251A">
        <w:rPr>
          <w:rFonts w:ascii="Garamond" w:hAnsi="Garamond" w:cs="Times New Roman"/>
          <w:sz w:val="24"/>
          <w:szCs w:val="24"/>
        </w:rPr>
        <w:t xml:space="preserve"> to </w:t>
      </w:r>
      <w:proofErr w:type="spellStart"/>
      <w:r w:rsidRPr="00FB251A">
        <w:rPr>
          <w:rFonts w:ascii="Garamond" w:hAnsi="Garamond" w:cs="Times New Roman"/>
          <w:sz w:val="24"/>
          <w:szCs w:val="24"/>
        </w:rPr>
        <w:t>vse</w:t>
      </w:r>
      <w:proofErr w:type="spellEnd"/>
      <w:r w:rsidRPr="00FB251A">
        <w:rPr>
          <w:rFonts w:ascii="Garamond" w:hAnsi="Garamond" w:cs="Times New Roman"/>
          <w:sz w:val="24"/>
          <w:szCs w:val="24"/>
        </w:rPr>
        <w:t xml:space="preserve"> that </w:t>
      </w:r>
      <w:proofErr w:type="spellStart"/>
      <w:r w:rsidRPr="00FB251A">
        <w:rPr>
          <w:rFonts w:ascii="Garamond" w:hAnsi="Garamond" w:cs="Times New Roman"/>
          <w:sz w:val="24"/>
          <w:szCs w:val="24"/>
        </w:rPr>
        <w:t>Claime</w:t>
      </w:r>
      <w:proofErr w:type="spellEnd"/>
      <w:r w:rsidRPr="00FB251A">
        <w:rPr>
          <w:rFonts w:ascii="Garamond" w:hAnsi="Garamond" w:cs="Times New Roman"/>
          <w:sz w:val="24"/>
          <w:szCs w:val="24"/>
        </w:rPr>
        <w:t xml:space="preserve"> in the beginning, but mixed it with a </w:t>
      </w:r>
      <w:proofErr w:type="spellStart"/>
      <w:r w:rsidRPr="00FB251A">
        <w:rPr>
          <w:rFonts w:ascii="Garamond" w:hAnsi="Garamond" w:cs="Times New Roman"/>
          <w:sz w:val="24"/>
          <w:szCs w:val="24"/>
        </w:rPr>
        <w:t>Titularie</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pretence</w:t>
      </w:r>
      <w:proofErr w:type="spellEnd"/>
      <w:r w:rsidRPr="00FB251A">
        <w:rPr>
          <w:rFonts w:ascii="Garamond" w:hAnsi="Garamond" w:cs="Times New Roman"/>
          <w:sz w:val="24"/>
          <w:szCs w:val="24"/>
        </w:rPr>
        <w:t xml:space="preserve"> grounded </w:t>
      </w:r>
      <w:proofErr w:type="spellStart"/>
      <w:r w:rsidRPr="00FB251A">
        <w:rPr>
          <w:rFonts w:ascii="Garamond" w:hAnsi="Garamond" w:cs="Times New Roman"/>
          <w:sz w:val="24"/>
          <w:szCs w:val="24"/>
        </w:rPr>
        <w:t>vpon</w:t>
      </w:r>
      <w:proofErr w:type="spellEnd"/>
      <w:r w:rsidRPr="00FB251A">
        <w:rPr>
          <w:rFonts w:ascii="Garamond" w:hAnsi="Garamond" w:cs="Times New Roman"/>
          <w:sz w:val="24"/>
          <w:szCs w:val="24"/>
        </w:rPr>
        <w:t xml:space="preserve"> the </w:t>
      </w:r>
      <w:r w:rsidRPr="00FB251A">
        <w:rPr>
          <w:rFonts w:ascii="Garamond" w:hAnsi="Garamond" w:cs="Times New Roman"/>
          <w:i/>
          <w:sz w:val="24"/>
          <w:szCs w:val="24"/>
        </w:rPr>
        <w:t>Will</w:t>
      </w:r>
      <w:r w:rsidRPr="00FB251A">
        <w:rPr>
          <w:rFonts w:ascii="Garamond" w:hAnsi="Garamond" w:cs="Times New Roman"/>
          <w:sz w:val="24"/>
          <w:szCs w:val="24"/>
        </w:rPr>
        <w:t xml:space="preserve"> and designation of EDWARD the </w:t>
      </w:r>
      <w:r w:rsidRPr="00FB251A">
        <w:rPr>
          <w:rFonts w:ascii="Garamond" w:hAnsi="Garamond" w:cs="Times New Roman"/>
          <w:i/>
          <w:sz w:val="24"/>
          <w:szCs w:val="24"/>
        </w:rPr>
        <w:t>Confessor</w:t>
      </w:r>
      <w:r w:rsidRPr="00FB251A">
        <w:rPr>
          <w:rFonts w:ascii="Garamond" w:hAnsi="Garamond" w:cs="Times New Roman"/>
          <w:sz w:val="24"/>
          <w:szCs w:val="24"/>
        </w:rPr>
        <w:t>.”</w:t>
      </w:r>
      <w:r w:rsidRPr="00FB251A">
        <w:rPr>
          <w:rStyle w:val="FootnoteReference"/>
          <w:rFonts w:ascii="Garamond" w:hAnsi="Garamond"/>
          <w:sz w:val="24"/>
          <w:szCs w:val="24"/>
        </w:rPr>
        <w:footnoteReference w:id="28"/>
      </w:r>
      <w:r w:rsidR="00F32E59">
        <w:rPr>
          <w:rFonts w:ascii="Garamond" w:hAnsi="Garamond" w:cs="Times New Roman"/>
          <w:sz w:val="24"/>
          <w:szCs w:val="24"/>
        </w:rPr>
        <w:t xml:space="preserve"> </w:t>
      </w:r>
      <w:r w:rsidRPr="00FB251A">
        <w:rPr>
          <w:rFonts w:ascii="Garamond" w:hAnsi="Garamond" w:cs="Times New Roman"/>
          <w:sz w:val="24"/>
          <w:szCs w:val="24"/>
        </w:rPr>
        <w:t>Public reliance on the title of conquest, even if, in Bacon’s assessment, such a title is juridically sound, is politically precarious: it frightens both allies and adversaries with the prospect of suspending the orderly rule of law, bearing the imprint of “like points of absolute power.”</w:t>
      </w:r>
      <w:r w:rsidRPr="00FB251A">
        <w:rPr>
          <w:rStyle w:val="FootnoteReference"/>
          <w:rFonts w:ascii="Garamond" w:hAnsi="Garamond"/>
          <w:sz w:val="24"/>
          <w:szCs w:val="24"/>
        </w:rPr>
        <w:footnoteReference w:id="29"/>
      </w:r>
      <w:r w:rsidR="00F32E59">
        <w:rPr>
          <w:rFonts w:ascii="Garamond" w:hAnsi="Garamond" w:cs="Times New Roman"/>
          <w:sz w:val="24"/>
          <w:szCs w:val="24"/>
        </w:rPr>
        <w:t xml:space="preserve"> </w:t>
      </w:r>
      <w:r w:rsidRPr="00FB251A">
        <w:rPr>
          <w:rFonts w:ascii="Garamond" w:hAnsi="Garamond" w:cs="Times New Roman"/>
          <w:sz w:val="24"/>
          <w:szCs w:val="24"/>
        </w:rPr>
        <w:t xml:space="preserve">In the case of Henry VII, Bacon distinguishes </w:t>
      </w:r>
      <w:r w:rsidRPr="00FB251A">
        <w:rPr>
          <w:rFonts w:ascii="Garamond" w:hAnsi="Garamond" w:cs="Times New Roman"/>
          <w:i/>
          <w:sz w:val="24"/>
          <w:szCs w:val="24"/>
        </w:rPr>
        <w:t xml:space="preserve">claiming </w:t>
      </w:r>
      <w:r w:rsidRPr="00FB251A">
        <w:rPr>
          <w:rFonts w:ascii="Garamond" w:hAnsi="Garamond" w:cs="Times New Roman"/>
          <w:sz w:val="24"/>
          <w:szCs w:val="24"/>
        </w:rPr>
        <w:t xml:space="preserve">as a conqueror from </w:t>
      </w:r>
      <w:r w:rsidRPr="00FB251A">
        <w:rPr>
          <w:rFonts w:ascii="Garamond" w:hAnsi="Garamond" w:cs="Times New Roman"/>
          <w:i/>
          <w:sz w:val="24"/>
          <w:szCs w:val="24"/>
        </w:rPr>
        <w:t xml:space="preserve">ruling </w:t>
      </w:r>
      <w:r w:rsidRPr="00FB251A">
        <w:rPr>
          <w:rFonts w:ascii="Garamond" w:hAnsi="Garamond" w:cs="Times New Roman"/>
          <w:sz w:val="24"/>
          <w:szCs w:val="24"/>
        </w:rPr>
        <w:t>as a conqueror—and commends Henry’s “</w:t>
      </w:r>
      <w:proofErr w:type="spellStart"/>
      <w:r w:rsidRPr="00FB251A">
        <w:rPr>
          <w:rFonts w:ascii="Garamond" w:hAnsi="Garamond" w:cs="Times New Roman"/>
          <w:sz w:val="24"/>
          <w:szCs w:val="24"/>
        </w:rPr>
        <w:t>greatnesse</w:t>
      </w:r>
      <w:proofErr w:type="spellEnd"/>
      <w:r w:rsidRPr="00FB251A">
        <w:rPr>
          <w:rFonts w:ascii="Garamond" w:hAnsi="Garamond" w:cs="Times New Roman"/>
          <w:sz w:val="24"/>
          <w:szCs w:val="24"/>
        </w:rPr>
        <w:t>” of mind in foregrounding his claim to rule as the heir of the Lancastrian line while keeping his claim of conquest and title of “</w:t>
      </w:r>
      <w:proofErr w:type="spellStart"/>
      <w:r w:rsidRPr="00FB251A">
        <w:rPr>
          <w:rFonts w:ascii="Garamond" w:hAnsi="Garamond" w:cs="Times New Roman"/>
          <w:i/>
          <w:sz w:val="24"/>
          <w:szCs w:val="24"/>
        </w:rPr>
        <w:t>Battaile</w:t>
      </w:r>
      <w:proofErr w:type="spellEnd"/>
      <w:r w:rsidRPr="00FB251A">
        <w:rPr>
          <w:rFonts w:ascii="Garamond" w:hAnsi="Garamond" w:cs="Times New Roman"/>
          <w:sz w:val="24"/>
          <w:szCs w:val="24"/>
        </w:rPr>
        <w:t>” to “</w:t>
      </w:r>
      <w:proofErr w:type="spellStart"/>
      <w:r w:rsidRPr="00FB251A">
        <w:rPr>
          <w:rFonts w:ascii="Garamond" w:hAnsi="Garamond" w:cs="Times New Roman"/>
          <w:sz w:val="24"/>
          <w:szCs w:val="24"/>
        </w:rPr>
        <w:t>beate</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downe</w:t>
      </w:r>
      <w:proofErr w:type="spellEnd"/>
      <w:r w:rsidRPr="00FB251A">
        <w:rPr>
          <w:rFonts w:ascii="Garamond" w:hAnsi="Garamond" w:cs="Times New Roman"/>
          <w:sz w:val="24"/>
          <w:szCs w:val="24"/>
        </w:rPr>
        <w:t xml:space="preserve"> open </w:t>
      </w:r>
      <w:proofErr w:type="spellStart"/>
      <w:r w:rsidRPr="00FB251A">
        <w:rPr>
          <w:rFonts w:ascii="Garamond" w:hAnsi="Garamond" w:cs="Times New Roman"/>
          <w:sz w:val="24"/>
          <w:szCs w:val="24"/>
        </w:rPr>
        <w:t>murmer</w:t>
      </w:r>
      <w:proofErr w:type="spellEnd"/>
      <w:r w:rsidRPr="00FB251A">
        <w:rPr>
          <w:rFonts w:ascii="Garamond" w:hAnsi="Garamond" w:cs="Times New Roman"/>
          <w:sz w:val="24"/>
          <w:szCs w:val="24"/>
        </w:rPr>
        <w:t xml:space="preserve"> and dispute”.</w:t>
      </w:r>
      <w:r w:rsidRPr="00FB251A">
        <w:rPr>
          <w:rStyle w:val="FootnoteReference"/>
          <w:rFonts w:ascii="Garamond" w:hAnsi="Garamond"/>
          <w:sz w:val="24"/>
          <w:szCs w:val="24"/>
        </w:rPr>
        <w:footnoteReference w:id="30"/>
      </w:r>
      <w:r w:rsidRPr="00FB251A">
        <w:rPr>
          <w:rFonts w:ascii="Garamond" w:hAnsi="Garamond" w:cs="Times New Roman"/>
          <w:sz w:val="24"/>
          <w:szCs w:val="24"/>
        </w:rPr>
        <w:t xml:space="preserve">  In short, Bacon presents his Henry as following William the Conqueror’s example: forbearing “to </w:t>
      </w:r>
      <w:proofErr w:type="spellStart"/>
      <w:r w:rsidRPr="00FB251A">
        <w:rPr>
          <w:rFonts w:ascii="Garamond" w:hAnsi="Garamond" w:cs="Times New Roman"/>
          <w:sz w:val="24"/>
          <w:szCs w:val="24"/>
        </w:rPr>
        <w:t>vse</w:t>
      </w:r>
      <w:proofErr w:type="spellEnd"/>
      <w:r w:rsidRPr="00FB251A">
        <w:rPr>
          <w:rFonts w:ascii="Garamond" w:hAnsi="Garamond" w:cs="Times New Roman"/>
          <w:sz w:val="24"/>
          <w:szCs w:val="24"/>
        </w:rPr>
        <w:t xml:space="preserve"> that </w:t>
      </w:r>
      <w:proofErr w:type="spellStart"/>
      <w:r w:rsidRPr="00FB251A">
        <w:rPr>
          <w:rFonts w:ascii="Garamond" w:hAnsi="Garamond" w:cs="Times New Roman"/>
          <w:sz w:val="24"/>
          <w:szCs w:val="24"/>
        </w:rPr>
        <w:t>Claime</w:t>
      </w:r>
      <w:proofErr w:type="spellEnd"/>
      <w:r w:rsidRPr="00FB251A">
        <w:rPr>
          <w:rFonts w:ascii="Garamond" w:hAnsi="Garamond" w:cs="Times New Roman"/>
          <w:sz w:val="24"/>
          <w:szCs w:val="24"/>
        </w:rPr>
        <w:t>” but nonetheless exercising the power of a Conqueror.</w:t>
      </w:r>
    </w:p>
    <w:p w14:paraId="72D865A5" w14:textId="2789DB9C"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 is quite emphatic that conquest forms one of Henry VII’s “three </w:t>
      </w:r>
      <w:proofErr w:type="spellStart"/>
      <w:r w:rsidRPr="00FB251A">
        <w:rPr>
          <w:rFonts w:ascii="Garamond" w:hAnsi="Garamond" w:cs="Times New Roman"/>
          <w:sz w:val="24"/>
          <w:szCs w:val="24"/>
        </w:rPr>
        <w:t>seuerall</w:t>
      </w:r>
      <w:proofErr w:type="spellEnd"/>
      <w:r w:rsidRPr="00FB251A">
        <w:rPr>
          <w:rFonts w:ascii="Garamond" w:hAnsi="Garamond" w:cs="Times New Roman"/>
          <w:sz w:val="24"/>
          <w:szCs w:val="24"/>
        </w:rPr>
        <w:t xml:space="preserve"> </w:t>
      </w:r>
      <w:r w:rsidRPr="00FB251A">
        <w:rPr>
          <w:rFonts w:ascii="Garamond" w:hAnsi="Garamond" w:cs="Times New Roman"/>
          <w:i/>
          <w:sz w:val="24"/>
          <w:szCs w:val="24"/>
        </w:rPr>
        <w:t xml:space="preserve">Titles </w:t>
      </w:r>
      <w:r w:rsidRPr="00FB251A">
        <w:rPr>
          <w:rFonts w:ascii="Garamond" w:hAnsi="Garamond" w:cs="Times New Roman"/>
          <w:sz w:val="24"/>
          <w:szCs w:val="24"/>
        </w:rPr>
        <w:t xml:space="preserve">to the </w:t>
      </w:r>
      <w:proofErr w:type="spellStart"/>
      <w:r w:rsidRPr="00FB251A">
        <w:rPr>
          <w:rFonts w:ascii="Garamond" w:hAnsi="Garamond" w:cs="Times New Roman"/>
          <w:sz w:val="24"/>
          <w:szCs w:val="24"/>
        </w:rPr>
        <w:t>Imperiall</w:t>
      </w:r>
      <w:proofErr w:type="spellEnd"/>
      <w:r w:rsidRPr="00FB251A">
        <w:rPr>
          <w:rFonts w:ascii="Garamond" w:hAnsi="Garamond" w:cs="Times New Roman"/>
          <w:sz w:val="24"/>
          <w:szCs w:val="24"/>
        </w:rPr>
        <w:t xml:space="preserve"> Crowne.”</w:t>
      </w:r>
      <w:r w:rsidRPr="00FB251A">
        <w:rPr>
          <w:rStyle w:val="FootnoteReference"/>
          <w:rFonts w:ascii="Garamond" w:hAnsi="Garamond"/>
          <w:sz w:val="24"/>
          <w:szCs w:val="24"/>
        </w:rPr>
        <w:footnoteReference w:id="31"/>
      </w:r>
      <w:r w:rsidRPr="00FB251A">
        <w:rPr>
          <w:rFonts w:ascii="Garamond" w:hAnsi="Garamond" w:cs="Times New Roman"/>
          <w:sz w:val="24"/>
          <w:szCs w:val="24"/>
        </w:rPr>
        <w:t xml:space="preserve">  His prudent counsel with regard to Henry’s title by conquest is that it is important to rule by right of conquest in such a manner as to quell dissent and the propensity to revolt without </w:t>
      </w:r>
      <w:r w:rsidRPr="00B06033">
        <w:rPr>
          <w:rFonts w:ascii="Garamond" w:hAnsi="Garamond" w:cs="Times New Roman"/>
          <w:sz w:val="24"/>
          <w:szCs w:val="24"/>
        </w:rPr>
        <w:t>the odious aftertaste of claiming as a Conqueror</w:t>
      </w:r>
      <w:r w:rsidRPr="00FB251A">
        <w:rPr>
          <w:rFonts w:ascii="Garamond" w:hAnsi="Garamond" w:cs="Times New Roman"/>
          <w:sz w:val="24"/>
          <w:szCs w:val="24"/>
        </w:rPr>
        <w:t>. To this end, Bacon presents his Henry as eager to multiply his formal and legal titles by procuring swift Papal and Parliamentary confirmation of his right to rule</w:t>
      </w:r>
      <w:r w:rsidR="00F32E59">
        <w:rPr>
          <w:rFonts w:ascii="Garamond" w:hAnsi="Garamond" w:cs="Times New Roman"/>
          <w:sz w:val="24"/>
          <w:szCs w:val="24"/>
        </w:rPr>
        <w:t>,</w:t>
      </w:r>
      <w:r w:rsidRPr="00FB251A">
        <w:rPr>
          <w:rFonts w:ascii="Garamond" w:hAnsi="Garamond" w:cs="Times New Roman"/>
          <w:sz w:val="24"/>
          <w:szCs w:val="24"/>
        </w:rPr>
        <w:t xml:space="preserve"> so that by March of 1486 he had received both statutory confirmation and a Papal Bull affirming him as King of England “with mention </w:t>
      </w:r>
      <w:proofErr w:type="spellStart"/>
      <w:r w:rsidRPr="00FB251A">
        <w:rPr>
          <w:rFonts w:ascii="Garamond" w:hAnsi="Garamond" w:cs="Times New Roman"/>
          <w:sz w:val="24"/>
          <w:szCs w:val="24"/>
        </w:rPr>
        <w:t>neuerthelesse</w:t>
      </w:r>
      <w:proofErr w:type="spellEnd"/>
      <w:r w:rsidRPr="00FB251A">
        <w:rPr>
          <w:rFonts w:ascii="Garamond" w:hAnsi="Garamond" w:cs="Times New Roman"/>
          <w:sz w:val="24"/>
          <w:szCs w:val="24"/>
        </w:rPr>
        <w:t xml:space="preserve"> (by </w:t>
      </w:r>
      <w:proofErr w:type="spellStart"/>
      <w:r w:rsidRPr="00FB251A">
        <w:rPr>
          <w:rFonts w:ascii="Garamond" w:hAnsi="Garamond" w:cs="Times New Roman"/>
          <w:sz w:val="24"/>
          <w:szCs w:val="24"/>
        </w:rPr>
        <w:t>waie</w:t>
      </w:r>
      <w:proofErr w:type="spellEnd"/>
      <w:r w:rsidRPr="00FB251A">
        <w:rPr>
          <w:rFonts w:ascii="Garamond" w:hAnsi="Garamond" w:cs="Times New Roman"/>
          <w:sz w:val="24"/>
          <w:szCs w:val="24"/>
        </w:rPr>
        <w:t xml:space="preserve"> of </w:t>
      </w:r>
      <w:proofErr w:type="spellStart"/>
      <w:r w:rsidRPr="00FB251A">
        <w:rPr>
          <w:rFonts w:ascii="Garamond" w:hAnsi="Garamond" w:cs="Times New Roman"/>
          <w:sz w:val="24"/>
          <w:szCs w:val="24"/>
        </w:rPr>
        <w:t>recitall</w:t>
      </w:r>
      <w:proofErr w:type="spellEnd"/>
      <w:r w:rsidRPr="00FB251A">
        <w:rPr>
          <w:rFonts w:ascii="Garamond" w:hAnsi="Garamond" w:cs="Times New Roman"/>
          <w:sz w:val="24"/>
          <w:szCs w:val="24"/>
        </w:rPr>
        <w:t xml:space="preserve">) of his other titles both of </w:t>
      </w:r>
      <w:proofErr w:type="spellStart"/>
      <w:r w:rsidRPr="00FB251A">
        <w:rPr>
          <w:rFonts w:ascii="Garamond" w:hAnsi="Garamond" w:cs="Times New Roman"/>
          <w:sz w:val="24"/>
          <w:szCs w:val="24"/>
        </w:rPr>
        <w:t>discent</w:t>
      </w:r>
      <w:proofErr w:type="spellEnd"/>
      <w:r w:rsidRPr="00FB251A">
        <w:rPr>
          <w:rFonts w:ascii="Garamond" w:hAnsi="Garamond" w:cs="Times New Roman"/>
          <w:sz w:val="24"/>
          <w:szCs w:val="24"/>
        </w:rPr>
        <w:t xml:space="preserve"> and Conquest.”</w:t>
      </w:r>
      <w:r w:rsidRPr="00FB251A">
        <w:rPr>
          <w:rStyle w:val="FootnoteReference"/>
          <w:rFonts w:ascii="Garamond" w:hAnsi="Garamond"/>
          <w:sz w:val="24"/>
          <w:szCs w:val="24"/>
        </w:rPr>
        <w:footnoteReference w:id="32"/>
      </w:r>
      <w:r w:rsidRPr="00FB251A">
        <w:rPr>
          <w:rFonts w:ascii="Garamond" w:hAnsi="Garamond" w:cs="Times New Roman"/>
          <w:sz w:val="24"/>
          <w:szCs w:val="24"/>
        </w:rPr>
        <w:t xml:space="preserve">  Conquest is again presented as </w:t>
      </w:r>
      <w:r w:rsidRPr="00FB251A">
        <w:rPr>
          <w:rFonts w:ascii="Garamond" w:hAnsi="Garamond" w:cs="Times New Roman"/>
          <w:sz w:val="24"/>
          <w:szCs w:val="24"/>
        </w:rPr>
        <w:lastRenderedPageBreak/>
        <w:t xml:space="preserve">temporally prior to confirmation by statute or religious authority and is </w:t>
      </w:r>
      <w:r w:rsidR="00FF5016">
        <w:rPr>
          <w:rFonts w:ascii="Garamond" w:hAnsi="Garamond" w:cs="Times New Roman"/>
          <w:sz w:val="24"/>
          <w:szCs w:val="24"/>
        </w:rPr>
        <w:t>af</w:t>
      </w:r>
      <w:r w:rsidRPr="00FB251A">
        <w:rPr>
          <w:rFonts w:ascii="Garamond" w:hAnsi="Garamond" w:cs="Times New Roman"/>
          <w:sz w:val="24"/>
          <w:szCs w:val="24"/>
        </w:rPr>
        <w:t>firmed by a “wise king” in the very act of augmenting the titles to dissimulate it.</w:t>
      </w:r>
    </w:p>
    <w:p w14:paraId="72C06273" w14:textId="6EBAC2EA"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Bacon’s reflections on the title of conquest in his </w:t>
      </w:r>
      <w:r w:rsidRPr="00FB251A">
        <w:rPr>
          <w:rFonts w:ascii="Garamond" w:hAnsi="Garamond" w:cs="Times New Roman"/>
          <w:i/>
          <w:sz w:val="24"/>
          <w:szCs w:val="24"/>
        </w:rPr>
        <w:t>History of the Reign</w:t>
      </w:r>
      <w:r w:rsidRPr="00FB251A">
        <w:rPr>
          <w:rFonts w:ascii="Garamond" w:hAnsi="Garamond" w:cs="Times New Roman"/>
          <w:sz w:val="24"/>
          <w:szCs w:val="24"/>
        </w:rPr>
        <w:t xml:space="preserve"> might be extended to his treatment of colonial titles to rule.  While </w:t>
      </w:r>
      <w:r w:rsidR="00B06033">
        <w:rPr>
          <w:rFonts w:ascii="Garamond" w:hAnsi="Garamond" w:cs="Times New Roman"/>
          <w:sz w:val="24"/>
          <w:szCs w:val="24"/>
        </w:rPr>
        <w:t>he</w:t>
      </w:r>
      <w:r w:rsidRPr="00FB251A">
        <w:rPr>
          <w:rFonts w:ascii="Garamond" w:hAnsi="Garamond" w:cs="Times New Roman"/>
          <w:sz w:val="24"/>
          <w:szCs w:val="24"/>
        </w:rPr>
        <w:t xml:space="preserve"> urges his colonial administrators to </w:t>
      </w:r>
      <w:r w:rsidRPr="00FB251A">
        <w:rPr>
          <w:rFonts w:ascii="Garamond" w:hAnsi="Garamond" w:cs="Times New Roman"/>
          <w:i/>
          <w:sz w:val="24"/>
          <w:szCs w:val="24"/>
        </w:rPr>
        <w:t xml:space="preserve">act </w:t>
      </w:r>
      <w:r w:rsidRPr="00FB251A">
        <w:rPr>
          <w:rFonts w:ascii="Garamond" w:hAnsi="Garamond" w:cs="Times New Roman"/>
          <w:sz w:val="24"/>
          <w:szCs w:val="24"/>
        </w:rPr>
        <w:t xml:space="preserve">as conquerors, forcing others to submit to the Crown’s authority, he does not foreground the </w:t>
      </w:r>
      <w:r w:rsidRPr="00FB251A">
        <w:rPr>
          <w:rFonts w:ascii="Garamond" w:hAnsi="Garamond" w:cs="Times New Roman"/>
          <w:i/>
          <w:sz w:val="24"/>
          <w:szCs w:val="24"/>
        </w:rPr>
        <w:t>claim</w:t>
      </w:r>
      <w:r w:rsidRPr="00FB251A">
        <w:rPr>
          <w:rFonts w:ascii="Garamond" w:hAnsi="Garamond" w:cs="Times New Roman"/>
          <w:sz w:val="24"/>
          <w:szCs w:val="24"/>
        </w:rPr>
        <w:t xml:space="preserve"> of legal title to conquest.  As a counsellor for empire and colonial plantations, Bacon urges his addressees to govern as conquerors while keeping an adept silence about their title by conquest.</w:t>
      </w:r>
      <w:r w:rsidRPr="00FB251A">
        <w:rPr>
          <w:rStyle w:val="FootnoteReference"/>
          <w:rFonts w:ascii="Garamond" w:hAnsi="Garamond"/>
          <w:sz w:val="24"/>
          <w:szCs w:val="24"/>
        </w:rPr>
        <w:footnoteReference w:id="33"/>
      </w:r>
    </w:p>
    <w:p w14:paraId="598DCB30" w14:textId="77777777" w:rsidR="00580F87" w:rsidRPr="00FB251A"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t xml:space="preserve">In view of Bacon’s thought that conquest is a natural title of obedience to a sovereign power, let us look more closely at how Bacon relates his thought on war and empire to his thought on colonies or plantations.  </w:t>
      </w:r>
    </w:p>
    <w:p w14:paraId="06E7B420" w14:textId="6F23FE90" w:rsidR="0076368D" w:rsidRPr="0076368D" w:rsidRDefault="0076368D" w:rsidP="00B1678C">
      <w:pPr>
        <w:pStyle w:val="ListParagraph"/>
        <w:numPr>
          <w:ilvl w:val="0"/>
          <w:numId w:val="1"/>
        </w:numPr>
        <w:spacing w:line="480" w:lineRule="auto"/>
        <w:rPr>
          <w:rFonts w:ascii="Garamond" w:hAnsi="Garamond" w:cs="Times New Roman"/>
          <w:sz w:val="24"/>
          <w:szCs w:val="24"/>
          <w:lang w:val="en-GB"/>
        </w:rPr>
      </w:pPr>
      <w:r>
        <w:rPr>
          <w:rFonts w:ascii="Garamond" w:hAnsi="Garamond" w:cs="Times New Roman"/>
          <w:i/>
          <w:iCs/>
          <w:sz w:val="24"/>
          <w:szCs w:val="24"/>
          <w:lang w:val="en-GB"/>
        </w:rPr>
        <w:t xml:space="preserve">Martial Law in “Of Plantations” </w:t>
      </w:r>
      <w:r>
        <w:rPr>
          <w:rFonts w:ascii="Garamond" w:hAnsi="Garamond" w:cs="Times New Roman"/>
          <w:sz w:val="24"/>
          <w:szCs w:val="24"/>
          <w:lang w:val="en-GB"/>
        </w:rPr>
        <w:t>(1625)</w:t>
      </w:r>
    </w:p>
    <w:p w14:paraId="2FB8E28E" w14:textId="1893B0A9" w:rsidR="00580F87" w:rsidRPr="00FB251A" w:rsidRDefault="00FF5016" w:rsidP="00B1678C">
      <w:pPr>
        <w:spacing w:line="480" w:lineRule="auto"/>
        <w:rPr>
          <w:rFonts w:ascii="Garamond" w:hAnsi="Garamond" w:cs="Times New Roman"/>
          <w:sz w:val="24"/>
          <w:szCs w:val="24"/>
          <w:lang w:val="en-GB"/>
        </w:rPr>
      </w:pPr>
      <w:r>
        <w:rPr>
          <w:rFonts w:ascii="Garamond" w:hAnsi="Garamond" w:cs="Times New Roman"/>
          <w:sz w:val="24"/>
          <w:szCs w:val="24"/>
          <w:lang w:val="en-GB"/>
        </w:rPr>
        <w:t xml:space="preserve">Addressed to the Duke of Buckingham, then the royal </w:t>
      </w:r>
      <w:proofErr w:type="spellStart"/>
      <w:r>
        <w:rPr>
          <w:rFonts w:ascii="Garamond" w:hAnsi="Garamond" w:cs="Times New Roman"/>
          <w:sz w:val="24"/>
          <w:szCs w:val="24"/>
          <w:lang w:val="en-GB"/>
        </w:rPr>
        <w:t>favorite</w:t>
      </w:r>
      <w:proofErr w:type="spellEnd"/>
      <w:r>
        <w:rPr>
          <w:rFonts w:ascii="Garamond" w:hAnsi="Garamond" w:cs="Times New Roman"/>
          <w:sz w:val="24"/>
          <w:szCs w:val="24"/>
          <w:lang w:val="en-GB"/>
        </w:rPr>
        <w:t xml:space="preserve"> and leading advocate of war with Spain, </w:t>
      </w:r>
      <w:r w:rsidR="00580F87" w:rsidRPr="00FB251A">
        <w:rPr>
          <w:rFonts w:ascii="Garamond" w:hAnsi="Garamond" w:cs="Times New Roman"/>
          <w:sz w:val="24"/>
          <w:szCs w:val="24"/>
          <w:lang w:val="en-GB"/>
        </w:rPr>
        <w:t xml:space="preserve">Bacon’s Essay 33 in the 1625 edition of his </w:t>
      </w:r>
      <w:proofErr w:type="spellStart"/>
      <w:r w:rsidR="00580F87" w:rsidRPr="00FB251A">
        <w:rPr>
          <w:rFonts w:ascii="Garamond" w:hAnsi="Garamond" w:cs="Times New Roman"/>
          <w:i/>
          <w:sz w:val="24"/>
          <w:szCs w:val="24"/>
          <w:lang w:val="en-GB"/>
        </w:rPr>
        <w:t>Essayes</w:t>
      </w:r>
      <w:proofErr w:type="spellEnd"/>
      <w:r w:rsidR="00580F87" w:rsidRPr="00FB251A">
        <w:rPr>
          <w:rFonts w:ascii="Garamond" w:hAnsi="Garamond" w:cs="Times New Roman"/>
          <w:sz w:val="24"/>
          <w:szCs w:val="24"/>
          <w:lang w:val="en-GB"/>
        </w:rPr>
        <w:t xml:space="preserve">, “Of Plantations” was translated into Latin as </w:t>
      </w:r>
      <w:r w:rsidR="00580F87" w:rsidRPr="00FB251A">
        <w:rPr>
          <w:rFonts w:ascii="Garamond" w:hAnsi="Garamond" w:cs="Times New Roman"/>
          <w:i/>
          <w:sz w:val="24"/>
          <w:szCs w:val="24"/>
          <w:lang w:val="la-Latn"/>
        </w:rPr>
        <w:t>De Plantationibus Populorum et Coloniis</w:t>
      </w:r>
      <w:r w:rsidR="00580F87" w:rsidRPr="00FB251A">
        <w:rPr>
          <w:rFonts w:ascii="Garamond" w:hAnsi="Garamond" w:cs="Times New Roman"/>
          <w:sz w:val="24"/>
          <w:szCs w:val="24"/>
          <w:lang w:val="en-GB"/>
        </w:rPr>
        <w:t xml:space="preserve"> in the 1638 edition of Bacon’s </w:t>
      </w:r>
      <w:r w:rsidR="00580F87" w:rsidRPr="00FB251A">
        <w:rPr>
          <w:rFonts w:ascii="Garamond" w:hAnsi="Garamond" w:cs="Times New Roman"/>
          <w:i/>
          <w:sz w:val="24"/>
          <w:szCs w:val="24"/>
          <w:lang w:val="la-Latn"/>
        </w:rPr>
        <w:t>Opera civilia et moralia</w:t>
      </w:r>
      <w:r w:rsidR="00580F87" w:rsidRPr="00FB251A">
        <w:rPr>
          <w:rFonts w:ascii="Garamond" w:hAnsi="Garamond" w:cs="Times New Roman"/>
          <w:sz w:val="24"/>
          <w:szCs w:val="24"/>
          <w:lang w:val="en-GB"/>
        </w:rPr>
        <w:t>, “On the Plantations of Peoples, and Colonies.”</w:t>
      </w:r>
      <w:r w:rsidR="00580F87" w:rsidRPr="00FB251A">
        <w:rPr>
          <w:rStyle w:val="FootnoteReference"/>
          <w:rFonts w:ascii="Garamond" w:hAnsi="Garamond"/>
          <w:sz w:val="24"/>
          <w:szCs w:val="24"/>
          <w:lang w:val="en-GB"/>
        </w:rPr>
        <w:footnoteReference w:id="34"/>
      </w:r>
      <w:r w:rsidR="00580F87" w:rsidRPr="00FB251A">
        <w:rPr>
          <w:rFonts w:ascii="Garamond" w:hAnsi="Garamond" w:cs="Times New Roman"/>
          <w:sz w:val="24"/>
          <w:szCs w:val="24"/>
          <w:lang w:val="en-GB"/>
        </w:rPr>
        <w:t xml:space="preserve">  Bacon’s vocabulary of “plantations” was thought by his literary agents and translators, whose number, according to John Aubrey, </w:t>
      </w:r>
      <w:r w:rsidR="00991B42">
        <w:rPr>
          <w:rFonts w:ascii="Garamond" w:hAnsi="Garamond" w:cs="Times New Roman"/>
          <w:sz w:val="24"/>
          <w:szCs w:val="24"/>
          <w:lang w:val="en-GB"/>
        </w:rPr>
        <w:t xml:space="preserve">included </w:t>
      </w:r>
      <w:r w:rsidR="00580F87" w:rsidRPr="00FB251A">
        <w:rPr>
          <w:rFonts w:ascii="Garamond" w:hAnsi="Garamond" w:cs="Times New Roman"/>
          <w:sz w:val="24"/>
          <w:szCs w:val="24"/>
          <w:lang w:val="en-GB"/>
        </w:rPr>
        <w:t>the philosopher Thomas Hobbes,</w:t>
      </w:r>
      <w:r w:rsidR="00580F87" w:rsidRPr="00FB251A">
        <w:rPr>
          <w:rStyle w:val="FootnoteReference"/>
          <w:rFonts w:ascii="Garamond" w:hAnsi="Garamond"/>
          <w:sz w:val="24"/>
          <w:szCs w:val="24"/>
          <w:lang w:val="en-GB"/>
        </w:rPr>
        <w:footnoteReference w:id="35"/>
      </w:r>
      <w:r w:rsidR="00580F87" w:rsidRPr="00FB251A">
        <w:rPr>
          <w:rFonts w:ascii="Garamond" w:hAnsi="Garamond" w:cs="Times New Roman"/>
          <w:sz w:val="24"/>
          <w:szCs w:val="24"/>
          <w:lang w:val="en-GB"/>
        </w:rPr>
        <w:t xml:space="preserve"> to be close enough to that of “colonies” that they translated the terms as at least partial equivalents.  </w:t>
      </w:r>
    </w:p>
    <w:p w14:paraId="62D82D90" w14:textId="5DB33086" w:rsidR="00580F87" w:rsidRPr="00FB251A"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lastRenderedPageBreak/>
        <w:t>In “Of Plantations,” Bacon ties his notion of a “plantation” or planting colony to war in at least three senses</w:t>
      </w:r>
      <w:r w:rsidR="005336D2">
        <w:rPr>
          <w:rFonts w:ascii="Garamond" w:hAnsi="Garamond" w:cs="Times New Roman"/>
          <w:sz w:val="24"/>
          <w:szCs w:val="24"/>
          <w:lang w:val="en-GB"/>
        </w:rPr>
        <w:t>.  The</w:t>
      </w:r>
      <w:r w:rsidRPr="00FB251A">
        <w:rPr>
          <w:rFonts w:ascii="Garamond" w:hAnsi="Garamond" w:cs="Times New Roman"/>
          <w:sz w:val="24"/>
          <w:szCs w:val="24"/>
          <w:lang w:val="en-GB"/>
        </w:rPr>
        <w:t xml:space="preserve"> first</w:t>
      </w:r>
      <w:r w:rsidR="005336D2">
        <w:rPr>
          <w:rFonts w:ascii="Garamond" w:hAnsi="Garamond" w:cs="Times New Roman"/>
          <w:sz w:val="24"/>
          <w:szCs w:val="24"/>
          <w:lang w:val="en-GB"/>
        </w:rPr>
        <w:t xml:space="preserve"> connection between plantations and war</w:t>
      </w:r>
      <w:r w:rsidRPr="00FB251A">
        <w:rPr>
          <w:rFonts w:ascii="Garamond" w:hAnsi="Garamond" w:cs="Times New Roman"/>
          <w:sz w:val="24"/>
          <w:szCs w:val="24"/>
          <w:lang w:val="en-GB"/>
        </w:rPr>
        <w:t xml:space="preserve"> is </w:t>
      </w:r>
      <w:r w:rsidR="005336D2">
        <w:rPr>
          <w:rFonts w:ascii="Garamond" w:hAnsi="Garamond" w:cs="Times New Roman"/>
          <w:sz w:val="24"/>
          <w:szCs w:val="24"/>
          <w:lang w:val="en-GB"/>
        </w:rPr>
        <w:t>Bacon’s</w:t>
      </w:r>
      <w:r w:rsidRPr="00FB251A">
        <w:rPr>
          <w:rFonts w:ascii="Garamond" w:hAnsi="Garamond" w:cs="Times New Roman"/>
          <w:sz w:val="24"/>
          <w:szCs w:val="24"/>
          <w:lang w:val="en-GB"/>
        </w:rPr>
        <w:t xml:space="preserve"> claim that plantations should be governed by those with a commission or authority to exercise martial law, keeping silent on the fact that to rule by martial law is to rule as a conqueror</w:t>
      </w:r>
      <w:r w:rsidR="005336D2">
        <w:rPr>
          <w:rFonts w:ascii="Garamond" w:hAnsi="Garamond" w:cs="Times New Roman"/>
          <w:sz w:val="24"/>
          <w:szCs w:val="24"/>
          <w:lang w:val="en-GB"/>
        </w:rPr>
        <w:t>.  The</w:t>
      </w:r>
      <w:r w:rsidRPr="00FB251A">
        <w:rPr>
          <w:rFonts w:ascii="Garamond" w:hAnsi="Garamond" w:cs="Times New Roman"/>
          <w:sz w:val="24"/>
          <w:szCs w:val="24"/>
          <w:lang w:val="en-GB"/>
        </w:rPr>
        <w:t xml:space="preserve"> second </w:t>
      </w:r>
      <w:r w:rsidR="005336D2">
        <w:rPr>
          <w:rFonts w:ascii="Garamond" w:hAnsi="Garamond" w:cs="Times New Roman"/>
          <w:sz w:val="24"/>
          <w:szCs w:val="24"/>
          <w:lang w:val="en-GB"/>
        </w:rPr>
        <w:t xml:space="preserve">connection Bacon draws </w:t>
      </w:r>
      <w:r w:rsidR="001966AD">
        <w:rPr>
          <w:rFonts w:ascii="Garamond" w:hAnsi="Garamond" w:cs="Times New Roman"/>
          <w:sz w:val="24"/>
          <w:szCs w:val="24"/>
          <w:lang w:val="en-GB"/>
        </w:rPr>
        <w:t xml:space="preserve">are </w:t>
      </w:r>
      <w:r w:rsidRPr="00FB251A">
        <w:rPr>
          <w:rFonts w:ascii="Garamond" w:hAnsi="Garamond" w:cs="Times New Roman"/>
          <w:sz w:val="24"/>
          <w:szCs w:val="24"/>
          <w:lang w:val="en-GB"/>
        </w:rPr>
        <w:t>the stratagems Bacon proposes for colonial rule</w:t>
      </w:r>
      <w:r w:rsidR="005336D2">
        <w:rPr>
          <w:rFonts w:ascii="Garamond" w:hAnsi="Garamond" w:cs="Times New Roman"/>
          <w:sz w:val="24"/>
          <w:szCs w:val="24"/>
          <w:lang w:val="en-GB"/>
        </w:rPr>
        <w:t xml:space="preserve">.  Finally, Bacon stresses a connection between plantations and war in </w:t>
      </w:r>
      <w:r w:rsidRPr="00FB251A">
        <w:rPr>
          <w:rFonts w:ascii="Garamond" w:hAnsi="Garamond" w:cs="Times New Roman"/>
          <w:sz w:val="24"/>
          <w:szCs w:val="24"/>
          <w:lang w:val="en-GB"/>
        </w:rPr>
        <w:t>the relation of colonial settlement to the native populations, which serves, for Bacon, as a ground of legitimation for English and British colonies over and against Spanish imperial power in particular.</w:t>
      </w:r>
      <w:r w:rsidR="001966AD">
        <w:rPr>
          <w:rFonts w:ascii="Garamond" w:hAnsi="Garamond" w:cs="Times New Roman"/>
          <w:sz w:val="24"/>
          <w:szCs w:val="24"/>
          <w:lang w:val="en-GB"/>
        </w:rPr>
        <w:t xml:space="preserve"> </w:t>
      </w:r>
    </w:p>
    <w:p w14:paraId="1A58CE33" w14:textId="0604B10F"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lang w:val="en-GB"/>
        </w:rPr>
        <w:t xml:space="preserve">With regard to the first connection, Bacon claims that such plantations should be governed by those with a commission or the authority to exercise martial law: “let them have Commission, to exercise </w:t>
      </w:r>
      <w:proofErr w:type="spellStart"/>
      <w:r w:rsidRPr="00FB251A">
        <w:rPr>
          <w:rFonts w:ascii="Garamond" w:hAnsi="Garamond" w:cs="Times New Roman"/>
          <w:sz w:val="24"/>
          <w:szCs w:val="24"/>
          <w:lang w:val="en-GB"/>
        </w:rPr>
        <w:t>Martiall</w:t>
      </w:r>
      <w:proofErr w:type="spellEnd"/>
      <w:r w:rsidRPr="00FB251A">
        <w:rPr>
          <w:rFonts w:ascii="Garamond" w:hAnsi="Garamond" w:cs="Times New Roman"/>
          <w:sz w:val="24"/>
          <w:szCs w:val="24"/>
          <w:lang w:val="en-GB"/>
        </w:rPr>
        <w:t xml:space="preserve"> Lawes,”</w:t>
      </w:r>
      <w:r w:rsidRPr="00FB251A">
        <w:rPr>
          <w:rStyle w:val="FootnoteReference"/>
          <w:rFonts w:ascii="Garamond" w:hAnsi="Garamond"/>
          <w:sz w:val="24"/>
          <w:szCs w:val="24"/>
          <w:lang w:val="en-GB"/>
        </w:rPr>
        <w:footnoteReference w:id="36"/>
      </w:r>
      <w:r w:rsidRPr="00FB251A">
        <w:rPr>
          <w:rFonts w:ascii="Garamond" w:hAnsi="Garamond" w:cs="Times New Roman"/>
          <w:sz w:val="24"/>
          <w:szCs w:val="24"/>
          <w:lang w:val="en-GB"/>
        </w:rPr>
        <w:t xml:space="preserve"> to the end that the plantation may run smoothly.  Martial law, in Bacon’s view, was fitly invoked for the suppression of rebellion as well as the administration of colonial plantations.  </w:t>
      </w:r>
      <w:r w:rsidR="001966AD">
        <w:rPr>
          <w:rFonts w:ascii="Garamond" w:hAnsi="Garamond" w:cs="Times New Roman"/>
          <w:sz w:val="24"/>
          <w:szCs w:val="24"/>
        </w:rPr>
        <w:t>Bacon opens</w:t>
      </w:r>
      <w:r w:rsidRPr="00FB251A">
        <w:rPr>
          <w:rFonts w:ascii="Garamond" w:hAnsi="Garamond" w:cs="Times New Roman"/>
          <w:sz w:val="24"/>
          <w:szCs w:val="24"/>
        </w:rPr>
        <w:t xml:space="preserve"> his 1601 </w:t>
      </w:r>
      <w:r w:rsidRPr="00FB251A">
        <w:rPr>
          <w:rFonts w:ascii="Garamond" w:hAnsi="Garamond" w:cs="Times New Roman"/>
          <w:i/>
          <w:sz w:val="24"/>
          <w:szCs w:val="24"/>
        </w:rPr>
        <w:t xml:space="preserve">Declaration Touching the Treasons of the Late Earl of Essex and His </w:t>
      </w:r>
      <w:proofErr w:type="spellStart"/>
      <w:r w:rsidRPr="00FB251A">
        <w:rPr>
          <w:rFonts w:ascii="Garamond" w:hAnsi="Garamond" w:cs="Times New Roman"/>
          <w:i/>
          <w:sz w:val="24"/>
          <w:szCs w:val="24"/>
        </w:rPr>
        <w:t>Complices</w:t>
      </w:r>
      <w:proofErr w:type="spellEnd"/>
      <w:r w:rsidR="001966AD">
        <w:rPr>
          <w:rFonts w:ascii="Garamond" w:hAnsi="Garamond" w:cs="Times New Roman"/>
          <w:sz w:val="24"/>
          <w:szCs w:val="24"/>
        </w:rPr>
        <w:t xml:space="preserve"> </w:t>
      </w:r>
      <w:r w:rsidRPr="00FB251A">
        <w:rPr>
          <w:rFonts w:ascii="Garamond" w:hAnsi="Garamond" w:cs="Times New Roman"/>
          <w:sz w:val="24"/>
          <w:szCs w:val="24"/>
        </w:rPr>
        <w:t xml:space="preserve">with the concession that while Essex and his associates received “an </w:t>
      </w:r>
      <w:proofErr w:type="spellStart"/>
      <w:r w:rsidRPr="00FB251A">
        <w:rPr>
          <w:rFonts w:ascii="Garamond" w:hAnsi="Garamond" w:cs="Times New Roman"/>
          <w:sz w:val="24"/>
          <w:szCs w:val="24"/>
        </w:rPr>
        <w:t>honourable</w:t>
      </w:r>
      <w:proofErr w:type="spellEnd"/>
      <w:r w:rsidRPr="00FB251A">
        <w:rPr>
          <w:rFonts w:ascii="Garamond" w:hAnsi="Garamond" w:cs="Times New Roman"/>
          <w:sz w:val="24"/>
          <w:szCs w:val="24"/>
        </w:rPr>
        <w:t xml:space="preserve"> and ordinary trial”, Essex’s case would not only have “borne” but “required” the “severity of martial law” to bring the matter swiftly to justice.</w:t>
      </w:r>
      <w:r w:rsidRPr="00FB251A">
        <w:rPr>
          <w:rStyle w:val="FootnoteReference"/>
          <w:rFonts w:ascii="Garamond" w:hAnsi="Garamond"/>
          <w:sz w:val="24"/>
          <w:szCs w:val="24"/>
        </w:rPr>
        <w:footnoteReference w:id="37"/>
      </w:r>
      <w:r w:rsidRPr="00FB251A">
        <w:rPr>
          <w:rFonts w:ascii="Garamond" w:hAnsi="Garamond" w:cs="Times New Roman"/>
          <w:sz w:val="24"/>
          <w:szCs w:val="24"/>
        </w:rPr>
        <w:t xml:space="preserve">  In his </w:t>
      </w:r>
      <w:proofErr w:type="spellStart"/>
      <w:r w:rsidRPr="00FB251A">
        <w:rPr>
          <w:rFonts w:ascii="Garamond" w:hAnsi="Garamond" w:cs="Times New Roman"/>
          <w:i/>
          <w:sz w:val="24"/>
          <w:szCs w:val="24"/>
        </w:rPr>
        <w:t>Historie</w:t>
      </w:r>
      <w:proofErr w:type="spellEnd"/>
      <w:r w:rsidRPr="00FB251A">
        <w:rPr>
          <w:rFonts w:ascii="Garamond" w:hAnsi="Garamond" w:cs="Times New Roman"/>
          <w:i/>
          <w:sz w:val="24"/>
          <w:szCs w:val="24"/>
        </w:rPr>
        <w:t xml:space="preserve"> of the </w:t>
      </w:r>
      <w:proofErr w:type="spellStart"/>
      <w:r w:rsidRPr="00FB251A">
        <w:rPr>
          <w:rFonts w:ascii="Garamond" w:hAnsi="Garamond" w:cs="Times New Roman"/>
          <w:i/>
          <w:sz w:val="24"/>
          <w:szCs w:val="24"/>
        </w:rPr>
        <w:t>raigne</w:t>
      </w:r>
      <w:proofErr w:type="spellEnd"/>
      <w:r w:rsidRPr="00FB251A">
        <w:rPr>
          <w:rFonts w:ascii="Garamond" w:hAnsi="Garamond" w:cs="Times New Roman"/>
          <w:i/>
          <w:sz w:val="24"/>
          <w:szCs w:val="24"/>
        </w:rPr>
        <w:t xml:space="preserve"> of King Henry the </w:t>
      </w:r>
      <w:proofErr w:type="spellStart"/>
      <w:r w:rsidRPr="00FB251A">
        <w:rPr>
          <w:rFonts w:ascii="Garamond" w:hAnsi="Garamond" w:cs="Times New Roman"/>
          <w:i/>
          <w:sz w:val="24"/>
          <w:szCs w:val="24"/>
        </w:rPr>
        <w:t>seuenth</w:t>
      </w:r>
      <w:proofErr w:type="spellEnd"/>
      <w:r w:rsidRPr="00FB251A">
        <w:rPr>
          <w:rFonts w:ascii="Garamond" w:hAnsi="Garamond" w:cs="Times New Roman"/>
          <w:sz w:val="24"/>
          <w:szCs w:val="24"/>
        </w:rPr>
        <w:t xml:space="preserve"> (1622), Bacon further commends his Henry following his victory at the Battle of Stoke Field in 1487 for his use of prerogative justice “partly by </w:t>
      </w:r>
      <w:proofErr w:type="spellStart"/>
      <w:r w:rsidRPr="00FB251A">
        <w:rPr>
          <w:rFonts w:ascii="Garamond" w:hAnsi="Garamond" w:cs="Times New Roman"/>
          <w:sz w:val="24"/>
          <w:szCs w:val="24"/>
        </w:rPr>
        <w:t>Martiall</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Lawe</w:t>
      </w:r>
      <w:proofErr w:type="spellEnd"/>
      <w:r w:rsidRPr="00FB251A">
        <w:rPr>
          <w:rFonts w:ascii="Garamond" w:hAnsi="Garamond" w:cs="Times New Roman"/>
          <w:sz w:val="24"/>
          <w:szCs w:val="24"/>
        </w:rPr>
        <w:t xml:space="preserve"> and partly by Commission” to punish those who aided the Earl of Lincoln and his Yorkist rebellion.</w:t>
      </w:r>
      <w:r w:rsidRPr="00FB251A">
        <w:rPr>
          <w:rStyle w:val="FootnoteReference"/>
          <w:rFonts w:ascii="Garamond" w:hAnsi="Garamond"/>
          <w:sz w:val="24"/>
          <w:szCs w:val="24"/>
        </w:rPr>
        <w:footnoteReference w:id="38"/>
      </w:r>
      <w:r w:rsidRPr="00FB251A">
        <w:rPr>
          <w:rFonts w:ascii="Garamond" w:hAnsi="Garamond" w:cs="Times New Roman"/>
          <w:sz w:val="24"/>
          <w:szCs w:val="24"/>
        </w:rPr>
        <w:t xml:space="preserve">  </w:t>
      </w:r>
    </w:p>
    <w:p w14:paraId="67849737" w14:textId="1F8DDC4A" w:rsidR="00580F87" w:rsidRPr="00947F60"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t xml:space="preserve">In Bacon’s preferred colonial administration, the commission to exercise martial law is to be held in the hands of a well-counselled governor, who is to rule the plantation monarchically or at least </w:t>
      </w:r>
      <w:r w:rsidRPr="00FB251A">
        <w:rPr>
          <w:rFonts w:ascii="Garamond" w:hAnsi="Garamond" w:cs="Times New Roman"/>
          <w:sz w:val="24"/>
          <w:szCs w:val="24"/>
          <w:lang w:val="en-GB"/>
        </w:rPr>
        <w:lastRenderedPageBreak/>
        <w:t xml:space="preserve">quasi-monarchically: “For the Government, let it be in the Hands of one, assisted with some </w:t>
      </w:r>
      <w:proofErr w:type="spellStart"/>
      <w:r w:rsidRPr="00FB251A">
        <w:rPr>
          <w:rFonts w:ascii="Garamond" w:hAnsi="Garamond" w:cs="Times New Roman"/>
          <w:sz w:val="24"/>
          <w:szCs w:val="24"/>
          <w:lang w:val="en-GB"/>
        </w:rPr>
        <w:t>Counsell</w:t>
      </w:r>
      <w:proofErr w:type="spellEnd"/>
      <w:r w:rsidRPr="00FB251A">
        <w:rPr>
          <w:rFonts w:ascii="Garamond" w:hAnsi="Garamond" w:cs="Times New Roman"/>
          <w:sz w:val="24"/>
          <w:szCs w:val="24"/>
          <w:lang w:val="en-GB"/>
        </w:rPr>
        <w:t>.”</w:t>
      </w:r>
      <w:r w:rsidRPr="00FB251A">
        <w:rPr>
          <w:rStyle w:val="FootnoteReference"/>
          <w:rFonts w:ascii="Garamond" w:hAnsi="Garamond"/>
          <w:sz w:val="24"/>
          <w:szCs w:val="24"/>
          <w:lang w:val="en-GB"/>
        </w:rPr>
        <w:footnoteReference w:id="39"/>
      </w:r>
      <w:r w:rsidRPr="00FB251A">
        <w:rPr>
          <w:rFonts w:ascii="Garamond" w:hAnsi="Garamond" w:cs="Times New Roman"/>
          <w:sz w:val="24"/>
          <w:szCs w:val="24"/>
          <w:lang w:val="en-GB"/>
        </w:rPr>
        <w:t xml:space="preserve">  This Counsel</w:t>
      </w:r>
      <w:r w:rsidR="005C6755">
        <w:rPr>
          <w:rFonts w:ascii="Garamond" w:hAnsi="Garamond" w:cs="Times New Roman"/>
          <w:sz w:val="24"/>
          <w:szCs w:val="24"/>
          <w:lang w:val="en-GB"/>
        </w:rPr>
        <w:t xml:space="preserve"> </w:t>
      </w:r>
      <w:r w:rsidRPr="00FB251A">
        <w:rPr>
          <w:rFonts w:ascii="Garamond" w:hAnsi="Garamond" w:cs="Times New Roman"/>
          <w:sz w:val="24"/>
          <w:szCs w:val="24"/>
          <w:lang w:val="en-GB"/>
        </w:rPr>
        <w:t xml:space="preserve">is not to be too numerous and </w:t>
      </w:r>
      <w:r w:rsidR="003B1DBA">
        <w:rPr>
          <w:rFonts w:ascii="Garamond" w:hAnsi="Garamond" w:cs="Times New Roman"/>
          <w:sz w:val="24"/>
          <w:szCs w:val="24"/>
          <w:lang w:val="en-GB"/>
        </w:rPr>
        <w:t>to</w:t>
      </w:r>
      <w:r w:rsidR="003B1DBA" w:rsidRPr="00FB251A">
        <w:rPr>
          <w:rFonts w:ascii="Garamond" w:hAnsi="Garamond" w:cs="Times New Roman"/>
          <w:sz w:val="24"/>
          <w:szCs w:val="24"/>
          <w:lang w:val="en-GB"/>
        </w:rPr>
        <w:t xml:space="preserve"> </w:t>
      </w:r>
      <w:r w:rsidRPr="00FB251A">
        <w:rPr>
          <w:rFonts w:ascii="Garamond" w:hAnsi="Garamond" w:cs="Times New Roman"/>
          <w:sz w:val="24"/>
          <w:szCs w:val="24"/>
          <w:lang w:val="en-GB"/>
        </w:rPr>
        <w:t>be composed of “Noblemen, and Gentlemen.”</w:t>
      </w:r>
      <w:r w:rsidRPr="00FB251A">
        <w:rPr>
          <w:rStyle w:val="FootnoteReference"/>
          <w:rFonts w:ascii="Garamond" w:hAnsi="Garamond"/>
          <w:sz w:val="24"/>
          <w:szCs w:val="24"/>
          <w:lang w:val="en-GB"/>
        </w:rPr>
        <w:footnoteReference w:id="40"/>
      </w:r>
      <w:r w:rsidRPr="00FB251A">
        <w:rPr>
          <w:rFonts w:ascii="Garamond" w:hAnsi="Garamond" w:cs="Times New Roman"/>
          <w:sz w:val="24"/>
          <w:szCs w:val="24"/>
          <w:lang w:val="en-GB"/>
        </w:rPr>
        <w:t xml:space="preserve">  </w:t>
      </w:r>
      <w:r w:rsidRPr="00FB251A">
        <w:rPr>
          <w:rFonts w:ascii="Garamond" w:hAnsi="Garamond" w:cs="Times New Roman"/>
          <w:sz w:val="24"/>
          <w:szCs w:val="24"/>
        </w:rPr>
        <w:t>Juridically, as Ken MacMillan has argued, colonies were a space of regal prerogative in which the Roman civil law of equity rather than the common law obtained.</w:t>
      </w:r>
      <w:r w:rsidRPr="00FB251A">
        <w:rPr>
          <w:rStyle w:val="FootnoteReference"/>
          <w:rFonts w:ascii="Garamond" w:hAnsi="Garamond"/>
          <w:sz w:val="24"/>
          <w:szCs w:val="24"/>
        </w:rPr>
        <w:footnoteReference w:id="41"/>
      </w:r>
      <w:r w:rsidRPr="00FB251A">
        <w:rPr>
          <w:rFonts w:ascii="Garamond" w:hAnsi="Garamond" w:cs="Times New Roman"/>
          <w:sz w:val="24"/>
          <w:szCs w:val="24"/>
        </w:rPr>
        <w:t xml:space="preserve">  Bacon’s avid endorsement of martial law, placing colonies on a war footing, might be seen not only as advocacy of this use of prerogative but as a stark amplification of it.</w:t>
      </w:r>
    </w:p>
    <w:p w14:paraId="6A5EAB39" w14:textId="439B2427" w:rsidR="00580F87" w:rsidRPr="00FB251A" w:rsidRDefault="009A3E2B" w:rsidP="00B1678C">
      <w:pPr>
        <w:spacing w:line="480" w:lineRule="auto"/>
        <w:rPr>
          <w:rFonts w:ascii="Garamond" w:hAnsi="Garamond" w:cs="Times New Roman"/>
          <w:sz w:val="24"/>
          <w:szCs w:val="24"/>
          <w:lang w:val="en-GB"/>
        </w:rPr>
      </w:pPr>
      <w:r>
        <w:rPr>
          <w:rFonts w:ascii="Garamond" w:hAnsi="Garamond" w:cs="Times New Roman"/>
          <w:sz w:val="24"/>
          <w:szCs w:val="24"/>
          <w:lang w:val="en-GB"/>
        </w:rPr>
        <w:t xml:space="preserve">As noted above, </w:t>
      </w:r>
      <w:r w:rsidR="00580F87" w:rsidRPr="00FB251A">
        <w:rPr>
          <w:rFonts w:ascii="Garamond" w:hAnsi="Garamond" w:cs="Times New Roman"/>
          <w:sz w:val="24"/>
          <w:szCs w:val="24"/>
          <w:lang w:val="en-GB"/>
        </w:rPr>
        <w:t>Bacon ties his “plantations” to war</w:t>
      </w:r>
      <w:r w:rsidR="00947F60">
        <w:rPr>
          <w:rFonts w:ascii="Garamond" w:hAnsi="Garamond" w:cs="Times New Roman"/>
          <w:sz w:val="24"/>
          <w:szCs w:val="24"/>
          <w:lang w:val="en-GB"/>
        </w:rPr>
        <w:t xml:space="preserve"> secondly</w:t>
      </w:r>
      <w:r w:rsidR="00580F87" w:rsidRPr="00FB251A">
        <w:rPr>
          <w:rFonts w:ascii="Garamond" w:hAnsi="Garamond" w:cs="Times New Roman"/>
          <w:sz w:val="24"/>
          <w:szCs w:val="24"/>
          <w:lang w:val="en-GB"/>
        </w:rPr>
        <w:t xml:space="preserve"> in the stratagems he proposes for their management.  </w:t>
      </w:r>
      <w:r w:rsidR="00CF004D">
        <w:rPr>
          <w:rFonts w:ascii="Garamond" w:hAnsi="Garamond" w:cs="Times New Roman"/>
          <w:sz w:val="24"/>
          <w:szCs w:val="24"/>
          <w:lang w:val="en-GB"/>
        </w:rPr>
        <w:t>F</w:t>
      </w:r>
      <w:r w:rsidR="00580F87" w:rsidRPr="00FB251A">
        <w:rPr>
          <w:rFonts w:ascii="Garamond" w:hAnsi="Garamond" w:cs="Times New Roman"/>
          <w:sz w:val="24"/>
          <w:szCs w:val="24"/>
          <w:lang w:val="en-GB"/>
        </w:rPr>
        <w:t xml:space="preserve">ood is to be rationed on the model of a state of siege: “The </w:t>
      </w:r>
      <w:proofErr w:type="spellStart"/>
      <w:r w:rsidR="00580F87" w:rsidRPr="00FB251A">
        <w:rPr>
          <w:rFonts w:ascii="Garamond" w:hAnsi="Garamond" w:cs="Times New Roman"/>
          <w:sz w:val="24"/>
          <w:szCs w:val="24"/>
          <w:lang w:val="en-GB"/>
        </w:rPr>
        <w:t>Victuall</w:t>
      </w:r>
      <w:proofErr w:type="spellEnd"/>
      <w:r w:rsidR="00580F87" w:rsidRPr="00FB251A">
        <w:rPr>
          <w:rFonts w:ascii="Garamond" w:hAnsi="Garamond" w:cs="Times New Roman"/>
          <w:sz w:val="24"/>
          <w:szCs w:val="24"/>
          <w:lang w:val="en-GB"/>
        </w:rPr>
        <w:t xml:space="preserve"> in </w:t>
      </w:r>
      <w:r w:rsidR="00580F87" w:rsidRPr="00FB251A">
        <w:rPr>
          <w:rFonts w:ascii="Garamond" w:hAnsi="Garamond" w:cs="Times New Roman"/>
          <w:i/>
          <w:sz w:val="24"/>
          <w:szCs w:val="24"/>
          <w:lang w:val="en-GB"/>
        </w:rPr>
        <w:t>Plantations</w:t>
      </w:r>
      <w:r w:rsidR="00580F87" w:rsidRPr="00FB251A">
        <w:rPr>
          <w:rFonts w:ascii="Garamond" w:hAnsi="Garamond" w:cs="Times New Roman"/>
          <w:sz w:val="24"/>
          <w:szCs w:val="24"/>
          <w:lang w:val="en-GB"/>
        </w:rPr>
        <w:t>, ought to be expended, almost as in a Besieged Towne.”</w:t>
      </w:r>
      <w:r w:rsidR="00580F87" w:rsidRPr="00FB251A">
        <w:rPr>
          <w:rStyle w:val="FootnoteReference"/>
          <w:rFonts w:ascii="Garamond" w:hAnsi="Garamond"/>
          <w:sz w:val="24"/>
          <w:szCs w:val="24"/>
          <w:lang w:val="en-GB"/>
        </w:rPr>
        <w:footnoteReference w:id="42"/>
      </w:r>
      <w:r w:rsidR="00947F60">
        <w:rPr>
          <w:rFonts w:ascii="Garamond" w:hAnsi="Garamond" w:cs="Times New Roman"/>
          <w:sz w:val="24"/>
          <w:szCs w:val="24"/>
          <w:lang w:val="en-GB"/>
        </w:rPr>
        <w:t xml:space="preserve">  Moreover, thirdly,</w:t>
      </w:r>
      <w:r w:rsidR="00580F87" w:rsidRPr="00FB251A">
        <w:rPr>
          <w:rFonts w:ascii="Garamond" w:hAnsi="Garamond" w:cs="Times New Roman"/>
          <w:sz w:val="24"/>
          <w:szCs w:val="24"/>
          <w:lang w:val="en-GB"/>
        </w:rPr>
        <w:t xml:space="preserve"> in Bacon’s “Of Plantations,” war is pertinent for how settlers or colonists in a “plantation” relate to native populations.  Planters and settlers are to conduct themselves toward native populations “with sufficient Guard.”</w:t>
      </w:r>
      <w:r w:rsidR="00580F87" w:rsidRPr="00FB251A">
        <w:rPr>
          <w:rStyle w:val="FootnoteReference"/>
          <w:rFonts w:ascii="Garamond" w:hAnsi="Garamond"/>
          <w:sz w:val="24"/>
          <w:szCs w:val="24"/>
          <w:lang w:val="en-GB"/>
        </w:rPr>
        <w:footnoteReference w:id="43"/>
      </w:r>
      <w:r w:rsidR="00580F87" w:rsidRPr="00FB251A">
        <w:rPr>
          <w:rFonts w:ascii="Garamond" w:hAnsi="Garamond" w:cs="Times New Roman"/>
          <w:sz w:val="24"/>
          <w:szCs w:val="24"/>
          <w:lang w:val="en-GB"/>
        </w:rPr>
        <w:t xml:space="preserve">  Bacon counsels against waging offensive war on behalf of local populations to win their favour, but concedes that coming to the aid of a native people when that people is attacked may be permissible for the purpose of earning their esteem: “</w:t>
      </w:r>
      <w:proofErr w:type="spellStart"/>
      <w:r w:rsidR="00580F87" w:rsidRPr="00FB251A">
        <w:rPr>
          <w:rFonts w:ascii="Garamond" w:hAnsi="Garamond" w:cs="Times New Roman"/>
          <w:sz w:val="24"/>
          <w:szCs w:val="24"/>
          <w:lang w:val="en-GB"/>
        </w:rPr>
        <w:t>doe</w:t>
      </w:r>
      <w:proofErr w:type="spellEnd"/>
      <w:r w:rsidR="00580F87" w:rsidRPr="00FB251A">
        <w:rPr>
          <w:rFonts w:ascii="Garamond" w:hAnsi="Garamond" w:cs="Times New Roman"/>
          <w:sz w:val="24"/>
          <w:szCs w:val="24"/>
          <w:lang w:val="en-GB"/>
        </w:rPr>
        <w:t xml:space="preserve"> not </w:t>
      </w:r>
      <w:proofErr w:type="spellStart"/>
      <w:r w:rsidR="00580F87" w:rsidRPr="00FB251A">
        <w:rPr>
          <w:rFonts w:ascii="Garamond" w:hAnsi="Garamond" w:cs="Times New Roman"/>
          <w:sz w:val="24"/>
          <w:szCs w:val="24"/>
          <w:lang w:val="en-GB"/>
        </w:rPr>
        <w:t>winne</w:t>
      </w:r>
      <w:proofErr w:type="spellEnd"/>
      <w:r w:rsidR="00580F87" w:rsidRPr="00FB251A">
        <w:rPr>
          <w:rFonts w:ascii="Garamond" w:hAnsi="Garamond" w:cs="Times New Roman"/>
          <w:sz w:val="24"/>
          <w:szCs w:val="24"/>
          <w:lang w:val="en-GB"/>
        </w:rPr>
        <w:t xml:space="preserve"> their favour, by helping them to invade their Enemies, but for their Defence it is not </w:t>
      </w:r>
      <w:proofErr w:type="spellStart"/>
      <w:r w:rsidR="00580F87" w:rsidRPr="00FB251A">
        <w:rPr>
          <w:rFonts w:ascii="Garamond" w:hAnsi="Garamond" w:cs="Times New Roman"/>
          <w:sz w:val="24"/>
          <w:szCs w:val="24"/>
          <w:lang w:val="en-GB"/>
        </w:rPr>
        <w:t>amisse</w:t>
      </w:r>
      <w:proofErr w:type="spellEnd"/>
      <w:r w:rsidR="00580F87" w:rsidRPr="00FB251A">
        <w:rPr>
          <w:rFonts w:ascii="Garamond" w:hAnsi="Garamond" w:cs="Times New Roman"/>
          <w:sz w:val="24"/>
          <w:szCs w:val="24"/>
          <w:lang w:val="en-GB"/>
        </w:rPr>
        <w:t>.”</w:t>
      </w:r>
      <w:r w:rsidR="00580F87" w:rsidRPr="00FB251A">
        <w:rPr>
          <w:rStyle w:val="FootnoteReference"/>
          <w:rFonts w:ascii="Garamond" w:hAnsi="Garamond"/>
          <w:sz w:val="24"/>
          <w:szCs w:val="24"/>
          <w:lang w:val="en-GB"/>
        </w:rPr>
        <w:footnoteReference w:id="44"/>
      </w:r>
      <w:r w:rsidR="00580F87" w:rsidRPr="00FB251A">
        <w:rPr>
          <w:rFonts w:ascii="Garamond" w:hAnsi="Garamond" w:cs="Times New Roman"/>
          <w:sz w:val="24"/>
          <w:szCs w:val="24"/>
          <w:lang w:val="en-GB"/>
        </w:rPr>
        <w:t xml:space="preserve">  Bacon’s counsel approving defensive but disapproving invasive wars in “Of Plantations” therefore seems to parallel </w:t>
      </w:r>
      <w:r>
        <w:rPr>
          <w:rFonts w:ascii="Garamond" w:hAnsi="Garamond" w:cs="Times New Roman"/>
          <w:sz w:val="24"/>
          <w:szCs w:val="24"/>
          <w:lang w:val="en-GB"/>
        </w:rPr>
        <w:t xml:space="preserve">his </w:t>
      </w:r>
      <w:r w:rsidR="00580F87" w:rsidRPr="00FB251A">
        <w:rPr>
          <w:rFonts w:ascii="Garamond" w:hAnsi="Garamond" w:cs="Times New Roman"/>
          <w:sz w:val="24"/>
          <w:szCs w:val="24"/>
          <w:lang w:val="en-GB"/>
        </w:rPr>
        <w:t>rhetorical and conceptual distinction between invasive and defensive war in his 1624 white paper on war with Spain.</w:t>
      </w:r>
      <w:r w:rsidR="00F648D3">
        <w:rPr>
          <w:rStyle w:val="FootnoteReference"/>
          <w:rFonts w:ascii="Garamond" w:hAnsi="Garamond" w:cs="Times New Roman"/>
          <w:sz w:val="24"/>
          <w:szCs w:val="24"/>
          <w:lang w:val="en-GB"/>
        </w:rPr>
        <w:footnoteReference w:id="45"/>
      </w:r>
    </w:p>
    <w:p w14:paraId="4CDB8951" w14:textId="6CAF260A" w:rsidR="00580F87" w:rsidRPr="00FB251A" w:rsidRDefault="008B381E" w:rsidP="00B1678C">
      <w:pPr>
        <w:spacing w:line="480" w:lineRule="auto"/>
        <w:rPr>
          <w:rFonts w:ascii="Garamond" w:hAnsi="Garamond" w:cs="Times New Roman"/>
          <w:sz w:val="24"/>
          <w:szCs w:val="24"/>
          <w:lang w:val="en-GB"/>
        </w:rPr>
      </w:pPr>
      <w:r>
        <w:rPr>
          <w:rFonts w:ascii="Garamond" w:hAnsi="Garamond" w:cs="Times New Roman"/>
          <w:sz w:val="24"/>
          <w:szCs w:val="24"/>
          <w:lang w:val="en-GB"/>
        </w:rPr>
        <w:lastRenderedPageBreak/>
        <w:t xml:space="preserve">In a similar vein, </w:t>
      </w:r>
      <w:r w:rsidR="00580F87" w:rsidRPr="00FB251A">
        <w:rPr>
          <w:rFonts w:ascii="Garamond" w:hAnsi="Garamond" w:cs="Times New Roman"/>
          <w:sz w:val="24"/>
          <w:szCs w:val="24"/>
          <w:lang w:val="en-GB"/>
        </w:rPr>
        <w:t>Bacon explicitly juxtaposes the English practice of colonization with his image of the Spanish practice of empire in the Americas.</w:t>
      </w:r>
      <w:r w:rsidR="00580F87" w:rsidRPr="00FB251A">
        <w:rPr>
          <w:rStyle w:val="FootnoteReference"/>
          <w:rFonts w:ascii="Garamond" w:hAnsi="Garamond"/>
          <w:sz w:val="24"/>
          <w:szCs w:val="24"/>
        </w:rPr>
        <w:footnoteReference w:id="46"/>
      </w:r>
      <w:r w:rsidR="00580F87" w:rsidRPr="00FB251A">
        <w:rPr>
          <w:rFonts w:ascii="Garamond" w:hAnsi="Garamond" w:cs="Times New Roman"/>
          <w:sz w:val="24"/>
          <w:szCs w:val="24"/>
          <w:lang w:val="en-GB"/>
        </w:rPr>
        <w:t xml:space="preserve"> </w:t>
      </w:r>
      <w:r w:rsidR="00580F87" w:rsidRPr="00FB251A">
        <w:rPr>
          <w:rFonts w:ascii="Garamond" w:hAnsi="Garamond" w:cs="Times New Roman"/>
          <w:sz w:val="24"/>
          <w:szCs w:val="24"/>
        </w:rPr>
        <w:t xml:space="preserve">In </w:t>
      </w:r>
      <w:r w:rsidR="009A3E2B">
        <w:rPr>
          <w:rFonts w:ascii="Garamond" w:hAnsi="Garamond" w:cs="Times New Roman"/>
          <w:sz w:val="24"/>
          <w:szCs w:val="24"/>
        </w:rPr>
        <w:t xml:space="preserve">his </w:t>
      </w:r>
      <w:r w:rsidR="00580F87" w:rsidRPr="00FB251A">
        <w:rPr>
          <w:rFonts w:ascii="Garamond" w:hAnsi="Garamond" w:cs="Times New Roman"/>
          <w:sz w:val="24"/>
          <w:szCs w:val="24"/>
        </w:rPr>
        <w:t xml:space="preserve">1622/3 </w:t>
      </w:r>
      <w:r w:rsidR="00580F87" w:rsidRPr="00FB251A">
        <w:rPr>
          <w:rFonts w:ascii="Garamond" w:hAnsi="Garamond" w:cs="Times New Roman"/>
          <w:iCs/>
          <w:sz w:val="24"/>
          <w:szCs w:val="24"/>
        </w:rPr>
        <w:t xml:space="preserve">dialogue, </w:t>
      </w:r>
      <w:r w:rsidR="00580F87" w:rsidRPr="00FB251A">
        <w:rPr>
          <w:rFonts w:ascii="Garamond" w:hAnsi="Garamond" w:cs="Times New Roman"/>
          <w:i/>
          <w:sz w:val="24"/>
          <w:szCs w:val="24"/>
          <w:lang w:val="en-GB"/>
        </w:rPr>
        <w:t>Advertisement Touching an Holy War</w:t>
      </w:r>
      <w:r w:rsidR="00580F87" w:rsidRPr="00FB251A">
        <w:rPr>
          <w:rFonts w:ascii="Garamond" w:hAnsi="Garamond" w:cs="Times New Roman"/>
          <w:sz w:val="24"/>
          <w:szCs w:val="24"/>
        </w:rPr>
        <w:t>, his character “</w:t>
      </w:r>
      <w:proofErr w:type="spellStart"/>
      <w:r w:rsidR="00580F87" w:rsidRPr="00FB251A">
        <w:rPr>
          <w:rFonts w:ascii="Garamond" w:hAnsi="Garamond" w:cs="Times New Roman"/>
          <w:sz w:val="24"/>
          <w:szCs w:val="24"/>
        </w:rPr>
        <w:t>Zebedaeus</w:t>
      </w:r>
      <w:proofErr w:type="spellEnd"/>
      <w:r w:rsidR="00580F87" w:rsidRPr="00FB251A">
        <w:rPr>
          <w:rFonts w:ascii="Garamond" w:hAnsi="Garamond" w:cs="Times New Roman"/>
          <w:sz w:val="24"/>
          <w:szCs w:val="24"/>
        </w:rPr>
        <w:t>,” endowed with the persona “of a…</w:t>
      </w:r>
      <w:proofErr w:type="spellStart"/>
      <w:r w:rsidR="00580F87" w:rsidRPr="00FB251A">
        <w:rPr>
          <w:rFonts w:ascii="Garamond" w:hAnsi="Garamond" w:cs="Times New Roman"/>
          <w:sz w:val="24"/>
          <w:szCs w:val="24"/>
        </w:rPr>
        <w:t>Zelant</w:t>
      </w:r>
      <w:proofErr w:type="spellEnd"/>
      <w:r w:rsidR="00580F87" w:rsidRPr="00FB251A">
        <w:rPr>
          <w:rFonts w:ascii="Garamond" w:hAnsi="Garamond" w:cs="Times New Roman"/>
          <w:sz w:val="24"/>
          <w:szCs w:val="24"/>
        </w:rPr>
        <w:t>”</w:t>
      </w:r>
      <w:r w:rsidR="00580F87" w:rsidRPr="00FB251A">
        <w:rPr>
          <w:rStyle w:val="FootnoteReference"/>
          <w:rFonts w:ascii="Garamond" w:hAnsi="Garamond"/>
          <w:sz w:val="24"/>
          <w:szCs w:val="24"/>
        </w:rPr>
        <w:footnoteReference w:id="47"/>
      </w:r>
      <w:r w:rsidR="00580F87" w:rsidRPr="00FB251A">
        <w:rPr>
          <w:rFonts w:ascii="Garamond" w:hAnsi="Garamond" w:cs="Times New Roman"/>
          <w:sz w:val="24"/>
          <w:szCs w:val="24"/>
        </w:rPr>
        <w:t xml:space="preserve"> and instilled with a “fervid” </w:t>
      </w:r>
      <w:r w:rsidR="00580F87" w:rsidRPr="00FB251A">
        <w:rPr>
          <w:rFonts w:ascii="Garamond" w:hAnsi="Garamond" w:cs="Times New Roman"/>
          <w:i/>
          <w:sz w:val="24"/>
          <w:szCs w:val="24"/>
        </w:rPr>
        <w:t>(</w:t>
      </w:r>
      <w:r w:rsidR="00580F87" w:rsidRPr="00FB251A">
        <w:rPr>
          <w:rFonts w:ascii="Garamond" w:hAnsi="Garamond" w:cs="Times New Roman"/>
          <w:i/>
          <w:sz w:val="24"/>
          <w:szCs w:val="24"/>
          <w:lang w:val="la-Latn"/>
        </w:rPr>
        <w:t>fervidus</w:t>
      </w:r>
      <w:r w:rsidR="00580F87" w:rsidRPr="00FB251A">
        <w:rPr>
          <w:rFonts w:ascii="Garamond" w:hAnsi="Garamond" w:cs="Times New Roman"/>
          <w:sz w:val="24"/>
          <w:szCs w:val="24"/>
        </w:rPr>
        <w:t>) disposition</w:t>
      </w:r>
      <w:r w:rsidR="00580F87" w:rsidRPr="00FB251A">
        <w:rPr>
          <w:rFonts w:ascii="Garamond" w:hAnsi="Garamond" w:cs="Times New Roman"/>
          <w:i/>
          <w:sz w:val="24"/>
          <w:szCs w:val="24"/>
        </w:rPr>
        <w:t>,</w:t>
      </w:r>
      <w:r w:rsidR="00580F87" w:rsidRPr="00FB251A">
        <w:rPr>
          <w:rFonts w:ascii="Garamond" w:hAnsi="Garamond" w:cs="Times New Roman"/>
          <w:sz w:val="24"/>
          <w:szCs w:val="24"/>
        </w:rPr>
        <w:t xml:space="preserve"> makes several strong claims advancing Spain’s claims to overseas dominion on the grounds of “the Law of Nature.”</w:t>
      </w:r>
      <w:r w:rsidR="00580F87" w:rsidRPr="00FB251A">
        <w:rPr>
          <w:rStyle w:val="FootnoteReference"/>
          <w:rFonts w:ascii="Garamond" w:hAnsi="Garamond"/>
          <w:sz w:val="24"/>
          <w:szCs w:val="24"/>
        </w:rPr>
        <w:footnoteReference w:id="48"/>
      </w:r>
      <w:r w:rsidR="00580F87" w:rsidRPr="00FB251A">
        <w:rPr>
          <w:rFonts w:ascii="Garamond" w:hAnsi="Garamond" w:cs="Times New Roman"/>
          <w:sz w:val="24"/>
          <w:szCs w:val="24"/>
        </w:rPr>
        <w:t xml:space="preserve"> “The Law of Nature,” Bacon’s </w:t>
      </w:r>
      <w:proofErr w:type="spellStart"/>
      <w:r w:rsidR="00580F87" w:rsidRPr="00FB251A">
        <w:rPr>
          <w:rFonts w:ascii="Garamond" w:hAnsi="Garamond" w:cs="Times New Roman"/>
          <w:sz w:val="24"/>
          <w:szCs w:val="24"/>
        </w:rPr>
        <w:t>Zebedaeus</w:t>
      </w:r>
      <w:proofErr w:type="spellEnd"/>
      <w:r w:rsidR="00580F87" w:rsidRPr="00FB251A">
        <w:rPr>
          <w:rFonts w:ascii="Garamond" w:hAnsi="Garamond" w:cs="Times New Roman"/>
          <w:sz w:val="24"/>
          <w:szCs w:val="24"/>
        </w:rPr>
        <w:t xml:space="preserve"> asserts, proscribes the custom of eating human flesh; thus, this “Law of Nature” grants just cause to the Spanish imperial power to expel and reduce those who have adopted this custom.</w:t>
      </w:r>
      <w:r w:rsidR="00580F87" w:rsidRPr="00FB251A">
        <w:rPr>
          <w:rStyle w:val="FootnoteReference"/>
          <w:rFonts w:ascii="Garamond" w:hAnsi="Garamond"/>
          <w:sz w:val="24"/>
          <w:szCs w:val="24"/>
        </w:rPr>
        <w:footnoteReference w:id="49"/>
      </w:r>
      <w:r w:rsidR="00580F87" w:rsidRPr="00FB251A">
        <w:rPr>
          <w:rFonts w:ascii="Garamond" w:hAnsi="Garamond" w:cs="Times New Roman"/>
          <w:sz w:val="24"/>
          <w:szCs w:val="24"/>
        </w:rPr>
        <w:t xml:space="preserve">  </w:t>
      </w:r>
    </w:p>
    <w:p w14:paraId="4AEF0B60" w14:textId="2C4F359F" w:rsidR="00580F87" w:rsidRPr="008B381E"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t>Drawing an ideological contrast to this picture, Bacon’s proposed mode for “plantations” and settler populations seeking amity with native populations is not mediation, but defensive war on behalf of the native population with which a colonial and imperial power seeks alliance.  Alliances made by colonies and “plantations,” for Bacon</w:t>
      </w:r>
      <w:r w:rsidR="00CF004D">
        <w:rPr>
          <w:rFonts w:ascii="Garamond" w:hAnsi="Garamond" w:cs="Times New Roman"/>
          <w:sz w:val="24"/>
          <w:szCs w:val="24"/>
          <w:lang w:val="en-GB"/>
        </w:rPr>
        <w:t>,</w:t>
      </w:r>
      <w:r w:rsidRPr="00FB251A">
        <w:rPr>
          <w:rFonts w:ascii="Garamond" w:hAnsi="Garamond" w:cs="Times New Roman"/>
          <w:sz w:val="24"/>
          <w:szCs w:val="24"/>
          <w:lang w:val="en-GB"/>
        </w:rPr>
        <w:t xml:space="preserve"> writing on the Virginia colony in “Of Plantations”</w:t>
      </w:r>
      <w:r w:rsidR="00CF004D">
        <w:rPr>
          <w:rFonts w:ascii="Garamond" w:hAnsi="Garamond" w:cs="Times New Roman"/>
          <w:sz w:val="24"/>
          <w:szCs w:val="24"/>
          <w:lang w:val="en-GB"/>
        </w:rPr>
        <w:t>,</w:t>
      </w:r>
      <w:r w:rsidRPr="00FB251A">
        <w:rPr>
          <w:rFonts w:ascii="Garamond" w:hAnsi="Garamond" w:cs="Times New Roman"/>
          <w:sz w:val="24"/>
          <w:szCs w:val="24"/>
          <w:lang w:val="en-GB"/>
        </w:rPr>
        <w:t xml:space="preserve"> are sought by means of war.</w:t>
      </w:r>
      <w:r w:rsidR="008B381E">
        <w:rPr>
          <w:rFonts w:ascii="Garamond" w:hAnsi="Garamond" w:cs="Times New Roman"/>
          <w:sz w:val="24"/>
          <w:szCs w:val="24"/>
          <w:lang w:val="en-GB"/>
        </w:rPr>
        <w:t xml:space="preserve"> </w:t>
      </w:r>
      <w:r w:rsidRPr="00FB251A">
        <w:rPr>
          <w:rFonts w:ascii="Garamond" w:hAnsi="Garamond" w:cs="Times New Roman"/>
          <w:sz w:val="24"/>
          <w:szCs w:val="24"/>
        </w:rPr>
        <w:t xml:space="preserve">In his Parliamentary speech on behalf of the 1597 Subsidy Bill, Bacon would critique Spanish colonial rule for “the great and barbarous cruelties which they have committed upon the poor Indians”—where, in </w:t>
      </w:r>
      <w:r w:rsidR="009A3E2B">
        <w:rPr>
          <w:rFonts w:ascii="Garamond" w:hAnsi="Garamond" w:cs="Times New Roman"/>
          <w:sz w:val="24"/>
          <w:szCs w:val="24"/>
        </w:rPr>
        <w:t>his</w:t>
      </w:r>
      <w:r w:rsidRPr="00FB251A">
        <w:rPr>
          <w:rFonts w:ascii="Garamond" w:hAnsi="Garamond" w:cs="Times New Roman"/>
          <w:sz w:val="24"/>
          <w:szCs w:val="24"/>
        </w:rPr>
        <w:t xml:space="preserve"> presentation, the Spanish colonial power, and not the Native Americans, is described as “barbarous.”</w:t>
      </w:r>
      <w:r w:rsidRPr="00FB251A">
        <w:rPr>
          <w:rStyle w:val="FootnoteReference"/>
          <w:rFonts w:ascii="Garamond" w:hAnsi="Garamond"/>
          <w:sz w:val="24"/>
          <w:szCs w:val="24"/>
        </w:rPr>
        <w:footnoteReference w:id="50"/>
      </w:r>
      <w:r w:rsidRPr="00FB251A">
        <w:rPr>
          <w:rFonts w:ascii="Garamond" w:hAnsi="Garamond" w:cs="Times New Roman"/>
          <w:sz w:val="24"/>
          <w:szCs w:val="24"/>
        </w:rPr>
        <w:t xml:space="preserve">  Across his political and literary career, from his Parliamentary speeches in the 1590s to his writings after his fall from power, Bacon deployed his juxtaposition of his favored mode of English engagement with native populations in contrast to Spanish colonial administration as an ideological warrant for the superiority of English and British claims to empire over and against their Spanish opponents. </w:t>
      </w:r>
    </w:p>
    <w:p w14:paraId="0758CF69" w14:textId="45B734CE" w:rsidR="00580F87" w:rsidRPr="00FB251A"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rPr>
        <w:lastRenderedPageBreak/>
        <w:t>These facets of Bacon’s presentation of his favored modes of colonial administration in relation to war and empire occasion a further look at Baconian colonies in relation to profit and war.</w:t>
      </w:r>
      <w:r w:rsidR="001E6C8C">
        <w:rPr>
          <w:rFonts w:ascii="Garamond" w:hAnsi="Garamond" w:cs="Times New Roman"/>
          <w:sz w:val="24"/>
          <w:szCs w:val="24"/>
          <w:lang w:val="en-GB"/>
        </w:rPr>
        <w:t xml:space="preserve">  </w:t>
      </w:r>
      <w:r w:rsidR="004A1C53">
        <w:rPr>
          <w:rFonts w:ascii="Garamond" w:hAnsi="Garamond" w:cs="Times New Roman"/>
          <w:sz w:val="24"/>
          <w:szCs w:val="24"/>
          <w:lang w:val="en-GB"/>
        </w:rPr>
        <w:t xml:space="preserve">Indeed, </w:t>
      </w:r>
      <w:r w:rsidRPr="00FB251A">
        <w:rPr>
          <w:rFonts w:ascii="Garamond" w:hAnsi="Garamond" w:cs="Times New Roman"/>
          <w:sz w:val="24"/>
          <w:szCs w:val="24"/>
          <w:lang w:val="en-GB"/>
        </w:rPr>
        <w:t>Bacon has a series of concerns which he wishes to emphasize in “Of Plantations.”  First and foremost, he is concerned for the stability and longevity</w:t>
      </w:r>
      <w:r w:rsidRPr="00FB251A">
        <w:rPr>
          <w:rStyle w:val="FootnoteReference"/>
          <w:rFonts w:ascii="Garamond" w:hAnsi="Garamond"/>
          <w:sz w:val="24"/>
          <w:szCs w:val="24"/>
          <w:lang w:val="en-GB"/>
        </w:rPr>
        <w:footnoteReference w:id="51"/>
      </w:r>
      <w:r w:rsidRPr="00FB251A">
        <w:rPr>
          <w:rFonts w:ascii="Garamond" w:hAnsi="Garamond" w:cs="Times New Roman"/>
          <w:sz w:val="24"/>
          <w:szCs w:val="24"/>
          <w:lang w:val="en-GB"/>
        </w:rPr>
        <w:t xml:space="preserve"> of plantations and his subsequent concerns are aimed at securing this.  Subordinated to the concern for stability are concerns for the population, for hygiene, and for the long-term profitability of the plantations or colonies.</w:t>
      </w:r>
    </w:p>
    <w:p w14:paraId="7EEC7609" w14:textId="72B3236E" w:rsidR="00CA5A11" w:rsidRDefault="00580F87" w:rsidP="00B1678C">
      <w:pPr>
        <w:spacing w:line="480" w:lineRule="auto"/>
        <w:rPr>
          <w:rFonts w:ascii="Garamond" w:hAnsi="Garamond" w:cstheme="majorBidi"/>
          <w:sz w:val="24"/>
          <w:szCs w:val="24"/>
        </w:rPr>
      </w:pPr>
      <w:r w:rsidRPr="00FB251A">
        <w:rPr>
          <w:rFonts w:ascii="Garamond" w:hAnsi="Garamond" w:cs="Times New Roman"/>
          <w:sz w:val="24"/>
          <w:szCs w:val="24"/>
          <w:lang w:val="en-GB"/>
        </w:rPr>
        <w:t xml:space="preserve">The theme of profit had been articulated by Bacon at least as early as 1609 in </w:t>
      </w:r>
      <w:r w:rsidRPr="00FB251A">
        <w:rPr>
          <w:rFonts w:ascii="Garamond" w:hAnsi="Garamond" w:cs="Times New Roman"/>
          <w:i/>
          <w:sz w:val="24"/>
          <w:szCs w:val="24"/>
          <w:lang w:val="en-GB"/>
        </w:rPr>
        <w:t xml:space="preserve">De </w:t>
      </w:r>
      <w:proofErr w:type="spellStart"/>
      <w:r w:rsidRPr="00FB251A">
        <w:rPr>
          <w:rFonts w:ascii="Garamond" w:hAnsi="Garamond" w:cs="Times New Roman"/>
          <w:i/>
          <w:sz w:val="24"/>
          <w:szCs w:val="24"/>
          <w:lang w:val="en-GB"/>
        </w:rPr>
        <w:t>Sapientia</w:t>
      </w:r>
      <w:proofErr w:type="spellEnd"/>
      <w:r w:rsidRPr="00FB251A">
        <w:rPr>
          <w:rFonts w:ascii="Garamond" w:hAnsi="Garamond" w:cs="Times New Roman"/>
          <w:i/>
          <w:sz w:val="24"/>
          <w:szCs w:val="24"/>
          <w:lang w:val="en-GB"/>
        </w:rPr>
        <w:t xml:space="preserve"> </w:t>
      </w:r>
      <w:proofErr w:type="spellStart"/>
      <w:r w:rsidRPr="00FB251A">
        <w:rPr>
          <w:rFonts w:ascii="Garamond" w:hAnsi="Garamond" w:cs="Times New Roman"/>
          <w:i/>
          <w:sz w:val="24"/>
          <w:szCs w:val="24"/>
          <w:lang w:val="en-GB"/>
        </w:rPr>
        <w:t>Veterum</w:t>
      </w:r>
      <w:proofErr w:type="spellEnd"/>
      <w:r w:rsidRPr="00FB251A">
        <w:rPr>
          <w:rFonts w:ascii="Garamond" w:hAnsi="Garamond" w:cs="Times New Roman"/>
          <w:sz w:val="24"/>
          <w:szCs w:val="24"/>
          <w:lang w:val="en-GB"/>
        </w:rPr>
        <w:t xml:space="preserve">, </w:t>
      </w:r>
      <w:r w:rsidRPr="00FB251A">
        <w:rPr>
          <w:rFonts w:ascii="Garamond" w:hAnsi="Garamond" w:cs="Times New Roman"/>
          <w:i/>
          <w:sz w:val="24"/>
          <w:szCs w:val="24"/>
          <w:lang w:val="en-GB"/>
        </w:rPr>
        <w:t>On the Wisdom of the Ancients,</w:t>
      </w:r>
      <w:r w:rsidRPr="00FB251A">
        <w:rPr>
          <w:rFonts w:ascii="Garamond" w:hAnsi="Garamond" w:cs="Times New Roman"/>
          <w:sz w:val="24"/>
          <w:szCs w:val="24"/>
          <w:lang w:val="en-GB"/>
        </w:rPr>
        <w:t xml:space="preserve"> his allegorical mythography in which fables are turned to the end of conceptual elucidation. </w:t>
      </w:r>
      <w:r w:rsidR="00946572">
        <w:rPr>
          <w:rFonts w:ascii="Garamond" w:hAnsi="Garamond" w:cs="Times New Roman"/>
          <w:sz w:val="24"/>
          <w:szCs w:val="24"/>
          <w:lang w:val="en-GB"/>
        </w:rPr>
        <w:t>I</w:t>
      </w:r>
      <w:r w:rsidRPr="00FB251A">
        <w:rPr>
          <w:rFonts w:ascii="Garamond" w:hAnsi="Garamond" w:cs="Times New Roman"/>
          <w:sz w:val="24"/>
          <w:szCs w:val="24"/>
        </w:rPr>
        <w:t>n the fable of Perseus, Bacon advises that “profit” (</w:t>
      </w:r>
      <w:r w:rsidRPr="00FB251A">
        <w:rPr>
          <w:rFonts w:ascii="Garamond" w:hAnsi="Garamond" w:cs="Times New Roman"/>
          <w:i/>
          <w:sz w:val="24"/>
          <w:szCs w:val="24"/>
        </w:rPr>
        <w:t>fructus</w:t>
      </w:r>
      <w:r w:rsidRPr="00FB251A">
        <w:rPr>
          <w:rFonts w:ascii="Garamond" w:hAnsi="Garamond" w:cs="Times New Roman"/>
          <w:sz w:val="24"/>
          <w:szCs w:val="24"/>
        </w:rPr>
        <w:t>) is a key consideration in the expansion of empire which differentiates empire-building from expanding a private land-holding, writing that “Nor, indeed, is the rationality of augmenting a patrimony the same as that of expanding an empire.  For in private possessions, one ought to look to the proximity of the loot; but in propagating empire, occasion, both the ease of waging war and the profit of waging war, ought to be looked to in place of the proximity.”</w:t>
      </w:r>
      <w:r w:rsidRPr="00FB251A">
        <w:rPr>
          <w:rStyle w:val="FootnoteReference"/>
          <w:rFonts w:ascii="Garamond" w:hAnsi="Garamond"/>
          <w:sz w:val="24"/>
          <w:szCs w:val="24"/>
        </w:rPr>
        <w:footnoteReference w:id="52"/>
      </w:r>
      <w:r w:rsidRPr="00FB251A">
        <w:rPr>
          <w:rFonts w:ascii="Garamond" w:hAnsi="Garamond" w:cs="Times New Roman"/>
          <w:sz w:val="24"/>
          <w:szCs w:val="24"/>
        </w:rPr>
        <w:t xml:space="preserve">  </w:t>
      </w:r>
      <w:r w:rsidRPr="00FB251A">
        <w:rPr>
          <w:rFonts w:ascii="Garamond" w:hAnsi="Garamond" w:cstheme="majorBidi"/>
          <w:sz w:val="24"/>
          <w:szCs w:val="24"/>
        </w:rPr>
        <w:t>While some writers have downplayed the role and prominence of profit in the writings of the natural philosophers on the imperial theme,</w:t>
      </w:r>
      <w:r w:rsidRPr="00FB251A">
        <w:rPr>
          <w:rStyle w:val="FootnoteReference"/>
          <w:rFonts w:ascii="Garamond" w:hAnsi="Garamond" w:cstheme="majorBidi"/>
          <w:sz w:val="24"/>
          <w:szCs w:val="24"/>
        </w:rPr>
        <w:footnoteReference w:id="53"/>
      </w:r>
      <w:r w:rsidRPr="00FB251A">
        <w:rPr>
          <w:rFonts w:ascii="Garamond" w:hAnsi="Garamond" w:cstheme="majorBidi"/>
          <w:sz w:val="24"/>
          <w:szCs w:val="24"/>
        </w:rPr>
        <w:t xml:space="preserve"> the notion was important </w:t>
      </w:r>
      <w:r w:rsidR="00902BDF">
        <w:rPr>
          <w:rFonts w:ascii="Garamond" w:hAnsi="Garamond" w:cstheme="majorBidi"/>
          <w:sz w:val="24"/>
          <w:szCs w:val="24"/>
        </w:rPr>
        <w:t>in</w:t>
      </w:r>
      <w:r w:rsidRPr="00FB251A">
        <w:rPr>
          <w:rFonts w:ascii="Garamond" w:hAnsi="Garamond" w:cstheme="majorBidi"/>
          <w:sz w:val="24"/>
          <w:szCs w:val="24"/>
        </w:rPr>
        <w:t xml:space="preserve"> Bacon</w:t>
      </w:r>
      <w:r w:rsidR="00902BDF">
        <w:rPr>
          <w:rFonts w:ascii="Garamond" w:hAnsi="Garamond" w:cstheme="majorBidi"/>
          <w:sz w:val="24"/>
          <w:szCs w:val="24"/>
        </w:rPr>
        <w:t xml:space="preserve">’s </w:t>
      </w:r>
      <w:r w:rsidRPr="00FB251A">
        <w:rPr>
          <w:rFonts w:ascii="Garamond" w:hAnsi="Garamond" w:cstheme="majorBidi"/>
          <w:sz w:val="24"/>
          <w:szCs w:val="24"/>
        </w:rPr>
        <w:t xml:space="preserve"> political writings and he emphasized it with greater force and frequency in “Of Plantations” to the extent that it overshadows both explicit Biblical quotation and appeals to virtue in that essay.  In setting out to establish a plantation or colony, “you must make account, to </w:t>
      </w:r>
      <w:proofErr w:type="spellStart"/>
      <w:r w:rsidRPr="00FB251A">
        <w:rPr>
          <w:rFonts w:ascii="Garamond" w:hAnsi="Garamond" w:cstheme="majorBidi"/>
          <w:sz w:val="24"/>
          <w:szCs w:val="24"/>
        </w:rPr>
        <w:t>leese</w:t>
      </w:r>
      <w:proofErr w:type="spellEnd"/>
      <w:r w:rsidRPr="00FB251A">
        <w:rPr>
          <w:rFonts w:ascii="Garamond" w:hAnsi="Garamond" w:cstheme="majorBidi"/>
          <w:sz w:val="24"/>
          <w:szCs w:val="24"/>
        </w:rPr>
        <w:t xml:space="preserve"> almost Twenty </w:t>
      </w:r>
      <w:proofErr w:type="spellStart"/>
      <w:r w:rsidRPr="00FB251A">
        <w:rPr>
          <w:rFonts w:ascii="Garamond" w:hAnsi="Garamond" w:cstheme="majorBidi"/>
          <w:sz w:val="24"/>
          <w:szCs w:val="24"/>
        </w:rPr>
        <w:t>yeeres</w:t>
      </w:r>
      <w:proofErr w:type="spellEnd"/>
      <w:r w:rsidRPr="00FB251A">
        <w:rPr>
          <w:rFonts w:ascii="Garamond" w:hAnsi="Garamond" w:cstheme="majorBidi"/>
          <w:sz w:val="24"/>
          <w:szCs w:val="24"/>
        </w:rPr>
        <w:t xml:space="preserve"> Profit, and expect your </w:t>
      </w:r>
      <w:r w:rsidRPr="00FB251A">
        <w:rPr>
          <w:rFonts w:ascii="Garamond" w:hAnsi="Garamond" w:cstheme="majorBidi"/>
          <w:sz w:val="24"/>
          <w:szCs w:val="24"/>
        </w:rPr>
        <w:lastRenderedPageBreak/>
        <w:t>Recompence, in the end.”</w:t>
      </w:r>
      <w:r w:rsidRPr="00FB251A">
        <w:rPr>
          <w:rStyle w:val="FootnoteReference"/>
          <w:rFonts w:ascii="Garamond" w:hAnsi="Garamond" w:cstheme="majorBidi"/>
          <w:sz w:val="24"/>
          <w:szCs w:val="24"/>
        </w:rPr>
        <w:footnoteReference w:id="54"/>
      </w:r>
      <w:r w:rsidRPr="00FB251A">
        <w:rPr>
          <w:rFonts w:ascii="Garamond" w:hAnsi="Garamond" w:cstheme="majorBidi"/>
          <w:sz w:val="24"/>
          <w:szCs w:val="24"/>
        </w:rPr>
        <w:t xml:space="preserve">  It was a miscalculation of profit-structure, not a misunderstanding of the Bible or of virtue</w:t>
      </w:r>
      <w:r w:rsidR="00902BDF">
        <w:rPr>
          <w:rFonts w:ascii="Garamond" w:hAnsi="Garamond" w:cstheme="majorBidi"/>
          <w:sz w:val="24"/>
          <w:szCs w:val="24"/>
        </w:rPr>
        <w:t xml:space="preserve"> </w:t>
      </w:r>
      <w:r w:rsidRPr="00FB251A">
        <w:rPr>
          <w:rFonts w:ascii="Garamond" w:hAnsi="Garamond" w:cstheme="majorBidi"/>
          <w:sz w:val="24"/>
          <w:szCs w:val="24"/>
        </w:rPr>
        <w:t>which had led past plantations in the Americas to fail</w:t>
      </w:r>
      <w:r w:rsidR="000A1D71">
        <w:rPr>
          <w:rFonts w:ascii="Garamond" w:hAnsi="Garamond" w:cstheme="majorBidi"/>
          <w:sz w:val="24"/>
          <w:szCs w:val="24"/>
        </w:rPr>
        <w:t xml:space="preserve">: </w:t>
      </w:r>
      <w:r w:rsidRPr="00FB251A">
        <w:rPr>
          <w:rFonts w:ascii="Garamond" w:hAnsi="Garamond" w:cstheme="majorBidi"/>
          <w:sz w:val="24"/>
          <w:szCs w:val="24"/>
        </w:rPr>
        <w:t xml:space="preserve"> Bacon writes that “the </w:t>
      </w:r>
      <w:proofErr w:type="spellStart"/>
      <w:r w:rsidRPr="00FB251A">
        <w:rPr>
          <w:rFonts w:ascii="Garamond" w:hAnsi="Garamond" w:cstheme="majorBidi"/>
          <w:sz w:val="24"/>
          <w:szCs w:val="24"/>
        </w:rPr>
        <w:t>Principall</w:t>
      </w:r>
      <w:proofErr w:type="spellEnd"/>
      <w:r w:rsidRPr="00FB251A">
        <w:rPr>
          <w:rFonts w:ascii="Garamond" w:hAnsi="Garamond" w:cstheme="majorBidi"/>
          <w:sz w:val="24"/>
          <w:szCs w:val="24"/>
        </w:rPr>
        <w:t xml:space="preserve"> Thing, that hath </w:t>
      </w:r>
      <w:proofErr w:type="spellStart"/>
      <w:r w:rsidRPr="00FB251A">
        <w:rPr>
          <w:rFonts w:ascii="Garamond" w:hAnsi="Garamond" w:cstheme="majorBidi"/>
          <w:sz w:val="24"/>
          <w:szCs w:val="24"/>
        </w:rPr>
        <w:t>beene</w:t>
      </w:r>
      <w:proofErr w:type="spellEnd"/>
      <w:r w:rsidRPr="00FB251A">
        <w:rPr>
          <w:rFonts w:ascii="Garamond" w:hAnsi="Garamond" w:cstheme="majorBidi"/>
          <w:sz w:val="24"/>
          <w:szCs w:val="24"/>
        </w:rPr>
        <w:t xml:space="preserve"> the Destruction of most </w:t>
      </w:r>
      <w:r w:rsidRPr="00FB251A">
        <w:rPr>
          <w:rFonts w:ascii="Garamond" w:hAnsi="Garamond" w:cstheme="majorBidi"/>
          <w:i/>
          <w:iCs/>
          <w:sz w:val="24"/>
          <w:szCs w:val="24"/>
        </w:rPr>
        <w:t>Plantations</w:t>
      </w:r>
      <w:r w:rsidRPr="00FB251A">
        <w:rPr>
          <w:rFonts w:ascii="Garamond" w:hAnsi="Garamond" w:cstheme="majorBidi"/>
          <w:sz w:val="24"/>
          <w:szCs w:val="24"/>
        </w:rPr>
        <w:t xml:space="preserve">, hath </w:t>
      </w:r>
      <w:proofErr w:type="spellStart"/>
      <w:r w:rsidRPr="00FB251A">
        <w:rPr>
          <w:rFonts w:ascii="Garamond" w:hAnsi="Garamond" w:cstheme="majorBidi"/>
          <w:sz w:val="24"/>
          <w:szCs w:val="24"/>
        </w:rPr>
        <w:t>beene</w:t>
      </w:r>
      <w:proofErr w:type="spellEnd"/>
      <w:r w:rsidRPr="00FB251A">
        <w:rPr>
          <w:rFonts w:ascii="Garamond" w:hAnsi="Garamond" w:cstheme="majorBidi"/>
          <w:sz w:val="24"/>
          <w:szCs w:val="24"/>
        </w:rPr>
        <w:t xml:space="preserve"> the Base, and Hastie drawing of Profit, in the first </w:t>
      </w:r>
      <w:proofErr w:type="spellStart"/>
      <w:r w:rsidRPr="00FB251A">
        <w:rPr>
          <w:rFonts w:ascii="Garamond" w:hAnsi="Garamond" w:cstheme="majorBidi"/>
          <w:sz w:val="24"/>
          <w:szCs w:val="24"/>
        </w:rPr>
        <w:t>Yeeres</w:t>
      </w:r>
      <w:proofErr w:type="spellEnd"/>
      <w:r w:rsidRPr="00FB251A">
        <w:rPr>
          <w:rFonts w:ascii="Garamond" w:hAnsi="Garamond" w:cstheme="majorBidi"/>
          <w:sz w:val="24"/>
          <w:szCs w:val="24"/>
        </w:rPr>
        <w:t>.”</w:t>
      </w:r>
      <w:r w:rsidRPr="00FB251A">
        <w:rPr>
          <w:rStyle w:val="FootnoteReference"/>
          <w:rFonts w:ascii="Garamond" w:hAnsi="Garamond" w:cstheme="majorBidi"/>
          <w:sz w:val="24"/>
          <w:szCs w:val="24"/>
        </w:rPr>
        <w:footnoteReference w:id="55"/>
      </w:r>
      <w:r w:rsidRPr="00FB251A">
        <w:rPr>
          <w:rFonts w:ascii="Garamond" w:hAnsi="Garamond" w:cstheme="majorBidi"/>
          <w:sz w:val="24"/>
          <w:szCs w:val="24"/>
        </w:rPr>
        <w:t xml:space="preserve">  Profit is not, in Bacon’s estimation, a matter to be neglected in the early-stages of a plantation but only insofar as it is compatible with the establishment of a plantation that may be of long duration.</w:t>
      </w:r>
      <w:r w:rsidRPr="00FB251A">
        <w:rPr>
          <w:rStyle w:val="FootnoteReference"/>
          <w:rFonts w:ascii="Garamond" w:hAnsi="Garamond" w:cstheme="majorBidi"/>
          <w:sz w:val="24"/>
          <w:szCs w:val="24"/>
        </w:rPr>
        <w:footnoteReference w:id="56"/>
      </w:r>
      <w:r w:rsidRPr="00FB251A">
        <w:rPr>
          <w:rFonts w:ascii="Garamond" w:hAnsi="Garamond" w:cstheme="majorBidi"/>
          <w:sz w:val="24"/>
          <w:szCs w:val="24"/>
        </w:rPr>
        <w:t xml:space="preserve">  </w:t>
      </w:r>
    </w:p>
    <w:p w14:paraId="751E6CCF" w14:textId="5F120290" w:rsidR="00580F87" w:rsidRPr="00FB251A" w:rsidRDefault="00580F87" w:rsidP="00B1678C">
      <w:pPr>
        <w:spacing w:line="480" w:lineRule="auto"/>
        <w:rPr>
          <w:rFonts w:ascii="Garamond" w:hAnsi="Garamond" w:cstheme="majorBidi"/>
          <w:sz w:val="24"/>
          <w:szCs w:val="24"/>
        </w:rPr>
      </w:pPr>
      <w:r w:rsidRPr="00FB251A">
        <w:rPr>
          <w:rFonts w:ascii="Garamond" w:hAnsi="Garamond" w:cstheme="majorBidi"/>
          <w:sz w:val="24"/>
          <w:szCs w:val="24"/>
        </w:rPr>
        <w:t xml:space="preserve">In this argument, Bacon appears to reiterate a critique of the management of the Virginia Company made by John Smith in a 1608 letter to the Treasurer of the Company, in which he lamented that “in </w:t>
      </w:r>
      <w:proofErr w:type="spellStart"/>
      <w:r w:rsidRPr="00FB251A">
        <w:rPr>
          <w:rFonts w:ascii="Garamond" w:hAnsi="Garamond" w:cstheme="majorBidi"/>
          <w:sz w:val="24"/>
          <w:szCs w:val="24"/>
        </w:rPr>
        <w:t>overtoyling</w:t>
      </w:r>
      <w:proofErr w:type="spellEnd"/>
      <w:r w:rsidRPr="00FB251A">
        <w:rPr>
          <w:rFonts w:ascii="Garamond" w:hAnsi="Garamond" w:cstheme="majorBidi"/>
          <w:sz w:val="24"/>
          <w:szCs w:val="24"/>
        </w:rPr>
        <w:t xml:space="preserve"> our </w:t>
      </w:r>
      <w:proofErr w:type="spellStart"/>
      <w:r w:rsidRPr="00FB251A">
        <w:rPr>
          <w:rFonts w:ascii="Garamond" w:hAnsi="Garamond" w:cstheme="majorBidi"/>
          <w:sz w:val="24"/>
          <w:szCs w:val="24"/>
        </w:rPr>
        <w:t>weake</w:t>
      </w:r>
      <w:proofErr w:type="spellEnd"/>
      <w:r w:rsidRPr="00FB251A">
        <w:rPr>
          <w:rFonts w:ascii="Garamond" w:hAnsi="Garamond" w:cstheme="majorBidi"/>
          <w:sz w:val="24"/>
          <w:szCs w:val="24"/>
        </w:rPr>
        <w:t xml:space="preserve"> and </w:t>
      </w:r>
      <w:proofErr w:type="spellStart"/>
      <w:r w:rsidRPr="00FB251A">
        <w:rPr>
          <w:rFonts w:ascii="Garamond" w:hAnsi="Garamond" w:cstheme="majorBidi"/>
          <w:sz w:val="24"/>
          <w:szCs w:val="24"/>
        </w:rPr>
        <w:t>unskilfull</w:t>
      </w:r>
      <w:proofErr w:type="spellEnd"/>
      <w:r w:rsidRPr="00FB251A">
        <w:rPr>
          <w:rFonts w:ascii="Garamond" w:hAnsi="Garamond" w:cstheme="majorBidi"/>
          <w:sz w:val="24"/>
          <w:szCs w:val="24"/>
        </w:rPr>
        <w:t xml:space="preserve"> bodies, to </w:t>
      </w:r>
      <w:proofErr w:type="spellStart"/>
      <w:r w:rsidRPr="00FB251A">
        <w:rPr>
          <w:rFonts w:ascii="Garamond" w:hAnsi="Garamond" w:cstheme="majorBidi"/>
          <w:sz w:val="24"/>
          <w:szCs w:val="24"/>
        </w:rPr>
        <w:t>satisfie</w:t>
      </w:r>
      <w:proofErr w:type="spellEnd"/>
      <w:r w:rsidRPr="00FB251A">
        <w:rPr>
          <w:rFonts w:ascii="Garamond" w:hAnsi="Garamond" w:cstheme="majorBidi"/>
          <w:sz w:val="24"/>
          <w:szCs w:val="24"/>
        </w:rPr>
        <w:t xml:space="preserve"> this desire of present profit, we can scarce ever recover ourselves from one supply to another.”</w:t>
      </w:r>
      <w:r w:rsidRPr="00FB251A">
        <w:rPr>
          <w:rStyle w:val="FootnoteReference"/>
          <w:rFonts w:ascii="Garamond" w:hAnsi="Garamond" w:cstheme="majorBidi"/>
          <w:sz w:val="24"/>
          <w:szCs w:val="24"/>
        </w:rPr>
        <w:footnoteReference w:id="57"/>
      </w:r>
      <w:r w:rsidRPr="00FB251A">
        <w:rPr>
          <w:rFonts w:ascii="Garamond" w:hAnsi="Garamond" w:cstheme="majorBidi"/>
          <w:sz w:val="24"/>
          <w:szCs w:val="24"/>
        </w:rPr>
        <w:t xml:space="preserve">  Bacon, like Captain Smith, was criticizing not the pursuit of profit generally, but the overhasty pursuit of “present profit,” checking the long-term stability and profitability of the Virginia plantation. Not least, in his choice of crops for growing in a colony</w:t>
      </w:r>
      <w:r w:rsidR="00CA5A11">
        <w:rPr>
          <w:rFonts w:ascii="Garamond" w:hAnsi="Garamond" w:cstheme="majorBidi"/>
          <w:sz w:val="24"/>
          <w:szCs w:val="24"/>
        </w:rPr>
        <w:t>,</w:t>
      </w:r>
      <w:r w:rsidRPr="00FB251A">
        <w:rPr>
          <w:rFonts w:ascii="Garamond" w:hAnsi="Garamond" w:cstheme="majorBidi"/>
          <w:sz w:val="24"/>
          <w:szCs w:val="24"/>
        </w:rPr>
        <w:t xml:space="preserve"> Bacon commend</w:t>
      </w:r>
      <w:r w:rsidR="00CA5A11">
        <w:rPr>
          <w:rFonts w:ascii="Garamond" w:hAnsi="Garamond" w:cstheme="majorBidi"/>
          <w:sz w:val="24"/>
          <w:szCs w:val="24"/>
        </w:rPr>
        <w:t>s</w:t>
      </w:r>
      <w:r w:rsidRPr="00FB251A">
        <w:rPr>
          <w:rFonts w:ascii="Garamond" w:hAnsi="Garamond" w:cstheme="majorBidi"/>
          <w:sz w:val="24"/>
          <w:szCs w:val="24"/>
        </w:rPr>
        <w:t xml:space="preserve"> those which “cannot but yield great Profit.”</w:t>
      </w:r>
      <w:r w:rsidRPr="00FB251A">
        <w:rPr>
          <w:rStyle w:val="FootnoteReference"/>
          <w:rFonts w:ascii="Garamond" w:hAnsi="Garamond" w:cstheme="majorBidi"/>
          <w:sz w:val="24"/>
          <w:szCs w:val="24"/>
        </w:rPr>
        <w:footnoteReference w:id="58"/>
      </w:r>
      <w:r w:rsidRPr="00FB251A">
        <w:rPr>
          <w:rFonts w:ascii="Garamond" w:hAnsi="Garamond" w:cstheme="majorBidi"/>
          <w:sz w:val="24"/>
          <w:szCs w:val="24"/>
        </w:rPr>
        <w:t xml:space="preserve">  With regard to colonies or plantations, a discourse of and concern with “Profit” </w:t>
      </w:r>
      <w:r w:rsidR="000A1D71">
        <w:rPr>
          <w:rFonts w:ascii="Garamond" w:hAnsi="Garamond" w:cstheme="majorBidi"/>
          <w:sz w:val="24"/>
          <w:szCs w:val="24"/>
        </w:rPr>
        <w:t xml:space="preserve">calls </w:t>
      </w:r>
      <w:r w:rsidR="00FC0981">
        <w:rPr>
          <w:rFonts w:ascii="Garamond" w:hAnsi="Garamond" w:cstheme="majorBidi"/>
          <w:sz w:val="24"/>
          <w:szCs w:val="24"/>
        </w:rPr>
        <w:t>into question the interpretations of those writers who downplay Bacon’s advocacy for colonies and empire as well as interpreters who claim that early modern humanists, like Bacon, approached colonization with “outright hostility.”</w:t>
      </w:r>
      <w:r w:rsidR="00FC0981">
        <w:rPr>
          <w:rStyle w:val="FootnoteReference"/>
          <w:rFonts w:ascii="Garamond" w:hAnsi="Garamond" w:cstheme="majorBidi"/>
          <w:sz w:val="24"/>
          <w:szCs w:val="24"/>
        </w:rPr>
        <w:footnoteReference w:id="59"/>
      </w:r>
    </w:p>
    <w:p w14:paraId="2B412F1F" w14:textId="00FC380D" w:rsidR="00580F87" w:rsidRPr="00FB251A"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t xml:space="preserve">“Of Plantations” </w:t>
      </w:r>
      <w:r w:rsidR="00CA5A11">
        <w:rPr>
          <w:rFonts w:ascii="Garamond" w:hAnsi="Garamond" w:cs="Times New Roman"/>
          <w:sz w:val="24"/>
          <w:szCs w:val="24"/>
          <w:lang w:val="en-GB"/>
        </w:rPr>
        <w:t xml:space="preserve">ends </w:t>
      </w:r>
      <w:r w:rsidRPr="00FB251A">
        <w:rPr>
          <w:rFonts w:ascii="Garamond" w:hAnsi="Garamond" w:cs="Times New Roman"/>
          <w:sz w:val="24"/>
          <w:szCs w:val="24"/>
          <w:lang w:val="en-GB"/>
        </w:rPr>
        <w:t>with a strong admonition against abandoning a colony once planted or begun: such abandonment</w:t>
      </w:r>
      <w:r w:rsidR="00CA5A11">
        <w:rPr>
          <w:rFonts w:ascii="Garamond" w:hAnsi="Garamond" w:cs="Times New Roman"/>
          <w:sz w:val="24"/>
          <w:szCs w:val="24"/>
          <w:lang w:val="en-GB"/>
        </w:rPr>
        <w:t xml:space="preserve"> </w:t>
      </w:r>
      <w:r w:rsidRPr="00FB251A">
        <w:rPr>
          <w:rFonts w:ascii="Garamond" w:hAnsi="Garamond" w:cs="Times New Roman"/>
          <w:sz w:val="24"/>
          <w:szCs w:val="24"/>
          <w:lang w:val="en-GB"/>
        </w:rPr>
        <w:t xml:space="preserve">amounts to “sin,” or particularly loathsome betrayal.  “It is the </w:t>
      </w:r>
      <w:proofErr w:type="spellStart"/>
      <w:r w:rsidRPr="00FB251A">
        <w:rPr>
          <w:rFonts w:ascii="Garamond" w:hAnsi="Garamond" w:cs="Times New Roman"/>
          <w:sz w:val="24"/>
          <w:szCs w:val="24"/>
          <w:lang w:val="en-GB"/>
        </w:rPr>
        <w:t>sinfullest</w:t>
      </w:r>
      <w:proofErr w:type="spellEnd"/>
      <w:r w:rsidRPr="00FB251A">
        <w:rPr>
          <w:rFonts w:ascii="Garamond" w:hAnsi="Garamond" w:cs="Times New Roman"/>
          <w:sz w:val="24"/>
          <w:szCs w:val="24"/>
          <w:lang w:val="en-GB"/>
        </w:rPr>
        <w:t xml:space="preserve"> Thing </w:t>
      </w:r>
      <w:r w:rsidRPr="00FB251A">
        <w:rPr>
          <w:rFonts w:ascii="Garamond" w:hAnsi="Garamond" w:cs="Times New Roman"/>
          <w:sz w:val="24"/>
          <w:szCs w:val="24"/>
          <w:lang w:val="en-GB"/>
        </w:rPr>
        <w:lastRenderedPageBreak/>
        <w:t xml:space="preserve">in the world,” Bacon claims, “to forsake or destitute a </w:t>
      </w:r>
      <w:r w:rsidRPr="00FB251A">
        <w:rPr>
          <w:rFonts w:ascii="Garamond" w:hAnsi="Garamond" w:cs="Times New Roman"/>
          <w:i/>
          <w:sz w:val="24"/>
          <w:szCs w:val="24"/>
          <w:lang w:val="en-GB"/>
        </w:rPr>
        <w:t>Plantation</w:t>
      </w:r>
      <w:r w:rsidRPr="00FB251A">
        <w:rPr>
          <w:rFonts w:ascii="Garamond" w:hAnsi="Garamond" w:cs="Times New Roman"/>
          <w:sz w:val="24"/>
          <w:szCs w:val="24"/>
          <w:lang w:val="en-GB"/>
        </w:rPr>
        <w:t xml:space="preserve">, once in </w:t>
      </w:r>
      <w:proofErr w:type="spellStart"/>
      <w:r w:rsidRPr="00FB251A">
        <w:rPr>
          <w:rFonts w:ascii="Garamond" w:hAnsi="Garamond" w:cs="Times New Roman"/>
          <w:sz w:val="24"/>
          <w:szCs w:val="24"/>
          <w:lang w:val="en-GB"/>
        </w:rPr>
        <w:t>Forwardnesse</w:t>
      </w:r>
      <w:proofErr w:type="spellEnd"/>
      <w:r w:rsidRPr="00FB251A">
        <w:rPr>
          <w:rFonts w:ascii="Garamond" w:hAnsi="Garamond" w:cs="Times New Roman"/>
          <w:sz w:val="24"/>
          <w:szCs w:val="24"/>
          <w:lang w:val="en-GB"/>
        </w:rPr>
        <w:t>.”</w:t>
      </w:r>
      <w:r w:rsidRPr="00FB251A">
        <w:rPr>
          <w:rStyle w:val="FootnoteReference"/>
          <w:rFonts w:ascii="Garamond" w:hAnsi="Garamond"/>
          <w:sz w:val="24"/>
          <w:szCs w:val="24"/>
          <w:lang w:val="en-GB"/>
        </w:rPr>
        <w:footnoteReference w:id="60"/>
      </w:r>
      <w:r w:rsidRPr="00FB251A">
        <w:rPr>
          <w:rFonts w:ascii="Garamond" w:hAnsi="Garamond" w:cs="Times New Roman"/>
          <w:sz w:val="24"/>
          <w:szCs w:val="24"/>
          <w:lang w:val="en-GB"/>
        </w:rPr>
        <w:t xml:space="preserve">  Plantations</w:t>
      </w:r>
      <w:r w:rsidR="00CA5A11">
        <w:rPr>
          <w:rFonts w:ascii="Garamond" w:hAnsi="Garamond" w:cs="Times New Roman"/>
          <w:sz w:val="24"/>
          <w:szCs w:val="24"/>
          <w:lang w:val="en-GB"/>
        </w:rPr>
        <w:t xml:space="preserve"> </w:t>
      </w:r>
      <w:r w:rsidRPr="00FB251A">
        <w:rPr>
          <w:rFonts w:ascii="Garamond" w:hAnsi="Garamond" w:cs="Times New Roman"/>
          <w:sz w:val="24"/>
          <w:szCs w:val="24"/>
          <w:lang w:val="en-GB"/>
        </w:rPr>
        <w:t>seem thus to give rise to obligations on the part of the imperial or “planting” power</w:t>
      </w:r>
      <w:r w:rsidR="000A1D71">
        <w:rPr>
          <w:rFonts w:ascii="Garamond" w:hAnsi="Garamond" w:cs="Times New Roman"/>
          <w:sz w:val="24"/>
          <w:szCs w:val="24"/>
          <w:lang w:val="en-GB"/>
        </w:rPr>
        <w:t xml:space="preserve">, and </w:t>
      </w:r>
      <w:r w:rsidRPr="00FB251A">
        <w:rPr>
          <w:rFonts w:ascii="Garamond" w:hAnsi="Garamond" w:cs="Times New Roman"/>
          <w:sz w:val="24"/>
          <w:szCs w:val="24"/>
          <w:lang w:val="en-GB"/>
        </w:rPr>
        <w:t xml:space="preserve">are thus not wholly reducible to the advantages which they provide. </w:t>
      </w:r>
    </w:p>
    <w:p w14:paraId="7EB97DB7" w14:textId="66FF03BE" w:rsidR="00580F87" w:rsidRPr="00FB251A" w:rsidRDefault="00FC0981" w:rsidP="00B1678C">
      <w:pPr>
        <w:spacing w:line="480" w:lineRule="auto"/>
        <w:rPr>
          <w:rFonts w:ascii="Garamond" w:hAnsi="Garamond" w:cs="Times New Roman"/>
          <w:i/>
          <w:iCs/>
          <w:sz w:val="24"/>
          <w:szCs w:val="24"/>
        </w:rPr>
      </w:pPr>
      <w:r>
        <w:rPr>
          <w:rFonts w:ascii="Garamond" w:hAnsi="Garamond" w:cs="Times New Roman"/>
          <w:iCs/>
          <w:sz w:val="24"/>
          <w:szCs w:val="24"/>
        </w:rPr>
        <w:t>Further pursuing a reconstruction of Bacon’s thought on colonies and empire, a</w:t>
      </w:r>
      <w:r w:rsidR="00580F87" w:rsidRPr="00FB251A">
        <w:rPr>
          <w:rFonts w:ascii="Garamond" w:hAnsi="Garamond" w:cs="Times New Roman"/>
          <w:iCs/>
          <w:sz w:val="24"/>
          <w:szCs w:val="24"/>
        </w:rPr>
        <w:t xml:space="preserve"> consideration of Bacon’s essay “Of Empire” may illuminate </w:t>
      </w:r>
      <w:r w:rsidR="00CA5A11">
        <w:rPr>
          <w:rFonts w:ascii="Garamond" w:hAnsi="Garamond" w:cs="Times New Roman"/>
          <w:iCs/>
          <w:sz w:val="24"/>
          <w:szCs w:val="24"/>
        </w:rPr>
        <w:t>his</w:t>
      </w:r>
      <w:r w:rsidR="00580F87" w:rsidRPr="00FB251A">
        <w:rPr>
          <w:rFonts w:ascii="Garamond" w:hAnsi="Garamond" w:cs="Times New Roman"/>
          <w:iCs/>
          <w:sz w:val="24"/>
          <w:szCs w:val="24"/>
        </w:rPr>
        <w:t xml:space="preserve"> caution against rendering destitute a plantation once established.</w:t>
      </w:r>
    </w:p>
    <w:p w14:paraId="2D18E44C" w14:textId="3EBB261D" w:rsidR="00580F87" w:rsidRPr="0076368D" w:rsidRDefault="00580F87" w:rsidP="00B1678C">
      <w:pPr>
        <w:pStyle w:val="ListParagraph"/>
        <w:numPr>
          <w:ilvl w:val="0"/>
          <w:numId w:val="1"/>
        </w:numPr>
        <w:spacing w:line="480" w:lineRule="auto"/>
        <w:rPr>
          <w:rFonts w:ascii="Garamond" w:hAnsi="Garamond" w:cs="Times New Roman"/>
          <w:sz w:val="24"/>
          <w:szCs w:val="24"/>
        </w:rPr>
      </w:pPr>
      <w:r w:rsidRPr="0076368D">
        <w:rPr>
          <w:rFonts w:ascii="Garamond" w:hAnsi="Garamond" w:cs="Times New Roman"/>
          <w:sz w:val="24"/>
          <w:szCs w:val="24"/>
        </w:rPr>
        <w:t xml:space="preserve">Bacon’s </w:t>
      </w:r>
      <w:r w:rsidRPr="0076368D">
        <w:rPr>
          <w:rFonts w:ascii="Garamond" w:hAnsi="Garamond" w:cs="Times New Roman"/>
          <w:i/>
          <w:iCs/>
          <w:sz w:val="24"/>
          <w:szCs w:val="24"/>
        </w:rPr>
        <w:t xml:space="preserve">Of Empire </w:t>
      </w:r>
      <w:r w:rsidRPr="0076368D">
        <w:rPr>
          <w:rFonts w:ascii="Garamond" w:hAnsi="Garamond" w:cs="Times New Roman"/>
          <w:sz w:val="24"/>
          <w:szCs w:val="24"/>
        </w:rPr>
        <w:t>(1612/1625)</w:t>
      </w:r>
    </w:p>
    <w:p w14:paraId="6C4FEEB2" w14:textId="603F72A1" w:rsidR="00580F87" w:rsidRPr="00FB251A" w:rsidRDefault="00580F87" w:rsidP="00B1678C">
      <w:pPr>
        <w:spacing w:line="480" w:lineRule="auto"/>
        <w:rPr>
          <w:rFonts w:ascii="Garamond" w:hAnsi="Garamond" w:cs="Times New Roman"/>
          <w:i/>
          <w:iCs/>
          <w:sz w:val="24"/>
          <w:szCs w:val="24"/>
        </w:rPr>
      </w:pPr>
      <w:r w:rsidRPr="00FB251A">
        <w:rPr>
          <w:rFonts w:ascii="Garamond" w:hAnsi="Garamond" w:cs="Times New Roman"/>
          <w:sz w:val="24"/>
          <w:szCs w:val="24"/>
        </w:rPr>
        <w:t xml:space="preserve">In “Of Empire,” the term “empire” itself is undefined.  Indeed, in the 1612 edition of the </w:t>
      </w:r>
      <w:proofErr w:type="spellStart"/>
      <w:r w:rsidRPr="00FB251A">
        <w:rPr>
          <w:rFonts w:ascii="Garamond" w:hAnsi="Garamond" w:cs="Times New Roman"/>
          <w:i/>
          <w:iCs/>
          <w:sz w:val="24"/>
          <w:szCs w:val="24"/>
        </w:rPr>
        <w:t>Essaies</w:t>
      </w:r>
      <w:proofErr w:type="spellEnd"/>
      <w:r w:rsidRPr="00FB251A">
        <w:rPr>
          <w:rFonts w:ascii="Garamond" w:hAnsi="Garamond" w:cs="Times New Roman"/>
          <w:sz w:val="24"/>
          <w:szCs w:val="24"/>
        </w:rPr>
        <w:t xml:space="preserve"> </w:t>
      </w:r>
      <w:r w:rsidRPr="00FB251A">
        <w:rPr>
          <w:rFonts w:ascii="Garamond" w:hAnsi="Garamond" w:cs="Times New Roman"/>
          <w:i/>
          <w:iCs/>
          <w:sz w:val="24"/>
          <w:szCs w:val="24"/>
        </w:rPr>
        <w:t xml:space="preserve">of Sir Francis Bacon Knight, The Kings </w:t>
      </w:r>
      <w:proofErr w:type="spellStart"/>
      <w:r w:rsidRPr="00FB251A">
        <w:rPr>
          <w:rFonts w:ascii="Garamond" w:hAnsi="Garamond" w:cs="Times New Roman"/>
          <w:i/>
          <w:iCs/>
          <w:sz w:val="24"/>
          <w:szCs w:val="24"/>
        </w:rPr>
        <w:t>Solliciter</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Generall</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61"/>
      </w:r>
      <w:r w:rsidRPr="00FB251A">
        <w:rPr>
          <w:rFonts w:ascii="Garamond" w:hAnsi="Garamond" w:cs="Times New Roman"/>
          <w:sz w:val="24"/>
          <w:szCs w:val="24"/>
        </w:rPr>
        <w:t xml:space="preserve"> beyond the title of the essay, the word “empire” is entirely absent from “Of Empire.”</w:t>
      </w:r>
      <w:r w:rsidRPr="00FB251A">
        <w:rPr>
          <w:rStyle w:val="FootnoteReference"/>
          <w:rFonts w:ascii="Garamond" w:hAnsi="Garamond"/>
          <w:sz w:val="24"/>
          <w:szCs w:val="24"/>
        </w:rPr>
        <w:footnoteReference w:id="62"/>
      </w:r>
      <w:r w:rsidRPr="00FB251A">
        <w:rPr>
          <w:rFonts w:ascii="Garamond" w:hAnsi="Garamond" w:cs="Times New Roman"/>
          <w:sz w:val="24"/>
          <w:szCs w:val="24"/>
        </w:rPr>
        <w:t xml:space="preserve">  Revising the essay for the 1625 edition, Bacon altered his claim that “A true temper of </w:t>
      </w:r>
      <w:proofErr w:type="spellStart"/>
      <w:r w:rsidRPr="00FB251A">
        <w:rPr>
          <w:rFonts w:ascii="Garamond" w:hAnsi="Garamond" w:cs="Times New Roman"/>
          <w:sz w:val="24"/>
          <w:szCs w:val="24"/>
        </w:rPr>
        <w:t>gouernment</w:t>
      </w:r>
      <w:proofErr w:type="spellEnd"/>
      <w:r w:rsidRPr="00FB251A">
        <w:rPr>
          <w:rFonts w:ascii="Garamond" w:hAnsi="Garamond" w:cs="Times New Roman"/>
          <w:sz w:val="24"/>
          <w:szCs w:val="24"/>
        </w:rPr>
        <w:t xml:space="preserve"> is a rare thing”</w:t>
      </w:r>
      <w:r w:rsidRPr="00FB251A">
        <w:rPr>
          <w:rStyle w:val="FootnoteReference"/>
          <w:rFonts w:ascii="Garamond" w:hAnsi="Garamond"/>
          <w:sz w:val="24"/>
          <w:szCs w:val="24"/>
        </w:rPr>
        <w:footnoteReference w:id="63"/>
      </w:r>
      <w:r w:rsidRPr="00FB251A">
        <w:rPr>
          <w:rFonts w:ascii="Garamond" w:hAnsi="Garamond" w:cs="Times New Roman"/>
          <w:sz w:val="24"/>
          <w:szCs w:val="24"/>
        </w:rPr>
        <w:t xml:space="preserve"> to claim of “the true Temper of </w:t>
      </w:r>
      <w:r w:rsidRPr="00FB251A">
        <w:rPr>
          <w:rFonts w:ascii="Garamond" w:hAnsi="Garamond" w:cs="Times New Roman"/>
          <w:i/>
          <w:iCs/>
          <w:sz w:val="24"/>
          <w:szCs w:val="24"/>
        </w:rPr>
        <w:t>Empire</w:t>
      </w:r>
      <w:r w:rsidRPr="00FB251A">
        <w:rPr>
          <w:rFonts w:ascii="Garamond" w:hAnsi="Garamond" w:cs="Times New Roman"/>
          <w:sz w:val="24"/>
          <w:szCs w:val="24"/>
        </w:rPr>
        <w:t>: It is a Thing rare and hard to keep”,</w:t>
      </w:r>
      <w:r w:rsidRPr="00FB251A">
        <w:rPr>
          <w:rStyle w:val="FootnoteReference"/>
          <w:rFonts w:ascii="Garamond" w:hAnsi="Garamond"/>
          <w:sz w:val="24"/>
          <w:szCs w:val="24"/>
        </w:rPr>
        <w:footnoteReference w:id="64"/>
      </w:r>
      <w:r w:rsidRPr="00FB251A">
        <w:rPr>
          <w:rFonts w:ascii="Garamond" w:hAnsi="Garamond" w:cs="Times New Roman"/>
          <w:sz w:val="24"/>
          <w:szCs w:val="24"/>
        </w:rPr>
        <w:t xml:space="preserve"> thereby replacing “</w:t>
      </w:r>
      <w:proofErr w:type="spellStart"/>
      <w:r w:rsidRPr="00FB251A">
        <w:rPr>
          <w:rFonts w:ascii="Garamond" w:hAnsi="Garamond" w:cs="Times New Roman"/>
          <w:sz w:val="24"/>
          <w:szCs w:val="24"/>
        </w:rPr>
        <w:t>gouernment</w:t>
      </w:r>
      <w:proofErr w:type="spellEnd"/>
      <w:r w:rsidRPr="00FB251A">
        <w:rPr>
          <w:rFonts w:ascii="Garamond" w:hAnsi="Garamond" w:cs="Times New Roman"/>
          <w:sz w:val="24"/>
          <w:szCs w:val="24"/>
        </w:rPr>
        <w:t>” with “empire” and introducing the latter into the body of the text, while at the same time retaining a cross-referent to “</w:t>
      </w:r>
      <w:proofErr w:type="spellStart"/>
      <w:r w:rsidRPr="00FB251A">
        <w:rPr>
          <w:rFonts w:ascii="Garamond" w:hAnsi="Garamond" w:cs="Times New Roman"/>
          <w:sz w:val="24"/>
          <w:szCs w:val="24"/>
        </w:rPr>
        <w:t>gouernment</w:t>
      </w:r>
      <w:proofErr w:type="spellEnd"/>
      <w:r w:rsidRPr="00FB251A">
        <w:rPr>
          <w:rFonts w:ascii="Garamond" w:hAnsi="Garamond" w:cs="Times New Roman"/>
          <w:sz w:val="24"/>
          <w:szCs w:val="24"/>
        </w:rPr>
        <w:t>” later in the same paragraph and thereby implying that empire and a certain mode of government were semantically interchangeable.</w:t>
      </w:r>
      <w:r w:rsidRPr="00FB251A">
        <w:rPr>
          <w:rStyle w:val="FootnoteReference"/>
          <w:rFonts w:ascii="Garamond" w:hAnsi="Garamond"/>
          <w:sz w:val="24"/>
          <w:szCs w:val="24"/>
        </w:rPr>
        <w:footnoteReference w:id="65"/>
      </w:r>
      <w:r w:rsidRPr="00FB251A">
        <w:rPr>
          <w:rFonts w:ascii="Garamond" w:hAnsi="Garamond" w:cs="Times New Roman"/>
          <w:sz w:val="24"/>
          <w:szCs w:val="24"/>
        </w:rPr>
        <w:t xml:space="preserve">  </w:t>
      </w:r>
    </w:p>
    <w:p w14:paraId="7810D900" w14:textId="4906E832"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 “Of Empire” is concerned, in the first instance, with “the Case of </w:t>
      </w:r>
      <w:r w:rsidRPr="00FB251A">
        <w:rPr>
          <w:rFonts w:ascii="Garamond" w:hAnsi="Garamond" w:cs="Times New Roman"/>
          <w:i/>
          <w:iCs/>
          <w:sz w:val="24"/>
          <w:szCs w:val="24"/>
        </w:rPr>
        <w:t>Kings,</w:t>
      </w:r>
      <w:r w:rsidRPr="00FB251A">
        <w:rPr>
          <w:rFonts w:ascii="Garamond" w:hAnsi="Garamond" w:cs="Times New Roman"/>
          <w:sz w:val="24"/>
          <w:szCs w:val="24"/>
        </w:rPr>
        <w:t xml:space="preserve">” </w:t>
      </w:r>
      <w:r w:rsidR="009570E6">
        <w:rPr>
          <w:rFonts w:ascii="Garamond" w:hAnsi="Garamond" w:cs="Times New Roman"/>
          <w:sz w:val="24"/>
          <w:szCs w:val="24"/>
        </w:rPr>
        <w:t>treating</w:t>
      </w:r>
      <w:r w:rsidRPr="00FB251A">
        <w:rPr>
          <w:rFonts w:ascii="Garamond" w:hAnsi="Garamond" w:cs="Times New Roman"/>
          <w:sz w:val="24"/>
          <w:szCs w:val="24"/>
        </w:rPr>
        <w:t xml:space="preserve"> the modes of monarchic rule and the relations which a successful monarch must keep.</w:t>
      </w:r>
      <w:r w:rsidRPr="00FB251A">
        <w:rPr>
          <w:rStyle w:val="FootnoteReference"/>
          <w:rFonts w:ascii="Garamond" w:hAnsi="Garamond"/>
          <w:sz w:val="24"/>
          <w:szCs w:val="24"/>
        </w:rPr>
        <w:footnoteReference w:id="66"/>
      </w:r>
      <w:r w:rsidRPr="00FB251A">
        <w:rPr>
          <w:rFonts w:ascii="Garamond" w:hAnsi="Garamond" w:cs="Times New Roman"/>
          <w:sz w:val="24"/>
          <w:szCs w:val="24"/>
        </w:rPr>
        <w:t xml:space="preserve">  Bacon counsels monarchs to look first to their neighbors, from whom “arise Dangers, if Care and Circumspection </w:t>
      </w:r>
      <w:r w:rsidRPr="00FB251A">
        <w:rPr>
          <w:rFonts w:ascii="Garamond" w:hAnsi="Garamond" w:cs="Times New Roman"/>
          <w:sz w:val="24"/>
          <w:szCs w:val="24"/>
        </w:rPr>
        <w:lastRenderedPageBreak/>
        <w:t>be not used.”</w:t>
      </w:r>
      <w:r w:rsidRPr="00FB251A">
        <w:rPr>
          <w:rStyle w:val="FootnoteReference"/>
          <w:rFonts w:ascii="Garamond" w:hAnsi="Garamond"/>
          <w:sz w:val="24"/>
          <w:szCs w:val="24"/>
        </w:rPr>
        <w:footnoteReference w:id="67"/>
      </w:r>
      <w:r w:rsidRPr="00FB251A">
        <w:rPr>
          <w:rFonts w:ascii="Garamond" w:hAnsi="Garamond" w:cs="Times New Roman"/>
          <w:sz w:val="24"/>
          <w:szCs w:val="24"/>
        </w:rPr>
        <w:t xml:space="preserve"> Bacon emphasizes that their greatness and expansion must be checked as “for their </w:t>
      </w:r>
      <w:proofErr w:type="spellStart"/>
      <w:r w:rsidRPr="00FB251A">
        <w:rPr>
          <w:rFonts w:ascii="Garamond" w:hAnsi="Garamond" w:cs="Times New Roman"/>
          <w:i/>
          <w:iCs/>
          <w:sz w:val="24"/>
          <w:szCs w:val="24"/>
        </w:rPr>
        <w:t>Neighbours</w:t>
      </w:r>
      <w:proofErr w:type="spellEnd"/>
      <w:r w:rsidRPr="00FB251A">
        <w:rPr>
          <w:rFonts w:ascii="Garamond" w:hAnsi="Garamond" w:cs="Times New Roman"/>
          <w:sz w:val="24"/>
          <w:szCs w:val="24"/>
        </w:rPr>
        <w:t xml:space="preserve">; There can no general Rule be given, (The Occasions are so variable,) save one; </w:t>
      </w:r>
      <w:proofErr w:type="spellStart"/>
      <w:r w:rsidRPr="00FB251A">
        <w:rPr>
          <w:rFonts w:ascii="Garamond" w:hAnsi="Garamond" w:cs="Times New Roman"/>
          <w:sz w:val="24"/>
          <w:szCs w:val="24"/>
        </w:rPr>
        <w:t>which ever</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holdeth</w:t>
      </w:r>
      <w:proofErr w:type="spellEnd"/>
      <w:r w:rsidRPr="00FB251A">
        <w:rPr>
          <w:rFonts w:ascii="Garamond" w:hAnsi="Garamond" w:cs="Times New Roman"/>
          <w:sz w:val="24"/>
          <w:szCs w:val="24"/>
        </w:rPr>
        <w:t xml:space="preserve">; which is, That </w:t>
      </w:r>
      <w:r w:rsidRPr="00FB251A">
        <w:rPr>
          <w:rFonts w:ascii="Garamond" w:hAnsi="Garamond" w:cs="Times New Roman"/>
          <w:i/>
          <w:iCs/>
          <w:sz w:val="24"/>
          <w:szCs w:val="24"/>
        </w:rPr>
        <w:t xml:space="preserve">Princes </w:t>
      </w:r>
      <w:r w:rsidRPr="00FB251A">
        <w:rPr>
          <w:rFonts w:ascii="Garamond" w:hAnsi="Garamond" w:cs="Times New Roman"/>
          <w:sz w:val="24"/>
          <w:szCs w:val="24"/>
        </w:rPr>
        <w:t xml:space="preserve">doe </w:t>
      </w:r>
      <w:proofErr w:type="spellStart"/>
      <w:r w:rsidRPr="00FB251A">
        <w:rPr>
          <w:rFonts w:ascii="Garamond" w:hAnsi="Garamond" w:cs="Times New Roman"/>
          <w:sz w:val="24"/>
          <w:szCs w:val="24"/>
        </w:rPr>
        <w:t>keepe</w:t>
      </w:r>
      <w:proofErr w:type="spellEnd"/>
      <w:r w:rsidRPr="00FB251A">
        <w:rPr>
          <w:rFonts w:ascii="Garamond" w:hAnsi="Garamond" w:cs="Times New Roman"/>
          <w:sz w:val="24"/>
          <w:szCs w:val="24"/>
        </w:rPr>
        <w:t xml:space="preserve"> due </w:t>
      </w:r>
      <w:proofErr w:type="spellStart"/>
      <w:r w:rsidRPr="00FB251A">
        <w:rPr>
          <w:rFonts w:ascii="Garamond" w:hAnsi="Garamond" w:cs="Times New Roman"/>
          <w:sz w:val="24"/>
          <w:szCs w:val="24"/>
        </w:rPr>
        <w:t>Centinell</w:t>
      </w:r>
      <w:proofErr w:type="spellEnd"/>
      <w:r w:rsidRPr="00FB251A">
        <w:rPr>
          <w:rFonts w:ascii="Garamond" w:hAnsi="Garamond" w:cs="Times New Roman"/>
          <w:sz w:val="24"/>
          <w:szCs w:val="24"/>
        </w:rPr>
        <w:t xml:space="preserve">, that none of their </w:t>
      </w:r>
      <w:proofErr w:type="spellStart"/>
      <w:r w:rsidRPr="00FB251A">
        <w:rPr>
          <w:rFonts w:ascii="Garamond" w:hAnsi="Garamond" w:cs="Times New Roman"/>
          <w:i/>
          <w:iCs/>
          <w:sz w:val="24"/>
          <w:szCs w:val="24"/>
        </w:rPr>
        <w:t>Neighbours</w:t>
      </w:r>
      <w:proofErr w:type="spellEnd"/>
      <w:r w:rsidRPr="00FB251A">
        <w:rPr>
          <w:rFonts w:ascii="Garamond" w:hAnsi="Garamond" w:cs="Times New Roman"/>
          <w:i/>
          <w:iCs/>
          <w:sz w:val="24"/>
          <w:szCs w:val="24"/>
        </w:rPr>
        <w:t xml:space="preserve"> </w:t>
      </w:r>
      <w:r w:rsidRPr="00FB251A">
        <w:rPr>
          <w:rFonts w:ascii="Garamond" w:hAnsi="Garamond" w:cs="Times New Roman"/>
          <w:sz w:val="24"/>
          <w:szCs w:val="24"/>
        </w:rPr>
        <w:t xml:space="preserve">doe overgrow so, (by </w:t>
      </w:r>
      <w:proofErr w:type="spellStart"/>
      <w:r w:rsidRPr="00FB251A">
        <w:rPr>
          <w:rFonts w:ascii="Garamond" w:hAnsi="Garamond" w:cs="Times New Roman"/>
          <w:sz w:val="24"/>
          <w:szCs w:val="24"/>
        </w:rPr>
        <w:t>Encrease</w:t>
      </w:r>
      <w:proofErr w:type="spellEnd"/>
      <w:r w:rsidRPr="00FB251A">
        <w:rPr>
          <w:rFonts w:ascii="Garamond" w:hAnsi="Garamond" w:cs="Times New Roman"/>
          <w:sz w:val="24"/>
          <w:szCs w:val="24"/>
        </w:rPr>
        <w:t xml:space="preserve"> of Territory, by Embracing of Trade, by Approaches, or the like) as they become more able to annoy them, then they were.”</w:t>
      </w:r>
      <w:r w:rsidRPr="00FB251A">
        <w:rPr>
          <w:rStyle w:val="FootnoteReference"/>
          <w:rFonts w:ascii="Garamond" w:hAnsi="Garamond"/>
          <w:sz w:val="24"/>
          <w:szCs w:val="24"/>
        </w:rPr>
        <w:footnoteReference w:id="68"/>
      </w:r>
      <w:r w:rsidRPr="00FB251A">
        <w:rPr>
          <w:rFonts w:ascii="Garamond" w:hAnsi="Garamond" w:cs="Times New Roman"/>
          <w:sz w:val="24"/>
          <w:szCs w:val="24"/>
        </w:rPr>
        <w:t xml:space="preserve">  </w:t>
      </w:r>
      <w:r w:rsidR="00E059CB">
        <w:rPr>
          <w:rFonts w:ascii="Garamond" w:hAnsi="Garamond" w:cs="Times New Roman"/>
          <w:sz w:val="24"/>
          <w:szCs w:val="24"/>
        </w:rPr>
        <w:t>This is Bacon’s only rule regarding foreign policy articulated in “Of Empire.”  In stressing keeping pace with the growth of neighboring powers,</w:t>
      </w:r>
      <w:r w:rsidRPr="00FB251A">
        <w:rPr>
          <w:rFonts w:ascii="Garamond" w:hAnsi="Garamond" w:cs="Times New Roman"/>
          <w:sz w:val="24"/>
          <w:szCs w:val="24"/>
        </w:rPr>
        <w:t xml:space="preserve"> </w:t>
      </w:r>
      <w:r w:rsidR="009D4473">
        <w:rPr>
          <w:rFonts w:ascii="Garamond" w:hAnsi="Garamond" w:cs="Times New Roman"/>
          <w:sz w:val="24"/>
          <w:szCs w:val="24"/>
        </w:rPr>
        <w:t xml:space="preserve">he </w:t>
      </w:r>
      <w:r w:rsidRPr="00FB251A">
        <w:rPr>
          <w:rFonts w:ascii="Garamond" w:hAnsi="Garamond" w:cs="Times New Roman"/>
          <w:sz w:val="24"/>
          <w:szCs w:val="24"/>
        </w:rPr>
        <w:t xml:space="preserve">emphasizes a general rule of seemingly perpetual temporal ambit (“which ever </w:t>
      </w:r>
      <w:proofErr w:type="spellStart"/>
      <w:r w:rsidRPr="00FB251A">
        <w:rPr>
          <w:rFonts w:ascii="Garamond" w:hAnsi="Garamond" w:cs="Times New Roman"/>
          <w:sz w:val="24"/>
          <w:szCs w:val="24"/>
        </w:rPr>
        <w:t>holdeth</w:t>
      </w:r>
      <w:proofErr w:type="spellEnd"/>
      <w:r w:rsidRPr="00FB251A">
        <w:rPr>
          <w:rFonts w:ascii="Garamond" w:hAnsi="Garamond" w:cs="Times New Roman"/>
          <w:sz w:val="24"/>
          <w:szCs w:val="24"/>
        </w:rPr>
        <w:t xml:space="preserve">”) and of broad scope: monarchs must keenly attend that their neighbors’ relative power position in territory, trade, navigation or martial access does not grow </w:t>
      </w:r>
      <w:r w:rsidRPr="00FB251A">
        <w:rPr>
          <w:rFonts w:ascii="Garamond" w:hAnsi="Garamond" w:cs="Times New Roman"/>
          <w:i/>
          <w:iCs/>
          <w:sz w:val="24"/>
          <w:szCs w:val="24"/>
        </w:rPr>
        <w:t>in any respect</w:t>
      </w:r>
      <w:r w:rsidRPr="00FB251A">
        <w:rPr>
          <w:rFonts w:ascii="Garamond" w:hAnsi="Garamond" w:cs="Times New Roman"/>
          <w:sz w:val="24"/>
          <w:szCs w:val="24"/>
        </w:rPr>
        <w:t xml:space="preserve">: </w:t>
      </w:r>
      <w:r w:rsidR="00E059CB" w:rsidRPr="00FB251A">
        <w:rPr>
          <w:rFonts w:ascii="Garamond" w:hAnsi="Garamond" w:cs="Times New Roman"/>
          <w:sz w:val="24"/>
          <w:szCs w:val="24"/>
        </w:rPr>
        <w:t>neighbors</w:t>
      </w:r>
      <w:r w:rsidRPr="00FB251A">
        <w:rPr>
          <w:rFonts w:ascii="Garamond" w:hAnsi="Garamond" w:cs="Times New Roman"/>
          <w:sz w:val="24"/>
          <w:szCs w:val="24"/>
        </w:rPr>
        <w:t xml:space="preserve"> must not be allowed to expand relative to one’s power so that they be “more able to annoy them, then they were.”</w:t>
      </w:r>
      <w:r w:rsidRPr="00FB251A">
        <w:rPr>
          <w:rStyle w:val="FootnoteReference"/>
          <w:rFonts w:ascii="Garamond" w:hAnsi="Garamond"/>
          <w:sz w:val="24"/>
          <w:szCs w:val="24"/>
        </w:rPr>
        <w:footnoteReference w:id="69"/>
      </w:r>
      <w:r w:rsidRPr="00FB251A">
        <w:rPr>
          <w:rFonts w:ascii="Garamond" w:hAnsi="Garamond" w:cs="Times New Roman"/>
          <w:sz w:val="24"/>
          <w:szCs w:val="24"/>
        </w:rPr>
        <w:t xml:space="preserve">  The easiest way to satisfy Bacon’s general rule is for one’s own power to expand in territory, trade, and “Approaches” faster than all other </w:t>
      </w:r>
      <w:r w:rsidR="00E059CB" w:rsidRPr="00FB251A">
        <w:rPr>
          <w:rFonts w:ascii="Garamond" w:hAnsi="Garamond" w:cs="Times New Roman"/>
          <w:sz w:val="24"/>
          <w:szCs w:val="24"/>
        </w:rPr>
        <w:t>neighboring</w:t>
      </w:r>
      <w:r w:rsidRPr="00FB251A">
        <w:rPr>
          <w:rFonts w:ascii="Garamond" w:hAnsi="Garamond" w:cs="Times New Roman"/>
          <w:sz w:val="24"/>
          <w:szCs w:val="24"/>
        </w:rPr>
        <w:t xml:space="preserve"> powers—this would satisfy Bacon’s sole rule </w:t>
      </w:r>
      <w:r w:rsidR="009C2692">
        <w:rPr>
          <w:rFonts w:ascii="Garamond" w:hAnsi="Garamond" w:cs="Times New Roman"/>
          <w:sz w:val="24"/>
          <w:szCs w:val="24"/>
        </w:rPr>
        <w:t>for</w:t>
      </w:r>
      <w:r w:rsidRPr="00FB251A">
        <w:rPr>
          <w:rFonts w:ascii="Garamond" w:hAnsi="Garamond" w:cs="Times New Roman"/>
          <w:sz w:val="24"/>
          <w:szCs w:val="24"/>
        </w:rPr>
        <w:t xml:space="preserve"> foreign affairs articulated in “Of Empire”—only when no </w:t>
      </w:r>
      <w:r w:rsidR="00E059CB" w:rsidRPr="00FB251A">
        <w:rPr>
          <w:rFonts w:ascii="Garamond" w:hAnsi="Garamond" w:cs="Times New Roman"/>
          <w:sz w:val="24"/>
          <w:szCs w:val="24"/>
        </w:rPr>
        <w:t>neighboring</w:t>
      </w:r>
      <w:r w:rsidRPr="00FB251A">
        <w:rPr>
          <w:rFonts w:ascii="Garamond" w:hAnsi="Garamond" w:cs="Times New Roman"/>
          <w:sz w:val="24"/>
          <w:szCs w:val="24"/>
        </w:rPr>
        <w:t xml:space="preserve"> power’s growth exceeds one’s own is a monarch’s state secure.  </w:t>
      </w:r>
    </w:p>
    <w:p w14:paraId="3961D162" w14:textId="251F0B93"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Bacon’s 1624 </w:t>
      </w:r>
      <w:r w:rsidRPr="00FB251A">
        <w:rPr>
          <w:rFonts w:ascii="Garamond" w:hAnsi="Garamond" w:cs="Times New Roman"/>
          <w:i/>
          <w:sz w:val="24"/>
          <w:szCs w:val="24"/>
        </w:rPr>
        <w:t>Considerations Touching a War with Spain</w:t>
      </w:r>
      <w:r w:rsidRPr="00FB251A">
        <w:rPr>
          <w:rFonts w:ascii="Garamond" w:hAnsi="Garamond" w:cs="Times New Roman"/>
          <w:sz w:val="24"/>
          <w:szCs w:val="24"/>
        </w:rPr>
        <w:t>,</w:t>
      </w:r>
      <w:r w:rsidR="002A160A">
        <w:rPr>
          <w:rFonts w:ascii="Garamond" w:hAnsi="Garamond" w:cs="Times New Roman"/>
          <w:sz w:val="24"/>
          <w:szCs w:val="24"/>
        </w:rPr>
        <w:t xml:space="preserve"> </w:t>
      </w:r>
      <w:r w:rsidRPr="00FB251A">
        <w:rPr>
          <w:rFonts w:ascii="Garamond" w:hAnsi="Garamond" w:cs="Times New Roman"/>
          <w:sz w:val="24"/>
          <w:szCs w:val="24"/>
        </w:rPr>
        <w:t>would apply precisely this perpetual maxim</w:t>
      </w:r>
      <w:bookmarkStart w:id="3" w:name="_Hlk36837068"/>
      <w:r w:rsidRPr="00FB251A">
        <w:rPr>
          <w:rFonts w:ascii="Garamond" w:hAnsi="Garamond" w:cs="Times New Roman"/>
          <w:sz w:val="24"/>
          <w:szCs w:val="24"/>
        </w:rPr>
        <w:t xml:space="preserve"> </w:t>
      </w:r>
      <w:bookmarkEnd w:id="3"/>
      <w:r w:rsidRPr="00FB251A">
        <w:rPr>
          <w:rFonts w:ascii="Garamond" w:hAnsi="Garamond" w:cs="Times New Roman"/>
          <w:sz w:val="24"/>
          <w:szCs w:val="24"/>
        </w:rPr>
        <w:t>to the most salient contemporary case, that of Spain, with Bacon warning the heir apparent, Prince Charles, that “nothing is more manifest, than that this nation of Spain runs a race (still) of empire when all other states of Christendom stand in effect at a stay.”</w:t>
      </w:r>
      <w:r w:rsidRPr="00FB251A">
        <w:rPr>
          <w:rStyle w:val="FootnoteReference"/>
          <w:rFonts w:ascii="Garamond" w:hAnsi="Garamond"/>
          <w:sz w:val="24"/>
          <w:szCs w:val="24"/>
        </w:rPr>
        <w:footnoteReference w:id="70"/>
      </w:r>
      <w:r w:rsidRPr="00FB251A">
        <w:rPr>
          <w:rFonts w:ascii="Garamond" w:hAnsi="Garamond" w:cs="Times New Roman"/>
          <w:sz w:val="24"/>
          <w:szCs w:val="24"/>
        </w:rPr>
        <w:t xml:space="preserve"> </w:t>
      </w:r>
      <w:r w:rsidR="002A160A">
        <w:rPr>
          <w:rFonts w:ascii="Garamond" w:hAnsi="Garamond" w:cs="Times New Roman"/>
          <w:sz w:val="24"/>
          <w:szCs w:val="24"/>
        </w:rPr>
        <w:t>I</w:t>
      </w:r>
      <w:r w:rsidRPr="00FB251A">
        <w:rPr>
          <w:rFonts w:ascii="Garamond" w:hAnsi="Garamond" w:cs="Times New Roman"/>
          <w:sz w:val="24"/>
          <w:szCs w:val="24"/>
        </w:rPr>
        <w:t>n this matter no other state, Britain least of all, can afford to be a</w:t>
      </w:r>
      <w:r w:rsidR="003E3844">
        <w:rPr>
          <w:rFonts w:ascii="Garamond" w:hAnsi="Garamond" w:cs="Times New Roman"/>
          <w:sz w:val="24"/>
          <w:szCs w:val="24"/>
        </w:rPr>
        <w:t>n onlooker</w:t>
      </w:r>
      <w:r w:rsidRPr="00FB251A">
        <w:rPr>
          <w:rFonts w:ascii="Garamond" w:hAnsi="Garamond" w:cs="Times New Roman"/>
          <w:sz w:val="24"/>
          <w:szCs w:val="24"/>
        </w:rPr>
        <w:t xml:space="preserve">: Spain’s augmentation of territory and, not least, titles of </w:t>
      </w:r>
      <w:r w:rsidRPr="00FB251A">
        <w:rPr>
          <w:rFonts w:ascii="Garamond" w:hAnsi="Garamond" w:cs="Times New Roman"/>
          <w:sz w:val="24"/>
          <w:szCs w:val="24"/>
        </w:rPr>
        <w:lastRenderedPageBreak/>
        <w:t>conquest, should ring a bell of warning, Spain’s “so many new conquests and purchases” should sound “so many strokes of the larum bell of fear and awaking to other nations.”</w:t>
      </w:r>
      <w:r w:rsidRPr="00FB251A">
        <w:rPr>
          <w:rStyle w:val="FootnoteReference"/>
          <w:rFonts w:ascii="Garamond" w:hAnsi="Garamond"/>
          <w:sz w:val="24"/>
          <w:szCs w:val="24"/>
        </w:rPr>
        <w:footnoteReference w:id="71"/>
      </w:r>
    </w:p>
    <w:p w14:paraId="78AA6428" w14:textId="37B4EA2A"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The Baconian maxim from “Of Empire</w:t>
      </w:r>
      <w:r w:rsidR="00202EE6">
        <w:rPr>
          <w:rFonts w:ascii="Garamond" w:hAnsi="Garamond" w:cs="Times New Roman"/>
          <w:sz w:val="24"/>
          <w:szCs w:val="24"/>
        </w:rPr>
        <w:t>,</w:t>
      </w:r>
      <w:r w:rsidRPr="00FB251A">
        <w:rPr>
          <w:rFonts w:ascii="Garamond" w:hAnsi="Garamond" w:cs="Times New Roman"/>
          <w:sz w:val="24"/>
          <w:szCs w:val="24"/>
        </w:rPr>
        <w:t>”</w:t>
      </w:r>
      <w:r w:rsidR="00202EE6">
        <w:rPr>
          <w:rFonts w:ascii="Garamond" w:hAnsi="Garamond" w:cs="Times New Roman"/>
          <w:sz w:val="24"/>
          <w:szCs w:val="24"/>
        </w:rPr>
        <w:t xml:space="preserve"> </w:t>
      </w:r>
      <w:r w:rsidRPr="00FB251A">
        <w:rPr>
          <w:rFonts w:ascii="Garamond" w:hAnsi="Garamond" w:cs="Times New Roman"/>
          <w:sz w:val="24"/>
          <w:szCs w:val="24"/>
        </w:rPr>
        <w:t xml:space="preserve">combined with its politic application in his </w:t>
      </w:r>
      <w:r w:rsidRPr="00FB251A">
        <w:rPr>
          <w:rFonts w:ascii="Garamond" w:hAnsi="Garamond" w:cs="Times New Roman"/>
          <w:i/>
          <w:sz w:val="24"/>
          <w:szCs w:val="24"/>
        </w:rPr>
        <w:t>Considerations</w:t>
      </w:r>
      <w:r w:rsidR="00F81894">
        <w:rPr>
          <w:rFonts w:ascii="Garamond" w:hAnsi="Garamond" w:cs="Times New Roman"/>
          <w:iCs/>
          <w:sz w:val="24"/>
          <w:szCs w:val="24"/>
        </w:rPr>
        <w:t>,</w:t>
      </w:r>
      <w:r w:rsidRPr="00FB251A">
        <w:rPr>
          <w:rFonts w:ascii="Garamond" w:hAnsi="Garamond" w:cs="Times New Roman"/>
          <w:i/>
          <w:sz w:val="24"/>
          <w:szCs w:val="24"/>
        </w:rPr>
        <w:t xml:space="preserve"> </w:t>
      </w:r>
      <w:r w:rsidRPr="00FB251A">
        <w:rPr>
          <w:rFonts w:ascii="Garamond" w:hAnsi="Garamond" w:cs="Times New Roman"/>
          <w:sz w:val="24"/>
          <w:szCs w:val="24"/>
        </w:rPr>
        <w:t>sheds light on why, in Bacon’s estimation, abandoning a colony is superlatively sinful: If a neighbor power, say, Spain, is growing in colonies, then to maintain a state secure, England or Britain must grow in colonies at an equivalent rate. Otherwise</w:t>
      </w:r>
      <w:r w:rsidR="00F81894">
        <w:rPr>
          <w:rFonts w:ascii="Garamond" w:hAnsi="Garamond" w:cs="Times New Roman"/>
          <w:sz w:val="24"/>
          <w:szCs w:val="24"/>
        </w:rPr>
        <w:t>,</w:t>
      </w:r>
      <w:r w:rsidRPr="00FB251A">
        <w:rPr>
          <w:rFonts w:ascii="Garamond" w:hAnsi="Garamond" w:cs="Times New Roman"/>
          <w:sz w:val="24"/>
          <w:szCs w:val="24"/>
        </w:rPr>
        <w:t xml:space="preserve"> relative power diminishes and one risks the loss of one’s state.</w:t>
      </w:r>
    </w:p>
    <w:p w14:paraId="3BD13E47" w14:textId="163ABA91" w:rsidR="00580F87" w:rsidRPr="008E2A0B" w:rsidRDefault="00580F87" w:rsidP="00B1678C">
      <w:pPr>
        <w:pStyle w:val="ListParagraph"/>
        <w:numPr>
          <w:ilvl w:val="0"/>
          <w:numId w:val="1"/>
        </w:numPr>
        <w:spacing w:line="480" w:lineRule="auto"/>
        <w:rPr>
          <w:rFonts w:ascii="Garamond" w:hAnsi="Garamond" w:cs="Times New Roman"/>
          <w:i/>
          <w:iCs/>
          <w:sz w:val="24"/>
          <w:szCs w:val="24"/>
        </w:rPr>
      </w:pPr>
      <w:r w:rsidRPr="008E2A0B">
        <w:rPr>
          <w:rFonts w:ascii="Garamond" w:hAnsi="Garamond" w:cs="Times New Roman"/>
          <w:i/>
          <w:iCs/>
          <w:sz w:val="24"/>
          <w:szCs w:val="24"/>
        </w:rPr>
        <w:t>Plantations and the Bounds of Empire</w:t>
      </w:r>
    </w:p>
    <w:p w14:paraId="630605B2" w14:textId="41BED956"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If colonies expand the bounds of empire, one might ask whether every colony or plantation would count as an expansion of empire, for Bacon.  It would seem that</w:t>
      </w:r>
      <w:r w:rsidR="00FB0FE1">
        <w:rPr>
          <w:rFonts w:ascii="Garamond" w:hAnsi="Garamond" w:cs="Times New Roman"/>
          <w:sz w:val="24"/>
          <w:szCs w:val="24"/>
        </w:rPr>
        <w:t xml:space="preserve"> </w:t>
      </w:r>
      <w:r w:rsidRPr="00FB251A">
        <w:rPr>
          <w:rFonts w:ascii="Garamond" w:hAnsi="Garamond" w:cs="Times New Roman"/>
          <w:sz w:val="24"/>
          <w:szCs w:val="24"/>
        </w:rPr>
        <w:t>colonies may serve both for the expansion of empire (the case of Virginia) but also for the restitution of empire or the reclaiming of territories and peoples which, in his view, seem to have fallen away from obedience to the crown (the latter case being that of Ireland).</w:t>
      </w:r>
      <w:r w:rsidR="00E059CB">
        <w:rPr>
          <w:rFonts w:ascii="Garamond" w:hAnsi="Garamond" w:cs="Times New Roman"/>
          <w:sz w:val="24"/>
          <w:szCs w:val="24"/>
        </w:rPr>
        <w:t xml:space="preserve">  </w:t>
      </w:r>
      <w:r w:rsidRPr="00FB251A">
        <w:rPr>
          <w:rFonts w:ascii="Garamond" w:hAnsi="Garamond" w:cs="Times New Roman"/>
          <w:sz w:val="24"/>
          <w:szCs w:val="24"/>
        </w:rPr>
        <w:t>Similarly, one might ask whether every expansion of the bounds of empire, for Bacon, must take the form of a colony.  It would seem, in this case, that it would not,</w:t>
      </w:r>
      <w:r w:rsidR="006C3E79">
        <w:rPr>
          <w:rFonts w:ascii="Garamond" w:hAnsi="Garamond" w:cs="Times New Roman"/>
          <w:sz w:val="24"/>
          <w:szCs w:val="24"/>
        </w:rPr>
        <w:t xml:space="preserve"> as, for Bacon,</w:t>
      </w:r>
      <w:r w:rsidR="006C3E79" w:rsidRPr="00FB251A">
        <w:rPr>
          <w:rFonts w:ascii="Garamond" w:hAnsi="Garamond" w:cs="Times New Roman"/>
          <w:sz w:val="24"/>
          <w:szCs w:val="24"/>
        </w:rPr>
        <w:t xml:space="preserve"> </w:t>
      </w:r>
      <w:r w:rsidRPr="00FB251A">
        <w:rPr>
          <w:rFonts w:ascii="Garamond" w:hAnsi="Garamond" w:cs="Times New Roman"/>
          <w:sz w:val="24"/>
          <w:szCs w:val="24"/>
        </w:rPr>
        <w:t xml:space="preserve">empire may </w:t>
      </w:r>
      <w:r w:rsidR="006C3E79">
        <w:rPr>
          <w:rFonts w:ascii="Garamond" w:hAnsi="Garamond" w:cs="Times New Roman"/>
          <w:sz w:val="24"/>
          <w:szCs w:val="24"/>
        </w:rPr>
        <w:t>be extended</w:t>
      </w:r>
      <w:r w:rsidR="006C3E79" w:rsidRPr="00FB251A">
        <w:rPr>
          <w:rFonts w:ascii="Garamond" w:hAnsi="Garamond" w:cs="Times New Roman"/>
          <w:sz w:val="24"/>
          <w:szCs w:val="24"/>
        </w:rPr>
        <w:t xml:space="preserve"> </w:t>
      </w:r>
      <w:r w:rsidRPr="00FB251A">
        <w:rPr>
          <w:rFonts w:ascii="Garamond" w:hAnsi="Garamond" w:cs="Times New Roman"/>
          <w:sz w:val="24"/>
          <w:szCs w:val="24"/>
        </w:rPr>
        <w:t xml:space="preserve">by the expansion of </w:t>
      </w:r>
      <w:r w:rsidRPr="00FB251A">
        <w:rPr>
          <w:rFonts w:ascii="Garamond" w:hAnsi="Garamond" w:cs="Times New Roman"/>
          <w:i/>
          <w:iCs/>
          <w:sz w:val="24"/>
          <w:szCs w:val="24"/>
        </w:rPr>
        <w:t xml:space="preserve">imperium </w:t>
      </w:r>
      <w:r w:rsidRPr="00FB251A">
        <w:rPr>
          <w:rFonts w:ascii="Garamond" w:hAnsi="Garamond" w:cs="Times New Roman"/>
          <w:sz w:val="24"/>
          <w:szCs w:val="24"/>
        </w:rPr>
        <w:t>at sea</w:t>
      </w:r>
      <w:r w:rsidR="006C3E79">
        <w:rPr>
          <w:rFonts w:ascii="Garamond" w:hAnsi="Garamond" w:cs="Times New Roman"/>
          <w:sz w:val="24"/>
          <w:szCs w:val="24"/>
        </w:rPr>
        <w:t>.  Naval</w:t>
      </w:r>
      <w:r w:rsidRPr="00FB251A">
        <w:rPr>
          <w:rFonts w:ascii="Garamond" w:hAnsi="Garamond" w:cs="Times New Roman"/>
          <w:sz w:val="24"/>
          <w:szCs w:val="24"/>
        </w:rPr>
        <w:t xml:space="preserve"> and maritime empire, for Bacon, was a necessary constituent of greatness </w:t>
      </w:r>
      <w:r w:rsidR="006C3E79">
        <w:rPr>
          <w:rFonts w:ascii="Garamond" w:hAnsi="Garamond" w:cs="Times New Roman"/>
          <w:sz w:val="24"/>
          <w:szCs w:val="24"/>
        </w:rPr>
        <w:t>as well as</w:t>
      </w:r>
      <w:r w:rsidR="006C3E79" w:rsidRPr="00FB251A">
        <w:rPr>
          <w:rFonts w:ascii="Garamond" w:hAnsi="Garamond" w:cs="Times New Roman"/>
          <w:sz w:val="24"/>
          <w:szCs w:val="24"/>
        </w:rPr>
        <w:t xml:space="preserve"> </w:t>
      </w:r>
      <w:r w:rsidR="006C3E79">
        <w:rPr>
          <w:rFonts w:ascii="Garamond" w:hAnsi="Garamond" w:cs="Times New Roman"/>
          <w:sz w:val="24"/>
          <w:szCs w:val="24"/>
        </w:rPr>
        <w:t xml:space="preserve">a central </w:t>
      </w:r>
      <w:r w:rsidRPr="00FB251A">
        <w:rPr>
          <w:rFonts w:ascii="Garamond" w:hAnsi="Garamond" w:cs="Times New Roman"/>
          <w:sz w:val="24"/>
          <w:szCs w:val="24"/>
        </w:rPr>
        <w:t xml:space="preserve">component of expanding one’s </w:t>
      </w:r>
      <w:r w:rsidRPr="00FB251A">
        <w:rPr>
          <w:rFonts w:ascii="Garamond" w:hAnsi="Garamond" w:cs="Times New Roman"/>
          <w:i/>
          <w:iCs/>
          <w:sz w:val="24"/>
          <w:szCs w:val="24"/>
        </w:rPr>
        <w:t xml:space="preserve">imperium </w:t>
      </w:r>
      <w:r w:rsidRPr="00FB251A">
        <w:rPr>
          <w:rFonts w:ascii="Garamond" w:hAnsi="Garamond" w:cs="Times New Roman"/>
          <w:sz w:val="24"/>
          <w:szCs w:val="24"/>
        </w:rPr>
        <w:t>into the New World.</w:t>
      </w:r>
      <w:r w:rsidRPr="00FB251A">
        <w:rPr>
          <w:rStyle w:val="FootnoteReference"/>
          <w:rFonts w:ascii="Garamond" w:hAnsi="Garamond"/>
          <w:sz w:val="24"/>
          <w:szCs w:val="24"/>
        </w:rPr>
        <w:footnoteReference w:id="72"/>
      </w:r>
    </w:p>
    <w:p w14:paraId="791572D9" w14:textId="344D69C5"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For Bacon, both empire and colonies are juridically rooted in titles of conquest</w:t>
      </w:r>
      <w:r w:rsidR="00E059CB">
        <w:rPr>
          <w:rFonts w:ascii="Garamond" w:hAnsi="Garamond" w:cs="Times New Roman"/>
          <w:sz w:val="24"/>
          <w:szCs w:val="24"/>
        </w:rPr>
        <w:t xml:space="preserve">.  Indeed, </w:t>
      </w:r>
      <w:r w:rsidRPr="00FB251A">
        <w:rPr>
          <w:rFonts w:ascii="Garamond" w:hAnsi="Garamond" w:cs="Times New Roman"/>
          <w:sz w:val="24"/>
          <w:szCs w:val="24"/>
        </w:rPr>
        <w:t xml:space="preserve">in the case of Ireland, Bacon emphasizes in </w:t>
      </w:r>
      <w:r w:rsidRPr="00FB251A">
        <w:rPr>
          <w:rFonts w:ascii="Garamond" w:hAnsi="Garamond" w:cs="Times New Roman"/>
          <w:i/>
          <w:sz w:val="24"/>
          <w:szCs w:val="24"/>
        </w:rPr>
        <w:t xml:space="preserve">Calvin’s Case </w:t>
      </w:r>
      <w:r w:rsidRPr="00FB251A">
        <w:rPr>
          <w:rFonts w:ascii="Garamond" w:hAnsi="Garamond" w:cs="Times New Roman"/>
          <w:sz w:val="24"/>
          <w:szCs w:val="24"/>
        </w:rPr>
        <w:t>that the Irish are naturalized by conquest</w:t>
      </w:r>
      <w:r w:rsidRPr="00FB251A">
        <w:rPr>
          <w:rStyle w:val="FootnoteReference"/>
          <w:rFonts w:ascii="Garamond" w:hAnsi="Garamond"/>
          <w:sz w:val="24"/>
          <w:szCs w:val="24"/>
        </w:rPr>
        <w:footnoteReference w:id="73"/>
      </w:r>
      <w:r w:rsidRPr="00FB251A">
        <w:rPr>
          <w:rFonts w:ascii="Garamond" w:hAnsi="Garamond" w:cs="Times New Roman"/>
          <w:sz w:val="24"/>
          <w:szCs w:val="24"/>
        </w:rPr>
        <w:t xml:space="preserve"> and he collapses the distinction between naturalization by conquest and naturalization by descent in a manner which makes the juridical rights of a sovereign by descent equivalent to those of a sovereign </w:t>
      </w:r>
      <w:r w:rsidRPr="00FB251A">
        <w:rPr>
          <w:rFonts w:ascii="Garamond" w:hAnsi="Garamond" w:cs="Times New Roman"/>
          <w:sz w:val="24"/>
          <w:szCs w:val="24"/>
        </w:rPr>
        <w:lastRenderedPageBreak/>
        <w:t>by conquest.</w:t>
      </w:r>
      <w:r w:rsidRPr="00FB251A">
        <w:rPr>
          <w:rStyle w:val="FootnoteReference"/>
          <w:rFonts w:ascii="Garamond" w:hAnsi="Garamond"/>
          <w:sz w:val="24"/>
          <w:szCs w:val="24"/>
        </w:rPr>
        <w:footnoteReference w:id="74"/>
      </w:r>
      <w:r w:rsidRPr="00FB251A">
        <w:rPr>
          <w:rFonts w:ascii="Garamond" w:hAnsi="Garamond" w:cs="Times New Roman"/>
          <w:sz w:val="24"/>
          <w:szCs w:val="24"/>
        </w:rPr>
        <w:t xml:space="preserve">  In “Of Empire,” Bacon instructs his addressee</w:t>
      </w:r>
      <w:r w:rsidR="00E059CB">
        <w:rPr>
          <w:rFonts w:ascii="Garamond" w:hAnsi="Garamond" w:cs="Times New Roman"/>
          <w:sz w:val="24"/>
          <w:szCs w:val="24"/>
        </w:rPr>
        <w:t xml:space="preserve"> in the 1625 </w:t>
      </w:r>
      <w:proofErr w:type="spellStart"/>
      <w:r w:rsidR="00E059CB">
        <w:rPr>
          <w:rFonts w:ascii="Garamond" w:hAnsi="Garamond" w:cs="Times New Roman"/>
          <w:i/>
          <w:iCs/>
          <w:sz w:val="24"/>
          <w:szCs w:val="24"/>
        </w:rPr>
        <w:t>Essayes</w:t>
      </w:r>
      <w:proofErr w:type="spellEnd"/>
      <w:r w:rsidRPr="00FB251A">
        <w:rPr>
          <w:rFonts w:ascii="Garamond" w:hAnsi="Garamond" w:cs="Times New Roman"/>
          <w:sz w:val="24"/>
          <w:szCs w:val="24"/>
        </w:rPr>
        <w:t>, the Lord Admiral Buckingham, that conquest is a rightful and happy act of kings</w:t>
      </w:r>
      <w:r w:rsidR="00C7021C">
        <w:rPr>
          <w:rFonts w:ascii="Garamond" w:hAnsi="Garamond" w:cs="Times New Roman"/>
          <w:sz w:val="24"/>
          <w:szCs w:val="24"/>
        </w:rPr>
        <w:t xml:space="preserve">: </w:t>
      </w:r>
      <w:r w:rsidR="00B1678C">
        <w:rPr>
          <w:rFonts w:ascii="Garamond" w:hAnsi="Garamond" w:cs="Times New Roman"/>
          <w:sz w:val="24"/>
          <w:szCs w:val="24"/>
        </w:rPr>
        <w:t>Bacon</w:t>
      </w:r>
      <w:r w:rsidRPr="00FB251A">
        <w:rPr>
          <w:rFonts w:ascii="Garamond" w:hAnsi="Garamond" w:cs="Times New Roman"/>
          <w:sz w:val="24"/>
          <w:szCs w:val="24"/>
        </w:rPr>
        <w:t xml:space="preserve"> writes of “</w:t>
      </w:r>
      <w:r w:rsidRPr="00FB251A">
        <w:rPr>
          <w:rFonts w:ascii="Garamond" w:hAnsi="Garamond" w:cs="Times New Roman"/>
          <w:i/>
          <w:sz w:val="24"/>
          <w:szCs w:val="24"/>
        </w:rPr>
        <w:t>Kings</w:t>
      </w:r>
      <w:r w:rsidRPr="00FB251A">
        <w:rPr>
          <w:rFonts w:ascii="Garamond" w:hAnsi="Garamond" w:cs="Times New Roman"/>
          <w:sz w:val="24"/>
          <w:szCs w:val="24"/>
        </w:rPr>
        <w:t xml:space="preserve">, that have </w:t>
      </w:r>
      <w:proofErr w:type="spellStart"/>
      <w:r w:rsidRPr="00FB251A">
        <w:rPr>
          <w:rFonts w:ascii="Garamond" w:hAnsi="Garamond" w:cs="Times New Roman"/>
          <w:sz w:val="24"/>
          <w:szCs w:val="24"/>
        </w:rPr>
        <w:t>beene</w:t>
      </w:r>
      <w:proofErr w:type="spellEnd"/>
      <w:r w:rsidRPr="00FB251A">
        <w:rPr>
          <w:rFonts w:ascii="Garamond" w:hAnsi="Garamond" w:cs="Times New Roman"/>
          <w:sz w:val="24"/>
          <w:szCs w:val="24"/>
        </w:rPr>
        <w:t xml:space="preserve"> fortunate Conquerors in their first </w:t>
      </w:r>
      <w:proofErr w:type="spellStart"/>
      <w:r w:rsidRPr="00FB251A">
        <w:rPr>
          <w:rFonts w:ascii="Garamond" w:hAnsi="Garamond" w:cs="Times New Roman"/>
          <w:sz w:val="24"/>
          <w:szCs w:val="24"/>
        </w:rPr>
        <w:t>yeares</w:t>
      </w:r>
      <w:proofErr w:type="spellEnd"/>
      <w:r w:rsidRPr="00FB251A">
        <w:rPr>
          <w:rFonts w:ascii="Garamond" w:hAnsi="Garamond" w:cs="Times New Roman"/>
          <w:sz w:val="24"/>
          <w:szCs w:val="24"/>
        </w:rPr>
        <w:t>” who descend into “Melancholy” when the rate of their conquests slows.</w:t>
      </w:r>
      <w:r w:rsidRPr="00FB251A">
        <w:rPr>
          <w:rStyle w:val="FootnoteReference"/>
          <w:rFonts w:ascii="Garamond" w:hAnsi="Garamond"/>
          <w:sz w:val="24"/>
          <w:szCs w:val="24"/>
        </w:rPr>
        <w:footnoteReference w:id="75"/>
      </w:r>
      <w:r w:rsidRPr="00FB251A">
        <w:rPr>
          <w:rFonts w:ascii="Garamond" w:hAnsi="Garamond" w:cs="Times New Roman"/>
          <w:sz w:val="24"/>
          <w:szCs w:val="24"/>
        </w:rPr>
        <w:t xml:space="preserve">  </w:t>
      </w:r>
    </w:p>
    <w:p w14:paraId="46E3F255" w14:textId="2806387F"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While some scholars have claimed that Bacon favors a federative model of colonial and imperial government,</w:t>
      </w:r>
      <w:r w:rsidRPr="00FB251A">
        <w:rPr>
          <w:rStyle w:val="FootnoteReference"/>
          <w:rFonts w:ascii="Garamond" w:hAnsi="Garamond"/>
          <w:sz w:val="24"/>
          <w:szCs w:val="24"/>
        </w:rPr>
        <w:footnoteReference w:id="76"/>
      </w:r>
      <w:r w:rsidRPr="00FB251A">
        <w:rPr>
          <w:rFonts w:ascii="Garamond" w:hAnsi="Garamond" w:cs="Times New Roman"/>
          <w:sz w:val="24"/>
          <w:szCs w:val="24"/>
        </w:rPr>
        <w:t xml:space="preserve"> plantations and colonies</w:t>
      </w:r>
      <w:r w:rsidR="00FB0FE1">
        <w:rPr>
          <w:rFonts w:ascii="Garamond" w:hAnsi="Garamond" w:cs="Times New Roman"/>
          <w:sz w:val="24"/>
          <w:szCs w:val="24"/>
        </w:rPr>
        <w:t xml:space="preserve"> </w:t>
      </w:r>
      <w:r w:rsidRPr="00FB251A">
        <w:rPr>
          <w:rFonts w:ascii="Garamond" w:hAnsi="Garamond" w:cs="Times New Roman"/>
          <w:sz w:val="24"/>
          <w:szCs w:val="24"/>
        </w:rPr>
        <w:t>are non-federative and to be governed monarchically, as we have seen.  To the extent that Ireland does serve as a model for plantation in the New World,</w:t>
      </w:r>
      <w:r w:rsidRPr="00FB251A">
        <w:rPr>
          <w:rStyle w:val="FootnoteReference"/>
          <w:rFonts w:ascii="Garamond" w:hAnsi="Garamond"/>
          <w:sz w:val="24"/>
          <w:szCs w:val="24"/>
        </w:rPr>
        <w:footnoteReference w:id="77"/>
      </w:r>
      <w:r w:rsidRPr="00FB251A">
        <w:rPr>
          <w:rFonts w:ascii="Garamond" w:hAnsi="Garamond" w:cs="Times New Roman"/>
          <w:sz w:val="24"/>
          <w:szCs w:val="24"/>
        </w:rPr>
        <w:t xml:space="preserve"> </w:t>
      </w:r>
      <w:r w:rsidR="00EF3A7E">
        <w:rPr>
          <w:rFonts w:ascii="Garamond" w:hAnsi="Garamond" w:cs="Times New Roman"/>
          <w:sz w:val="24"/>
          <w:szCs w:val="24"/>
        </w:rPr>
        <w:t xml:space="preserve">coupled with </w:t>
      </w:r>
      <w:r w:rsidRPr="00FB251A">
        <w:rPr>
          <w:rFonts w:ascii="Garamond" w:hAnsi="Garamond" w:cs="Times New Roman"/>
          <w:sz w:val="24"/>
          <w:szCs w:val="24"/>
        </w:rPr>
        <w:t>Bacon’s proposal that Irish noblemen should be welcome at the court of King James</w:t>
      </w:r>
      <w:r w:rsidR="00EF3A7E">
        <w:rPr>
          <w:rFonts w:ascii="Garamond" w:hAnsi="Garamond" w:cs="Times New Roman"/>
          <w:sz w:val="24"/>
          <w:szCs w:val="24"/>
        </w:rPr>
        <w:t>,</w:t>
      </w:r>
      <w:r w:rsidRPr="00FB251A">
        <w:rPr>
          <w:rFonts w:ascii="Garamond" w:hAnsi="Garamond" w:cs="Times New Roman"/>
          <w:sz w:val="24"/>
          <w:szCs w:val="24"/>
        </w:rPr>
        <w:t xml:space="preserve">  Bacon would seem</w:t>
      </w:r>
      <w:r w:rsidR="006C3E79">
        <w:rPr>
          <w:rFonts w:ascii="Garamond" w:hAnsi="Garamond" w:cs="Times New Roman"/>
          <w:sz w:val="24"/>
          <w:szCs w:val="24"/>
        </w:rPr>
        <w:t xml:space="preserve"> </w:t>
      </w:r>
      <w:r w:rsidRPr="00FB251A">
        <w:rPr>
          <w:rFonts w:ascii="Garamond" w:hAnsi="Garamond" w:cs="Times New Roman"/>
          <w:sz w:val="24"/>
          <w:szCs w:val="24"/>
        </w:rPr>
        <w:t xml:space="preserve">to favor the expansion </w:t>
      </w:r>
      <w:r w:rsidR="006C3E79">
        <w:rPr>
          <w:rFonts w:ascii="Garamond" w:hAnsi="Garamond" w:cs="Times New Roman"/>
          <w:sz w:val="24"/>
          <w:szCs w:val="24"/>
        </w:rPr>
        <w:t xml:space="preserve">(over time) </w:t>
      </w:r>
      <w:r w:rsidRPr="00FB251A">
        <w:rPr>
          <w:rFonts w:ascii="Garamond" w:hAnsi="Garamond" w:cs="Times New Roman"/>
          <w:sz w:val="24"/>
          <w:szCs w:val="24"/>
        </w:rPr>
        <w:t xml:space="preserve">of all </w:t>
      </w:r>
      <w:r w:rsidR="006C3E79">
        <w:rPr>
          <w:rFonts w:ascii="Garamond" w:hAnsi="Garamond" w:cs="Times New Roman"/>
          <w:sz w:val="24"/>
          <w:szCs w:val="24"/>
        </w:rPr>
        <w:t xml:space="preserve">of the </w:t>
      </w:r>
      <w:r w:rsidRPr="00FB251A">
        <w:rPr>
          <w:rFonts w:ascii="Garamond" w:hAnsi="Garamond" w:cs="Times New Roman"/>
          <w:sz w:val="24"/>
          <w:szCs w:val="24"/>
        </w:rPr>
        <w:t xml:space="preserve">rights of English subjects to Irish subjects as well, following </w:t>
      </w:r>
      <w:r w:rsidR="006C3E79">
        <w:rPr>
          <w:rFonts w:ascii="Garamond" w:hAnsi="Garamond" w:cs="Times New Roman"/>
          <w:sz w:val="24"/>
          <w:szCs w:val="24"/>
        </w:rPr>
        <w:t>Bacon’s express</w:t>
      </w:r>
      <w:r w:rsidR="006C3E79" w:rsidRPr="00FB251A">
        <w:rPr>
          <w:rFonts w:ascii="Garamond" w:hAnsi="Garamond" w:cs="Times New Roman"/>
          <w:sz w:val="24"/>
          <w:szCs w:val="24"/>
        </w:rPr>
        <w:t xml:space="preserve"> </w:t>
      </w:r>
      <w:r w:rsidRPr="00FB251A">
        <w:rPr>
          <w:rFonts w:ascii="Garamond" w:hAnsi="Garamond" w:cs="Times New Roman"/>
          <w:sz w:val="24"/>
          <w:szCs w:val="24"/>
        </w:rPr>
        <w:t xml:space="preserve">preference in </w:t>
      </w:r>
      <w:r w:rsidR="00202EE6" w:rsidRPr="00202EE6">
        <w:rPr>
          <w:rFonts w:ascii="Garamond" w:hAnsi="Garamond" w:cs="Times New Roman"/>
          <w:i/>
          <w:iCs/>
          <w:sz w:val="24"/>
          <w:szCs w:val="24"/>
        </w:rPr>
        <w:t>Calvin’s Case</w:t>
      </w:r>
      <w:r w:rsidRPr="00FB251A">
        <w:rPr>
          <w:rFonts w:ascii="Garamond" w:hAnsi="Garamond" w:cs="Times New Roman"/>
          <w:sz w:val="24"/>
          <w:szCs w:val="24"/>
        </w:rPr>
        <w:t>.</w:t>
      </w:r>
      <w:r w:rsidRPr="00FB251A">
        <w:rPr>
          <w:rStyle w:val="FootnoteReference"/>
          <w:rFonts w:ascii="Garamond" w:hAnsi="Garamond"/>
          <w:sz w:val="24"/>
          <w:szCs w:val="24"/>
        </w:rPr>
        <w:footnoteReference w:id="78"/>
      </w:r>
      <w:r w:rsidRPr="00FB251A">
        <w:rPr>
          <w:rFonts w:ascii="Garamond" w:hAnsi="Garamond" w:cs="Times New Roman"/>
          <w:sz w:val="24"/>
          <w:szCs w:val="24"/>
        </w:rPr>
        <w:t xml:space="preserve">  If this is the model for Bacon’s view of colonial government, he would seem to </w:t>
      </w:r>
      <w:r w:rsidR="004638CB" w:rsidRPr="00FB251A">
        <w:rPr>
          <w:rFonts w:ascii="Garamond" w:hAnsi="Garamond" w:cs="Times New Roman"/>
          <w:sz w:val="24"/>
          <w:szCs w:val="24"/>
        </w:rPr>
        <w:t>favor</w:t>
      </w:r>
      <w:r w:rsidRPr="00FB251A">
        <w:rPr>
          <w:rFonts w:ascii="Garamond" w:hAnsi="Garamond" w:cs="Times New Roman"/>
          <w:sz w:val="24"/>
          <w:szCs w:val="24"/>
        </w:rPr>
        <w:t xml:space="preserve"> an expansive empire in which subjects in plantations may attend the English court and may, ultimately share in English rights and representation.</w:t>
      </w:r>
      <w:r w:rsidRPr="00FB251A">
        <w:rPr>
          <w:rStyle w:val="FootnoteReference"/>
          <w:rFonts w:ascii="Garamond" w:hAnsi="Garamond"/>
          <w:sz w:val="24"/>
          <w:szCs w:val="24"/>
        </w:rPr>
        <w:footnoteReference w:id="79"/>
      </w:r>
      <w:r w:rsidRPr="00FB251A">
        <w:rPr>
          <w:rFonts w:ascii="Garamond" w:hAnsi="Garamond" w:cs="Times New Roman"/>
          <w:sz w:val="24"/>
          <w:szCs w:val="24"/>
        </w:rPr>
        <w:t xml:space="preserve">  Residents of English colonial plantations would thus be equal subjects in an imperial monarchy bounded only by the relative expansion of its opponent states.</w:t>
      </w:r>
    </w:p>
    <w:p w14:paraId="2E3BBB5E" w14:textId="589F2A56" w:rsidR="008E2A0B" w:rsidRPr="008E2A0B" w:rsidRDefault="00580F87" w:rsidP="00B1678C">
      <w:pPr>
        <w:pStyle w:val="ListParagraph"/>
        <w:numPr>
          <w:ilvl w:val="0"/>
          <w:numId w:val="1"/>
        </w:numPr>
        <w:spacing w:line="480" w:lineRule="auto"/>
        <w:rPr>
          <w:rFonts w:ascii="Garamond" w:hAnsi="Garamond" w:cs="Times New Roman"/>
          <w:i/>
          <w:iCs/>
          <w:sz w:val="24"/>
          <w:szCs w:val="24"/>
        </w:rPr>
      </w:pPr>
      <w:r w:rsidRPr="008E2A0B">
        <w:rPr>
          <w:rFonts w:ascii="Garamond" w:hAnsi="Garamond" w:cs="Times New Roman"/>
          <w:i/>
          <w:iCs/>
          <w:sz w:val="24"/>
          <w:szCs w:val="24"/>
        </w:rPr>
        <w:t>Of the True Greatness of the Kingdom of Britain and the question of Internal Order</w:t>
      </w:r>
    </w:p>
    <w:p w14:paraId="3B2F2197" w14:textId="017AC313"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It has been well-observed that certain important passages from Bacon’s incomplete </w:t>
      </w:r>
      <w:r w:rsidRPr="00FB251A">
        <w:rPr>
          <w:rFonts w:ascii="Garamond" w:hAnsi="Garamond" w:cs="Times New Roman"/>
          <w:i/>
          <w:iCs/>
          <w:sz w:val="24"/>
          <w:szCs w:val="24"/>
        </w:rPr>
        <w:t xml:space="preserve">Of the true greatness of the Kingdom of Britain </w:t>
      </w:r>
      <w:r w:rsidRPr="00FB251A">
        <w:rPr>
          <w:rFonts w:ascii="Garamond" w:hAnsi="Garamond" w:cs="Times New Roman"/>
          <w:sz w:val="24"/>
          <w:szCs w:val="24"/>
        </w:rPr>
        <w:t>find their way into</w:t>
      </w:r>
      <w:r w:rsidR="00B1678C">
        <w:rPr>
          <w:rFonts w:ascii="Garamond" w:hAnsi="Garamond" w:cs="Times New Roman"/>
          <w:sz w:val="24"/>
          <w:szCs w:val="24"/>
        </w:rPr>
        <w:t xml:space="preserve"> his</w:t>
      </w:r>
      <w:r w:rsidRPr="00FB251A">
        <w:rPr>
          <w:rFonts w:ascii="Garamond" w:hAnsi="Garamond" w:cs="Times New Roman"/>
          <w:sz w:val="24"/>
          <w:szCs w:val="24"/>
        </w:rPr>
        <w:t xml:space="preserve"> later essays.</w:t>
      </w:r>
      <w:r w:rsidRPr="00FB251A">
        <w:rPr>
          <w:rStyle w:val="FootnoteReference"/>
          <w:rFonts w:ascii="Garamond" w:hAnsi="Garamond"/>
          <w:sz w:val="24"/>
          <w:szCs w:val="24"/>
        </w:rPr>
        <w:footnoteReference w:id="80"/>
      </w:r>
      <w:r w:rsidRPr="00FB251A">
        <w:rPr>
          <w:rFonts w:ascii="Garamond" w:hAnsi="Garamond" w:cs="Times New Roman"/>
          <w:sz w:val="24"/>
          <w:szCs w:val="24"/>
        </w:rPr>
        <w:t xml:space="preserve">  Less noted is the relation of Bacon’s treatment </w:t>
      </w:r>
      <w:r w:rsidRPr="00FB251A">
        <w:rPr>
          <w:rFonts w:ascii="Garamond" w:hAnsi="Garamond" w:cs="Times New Roman"/>
          <w:i/>
          <w:iCs/>
          <w:sz w:val="24"/>
          <w:szCs w:val="24"/>
        </w:rPr>
        <w:t xml:space="preserve">Of the true greatness of the Kingdom of Britain </w:t>
      </w:r>
      <w:r w:rsidRPr="00FB251A">
        <w:rPr>
          <w:rFonts w:ascii="Garamond" w:hAnsi="Garamond" w:cs="Times New Roman"/>
          <w:sz w:val="24"/>
          <w:szCs w:val="24"/>
        </w:rPr>
        <w:t xml:space="preserve">to questions of internal order and the </w:t>
      </w:r>
      <w:r w:rsidRPr="00FB251A">
        <w:rPr>
          <w:rFonts w:ascii="Garamond" w:hAnsi="Garamond" w:cs="Times New Roman"/>
          <w:sz w:val="24"/>
          <w:szCs w:val="24"/>
        </w:rPr>
        <w:lastRenderedPageBreak/>
        <w:t>suppression of “inward rebellion.”  Attentive to the problem of internal order in this early fragment, Bacon wrote that “There be two manners of securing large territories: the one by the natural arms of every province; and the other by the protecting arms of the principal estate, in which case commonly the provincials are held disarmed.  So are there two dangers incident to every estate; foreign invasion, and inward rebellion.”</w:t>
      </w:r>
      <w:r w:rsidRPr="00FB251A">
        <w:rPr>
          <w:rStyle w:val="FootnoteReference"/>
          <w:rFonts w:ascii="Garamond" w:hAnsi="Garamond"/>
          <w:sz w:val="24"/>
          <w:szCs w:val="24"/>
        </w:rPr>
        <w:footnoteReference w:id="81"/>
      </w:r>
      <w:r w:rsidRPr="00FB251A">
        <w:rPr>
          <w:rFonts w:ascii="Garamond" w:hAnsi="Garamond" w:cs="Times New Roman"/>
          <w:sz w:val="24"/>
          <w:szCs w:val="24"/>
        </w:rPr>
        <w:t xml:space="preserve">  Looking to the question of compact territory, which Bacon prefers to dispersed territory in the absence of a maritime </w:t>
      </w:r>
      <w:r w:rsidRPr="00FB251A">
        <w:rPr>
          <w:rFonts w:ascii="Garamond" w:hAnsi="Garamond" w:cs="Times New Roman"/>
          <w:i/>
          <w:iCs/>
          <w:sz w:val="24"/>
          <w:szCs w:val="24"/>
        </w:rPr>
        <w:t>imperium</w:t>
      </w:r>
      <w:r w:rsidRPr="00FB251A">
        <w:rPr>
          <w:rFonts w:ascii="Garamond" w:hAnsi="Garamond" w:cs="Times New Roman"/>
          <w:sz w:val="24"/>
          <w:szCs w:val="24"/>
        </w:rPr>
        <w:t xml:space="preserve">, </w:t>
      </w:r>
      <w:r w:rsidR="004C45D8">
        <w:rPr>
          <w:rFonts w:ascii="Garamond" w:hAnsi="Garamond" w:cs="Times New Roman"/>
          <w:sz w:val="24"/>
          <w:szCs w:val="24"/>
        </w:rPr>
        <w:t>he</w:t>
      </w:r>
      <w:r w:rsidRPr="00FB251A">
        <w:rPr>
          <w:rFonts w:ascii="Garamond" w:hAnsi="Garamond" w:cs="Times New Roman"/>
          <w:sz w:val="24"/>
          <w:szCs w:val="24"/>
        </w:rPr>
        <w:t xml:space="preserve"> writes that “if the parts of an estate be disjoined and remote, and so be interrupted with the provinces of another sovereignty, they cannot possibly have ready succours in case of invasion, nor ready suppression in case of rebellion.”</w:t>
      </w:r>
      <w:r w:rsidRPr="00FB251A">
        <w:rPr>
          <w:rStyle w:val="FootnoteReference"/>
          <w:rFonts w:ascii="Garamond" w:hAnsi="Garamond"/>
          <w:sz w:val="24"/>
          <w:szCs w:val="24"/>
        </w:rPr>
        <w:footnoteReference w:id="82"/>
      </w:r>
    </w:p>
    <w:p w14:paraId="1B3D3397" w14:textId="02B36FE7"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Looking further to the question of the best mode by which a state may expand, Bacon writes that “it is necessary in a state that shall grow and </w:t>
      </w:r>
      <w:proofErr w:type="spellStart"/>
      <w:r w:rsidRPr="00FB251A">
        <w:rPr>
          <w:rFonts w:ascii="Garamond" w:hAnsi="Garamond" w:cs="Times New Roman"/>
          <w:sz w:val="24"/>
          <w:szCs w:val="24"/>
        </w:rPr>
        <w:t>inlarge</w:t>
      </w:r>
      <w:proofErr w:type="spellEnd"/>
      <w:r w:rsidRPr="00FB251A">
        <w:rPr>
          <w:rFonts w:ascii="Garamond" w:hAnsi="Garamond" w:cs="Times New Roman"/>
          <w:sz w:val="24"/>
          <w:szCs w:val="24"/>
        </w:rPr>
        <w:t xml:space="preserve">, that there be that composition which the poet </w:t>
      </w:r>
      <w:proofErr w:type="spellStart"/>
      <w:r w:rsidRPr="00FB251A">
        <w:rPr>
          <w:rFonts w:ascii="Garamond" w:hAnsi="Garamond" w:cs="Times New Roman"/>
          <w:sz w:val="24"/>
          <w:szCs w:val="24"/>
        </w:rPr>
        <w:t>speaketh</w:t>
      </w:r>
      <w:proofErr w:type="spellEnd"/>
      <w:r w:rsidRPr="00FB251A">
        <w:rPr>
          <w:rFonts w:ascii="Garamond" w:hAnsi="Garamond" w:cs="Times New Roman"/>
          <w:sz w:val="24"/>
          <w:szCs w:val="24"/>
        </w:rPr>
        <w:t xml:space="preserve"> of, </w:t>
      </w:r>
      <w:r w:rsidRPr="00FB251A">
        <w:rPr>
          <w:rFonts w:ascii="Garamond" w:hAnsi="Garamond" w:cs="Times New Roman"/>
          <w:i/>
          <w:iCs/>
          <w:sz w:val="24"/>
          <w:szCs w:val="24"/>
        </w:rPr>
        <w:t>Multis utile bellum</w:t>
      </w:r>
      <w:r w:rsidRPr="00FB251A">
        <w:rPr>
          <w:rFonts w:ascii="Garamond" w:hAnsi="Garamond" w:cs="Times New Roman"/>
          <w:sz w:val="24"/>
          <w:szCs w:val="24"/>
        </w:rPr>
        <w:t>; an ill condition of a state (no question) if it be meant of a civil war, as it was spoken; but a condition proper to a state that shall increase, if it be taken of a foreign war.”</w:t>
      </w:r>
      <w:r w:rsidRPr="00FB251A">
        <w:rPr>
          <w:rStyle w:val="FootnoteReference"/>
          <w:rFonts w:ascii="Garamond" w:hAnsi="Garamond"/>
          <w:sz w:val="24"/>
          <w:szCs w:val="24"/>
        </w:rPr>
        <w:footnoteReference w:id="83"/>
      </w:r>
      <w:r w:rsidR="004C45D8">
        <w:rPr>
          <w:rFonts w:ascii="Garamond" w:hAnsi="Garamond" w:cs="Times New Roman"/>
          <w:sz w:val="24"/>
          <w:szCs w:val="24"/>
        </w:rPr>
        <w:t xml:space="preserve"> </w:t>
      </w:r>
      <w:r w:rsidRPr="00FB251A">
        <w:rPr>
          <w:rFonts w:ascii="Garamond" w:hAnsi="Garamond" w:cs="Times New Roman"/>
          <w:sz w:val="24"/>
          <w:szCs w:val="24"/>
        </w:rPr>
        <w:t xml:space="preserve">This last passage with its reference to Lucan’s </w:t>
      </w:r>
      <w:r w:rsidRPr="00FB251A">
        <w:rPr>
          <w:rFonts w:ascii="Garamond" w:hAnsi="Garamond" w:cs="Times New Roman"/>
          <w:i/>
          <w:iCs/>
          <w:sz w:val="24"/>
          <w:szCs w:val="24"/>
        </w:rPr>
        <w:t xml:space="preserve">Bellum </w:t>
      </w:r>
      <w:r w:rsidRPr="00FB251A">
        <w:rPr>
          <w:rFonts w:ascii="Garamond" w:hAnsi="Garamond" w:cs="Times New Roman"/>
          <w:i/>
          <w:iCs/>
          <w:sz w:val="24"/>
          <w:szCs w:val="24"/>
          <w:lang w:val="la-Latn"/>
        </w:rPr>
        <w:t>Civile</w:t>
      </w:r>
      <w:r w:rsidRPr="00FB251A">
        <w:rPr>
          <w:rFonts w:ascii="Garamond" w:hAnsi="Garamond" w:cs="Times New Roman"/>
          <w:sz w:val="24"/>
          <w:szCs w:val="24"/>
        </w:rPr>
        <w:t xml:space="preserve">, is borrowed </w:t>
      </w:r>
      <w:r w:rsidRPr="00FB251A">
        <w:rPr>
          <w:rFonts w:ascii="Garamond" w:hAnsi="Garamond" w:cs="Times New Roman"/>
          <w:i/>
          <w:iCs/>
          <w:sz w:val="24"/>
          <w:szCs w:val="24"/>
        </w:rPr>
        <w:t xml:space="preserve">not </w:t>
      </w:r>
      <w:r w:rsidRPr="00FB251A">
        <w:rPr>
          <w:rFonts w:ascii="Garamond" w:hAnsi="Garamond" w:cs="Times New Roman"/>
          <w:sz w:val="24"/>
          <w:szCs w:val="24"/>
        </w:rPr>
        <w:t xml:space="preserve">for Bacon’s later essay “Of the greatness of </w:t>
      </w:r>
      <w:proofErr w:type="spellStart"/>
      <w:r w:rsidRPr="00FB251A">
        <w:rPr>
          <w:rFonts w:ascii="Garamond" w:hAnsi="Garamond" w:cs="Times New Roman"/>
          <w:sz w:val="24"/>
          <w:szCs w:val="24"/>
        </w:rPr>
        <w:t>Kingdomes</w:t>
      </w:r>
      <w:proofErr w:type="spellEnd"/>
      <w:r w:rsidRPr="00FB251A">
        <w:rPr>
          <w:rFonts w:ascii="Garamond" w:hAnsi="Garamond" w:cs="Times New Roman"/>
          <w:sz w:val="24"/>
          <w:szCs w:val="24"/>
        </w:rPr>
        <w:t xml:space="preserve">” but rather for his essay “Of Seditions and Troubles” where it is present in both the manuscript for the 1612 edition of the </w:t>
      </w:r>
      <w:proofErr w:type="spellStart"/>
      <w:r w:rsidRPr="00FB251A">
        <w:rPr>
          <w:rFonts w:ascii="Garamond" w:hAnsi="Garamond" w:cs="Times New Roman"/>
          <w:i/>
          <w:iCs/>
          <w:sz w:val="24"/>
          <w:szCs w:val="24"/>
        </w:rPr>
        <w:t>Essaies</w:t>
      </w:r>
      <w:proofErr w:type="spellEnd"/>
      <w:r w:rsidRPr="00FB251A">
        <w:rPr>
          <w:rFonts w:ascii="Garamond" w:hAnsi="Garamond" w:cs="Times New Roman"/>
          <w:sz w:val="24"/>
          <w:szCs w:val="24"/>
        </w:rPr>
        <w:t xml:space="preserve"> (from the print version of which it was withheld) and in the 1625 edition of </w:t>
      </w:r>
      <w:r w:rsidR="00EB65D8">
        <w:rPr>
          <w:rFonts w:ascii="Garamond" w:hAnsi="Garamond" w:cs="Times New Roman"/>
          <w:sz w:val="24"/>
          <w:szCs w:val="24"/>
        </w:rPr>
        <w:t>the</w:t>
      </w:r>
      <w:r w:rsidR="00EB65D8" w:rsidRPr="00FB251A">
        <w:rPr>
          <w:rFonts w:ascii="Garamond" w:hAnsi="Garamond" w:cs="Times New Roman"/>
          <w:sz w:val="24"/>
          <w:szCs w:val="24"/>
        </w:rPr>
        <w:t xml:space="preserve"> </w:t>
      </w:r>
      <w:proofErr w:type="spellStart"/>
      <w:r w:rsidRPr="00FB251A">
        <w:rPr>
          <w:rFonts w:ascii="Garamond" w:hAnsi="Garamond" w:cs="Times New Roman"/>
          <w:i/>
          <w:iCs/>
          <w:sz w:val="24"/>
          <w:szCs w:val="24"/>
        </w:rPr>
        <w:t>Essayes</w:t>
      </w:r>
      <w:proofErr w:type="spellEnd"/>
      <w:r w:rsidRPr="00FB251A">
        <w:rPr>
          <w:rFonts w:ascii="Garamond" w:hAnsi="Garamond" w:cs="Times New Roman"/>
          <w:i/>
          <w:iCs/>
          <w:sz w:val="24"/>
          <w:szCs w:val="24"/>
        </w:rPr>
        <w:t xml:space="preserve"> or Counsels, </w:t>
      </w:r>
      <w:proofErr w:type="spellStart"/>
      <w:r w:rsidRPr="00FB251A">
        <w:rPr>
          <w:rFonts w:ascii="Garamond" w:hAnsi="Garamond" w:cs="Times New Roman"/>
          <w:i/>
          <w:iCs/>
          <w:sz w:val="24"/>
          <w:szCs w:val="24"/>
        </w:rPr>
        <w:t>Civill</w:t>
      </w:r>
      <w:proofErr w:type="spellEnd"/>
      <w:r w:rsidRPr="00FB251A">
        <w:rPr>
          <w:rFonts w:ascii="Garamond" w:hAnsi="Garamond" w:cs="Times New Roman"/>
          <w:i/>
          <w:iCs/>
          <w:sz w:val="24"/>
          <w:szCs w:val="24"/>
        </w:rPr>
        <w:t xml:space="preserve"> and </w:t>
      </w:r>
      <w:proofErr w:type="spellStart"/>
      <w:r w:rsidRPr="00FB251A">
        <w:rPr>
          <w:rFonts w:ascii="Garamond" w:hAnsi="Garamond" w:cs="Times New Roman"/>
          <w:i/>
          <w:iCs/>
          <w:sz w:val="24"/>
          <w:szCs w:val="24"/>
        </w:rPr>
        <w:t>Morall</w:t>
      </w:r>
      <w:proofErr w:type="spellEnd"/>
      <w:r w:rsidRPr="00FB251A">
        <w:rPr>
          <w:rFonts w:ascii="Garamond" w:hAnsi="Garamond" w:cs="Times New Roman"/>
          <w:sz w:val="24"/>
          <w:szCs w:val="24"/>
        </w:rPr>
        <w:t xml:space="preserve">.  </w:t>
      </w:r>
      <w:r w:rsidR="001B767E">
        <w:rPr>
          <w:rFonts w:ascii="Garamond" w:hAnsi="Garamond" w:cs="Times New Roman"/>
          <w:sz w:val="24"/>
          <w:szCs w:val="24"/>
        </w:rPr>
        <w:t>W</w:t>
      </w:r>
      <w:r w:rsidRPr="00FB251A">
        <w:rPr>
          <w:rFonts w:ascii="Garamond" w:hAnsi="Garamond" w:cs="Times New Roman"/>
          <w:sz w:val="24"/>
          <w:szCs w:val="24"/>
        </w:rPr>
        <w:t xml:space="preserve">here Bacon repeats the earlier </w:t>
      </w:r>
      <w:r w:rsidR="001B767E">
        <w:rPr>
          <w:rFonts w:ascii="Garamond" w:hAnsi="Garamond" w:cs="Times New Roman"/>
          <w:sz w:val="24"/>
          <w:szCs w:val="24"/>
        </w:rPr>
        <w:t>passage</w:t>
      </w:r>
      <w:r w:rsidRPr="00FB251A">
        <w:rPr>
          <w:rFonts w:ascii="Garamond" w:hAnsi="Garamond" w:cs="Times New Roman"/>
          <w:sz w:val="24"/>
          <w:szCs w:val="24"/>
        </w:rPr>
        <w:t>, he writes that “</w:t>
      </w:r>
      <w:r w:rsidRPr="00FB251A">
        <w:rPr>
          <w:rFonts w:ascii="Garamond" w:hAnsi="Garamond" w:cs="Times New Roman"/>
          <w:i/>
          <w:iCs/>
          <w:sz w:val="24"/>
          <w:szCs w:val="24"/>
        </w:rPr>
        <w:t xml:space="preserve">Lucan </w:t>
      </w:r>
      <w:proofErr w:type="spellStart"/>
      <w:r w:rsidRPr="00FB251A">
        <w:rPr>
          <w:rFonts w:ascii="Garamond" w:hAnsi="Garamond" w:cs="Times New Roman"/>
          <w:sz w:val="24"/>
          <w:szCs w:val="24"/>
        </w:rPr>
        <w:t>noteth</w:t>
      </w:r>
      <w:proofErr w:type="spellEnd"/>
      <w:r w:rsidRPr="00FB251A">
        <w:rPr>
          <w:rFonts w:ascii="Garamond" w:hAnsi="Garamond" w:cs="Times New Roman"/>
          <w:sz w:val="24"/>
          <w:szCs w:val="24"/>
        </w:rPr>
        <w:t xml:space="preserve"> well the state of the </w:t>
      </w:r>
      <w:proofErr w:type="spellStart"/>
      <w:r w:rsidRPr="00FB251A">
        <w:rPr>
          <w:rFonts w:ascii="Garamond" w:hAnsi="Garamond" w:cs="Times New Roman"/>
          <w:sz w:val="24"/>
          <w:szCs w:val="24"/>
        </w:rPr>
        <w:t>tymes</w:t>
      </w:r>
      <w:proofErr w:type="spellEnd"/>
      <w:r w:rsidRPr="00FB251A">
        <w:rPr>
          <w:rFonts w:ascii="Garamond" w:hAnsi="Garamond" w:cs="Times New Roman"/>
          <w:sz w:val="24"/>
          <w:szCs w:val="24"/>
        </w:rPr>
        <w:t xml:space="preserve"> before the </w:t>
      </w:r>
      <w:proofErr w:type="spellStart"/>
      <w:r w:rsidRPr="00FB251A">
        <w:rPr>
          <w:rFonts w:ascii="Garamond" w:hAnsi="Garamond" w:cs="Times New Roman"/>
          <w:sz w:val="24"/>
          <w:szCs w:val="24"/>
        </w:rPr>
        <w:t>civill</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warre</w:t>
      </w:r>
      <w:proofErr w:type="spellEnd"/>
      <w:r w:rsidRPr="00FB251A">
        <w:rPr>
          <w:rFonts w:ascii="Garamond" w:hAnsi="Garamond" w:cs="Times New Roman"/>
          <w:sz w:val="24"/>
          <w:szCs w:val="24"/>
        </w:rPr>
        <w:t xml:space="preserve">: </w:t>
      </w:r>
      <w:r w:rsidRPr="00FB251A">
        <w:rPr>
          <w:rFonts w:ascii="Garamond" w:hAnsi="Garamond" w:cs="Times New Roman"/>
          <w:i/>
          <w:iCs/>
          <w:sz w:val="24"/>
          <w:szCs w:val="24"/>
          <w:lang w:val="la-Latn"/>
        </w:rPr>
        <w:t>Hinc usura vorax, rapidumque in tempore foenus, / Hinc concussa fides, et multis utile bellum.</w:t>
      </w:r>
      <w:r w:rsidRPr="00FB251A">
        <w:rPr>
          <w:rFonts w:ascii="Garamond" w:hAnsi="Garamond" w:cs="Times New Roman"/>
          <w:sz w:val="24"/>
          <w:szCs w:val="24"/>
        </w:rPr>
        <w:t xml:space="preserve">  This same </w:t>
      </w:r>
      <w:r w:rsidRPr="00FB251A">
        <w:rPr>
          <w:rFonts w:ascii="Garamond" w:hAnsi="Garamond" w:cs="Times New Roman"/>
          <w:i/>
          <w:iCs/>
          <w:sz w:val="24"/>
          <w:szCs w:val="24"/>
        </w:rPr>
        <w:t xml:space="preserve">Multis utile bellum </w:t>
      </w:r>
      <w:r w:rsidRPr="00FB251A">
        <w:rPr>
          <w:rFonts w:ascii="Garamond" w:hAnsi="Garamond" w:cs="Times New Roman"/>
          <w:sz w:val="24"/>
          <w:szCs w:val="24"/>
        </w:rPr>
        <w:t xml:space="preserve">is an assured and infallible </w:t>
      </w:r>
      <w:proofErr w:type="spellStart"/>
      <w:r w:rsidRPr="00FB251A">
        <w:rPr>
          <w:rFonts w:ascii="Garamond" w:hAnsi="Garamond" w:cs="Times New Roman"/>
          <w:sz w:val="24"/>
          <w:szCs w:val="24"/>
        </w:rPr>
        <w:t>signe</w:t>
      </w:r>
      <w:proofErr w:type="spellEnd"/>
      <w:r w:rsidRPr="00FB251A">
        <w:rPr>
          <w:rFonts w:ascii="Garamond" w:hAnsi="Garamond" w:cs="Times New Roman"/>
          <w:sz w:val="24"/>
          <w:szCs w:val="24"/>
        </w:rPr>
        <w:t xml:space="preserve"> of a State disposed to troubles and seditions.”</w:t>
      </w:r>
      <w:r w:rsidRPr="00FB251A">
        <w:rPr>
          <w:rStyle w:val="FootnoteReference"/>
          <w:rFonts w:ascii="Garamond" w:hAnsi="Garamond"/>
          <w:sz w:val="24"/>
          <w:szCs w:val="24"/>
        </w:rPr>
        <w:footnoteReference w:id="84"/>
      </w:r>
      <w:r w:rsidRPr="00FB251A">
        <w:rPr>
          <w:rFonts w:ascii="Garamond" w:hAnsi="Garamond" w:cs="Times New Roman"/>
          <w:sz w:val="24"/>
          <w:szCs w:val="24"/>
        </w:rPr>
        <w:t xml:space="preserve">  In </w:t>
      </w:r>
      <w:r w:rsidRPr="00FB251A">
        <w:rPr>
          <w:rFonts w:ascii="Garamond" w:hAnsi="Garamond" w:cs="Times New Roman"/>
          <w:sz w:val="24"/>
          <w:szCs w:val="24"/>
        </w:rPr>
        <w:lastRenderedPageBreak/>
        <w:t>the later essay, Bacon omits his earlier conclusion from his “True Greatness of Britain”: the composition of the population which is good for external expansion (namely that a part of it be desperate and impoverished</w:t>
      </w:r>
      <w:r w:rsidRPr="00FB251A">
        <w:rPr>
          <w:rStyle w:val="FootnoteReference"/>
          <w:rFonts w:ascii="Garamond" w:hAnsi="Garamond"/>
          <w:sz w:val="24"/>
          <w:szCs w:val="24"/>
        </w:rPr>
        <w:footnoteReference w:id="85"/>
      </w:r>
      <w:r w:rsidRPr="00FB251A">
        <w:rPr>
          <w:rFonts w:ascii="Garamond" w:hAnsi="Garamond" w:cs="Times New Roman"/>
          <w:sz w:val="24"/>
          <w:szCs w:val="24"/>
        </w:rPr>
        <w:t>) also makes for conditions ripe for civil war.</w:t>
      </w:r>
      <w:r w:rsidRPr="00FB251A">
        <w:rPr>
          <w:rStyle w:val="FootnoteReference"/>
          <w:rFonts w:ascii="Garamond" w:hAnsi="Garamond"/>
          <w:sz w:val="24"/>
          <w:szCs w:val="24"/>
        </w:rPr>
        <w:footnoteReference w:id="86"/>
      </w:r>
      <w:r w:rsidR="00114703">
        <w:rPr>
          <w:rFonts w:ascii="Garamond" w:hAnsi="Garamond" w:cs="Times New Roman"/>
          <w:sz w:val="24"/>
          <w:szCs w:val="24"/>
        </w:rPr>
        <w:t xml:space="preserve">  In sum, the conditions which make a state ripe for imperial and colonial conquests (above all, surcharge of a warlike and impoverished population), also make for the conditions ripe for internal civil war, particularly if a policy of imperial and colonial expansion is not pursued. </w:t>
      </w:r>
    </w:p>
    <w:p w14:paraId="15F0F9D4" w14:textId="42917FF1"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From this repetition of parts of Bacon’s fragment “Of the True Greatness of the Kingdom of Britain” incorporated into the argument of the essay “Of Seditions and Troubles”, we see that Bacon’s concern with greatness, which is integrally related to his preference for colonies, is importantly concerned with aspects of both internal order (civic peace) and external order (expanding the bounds of empire).  Colonies solve a problem of internal order because they allow for the redistribution of population,</w:t>
      </w:r>
      <w:r w:rsidRPr="00FB251A">
        <w:rPr>
          <w:rStyle w:val="FootnoteReference"/>
          <w:rFonts w:ascii="Garamond" w:hAnsi="Garamond"/>
          <w:sz w:val="24"/>
          <w:szCs w:val="24"/>
        </w:rPr>
        <w:footnoteReference w:id="87"/>
      </w:r>
      <w:r w:rsidRPr="00FB251A">
        <w:rPr>
          <w:rFonts w:ascii="Garamond" w:hAnsi="Garamond" w:cs="Times New Roman"/>
          <w:sz w:val="24"/>
          <w:szCs w:val="24"/>
        </w:rPr>
        <w:t xml:space="preserve"> which Bacon regarded as excessive within England, at the same time that they facilitate the equalization of land tenures, a condition </w:t>
      </w:r>
      <w:r w:rsidR="004C45D8">
        <w:rPr>
          <w:rFonts w:ascii="Garamond" w:hAnsi="Garamond" w:cs="Times New Roman"/>
          <w:sz w:val="24"/>
          <w:szCs w:val="24"/>
        </w:rPr>
        <w:t xml:space="preserve">he </w:t>
      </w:r>
      <w:r w:rsidRPr="00FB251A">
        <w:rPr>
          <w:rFonts w:ascii="Garamond" w:hAnsi="Garamond" w:cs="Times New Roman"/>
          <w:sz w:val="24"/>
          <w:szCs w:val="24"/>
        </w:rPr>
        <w:t xml:space="preserve">regarded as crucial to the formation of a virtuous and martial population.  It is easier to equalize land holdings in the newly founded Virginia Colony than it is in long since founded Surrey or Kent.  </w:t>
      </w:r>
    </w:p>
    <w:p w14:paraId="58AD08EA" w14:textId="77777777"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 lays out three conditions in </w:t>
      </w:r>
      <w:r w:rsidRPr="00FB251A">
        <w:rPr>
          <w:rFonts w:ascii="Garamond" w:hAnsi="Garamond" w:cs="Times New Roman"/>
          <w:i/>
          <w:iCs/>
          <w:sz w:val="24"/>
          <w:szCs w:val="24"/>
        </w:rPr>
        <w:t xml:space="preserve">Of the True Greatness of the Kingdom of Britain </w:t>
      </w:r>
      <w:r w:rsidRPr="00FB251A">
        <w:rPr>
          <w:rFonts w:ascii="Garamond" w:hAnsi="Garamond" w:cs="Times New Roman"/>
          <w:sz w:val="24"/>
          <w:szCs w:val="24"/>
        </w:rPr>
        <w:t xml:space="preserve">in which wealth and riches can be a force multiplier, but all of which are based on a situation in which a population is skilled in warfare and prepared to exercise martial </w:t>
      </w:r>
      <w:proofErr w:type="spellStart"/>
      <w:r w:rsidRPr="00FB251A">
        <w:rPr>
          <w:rFonts w:ascii="Garamond" w:hAnsi="Garamond" w:cs="Times New Roman"/>
          <w:sz w:val="24"/>
          <w:szCs w:val="24"/>
        </w:rPr>
        <w:t>valour</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88"/>
      </w:r>
    </w:p>
    <w:p w14:paraId="013BDD1E" w14:textId="77777777" w:rsidR="00580F87" w:rsidRPr="00FB251A" w:rsidRDefault="00580F87" w:rsidP="00B1678C">
      <w:pPr>
        <w:spacing w:after="0" w:line="480" w:lineRule="auto"/>
        <w:ind w:left="567" w:right="567"/>
        <w:rPr>
          <w:rFonts w:ascii="Garamond" w:hAnsi="Garamond" w:cs="Times New Roman"/>
          <w:sz w:val="24"/>
          <w:szCs w:val="24"/>
        </w:rPr>
      </w:pPr>
      <w:r w:rsidRPr="00FB251A">
        <w:rPr>
          <w:rFonts w:ascii="Garamond" w:hAnsi="Garamond" w:cs="Times New Roman"/>
          <w:sz w:val="24"/>
          <w:szCs w:val="24"/>
        </w:rPr>
        <w:lastRenderedPageBreak/>
        <w:t xml:space="preserve">“Treasure and moneys do then add true greatness and strength to a state, when they are accompanied with these three conditions: </w:t>
      </w:r>
    </w:p>
    <w:p w14:paraId="709E6EC9" w14:textId="77777777" w:rsidR="00580F87" w:rsidRPr="00FB251A" w:rsidRDefault="00580F87" w:rsidP="00B1678C">
      <w:pPr>
        <w:spacing w:after="0" w:line="480" w:lineRule="auto"/>
        <w:ind w:left="567" w:right="567"/>
        <w:rPr>
          <w:rFonts w:ascii="Garamond" w:hAnsi="Garamond" w:cs="Times New Roman"/>
          <w:i/>
          <w:iCs/>
          <w:sz w:val="24"/>
          <w:szCs w:val="24"/>
        </w:rPr>
      </w:pPr>
      <w:r w:rsidRPr="00FB251A">
        <w:rPr>
          <w:rFonts w:ascii="Garamond" w:hAnsi="Garamond" w:cs="Times New Roman"/>
          <w:sz w:val="24"/>
          <w:szCs w:val="24"/>
        </w:rPr>
        <w:t xml:space="preserve">First, (the same condition which hath been annexed to largeness of territory,) that is, </w:t>
      </w:r>
      <w:r w:rsidRPr="00FB251A">
        <w:rPr>
          <w:rFonts w:ascii="Garamond" w:hAnsi="Garamond" w:cs="Times New Roman"/>
          <w:i/>
          <w:iCs/>
          <w:sz w:val="24"/>
          <w:szCs w:val="24"/>
        </w:rPr>
        <w:t xml:space="preserve">that they be joined with martial prowess and </w:t>
      </w:r>
      <w:proofErr w:type="spellStart"/>
      <w:r w:rsidRPr="00FB251A">
        <w:rPr>
          <w:rFonts w:ascii="Garamond" w:hAnsi="Garamond" w:cs="Times New Roman"/>
          <w:i/>
          <w:iCs/>
          <w:sz w:val="24"/>
          <w:szCs w:val="24"/>
        </w:rPr>
        <w:t>valour</w:t>
      </w:r>
      <w:proofErr w:type="spellEnd"/>
      <w:r w:rsidRPr="00FB251A">
        <w:rPr>
          <w:rFonts w:ascii="Garamond" w:hAnsi="Garamond" w:cs="Times New Roman"/>
          <w:i/>
          <w:iCs/>
          <w:sz w:val="24"/>
          <w:szCs w:val="24"/>
        </w:rPr>
        <w:t>.</w:t>
      </w:r>
    </w:p>
    <w:p w14:paraId="090CF947" w14:textId="77777777" w:rsidR="00580F87" w:rsidRPr="00FB251A" w:rsidRDefault="00580F87" w:rsidP="00B1678C">
      <w:pPr>
        <w:spacing w:after="0" w:line="480" w:lineRule="auto"/>
        <w:ind w:left="567" w:right="567"/>
        <w:rPr>
          <w:rFonts w:ascii="Garamond" w:hAnsi="Garamond" w:cs="Times New Roman"/>
          <w:sz w:val="24"/>
          <w:szCs w:val="24"/>
        </w:rPr>
      </w:pPr>
      <w:r w:rsidRPr="00FB251A">
        <w:rPr>
          <w:rFonts w:ascii="Garamond" w:hAnsi="Garamond" w:cs="Times New Roman"/>
          <w:sz w:val="24"/>
          <w:szCs w:val="24"/>
        </w:rPr>
        <w:t xml:space="preserve">Secondly, </w:t>
      </w:r>
      <w:r w:rsidRPr="00FB251A">
        <w:rPr>
          <w:rFonts w:ascii="Garamond" w:hAnsi="Garamond" w:cs="Times New Roman"/>
          <w:i/>
          <w:iCs/>
          <w:sz w:val="24"/>
          <w:szCs w:val="24"/>
        </w:rPr>
        <w:t>That treasure doth then advance greatness, when it is rather in mediocrity than in great abundance.  And again better when some part of the state is poor, than when all parts of it are rich.</w:t>
      </w:r>
    </w:p>
    <w:p w14:paraId="51C3D928" w14:textId="77777777" w:rsidR="00580F87" w:rsidRPr="00FB251A" w:rsidRDefault="00580F87" w:rsidP="00B1678C">
      <w:pPr>
        <w:spacing w:after="0" w:line="480" w:lineRule="auto"/>
        <w:ind w:left="567" w:right="567"/>
        <w:rPr>
          <w:rFonts w:ascii="Garamond" w:hAnsi="Garamond" w:cs="Times New Roman"/>
          <w:sz w:val="24"/>
          <w:szCs w:val="24"/>
        </w:rPr>
      </w:pPr>
      <w:r w:rsidRPr="00FB251A">
        <w:rPr>
          <w:rFonts w:ascii="Garamond" w:hAnsi="Garamond" w:cs="Times New Roman"/>
          <w:sz w:val="24"/>
          <w:szCs w:val="24"/>
        </w:rPr>
        <w:t xml:space="preserve">And lastly, </w:t>
      </w:r>
      <w:proofErr w:type="gramStart"/>
      <w:r w:rsidRPr="00FB251A">
        <w:rPr>
          <w:rFonts w:ascii="Garamond" w:hAnsi="Garamond" w:cs="Times New Roman"/>
          <w:i/>
          <w:iCs/>
          <w:sz w:val="24"/>
          <w:szCs w:val="24"/>
        </w:rPr>
        <w:t>That</w:t>
      </w:r>
      <w:proofErr w:type="gramEnd"/>
      <w:r w:rsidRPr="00FB251A">
        <w:rPr>
          <w:rFonts w:ascii="Garamond" w:hAnsi="Garamond" w:cs="Times New Roman"/>
          <w:i/>
          <w:iCs/>
          <w:sz w:val="24"/>
          <w:szCs w:val="24"/>
        </w:rPr>
        <w:t xml:space="preserve"> treasure in a state is more or less serviceable, as the hands are in which the wealth chiefly </w:t>
      </w:r>
      <w:proofErr w:type="spellStart"/>
      <w:r w:rsidRPr="00FB251A">
        <w:rPr>
          <w:rFonts w:ascii="Garamond" w:hAnsi="Garamond" w:cs="Times New Roman"/>
          <w:i/>
          <w:iCs/>
          <w:sz w:val="24"/>
          <w:szCs w:val="24"/>
        </w:rPr>
        <w:t>resideth</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89"/>
      </w:r>
    </w:p>
    <w:p w14:paraId="616EAE7E" w14:textId="254335A7"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These conditions stand in</w:t>
      </w:r>
      <w:r w:rsidR="004C45D8">
        <w:rPr>
          <w:rFonts w:ascii="Garamond" w:hAnsi="Garamond" w:cs="Times New Roman"/>
          <w:sz w:val="24"/>
          <w:szCs w:val="24"/>
        </w:rPr>
        <w:t xml:space="preserve"> </w:t>
      </w:r>
      <w:r w:rsidRPr="00FB251A">
        <w:rPr>
          <w:rFonts w:ascii="Garamond" w:hAnsi="Garamond" w:cs="Times New Roman"/>
          <w:sz w:val="24"/>
          <w:szCs w:val="24"/>
        </w:rPr>
        <w:t>complicated relation to Bacon’s discussion of the distribution of wealth in “Of Seditions and Troubles.”</w:t>
      </w:r>
      <w:r w:rsidRPr="00FB251A">
        <w:rPr>
          <w:rStyle w:val="FootnoteReference"/>
          <w:rFonts w:ascii="Garamond" w:hAnsi="Garamond"/>
          <w:sz w:val="24"/>
          <w:szCs w:val="24"/>
        </w:rPr>
        <w:footnoteReference w:id="90"/>
      </w:r>
      <w:r w:rsidRPr="00FB251A">
        <w:rPr>
          <w:rFonts w:ascii="Garamond" w:hAnsi="Garamond" w:cs="Times New Roman"/>
          <w:sz w:val="24"/>
          <w:szCs w:val="24"/>
        </w:rPr>
        <w:t xml:space="preserve">  Perhaps</w:t>
      </w:r>
      <w:r w:rsidR="004C45D8">
        <w:rPr>
          <w:rFonts w:ascii="Garamond" w:hAnsi="Garamond" w:cs="Times New Roman"/>
          <w:sz w:val="24"/>
          <w:szCs w:val="24"/>
        </w:rPr>
        <w:t xml:space="preserve"> </w:t>
      </w:r>
      <w:r w:rsidRPr="00FB251A">
        <w:rPr>
          <w:rFonts w:ascii="Garamond" w:hAnsi="Garamond" w:cs="Times New Roman"/>
          <w:sz w:val="24"/>
          <w:szCs w:val="24"/>
        </w:rPr>
        <w:t>an uneven distribution of wealth is superior for fostering external conquest, but may elicit the conditions which foment rebellion.</w:t>
      </w:r>
      <w:r w:rsidR="00114703">
        <w:rPr>
          <w:rFonts w:ascii="Garamond" w:hAnsi="Garamond" w:cs="Times New Roman"/>
          <w:sz w:val="24"/>
          <w:szCs w:val="24"/>
        </w:rPr>
        <w:t xml:space="preserve">  Here, again, Bacon implies that the situation most ripe for a state’s imperial expansion (overpopulation and resource inequality) is also that most apt to lead to internal conflict if that expansion is not pursued.</w:t>
      </w:r>
    </w:p>
    <w:p w14:paraId="6E29053E" w14:textId="017B703D" w:rsidR="00580F87" w:rsidRPr="005D5561" w:rsidRDefault="00D91E8A" w:rsidP="00B1678C">
      <w:pPr>
        <w:pStyle w:val="ListParagraph"/>
        <w:numPr>
          <w:ilvl w:val="0"/>
          <w:numId w:val="1"/>
        </w:numPr>
        <w:spacing w:line="480" w:lineRule="auto"/>
        <w:rPr>
          <w:rFonts w:ascii="Garamond" w:hAnsi="Garamond" w:cs="Times New Roman"/>
          <w:i/>
          <w:sz w:val="24"/>
          <w:szCs w:val="24"/>
        </w:rPr>
      </w:pPr>
      <w:r w:rsidRPr="005D5561">
        <w:rPr>
          <w:rFonts w:ascii="Garamond" w:hAnsi="Garamond" w:cs="Times New Roman"/>
          <w:i/>
          <w:sz w:val="24"/>
          <w:szCs w:val="24"/>
        </w:rPr>
        <w:t>T</w:t>
      </w:r>
      <w:r w:rsidR="00580F87" w:rsidRPr="005D5561">
        <w:rPr>
          <w:rFonts w:ascii="Garamond" w:hAnsi="Garamond" w:cs="Times New Roman"/>
          <w:i/>
          <w:sz w:val="24"/>
          <w:szCs w:val="24"/>
        </w:rPr>
        <w:t>he Irish Plantation</w:t>
      </w:r>
    </w:p>
    <w:p w14:paraId="36BB03D3" w14:textId="11B22E5D" w:rsidR="00580F87" w:rsidRPr="00FB251A" w:rsidRDefault="001B3FC4" w:rsidP="00B1678C">
      <w:pPr>
        <w:spacing w:line="480" w:lineRule="auto"/>
        <w:rPr>
          <w:rFonts w:ascii="Garamond" w:hAnsi="Garamond" w:cs="Times New Roman"/>
          <w:sz w:val="24"/>
          <w:szCs w:val="24"/>
        </w:rPr>
      </w:pPr>
      <w:r w:rsidRPr="005D5561">
        <w:rPr>
          <w:rFonts w:ascii="Garamond" w:hAnsi="Garamond" w:cs="Times New Roman"/>
          <w:sz w:val="24"/>
          <w:szCs w:val="24"/>
        </w:rPr>
        <w:t>I</w:t>
      </w:r>
      <w:r w:rsidR="00580F87" w:rsidRPr="005D5561">
        <w:rPr>
          <w:rFonts w:ascii="Garamond" w:hAnsi="Garamond" w:cs="Times New Roman"/>
          <w:sz w:val="24"/>
          <w:szCs w:val="24"/>
        </w:rPr>
        <w:t>n light of the relation which Bacon posits between external expansion and the prevention of rebellion</w:t>
      </w:r>
      <w:r w:rsidR="003C564F" w:rsidRPr="005D5561">
        <w:rPr>
          <w:rFonts w:ascii="Garamond" w:hAnsi="Garamond" w:cs="Times New Roman"/>
          <w:sz w:val="24"/>
          <w:szCs w:val="24"/>
        </w:rPr>
        <w:t xml:space="preserve"> and civil</w:t>
      </w:r>
      <w:r w:rsidR="003C564F">
        <w:rPr>
          <w:rFonts w:ascii="Garamond" w:hAnsi="Garamond" w:cs="Times New Roman"/>
          <w:sz w:val="24"/>
          <w:szCs w:val="24"/>
        </w:rPr>
        <w:t xml:space="preserve"> war</w:t>
      </w:r>
      <w:r w:rsidR="00580F87" w:rsidRPr="00FB251A">
        <w:rPr>
          <w:rFonts w:ascii="Garamond" w:hAnsi="Garamond" w:cs="Times New Roman"/>
          <w:sz w:val="24"/>
          <w:szCs w:val="24"/>
        </w:rPr>
        <w:t xml:space="preserve">, it is worth taking a closer look at </w:t>
      </w:r>
      <w:r w:rsidR="005F20FE">
        <w:rPr>
          <w:rFonts w:ascii="Garamond" w:hAnsi="Garamond" w:cs="Times New Roman"/>
          <w:sz w:val="24"/>
          <w:szCs w:val="24"/>
        </w:rPr>
        <w:t xml:space="preserve">his </w:t>
      </w:r>
      <w:r w:rsidR="00580F87" w:rsidRPr="00FB251A">
        <w:rPr>
          <w:rFonts w:ascii="Garamond" w:hAnsi="Garamond" w:cs="Times New Roman"/>
          <w:sz w:val="24"/>
          <w:szCs w:val="24"/>
        </w:rPr>
        <w:t>practical proposals for the colonization of Ireland in relation to the colonization of the Americas.</w:t>
      </w:r>
    </w:p>
    <w:p w14:paraId="0BB4258E" w14:textId="09848145"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In keeping with his interest in Ireland, Bacon had assiduous interest in advising the Earl of Essex before his ill-fated 1599 expedition to defeat Tyrone’s Rebellion, with the aim of furthering Essex’s success by a letter of counsel. Bacon frames the “reduction of that whole kingdom” of Ireland as a matter of enacting “God’s providence”, comparing the reduction he wishes for in 1599 to </w:t>
      </w:r>
      <w:r w:rsidR="00900CAB">
        <w:rPr>
          <w:rFonts w:ascii="Garamond" w:hAnsi="Garamond" w:cs="Times New Roman"/>
          <w:sz w:val="24"/>
          <w:szCs w:val="24"/>
        </w:rPr>
        <w:t xml:space="preserve">that </w:t>
      </w:r>
      <w:r w:rsidRPr="00FB251A">
        <w:rPr>
          <w:rFonts w:ascii="Garamond" w:hAnsi="Garamond" w:cs="Times New Roman"/>
          <w:sz w:val="24"/>
          <w:szCs w:val="24"/>
        </w:rPr>
        <w:lastRenderedPageBreak/>
        <w:t>achieved in the 1580s following the suppression of the earlier Desmond Rebellion.</w:t>
      </w:r>
      <w:r w:rsidR="00596B3E">
        <w:rPr>
          <w:rStyle w:val="FootnoteReference"/>
          <w:rFonts w:ascii="Garamond" w:hAnsi="Garamond" w:cs="Times New Roman"/>
          <w:sz w:val="24"/>
          <w:szCs w:val="24"/>
        </w:rPr>
        <w:footnoteReference w:id="91"/>
      </w:r>
      <w:r w:rsidRPr="00FB251A">
        <w:rPr>
          <w:rFonts w:ascii="Garamond" w:hAnsi="Garamond" w:cs="Times New Roman"/>
          <w:sz w:val="24"/>
          <w:szCs w:val="24"/>
        </w:rPr>
        <w:t xml:space="preserve">  Importantly</w:t>
      </w:r>
      <w:r w:rsidR="00900CAB">
        <w:rPr>
          <w:rFonts w:ascii="Garamond" w:hAnsi="Garamond" w:cs="Times New Roman"/>
          <w:sz w:val="24"/>
          <w:szCs w:val="24"/>
        </w:rPr>
        <w:t xml:space="preserve"> </w:t>
      </w:r>
      <w:r w:rsidRPr="00FB251A">
        <w:rPr>
          <w:rFonts w:ascii="Garamond" w:hAnsi="Garamond" w:cs="Times New Roman"/>
          <w:sz w:val="24"/>
          <w:szCs w:val="24"/>
        </w:rPr>
        <w:t xml:space="preserve">for Bacon, such a reduction is only the beginning of what must be done by Essex in Ireland— “the end may be </w:t>
      </w:r>
      <w:proofErr w:type="spellStart"/>
      <w:r w:rsidRPr="00FB251A">
        <w:rPr>
          <w:rFonts w:ascii="Garamond" w:hAnsi="Garamond" w:cs="Times New Roman"/>
          <w:i/>
          <w:iCs/>
          <w:sz w:val="24"/>
          <w:szCs w:val="24"/>
        </w:rPr>
        <w:t>pacique</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imponere</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morem</w:t>
      </w:r>
      <w:proofErr w:type="spellEnd"/>
      <w:r w:rsidRPr="00FB251A">
        <w:rPr>
          <w:rFonts w:ascii="Garamond" w:hAnsi="Garamond" w:cs="Times New Roman"/>
          <w:sz w:val="24"/>
          <w:szCs w:val="24"/>
        </w:rPr>
        <w:t xml:space="preserve">, to replant and </w:t>
      </w:r>
      <w:proofErr w:type="spellStart"/>
      <w:r w:rsidRPr="00FB251A">
        <w:rPr>
          <w:rFonts w:ascii="Garamond" w:hAnsi="Garamond" w:cs="Times New Roman"/>
          <w:sz w:val="24"/>
          <w:szCs w:val="24"/>
        </w:rPr>
        <w:t>refound</w:t>
      </w:r>
      <w:proofErr w:type="spellEnd"/>
      <w:r w:rsidRPr="00FB251A">
        <w:rPr>
          <w:rFonts w:ascii="Garamond" w:hAnsi="Garamond" w:cs="Times New Roman"/>
          <w:sz w:val="24"/>
          <w:szCs w:val="24"/>
        </w:rPr>
        <w:t xml:space="preserve"> the policy of that nation”</w:t>
      </w:r>
      <w:r w:rsidRPr="00FB251A">
        <w:rPr>
          <w:rStyle w:val="FootnoteReference"/>
          <w:rFonts w:ascii="Garamond" w:hAnsi="Garamond"/>
          <w:sz w:val="24"/>
          <w:szCs w:val="24"/>
        </w:rPr>
        <w:footnoteReference w:id="92"/>
      </w:r>
      <w:r w:rsidRPr="00FB251A">
        <w:rPr>
          <w:rFonts w:ascii="Garamond" w:hAnsi="Garamond" w:cs="Times New Roman"/>
          <w:sz w:val="24"/>
          <w:szCs w:val="24"/>
        </w:rPr>
        <w:t xml:space="preserve">—the imposition of peace and morality, with a replanting of Ireland to England’s wishes.  To impose peace and morality when putting down rebellion amounts, in Bacon’s legal definition, to forcing the Earl of Tyrone and his followers to submit to the English crown. </w:t>
      </w:r>
      <w:r w:rsidR="007E13D9">
        <w:rPr>
          <w:rFonts w:ascii="Garamond" w:hAnsi="Garamond" w:cs="Times New Roman"/>
          <w:sz w:val="24"/>
          <w:szCs w:val="24"/>
        </w:rPr>
        <w:t xml:space="preserve"> </w:t>
      </w:r>
      <w:r w:rsidR="00E169D7">
        <w:rPr>
          <w:rFonts w:ascii="Garamond" w:hAnsi="Garamond" w:cs="Times New Roman"/>
          <w:sz w:val="24"/>
          <w:szCs w:val="24"/>
        </w:rPr>
        <w:t>Since</w:t>
      </w:r>
      <w:r w:rsidR="007E13D9">
        <w:rPr>
          <w:rFonts w:ascii="Garamond" w:hAnsi="Garamond" w:cs="Times New Roman"/>
          <w:sz w:val="24"/>
          <w:szCs w:val="24"/>
        </w:rPr>
        <w:t xml:space="preserve"> enforced submission is Bacon’s juridical definition of conquest itself</w:t>
      </w:r>
      <w:r w:rsidR="00E169D7">
        <w:rPr>
          <w:rFonts w:ascii="Garamond" w:hAnsi="Garamond" w:cs="Times New Roman"/>
          <w:sz w:val="24"/>
          <w:szCs w:val="24"/>
        </w:rPr>
        <w:t>,</w:t>
      </w:r>
      <w:r w:rsidR="007E13D9" w:rsidRPr="00FB251A">
        <w:rPr>
          <w:rStyle w:val="FootnoteReference"/>
          <w:rFonts w:ascii="Garamond" w:hAnsi="Garamond"/>
          <w:sz w:val="24"/>
          <w:szCs w:val="24"/>
        </w:rPr>
        <w:footnoteReference w:id="93"/>
      </w:r>
      <w:r w:rsidR="007E13D9">
        <w:rPr>
          <w:rFonts w:ascii="Garamond" w:hAnsi="Garamond" w:cs="Times New Roman"/>
          <w:sz w:val="24"/>
          <w:szCs w:val="24"/>
        </w:rPr>
        <w:t xml:space="preserve"> </w:t>
      </w:r>
      <w:r w:rsidRPr="00FB251A">
        <w:rPr>
          <w:rFonts w:ascii="Garamond" w:hAnsi="Garamond" w:cs="Times New Roman"/>
          <w:sz w:val="24"/>
          <w:szCs w:val="24"/>
        </w:rPr>
        <w:t xml:space="preserve"> Essex’s brief, from Bacon’s perspective, is that of the reconquest of County Tyrone.</w:t>
      </w:r>
      <w:r w:rsidR="00220EDC" w:rsidRPr="00FB251A">
        <w:rPr>
          <w:rStyle w:val="FootnoteReference"/>
          <w:rFonts w:ascii="Garamond" w:hAnsi="Garamond"/>
          <w:sz w:val="24"/>
          <w:szCs w:val="24"/>
        </w:rPr>
        <w:footnoteReference w:id="94"/>
      </w:r>
      <w:r w:rsidR="009D05D5">
        <w:rPr>
          <w:rFonts w:ascii="Garamond" w:hAnsi="Garamond" w:cs="Times New Roman"/>
          <w:sz w:val="24"/>
          <w:szCs w:val="24"/>
        </w:rPr>
        <w:t xml:space="preserve"> </w:t>
      </w:r>
      <w:r w:rsidRPr="00FB251A">
        <w:rPr>
          <w:rFonts w:ascii="Garamond" w:hAnsi="Garamond" w:cs="Times New Roman"/>
          <w:sz w:val="24"/>
          <w:szCs w:val="24"/>
        </w:rPr>
        <w:t xml:space="preserve">In his advice to Essex, Bacon is keen to compare the Irish to Native Americans in terms most </w:t>
      </w:r>
      <w:r w:rsidR="00220EDC" w:rsidRPr="00FB251A">
        <w:rPr>
          <w:rFonts w:ascii="Garamond" w:hAnsi="Garamond" w:cs="Times New Roman"/>
          <w:sz w:val="24"/>
          <w:szCs w:val="24"/>
        </w:rPr>
        <w:t>unfavorable</w:t>
      </w:r>
      <w:r w:rsidRPr="00FB251A">
        <w:rPr>
          <w:rFonts w:ascii="Garamond" w:hAnsi="Garamond" w:cs="Times New Roman"/>
          <w:sz w:val="24"/>
          <w:szCs w:val="24"/>
        </w:rPr>
        <w:t xml:space="preserve"> to the former, urging Essex to engage in “a recovery of them not only to obedience, but to humanity and policy, from more than Indian barbarism.”</w:t>
      </w:r>
      <w:r w:rsidRPr="00FB251A">
        <w:rPr>
          <w:rStyle w:val="FootnoteReference"/>
          <w:rFonts w:ascii="Garamond" w:hAnsi="Garamond"/>
          <w:sz w:val="24"/>
          <w:szCs w:val="24"/>
        </w:rPr>
        <w:footnoteReference w:id="95"/>
      </w:r>
      <w:r w:rsidRPr="00FB251A">
        <w:rPr>
          <w:rFonts w:ascii="Garamond" w:hAnsi="Garamond" w:cs="Times New Roman"/>
          <w:sz w:val="24"/>
          <w:szCs w:val="24"/>
        </w:rPr>
        <w:t xml:space="preserve"> Essex’s expedition and the suppression of Tyrone’s Rebellion is to be a mission of pacification with civilizing intent—one which aims at the imposition of both peace and manners [</w:t>
      </w:r>
      <w:proofErr w:type="spellStart"/>
      <w:r w:rsidRPr="00FB251A">
        <w:rPr>
          <w:rFonts w:ascii="Garamond" w:hAnsi="Garamond" w:cs="Times New Roman"/>
          <w:i/>
          <w:iCs/>
          <w:sz w:val="24"/>
          <w:szCs w:val="24"/>
        </w:rPr>
        <w:t>pacique</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imponere</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morem</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96"/>
      </w:r>
    </w:p>
    <w:p w14:paraId="191168D8" w14:textId="232EBD80" w:rsidR="00580F87" w:rsidRPr="00FB251A" w:rsidRDefault="00580F87" w:rsidP="00B1678C">
      <w:pPr>
        <w:spacing w:line="480" w:lineRule="auto"/>
        <w:rPr>
          <w:rFonts w:ascii="Garamond" w:hAnsi="Garamond" w:cs="Times New Roman"/>
          <w:sz w:val="24"/>
          <w:szCs w:val="24"/>
          <w:lang w:val="en-GB"/>
        </w:rPr>
      </w:pPr>
      <w:r w:rsidRPr="00FB251A">
        <w:rPr>
          <w:rFonts w:ascii="Garamond" w:hAnsi="Garamond" w:cs="Times New Roman"/>
          <w:sz w:val="24"/>
          <w:szCs w:val="24"/>
          <w:lang w:val="en-GB"/>
        </w:rPr>
        <w:t xml:space="preserve">In his discussion of English plantations or colonies in Ireland, particularly in the north of Ireland, </w:t>
      </w:r>
      <w:r w:rsidRPr="00FB251A">
        <w:rPr>
          <w:rFonts w:ascii="Garamond" w:hAnsi="Garamond" w:cs="Times New Roman"/>
          <w:sz w:val="24"/>
          <w:szCs w:val="24"/>
        </w:rPr>
        <w:t>Bacon links the issue of Anglo-Scottish Union to the question of the colonization of Ulster, and of county Tyrone in particular.  In a letter to King James, dated to January 1608/9,</w:t>
      </w:r>
      <w:r w:rsidRPr="00FB251A">
        <w:rPr>
          <w:rStyle w:val="FootnoteReference"/>
          <w:rFonts w:ascii="Garamond" w:hAnsi="Garamond"/>
          <w:sz w:val="24"/>
          <w:szCs w:val="24"/>
        </w:rPr>
        <w:footnoteReference w:id="97"/>
      </w:r>
      <w:r w:rsidRPr="00FB251A">
        <w:rPr>
          <w:rFonts w:ascii="Garamond" w:hAnsi="Garamond" w:cs="Times New Roman"/>
          <w:sz w:val="24"/>
          <w:szCs w:val="24"/>
        </w:rPr>
        <w:t xml:space="preserve"> speaking of plans for a plantation in the northern counties of Ireland, Bacon reckons “this action as a second brother </w:t>
      </w:r>
      <w:r w:rsidRPr="00FB251A">
        <w:rPr>
          <w:rFonts w:ascii="Garamond" w:hAnsi="Garamond" w:cs="Times New Roman"/>
          <w:sz w:val="24"/>
          <w:szCs w:val="24"/>
        </w:rPr>
        <w:lastRenderedPageBreak/>
        <w:t xml:space="preserve">to the Union.  For I assure myself that England, Scotland, and Ireland well united is such a trefoil as no prince except yourself (who are the worthiest) </w:t>
      </w:r>
      <w:proofErr w:type="spellStart"/>
      <w:r w:rsidRPr="00FB251A">
        <w:rPr>
          <w:rFonts w:ascii="Garamond" w:hAnsi="Garamond" w:cs="Times New Roman"/>
          <w:sz w:val="24"/>
          <w:szCs w:val="24"/>
        </w:rPr>
        <w:t>weareth</w:t>
      </w:r>
      <w:proofErr w:type="spellEnd"/>
      <w:r w:rsidRPr="00FB251A">
        <w:rPr>
          <w:rFonts w:ascii="Garamond" w:hAnsi="Garamond" w:cs="Times New Roman"/>
          <w:sz w:val="24"/>
          <w:szCs w:val="24"/>
        </w:rPr>
        <w:t xml:space="preserve"> in his crown”.</w:t>
      </w:r>
      <w:r w:rsidRPr="00FB251A">
        <w:rPr>
          <w:rStyle w:val="FootnoteReference"/>
          <w:rFonts w:ascii="Garamond" w:hAnsi="Garamond"/>
          <w:sz w:val="24"/>
          <w:szCs w:val="24"/>
        </w:rPr>
        <w:footnoteReference w:id="98"/>
      </w:r>
    </w:p>
    <w:p w14:paraId="4B666C23" w14:textId="32975E9A"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Bacon’s 1608/9 </w:t>
      </w:r>
      <w:r w:rsidRPr="00FB251A">
        <w:rPr>
          <w:rFonts w:ascii="Garamond" w:hAnsi="Garamond" w:cs="Times New Roman"/>
          <w:i/>
          <w:iCs/>
          <w:sz w:val="24"/>
          <w:szCs w:val="24"/>
        </w:rPr>
        <w:t>Considerations</w:t>
      </w:r>
      <w:r w:rsidRPr="00FB251A">
        <w:rPr>
          <w:rFonts w:ascii="Garamond" w:hAnsi="Garamond" w:cs="Times New Roman"/>
          <w:sz w:val="24"/>
          <w:szCs w:val="24"/>
        </w:rPr>
        <w:t xml:space="preserve"> give support to the issue of transportation of population,</w:t>
      </w:r>
      <w:r w:rsidRPr="00FB251A">
        <w:rPr>
          <w:rStyle w:val="FootnoteReference"/>
          <w:rFonts w:ascii="Garamond" w:hAnsi="Garamond"/>
          <w:sz w:val="24"/>
          <w:szCs w:val="24"/>
        </w:rPr>
        <w:footnoteReference w:id="99"/>
      </w:r>
      <w:r w:rsidRPr="00FB251A">
        <w:rPr>
          <w:rFonts w:ascii="Garamond" w:hAnsi="Garamond" w:cs="Times New Roman"/>
          <w:sz w:val="24"/>
          <w:szCs w:val="24"/>
        </w:rPr>
        <w:t xml:space="preserve"> which</w:t>
      </w:r>
      <w:r w:rsidR="009D05D5">
        <w:rPr>
          <w:rFonts w:ascii="Garamond" w:hAnsi="Garamond" w:cs="Times New Roman"/>
          <w:sz w:val="24"/>
          <w:szCs w:val="24"/>
        </w:rPr>
        <w:t xml:space="preserve"> </w:t>
      </w:r>
      <w:r w:rsidRPr="00FB251A">
        <w:rPr>
          <w:rFonts w:ascii="Garamond" w:hAnsi="Garamond" w:cs="Times New Roman"/>
          <w:sz w:val="24"/>
          <w:szCs w:val="24"/>
        </w:rPr>
        <w:t xml:space="preserve">is primarily the transportation of English and Scottish gentry into Ireland. Bacon envisages that “the people transported will consist of gentlemen and their servants, and of </w:t>
      </w:r>
      <w:proofErr w:type="spellStart"/>
      <w:r w:rsidRPr="00FB251A">
        <w:rPr>
          <w:rFonts w:ascii="Garamond" w:hAnsi="Garamond" w:cs="Times New Roman"/>
          <w:sz w:val="24"/>
          <w:szCs w:val="24"/>
        </w:rPr>
        <w:t>labourers</w:t>
      </w:r>
      <w:proofErr w:type="spellEnd"/>
      <w:r w:rsidRPr="00FB251A">
        <w:rPr>
          <w:rFonts w:ascii="Garamond" w:hAnsi="Garamond" w:cs="Times New Roman"/>
          <w:sz w:val="24"/>
          <w:szCs w:val="24"/>
        </w:rPr>
        <w:t xml:space="preserve"> and hinds, and not of yeomen of any wealth”.</w:t>
      </w:r>
      <w:r w:rsidRPr="00FB251A">
        <w:rPr>
          <w:rStyle w:val="FootnoteReference"/>
          <w:rFonts w:ascii="Garamond" w:hAnsi="Garamond"/>
          <w:sz w:val="24"/>
          <w:szCs w:val="24"/>
        </w:rPr>
        <w:footnoteReference w:id="100"/>
      </w:r>
      <w:r w:rsidRPr="00FB251A">
        <w:rPr>
          <w:rFonts w:ascii="Garamond" w:hAnsi="Garamond" w:cs="Times New Roman"/>
          <w:sz w:val="24"/>
          <w:szCs w:val="24"/>
        </w:rPr>
        <w:t xml:space="preserve"> </w:t>
      </w:r>
      <w:r w:rsidR="009D05D5">
        <w:rPr>
          <w:rFonts w:ascii="Garamond" w:hAnsi="Garamond" w:cs="Times New Roman"/>
          <w:sz w:val="24"/>
          <w:szCs w:val="24"/>
        </w:rPr>
        <w:t>He</w:t>
      </w:r>
      <w:r w:rsidRPr="00FB251A">
        <w:rPr>
          <w:rFonts w:ascii="Garamond" w:hAnsi="Garamond" w:cs="Times New Roman"/>
          <w:sz w:val="24"/>
          <w:szCs w:val="24"/>
        </w:rPr>
        <w:t xml:space="preserve"> wishes for yeoman to remain rather in England and Scotland and for </w:t>
      </w:r>
      <w:proofErr w:type="spellStart"/>
      <w:r w:rsidRPr="00FB251A">
        <w:rPr>
          <w:rFonts w:ascii="Garamond" w:hAnsi="Garamond" w:cs="Times New Roman"/>
          <w:sz w:val="24"/>
          <w:szCs w:val="24"/>
        </w:rPr>
        <w:t>craftspersons</w:t>
      </w:r>
      <w:proofErr w:type="spellEnd"/>
      <w:r w:rsidRPr="00FB251A">
        <w:rPr>
          <w:rFonts w:ascii="Garamond" w:hAnsi="Garamond" w:cs="Times New Roman"/>
          <w:sz w:val="24"/>
          <w:szCs w:val="24"/>
        </w:rPr>
        <w:t xml:space="preserve"> to be transported for American colonization.</w:t>
      </w:r>
      <w:r w:rsidRPr="00FB251A">
        <w:rPr>
          <w:rStyle w:val="FootnoteReference"/>
          <w:rFonts w:ascii="Garamond" w:hAnsi="Garamond"/>
          <w:sz w:val="24"/>
          <w:szCs w:val="24"/>
        </w:rPr>
        <w:footnoteReference w:id="101"/>
      </w:r>
      <w:r w:rsidRPr="00FB251A">
        <w:rPr>
          <w:rFonts w:ascii="Garamond" w:hAnsi="Garamond" w:cs="Times New Roman"/>
          <w:sz w:val="24"/>
          <w:szCs w:val="24"/>
        </w:rPr>
        <w:t xml:space="preserve">  It is above all in the question of the “quality” of persons</w:t>
      </w:r>
      <w:r w:rsidRPr="00FB251A">
        <w:rPr>
          <w:rStyle w:val="FootnoteReference"/>
          <w:rFonts w:ascii="Garamond" w:hAnsi="Garamond"/>
          <w:sz w:val="24"/>
          <w:szCs w:val="24"/>
        </w:rPr>
        <w:footnoteReference w:id="102"/>
      </w:r>
      <w:r w:rsidRPr="00FB251A">
        <w:rPr>
          <w:rFonts w:ascii="Garamond" w:hAnsi="Garamond" w:cs="Times New Roman"/>
          <w:sz w:val="24"/>
          <w:szCs w:val="24"/>
        </w:rPr>
        <w:t xml:space="preserve"> who are to be planted in Ulster that Bacon differentiates the “plantation” of Ulster from the “plantation” in Virginia.</w:t>
      </w:r>
      <w:r w:rsidR="00696B9B">
        <w:rPr>
          <w:rFonts w:ascii="Garamond" w:hAnsi="Garamond" w:cs="Times New Roman"/>
          <w:sz w:val="24"/>
          <w:szCs w:val="24"/>
        </w:rPr>
        <w:t xml:space="preserve"> </w:t>
      </w:r>
      <w:r w:rsidRPr="00FB251A">
        <w:rPr>
          <w:rFonts w:ascii="Garamond" w:hAnsi="Garamond" w:cs="Times New Roman"/>
          <w:sz w:val="24"/>
          <w:szCs w:val="24"/>
        </w:rPr>
        <w:t>However, Bacon’s differentiation of the type of persons who are</w:t>
      </w:r>
      <w:r w:rsidR="00696B9B">
        <w:rPr>
          <w:rFonts w:ascii="Garamond" w:hAnsi="Garamond" w:cs="Times New Roman"/>
          <w:sz w:val="24"/>
          <w:szCs w:val="24"/>
        </w:rPr>
        <w:t xml:space="preserve"> </w:t>
      </w:r>
      <w:r w:rsidRPr="00FB251A">
        <w:rPr>
          <w:rFonts w:ascii="Garamond" w:hAnsi="Garamond" w:cs="Times New Roman"/>
          <w:sz w:val="24"/>
          <w:szCs w:val="24"/>
        </w:rPr>
        <w:t xml:space="preserve">most fit to colonize America and Ireland respectively, belies an underlying similarity of Bacon’s approach to plantations generally: </w:t>
      </w:r>
      <w:r w:rsidR="00696B9B">
        <w:rPr>
          <w:rFonts w:ascii="Garamond" w:hAnsi="Garamond" w:cs="Times New Roman"/>
          <w:sz w:val="24"/>
          <w:szCs w:val="24"/>
        </w:rPr>
        <w:t>he</w:t>
      </w:r>
      <w:r w:rsidRPr="00FB251A">
        <w:rPr>
          <w:rFonts w:ascii="Garamond" w:hAnsi="Garamond" w:cs="Times New Roman"/>
          <w:sz w:val="24"/>
          <w:szCs w:val="24"/>
        </w:rPr>
        <w:t xml:space="preserve"> regards Ireland, like America, as a place in which “your Majesty shall build </w:t>
      </w:r>
      <w:r w:rsidRPr="00FB251A">
        <w:rPr>
          <w:rFonts w:ascii="Garamond" w:hAnsi="Garamond" w:cs="Times New Roman"/>
          <w:i/>
          <w:iCs/>
          <w:sz w:val="24"/>
          <w:szCs w:val="24"/>
        </w:rPr>
        <w:t xml:space="preserve">in solo puro et in area </w:t>
      </w:r>
      <w:proofErr w:type="spellStart"/>
      <w:r w:rsidRPr="00FB251A">
        <w:rPr>
          <w:rFonts w:ascii="Garamond" w:hAnsi="Garamond" w:cs="Times New Roman"/>
          <w:i/>
          <w:iCs/>
          <w:sz w:val="24"/>
          <w:szCs w:val="24"/>
        </w:rPr>
        <w:t>pura</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103"/>
      </w:r>
      <w:r w:rsidRPr="00FB251A">
        <w:rPr>
          <w:rFonts w:ascii="Garamond" w:hAnsi="Garamond" w:cs="Times New Roman"/>
          <w:sz w:val="24"/>
          <w:szCs w:val="24"/>
        </w:rPr>
        <w:t>—</w:t>
      </w:r>
      <w:r w:rsidR="00696B9B">
        <w:rPr>
          <w:rFonts w:ascii="Garamond" w:hAnsi="Garamond" w:cs="Times New Roman"/>
          <w:sz w:val="24"/>
          <w:szCs w:val="24"/>
        </w:rPr>
        <w:t xml:space="preserve"> </w:t>
      </w:r>
      <w:r w:rsidRPr="00FB251A">
        <w:rPr>
          <w:rFonts w:ascii="Garamond" w:hAnsi="Garamond" w:cs="Times New Roman"/>
          <w:sz w:val="24"/>
          <w:szCs w:val="24"/>
        </w:rPr>
        <w:t>a place of “pure” soil and locale, which is to say, as, in effect, an empty place.  Both Ulster and America</w:t>
      </w:r>
      <w:r w:rsidR="00696B9B">
        <w:rPr>
          <w:rFonts w:ascii="Garamond" w:hAnsi="Garamond" w:cs="Times New Roman"/>
          <w:sz w:val="24"/>
          <w:szCs w:val="24"/>
        </w:rPr>
        <w:t xml:space="preserve"> </w:t>
      </w:r>
      <w:r w:rsidRPr="00FB251A">
        <w:rPr>
          <w:rFonts w:ascii="Garamond" w:hAnsi="Garamond" w:cs="Times New Roman"/>
          <w:sz w:val="24"/>
          <w:szCs w:val="24"/>
        </w:rPr>
        <w:t xml:space="preserve">are places to build </w:t>
      </w:r>
      <w:r w:rsidRPr="00FB251A">
        <w:rPr>
          <w:rFonts w:ascii="Garamond" w:hAnsi="Garamond" w:cs="Times New Roman"/>
          <w:i/>
          <w:iCs/>
          <w:sz w:val="24"/>
          <w:szCs w:val="24"/>
        </w:rPr>
        <w:t>in solo puro</w:t>
      </w:r>
      <w:r w:rsidRPr="00FB251A">
        <w:rPr>
          <w:rFonts w:ascii="Garamond" w:hAnsi="Garamond" w:cs="Times New Roman"/>
          <w:sz w:val="24"/>
          <w:szCs w:val="24"/>
        </w:rPr>
        <w:t xml:space="preserve"> and may thus bear resemblance to the legal notion of </w:t>
      </w:r>
      <w:r w:rsidRPr="00FB251A">
        <w:rPr>
          <w:rFonts w:ascii="Garamond" w:hAnsi="Garamond" w:cs="Times New Roman"/>
          <w:i/>
          <w:iCs/>
          <w:sz w:val="24"/>
          <w:szCs w:val="24"/>
        </w:rPr>
        <w:t>res nullius</w:t>
      </w:r>
      <w:r w:rsidRPr="00FB251A">
        <w:rPr>
          <w:rFonts w:ascii="Garamond" w:hAnsi="Garamond" w:cs="Times New Roman"/>
          <w:sz w:val="24"/>
          <w:szCs w:val="24"/>
        </w:rPr>
        <w:t>—no man’s lands and empty spaces, but, importantly, for Bacon, Ulster is to be considered as emptier than America.</w:t>
      </w:r>
      <w:r w:rsidRPr="00FB251A">
        <w:rPr>
          <w:rStyle w:val="FootnoteReference"/>
          <w:rFonts w:ascii="Garamond" w:hAnsi="Garamond"/>
          <w:sz w:val="24"/>
          <w:szCs w:val="24"/>
        </w:rPr>
        <w:footnoteReference w:id="104"/>
      </w:r>
      <w:r w:rsidRPr="00FB251A">
        <w:rPr>
          <w:rFonts w:ascii="Garamond" w:hAnsi="Garamond" w:cs="Times New Roman"/>
          <w:sz w:val="24"/>
          <w:szCs w:val="24"/>
        </w:rPr>
        <w:t xml:space="preserve">  Only in “Of Plantations” in the 1625 edition of Bacon’s </w:t>
      </w:r>
      <w:proofErr w:type="spellStart"/>
      <w:r w:rsidRPr="00FB251A">
        <w:rPr>
          <w:rFonts w:ascii="Garamond" w:hAnsi="Garamond" w:cs="Times New Roman"/>
          <w:i/>
          <w:iCs/>
          <w:sz w:val="24"/>
          <w:szCs w:val="24"/>
        </w:rPr>
        <w:t>Essayes</w:t>
      </w:r>
      <w:proofErr w:type="spellEnd"/>
      <w:r w:rsidRPr="00FB251A">
        <w:rPr>
          <w:rFonts w:ascii="Garamond" w:hAnsi="Garamond" w:cs="Times New Roman"/>
          <w:sz w:val="24"/>
          <w:szCs w:val="24"/>
        </w:rPr>
        <w:t>, which is concerned above all with the Virginia colony, does Bacon write against the extirpation of the native population.</w:t>
      </w:r>
      <w:r w:rsidRPr="00FB251A">
        <w:rPr>
          <w:rStyle w:val="FootnoteReference"/>
          <w:rFonts w:ascii="Garamond" w:hAnsi="Garamond"/>
          <w:sz w:val="24"/>
          <w:szCs w:val="24"/>
        </w:rPr>
        <w:footnoteReference w:id="105"/>
      </w:r>
      <w:r w:rsidRPr="00FB251A">
        <w:rPr>
          <w:rFonts w:ascii="Garamond" w:hAnsi="Garamond" w:cs="Times New Roman"/>
          <w:sz w:val="24"/>
          <w:szCs w:val="24"/>
        </w:rPr>
        <w:t xml:space="preserve">  </w:t>
      </w:r>
      <w:r w:rsidRPr="00FB251A">
        <w:rPr>
          <w:rFonts w:ascii="Garamond" w:hAnsi="Garamond" w:cs="Times New Roman"/>
          <w:i/>
          <w:iCs/>
          <w:sz w:val="24"/>
          <w:szCs w:val="24"/>
        </w:rPr>
        <w:t xml:space="preserve">Certain Considerations </w:t>
      </w:r>
      <w:r w:rsidRPr="00FB251A">
        <w:rPr>
          <w:rFonts w:ascii="Garamond" w:hAnsi="Garamond" w:cs="Times New Roman"/>
          <w:i/>
          <w:iCs/>
          <w:sz w:val="24"/>
          <w:szCs w:val="24"/>
        </w:rPr>
        <w:lastRenderedPageBreak/>
        <w:t>Touching the Plantation in Ireland</w:t>
      </w:r>
      <w:r w:rsidR="005074F3">
        <w:rPr>
          <w:rFonts w:ascii="Garamond" w:hAnsi="Garamond" w:cs="Times New Roman"/>
          <w:sz w:val="24"/>
          <w:szCs w:val="24"/>
        </w:rPr>
        <w:t>,</w:t>
      </w:r>
      <w:r w:rsidR="005074F3" w:rsidRPr="005074F3">
        <w:rPr>
          <w:rFonts w:ascii="Garamond" w:hAnsi="Garamond" w:cs="Times New Roman"/>
          <w:sz w:val="24"/>
          <w:szCs w:val="24"/>
        </w:rPr>
        <w:t xml:space="preserve"> </w:t>
      </w:r>
      <w:r w:rsidR="005074F3" w:rsidRPr="00FB251A">
        <w:rPr>
          <w:rFonts w:ascii="Garamond" w:hAnsi="Garamond" w:cs="Times New Roman"/>
          <w:sz w:val="24"/>
          <w:szCs w:val="24"/>
        </w:rPr>
        <w:t>addressed to Sir Robert Cecil</w:t>
      </w:r>
      <w:r w:rsidR="005074F3">
        <w:rPr>
          <w:rFonts w:ascii="Garamond" w:hAnsi="Garamond" w:cs="Times New Roman"/>
          <w:sz w:val="24"/>
          <w:szCs w:val="24"/>
        </w:rPr>
        <w:t>,</w:t>
      </w:r>
      <w:r w:rsidRPr="00FB251A">
        <w:rPr>
          <w:rFonts w:ascii="Garamond" w:hAnsi="Garamond" w:cs="Times New Roman"/>
          <w:sz w:val="24"/>
          <w:szCs w:val="24"/>
        </w:rPr>
        <w:t xml:space="preserve"> has no corresponding caveat against extirpating and removing the Irish from Ireland or from their homes and property there.</w:t>
      </w:r>
      <w:r w:rsidRPr="00FB251A">
        <w:rPr>
          <w:rStyle w:val="FootnoteReference"/>
          <w:rFonts w:ascii="Garamond" w:hAnsi="Garamond"/>
          <w:sz w:val="24"/>
          <w:szCs w:val="24"/>
        </w:rPr>
        <w:footnoteReference w:id="106"/>
      </w:r>
      <w:r w:rsidRPr="00FB251A">
        <w:rPr>
          <w:rFonts w:ascii="Garamond" w:hAnsi="Garamond" w:cs="Times New Roman"/>
          <w:sz w:val="24"/>
          <w:szCs w:val="24"/>
        </w:rPr>
        <w:t xml:space="preserve">  Indeed, Bacon’s depiction of the Irish </w:t>
      </w:r>
      <w:r w:rsidR="00696B9B">
        <w:rPr>
          <w:rFonts w:ascii="Garamond" w:hAnsi="Garamond" w:cs="Times New Roman"/>
          <w:sz w:val="24"/>
          <w:szCs w:val="24"/>
        </w:rPr>
        <w:t xml:space="preserve">there </w:t>
      </w:r>
      <w:r w:rsidRPr="00FB251A">
        <w:rPr>
          <w:rFonts w:ascii="Garamond" w:hAnsi="Garamond" w:cs="Times New Roman"/>
          <w:sz w:val="24"/>
          <w:szCs w:val="24"/>
        </w:rPr>
        <w:t xml:space="preserve">is in certain respects much harsher than his portrayal of Native Americans.  Comparing the “Harp of Ireland” to the Harp of Orpheus in a passage of the </w:t>
      </w:r>
      <w:r w:rsidRPr="00FB251A">
        <w:rPr>
          <w:rFonts w:ascii="Garamond" w:hAnsi="Garamond" w:cs="Times New Roman"/>
          <w:i/>
          <w:iCs/>
          <w:sz w:val="24"/>
          <w:szCs w:val="24"/>
        </w:rPr>
        <w:t xml:space="preserve">Considerations </w:t>
      </w:r>
      <w:r w:rsidRPr="00FB251A">
        <w:rPr>
          <w:rFonts w:ascii="Garamond" w:hAnsi="Garamond" w:cs="Times New Roman"/>
          <w:sz w:val="24"/>
          <w:szCs w:val="24"/>
        </w:rPr>
        <w:t xml:space="preserve">which will recur in Bacon’s 1609 </w:t>
      </w:r>
      <w:r w:rsidRPr="00FB251A">
        <w:rPr>
          <w:rFonts w:ascii="Garamond" w:hAnsi="Garamond" w:cs="Times New Roman"/>
          <w:i/>
          <w:iCs/>
          <w:sz w:val="24"/>
          <w:szCs w:val="24"/>
        </w:rPr>
        <w:t xml:space="preserve">De </w:t>
      </w:r>
      <w:proofErr w:type="spellStart"/>
      <w:r w:rsidRPr="00FB251A">
        <w:rPr>
          <w:rFonts w:ascii="Garamond" w:hAnsi="Garamond" w:cs="Times New Roman"/>
          <w:i/>
          <w:iCs/>
          <w:sz w:val="24"/>
          <w:szCs w:val="24"/>
        </w:rPr>
        <w:t>Sapientia</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Veterum</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107"/>
      </w:r>
      <w:r w:rsidRPr="00FB251A">
        <w:rPr>
          <w:rFonts w:ascii="Garamond" w:hAnsi="Garamond" w:cs="Times New Roman"/>
          <w:sz w:val="24"/>
          <w:szCs w:val="24"/>
        </w:rPr>
        <w:t xml:space="preserve"> Bacon notes that the Orpheus fable “was anciently interpreted of the reducing and plantation of kingdoms; when people of barbarous manners are brought to give over and discontinue their customs of revenge and blood and of dissolute life and of theft and rapine, and to give ear to the wisdom of laws and governments”.</w:t>
      </w:r>
      <w:r w:rsidRPr="00FB251A">
        <w:rPr>
          <w:rStyle w:val="FootnoteReference"/>
          <w:rFonts w:ascii="Garamond" w:hAnsi="Garamond"/>
          <w:sz w:val="24"/>
          <w:szCs w:val="24"/>
        </w:rPr>
        <w:footnoteReference w:id="108"/>
      </w:r>
      <w:r w:rsidRPr="00FB251A">
        <w:rPr>
          <w:rFonts w:ascii="Garamond" w:hAnsi="Garamond" w:cs="Times New Roman"/>
          <w:sz w:val="24"/>
          <w:szCs w:val="24"/>
        </w:rPr>
        <w:t xml:space="preserve">  Of America, Bacon warns against extirpating native populations; of Ireland, </w:t>
      </w:r>
      <w:r w:rsidR="00696B9B">
        <w:rPr>
          <w:rFonts w:ascii="Garamond" w:hAnsi="Garamond" w:cs="Times New Roman"/>
          <w:sz w:val="24"/>
          <w:szCs w:val="24"/>
        </w:rPr>
        <w:t xml:space="preserve">he </w:t>
      </w:r>
      <w:r w:rsidRPr="00FB251A">
        <w:rPr>
          <w:rFonts w:ascii="Garamond" w:hAnsi="Garamond" w:cs="Times New Roman"/>
          <w:sz w:val="24"/>
          <w:szCs w:val="24"/>
        </w:rPr>
        <w:t>speaks of “reducing” the native populations of “people of barbarous manners”.</w:t>
      </w:r>
      <w:r w:rsidRPr="00FB251A">
        <w:rPr>
          <w:rStyle w:val="FootnoteReference"/>
          <w:rFonts w:ascii="Garamond" w:hAnsi="Garamond"/>
          <w:sz w:val="24"/>
          <w:szCs w:val="24"/>
        </w:rPr>
        <w:footnoteReference w:id="109"/>
      </w:r>
    </w:p>
    <w:p w14:paraId="334F5F32" w14:textId="4F10628A"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European engagement with Native Americans, in Bacon’s understanding, is a matter of the </w:t>
      </w:r>
      <w:proofErr w:type="spellStart"/>
      <w:r w:rsidRPr="00FB251A">
        <w:rPr>
          <w:rFonts w:ascii="Garamond" w:hAnsi="Garamond" w:cs="Times New Roman"/>
          <w:i/>
          <w:iCs/>
          <w:sz w:val="24"/>
          <w:szCs w:val="24"/>
        </w:rPr>
        <w:t>ius</w:t>
      </w:r>
      <w:proofErr w:type="spellEnd"/>
      <w:r w:rsidRPr="00FB251A">
        <w:rPr>
          <w:rFonts w:ascii="Garamond" w:hAnsi="Garamond" w:cs="Times New Roman"/>
          <w:i/>
          <w:iCs/>
          <w:sz w:val="24"/>
          <w:szCs w:val="24"/>
        </w:rPr>
        <w:t xml:space="preserve"> gentium</w:t>
      </w:r>
      <w:r w:rsidRPr="00FB251A">
        <w:rPr>
          <w:rFonts w:ascii="Garamond" w:hAnsi="Garamond" w:cs="Times New Roman"/>
          <w:sz w:val="24"/>
          <w:szCs w:val="24"/>
        </w:rPr>
        <w:t xml:space="preserve">, the law of nations or the law of peoples, and requires treating Native Americans with the dignity and </w:t>
      </w:r>
      <w:proofErr w:type="spellStart"/>
      <w:r w:rsidRPr="00FB251A">
        <w:rPr>
          <w:rFonts w:ascii="Garamond" w:hAnsi="Garamond" w:cs="Times New Roman"/>
          <w:sz w:val="24"/>
          <w:szCs w:val="24"/>
        </w:rPr>
        <w:t>honour</w:t>
      </w:r>
      <w:proofErr w:type="spellEnd"/>
      <w:r w:rsidRPr="00FB251A">
        <w:rPr>
          <w:rFonts w:ascii="Garamond" w:hAnsi="Garamond" w:cs="Times New Roman"/>
          <w:sz w:val="24"/>
          <w:szCs w:val="24"/>
        </w:rPr>
        <w:t xml:space="preserve"> appropriate to a people that is a subject with </w:t>
      </w:r>
      <w:bookmarkStart w:id="4" w:name="_GoBack"/>
      <w:r w:rsidRPr="00FB251A">
        <w:rPr>
          <w:rFonts w:ascii="Garamond" w:hAnsi="Garamond" w:cs="Times New Roman"/>
          <w:sz w:val="24"/>
          <w:szCs w:val="24"/>
        </w:rPr>
        <w:t xml:space="preserve">respect to the law of nations.  By contrast, in Bacon’s view, English policy in Ireland is </w:t>
      </w:r>
      <w:r w:rsidRPr="00FB251A">
        <w:rPr>
          <w:rFonts w:ascii="Garamond" w:hAnsi="Garamond" w:cs="Times New Roman"/>
          <w:i/>
          <w:iCs/>
          <w:sz w:val="24"/>
          <w:szCs w:val="24"/>
        </w:rPr>
        <w:t xml:space="preserve">not </w:t>
      </w:r>
      <w:r w:rsidRPr="00FB251A">
        <w:rPr>
          <w:rFonts w:ascii="Garamond" w:hAnsi="Garamond" w:cs="Times New Roman"/>
          <w:sz w:val="24"/>
          <w:szCs w:val="24"/>
        </w:rPr>
        <w:t xml:space="preserve">a matter of the </w:t>
      </w:r>
      <w:proofErr w:type="spellStart"/>
      <w:r w:rsidRPr="00FB251A">
        <w:rPr>
          <w:rFonts w:ascii="Garamond" w:hAnsi="Garamond" w:cs="Times New Roman"/>
          <w:i/>
          <w:iCs/>
          <w:sz w:val="24"/>
          <w:szCs w:val="24"/>
        </w:rPr>
        <w:t>ius</w:t>
      </w:r>
      <w:proofErr w:type="spellEnd"/>
      <w:r w:rsidRPr="00FB251A">
        <w:rPr>
          <w:rFonts w:ascii="Garamond" w:hAnsi="Garamond" w:cs="Times New Roman"/>
          <w:i/>
          <w:iCs/>
          <w:sz w:val="24"/>
          <w:szCs w:val="24"/>
        </w:rPr>
        <w:t xml:space="preserve"> gentium</w:t>
      </w:r>
      <w:r w:rsidRPr="00FB251A">
        <w:rPr>
          <w:rFonts w:ascii="Garamond" w:hAnsi="Garamond" w:cs="Times New Roman"/>
          <w:sz w:val="24"/>
          <w:szCs w:val="24"/>
        </w:rPr>
        <w:t xml:space="preserve">, </w:t>
      </w:r>
      <w:r w:rsidR="00B2775E">
        <w:rPr>
          <w:rFonts w:ascii="Garamond" w:hAnsi="Garamond" w:cs="Times New Roman"/>
          <w:sz w:val="24"/>
          <w:szCs w:val="24"/>
        </w:rPr>
        <w:t>but rather</w:t>
      </w:r>
      <w:r w:rsidRPr="00FB251A">
        <w:rPr>
          <w:rFonts w:ascii="Garamond" w:hAnsi="Garamond" w:cs="Times New Roman"/>
          <w:sz w:val="24"/>
          <w:szCs w:val="24"/>
        </w:rPr>
        <w:t xml:space="preserve"> a matter of internal administration and the suppression of rebellion, “a recovery of subjects”</w:t>
      </w:r>
      <w:r w:rsidRPr="00FB251A">
        <w:rPr>
          <w:rStyle w:val="FootnoteReference"/>
          <w:rFonts w:ascii="Garamond" w:hAnsi="Garamond"/>
          <w:sz w:val="24"/>
          <w:szCs w:val="24"/>
        </w:rPr>
        <w:footnoteReference w:id="110"/>
      </w:r>
      <w:r w:rsidRPr="00FB251A">
        <w:rPr>
          <w:rFonts w:ascii="Garamond" w:hAnsi="Garamond" w:cs="Times New Roman"/>
          <w:sz w:val="24"/>
          <w:szCs w:val="24"/>
        </w:rPr>
        <w:t xml:space="preserve"> and a restitution of order in a territory which Bacon understood to be the property of the holder </w:t>
      </w:r>
      <w:bookmarkEnd w:id="4"/>
      <w:r w:rsidRPr="00FB251A">
        <w:rPr>
          <w:rFonts w:ascii="Garamond" w:hAnsi="Garamond" w:cs="Times New Roman"/>
          <w:sz w:val="24"/>
          <w:szCs w:val="24"/>
        </w:rPr>
        <w:t>of the English crown.  While Bacon mention</w:t>
      </w:r>
      <w:r w:rsidR="00DD55A3">
        <w:rPr>
          <w:rFonts w:ascii="Garamond" w:hAnsi="Garamond" w:cs="Times New Roman"/>
          <w:sz w:val="24"/>
          <w:szCs w:val="24"/>
        </w:rPr>
        <w:t>s</w:t>
      </w:r>
      <w:r w:rsidRPr="00FB251A">
        <w:rPr>
          <w:rFonts w:ascii="Garamond" w:hAnsi="Garamond" w:cs="Times New Roman"/>
          <w:sz w:val="24"/>
          <w:szCs w:val="24"/>
        </w:rPr>
        <w:t xml:space="preserve"> the </w:t>
      </w:r>
      <w:proofErr w:type="spellStart"/>
      <w:r w:rsidRPr="00FB251A">
        <w:rPr>
          <w:rFonts w:ascii="Garamond" w:hAnsi="Garamond" w:cs="Times New Roman"/>
          <w:i/>
          <w:sz w:val="24"/>
          <w:szCs w:val="24"/>
        </w:rPr>
        <w:t>ius</w:t>
      </w:r>
      <w:proofErr w:type="spellEnd"/>
      <w:r w:rsidRPr="00FB251A">
        <w:rPr>
          <w:rFonts w:ascii="Garamond" w:hAnsi="Garamond" w:cs="Times New Roman"/>
          <w:i/>
          <w:sz w:val="24"/>
          <w:szCs w:val="24"/>
        </w:rPr>
        <w:t xml:space="preserve"> gentium</w:t>
      </w:r>
      <w:r w:rsidRPr="00FB251A">
        <w:rPr>
          <w:rFonts w:ascii="Garamond" w:hAnsi="Garamond" w:cs="Times New Roman"/>
          <w:sz w:val="24"/>
          <w:szCs w:val="24"/>
        </w:rPr>
        <w:t xml:space="preserve"> in his </w:t>
      </w:r>
      <w:r w:rsidRPr="00FB251A">
        <w:rPr>
          <w:rFonts w:ascii="Garamond" w:hAnsi="Garamond" w:cs="Times New Roman"/>
          <w:i/>
          <w:sz w:val="24"/>
          <w:szCs w:val="24"/>
        </w:rPr>
        <w:t>Considerations touching the Queen’s service in Ireland</w:t>
      </w:r>
      <w:r w:rsidRPr="00FB251A">
        <w:rPr>
          <w:rFonts w:ascii="Garamond" w:hAnsi="Garamond" w:cs="Times New Roman"/>
          <w:sz w:val="24"/>
          <w:szCs w:val="24"/>
        </w:rPr>
        <w:t xml:space="preserve">, he does so only to say that “proscriptions” or trial-less executions of “two or three of the principal rebels” would be “no doubt </w:t>
      </w:r>
      <w:r w:rsidRPr="00FB251A">
        <w:rPr>
          <w:rFonts w:ascii="Garamond" w:hAnsi="Garamond" w:cs="Times New Roman"/>
          <w:i/>
          <w:sz w:val="24"/>
          <w:szCs w:val="24"/>
        </w:rPr>
        <w:t>jure gentium</w:t>
      </w:r>
      <w:r w:rsidRPr="00FB251A">
        <w:rPr>
          <w:rFonts w:ascii="Garamond" w:hAnsi="Garamond" w:cs="Times New Roman"/>
          <w:sz w:val="24"/>
          <w:szCs w:val="24"/>
        </w:rPr>
        <w:t xml:space="preserve"> lawful”,</w:t>
      </w:r>
      <w:r w:rsidRPr="00FB251A">
        <w:rPr>
          <w:rStyle w:val="FootnoteReference"/>
          <w:rFonts w:ascii="Garamond" w:hAnsi="Garamond"/>
          <w:sz w:val="24"/>
          <w:szCs w:val="24"/>
        </w:rPr>
        <w:footnoteReference w:id="111"/>
      </w:r>
      <w:r w:rsidRPr="00FB251A">
        <w:rPr>
          <w:rFonts w:ascii="Garamond" w:hAnsi="Garamond" w:cs="Times New Roman"/>
          <w:sz w:val="24"/>
          <w:szCs w:val="24"/>
        </w:rPr>
        <w:t xml:space="preserve"> </w:t>
      </w:r>
      <w:r w:rsidR="0030683F">
        <w:rPr>
          <w:rFonts w:ascii="Garamond" w:hAnsi="Garamond" w:cs="Times New Roman"/>
          <w:sz w:val="24"/>
          <w:szCs w:val="24"/>
        </w:rPr>
        <w:t>h</w:t>
      </w:r>
      <w:r w:rsidR="00DD55A3">
        <w:rPr>
          <w:rFonts w:ascii="Garamond" w:hAnsi="Garamond" w:cs="Times New Roman"/>
          <w:sz w:val="24"/>
          <w:szCs w:val="24"/>
        </w:rPr>
        <w:t>e</w:t>
      </w:r>
      <w:r w:rsidRPr="00FB251A">
        <w:rPr>
          <w:rFonts w:ascii="Garamond" w:hAnsi="Garamond" w:cs="Times New Roman"/>
          <w:sz w:val="24"/>
          <w:szCs w:val="24"/>
        </w:rPr>
        <w:t xml:space="preserve"> raises this point only to recommend </w:t>
      </w:r>
      <w:r w:rsidRPr="00FB251A">
        <w:rPr>
          <w:rFonts w:ascii="Garamond" w:hAnsi="Garamond" w:cs="Times New Roman"/>
          <w:sz w:val="24"/>
          <w:szCs w:val="24"/>
        </w:rPr>
        <w:lastRenderedPageBreak/>
        <w:t xml:space="preserve">against the course of action which the </w:t>
      </w:r>
      <w:proofErr w:type="spellStart"/>
      <w:r w:rsidRPr="00FB251A">
        <w:rPr>
          <w:rFonts w:ascii="Garamond" w:hAnsi="Garamond" w:cs="Times New Roman"/>
          <w:i/>
          <w:sz w:val="24"/>
          <w:szCs w:val="24"/>
        </w:rPr>
        <w:t>ius</w:t>
      </w:r>
      <w:proofErr w:type="spellEnd"/>
      <w:r w:rsidRPr="00FB251A">
        <w:rPr>
          <w:rFonts w:ascii="Garamond" w:hAnsi="Garamond" w:cs="Times New Roman"/>
          <w:i/>
          <w:sz w:val="24"/>
          <w:szCs w:val="24"/>
        </w:rPr>
        <w:t xml:space="preserve"> gentium </w:t>
      </w:r>
      <w:r w:rsidRPr="00FB251A">
        <w:rPr>
          <w:rFonts w:ascii="Garamond" w:hAnsi="Garamond" w:cs="Times New Roman"/>
          <w:sz w:val="24"/>
          <w:szCs w:val="24"/>
        </w:rPr>
        <w:t>would sanction and proceeds swiftly to recommending the administration of Ireland under martial law, without regard to the law of nations.</w:t>
      </w:r>
      <w:r w:rsidRPr="00FB251A">
        <w:rPr>
          <w:rStyle w:val="FootnoteReference"/>
          <w:rFonts w:ascii="Garamond" w:hAnsi="Garamond"/>
          <w:sz w:val="24"/>
          <w:szCs w:val="24"/>
        </w:rPr>
        <w:footnoteReference w:id="112"/>
      </w:r>
    </w:p>
    <w:p w14:paraId="0703CAE6" w14:textId="7E12EB8F"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These two notions, namely, that both Virginia and Ireland are “Pure </w:t>
      </w:r>
      <w:proofErr w:type="spellStart"/>
      <w:r w:rsidRPr="00FB251A">
        <w:rPr>
          <w:rFonts w:ascii="Garamond" w:hAnsi="Garamond" w:cs="Times New Roman"/>
          <w:sz w:val="24"/>
          <w:szCs w:val="24"/>
        </w:rPr>
        <w:t>Soile</w:t>
      </w:r>
      <w:proofErr w:type="spellEnd"/>
      <w:r w:rsidRPr="00FB251A">
        <w:rPr>
          <w:rFonts w:ascii="Garamond" w:hAnsi="Garamond" w:cs="Times New Roman"/>
          <w:sz w:val="24"/>
          <w:szCs w:val="24"/>
        </w:rPr>
        <w:t xml:space="preserve">” ripe for colonial planting and that Native Americans in the proximity of the Virginia Colony are to be respected when they do not make war upon the English settlers, might be thought to stand in some tension to one another.  One might suggest that Bacon thought it fit for colonies to be established in those places where Native Americans did not have direct dwellings, “For else, it is rather an Extirpating, then a </w:t>
      </w:r>
      <w:r w:rsidRPr="00FB251A">
        <w:rPr>
          <w:rFonts w:ascii="Garamond" w:hAnsi="Garamond" w:cs="Times New Roman"/>
          <w:i/>
          <w:sz w:val="24"/>
          <w:szCs w:val="24"/>
        </w:rPr>
        <w:t>Plantation</w:t>
      </w:r>
      <w:r w:rsidRPr="00FB251A">
        <w:rPr>
          <w:rFonts w:ascii="Garamond" w:hAnsi="Garamond" w:cs="Times New Roman"/>
          <w:sz w:val="24"/>
          <w:szCs w:val="24"/>
        </w:rPr>
        <w:t>.”</w:t>
      </w:r>
      <w:r w:rsidRPr="00FB251A">
        <w:rPr>
          <w:rStyle w:val="FootnoteReference"/>
          <w:rFonts w:ascii="Garamond" w:hAnsi="Garamond"/>
          <w:sz w:val="24"/>
          <w:szCs w:val="24"/>
        </w:rPr>
        <w:footnoteReference w:id="113"/>
      </w:r>
      <w:r w:rsidRPr="00FB251A">
        <w:rPr>
          <w:rFonts w:ascii="Garamond" w:hAnsi="Garamond" w:cs="Times New Roman"/>
          <w:sz w:val="24"/>
          <w:szCs w:val="24"/>
        </w:rPr>
        <w:t xml:space="preserve">  In the case of America, Bacon would seem to foreground a title of occupation to the Virginia colony, the notion that, as one scholar puts it, “something which belongs to nobody becomes the property of the first person to take it.”</w:t>
      </w:r>
      <w:r w:rsidRPr="00FB251A">
        <w:rPr>
          <w:rStyle w:val="FootnoteReference"/>
          <w:rFonts w:ascii="Garamond" w:hAnsi="Garamond"/>
          <w:sz w:val="24"/>
          <w:szCs w:val="24"/>
        </w:rPr>
        <w:footnoteReference w:id="114"/>
      </w:r>
      <w:r w:rsidRPr="00FB251A">
        <w:rPr>
          <w:rFonts w:ascii="Garamond" w:hAnsi="Garamond" w:cs="Times New Roman"/>
          <w:sz w:val="24"/>
          <w:szCs w:val="24"/>
        </w:rPr>
        <w:t xml:space="preserve">  In the case of Ireland, as he states explicitly in his argument in </w:t>
      </w:r>
      <w:r w:rsidRPr="00FB251A">
        <w:rPr>
          <w:rFonts w:ascii="Garamond" w:hAnsi="Garamond" w:cs="Times New Roman"/>
          <w:i/>
          <w:sz w:val="24"/>
          <w:szCs w:val="24"/>
        </w:rPr>
        <w:t>Calvin’s Case</w:t>
      </w:r>
      <w:r w:rsidRPr="00FB251A">
        <w:rPr>
          <w:rFonts w:ascii="Garamond" w:hAnsi="Garamond" w:cs="Times New Roman"/>
          <w:sz w:val="24"/>
          <w:szCs w:val="24"/>
        </w:rPr>
        <w:t>,</w:t>
      </w:r>
      <w:r w:rsidRPr="00FB251A">
        <w:rPr>
          <w:rStyle w:val="FootnoteReference"/>
          <w:rFonts w:ascii="Garamond" w:hAnsi="Garamond"/>
          <w:sz w:val="24"/>
          <w:szCs w:val="24"/>
        </w:rPr>
        <w:footnoteReference w:id="115"/>
      </w:r>
      <w:r w:rsidRPr="00FB251A">
        <w:rPr>
          <w:rFonts w:ascii="Garamond" w:hAnsi="Garamond" w:cs="Times New Roman"/>
          <w:sz w:val="24"/>
          <w:szCs w:val="24"/>
        </w:rPr>
        <w:t xml:space="preserve"> Bacon foregrounds the title of conquest, thus shifting the legal title foregrounded as may be most appropriate to the situation and rhetorical context.  But in both cases, imitating the policy he ascribes to his Henry VII in </w:t>
      </w:r>
      <w:r w:rsidRPr="00FB251A">
        <w:rPr>
          <w:rFonts w:ascii="Garamond" w:hAnsi="Garamond" w:cs="Times New Roman"/>
          <w:i/>
          <w:sz w:val="24"/>
          <w:szCs w:val="24"/>
        </w:rPr>
        <w:t>The History of the Reign</w:t>
      </w:r>
      <w:r w:rsidRPr="00FB251A">
        <w:rPr>
          <w:rFonts w:ascii="Garamond" w:hAnsi="Garamond" w:cs="Times New Roman"/>
          <w:sz w:val="24"/>
          <w:szCs w:val="24"/>
        </w:rPr>
        <w:t>, Bacon advises his addressees to govern like conquerors, instituting martial law and ruling monarchically in their colonies newly established.</w:t>
      </w:r>
    </w:p>
    <w:p w14:paraId="4514EF06" w14:textId="741508C4"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In his </w:t>
      </w:r>
      <w:r w:rsidRPr="00FB251A">
        <w:rPr>
          <w:rFonts w:ascii="Garamond" w:hAnsi="Garamond" w:cs="Times New Roman"/>
          <w:i/>
          <w:sz w:val="24"/>
          <w:szCs w:val="24"/>
        </w:rPr>
        <w:t xml:space="preserve">Declaration Touching the Treasons of the Late Earl of Essex and His </w:t>
      </w:r>
      <w:proofErr w:type="spellStart"/>
      <w:r w:rsidRPr="00FB251A">
        <w:rPr>
          <w:rFonts w:ascii="Garamond" w:hAnsi="Garamond" w:cs="Times New Roman"/>
          <w:i/>
          <w:sz w:val="24"/>
          <w:szCs w:val="24"/>
        </w:rPr>
        <w:t>Complices</w:t>
      </w:r>
      <w:proofErr w:type="spellEnd"/>
      <w:r w:rsidRPr="00FB251A">
        <w:rPr>
          <w:rFonts w:ascii="Garamond" w:hAnsi="Garamond" w:cs="Times New Roman"/>
          <w:sz w:val="24"/>
          <w:szCs w:val="24"/>
        </w:rPr>
        <w:t>, Bacon refers repeatedly to participants in Tyrone’s Rebellion as “the rebels in Ireland”</w:t>
      </w:r>
      <w:r w:rsidRPr="00FB251A">
        <w:rPr>
          <w:rStyle w:val="FootnoteReference"/>
          <w:rFonts w:ascii="Garamond" w:hAnsi="Garamond"/>
          <w:sz w:val="24"/>
          <w:szCs w:val="24"/>
        </w:rPr>
        <w:t xml:space="preserve"> </w:t>
      </w:r>
      <w:r w:rsidRPr="00FB251A">
        <w:rPr>
          <w:rStyle w:val="FootnoteReference"/>
          <w:rFonts w:ascii="Garamond" w:hAnsi="Garamond"/>
          <w:sz w:val="24"/>
          <w:szCs w:val="24"/>
        </w:rPr>
        <w:footnoteReference w:id="116"/>
      </w:r>
      <w:r w:rsidRPr="00FB251A">
        <w:rPr>
          <w:rFonts w:ascii="Garamond" w:hAnsi="Garamond" w:cs="Times New Roman"/>
          <w:sz w:val="24"/>
          <w:szCs w:val="24"/>
        </w:rPr>
        <w:t xml:space="preserve"> or simply “the rebels”.</w:t>
      </w:r>
      <w:r w:rsidRPr="00FB251A">
        <w:rPr>
          <w:rStyle w:val="FootnoteReference"/>
          <w:rFonts w:ascii="Garamond" w:hAnsi="Garamond"/>
          <w:sz w:val="24"/>
          <w:szCs w:val="24"/>
        </w:rPr>
        <w:footnoteReference w:id="117"/>
      </w:r>
      <w:r w:rsidRPr="00FB251A">
        <w:rPr>
          <w:rFonts w:ascii="Garamond" w:hAnsi="Garamond" w:cs="Times New Roman"/>
          <w:sz w:val="24"/>
          <w:szCs w:val="24"/>
        </w:rPr>
        <w:t xml:space="preserve">  </w:t>
      </w:r>
      <w:r w:rsidR="00DD55A3">
        <w:rPr>
          <w:rFonts w:ascii="Garamond" w:hAnsi="Garamond" w:cs="Times-Roman"/>
          <w:sz w:val="24"/>
          <w:szCs w:val="24"/>
        </w:rPr>
        <w:t xml:space="preserve">A </w:t>
      </w:r>
      <w:r w:rsidRPr="00FB251A">
        <w:rPr>
          <w:rFonts w:ascii="Garamond" w:hAnsi="Garamond" w:cs="Times-Roman"/>
          <w:sz w:val="24"/>
          <w:szCs w:val="24"/>
        </w:rPr>
        <w:t>1620/1 speech in Parliament</w:t>
      </w:r>
      <w:r w:rsidR="00DD55A3">
        <w:rPr>
          <w:rFonts w:ascii="Garamond" w:hAnsi="Garamond" w:cs="Times-Roman"/>
          <w:sz w:val="24"/>
          <w:szCs w:val="24"/>
        </w:rPr>
        <w:t xml:space="preserve"> </w:t>
      </w:r>
      <w:r w:rsidRPr="00FB251A">
        <w:rPr>
          <w:rFonts w:ascii="Garamond" w:hAnsi="Garamond" w:cs="Times-Roman"/>
          <w:sz w:val="24"/>
          <w:szCs w:val="24"/>
        </w:rPr>
        <w:t xml:space="preserve">would again class both the Desmond Rebellion and the Nine Years’ </w:t>
      </w:r>
      <w:r w:rsidRPr="00FB251A">
        <w:rPr>
          <w:rFonts w:ascii="Garamond" w:hAnsi="Garamond" w:cs="Times-Roman"/>
          <w:sz w:val="24"/>
          <w:szCs w:val="24"/>
        </w:rPr>
        <w:lastRenderedPageBreak/>
        <w:t>War as “rebellions in Ireland.”</w:t>
      </w:r>
      <w:r w:rsidRPr="00FB251A">
        <w:rPr>
          <w:rStyle w:val="FootnoteReference"/>
          <w:rFonts w:ascii="Garamond" w:hAnsi="Garamond" w:cs="Times-Roman"/>
          <w:sz w:val="24"/>
          <w:szCs w:val="24"/>
        </w:rPr>
        <w:footnoteReference w:id="118"/>
      </w:r>
      <w:r w:rsidR="00B25B0C">
        <w:rPr>
          <w:rFonts w:ascii="Garamond" w:hAnsi="Garamond" w:cs="Times-Roman"/>
          <w:sz w:val="24"/>
          <w:szCs w:val="24"/>
        </w:rPr>
        <w:t xml:space="preserve"> </w:t>
      </w:r>
      <w:r w:rsidRPr="00FB251A">
        <w:rPr>
          <w:rFonts w:ascii="Garamond" w:hAnsi="Garamond" w:cs="Times New Roman"/>
          <w:sz w:val="24"/>
          <w:szCs w:val="24"/>
        </w:rPr>
        <w:t xml:space="preserve">In keeping with this perspective on Ireland as a matter of internal administration, in his posthumously published eulogy for Queen Elizabeth’s reign, </w:t>
      </w:r>
      <w:r w:rsidRPr="00FB251A">
        <w:rPr>
          <w:rFonts w:ascii="Garamond" w:hAnsi="Garamond" w:cs="Times New Roman"/>
          <w:i/>
          <w:iCs/>
          <w:sz w:val="24"/>
          <w:szCs w:val="24"/>
        </w:rPr>
        <w:t xml:space="preserve">In </w:t>
      </w:r>
      <w:proofErr w:type="spellStart"/>
      <w:r w:rsidRPr="00FB251A">
        <w:rPr>
          <w:rFonts w:ascii="Garamond" w:hAnsi="Garamond" w:cs="Times New Roman"/>
          <w:i/>
          <w:iCs/>
          <w:sz w:val="24"/>
          <w:szCs w:val="24"/>
        </w:rPr>
        <w:t>Felicem</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Memoriae</w:t>
      </w:r>
      <w:proofErr w:type="spellEnd"/>
      <w:r w:rsidRPr="00FB251A">
        <w:rPr>
          <w:rFonts w:ascii="Garamond" w:hAnsi="Garamond" w:cs="Times New Roman"/>
          <w:i/>
          <w:iCs/>
          <w:sz w:val="24"/>
          <w:szCs w:val="24"/>
        </w:rPr>
        <w:t xml:space="preserve"> </w:t>
      </w:r>
      <w:proofErr w:type="spellStart"/>
      <w:r w:rsidRPr="00FB251A">
        <w:rPr>
          <w:rFonts w:ascii="Garamond" w:hAnsi="Garamond" w:cs="Times New Roman"/>
          <w:i/>
          <w:iCs/>
          <w:sz w:val="24"/>
          <w:szCs w:val="24"/>
        </w:rPr>
        <w:t>Elizabethae</w:t>
      </w:r>
      <w:proofErr w:type="spellEnd"/>
      <w:r w:rsidRPr="00FB251A">
        <w:rPr>
          <w:rFonts w:ascii="Garamond" w:hAnsi="Garamond" w:cs="Times New Roman"/>
          <w:i/>
          <w:iCs/>
          <w:sz w:val="24"/>
          <w:szCs w:val="24"/>
        </w:rPr>
        <w:t xml:space="preserve"> </w:t>
      </w:r>
      <w:r w:rsidRPr="00FB251A">
        <w:rPr>
          <w:rFonts w:ascii="Garamond" w:hAnsi="Garamond" w:cs="Times New Roman"/>
          <w:i/>
          <w:iCs/>
          <w:sz w:val="24"/>
          <w:szCs w:val="24"/>
          <w:lang w:val="la-Latn"/>
        </w:rPr>
        <w:t>Angliae Reginae</w:t>
      </w:r>
      <w:r w:rsidRPr="00FB251A">
        <w:rPr>
          <w:rFonts w:ascii="Garamond" w:hAnsi="Garamond" w:cs="Times New Roman"/>
          <w:i/>
          <w:iCs/>
          <w:sz w:val="24"/>
          <w:szCs w:val="24"/>
        </w:rPr>
        <w:t xml:space="preserve">, </w:t>
      </w:r>
      <w:r w:rsidRPr="00FB251A">
        <w:rPr>
          <w:rFonts w:ascii="Garamond" w:hAnsi="Garamond" w:cs="Times New Roman"/>
          <w:sz w:val="24"/>
          <w:szCs w:val="24"/>
        </w:rPr>
        <w:t>Bacon classed Irish uprisings in the late Tudor period as the defection or rebellion in Ireland (</w:t>
      </w:r>
      <w:r w:rsidRPr="00FB251A">
        <w:rPr>
          <w:rFonts w:ascii="Garamond" w:hAnsi="Garamond" w:cs="Times New Roman"/>
          <w:i/>
          <w:iCs/>
          <w:sz w:val="24"/>
          <w:szCs w:val="24"/>
        </w:rPr>
        <w:t xml:space="preserve">de </w:t>
      </w:r>
      <w:r w:rsidRPr="00FB251A">
        <w:rPr>
          <w:rFonts w:ascii="Garamond" w:hAnsi="Garamond" w:cs="Times New Roman"/>
          <w:i/>
          <w:iCs/>
          <w:sz w:val="24"/>
          <w:szCs w:val="24"/>
          <w:lang w:val="la-Latn"/>
        </w:rPr>
        <w:t>defectione</w:t>
      </w:r>
      <w:r w:rsidRPr="00FB251A">
        <w:rPr>
          <w:rFonts w:ascii="Garamond" w:hAnsi="Garamond" w:cs="Times New Roman"/>
          <w:i/>
          <w:iCs/>
          <w:sz w:val="24"/>
          <w:szCs w:val="24"/>
        </w:rPr>
        <w:t xml:space="preserve"> in Hibernia</w:t>
      </w:r>
      <w:r w:rsidRPr="00FB251A">
        <w:rPr>
          <w:rFonts w:ascii="Garamond" w:hAnsi="Garamond" w:cs="Times New Roman"/>
          <w:sz w:val="24"/>
          <w:szCs w:val="24"/>
        </w:rPr>
        <w:t>) and those partaking in them as rebels (</w:t>
      </w:r>
      <w:proofErr w:type="spellStart"/>
      <w:r w:rsidRPr="00FB251A">
        <w:rPr>
          <w:rFonts w:ascii="Garamond" w:hAnsi="Garamond" w:cs="Times New Roman"/>
          <w:i/>
          <w:iCs/>
          <w:sz w:val="24"/>
          <w:szCs w:val="24"/>
        </w:rPr>
        <w:t>rebelles</w:t>
      </w:r>
      <w:proofErr w:type="spellEnd"/>
      <w:r w:rsidRPr="00FB251A">
        <w:rPr>
          <w:rFonts w:ascii="Garamond" w:hAnsi="Garamond" w:cs="Times New Roman"/>
          <w:i/>
          <w:iCs/>
          <w:sz w:val="24"/>
          <w:szCs w:val="24"/>
        </w:rPr>
        <w:t xml:space="preserve"> in Hibernia</w:t>
      </w:r>
      <w:r w:rsidRPr="00FB251A">
        <w:rPr>
          <w:rFonts w:ascii="Garamond" w:hAnsi="Garamond" w:cs="Times New Roman"/>
          <w:sz w:val="24"/>
          <w:szCs w:val="24"/>
        </w:rPr>
        <w:t>).</w:t>
      </w:r>
      <w:r w:rsidRPr="00FB251A">
        <w:rPr>
          <w:rStyle w:val="FootnoteReference"/>
          <w:rFonts w:ascii="Garamond" w:hAnsi="Garamond"/>
          <w:sz w:val="24"/>
          <w:szCs w:val="24"/>
        </w:rPr>
        <w:footnoteReference w:id="119"/>
      </w:r>
      <w:r w:rsidRPr="00FB251A">
        <w:rPr>
          <w:rFonts w:ascii="Garamond" w:hAnsi="Garamond" w:cs="Times New Roman"/>
          <w:sz w:val="24"/>
          <w:szCs w:val="24"/>
        </w:rPr>
        <w:t xml:space="preserve"> The holder of the English crown in English law, in Bacon’s assessment and that of his contemporaries, held the crown of Ireland as well, and Bacon thus regarded the same stratagems and procedures, including martial law, to be as applicable to a rising in Ulster as to a rising in Lincolnshire.  That Tyrone was considered to be a rebel allowed for the Crown to expropriate his lands upon his defeat, creating the precondition for the planting of County Tyrone.</w:t>
      </w:r>
      <w:r w:rsidR="00FB0498">
        <w:rPr>
          <w:rFonts w:ascii="Garamond" w:hAnsi="Garamond" w:cs="Times New Roman"/>
          <w:sz w:val="24"/>
          <w:szCs w:val="24"/>
        </w:rPr>
        <w:t xml:space="preserve"> </w:t>
      </w:r>
      <w:r w:rsidRPr="00FB251A">
        <w:rPr>
          <w:rFonts w:ascii="Garamond" w:hAnsi="Garamond" w:cs="Times New Roman"/>
          <w:sz w:val="24"/>
          <w:szCs w:val="24"/>
        </w:rPr>
        <w:t xml:space="preserve">Bacon is thus in deadly earnest when he writes in his </w:t>
      </w:r>
      <w:r w:rsidRPr="00FB251A">
        <w:rPr>
          <w:rFonts w:ascii="Garamond" w:hAnsi="Garamond" w:cs="Times New Roman"/>
          <w:i/>
          <w:iCs/>
          <w:sz w:val="24"/>
          <w:szCs w:val="24"/>
        </w:rPr>
        <w:t>Certain Considerations</w:t>
      </w:r>
      <w:r w:rsidRPr="00FB251A">
        <w:rPr>
          <w:rFonts w:ascii="Garamond" w:hAnsi="Garamond" w:cs="Times New Roman"/>
          <w:sz w:val="24"/>
          <w:szCs w:val="24"/>
        </w:rPr>
        <w:t xml:space="preserve"> that the plantation of Ulster and th</w:t>
      </w:r>
      <w:r w:rsidR="00FB0498">
        <w:rPr>
          <w:rFonts w:ascii="Garamond" w:hAnsi="Garamond" w:cs="Times New Roman"/>
          <w:sz w:val="24"/>
          <w:szCs w:val="24"/>
        </w:rPr>
        <w:t>at</w:t>
      </w:r>
      <w:r w:rsidRPr="00FB251A">
        <w:rPr>
          <w:rFonts w:ascii="Garamond" w:hAnsi="Garamond" w:cs="Times New Roman"/>
          <w:sz w:val="24"/>
          <w:szCs w:val="24"/>
        </w:rPr>
        <w:t xml:space="preserve"> of Virginia are sharply to be distinguished.  Writing in his </w:t>
      </w:r>
      <w:r w:rsidRPr="00FB251A">
        <w:rPr>
          <w:rFonts w:ascii="Garamond" w:hAnsi="Garamond" w:cs="Times New Roman"/>
          <w:i/>
          <w:iCs/>
          <w:sz w:val="24"/>
          <w:szCs w:val="24"/>
        </w:rPr>
        <w:t xml:space="preserve">Considerations </w:t>
      </w:r>
      <w:r w:rsidRPr="00FB251A">
        <w:rPr>
          <w:rFonts w:ascii="Garamond" w:hAnsi="Garamond" w:cs="Times New Roman"/>
          <w:sz w:val="24"/>
          <w:szCs w:val="24"/>
        </w:rPr>
        <w:t xml:space="preserve">in passing of the “plantation for Virginia”, Bacon is keen to emphasize that he regards this as “an enterprise in my opinion differing as much from this, as </w:t>
      </w:r>
      <w:proofErr w:type="spellStart"/>
      <w:r w:rsidRPr="00FB251A">
        <w:rPr>
          <w:rFonts w:ascii="Garamond" w:hAnsi="Garamond" w:cs="Times New Roman"/>
          <w:sz w:val="24"/>
          <w:szCs w:val="24"/>
        </w:rPr>
        <w:t>Amadis</w:t>
      </w:r>
      <w:proofErr w:type="spellEnd"/>
      <w:r w:rsidRPr="00FB251A">
        <w:rPr>
          <w:rFonts w:ascii="Garamond" w:hAnsi="Garamond" w:cs="Times New Roman"/>
          <w:sz w:val="24"/>
          <w:szCs w:val="24"/>
        </w:rPr>
        <w:t xml:space="preserve"> de Gaul differs from Caesar’s Commentaries.”</w:t>
      </w:r>
      <w:r w:rsidRPr="00FB251A">
        <w:rPr>
          <w:rStyle w:val="FootnoteReference"/>
          <w:rFonts w:ascii="Garamond" w:hAnsi="Garamond"/>
          <w:sz w:val="24"/>
          <w:szCs w:val="24"/>
        </w:rPr>
        <w:footnoteReference w:id="120"/>
      </w:r>
    </w:p>
    <w:p w14:paraId="4F22A141" w14:textId="2070757B" w:rsidR="00580F87" w:rsidRPr="008E2A0B" w:rsidRDefault="00580F87" w:rsidP="00B1678C">
      <w:pPr>
        <w:pStyle w:val="ListParagraph"/>
        <w:numPr>
          <w:ilvl w:val="0"/>
          <w:numId w:val="1"/>
        </w:numPr>
        <w:spacing w:line="480" w:lineRule="auto"/>
        <w:rPr>
          <w:rFonts w:ascii="Garamond" w:hAnsi="Garamond" w:cs="Times New Roman"/>
          <w:i/>
          <w:iCs/>
          <w:sz w:val="24"/>
          <w:szCs w:val="24"/>
        </w:rPr>
      </w:pPr>
      <w:r w:rsidRPr="008E2A0B">
        <w:rPr>
          <w:rFonts w:ascii="Garamond" w:hAnsi="Garamond" w:cs="Times New Roman"/>
          <w:i/>
          <w:iCs/>
          <w:sz w:val="24"/>
          <w:szCs w:val="24"/>
        </w:rPr>
        <w:t>Toleration as a Stratagem of Empire</w:t>
      </w:r>
    </w:p>
    <w:p w14:paraId="7E911FEA" w14:textId="6DCD1E34"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In </w:t>
      </w:r>
      <w:r w:rsidRPr="00FB251A">
        <w:rPr>
          <w:rFonts w:ascii="Garamond" w:hAnsi="Garamond" w:cs="Times New Roman"/>
          <w:i/>
          <w:iCs/>
          <w:sz w:val="24"/>
          <w:szCs w:val="24"/>
        </w:rPr>
        <w:t xml:space="preserve">The Ideological Origins of the British Empire, </w:t>
      </w:r>
      <w:r w:rsidRPr="00FB251A">
        <w:rPr>
          <w:rFonts w:ascii="Garamond" w:hAnsi="Garamond" w:cs="Times New Roman"/>
          <w:sz w:val="24"/>
          <w:szCs w:val="24"/>
        </w:rPr>
        <w:t>David Armitage depicted the British empire as constitutively Protestant such that “The frontiers of that extensive monarchy were guarded by a common religion and by the Royal Navy.”</w:t>
      </w:r>
      <w:r w:rsidRPr="00FB251A">
        <w:rPr>
          <w:rStyle w:val="FootnoteReference"/>
          <w:rFonts w:ascii="Garamond" w:hAnsi="Garamond"/>
          <w:sz w:val="24"/>
          <w:szCs w:val="24"/>
        </w:rPr>
        <w:footnoteReference w:id="121"/>
      </w:r>
      <w:r w:rsidRPr="00FB251A">
        <w:rPr>
          <w:rFonts w:ascii="Garamond" w:hAnsi="Garamond" w:cs="Times New Roman"/>
          <w:sz w:val="24"/>
          <w:szCs w:val="24"/>
        </w:rPr>
        <w:t xml:space="preserve">  While Bacon’s view of a colonial empire was one in which the Kingdom of Britain held “</w:t>
      </w:r>
      <w:r w:rsidRPr="00FB251A">
        <w:rPr>
          <w:rFonts w:ascii="Garamond" w:hAnsi="Garamond" w:cs="Times New Roman"/>
          <w:i/>
          <w:iCs/>
          <w:sz w:val="24"/>
          <w:szCs w:val="24"/>
        </w:rPr>
        <w:t>the commandment of the sea</w:t>
      </w:r>
      <w:r w:rsidRPr="00FB251A">
        <w:rPr>
          <w:rFonts w:ascii="Garamond" w:hAnsi="Garamond" w:cs="Times New Roman"/>
          <w:sz w:val="24"/>
          <w:szCs w:val="24"/>
        </w:rPr>
        <w:t>”,</w:t>
      </w:r>
      <w:r w:rsidRPr="00FB251A">
        <w:rPr>
          <w:rStyle w:val="FootnoteReference"/>
          <w:rFonts w:ascii="Garamond" w:hAnsi="Garamond"/>
          <w:sz w:val="24"/>
          <w:szCs w:val="24"/>
        </w:rPr>
        <w:footnoteReference w:id="122"/>
      </w:r>
      <w:r w:rsidRPr="00FB251A">
        <w:rPr>
          <w:rFonts w:ascii="Garamond" w:hAnsi="Garamond" w:cs="Times New Roman"/>
          <w:sz w:val="24"/>
          <w:szCs w:val="24"/>
        </w:rPr>
        <w:t xml:space="preserve"> the policing of colonial and imperial borders by “a common religion” is less clear in </w:t>
      </w:r>
      <w:r w:rsidR="008A43D9">
        <w:rPr>
          <w:rFonts w:ascii="Garamond" w:hAnsi="Garamond" w:cs="Times New Roman"/>
          <w:sz w:val="24"/>
          <w:szCs w:val="24"/>
        </w:rPr>
        <w:t>his</w:t>
      </w:r>
      <w:r w:rsidRPr="00FB251A">
        <w:rPr>
          <w:rFonts w:ascii="Garamond" w:hAnsi="Garamond" w:cs="Times New Roman"/>
          <w:sz w:val="24"/>
          <w:szCs w:val="24"/>
        </w:rPr>
        <w:t xml:space="preserve"> thought.  Indeed, </w:t>
      </w:r>
      <w:r w:rsidR="00EF3A7E">
        <w:rPr>
          <w:rFonts w:ascii="Garamond" w:hAnsi="Garamond" w:cs="Times New Roman"/>
          <w:sz w:val="24"/>
          <w:szCs w:val="24"/>
        </w:rPr>
        <w:t xml:space="preserve">in </w:t>
      </w:r>
      <w:r w:rsidRPr="00FB251A">
        <w:rPr>
          <w:rFonts w:ascii="Garamond" w:hAnsi="Garamond" w:cs="Times New Roman"/>
          <w:sz w:val="24"/>
          <w:szCs w:val="24"/>
        </w:rPr>
        <w:t>“Of Plantations” there is no mention of religion at all, rather plantations and colonies are associated with pre-</w:t>
      </w:r>
      <w:r w:rsidRPr="00FB251A">
        <w:rPr>
          <w:rFonts w:ascii="Garamond" w:hAnsi="Garamond" w:cs="Times New Roman"/>
          <w:sz w:val="24"/>
          <w:szCs w:val="24"/>
        </w:rPr>
        <w:lastRenderedPageBreak/>
        <w:t xml:space="preserve">Christian antiquity “amongst Ancient, Primitive, and </w:t>
      </w:r>
      <w:proofErr w:type="spellStart"/>
      <w:r w:rsidRPr="00FB251A">
        <w:rPr>
          <w:rFonts w:ascii="Garamond" w:hAnsi="Garamond" w:cs="Times New Roman"/>
          <w:sz w:val="24"/>
          <w:szCs w:val="24"/>
        </w:rPr>
        <w:t>Heroicall</w:t>
      </w:r>
      <w:proofErr w:type="spellEnd"/>
      <w:r w:rsidRPr="00FB251A">
        <w:rPr>
          <w:rFonts w:ascii="Garamond" w:hAnsi="Garamond" w:cs="Times New Roman"/>
          <w:sz w:val="24"/>
          <w:szCs w:val="24"/>
        </w:rPr>
        <w:t xml:space="preserve"> </w:t>
      </w:r>
      <w:proofErr w:type="spellStart"/>
      <w:r w:rsidRPr="00FB251A">
        <w:rPr>
          <w:rFonts w:ascii="Garamond" w:hAnsi="Garamond" w:cs="Times New Roman"/>
          <w:sz w:val="24"/>
          <w:szCs w:val="24"/>
        </w:rPr>
        <w:t>Workes</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123"/>
      </w:r>
      <w:r w:rsidRPr="00FB251A">
        <w:rPr>
          <w:rFonts w:ascii="Garamond" w:hAnsi="Garamond" w:cs="Times New Roman"/>
          <w:sz w:val="24"/>
          <w:szCs w:val="24"/>
        </w:rPr>
        <w:t xml:space="preserve"> and yet are nonetheless to be pursued for their stability, longevity, and profit.  While Bacon does make reference to “God” and “his Service,”</w:t>
      </w:r>
      <w:r w:rsidRPr="00FB251A">
        <w:rPr>
          <w:rStyle w:val="FootnoteReference"/>
          <w:rFonts w:ascii="Garamond" w:hAnsi="Garamond"/>
          <w:sz w:val="24"/>
          <w:szCs w:val="24"/>
        </w:rPr>
        <w:footnoteReference w:id="124"/>
      </w:r>
      <w:r w:rsidRPr="00FB251A">
        <w:rPr>
          <w:rFonts w:ascii="Garamond" w:hAnsi="Garamond" w:cs="Times New Roman"/>
          <w:sz w:val="24"/>
          <w:szCs w:val="24"/>
        </w:rPr>
        <w:t xml:space="preserve"> </w:t>
      </w:r>
      <w:r w:rsidR="000E3CE8">
        <w:rPr>
          <w:rFonts w:ascii="Garamond" w:hAnsi="Garamond" w:cs="Times New Roman"/>
          <w:sz w:val="24"/>
          <w:szCs w:val="24"/>
        </w:rPr>
        <w:t xml:space="preserve">he </w:t>
      </w:r>
      <w:r w:rsidRPr="00FB251A">
        <w:rPr>
          <w:rFonts w:ascii="Garamond" w:hAnsi="Garamond" w:cs="Times New Roman"/>
          <w:sz w:val="24"/>
          <w:szCs w:val="24"/>
        </w:rPr>
        <w:t>does not dictate the form of this service</w:t>
      </w:r>
      <w:r w:rsidR="00B25B0C">
        <w:rPr>
          <w:rFonts w:ascii="Garamond" w:hAnsi="Garamond" w:cs="Times New Roman"/>
          <w:sz w:val="24"/>
          <w:szCs w:val="24"/>
        </w:rPr>
        <w:t>,</w:t>
      </w:r>
      <w:r w:rsidRPr="00FB251A">
        <w:rPr>
          <w:rFonts w:ascii="Garamond" w:hAnsi="Garamond" w:cs="Times New Roman"/>
          <w:sz w:val="24"/>
          <w:szCs w:val="24"/>
        </w:rPr>
        <w:t xml:space="preserve"> no</w:t>
      </w:r>
      <w:r w:rsidR="000E3CE8">
        <w:rPr>
          <w:rFonts w:ascii="Garamond" w:hAnsi="Garamond" w:cs="Times New Roman"/>
          <w:sz w:val="24"/>
          <w:szCs w:val="24"/>
        </w:rPr>
        <w:t xml:space="preserve">r </w:t>
      </w:r>
      <w:r w:rsidRPr="00FB251A">
        <w:rPr>
          <w:rFonts w:ascii="Garamond" w:hAnsi="Garamond" w:cs="Times New Roman"/>
          <w:sz w:val="24"/>
          <w:szCs w:val="24"/>
        </w:rPr>
        <w:t xml:space="preserve"> recommend the building of churches in Virginia nor further that a plantation must have a fixed number of clergymen or, indeed, any at all.</w:t>
      </w:r>
      <w:r w:rsidRPr="00FB251A">
        <w:rPr>
          <w:rStyle w:val="FootnoteReference"/>
          <w:rFonts w:ascii="Garamond" w:hAnsi="Garamond"/>
          <w:sz w:val="24"/>
          <w:szCs w:val="24"/>
        </w:rPr>
        <w:footnoteReference w:id="125"/>
      </w:r>
      <w:r w:rsidRPr="00FB251A">
        <w:rPr>
          <w:rFonts w:ascii="Garamond" w:hAnsi="Garamond" w:cs="Times New Roman"/>
          <w:sz w:val="24"/>
          <w:szCs w:val="24"/>
        </w:rPr>
        <w:t xml:space="preserve">  When enumerating the kinds of person with whom to plant a colony, clergy are conspicuously absent from an otherwise quite extensive list.</w:t>
      </w:r>
      <w:r w:rsidRPr="00FB251A">
        <w:rPr>
          <w:rStyle w:val="FootnoteReference"/>
          <w:rFonts w:ascii="Garamond" w:hAnsi="Garamond"/>
          <w:sz w:val="24"/>
          <w:szCs w:val="24"/>
        </w:rPr>
        <w:footnoteReference w:id="126"/>
      </w:r>
      <w:r w:rsidRPr="00FB251A">
        <w:rPr>
          <w:rFonts w:ascii="Garamond" w:hAnsi="Garamond" w:cs="Times New Roman"/>
          <w:sz w:val="24"/>
          <w:szCs w:val="24"/>
        </w:rPr>
        <w:t xml:space="preserve">  Above all, Bacon makes no mention of proselytizing to or in any way attempting to convert native peoples to Christianity, and, rather, seems to caution against such engagement.</w:t>
      </w:r>
      <w:r w:rsidRPr="00FB251A">
        <w:rPr>
          <w:rStyle w:val="FootnoteReference"/>
          <w:rFonts w:ascii="Garamond" w:hAnsi="Garamond"/>
          <w:sz w:val="24"/>
          <w:szCs w:val="24"/>
        </w:rPr>
        <w:footnoteReference w:id="127"/>
      </w:r>
      <w:r w:rsidRPr="00FB251A">
        <w:rPr>
          <w:rFonts w:ascii="Garamond" w:hAnsi="Garamond" w:cs="Times New Roman"/>
          <w:sz w:val="24"/>
          <w:szCs w:val="24"/>
        </w:rPr>
        <w:t xml:space="preserve">  The most that the colonial power may responsibly do is sponsor travel by native peoples to the cities of the colonizing power “that they may see a better Condition </w:t>
      </w:r>
      <w:proofErr w:type="spellStart"/>
      <w:r w:rsidRPr="00FB251A">
        <w:rPr>
          <w:rFonts w:ascii="Garamond" w:hAnsi="Garamond" w:cs="Times New Roman"/>
          <w:sz w:val="24"/>
          <w:szCs w:val="24"/>
        </w:rPr>
        <w:t>then</w:t>
      </w:r>
      <w:proofErr w:type="spellEnd"/>
      <w:r w:rsidRPr="00FB251A">
        <w:rPr>
          <w:rFonts w:ascii="Garamond" w:hAnsi="Garamond" w:cs="Times New Roman"/>
          <w:sz w:val="24"/>
          <w:szCs w:val="24"/>
        </w:rPr>
        <w:t xml:space="preserve"> their </w:t>
      </w:r>
      <w:proofErr w:type="spellStart"/>
      <w:r w:rsidRPr="00FB251A">
        <w:rPr>
          <w:rFonts w:ascii="Garamond" w:hAnsi="Garamond" w:cs="Times New Roman"/>
          <w:sz w:val="24"/>
          <w:szCs w:val="24"/>
        </w:rPr>
        <w:t>owne</w:t>
      </w:r>
      <w:proofErr w:type="spellEnd"/>
      <w:r w:rsidRPr="00FB251A">
        <w:rPr>
          <w:rFonts w:ascii="Garamond" w:hAnsi="Garamond" w:cs="Times New Roman"/>
          <w:sz w:val="24"/>
          <w:szCs w:val="24"/>
        </w:rPr>
        <w:t xml:space="preserve">, and commend it when they </w:t>
      </w:r>
      <w:proofErr w:type="spellStart"/>
      <w:r w:rsidRPr="00FB251A">
        <w:rPr>
          <w:rFonts w:ascii="Garamond" w:hAnsi="Garamond" w:cs="Times New Roman"/>
          <w:sz w:val="24"/>
          <w:szCs w:val="24"/>
        </w:rPr>
        <w:t>returne</w:t>
      </w:r>
      <w:proofErr w:type="spellEnd"/>
      <w:r w:rsidRPr="00FB251A">
        <w:rPr>
          <w:rFonts w:ascii="Garamond" w:hAnsi="Garamond" w:cs="Times New Roman"/>
          <w:sz w:val="24"/>
          <w:szCs w:val="24"/>
        </w:rPr>
        <w:t>.”</w:t>
      </w:r>
      <w:r w:rsidRPr="00FB251A">
        <w:rPr>
          <w:rStyle w:val="FootnoteReference"/>
          <w:rFonts w:ascii="Garamond" w:hAnsi="Garamond"/>
          <w:sz w:val="24"/>
          <w:szCs w:val="24"/>
        </w:rPr>
        <w:footnoteReference w:id="128"/>
      </w:r>
    </w:p>
    <w:p w14:paraId="20824407" w14:textId="66BDCD83" w:rsidR="00580F87" w:rsidRPr="00FB251A" w:rsidRDefault="00580F87" w:rsidP="00B1678C">
      <w:pPr>
        <w:spacing w:line="480" w:lineRule="auto"/>
        <w:rPr>
          <w:rFonts w:ascii="Garamond" w:hAnsi="Garamond" w:cs="Times New Roman"/>
          <w:sz w:val="24"/>
          <w:szCs w:val="24"/>
        </w:rPr>
      </w:pPr>
      <w:r w:rsidRPr="00FB251A">
        <w:rPr>
          <w:rFonts w:ascii="Garamond" w:hAnsi="Garamond" w:cs="Times New Roman"/>
          <w:sz w:val="24"/>
          <w:szCs w:val="24"/>
        </w:rPr>
        <w:t xml:space="preserve">In his </w:t>
      </w:r>
      <w:r w:rsidRPr="00FB251A">
        <w:rPr>
          <w:rFonts w:ascii="Garamond" w:hAnsi="Garamond" w:cs="Times New Roman"/>
          <w:i/>
          <w:sz w:val="24"/>
          <w:szCs w:val="24"/>
        </w:rPr>
        <w:t xml:space="preserve">Considerations touching the Queen’s service in Ireland </w:t>
      </w:r>
      <w:r w:rsidRPr="00FB251A">
        <w:rPr>
          <w:rFonts w:ascii="Garamond" w:hAnsi="Garamond" w:cs="Times New Roman"/>
          <w:sz w:val="24"/>
          <w:szCs w:val="24"/>
        </w:rPr>
        <w:t xml:space="preserve">addressed to Secretary Robert Cecil, following the defeat of Tyrone’s forces in Ireland on Christmas Eve of 1601, Bacon argues strongly against the forcing of Catholic consciences to Protestantism in Ireland, proposing </w:t>
      </w:r>
      <w:r w:rsidR="00B25B0C">
        <w:rPr>
          <w:rFonts w:ascii="Garamond" w:hAnsi="Garamond" w:cs="Times New Roman"/>
          <w:sz w:val="24"/>
          <w:szCs w:val="24"/>
        </w:rPr>
        <w:t>instead</w:t>
      </w:r>
      <w:r w:rsidR="00B25B0C" w:rsidRPr="00FB251A">
        <w:rPr>
          <w:rFonts w:ascii="Garamond" w:hAnsi="Garamond" w:cs="Times New Roman"/>
          <w:sz w:val="24"/>
          <w:szCs w:val="24"/>
        </w:rPr>
        <w:t xml:space="preserve"> </w:t>
      </w:r>
      <w:r w:rsidRPr="00FB251A">
        <w:rPr>
          <w:rFonts w:ascii="Garamond" w:hAnsi="Garamond" w:cs="Times New Roman"/>
          <w:sz w:val="24"/>
          <w:szCs w:val="24"/>
        </w:rPr>
        <w:t>toleration for Catholicism there, even to the point of allowing English Catholics to leave England for Ireland.</w:t>
      </w:r>
      <w:r w:rsidRPr="00FB251A">
        <w:rPr>
          <w:rStyle w:val="FootnoteReference"/>
          <w:rFonts w:ascii="Garamond" w:hAnsi="Garamond"/>
          <w:sz w:val="24"/>
          <w:szCs w:val="24"/>
        </w:rPr>
        <w:footnoteReference w:id="129"/>
      </w:r>
      <w:r w:rsidRPr="00FB251A">
        <w:rPr>
          <w:rFonts w:ascii="Garamond" w:hAnsi="Garamond" w:cs="Times New Roman"/>
          <w:sz w:val="24"/>
          <w:szCs w:val="24"/>
        </w:rPr>
        <w:t xml:space="preserve">  The toleration that Bacon favors is both explicitly unlimited in its temporal scope and to be modeled on the contemporaneous policies of Henri IV in France, writing that “a toleration of religion (for a time not definite) except it be in some principal towns and precincts, after the manner of some French edicts, </w:t>
      </w:r>
      <w:proofErr w:type="spellStart"/>
      <w:r w:rsidRPr="00FB251A">
        <w:rPr>
          <w:rFonts w:ascii="Garamond" w:hAnsi="Garamond" w:cs="Times New Roman"/>
          <w:sz w:val="24"/>
          <w:szCs w:val="24"/>
        </w:rPr>
        <w:t>seemeth</w:t>
      </w:r>
      <w:proofErr w:type="spellEnd"/>
      <w:r w:rsidRPr="00FB251A">
        <w:rPr>
          <w:rFonts w:ascii="Garamond" w:hAnsi="Garamond" w:cs="Times New Roman"/>
          <w:sz w:val="24"/>
          <w:szCs w:val="24"/>
        </w:rPr>
        <w:t xml:space="preserve"> to me to be a matter warrantable by religion, and in policy of absolute necessity.”</w:t>
      </w:r>
      <w:r w:rsidRPr="00FB251A">
        <w:rPr>
          <w:rStyle w:val="FootnoteReference"/>
          <w:rFonts w:ascii="Garamond" w:hAnsi="Garamond"/>
          <w:sz w:val="24"/>
          <w:szCs w:val="24"/>
        </w:rPr>
        <w:footnoteReference w:id="130"/>
      </w:r>
      <w:r w:rsidRPr="00FB251A">
        <w:rPr>
          <w:rFonts w:ascii="Garamond" w:hAnsi="Garamond" w:cs="Times New Roman"/>
          <w:sz w:val="24"/>
          <w:szCs w:val="24"/>
        </w:rPr>
        <w:t xml:space="preserve">  Amongst the “French edicts” which Bacon seems to endorse as appropriate models of </w:t>
      </w:r>
      <w:r w:rsidRPr="00FB251A">
        <w:rPr>
          <w:rFonts w:ascii="Garamond" w:hAnsi="Garamond" w:cs="Times New Roman"/>
          <w:sz w:val="24"/>
          <w:szCs w:val="24"/>
        </w:rPr>
        <w:lastRenderedPageBreak/>
        <w:t>toleration may be the famous Edict of Nantes of April 1598, which granted toleration to Huguenot Protestants in France.</w:t>
      </w:r>
      <w:r w:rsidRPr="00FB251A">
        <w:rPr>
          <w:rStyle w:val="FootnoteReference"/>
          <w:rFonts w:ascii="Garamond" w:hAnsi="Garamond"/>
          <w:sz w:val="24"/>
          <w:szCs w:val="24"/>
        </w:rPr>
        <w:footnoteReference w:id="131"/>
      </w:r>
      <w:r w:rsidRPr="00FB251A">
        <w:rPr>
          <w:rFonts w:ascii="Garamond" w:hAnsi="Garamond" w:cs="Times New Roman"/>
          <w:sz w:val="24"/>
          <w:szCs w:val="24"/>
        </w:rPr>
        <w:t xml:space="preserve">  While Bacon does balance his policy of toleration with the promotion of Protestantism in Ireland, the modes he counsels for are non-coercive such as “the sending over of some good preachers” as well as the sponsorship of Protestant educational institutions through “the recontinuing and replenishing the college begun at Dublin”</w:t>
      </w:r>
      <w:r w:rsidRPr="00FB251A">
        <w:rPr>
          <w:rStyle w:val="FootnoteReference"/>
          <w:rFonts w:ascii="Garamond" w:hAnsi="Garamond"/>
          <w:sz w:val="24"/>
          <w:szCs w:val="24"/>
        </w:rPr>
        <w:footnoteReference w:id="132"/>
      </w:r>
      <w:r w:rsidRPr="00FB251A">
        <w:rPr>
          <w:rFonts w:ascii="Garamond" w:hAnsi="Garamond" w:cs="Times New Roman"/>
          <w:sz w:val="24"/>
          <w:szCs w:val="24"/>
        </w:rPr>
        <w:t xml:space="preserve"> alongside the sponsorship of Gallic vernacular Bibles paid for by the English crown.</w:t>
      </w:r>
      <w:r w:rsidRPr="00FB251A">
        <w:rPr>
          <w:rStyle w:val="FootnoteReference"/>
          <w:rFonts w:ascii="Garamond" w:hAnsi="Garamond"/>
          <w:sz w:val="24"/>
          <w:szCs w:val="24"/>
        </w:rPr>
        <w:footnoteReference w:id="133"/>
      </w:r>
      <w:r w:rsidRPr="00FB251A">
        <w:rPr>
          <w:rFonts w:ascii="Garamond" w:hAnsi="Garamond" w:cs="Times New Roman"/>
          <w:sz w:val="24"/>
          <w:szCs w:val="24"/>
        </w:rPr>
        <w:t xml:space="preserve"> </w:t>
      </w:r>
      <w:r w:rsidR="001E735C">
        <w:rPr>
          <w:rFonts w:ascii="Garamond" w:hAnsi="Garamond" w:cs="Times New Roman"/>
          <w:sz w:val="24"/>
          <w:szCs w:val="24"/>
        </w:rPr>
        <w:t xml:space="preserve"> </w:t>
      </w:r>
      <w:r w:rsidR="003A4BAE">
        <w:rPr>
          <w:rFonts w:ascii="Garamond" w:hAnsi="Garamond" w:cs="Times New Roman"/>
          <w:sz w:val="24"/>
          <w:szCs w:val="24"/>
        </w:rPr>
        <w:t>H</w:t>
      </w:r>
      <w:r w:rsidRPr="00FB251A">
        <w:rPr>
          <w:rFonts w:ascii="Garamond" w:hAnsi="Garamond" w:cs="Times New Roman"/>
          <w:sz w:val="24"/>
          <w:szCs w:val="24"/>
        </w:rPr>
        <w:t xml:space="preserve">e advocates “the sending over of some good preachers” as much as a politic compromise to make toleration politically palatable in England “for the avoiding of scandal and </w:t>
      </w:r>
      <w:proofErr w:type="spellStart"/>
      <w:r w:rsidRPr="00FB251A">
        <w:rPr>
          <w:rFonts w:ascii="Garamond" w:hAnsi="Garamond" w:cs="Times New Roman"/>
          <w:sz w:val="24"/>
          <w:szCs w:val="24"/>
        </w:rPr>
        <w:t>insatisfaction</w:t>
      </w:r>
      <w:proofErr w:type="spellEnd"/>
      <w:r w:rsidRPr="00FB251A">
        <w:rPr>
          <w:rFonts w:ascii="Garamond" w:hAnsi="Garamond" w:cs="Times New Roman"/>
          <w:sz w:val="24"/>
          <w:szCs w:val="24"/>
        </w:rPr>
        <w:t xml:space="preserve"> here by the show of a toleration of religion in some parts there.”</w:t>
      </w:r>
      <w:r w:rsidRPr="00FB251A">
        <w:rPr>
          <w:rStyle w:val="FootnoteReference"/>
          <w:rFonts w:ascii="Garamond" w:hAnsi="Garamond"/>
          <w:sz w:val="24"/>
          <w:szCs w:val="24"/>
        </w:rPr>
        <w:footnoteReference w:id="134"/>
      </w:r>
    </w:p>
    <w:p w14:paraId="6B3810C2" w14:textId="6784ACD6" w:rsidR="00580F87" w:rsidRPr="00FB251A" w:rsidRDefault="003A4BAE" w:rsidP="001E735C">
      <w:pPr>
        <w:tabs>
          <w:tab w:val="left" w:pos="990"/>
        </w:tabs>
        <w:spacing w:line="480" w:lineRule="auto"/>
        <w:rPr>
          <w:rFonts w:ascii="Garamond" w:hAnsi="Garamond" w:cs="Times New Roman"/>
          <w:sz w:val="24"/>
          <w:szCs w:val="24"/>
        </w:rPr>
      </w:pPr>
      <w:r>
        <w:rPr>
          <w:rFonts w:ascii="Garamond" w:hAnsi="Garamond" w:cs="Times New Roman"/>
          <w:sz w:val="24"/>
          <w:szCs w:val="24"/>
        </w:rPr>
        <w:t xml:space="preserve">This </w:t>
      </w:r>
      <w:r w:rsidR="00580F87" w:rsidRPr="00FB251A">
        <w:rPr>
          <w:rFonts w:ascii="Garamond" w:hAnsi="Garamond" w:cs="Times New Roman"/>
          <w:sz w:val="24"/>
          <w:szCs w:val="24"/>
        </w:rPr>
        <w:t xml:space="preserve">recommendation for toleration connects </w:t>
      </w:r>
      <w:r w:rsidR="001E735C">
        <w:rPr>
          <w:rFonts w:ascii="Garamond" w:hAnsi="Garamond" w:cs="Times New Roman"/>
          <w:sz w:val="24"/>
          <w:szCs w:val="24"/>
        </w:rPr>
        <w:t>Bacon’s</w:t>
      </w:r>
      <w:r w:rsidR="001E735C" w:rsidRPr="00FB251A">
        <w:rPr>
          <w:rFonts w:ascii="Garamond" w:hAnsi="Garamond" w:cs="Times New Roman"/>
          <w:sz w:val="24"/>
          <w:szCs w:val="24"/>
        </w:rPr>
        <w:t xml:space="preserve"> </w:t>
      </w:r>
      <w:r w:rsidR="00580F87" w:rsidRPr="00FB251A">
        <w:rPr>
          <w:rFonts w:ascii="Garamond" w:hAnsi="Garamond" w:cs="Times New Roman"/>
          <w:sz w:val="24"/>
          <w:szCs w:val="24"/>
        </w:rPr>
        <w:t xml:space="preserve">reflections in “Of Empire” to his specific proposals and white papers on plantations and colonies.  In “Of Empire”, Bacon cautiously counselled monarchs or would-be monarchs with respect to “their </w:t>
      </w:r>
      <w:r w:rsidR="00580F87" w:rsidRPr="00FB251A">
        <w:rPr>
          <w:rFonts w:ascii="Garamond" w:hAnsi="Garamond" w:cs="Times New Roman"/>
          <w:i/>
          <w:iCs/>
          <w:sz w:val="24"/>
          <w:szCs w:val="24"/>
        </w:rPr>
        <w:t>Commons</w:t>
      </w:r>
      <w:r w:rsidR="00580F87" w:rsidRPr="00FB251A">
        <w:rPr>
          <w:rFonts w:ascii="Garamond" w:hAnsi="Garamond" w:cs="Times New Roman"/>
          <w:sz w:val="24"/>
          <w:szCs w:val="24"/>
        </w:rPr>
        <w:t>”, writing that “There is little danger from them, except it be, where they have Great and Potent Heads; Or where you meddle, with the Point of Religion”.</w:t>
      </w:r>
      <w:r w:rsidR="00580F87" w:rsidRPr="00FB251A">
        <w:rPr>
          <w:rStyle w:val="FootnoteReference"/>
          <w:rFonts w:ascii="Garamond" w:hAnsi="Garamond"/>
          <w:sz w:val="24"/>
          <w:szCs w:val="24"/>
        </w:rPr>
        <w:footnoteReference w:id="135"/>
      </w:r>
      <w:r w:rsidR="00580F87" w:rsidRPr="00FB251A">
        <w:rPr>
          <w:rFonts w:ascii="Garamond" w:hAnsi="Garamond" w:cs="Times New Roman"/>
          <w:sz w:val="24"/>
          <w:szCs w:val="24"/>
        </w:rPr>
        <w:t xml:space="preserve"> To force conversion in Ireland, to imitate the Spanish Inquisition, or to plant Protestantism by means other than persuasive, would seem, at least initially, to amount to meddling in the point of religion, one of the few, though potent, factors which may make “the </w:t>
      </w:r>
      <w:r w:rsidR="00580F87" w:rsidRPr="00FB251A">
        <w:rPr>
          <w:rFonts w:ascii="Garamond" w:hAnsi="Garamond" w:cs="Times New Roman"/>
          <w:i/>
          <w:iCs/>
          <w:sz w:val="24"/>
          <w:szCs w:val="24"/>
        </w:rPr>
        <w:t>Commons</w:t>
      </w:r>
      <w:r w:rsidR="00580F87" w:rsidRPr="00FB251A">
        <w:rPr>
          <w:rFonts w:ascii="Garamond" w:hAnsi="Garamond" w:cs="Times New Roman"/>
          <w:sz w:val="24"/>
          <w:szCs w:val="24"/>
        </w:rPr>
        <w:t xml:space="preserve">” a danger to a monarch and stir them to rebellion and revolt.  In his </w:t>
      </w:r>
      <w:r w:rsidR="00580F87" w:rsidRPr="00FB251A">
        <w:rPr>
          <w:rFonts w:ascii="Garamond" w:hAnsi="Garamond" w:cs="Times New Roman"/>
          <w:i/>
          <w:sz w:val="24"/>
          <w:szCs w:val="24"/>
        </w:rPr>
        <w:t>Considerations touching the Queen’s service in Ireland</w:t>
      </w:r>
      <w:r w:rsidR="00580F87" w:rsidRPr="00FB251A">
        <w:rPr>
          <w:rFonts w:ascii="Garamond" w:hAnsi="Garamond" w:cs="Times New Roman"/>
          <w:sz w:val="24"/>
          <w:szCs w:val="24"/>
        </w:rPr>
        <w:t xml:space="preserve">, Bacon would make a similar point, claiming that “one of the principal </w:t>
      </w:r>
      <w:proofErr w:type="spellStart"/>
      <w:r w:rsidR="00580F87" w:rsidRPr="00FB251A">
        <w:rPr>
          <w:rFonts w:ascii="Garamond" w:hAnsi="Garamond" w:cs="Times New Roman"/>
          <w:sz w:val="24"/>
          <w:szCs w:val="24"/>
        </w:rPr>
        <w:t>pretences</w:t>
      </w:r>
      <w:proofErr w:type="spellEnd"/>
      <w:r w:rsidR="00580F87" w:rsidRPr="00FB251A">
        <w:rPr>
          <w:rFonts w:ascii="Garamond" w:hAnsi="Garamond" w:cs="Times New Roman"/>
          <w:sz w:val="24"/>
          <w:szCs w:val="24"/>
        </w:rPr>
        <w:t xml:space="preserve"> whereby the heads of the rebellion have prevailed both with the people </w:t>
      </w:r>
      <w:r w:rsidR="00580F87" w:rsidRPr="00FB251A">
        <w:rPr>
          <w:rFonts w:ascii="Garamond" w:hAnsi="Garamond" w:cs="Times New Roman"/>
          <w:sz w:val="24"/>
          <w:szCs w:val="24"/>
        </w:rPr>
        <w:lastRenderedPageBreak/>
        <w:t xml:space="preserve">and with the foreigner, hath been the </w:t>
      </w:r>
      <w:proofErr w:type="spellStart"/>
      <w:r w:rsidR="00580F87" w:rsidRPr="00FB251A">
        <w:rPr>
          <w:rFonts w:ascii="Garamond" w:hAnsi="Garamond" w:cs="Times New Roman"/>
          <w:sz w:val="24"/>
          <w:szCs w:val="24"/>
        </w:rPr>
        <w:t>defence</w:t>
      </w:r>
      <w:proofErr w:type="spellEnd"/>
      <w:r w:rsidR="00580F87" w:rsidRPr="00FB251A">
        <w:rPr>
          <w:rFonts w:ascii="Garamond" w:hAnsi="Garamond" w:cs="Times New Roman"/>
          <w:sz w:val="24"/>
          <w:szCs w:val="24"/>
        </w:rPr>
        <w:t xml:space="preserve"> of the Catholic religion.”</w:t>
      </w:r>
      <w:r w:rsidR="00580F87" w:rsidRPr="00FB251A">
        <w:rPr>
          <w:rStyle w:val="FootnoteReference"/>
          <w:rFonts w:ascii="Garamond" w:hAnsi="Garamond"/>
          <w:sz w:val="24"/>
          <w:szCs w:val="24"/>
        </w:rPr>
        <w:footnoteReference w:id="136"/>
      </w:r>
      <w:r w:rsidR="00580F87" w:rsidRPr="00FB251A">
        <w:rPr>
          <w:rFonts w:ascii="Garamond" w:hAnsi="Garamond" w:cs="Times New Roman"/>
          <w:sz w:val="24"/>
          <w:szCs w:val="24"/>
        </w:rPr>
        <w:t xml:space="preserve">  Bacon counsels the removal of the </w:t>
      </w:r>
      <w:r w:rsidR="00B25B0C" w:rsidRPr="00FB251A">
        <w:rPr>
          <w:rFonts w:ascii="Garamond" w:hAnsi="Garamond" w:cs="Times New Roman"/>
          <w:sz w:val="24"/>
          <w:szCs w:val="24"/>
        </w:rPr>
        <w:t>pretense</w:t>
      </w:r>
      <w:r w:rsidR="00580F87" w:rsidRPr="00FB251A">
        <w:rPr>
          <w:rFonts w:ascii="Garamond" w:hAnsi="Garamond" w:cs="Times New Roman"/>
          <w:sz w:val="24"/>
          <w:szCs w:val="24"/>
        </w:rPr>
        <w:t xml:space="preserve"> for rebellion through the toleration of Catholicism in Ireland. </w:t>
      </w:r>
      <w:r w:rsidR="00580F87" w:rsidRPr="00FB251A">
        <w:rPr>
          <w:rFonts w:ascii="Garamond" w:hAnsi="Garamond" w:cs="Times New Roman"/>
          <w:i/>
          <w:sz w:val="24"/>
          <w:szCs w:val="24"/>
        </w:rPr>
        <w:t xml:space="preserve"> </w:t>
      </w:r>
      <w:r w:rsidR="00580F87" w:rsidRPr="00FB251A">
        <w:rPr>
          <w:rFonts w:ascii="Garamond" w:hAnsi="Garamond" w:cs="Times New Roman"/>
          <w:sz w:val="24"/>
          <w:szCs w:val="24"/>
        </w:rPr>
        <w:t>As one especially concerned to restore Ireland</w:t>
      </w:r>
      <w:r>
        <w:rPr>
          <w:rFonts w:ascii="Garamond" w:hAnsi="Garamond" w:cs="Times New Roman"/>
          <w:sz w:val="24"/>
          <w:szCs w:val="24"/>
        </w:rPr>
        <w:t xml:space="preserve"> </w:t>
      </w:r>
      <w:r w:rsidR="00580F87" w:rsidRPr="00FB251A">
        <w:rPr>
          <w:rFonts w:ascii="Garamond" w:hAnsi="Garamond" w:cs="Times New Roman"/>
          <w:sz w:val="24"/>
          <w:szCs w:val="24"/>
        </w:rPr>
        <w:t>to its obedience to the holder of the English crown,</w:t>
      </w:r>
      <w:r w:rsidR="00580F87" w:rsidRPr="00FB251A">
        <w:rPr>
          <w:rStyle w:val="FootnoteReference"/>
          <w:rFonts w:ascii="Garamond" w:hAnsi="Garamond"/>
          <w:sz w:val="24"/>
          <w:szCs w:val="24"/>
        </w:rPr>
        <w:footnoteReference w:id="137"/>
      </w:r>
      <w:r w:rsidR="00580F87" w:rsidRPr="00FB251A">
        <w:rPr>
          <w:rFonts w:ascii="Garamond" w:hAnsi="Garamond" w:cs="Times New Roman"/>
          <w:sz w:val="24"/>
          <w:szCs w:val="24"/>
        </w:rPr>
        <w:t xml:space="preserve"> Bacon’s advocacy of toleration of Catholicism there may be seen to be consistent with his broader counsels on how best to keep the common people and those who might stir them up in obedience to the holders of imperial and monarchic power.</w:t>
      </w:r>
    </w:p>
    <w:p w14:paraId="60E7CEBF" w14:textId="27EC64DA" w:rsidR="00580F87" w:rsidRPr="007D7379" w:rsidRDefault="00580F87" w:rsidP="00E620EA">
      <w:pPr>
        <w:pStyle w:val="ListParagraph"/>
        <w:numPr>
          <w:ilvl w:val="0"/>
          <w:numId w:val="1"/>
        </w:numPr>
        <w:spacing w:line="480" w:lineRule="auto"/>
        <w:rPr>
          <w:rFonts w:ascii="Garamond" w:hAnsi="Garamond" w:cs="Times New Roman"/>
          <w:i/>
          <w:sz w:val="24"/>
          <w:szCs w:val="24"/>
        </w:rPr>
      </w:pPr>
      <w:r w:rsidRPr="007D7379">
        <w:rPr>
          <w:rFonts w:ascii="Garamond" w:hAnsi="Garamond" w:cs="Times New Roman"/>
          <w:i/>
          <w:sz w:val="24"/>
          <w:szCs w:val="24"/>
        </w:rPr>
        <w:t>Conclusion</w:t>
      </w:r>
    </w:p>
    <w:p w14:paraId="37F3615C" w14:textId="225918F5" w:rsidR="00580F87" w:rsidRPr="00FB251A" w:rsidRDefault="00580F87" w:rsidP="00E620EA">
      <w:pPr>
        <w:spacing w:line="480" w:lineRule="auto"/>
        <w:rPr>
          <w:rFonts w:ascii="Garamond" w:hAnsi="Garamond" w:cs="Times New Roman"/>
          <w:sz w:val="24"/>
          <w:szCs w:val="24"/>
        </w:rPr>
      </w:pPr>
      <w:r w:rsidRPr="00FB251A">
        <w:rPr>
          <w:rFonts w:ascii="Garamond" w:hAnsi="Garamond" w:cs="Times New Roman"/>
          <w:sz w:val="24"/>
          <w:szCs w:val="24"/>
        </w:rPr>
        <w:t xml:space="preserve">Bacon’s thought on colonial and imperial warfare hinges importantly on the title of conquest, which </w:t>
      </w:r>
      <w:r w:rsidR="003A4BAE">
        <w:rPr>
          <w:rFonts w:ascii="Garamond" w:hAnsi="Garamond" w:cs="Times New Roman"/>
          <w:sz w:val="24"/>
          <w:szCs w:val="24"/>
        </w:rPr>
        <w:t xml:space="preserve">he took </w:t>
      </w:r>
      <w:r w:rsidRPr="00FB251A">
        <w:rPr>
          <w:rFonts w:ascii="Garamond" w:hAnsi="Garamond" w:cs="Times New Roman"/>
          <w:sz w:val="24"/>
          <w:szCs w:val="24"/>
        </w:rPr>
        <w:t xml:space="preserve">to be natural and to ground future legality in places acquired by conquest.  Conquest, as we have seen, however, carried ideological baggage in late Tudor and early Stuart political discourse. Bacon distinguished the public act of </w:t>
      </w:r>
      <w:r w:rsidRPr="00FB251A">
        <w:rPr>
          <w:rFonts w:ascii="Garamond" w:hAnsi="Garamond" w:cs="Times New Roman"/>
          <w:i/>
          <w:sz w:val="24"/>
          <w:szCs w:val="24"/>
        </w:rPr>
        <w:t>claiming</w:t>
      </w:r>
      <w:r w:rsidRPr="00FB251A">
        <w:rPr>
          <w:rFonts w:ascii="Garamond" w:hAnsi="Garamond" w:cs="Times New Roman"/>
          <w:sz w:val="24"/>
          <w:szCs w:val="24"/>
        </w:rPr>
        <w:t xml:space="preserve"> a title to conquest from the politic posture of </w:t>
      </w:r>
      <w:r w:rsidRPr="00FB251A">
        <w:rPr>
          <w:rFonts w:ascii="Garamond" w:hAnsi="Garamond" w:cs="Times New Roman"/>
          <w:i/>
          <w:sz w:val="24"/>
          <w:szCs w:val="24"/>
        </w:rPr>
        <w:t xml:space="preserve">ruling </w:t>
      </w:r>
      <w:r w:rsidRPr="00FB251A">
        <w:rPr>
          <w:rFonts w:ascii="Garamond" w:hAnsi="Garamond" w:cs="Times New Roman"/>
          <w:sz w:val="24"/>
          <w:szCs w:val="24"/>
        </w:rPr>
        <w:t xml:space="preserve">as a conqueror (instituting martial law and ruling monarchically) under various titles, and he exhorted his addressees in colonial and imperial matters to do the latter.  In this regard, Bacon’s concern with imperial and colonial warfare is intimately linked to his concern with warfare closer to home, with the maintenance of internal order and the prevention of civil war.  </w:t>
      </w:r>
    </w:p>
    <w:p w14:paraId="06248537" w14:textId="6FC8D86D" w:rsidR="007D7379" w:rsidRDefault="007D7379" w:rsidP="00E620EA">
      <w:pPr>
        <w:spacing w:line="480" w:lineRule="auto"/>
        <w:rPr>
          <w:rFonts w:ascii="Garamond" w:eastAsia="Times New Roman" w:hAnsi="Garamond" w:cs="Times New Roman"/>
          <w:sz w:val="24"/>
          <w:szCs w:val="24"/>
          <w:lang w:eastAsia="en-GB"/>
        </w:rPr>
      </w:pPr>
      <w:r>
        <w:rPr>
          <w:rFonts w:ascii="Garamond" w:eastAsia="Times New Roman" w:hAnsi="Garamond" w:cs="Times New Roman"/>
          <w:sz w:val="24"/>
          <w:szCs w:val="24"/>
          <w:lang w:eastAsia="en-GB"/>
        </w:rPr>
        <w:t xml:space="preserve">Against interpretations that colonization and empire did not play any or any significant role in Bacon’s thought, the present article has moved from presenting Bacon’s view that conquest confers legal title to his advocacy for wars for colonial plantations and empire in his essays “Of Plantations” and “Of Empire”.  From there, the article laid out Bacon’s views on the place of colonial and imperial warfare within Bacon’s writings on greatness and his view that internal rebels (under which heading he viewed Irish opponents of colonization) forfeit their juridical status under the laws of </w:t>
      </w:r>
      <w:r>
        <w:rPr>
          <w:rFonts w:ascii="Garamond" w:eastAsia="Times New Roman" w:hAnsi="Garamond" w:cs="Times New Roman"/>
          <w:sz w:val="24"/>
          <w:szCs w:val="24"/>
          <w:lang w:eastAsia="en-GB"/>
        </w:rPr>
        <w:lastRenderedPageBreak/>
        <w:t xml:space="preserve">treason.  The article then offered an interpretation of Bacon’s colonial proposals for Ireland to argue for the capacious scope of colonial and imperial warfare within his thought, looking particularly at Bacon’s view of religious toleration as a stratagem of imperial rule. </w:t>
      </w:r>
    </w:p>
    <w:p w14:paraId="0EEAD673" w14:textId="2602DDB4" w:rsidR="00580F87" w:rsidRPr="00FB251A" w:rsidRDefault="00580F87" w:rsidP="00E620EA">
      <w:pPr>
        <w:spacing w:line="480" w:lineRule="auto"/>
        <w:rPr>
          <w:rFonts w:ascii="Garamond" w:hAnsi="Garamond" w:cs="Times New Roman"/>
          <w:sz w:val="24"/>
          <w:szCs w:val="24"/>
        </w:rPr>
      </w:pPr>
      <w:r w:rsidRPr="00FB251A">
        <w:rPr>
          <w:rFonts w:ascii="Garamond" w:eastAsia="Times New Roman" w:hAnsi="Garamond" w:cs="Times New Roman"/>
          <w:sz w:val="24"/>
          <w:szCs w:val="24"/>
          <w:lang w:eastAsia="en-GB"/>
        </w:rPr>
        <w:t xml:space="preserve">In part, this </w:t>
      </w:r>
      <w:r>
        <w:rPr>
          <w:rFonts w:ascii="Garamond" w:eastAsia="Times New Roman" w:hAnsi="Garamond" w:cs="Times New Roman"/>
          <w:sz w:val="24"/>
          <w:szCs w:val="24"/>
          <w:lang w:eastAsia="en-GB"/>
        </w:rPr>
        <w:t>article</w:t>
      </w:r>
      <w:r w:rsidRPr="00FB251A">
        <w:rPr>
          <w:rFonts w:ascii="Garamond" w:eastAsia="Times New Roman" w:hAnsi="Garamond" w:cs="Times New Roman"/>
          <w:sz w:val="24"/>
          <w:szCs w:val="24"/>
          <w:lang w:eastAsia="en-GB"/>
        </w:rPr>
        <w:t xml:space="preserve"> has confirmed an older conception of Bacon’s political thought: “Bacon prefers a monarchical government of cautious imperialistic disposition to stimulate science, civic peace, commerce and religious toleration.”</w:t>
      </w:r>
      <w:r w:rsidRPr="00FB251A">
        <w:rPr>
          <w:rStyle w:val="FootnoteReference"/>
          <w:rFonts w:ascii="Garamond" w:eastAsia="Times New Roman" w:hAnsi="Garamond"/>
          <w:sz w:val="24"/>
          <w:szCs w:val="24"/>
          <w:lang w:eastAsia="en-GB"/>
        </w:rPr>
        <w:footnoteReference w:id="138"/>
      </w:r>
      <w:r w:rsidRPr="00FB251A">
        <w:rPr>
          <w:rFonts w:ascii="Garamond" w:eastAsia="Times New Roman" w:hAnsi="Garamond" w:cs="Times New Roman"/>
          <w:sz w:val="24"/>
          <w:szCs w:val="24"/>
          <w:lang w:eastAsia="en-GB"/>
        </w:rPr>
        <w:t xml:space="preserve"> But only in part: there was very little caution in Bacon’s imperialism</w:t>
      </w:r>
      <w:r w:rsidR="007E250D">
        <w:rPr>
          <w:rFonts w:ascii="Garamond" w:eastAsia="Times New Roman" w:hAnsi="Garamond" w:cs="Times New Roman"/>
          <w:sz w:val="24"/>
          <w:szCs w:val="24"/>
          <w:lang w:eastAsia="en-GB"/>
        </w:rPr>
        <w:t>,</w:t>
      </w:r>
      <w:r w:rsidRPr="00FB251A">
        <w:rPr>
          <w:rFonts w:ascii="Garamond" w:eastAsia="Times New Roman" w:hAnsi="Garamond" w:cs="Times New Roman"/>
          <w:sz w:val="24"/>
          <w:szCs w:val="24"/>
          <w:lang w:eastAsia="en-GB"/>
        </w:rPr>
        <w:t xml:space="preserve"> and his enthusiasm for colonial and imperial expansion meant expanding not cautiously, but at a rate aimed specifically at overtaking (or at the very least matching) the expansion of the Spanish Empire: to expand at a slower rate would risk upending the balance of power in Europe permanently in Spain’s favor to the detriment of both England and France.  Modifying this view further, as we have seen, Bacon’s preference for religious toleration was not only an end or aim of his policy of colonial plantations; it was a means for their stable government and retention as well.</w:t>
      </w:r>
    </w:p>
    <w:p w14:paraId="6231ACF4" w14:textId="5212F98D" w:rsidR="00580F87" w:rsidRPr="00FB251A" w:rsidRDefault="00580F87" w:rsidP="00E620EA">
      <w:pPr>
        <w:spacing w:line="480" w:lineRule="auto"/>
        <w:rPr>
          <w:rFonts w:ascii="Garamond" w:hAnsi="Garamond" w:cs="Times New Roman"/>
          <w:sz w:val="24"/>
          <w:szCs w:val="24"/>
        </w:rPr>
      </w:pPr>
      <w:r w:rsidRPr="00FB251A">
        <w:rPr>
          <w:rFonts w:ascii="Garamond" w:hAnsi="Garamond" w:cs="Times New Roman"/>
          <w:sz w:val="24"/>
          <w:szCs w:val="24"/>
        </w:rPr>
        <w:t xml:space="preserve">Most clearly in </w:t>
      </w:r>
      <w:r w:rsidRPr="00FB251A">
        <w:rPr>
          <w:rFonts w:ascii="Garamond" w:hAnsi="Garamond" w:cs="Times New Roman"/>
          <w:i/>
          <w:iCs/>
          <w:sz w:val="24"/>
          <w:szCs w:val="24"/>
        </w:rPr>
        <w:t>Of the true greatness of the Kingdom of Britain</w:t>
      </w:r>
      <w:r w:rsidRPr="00FB251A">
        <w:rPr>
          <w:rFonts w:ascii="Garamond" w:hAnsi="Garamond" w:cs="Times New Roman"/>
          <w:sz w:val="24"/>
          <w:szCs w:val="24"/>
        </w:rPr>
        <w:t>, Bacon argues that in the Britain of his time, the conditions obtain either for civil war or for external imperial expansion: a warlike populace, an excessively large nobility, and a great disparity of wealth between the two, such that, as Bacon quotes Lucan, war is profitable to many: these many can either be sent to colonize other places, such as Ireland, America, or perhaps the Spanish Netherlands</w:t>
      </w:r>
      <w:r w:rsidRPr="00FB251A">
        <w:rPr>
          <w:rStyle w:val="FootnoteReference"/>
          <w:rFonts w:ascii="Garamond" w:hAnsi="Garamond"/>
          <w:sz w:val="24"/>
          <w:szCs w:val="24"/>
        </w:rPr>
        <w:footnoteReference w:id="139"/>
      </w:r>
      <w:r w:rsidRPr="00FB251A">
        <w:rPr>
          <w:rFonts w:ascii="Garamond" w:hAnsi="Garamond" w:cs="Times New Roman"/>
          <w:sz w:val="24"/>
          <w:szCs w:val="24"/>
        </w:rPr>
        <w:t xml:space="preserve"> or Spain itself for that matter, or they can stay put, in which case civil war is possible, perhaps even likely.  Bacon thinks that imperial expansion is preferable to civil war, and that Britain is faced with something of a binary choice. This assessment shapes his thought on empire, colonies, and an external policy of expansion as a whole.  </w:t>
      </w:r>
      <w:r w:rsidRPr="00FB251A">
        <w:rPr>
          <w:rFonts w:ascii="Garamond" w:hAnsi="Garamond" w:cs="Times New Roman"/>
          <w:sz w:val="24"/>
          <w:szCs w:val="24"/>
        </w:rPr>
        <w:lastRenderedPageBreak/>
        <w:t>However, faced with the choice between civil war and empire in the seventeenth century, Britain, tragically, chose both.</w:t>
      </w:r>
    </w:p>
    <w:p w14:paraId="7277827B" w14:textId="77777777" w:rsidR="00580F87" w:rsidRDefault="00580F87" w:rsidP="00E620EA">
      <w:pPr>
        <w:spacing w:line="480" w:lineRule="auto"/>
      </w:pPr>
    </w:p>
    <w:sectPr w:rsidR="00580F87">
      <w:footerReference w:type="default" r:id="rId8"/>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95E7E" w16cex:dateUtc="2020-05-15T23:31:00Z"/>
  <w16cex:commentExtensible w16cex:durableId="22696001" w16cex:dateUtc="2020-05-15T23:37:00Z"/>
  <w16cex:commentExtensible w16cex:durableId="226961ED" w16cex:dateUtc="2020-05-15T23:46:00Z"/>
  <w16cex:commentExtensible w16cex:durableId="226968FC" w16cex:dateUtc="2020-05-16T00:16:00Z"/>
  <w16cex:commentExtensible w16cex:durableId="22696AAC" w16cex:dateUtc="2020-05-16T00:23:00Z"/>
  <w16cex:commentExtensible w16cex:durableId="22696FCE" w16cex:dateUtc="2020-05-16T00:45:00Z"/>
  <w16cex:commentExtensible w16cex:durableId="22696FFC" w16cex:dateUtc="2020-05-16T00:46:00Z"/>
  <w16cex:commentExtensible w16cex:durableId="226A58E8" w16cex:dateUtc="2020-05-16T17:19:00Z"/>
  <w16cex:commentExtensible w16cex:durableId="226A5B19" w16cex:dateUtc="2020-05-16T17:29:00Z"/>
  <w16cex:commentExtensible w16cex:durableId="226A5CFC" w16cex:dateUtc="2020-05-16T17:37:00Z"/>
  <w16cex:commentExtensible w16cex:durableId="226A5E20" w16cex:dateUtc="2020-05-16T17:4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83E042" w14:textId="77777777" w:rsidR="00244DAB" w:rsidRDefault="00244DAB" w:rsidP="00580F87">
      <w:pPr>
        <w:spacing w:after="0" w:line="240" w:lineRule="auto"/>
      </w:pPr>
      <w:r>
        <w:separator/>
      </w:r>
    </w:p>
  </w:endnote>
  <w:endnote w:type="continuationSeparator" w:id="0">
    <w:p w14:paraId="3B6D40D4" w14:textId="77777777" w:rsidR="00244DAB" w:rsidRDefault="00244DAB" w:rsidP="00580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82213936"/>
      <w:docPartObj>
        <w:docPartGallery w:val="Page Numbers (Bottom of Page)"/>
        <w:docPartUnique/>
      </w:docPartObj>
    </w:sdtPr>
    <w:sdtEndPr>
      <w:rPr>
        <w:noProof/>
      </w:rPr>
    </w:sdtEndPr>
    <w:sdtContent>
      <w:p w14:paraId="719C6B8C" w14:textId="14DEA9AC" w:rsidR="00B83D63" w:rsidRDefault="00B83D63">
        <w:pPr>
          <w:pStyle w:val="Footer"/>
          <w:jc w:val="center"/>
        </w:pPr>
        <w:r>
          <w:fldChar w:fldCharType="begin"/>
        </w:r>
        <w:r>
          <w:instrText xml:space="preserve"> PAGE   \* MERGEFORMAT </w:instrText>
        </w:r>
        <w:r>
          <w:fldChar w:fldCharType="separate"/>
        </w:r>
        <w:r>
          <w:rPr>
            <w:noProof/>
          </w:rPr>
          <w:t>23</w:t>
        </w:r>
        <w:r>
          <w:rPr>
            <w:noProof/>
          </w:rPr>
          <w:fldChar w:fldCharType="end"/>
        </w:r>
      </w:p>
    </w:sdtContent>
  </w:sdt>
  <w:p w14:paraId="12C2FAD4" w14:textId="77777777" w:rsidR="00B83D63" w:rsidRDefault="00B83D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1E523" w14:textId="77777777" w:rsidR="00244DAB" w:rsidRDefault="00244DAB" w:rsidP="00580F87">
      <w:pPr>
        <w:spacing w:after="0" w:line="240" w:lineRule="auto"/>
      </w:pPr>
      <w:r>
        <w:separator/>
      </w:r>
    </w:p>
  </w:footnote>
  <w:footnote w:type="continuationSeparator" w:id="0">
    <w:p w14:paraId="275AB0F0" w14:textId="77777777" w:rsidR="00244DAB" w:rsidRDefault="00244DAB" w:rsidP="00580F87">
      <w:pPr>
        <w:spacing w:after="0" w:line="240" w:lineRule="auto"/>
      </w:pPr>
      <w:r>
        <w:continuationSeparator/>
      </w:r>
    </w:p>
  </w:footnote>
  <w:footnote w:id="1">
    <w:p w14:paraId="26C4E8CE" w14:textId="5D9A6E17" w:rsidR="00B83D63" w:rsidRPr="008B367C" w:rsidRDefault="00B83D63" w:rsidP="00580F87">
      <w:pPr>
        <w:spacing w:after="0" w:line="240" w:lineRule="auto"/>
        <w:rPr>
          <w:rFonts w:ascii="Times New Roman" w:hAnsi="Times New Roman" w:cs="Times New Roman"/>
          <w:sz w:val="20"/>
          <w:szCs w:val="20"/>
        </w:rPr>
      </w:pPr>
      <w:r w:rsidRPr="008B367C">
        <w:rPr>
          <w:rStyle w:val="FootnoteReference"/>
          <w:rFonts w:ascii="Times New Roman" w:hAnsi="Times New Roman"/>
          <w:sz w:val="20"/>
          <w:szCs w:val="20"/>
        </w:rPr>
        <w:footnoteRef/>
      </w:r>
      <w:r w:rsidRPr="008B367C">
        <w:rPr>
          <w:rFonts w:ascii="Times New Roman" w:hAnsi="Times New Roman" w:cs="Times New Roman"/>
          <w:sz w:val="20"/>
          <w:szCs w:val="20"/>
        </w:rPr>
        <w:t xml:space="preserve"> In a late-nineteenth century compilation of historical manuscripts on the English settlement of North America, Alexander Brown speculated that Bacon may have had a hand as Solicitor General in drafting the Second Charter of the Virginia Company of 1609, in which Bacon is mentioned amongst those who “shall be our Council for the said Company of Adventurers and Planters in Virginia.” Brown wrote “This charter, it seems, was drafted by Sir Edwin Sandys, assisted possibly by Lord Bacon, both of whom were at that time members of his Majesty’s Council for the company, and they were, about this time, assisting each other in drafting several instruments of writing, notably the ‘remonstrance against the King’s conduct toward the Parliament of 1604-1611.’”  See Alexander Brown (ed.), </w:t>
      </w:r>
      <w:r w:rsidRPr="008B367C">
        <w:rPr>
          <w:rFonts w:ascii="Times New Roman" w:hAnsi="Times New Roman" w:cs="Times New Roman"/>
          <w:i/>
          <w:iCs/>
          <w:sz w:val="20"/>
          <w:szCs w:val="20"/>
        </w:rPr>
        <w:t>The Genesis of the United States; A Narrative of the Movement in England, 1605-1616, Which Resulted in the Plantation of North America By Englishmen, Disclosing the Contest Between England and Spain for the Possession of the Soil Now Occupied by the United States of America</w:t>
      </w:r>
      <w:r w:rsidRPr="008B367C">
        <w:rPr>
          <w:rFonts w:ascii="Times New Roman" w:hAnsi="Times New Roman" w:cs="Times New Roman"/>
          <w:sz w:val="20"/>
          <w:szCs w:val="20"/>
        </w:rPr>
        <w:t xml:space="preserve"> (London: William Heinemann, 1890), 2 vols, I, 232; I., 207.  Some details might give one pause about Brown’s account, as in 1609 Bacon was not yet a Lord.  In his 1985 Commentary on Bacon’s </w:t>
      </w:r>
      <w:proofErr w:type="spellStart"/>
      <w:r w:rsidRPr="008B367C">
        <w:rPr>
          <w:rFonts w:ascii="Times New Roman" w:hAnsi="Times New Roman" w:cs="Times New Roman"/>
          <w:i/>
          <w:iCs/>
          <w:sz w:val="20"/>
          <w:szCs w:val="20"/>
        </w:rPr>
        <w:t>Essayes</w:t>
      </w:r>
      <w:proofErr w:type="spellEnd"/>
      <w:r w:rsidRPr="008B367C">
        <w:rPr>
          <w:rFonts w:ascii="Times New Roman" w:hAnsi="Times New Roman" w:cs="Times New Roman"/>
          <w:sz w:val="20"/>
          <w:szCs w:val="20"/>
        </w:rPr>
        <w:t xml:space="preserve">, Michael Kiernan follows Brown’s suggestion in writing that “the Second Charter for the Virginia Company (23 May 1609), which may have been prepared in part by Bacon in his capacity as Solicitor-General, established that the Governor be appointed by the Council in London.  ”  </w:t>
      </w:r>
      <w:r w:rsidRPr="008B367C">
        <w:rPr>
          <w:rFonts w:ascii="Times New Roman" w:hAnsi="Times New Roman" w:cs="Times New Roman"/>
          <w:i/>
          <w:iCs/>
          <w:sz w:val="20"/>
          <w:szCs w:val="20"/>
        </w:rPr>
        <w:t xml:space="preserve">OFB </w:t>
      </w:r>
      <w:r w:rsidRPr="008B367C">
        <w:rPr>
          <w:rFonts w:ascii="Times New Roman" w:hAnsi="Times New Roman" w:cs="Times New Roman"/>
          <w:sz w:val="20"/>
          <w:szCs w:val="20"/>
        </w:rPr>
        <w:t xml:space="preserve">XV, Kiernan, “Commentary,” 244. </w:t>
      </w:r>
    </w:p>
  </w:footnote>
  <w:footnote w:id="2">
    <w:p w14:paraId="6B23EA58" w14:textId="6F755016" w:rsidR="00B83D63" w:rsidRPr="00AB5EFE" w:rsidRDefault="00B83D63" w:rsidP="00580F87">
      <w:pPr>
        <w:pStyle w:val="FootnoteText"/>
        <w:rPr>
          <w:rFonts w:ascii="Times New Roman" w:hAnsi="Times New Roman"/>
          <w:lang w:val="en-GB"/>
        </w:rPr>
      </w:pPr>
      <w:r w:rsidRPr="00AB5EFE">
        <w:rPr>
          <w:rStyle w:val="FootnoteReference"/>
          <w:rFonts w:ascii="Times New Roman" w:hAnsi="Times New Roman"/>
        </w:rPr>
        <w:footnoteRef/>
      </w:r>
      <w:r w:rsidRPr="00AB5EFE">
        <w:rPr>
          <w:rFonts w:ascii="Times New Roman" w:hAnsi="Times New Roman"/>
        </w:rPr>
        <w:t xml:space="preserve"> Michael Kiernan, “Commentary,” </w:t>
      </w:r>
      <w:r w:rsidRPr="00DA1F39">
        <w:rPr>
          <w:rFonts w:ascii="Times New Roman" w:hAnsi="Times New Roman"/>
          <w:i/>
          <w:iCs/>
          <w:lang w:val="en-GB"/>
        </w:rPr>
        <w:t xml:space="preserve">OFB </w:t>
      </w:r>
      <w:r w:rsidRPr="00AB5EFE">
        <w:rPr>
          <w:rFonts w:ascii="Times New Roman" w:hAnsi="Times New Roman"/>
          <w:lang w:val="en-GB"/>
        </w:rPr>
        <w:t>XV,</w:t>
      </w:r>
      <w:r w:rsidRPr="00AB5EFE">
        <w:rPr>
          <w:rFonts w:ascii="Times New Roman" w:hAnsi="Times New Roman"/>
        </w:rPr>
        <w:t xml:space="preserve"> 239; See also Alexander Brown (ed.), </w:t>
      </w:r>
      <w:r w:rsidRPr="00AB5EFE">
        <w:rPr>
          <w:rFonts w:ascii="Times New Roman" w:hAnsi="Times New Roman"/>
          <w:i/>
          <w:iCs/>
        </w:rPr>
        <w:t>The Genesis of the United States</w:t>
      </w:r>
      <w:r w:rsidRPr="00AB5EFE">
        <w:rPr>
          <w:rFonts w:ascii="Times New Roman" w:hAnsi="Times New Roman"/>
        </w:rPr>
        <w:t>, I, 207; I, 232.</w:t>
      </w:r>
      <w:r>
        <w:rPr>
          <w:rFonts w:ascii="Times New Roman" w:hAnsi="Times New Roman"/>
        </w:rPr>
        <w:t xml:space="preserve">  </w:t>
      </w:r>
      <w:r w:rsidRPr="008B367C">
        <w:rPr>
          <w:rFonts w:ascii="Times New Roman" w:hAnsi="Times New Roman" w:cs="Times New Roman"/>
        </w:rPr>
        <w:t xml:space="preserve">Throughout, </w:t>
      </w:r>
      <w:r w:rsidRPr="008B367C">
        <w:rPr>
          <w:rFonts w:ascii="Times New Roman" w:hAnsi="Times New Roman" w:cs="Times New Roman"/>
          <w:i/>
          <w:iCs/>
        </w:rPr>
        <w:t xml:space="preserve">OFB </w:t>
      </w:r>
      <w:r w:rsidRPr="008B367C">
        <w:rPr>
          <w:rFonts w:ascii="Times New Roman" w:hAnsi="Times New Roman" w:cs="Times New Roman"/>
        </w:rPr>
        <w:t xml:space="preserve">refers to the </w:t>
      </w:r>
      <w:r w:rsidRPr="008B367C">
        <w:rPr>
          <w:rFonts w:ascii="Times New Roman" w:hAnsi="Times New Roman" w:cs="Times New Roman"/>
          <w:i/>
          <w:iCs/>
        </w:rPr>
        <w:t>Oxford Francis Bacon</w:t>
      </w:r>
      <w:r w:rsidRPr="008B367C">
        <w:rPr>
          <w:rFonts w:ascii="Times New Roman" w:hAnsi="Times New Roman" w:cs="Times New Roman"/>
        </w:rPr>
        <w:t>, L. Jardine, G. Rees, R. W. Serjeantson, A. Stewart, B. Vickers, eds.</w:t>
      </w:r>
      <w:r w:rsidRPr="008B367C">
        <w:rPr>
          <w:rFonts w:ascii="Times New Roman" w:hAnsi="Times New Roman" w:cs="Times New Roman"/>
          <w:i/>
          <w:iCs/>
        </w:rPr>
        <w:t xml:space="preserve"> </w:t>
      </w:r>
      <w:r w:rsidRPr="008B367C">
        <w:rPr>
          <w:rFonts w:ascii="Times New Roman" w:hAnsi="Times New Roman" w:cs="Times New Roman"/>
        </w:rPr>
        <w:t xml:space="preserve">(Oxford, 1996-present); </w:t>
      </w:r>
      <w:r w:rsidRPr="008B367C">
        <w:rPr>
          <w:rFonts w:ascii="Times New Roman" w:hAnsi="Times New Roman" w:cs="Times New Roman"/>
          <w:i/>
          <w:iCs/>
        </w:rPr>
        <w:t xml:space="preserve">LL </w:t>
      </w:r>
      <w:r w:rsidRPr="008B367C">
        <w:rPr>
          <w:rFonts w:ascii="Times New Roman" w:hAnsi="Times New Roman" w:cs="Times New Roman"/>
        </w:rPr>
        <w:t xml:space="preserve">refers to J. </w:t>
      </w:r>
      <w:proofErr w:type="spellStart"/>
      <w:r w:rsidRPr="008B367C">
        <w:rPr>
          <w:rFonts w:ascii="Times New Roman" w:hAnsi="Times New Roman" w:cs="Times New Roman"/>
        </w:rPr>
        <w:t>Spedding</w:t>
      </w:r>
      <w:proofErr w:type="spellEnd"/>
      <w:r w:rsidRPr="008B367C">
        <w:rPr>
          <w:rFonts w:ascii="Times New Roman" w:hAnsi="Times New Roman" w:cs="Times New Roman"/>
        </w:rPr>
        <w:t xml:space="preserve">, </w:t>
      </w:r>
      <w:r w:rsidRPr="008B367C">
        <w:rPr>
          <w:rFonts w:ascii="Times New Roman" w:hAnsi="Times New Roman" w:cs="Times New Roman"/>
          <w:i/>
          <w:iCs/>
        </w:rPr>
        <w:t>The Letters and the Life of Francis Bacon Including all his Occasional Works</w:t>
      </w:r>
      <w:r w:rsidRPr="008B367C">
        <w:rPr>
          <w:rFonts w:ascii="Times New Roman" w:hAnsi="Times New Roman" w:cs="Times New Roman"/>
        </w:rPr>
        <w:t xml:space="preserve">, 7 vols. (London, 1861-1874); </w:t>
      </w:r>
      <w:r w:rsidRPr="008B367C">
        <w:rPr>
          <w:rFonts w:ascii="Times New Roman" w:hAnsi="Times New Roman" w:cs="Times New Roman"/>
          <w:i/>
          <w:iCs/>
        </w:rPr>
        <w:t xml:space="preserve">SEH </w:t>
      </w:r>
      <w:r w:rsidRPr="008B367C">
        <w:rPr>
          <w:rFonts w:ascii="Times New Roman" w:hAnsi="Times New Roman" w:cs="Times New Roman"/>
        </w:rPr>
        <w:t xml:space="preserve">refers to J. </w:t>
      </w:r>
      <w:proofErr w:type="spellStart"/>
      <w:r w:rsidRPr="008B367C">
        <w:rPr>
          <w:rFonts w:ascii="Times New Roman" w:hAnsi="Times New Roman" w:cs="Times New Roman"/>
        </w:rPr>
        <w:t>Spedding</w:t>
      </w:r>
      <w:proofErr w:type="spellEnd"/>
      <w:r w:rsidRPr="008B367C">
        <w:rPr>
          <w:rFonts w:ascii="Times New Roman" w:hAnsi="Times New Roman" w:cs="Times New Roman"/>
        </w:rPr>
        <w:t xml:space="preserve">, R. L. Ellis, and D. D. Heath eds., </w:t>
      </w:r>
      <w:r w:rsidRPr="008B367C">
        <w:rPr>
          <w:rFonts w:ascii="Times New Roman" w:hAnsi="Times New Roman" w:cs="Times New Roman"/>
          <w:i/>
          <w:iCs/>
        </w:rPr>
        <w:t>The Works of Francis Bacon</w:t>
      </w:r>
      <w:r w:rsidRPr="008B367C">
        <w:rPr>
          <w:rFonts w:ascii="Times New Roman" w:hAnsi="Times New Roman" w:cs="Times New Roman"/>
        </w:rPr>
        <w:t>, 7 vols. (London, 1857-1859).</w:t>
      </w:r>
    </w:p>
  </w:footnote>
  <w:footnote w:id="3">
    <w:p w14:paraId="5BE2250F" w14:textId="464CB54A" w:rsidR="00B83D63" w:rsidRPr="00AB5EFE" w:rsidRDefault="00B83D63" w:rsidP="00580F87">
      <w:pPr>
        <w:pStyle w:val="FootnoteText"/>
        <w:rPr>
          <w:rFonts w:ascii="Times New Roman" w:hAnsi="Times New Roman"/>
          <w:lang w:val="en-GB"/>
        </w:rPr>
      </w:pPr>
      <w:r w:rsidRPr="00AB5EFE">
        <w:rPr>
          <w:rStyle w:val="FootnoteReference"/>
          <w:rFonts w:ascii="Times New Roman" w:hAnsi="Times New Roman"/>
        </w:rPr>
        <w:footnoteRef/>
      </w:r>
      <w:r w:rsidRPr="00AB5EFE">
        <w:rPr>
          <w:rFonts w:ascii="Times New Roman" w:hAnsi="Times New Roman"/>
        </w:rPr>
        <w:t xml:space="preserve"> Kiernan, “Commentary,” </w:t>
      </w:r>
      <w:r>
        <w:rPr>
          <w:rFonts w:ascii="Times New Roman" w:hAnsi="Times New Roman"/>
          <w:i/>
          <w:iCs/>
          <w:lang w:val="en-GB"/>
        </w:rPr>
        <w:t>OFB</w:t>
      </w:r>
      <w:r w:rsidRPr="00AB5EFE">
        <w:rPr>
          <w:rFonts w:ascii="Times New Roman" w:hAnsi="Times New Roman"/>
          <w:lang w:val="en-GB"/>
        </w:rPr>
        <w:t xml:space="preserve"> XV,</w:t>
      </w:r>
      <w:r w:rsidRPr="00AB5EFE">
        <w:rPr>
          <w:rFonts w:ascii="Times New Roman" w:hAnsi="Times New Roman"/>
        </w:rPr>
        <w:t xml:space="preserve"> 239.</w:t>
      </w:r>
    </w:p>
  </w:footnote>
  <w:footnote w:id="4">
    <w:p w14:paraId="0DB48A4B" w14:textId="07D3AA28" w:rsidR="00B83D63" w:rsidRPr="00AB5EFE" w:rsidRDefault="00B83D63" w:rsidP="00580F87">
      <w:pPr>
        <w:pStyle w:val="FootnoteText"/>
        <w:rPr>
          <w:rFonts w:ascii="Times New Roman" w:hAnsi="Times New Roman"/>
          <w:lang w:val="en-GB"/>
        </w:rPr>
      </w:pPr>
      <w:r w:rsidRPr="00AB5EFE">
        <w:rPr>
          <w:rStyle w:val="FootnoteReference"/>
          <w:rFonts w:ascii="Times New Roman" w:hAnsi="Times New Roman"/>
        </w:rPr>
        <w:footnoteRef/>
      </w:r>
      <w:r w:rsidRPr="00AB5EFE">
        <w:rPr>
          <w:rFonts w:ascii="Times New Roman" w:hAnsi="Times New Roman"/>
        </w:rPr>
        <w:t xml:space="preserve"> Kiernan, “Commentary,” </w:t>
      </w:r>
      <w:r>
        <w:rPr>
          <w:rFonts w:ascii="Times New Roman" w:hAnsi="Times New Roman"/>
          <w:i/>
          <w:iCs/>
          <w:lang w:val="en-GB"/>
        </w:rPr>
        <w:t>OFB</w:t>
      </w:r>
      <w:r w:rsidRPr="00AB5EFE">
        <w:rPr>
          <w:rFonts w:ascii="Times New Roman" w:hAnsi="Times New Roman"/>
          <w:lang w:val="en-GB"/>
        </w:rPr>
        <w:t xml:space="preserve"> XV,</w:t>
      </w:r>
      <w:r w:rsidRPr="00AB5EFE">
        <w:rPr>
          <w:rFonts w:ascii="Times New Roman" w:hAnsi="Times New Roman"/>
        </w:rPr>
        <w:t xml:space="preserve"> 239.</w:t>
      </w:r>
    </w:p>
  </w:footnote>
  <w:footnote w:id="5">
    <w:p w14:paraId="622A0A8E" w14:textId="5E3384F0"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Kiernan, “Commentary,” </w:t>
      </w:r>
      <w:r>
        <w:rPr>
          <w:rFonts w:ascii="Times New Roman" w:hAnsi="Times New Roman"/>
          <w:i/>
          <w:iCs/>
          <w:lang w:val="en-GB"/>
        </w:rPr>
        <w:t>OFB</w:t>
      </w:r>
      <w:r w:rsidRPr="00AB5EFE">
        <w:rPr>
          <w:rFonts w:ascii="Times New Roman" w:hAnsi="Times New Roman"/>
          <w:lang w:val="en-GB"/>
        </w:rPr>
        <w:t xml:space="preserve"> XV,</w:t>
      </w:r>
      <w:r w:rsidRPr="00AB5EFE">
        <w:rPr>
          <w:rFonts w:ascii="Times New Roman" w:hAnsi="Times New Roman"/>
        </w:rPr>
        <w:t xml:space="preserve"> 239.</w:t>
      </w:r>
    </w:p>
  </w:footnote>
  <w:footnote w:id="6">
    <w:p w14:paraId="46D6AE47" w14:textId="4743D398" w:rsidR="00B83D63" w:rsidRPr="006E5108" w:rsidRDefault="00B83D63">
      <w:pPr>
        <w:pStyle w:val="FootnoteText"/>
        <w:rPr>
          <w:rFonts w:ascii="Times New Roman" w:hAnsi="Times New Roman" w:cs="Times New Roman"/>
        </w:rPr>
      </w:pPr>
      <w:r w:rsidRPr="006E5108">
        <w:rPr>
          <w:rStyle w:val="FootnoteReference"/>
          <w:rFonts w:ascii="Times New Roman" w:hAnsi="Times New Roman" w:cs="Times New Roman"/>
        </w:rPr>
        <w:footnoteRef/>
      </w:r>
      <w:r w:rsidRPr="006E5108">
        <w:rPr>
          <w:rFonts w:ascii="Times New Roman" w:hAnsi="Times New Roman" w:cs="Times New Roman"/>
        </w:rPr>
        <w:t xml:space="preserve"> Anthony Quinton, </w:t>
      </w:r>
      <w:r w:rsidRPr="006E5108">
        <w:rPr>
          <w:rFonts w:ascii="Times New Roman" w:hAnsi="Times New Roman" w:cs="Times New Roman"/>
          <w:i/>
          <w:iCs/>
        </w:rPr>
        <w:t xml:space="preserve">Francis Bacon </w:t>
      </w:r>
      <w:r w:rsidRPr="006E5108">
        <w:rPr>
          <w:rFonts w:ascii="Times New Roman" w:hAnsi="Times New Roman" w:cs="Times New Roman"/>
        </w:rPr>
        <w:t>(Oxford</w:t>
      </w:r>
      <w:r>
        <w:rPr>
          <w:rFonts w:ascii="Times New Roman" w:hAnsi="Times New Roman" w:cs="Times New Roman"/>
        </w:rPr>
        <w:t>:</w:t>
      </w:r>
      <w:r w:rsidRPr="006E5108">
        <w:rPr>
          <w:rFonts w:ascii="Times New Roman" w:hAnsi="Times New Roman" w:cs="Times New Roman"/>
        </w:rPr>
        <w:t xml:space="preserve"> Oxford University Press, 1980)</w:t>
      </w:r>
      <w:r>
        <w:rPr>
          <w:rFonts w:ascii="Times New Roman" w:hAnsi="Times New Roman" w:cs="Times New Roman"/>
        </w:rPr>
        <w:t xml:space="preserve">; Charles W. </w:t>
      </w:r>
      <w:proofErr w:type="spellStart"/>
      <w:r>
        <w:rPr>
          <w:rFonts w:ascii="Times New Roman" w:hAnsi="Times New Roman" w:cs="Times New Roman"/>
        </w:rPr>
        <w:t>Lemmi</w:t>
      </w:r>
      <w:proofErr w:type="spellEnd"/>
      <w:r>
        <w:rPr>
          <w:rFonts w:ascii="Times New Roman" w:hAnsi="Times New Roman" w:cs="Times New Roman"/>
        </w:rPr>
        <w:t xml:space="preserve">, </w:t>
      </w:r>
      <w:r>
        <w:rPr>
          <w:rFonts w:ascii="Times New Roman" w:hAnsi="Times New Roman" w:cs="Times New Roman"/>
          <w:i/>
          <w:iCs/>
        </w:rPr>
        <w:t xml:space="preserve">The Classic Deities in Bacon </w:t>
      </w:r>
      <w:r>
        <w:rPr>
          <w:rFonts w:ascii="Times New Roman" w:hAnsi="Times New Roman" w:cs="Times New Roman"/>
        </w:rPr>
        <w:t xml:space="preserve">(Baltimore: The Johns Hopkins University Press, 1933); C. D. Broad, </w:t>
      </w:r>
      <w:r>
        <w:rPr>
          <w:rFonts w:ascii="Times New Roman" w:hAnsi="Times New Roman" w:cs="Times New Roman"/>
          <w:i/>
          <w:iCs/>
        </w:rPr>
        <w:t xml:space="preserve">The Philosophy of Francis Bacon </w:t>
      </w:r>
      <w:r>
        <w:rPr>
          <w:rFonts w:ascii="Times New Roman" w:hAnsi="Times New Roman" w:cs="Times New Roman"/>
        </w:rPr>
        <w:t xml:space="preserve">(Cambridge: Cambridge University Press, 1926). Cf. Michael Oakeshott, </w:t>
      </w:r>
      <w:r>
        <w:rPr>
          <w:rFonts w:ascii="Times New Roman" w:hAnsi="Times New Roman" w:cs="Times New Roman"/>
          <w:i/>
          <w:iCs/>
        </w:rPr>
        <w:t xml:space="preserve">On Human Conduct </w:t>
      </w:r>
      <w:r>
        <w:rPr>
          <w:rFonts w:ascii="Times New Roman" w:hAnsi="Times New Roman" w:cs="Times New Roman"/>
        </w:rPr>
        <w:t>(Oxford: Oxford University Press, 1975), 36; 287-291.</w:t>
      </w:r>
    </w:p>
  </w:footnote>
  <w:footnote w:id="7">
    <w:p w14:paraId="01E3C2FB" w14:textId="1EAD77AF" w:rsidR="00B83D63" w:rsidRPr="001E6C8C" w:rsidRDefault="00B83D63" w:rsidP="002C6717">
      <w:pPr>
        <w:spacing w:after="0"/>
        <w:rPr>
          <w:rFonts w:ascii="Times New Roman" w:hAnsi="Times New Roman" w:cs="Times New Roman"/>
          <w:sz w:val="20"/>
          <w:szCs w:val="20"/>
        </w:rPr>
      </w:pPr>
      <w:r w:rsidRPr="002C6717">
        <w:rPr>
          <w:rStyle w:val="FootnoteReference"/>
          <w:rFonts w:ascii="Times New Roman" w:hAnsi="Times New Roman"/>
          <w:sz w:val="20"/>
          <w:szCs w:val="20"/>
        </w:rPr>
        <w:footnoteRef/>
      </w:r>
      <w:r w:rsidRPr="002C6717">
        <w:rPr>
          <w:rFonts w:ascii="Times New Roman" w:hAnsi="Times New Roman"/>
          <w:sz w:val="20"/>
          <w:szCs w:val="20"/>
        </w:rPr>
        <w:t xml:space="preserve"> Markku </w:t>
      </w:r>
      <w:proofErr w:type="spellStart"/>
      <w:r w:rsidRPr="002C6717">
        <w:rPr>
          <w:rFonts w:ascii="Times New Roman" w:hAnsi="Times New Roman"/>
          <w:sz w:val="20"/>
          <w:szCs w:val="20"/>
        </w:rPr>
        <w:t>Peltonen</w:t>
      </w:r>
      <w:proofErr w:type="spellEnd"/>
      <w:r w:rsidRPr="002C6717">
        <w:rPr>
          <w:rFonts w:ascii="Times New Roman" w:hAnsi="Times New Roman"/>
          <w:sz w:val="20"/>
          <w:szCs w:val="20"/>
        </w:rPr>
        <w:t xml:space="preserve">, “Politics and Science: Francis Bacon and the True Greatness of States,” </w:t>
      </w:r>
      <w:r w:rsidRPr="002C6717">
        <w:rPr>
          <w:rFonts w:ascii="Times New Roman" w:hAnsi="Times New Roman"/>
          <w:i/>
          <w:iCs/>
          <w:sz w:val="20"/>
          <w:szCs w:val="20"/>
        </w:rPr>
        <w:t xml:space="preserve">Historical Journal </w:t>
      </w:r>
      <w:r w:rsidRPr="002C6717">
        <w:rPr>
          <w:rFonts w:ascii="Times New Roman" w:hAnsi="Times New Roman"/>
          <w:sz w:val="20"/>
          <w:szCs w:val="20"/>
        </w:rPr>
        <w:t xml:space="preserve">35:2 (June 1992), 279-305; Markku </w:t>
      </w:r>
      <w:proofErr w:type="spellStart"/>
      <w:r w:rsidRPr="002C6717">
        <w:rPr>
          <w:rFonts w:ascii="Times New Roman" w:hAnsi="Times New Roman"/>
          <w:sz w:val="20"/>
          <w:szCs w:val="20"/>
        </w:rPr>
        <w:t>Peltonen</w:t>
      </w:r>
      <w:proofErr w:type="spellEnd"/>
      <w:r w:rsidRPr="002C6717">
        <w:rPr>
          <w:rFonts w:ascii="Times New Roman" w:hAnsi="Times New Roman"/>
          <w:sz w:val="20"/>
          <w:szCs w:val="20"/>
        </w:rPr>
        <w:t xml:space="preserve">, “Bacon’s political philosophy,” in M. </w:t>
      </w:r>
      <w:proofErr w:type="spellStart"/>
      <w:r w:rsidRPr="002C6717">
        <w:rPr>
          <w:rFonts w:ascii="Times New Roman" w:hAnsi="Times New Roman"/>
          <w:sz w:val="20"/>
          <w:szCs w:val="20"/>
        </w:rPr>
        <w:t>Peltonen</w:t>
      </w:r>
      <w:proofErr w:type="spellEnd"/>
      <w:r w:rsidRPr="002C6717">
        <w:rPr>
          <w:rFonts w:ascii="Times New Roman" w:hAnsi="Times New Roman"/>
          <w:sz w:val="20"/>
          <w:szCs w:val="20"/>
        </w:rPr>
        <w:t xml:space="preserve"> ed., </w:t>
      </w:r>
      <w:r w:rsidRPr="002C6717">
        <w:rPr>
          <w:rFonts w:ascii="Times New Roman" w:hAnsi="Times New Roman"/>
          <w:i/>
          <w:iCs/>
          <w:sz w:val="20"/>
          <w:szCs w:val="20"/>
        </w:rPr>
        <w:t xml:space="preserve">The Cambridge Companion to Francis Bacon </w:t>
      </w:r>
      <w:r w:rsidRPr="002C6717">
        <w:rPr>
          <w:rFonts w:ascii="Times New Roman" w:hAnsi="Times New Roman"/>
          <w:sz w:val="20"/>
          <w:szCs w:val="20"/>
        </w:rPr>
        <w:t>(Cambridge: Cambridge University Press, 1996), 283-310</w:t>
      </w:r>
      <w:r>
        <w:rPr>
          <w:rFonts w:ascii="Times New Roman" w:hAnsi="Times New Roman"/>
          <w:sz w:val="20"/>
          <w:szCs w:val="20"/>
        </w:rPr>
        <w:t>;</w:t>
      </w:r>
      <w:r w:rsidRPr="002C6717">
        <w:rPr>
          <w:rFonts w:ascii="Times New Roman" w:hAnsi="Times New Roman"/>
          <w:sz w:val="20"/>
          <w:szCs w:val="20"/>
        </w:rPr>
        <w:t xml:space="preserve"> Joanne Paul, </w:t>
      </w:r>
      <w:r w:rsidRPr="002C6717">
        <w:rPr>
          <w:rFonts w:ascii="Times New Roman" w:hAnsi="Times New Roman"/>
          <w:i/>
          <w:iCs/>
          <w:sz w:val="20"/>
          <w:szCs w:val="20"/>
        </w:rPr>
        <w:t>Counsel and Command in Early Modern English Thought</w:t>
      </w:r>
      <w:r w:rsidRPr="002C6717">
        <w:rPr>
          <w:rFonts w:ascii="Times New Roman" w:hAnsi="Times New Roman"/>
          <w:sz w:val="20"/>
          <w:szCs w:val="20"/>
        </w:rPr>
        <w:t xml:space="preserve"> (Cambridge: Cambridge University Press, 2020), 118-121; 136-139.  Cf. </w:t>
      </w:r>
      <w:r w:rsidRPr="002C6717">
        <w:rPr>
          <w:rFonts w:ascii="Times New Roman" w:hAnsi="Times New Roman" w:cs="Times New Roman"/>
          <w:sz w:val="20"/>
          <w:szCs w:val="20"/>
        </w:rPr>
        <w:t xml:space="preserve">Quentin Skinner, </w:t>
      </w:r>
      <w:r w:rsidRPr="002C6717">
        <w:rPr>
          <w:rFonts w:ascii="Times New Roman" w:hAnsi="Times New Roman" w:cs="Times New Roman"/>
          <w:i/>
          <w:sz w:val="20"/>
          <w:szCs w:val="20"/>
        </w:rPr>
        <w:t xml:space="preserve">Liberty Before Liberalism </w:t>
      </w:r>
      <w:r w:rsidRPr="002C6717">
        <w:rPr>
          <w:rFonts w:ascii="Times New Roman" w:hAnsi="Times New Roman" w:cs="Times New Roman"/>
          <w:sz w:val="20"/>
          <w:szCs w:val="20"/>
        </w:rPr>
        <w:t>(Cambridge: Cambridge University Press, 1998), 11-12.</w:t>
      </w:r>
      <w:r>
        <w:rPr>
          <w:rFonts w:ascii="Times New Roman" w:hAnsi="Times New Roman" w:cs="Times New Roman"/>
          <w:sz w:val="20"/>
          <w:szCs w:val="20"/>
        </w:rPr>
        <w:t xml:space="preserve"> </w:t>
      </w:r>
    </w:p>
  </w:footnote>
  <w:footnote w:id="8">
    <w:p w14:paraId="19BBBF0C" w14:textId="53C9606E"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Pr>
          <w:rFonts w:ascii="Times New Roman" w:hAnsi="Times New Roman"/>
        </w:rPr>
        <w:t xml:space="preserve">Wolfgang </w:t>
      </w:r>
      <w:proofErr w:type="spellStart"/>
      <w:r>
        <w:rPr>
          <w:rFonts w:ascii="Times New Roman" w:hAnsi="Times New Roman"/>
        </w:rPr>
        <w:t>Krohn</w:t>
      </w:r>
      <w:proofErr w:type="spellEnd"/>
      <w:r>
        <w:rPr>
          <w:rFonts w:ascii="Times New Roman" w:hAnsi="Times New Roman"/>
        </w:rPr>
        <w:t xml:space="preserve">, </w:t>
      </w:r>
      <w:r>
        <w:rPr>
          <w:rFonts w:ascii="Times New Roman" w:hAnsi="Times New Roman"/>
          <w:i/>
          <w:iCs/>
        </w:rPr>
        <w:t xml:space="preserve">Francis Bacon </w:t>
      </w:r>
      <w:r>
        <w:rPr>
          <w:rFonts w:ascii="Times New Roman" w:hAnsi="Times New Roman"/>
        </w:rPr>
        <w:t xml:space="preserve">(Munich: Beck, 2006 [1987]); S. G. Zeitlin, “‘Commonwealth,’ ‘Nation,’ and ‘State’ in the Political Thought of Francis Bacon,” in Rafaella Santi et al., </w:t>
      </w:r>
      <w:r>
        <w:rPr>
          <w:rFonts w:ascii="Times New Roman" w:hAnsi="Times New Roman"/>
          <w:i/>
          <w:iCs/>
        </w:rPr>
        <w:t>The “Commonwealth” as Political Space in Late Renaissance England</w:t>
      </w:r>
      <w:r>
        <w:rPr>
          <w:rFonts w:ascii="Times New Roman" w:hAnsi="Times New Roman"/>
        </w:rPr>
        <w:t xml:space="preserve"> (Padua: </w:t>
      </w:r>
      <w:proofErr w:type="spellStart"/>
      <w:r>
        <w:rPr>
          <w:rFonts w:ascii="Times New Roman" w:hAnsi="Times New Roman"/>
        </w:rPr>
        <w:t>Cedam</w:t>
      </w:r>
      <w:proofErr w:type="spellEnd"/>
      <w:r>
        <w:rPr>
          <w:rFonts w:ascii="Times New Roman" w:hAnsi="Times New Roman"/>
        </w:rPr>
        <w:t xml:space="preserve"> </w:t>
      </w:r>
      <w:proofErr w:type="spellStart"/>
      <w:r>
        <w:rPr>
          <w:rFonts w:ascii="Times New Roman" w:hAnsi="Times New Roman"/>
        </w:rPr>
        <w:t>Editore</w:t>
      </w:r>
      <w:proofErr w:type="spellEnd"/>
      <w:r>
        <w:rPr>
          <w:rFonts w:ascii="Times New Roman" w:hAnsi="Times New Roman"/>
        </w:rPr>
        <w:t xml:space="preserve">, 2014), 3-25; </w:t>
      </w:r>
      <w:r w:rsidRPr="00AB5EFE">
        <w:rPr>
          <w:rFonts w:ascii="Times New Roman" w:hAnsi="Times New Roman"/>
        </w:rPr>
        <w:t xml:space="preserve">Markku </w:t>
      </w:r>
      <w:proofErr w:type="spellStart"/>
      <w:r w:rsidRPr="00AB5EFE">
        <w:rPr>
          <w:rFonts w:ascii="Times New Roman" w:hAnsi="Times New Roman"/>
        </w:rPr>
        <w:t>Peltonen</w:t>
      </w:r>
      <w:proofErr w:type="spellEnd"/>
      <w:r w:rsidRPr="00AB5EFE">
        <w:rPr>
          <w:rFonts w:ascii="Times New Roman" w:hAnsi="Times New Roman"/>
        </w:rPr>
        <w:t xml:space="preserve">, </w:t>
      </w:r>
      <w:r w:rsidRPr="00AB5EFE">
        <w:rPr>
          <w:rFonts w:ascii="Times New Roman" w:hAnsi="Times New Roman"/>
          <w:i/>
        </w:rPr>
        <w:t>Classical humanism and republicanism in English political thought 1570-1640</w:t>
      </w:r>
      <w:r w:rsidRPr="00AB5EFE">
        <w:rPr>
          <w:rFonts w:ascii="Times New Roman" w:hAnsi="Times New Roman"/>
        </w:rPr>
        <w:t xml:space="preserve"> (Cambridge: Cambridge University Press, 1995), 190-228.</w:t>
      </w:r>
    </w:p>
  </w:footnote>
  <w:footnote w:id="9">
    <w:p w14:paraId="529CFB1D" w14:textId="51E2D797" w:rsidR="00B83D63" w:rsidRPr="003949A9" w:rsidRDefault="00B83D63" w:rsidP="00580F87">
      <w:pPr>
        <w:spacing w:after="0" w:line="240" w:lineRule="auto"/>
        <w:rPr>
          <w:rFonts w:ascii="Times New Roman" w:hAnsi="Times New Roman" w:cs="Times New Roman"/>
          <w:sz w:val="20"/>
          <w:szCs w:val="20"/>
        </w:rPr>
      </w:pPr>
      <w:r w:rsidRPr="00AB5EFE">
        <w:rPr>
          <w:rStyle w:val="FootnoteReference"/>
          <w:rFonts w:ascii="Times New Roman" w:hAnsi="Times New Roman"/>
        </w:rPr>
        <w:footnoteRef/>
      </w:r>
      <w:r w:rsidRPr="00AB5EFE">
        <w:rPr>
          <w:rFonts w:ascii="Times New Roman" w:hAnsi="Times New Roman" w:cs="Times New Roman"/>
        </w:rPr>
        <w:t xml:space="preserve"> </w:t>
      </w:r>
      <w:r w:rsidRPr="00AB5EFE">
        <w:rPr>
          <w:rFonts w:ascii="Times New Roman" w:hAnsi="Times New Roman" w:cs="Times New Roman"/>
          <w:sz w:val="20"/>
          <w:szCs w:val="20"/>
        </w:rPr>
        <w:t xml:space="preserve">Sarah Irving, “‘In a Pure Soil’: Colonial anxieties in the work of Francis Bacon,” </w:t>
      </w:r>
      <w:r w:rsidRPr="00AB5EFE">
        <w:rPr>
          <w:rFonts w:ascii="Times New Roman" w:hAnsi="Times New Roman" w:cs="Times New Roman"/>
          <w:i/>
          <w:iCs/>
          <w:sz w:val="20"/>
          <w:szCs w:val="20"/>
        </w:rPr>
        <w:t>History of European Ideas</w:t>
      </w:r>
      <w:r w:rsidRPr="00AB5EFE">
        <w:rPr>
          <w:rFonts w:ascii="Times New Roman" w:hAnsi="Times New Roman" w:cs="Times New Roman"/>
          <w:sz w:val="20"/>
          <w:szCs w:val="20"/>
        </w:rPr>
        <w:t>, 32:3 (2006), 249-262, at 261: “Francis Bacon was no ideological apologist for English colonisation</w:t>
      </w:r>
      <w:r>
        <w:rPr>
          <w:rFonts w:ascii="Times New Roman" w:hAnsi="Times New Roman" w:cs="Times New Roman"/>
          <w:sz w:val="20"/>
          <w:szCs w:val="20"/>
        </w:rPr>
        <w:t>.”</w:t>
      </w:r>
      <w:r w:rsidRPr="00AB5EFE">
        <w:rPr>
          <w:rFonts w:ascii="Times New Roman" w:hAnsi="Times New Roman" w:cs="Times New Roman"/>
          <w:sz w:val="20"/>
          <w:szCs w:val="20"/>
        </w:rPr>
        <w:t xml:space="preserve"> Bacon was not only without anxieties about colonization but also an active participant in and advocate of colonial projects.  For the view that Bacon’s </w:t>
      </w:r>
      <w:proofErr w:type="spellStart"/>
      <w:r w:rsidRPr="00AB5EFE">
        <w:rPr>
          <w:rFonts w:ascii="Times New Roman" w:hAnsi="Times New Roman" w:cs="Times New Roman"/>
          <w:i/>
          <w:sz w:val="20"/>
          <w:szCs w:val="20"/>
        </w:rPr>
        <w:t>Essayes</w:t>
      </w:r>
      <w:proofErr w:type="spellEnd"/>
      <w:r w:rsidRPr="00AB5EFE">
        <w:rPr>
          <w:rFonts w:ascii="Times New Roman" w:hAnsi="Times New Roman" w:cs="Times New Roman"/>
          <w:i/>
          <w:sz w:val="20"/>
          <w:szCs w:val="20"/>
        </w:rPr>
        <w:t xml:space="preserve"> </w:t>
      </w:r>
      <w:r w:rsidRPr="00AB5EFE">
        <w:rPr>
          <w:rFonts w:ascii="Times New Roman" w:hAnsi="Times New Roman" w:cs="Times New Roman"/>
          <w:sz w:val="20"/>
          <w:szCs w:val="20"/>
        </w:rPr>
        <w:t xml:space="preserve">offer “an endorsement of colonialism”, see </w:t>
      </w:r>
      <w:proofErr w:type="spellStart"/>
      <w:r w:rsidRPr="00AB5EFE">
        <w:rPr>
          <w:rFonts w:ascii="Times New Roman" w:hAnsi="Times New Roman" w:cs="Times New Roman"/>
          <w:sz w:val="20"/>
          <w:szCs w:val="20"/>
        </w:rPr>
        <w:t>Svetozar</w:t>
      </w:r>
      <w:proofErr w:type="spellEnd"/>
      <w:r w:rsidRPr="00AB5EFE">
        <w:rPr>
          <w:rFonts w:ascii="Times New Roman" w:hAnsi="Times New Roman" w:cs="Times New Roman"/>
          <w:sz w:val="20"/>
          <w:szCs w:val="20"/>
        </w:rPr>
        <w:t xml:space="preserve"> </w:t>
      </w:r>
      <w:proofErr w:type="spellStart"/>
      <w:r w:rsidRPr="00AB5EFE">
        <w:rPr>
          <w:rFonts w:ascii="Times New Roman" w:hAnsi="Times New Roman" w:cs="Times New Roman"/>
          <w:sz w:val="20"/>
          <w:szCs w:val="20"/>
        </w:rPr>
        <w:t>Minkov</w:t>
      </w:r>
      <w:proofErr w:type="spellEnd"/>
      <w:r w:rsidRPr="00AB5EFE">
        <w:rPr>
          <w:rFonts w:ascii="Times New Roman" w:hAnsi="Times New Roman" w:cs="Times New Roman"/>
          <w:sz w:val="20"/>
          <w:szCs w:val="20"/>
        </w:rPr>
        <w:t xml:space="preserve">, “Baconian Science and the Intelligibility of Human </w:t>
      </w:r>
      <w:r w:rsidRPr="003949A9">
        <w:rPr>
          <w:rFonts w:ascii="Times New Roman" w:hAnsi="Times New Roman" w:cs="Times New Roman"/>
          <w:sz w:val="20"/>
          <w:szCs w:val="20"/>
        </w:rPr>
        <w:t xml:space="preserve">Experience: The Case of Love,” </w:t>
      </w:r>
      <w:r w:rsidRPr="003949A9">
        <w:rPr>
          <w:rFonts w:ascii="Times New Roman" w:hAnsi="Times New Roman" w:cs="Times New Roman"/>
          <w:i/>
          <w:sz w:val="20"/>
          <w:szCs w:val="20"/>
        </w:rPr>
        <w:t>Review of Politics</w:t>
      </w:r>
      <w:r w:rsidRPr="003949A9">
        <w:rPr>
          <w:rFonts w:ascii="Times New Roman" w:hAnsi="Times New Roman" w:cs="Times New Roman"/>
          <w:sz w:val="20"/>
          <w:szCs w:val="20"/>
        </w:rPr>
        <w:t xml:space="preserve"> 71:3 (Summer 2009), 389-410, at 401. </w:t>
      </w:r>
      <w:r>
        <w:rPr>
          <w:rFonts w:ascii="Times New Roman" w:hAnsi="Times New Roman" w:cs="Times New Roman"/>
          <w:sz w:val="20"/>
          <w:szCs w:val="20"/>
        </w:rPr>
        <w:t xml:space="preserve">On Bacon’s imperialism, see </w:t>
      </w:r>
      <w:r w:rsidRPr="004D25D9">
        <w:rPr>
          <w:rFonts w:ascii="Times New Roman" w:hAnsi="Times New Roman" w:cs="Times New Roman"/>
          <w:sz w:val="20"/>
          <w:szCs w:val="20"/>
        </w:rPr>
        <w:t xml:space="preserve">Michelle Tolman Clarke, “Uprooting Nebuchadnezzar’s Tree: Francis Bacon’s Criticism of Machiavellian Imperialism,” </w:t>
      </w:r>
      <w:r w:rsidRPr="004D25D9">
        <w:rPr>
          <w:rFonts w:ascii="Times New Roman" w:hAnsi="Times New Roman" w:cs="Times New Roman"/>
          <w:i/>
          <w:iCs/>
          <w:sz w:val="20"/>
          <w:szCs w:val="20"/>
        </w:rPr>
        <w:t xml:space="preserve">Political Research Quarterly </w:t>
      </w:r>
      <w:r w:rsidRPr="004D25D9">
        <w:rPr>
          <w:rFonts w:ascii="Times New Roman" w:hAnsi="Times New Roman" w:cs="Times New Roman"/>
          <w:sz w:val="20"/>
          <w:szCs w:val="20"/>
        </w:rPr>
        <w:t>61: 3 (September 2008), 367-378</w:t>
      </w:r>
      <w:r>
        <w:rPr>
          <w:rFonts w:ascii="Times New Roman" w:hAnsi="Times New Roman" w:cs="Times New Roman"/>
          <w:sz w:val="20"/>
          <w:szCs w:val="20"/>
        </w:rPr>
        <w:t>.</w:t>
      </w:r>
    </w:p>
  </w:footnote>
  <w:footnote w:id="10">
    <w:p w14:paraId="44BC709E" w14:textId="6F85386B" w:rsidR="00B83D63" w:rsidRPr="00FE1723" w:rsidRDefault="00B83D63" w:rsidP="00FE1723">
      <w:pPr>
        <w:pStyle w:val="FootnoteText"/>
        <w:rPr>
          <w:rFonts w:ascii="Times New Roman" w:hAnsi="Times New Roman"/>
        </w:rPr>
      </w:pPr>
      <w:r w:rsidRPr="00AB5EFE">
        <w:rPr>
          <w:rStyle w:val="FootnoteReference"/>
          <w:rFonts w:ascii="Times New Roman" w:hAnsi="Times New Roman"/>
        </w:rPr>
        <w:footnoteRef/>
      </w:r>
      <w:r w:rsidRPr="00FE1723">
        <w:rPr>
          <w:rFonts w:ascii="Times New Roman" w:hAnsi="Times New Roman"/>
        </w:rPr>
        <w:t xml:space="preserve"> </w:t>
      </w:r>
      <w:r w:rsidRPr="00FE1723">
        <w:rPr>
          <w:rFonts w:ascii="Times New Roman" w:hAnsi="Times New Roman"/>
          <w:i/>
        </w:rPr>
        <w:t xml:space="preserve">SEH </w:t>
      </w:r>
      <w:r w:rsidRPr="00FE1723">
        <w:rPr>
          <w:rFonts w:ascii="Times New Roman" w:hAnsi="Times New Roman"/>
        </w:rPr>
        <w:t xml:space="preserve">VII, </w:t>
      </w:r>
      <w:r w:rsidRPr="00AB5EFE">
        <w:rPr>
          <w:rFonts w:ascii="Times New Roman" w:hAnsi="Times New Roman"/>
          <w:i/>
        </w:rPr>
        <w:t>The Case of the Post-</w:t>
      </w:r>
      <w:proofErr w:type="spellStart"/>
      <w:r w:rsidRPr="00AB5EFE">
        <w:rPr>
          <w:rFonts w:ascii="Times New Roman" w:hAnsi="Times New Roman"/>
          <w:i/>
        </w:rPr>
        <w:t>Nati</w:t>
      </w:r>
      <w:proofErr w:type="spellEnd"/>
      <w:r w:rsidRPr="00AB5EFE">
        <w:rPr>
          <w:rFonts w:ascii="Times New Roman" w:hAnsi="Times New Roman"/>
          <w:i/>
        </w:rPr>
        <w:t xml:space="preserve"> of Scotland</w:t>
      </w:r>
      <w:r w:rsidRPr="00AB5EFE">
        <w:rPr>
          <w:rFonts w:ascii="Times New Roman" w:hAnsi="Times New Roman"/>
        </w:rPr>
        <w:t xml:space="preserve">, </w:t>
      </w:r>
      <w:r w:rsidRPr="00FE1723">
        <w:rPr>
          <w:rFonts w:ascii="Times New Roman" w:hAnsi="Times New Roman"/>
        </w:rPr>
        <w:t>646.</w:t>
      </w:r>
    </w:p>
  </w:footnote>
  <w:footnote w:id="11">
    <w:p w14:paraId="579872C6" w14:textId="731F62DC" w:rsidR="00B83D63" w:rsidRPr="00810E38" w:rsidRDefault="00B83D63" w:rsidP="00FE1723">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SEH </w:t>
      </w:r>
      <w:r w:rsidRPr="00AB5EFE">
        <w:rPr>
          <w:rFonts w:ascii="Times New Roman" w:hAnsi="Times New Roman"/>
        </w:rPr>
        <w:t xml:space="preserve">VII, </w:t>
      </w:r>
      <w:r w:rsidRPr="00AB5EFE">
        <w:rPr>
          <w:rFonts w:ascii="Times New Roman" w:hAnsi="Times New Roman"/>
          <w:i/>
        </w:rPr>
        <w:t>The Case of the Post-</w:t>
      </w:r>
      <w:proofErr w:type="spellStart"/>
      <w:r w:rsidRPr="00AB5EFE">
        <w:rPr>
          <w:rFonts w:ascii="Times New Roman" w:hAnsi="Times New Roman"/>
          <w:i/>
        </w:rPr>
        <w:t>Nati</w:t>
      </w:r>
      <w:proofErr w:type="spellEnd"/>
      <w:r w:rsidRPr="00AB5EFE">
        <w:rPr>
          <w:rFonts w:ascii="Times New Roman" w:hAnsi="Times New Roman"/>
          <w:i/>
        </w:rPr>
        <w:t xml:space="preserve"> of Scotland</w:t>
      </w:r>
      <w:r w:rsidRPr="00AB5EFE">
        <w:rPr>
          <w:rFonts w:ascii="Times New Roman" w:hAnsi="Times New Roman"/>
        </w:rPr>
        <w:t xml:space="preserve">, 645-646; Daniel R. </w:t>
      </w:r>
      <w:proofErr w:type="spellStart"/>
      <w:r w:rsidRPr="00AB5EFE">
        <w:rPr>
          <w:rFonts w:ascii="Times New Roman" w:hAnsi="Times New Roman"/>
        </w:rPr>
        <w:t>Coquillette</w:t>
      </w:r>
      <w:proofErr w:type="spellEnd"/>
      <w:r w:rsidRPr="00AB5EFE">
        <w:rPr>
          <w:rFonts w:ascii="Times New Roman" w:hAnsi="Times New Roman"/>
        </w:rPr>
        <w:t xml:space="preserve">, </w:t>
      </w:r>
      <w:r w:rsidRPr="00AB5EFE">
        <w:rPr>
          <w:rFonts w:ascii="Times New Roman" w:hAnsi="Times New Roman"/>
          <w:i/>
        </w:rPr>
        <w:t>Francis Bacon</w:t>
      </w:r>
      <w:r w:rsidRPr="00AB5EFE">
        <w:rPr>
          <w:rFonts w:ascii="Times New Roman" w:hAnsi="Times New Roman"/>
        </w:rPr>
        <w:t xml:space="preserve"> (Palo Alto: Stanford University Press, 1992), 159.</w:t>
      </w:r>
      <w:r>
        <w:rPr>
          <w:rFonts w:ascii="Times New Roman" w:hAnsi="Times New Roman"/>
        </w:rPr>
        <w:t xml:space="preserve">  On the centrality of the broader theme of war in Bacon’s thought, particularly in relation to Bacon’s treatments of science, technology, and the mastery of nature, see Howard B. White, </w:t>
      </w:r>
      <w:r>
        <w:rPr>
          <w:rFonts w:ascii="Times New Roman" w:hAnsi="Times New Roman"/>
          <w:i/>
          <w:iCs/>
        </w:rPr>
        <w:t>Peace Among the Willows</w:t>
      </w:r>
      <w:r>
        <w:rPr>
          <w:rFonts w:ascii="Times New Roman" w:hAnsi="Times New Roman"/>
          <w:i/>
        </w:rPr>
        <w:t>: The Political Philosophy of Francis Bacon</w:t>
      </w:r>
      <w:r>
        <w:rPr>
          <w:rFonts w:ascii="Times New Roman" w:hAnsi="Times New Roman"/>
        </w:rPr>
        <w:t xml:space="preserve"> (The Hague: </w:t>
      </w:r>
      <w:proofErr w:type="spellStart"/>
      <w:r>
        <w:rPr>
          <w:rFonts w:ascii="Times New Roman" w:hAnsi="Times New Roman"/>
        </w:rPr>
        <w:t>Martinus</w:t>
      </w:r>
      <w:proofErr w:type="spellEnd"/>
      <w:r>
        <w:rPr>
          <w:rFonts w:ascii="Times New Roman" w:hAnsi="Times New Roman"/>
        </w:rPr>
        <w:t xml:space="preserve"> </w:t>
      </w:r>
      <w:proofErr w:type="spellStart"/>
      <w:r>
        <w:rPr>
          <w:rFonts w:ascii="Times New Roman" w:hAnsi="Times New Roman"/>
        </w:rPr>
        <w:t>Nijhoff</w:t>
      </w:r>
      <w:proofErr w:type="spellEnd"/>
      <w:r>
        <w:rPr>
          <w:rFonts w:ascii="Times New Roman" w:hAnsi="Times New Roman"/>
        </w:rPr>
        <w:t xml:space="preserve">, 1968); Richard </w:t>
      </w:r>
      <w:proofErr w:type="spellStart"/>
      <w:r>
        <w:rPr>
          <w:rFonts w:ascii="Times New Roman" w:hAnsi="Times New Roman"/>
        </w:rPr>
        <w:t>Kennington</w:t>
      </w:r>
      <w:proofErr w:type="spellEnd"/>
      <w:r>
        <w:rPr>
          <w:rFonts w:ascii="Times New Roman" w:hAnsi="Times New Roman"/>
        </w:rPr>
        <w:t xml:space="preserve">, </w:t>
      </w:r>
      <w:r>
        <w:rPr>
          <w:rFonts w:ascii="Times New Roman" w:hAnsi="Times New Roman"/>
          <w:i/>
          <w:iCs/>
        </w:rPr>
        <w:t>On Modern Origins</w:t>
      </w:r>
      <w:r>
        <w:rPr>
          <w:rFonts w:ascii="Times New Roman" w:hAnsi="Times New Roman"/>
        </w:rPr>
        <w:t>, Pamela Kraus and Frank Hunt eds. (Lanham, MD: Lexington Books, 2004), 1-77; Jerry</w:t>
      </w:r>
      <w:r>
        <w:rPr>
          <w:rFonts w:asciiTheme="majorBidi" w:hAnsiTheme="majorBidi" w:cstheme="majorBidi"/>
        </w:rPr>
        <w:t xml:space="preserve"> Weinberger, </w:t>
      </w:r>
      <w:r>
        <w:rPr>
          <w:rFonts w:asciiTheme="majorBidi" w:hAnsiTheme="majorBidi" w:cstheme="majorBidi"/>
          <w:i/>
          <w:iCs/>
        </w:rPr>
        <w:t xml:space="preserve">Science, Faith, and Politics: Francis Bacon and the Utopian Roots of the Modern Age </w:t>
      </w:r>
      <w:r>
        <w:rPr>
          <w:rFonts w:asciiTheme="majorBidi" w:hAnsiTheme="majorBidi" w:cstheme="majorBidi"/>
        </w:rPr>
        <w:t xml:space="preserve">(Ithaca, NY: Cornell University Press, 1985); Robert K. Faulkner, </w:t>
      </w:r>
      <w:r>
        <w:rPr>
          <w:rFonts w:asciiTheme="majorBidi" w:hAnsiTheme="majorBidi" w:cstheme="majorBidi"/>
          <w:i/>
          <w:iCs/>
        </w:rPr>
        <w:t xml:space="preserve">Francis Bacon and the Project of Progress </w:t>
      </w:r>
      <w:r>
        <w:rPr>
          <w:rFonts w:asciiTheme="majorBidi" w:hAnsiTheme="majorBidi" w:cstheme="majorBidi"/>
        </w:rPr>
        <w:t>(Lanham, MD: Rowman &amp; Littlefield, 1993).</w:t>
      </w:r>
    </w:p>
  </w:footnote>
  <w:footnote w:id="12">
    <w:p w14:paraId="0E77FAF0" w14:textId="79E90EED" w:rsidR="00B83D63" w:rsidRPr="00AB5EFE" w:rsidRDefault="00B83D63" w:rsidP="00FE1723">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SEH </w:t>
      </w:r>
      <w:r w:rsidRPr="00AB5EFE">
        <w:rPr>
          <w:rFonts w:ascii="Times New Roman" w:hAnsi="Times New Roman"/>
        </w:rPr>
        <w:t xml:space="preserve">VII, </w:t>
      </w:r>
      <w:r w:rsidRPr="00AB5EFE">
        <w:rPr>
          <w:rFonts w:ascii="Times New Roman" w:hAnsi="Times New Roman"/>
          <w:i/>
        </w:rPr>
        <w:t>The Case of the Post-</w:t>
      </w:r>
      <w:proofErr w:type="spellStart"/>
      <w:r w:rsidRPr="00AB5EFE">
        <w:rPr>
          <w:rFonts w:ascii="Times New Roman" w:hAnsi="Times New Roman"/>
          <w:i/>
        </w:rPr>
        <w:t>Nati</w:t>
      </w:r>
      <w:proofErr w:type="spellEnd"/>
      <w:r w:rsidRPr="00AB5EFE">
        <w:rPr>
          <w:rFonts w:ascii="Times New Roman" w:hAnsi="Times New Roman"/>
          <w:i/>
        </w:rPr>
        <w:t xml:space="preserve"> of Scotland</w:t>
      </w:r>
      <w:r w:rsidRPr="00AB5EFE">
        <w:rPr>
          <w:rFonts w:ascii="Times New Roman" w:hAnsi="Times New Roman"/>
        </w:rPr>
        <w:t>, 645.</w:t>
      </w:r>
    </w:p>
  </w:footnote>
  <w:footnote w:id="13">
    <w:p w14:paraId="2BE276F8" w14:textId="18AA97DF" w:rsidR="00B83D63" w:rsidRPr="00441D03" w:rsidRDefault="00B83D63" w:rsidP="00FE1723">
      <w:pPr>
        <w:pStyle w:val="FootnoteText"/>
        <w:rPr>
          <w:rFonts w:ascii="Times New Roman" w:hAnsi="Times New Roman"/>
        </w:rPr>
      </w:pPr>
      <w:r w:rsidRPr="00AB5EFE">
        <w:rPr>
          <w:rStyle w:val="FootnoteReference"/>
          <w:rFonts w:ascii="Times New Roman" w:hAnsi="Times New Roman"/>
        </w:rPr>
        <w:footnoteRef/>
      </w:r>
      <w:r w:rsidRPr="00441D03">
        <w:rPr>
          <w:rFonts w:ascii="Times New Roman" w:hAnsi="Times New Roman"/>
        </w:rPr>
        <w:t xml:space="preserve"> </w:t>
      </w:r>
      <w:r w:rsidRPr="00441D03">
        <w:rPr>
          <w:rFonts w:ascii="Times New Roman" w:hAnsi="Times New Roman"/>
          <w:i/>
        </w:rPr>
        <w:t xml:space="preserve">SEH </w:t>
      </w:r>
      <w:r w:rsidRPr="00441D03">
        <w:rPr>
          <w:rFonts w:ascii="Times New Roman" w:hAnsi="Times New Roman"/>
        </w:rPr>
        <w:t>VII, 646.</w:t>
      </w:r>
    </w:p>
  </w:footnote>
  <w:footnote w:id="14">
    <w:p w14:paraId="29FAE143" w14:textId="2BA52E83" w:rsidR="00B83D63" w:rsidRPr="00441D03" w:rsidRDefault="00B83D63" w:rsidP="00FE1723">
      <w:pPr>
        <w:pStyle w:val="FootnoteText"/>
        <w:rPr>
          <w:rFonts w:ascii="Times New Roman" w:hAnsi="Times New Roman"/>
        </w:rPr>
      </w:pPr>
      <w:r w:rsidRPr="00AB5EFE">
        <w:rPr>
          <w:rStyle w:val="FootnoteReference"/>
          <w:rFonts w:ascii="Times New Roman" w:hAnsi="Times New Roman"/>
        </w:rPr>
        <w:footnoteRef/>
      </w:r>
      <w:r w:rsidRPr="00441D03">
        <w:rPr>
          <w:rFonts w:ascii="Times New Roman" w:hAnsi="Times New Roman"/>
        </w:rPr>
        <w:t xml:space="preserve"> </w:t>
      </w:r>
      <w:r w:rsidRPr="00441D03">
        <w:rPr>
          <w:rFonts w:ascii="Times New Roman" w:hAnsi="Times New Roman"/>
          <w:i/>
        </w:rPr>
        <w:t xml:space="preserve">SEH </w:t>
      </w:r>
      <w:r w:rsidRPr="00441D03">
        <w:rPr>
          <w:rFonts w:ascii="Times New Roman" w:hAnsi="Times New Roman"/>
        </w:rPr>
        <w:t>VII, 646.</w:t>
      </w:r>
    </w:p>
  </w:footnote>
  <w:footnote w:id="15">
    <w:p w14:paraId="26F2113E" w14:textId="4D105177"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191, lines 11-13; </w:t>
      </w:r>
      <w:r w:rsidRPr="00AB5EFE">
        <w:rPr>
          <w:rFonts w:ascii="Times New Roman" w:hAnsi="Times New Roman"/>
          <w:i/>
        </w:rPr>
        <w:t xml:space="preserve">SEH </w:t>
      </w:r>
      <w:r w:rsidRPr="00AB5EFE">
        <w:rPr>
          <w:rFonts w:ascii="Times New Roman" w:hAnsi="Times New Roman"/>
        </w:rPr>
        <w:t xml:space="preserve">VII, 21.   </w:t>
      </w:r>
    </w:p>
  </w:footnote>
  <w:footnote w:id="16">
    <w:p w14:paraId="2F8C3D35" w14:textId="281E0AD5"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191, lines 15-21; </w:t>
      </w:r>
      <w:r w:rsidRPr="00AB5EFE">
        <w:rPr>
          <w:rFonts w:ascii="Times New Roman" w:hAnsi="Times New Roman"/>
          <w:i/>
        </w:rPr>
        <w:t xml:space="preserve">SEH </w:t>
      </w:r>
      <w:r w:rsidRPr="00AB5EFE">
        <w:rPr>
          <w:rFonts w:ascii="Times New Roman" w:hAnsi="Times New Roman"/>
        </w:rPr>
        <w:t xml:space="preserve">VII, 21.   </w:t>
      </w:r>
    </w:p>
  </w:footnote>
  <w:footnote w:id="17">
    <w:p w14:paraId="3214F13F" w14:textId="58908D11"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190, lines 29-30; </w:t>
      </w:r>
      <w:r w:rsidRPr="00AB5EFE">
        <w:rPr>
          <w:rFonts w:ascii="Times New Roman" w:hAnsi="Times New Roman"/>
          <w:i/>
        </w:rPr>
        <w:t xml:space="preserve">OFB </w:t>
      </w:r>
      <w:r w:rsidRPr="00AB5EFE">
        <w:rPr>
          <w:rFonts w:ascii="Times New Roman" w:hAnsi="Times New Roman"/>
        </w:rPr>
        <w:t xml:space="preserve">VIII, 191, line 1; </w:t>
      </w:r>
      <w:r w:rsidRPr="00AB5EFE">
        <w:rPr>
          <w:rFonts w:ascii="Times New Roman" w:hAnsi="Times New Roman"/>
          <w:i/>
        </w:rPr>
        <w:t xml:space="preserve">SEH </w:t>
      </w:r>
      <w:r w:rsidRPr="00AB5EFE">
        <w:rPr>
          <w:rFonts w:ascii="Times New Roman" w:hAnsi="Times New Roman"/>
        </w:rPr>
        <w:t xml:space="preserve">VII, 20.   </w:t>
      </w:r>
    </w:p>
  </w:footnote>
  <w:footnote w:id="18">
    <w:p w14:paraId="6877D34E" w14:textId="58B9929A" w:rsidR="00B83D63" w:rsidRPr="00AB5EFE" w:rsidRDefault="00B83D63" w:rsidP="00580F87">
      <w:pPr>
        <w:pStyle w:val="FootnoteText"/>
        <w:rPr>
          <w:rFonts w:ascii="Times New Roman" w:hAnsi="Times New Roman"/>
          <w:lang w:val="de-DE"/>
        </w:rPr>
      </w:pPr>
      <w:r w:rsidRPr="00AB5EFE">
        <w:rPr>
          <w:rStyle w:val="FootnoteReference"/>
          <w:rFonts w:ascii="Times New Roman" w:hAnsi="Times New Roman"/>
        </w:rPr>
        <w:footnoteRef/>
      </w:r>
      <w:r w:rsidRPr="00AB5EFE">
        <w:rPr>
          <w:rFonts w:ascii="Times New Roman" w:hAnsi="Times New Roman"/>
          <w:lang w:val="de-DE"/>
        </w:rPr>
        <w:t xml:space="preserve"> </w:t>
      </w:r>
      <w:r w:rsidRPr="00AB5EFE">
        <w:rPr>
          <w:rFonts w:ascii="Times New Roman" w:hAnsi="Times New Roman"/>
          <w:i/>
          <w:lang w:val="de-DE"/>
        </w:rPr>
        <w:t xml:space="preserve">SEH </w:t>
      </w:r>
      <w:r w:rsidRPr="00AB5EFE">
        <w:rPr>
          <w:rFonts w:ascii="Times New Roman" w:hAnsi="Times New Roman"/>
          <w:lang w:val="de-DE"/>
        </w:rPr>
        <w:t>VII, 646.</w:t>
      </w:r>
    </w:p>
  </w:footnote>
  <w:footnote w:id="19">
    <w:p w14:paraId="57F233DF" w14:textId="623A11EF" w:rsidR="00B83D63" w:rsidRPr="00AB5EFE" w:rsidRDefault="00B83D63" w:rsidP="00580F87">
      <w:pPr>
        <w:pStyle w:val="FootnoteText"/>
        <w:rPr>
          <w:rFonts w:ascii="Times New Roman" w:hAnsi="Times New Roman"/>
          <w:lang w:val="de-DE"/>
        </w:rPr>
      </w:pPr>
      <w:r w:rsidRPr="00AB5EFE">
        <w:rPr>
          <w:rStyle w:val="FootnoteReference"/>
          <w:rFonts w:ascii="Times New Roman" w:hAnsi="Times New Roman"/>
        </w:rPr>
        <w:footnoteRef/>
      </w:r>
      <w:r w:rsidRPr="00AB5EFE">
        <w:rPr>
          <w:rFonts w:ascii="Times New Roman" w:hAnsi="Times New Roman"/>
          <w:lang w:val="de-DE"/>
        </w:rPr>
        <w:t xml:space="preserve"> </w:t>
      </w:r>
      <w:r w:rsidRPr="00AB5EFE">
        <w:rPr>
          <w:rFonts w:ascii="Times New Roman" w:hAnsi="Times New Roman"/>
          <w:i/>
          <w:lang w:val="de-DE"/>
        </w:rPr>
        <w:t xml:space="preserve">SEH </w:t>
      </w:r>
      <w:r w:rsidRPr="00AB5EFE">
        <w:rPr>
          <w:rFonts w:ascii="Times New Roman" w:hAnsi="Times New Roman"/>
          <w:lang w:val="de-DE"/>
        </w:rPr>
        <w:t>VII, 659.</w:t>
      </w:r>
    </w:p>
  </w:footnote>
  <w:footnote w:id="20">
    <w:p w14:paraId="01BCD85E" w14:textId="68CEDE8E" w:rsidR="00B83D63" w:rsidRPr="00B1678C" w:rsidRDefault="00B83D63" w:rsidP="00580F87">
      <w:pPr>
        <w:pStyle w:val="FootnoteText"/>
        <w:rPr>
          <w:rFonts w:ascii="Times New Roman" w:hAnsi="Times New Roman"/>
          <w:lang w:val="de-DE"/>
        </w:rPr>
      </w:pPr>
      <w:r w:rsidRPr="00AB5EFE">
        <w:rPr>
          <w:rStyle w:val="FootnoteReference"/>
          <w:rFonts w:ascii="Times New Roman" w:hAnsi="Times New Roman"/>
        </w:rPr>
        <w:footnoteRef/>
      </w:r>
      <w:r w:rsidRPr="00B1678C">
        <w:rPr>
          <w:rFonts w:ascii="Times New Roman" w:hAnsi="Times New Roman"/>
          <w:lang w:val="de-DE"/>
        </w:rPr>
        <w:t xml:space="preserve"> </w:t>
      </w:r>
      <w:r w:rsidRPr="00B1678C">
        <w:rPr>
          <w:rFonts w:ascii="Times New Roman" w:hAnsi="Times New Roman"/>
          <w:i/>
          <w:lang w:val="de-DE"/>
        </w:rPr>
        <w:t xml:space="preserve">SEH </w:t>
      </w:r>
      <w:r w:rsidRPr="00B1678C">
        <w:rPr>
          <w:rFonts w:ascii="Times New Roman" w:hAnsi="Times New Roman"/>
          <w:lang w:val="de-DE"/>
        </w:rPr>
        <w:t>VII, 659.</w:t>
      </w:r>
    </w:p>
  </w:footnote>
  <w:footnote w:id="21">
    <w:p w14:paraId="44C54645" w14:textId="633F1493"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4, lines 6-9.</w:t>
      </w:r>
    </w:p>
  </w:footnote>
  <w:footnote w:id="22">
    <w:p w14:paraId="5F25A0C8" w14:textId="633CDA88"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VIII, 4, lines 15-16.</w:t>
      </w:r>
    </w:p>
  </w:footnote>
  <w:footnote w:id="23">
    <w:p w14:paraId="4195EFB9" w14:textId="6BF60E6B" w:rsidR="00B83D63" w:rsidRPr="00522E03"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 5, line 31.</w:t>
      </w:r>
      <w:r>
        <w:rPr>
          <w:rFonts w:ascii="Times New Roman" w:hAnsi="Times New Roman"/>
        </w:rPr>
        <w:t xml:space="preserve">  On conquest and titles to rule in Bacon’s </w:t>
      </w:r>
      <w:proofErr w:type="spellStart"/>
      <w:r>
        <w:rPr>
          <w:rFonts w:ascii="Times New Roman" w:hAnsi="Times New Roman"/>
          <w:i/>
          <w:iCs/>
        </w:rPr>
        <w:t>Historie</w:t>
      </w:r>
      <w:proofErr w:type="spellEnd"/>
      <w:r>
        <w:rPr>
          <w:rFonts w:ascii="Times New Roman" w:hAnsi="Times New Roman"/>
          <w:i/>
          <w:iCs/>
        </w:rPr>
        <w:t xml:space="preserve"> of the </w:t>
      </w:r>
      <w:proofErr w:type="spellStart"/>
      <w:r>
        <w:rPr>
          <w:rFonts w:ascii="Times New Roman" w:hAnsi="Times New Roman"/>
          <w:i/>
          <w:iCs/>
        </w:rPr>
        <w:t>raigne</w:t>
      </w:r>
      <w:proofErr w:type="spellEnd"/>
      <w:r>
        <w:rPr>
          <w:rFonts w:ascii="Times New Roman" w:hAnsi="Times New Roman"/>
        </w:rPr>
        <w:t xml:space="preserve">, see Jerry Weinberger, “The Politics of Bacon’s </w:t>
      </w:r>
      <w:r>
        <w:rPr>
          <w:rFonts w:ascii="Times New Roman" w:hAnsi="Times New Roman"/>
          <w:i/>
          <w:iCs/>
        </w:rPr>
        <w:t>History of Henry the Seventh</w:t>
      </w:r>
      <w:r>
        <w:rPr>
          <w:rFonts w:ascii="Times New Roman" w:hAnsi="Times New Roman"/>
        </w:rPr>
        <w:t xml:space="preserve">,” </w:t>
      </w:r>
      <w:r>
        <w:rPr>
          <w:rFonts w:ascii="Times New Roman" w:hAnsi="Times New Roman"/>
          <w:i/>
          <w:iCs/>
        </w:rPr>
        <w:t xml:space="preserve">Review of Politics </w:t>
      </w:r>
      <w:r>
        <w:rPr>
          <w:rFonts w:ascii="Times New Roman" w:hAnsi="Times New Roman"/>
        </w:rPr>
        <w:t>52:4 (Autumn, 1990), 553-581, at 561-562.</w:t>
      </w:r>
    </w:p>
  </w:footnote>
  <w:footnote w:id="24">
    <w:p w14:paraId="301A6898" w14:textId="74838CD3"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Michael Kiernan, “Commentary,” 296.</w:t>
      </w:r>
    </w:p>
  </w:footnote>
  <w:footnote w:id="25">
    <w:p w14:paraId="002B67A3" w14:textId="6272ACB8"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VIII, 5, line 33.</w:t>
      </w:r>
    </w:p>
  </w:footnote>
  <w:footnote w:id="26">
    <w:p w14:paraId="1C339895" w14:textId="45B78725"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5-6.</w:t>
      </w:r>
    </w:p>
  </w:footnote>
  <w:footnote w:id="27">
    <w:p w14:paraId="027140BC" w14:textId="2296542A"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VIII, 6, lines 24-25.</w:t>
      </w:r>
    </w:p>
  </w:footnote>
  <w:footnote w:id="28">
    <w:p w14:paraId="4DCD1B6D" w14:textId="256B8144" w:rsidR="00B83D63" w:rsidRPr="002C5670" w:rsidRDefault="00B83D63" w:rsidP="00580F87">
      <w:pPr>
        <w:pStyle w:val="FootnoteText"/>
        <w:rPr>
          <w:rFonts w:ascii="Times New Roman" w:hAnsi="Times New Roman"/>
          <w:iCs/>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 xml:space="preserve">VIII, 6, lines 30-34.  On English mistrust of the title of conquest in the period </w:t>
      </w:r>
      <w:r>
        <w:rPr>
          <w:rFonts w:ascii="Times New Roman" w:hAnsi="Times New Roman"/>
        </w:rPr>
        <w:t xml:space="preserve">of </w:t>
      </w:r>
      <w:r w:rsidRPr="00AB5EFE">
        <w:rPr>
          <w:rFonts w:ascii="Times New Roman" w:hAnsi="Times New Roman"/>
        </w:rPr>
        <w:t xml:space="preserve">European imperial expansion, Anthony </w:t>
      </w:r>
      <w:proofErr w:type="spellStart"/>
      <w:r w:rsidRPr="00AB5EFE">
        <w:rPr>
          <w:rFonts w:ascii="Times New Roman" w:hAnsi="Times New Roman"/>
        </w:rPr>
        <w:t>Pagden</w:t>
      </w:r>
      <w:proofErr w:type="spellEnd"/>
      <w:r w:rsidRPr="00AB5EFE">
        <w:rPr>
          <w:rFonts w:ascii="Times New Roman" w:hAnsi="Times New Roman"/>
        </w:rPr>
        <w:t xml:space="preserve"> writes “there existed a long-standing distrust of conquest…that originated in the Norman occupation after 1066 and resulted in the ‘continuity theory’ of constitutional law in which the legal and political institutions of the conquered are </w:t>
      </w:r>
      <w:proofErr w:type="spellStart"/>
      <w:r w:rsidRPr="00AB5EFE">
        <w:rPr>
          <w:rFonts w:ascii="Times New Roman" w:hAnsi="Times New Roman"/>
        </w:rPr>
        <w:t>deemd</w:t>
      </w:r>
      <w:proofErr w:type="spellEnd"/>
      <w:r w:rsidRPr="00AB5EFE">
        <w:rPr>
          <w:rFonts w:ascii="Times New Roman" w:hAnsi="Times New Roman"/>
        </w:rPr>
        <w:t xml:space="preserve"> to survive a conquest.” Anthony </w:t>
      </w:r>
      <w:proofErr w:type="spellStart"/>
      <w:r w:rsidRPr="00AB5EFE">
        <w:rPr>
          <w:rFonts w:ascii="Times New Roman" w:hAnsi="Times New Roman"/>
        </w:rPr>
        <w:t>Pagden</w:t>
      </w:r>
      <w:proofErr w:type="spellEnd"/>
      <w:r w:rsidRPr="00AB5EFE">
        <w:rPr>
          <w:rFonts w:ascii="Times New Roman" w:hAnsi="Times New Roman"/>
        </w:rPr>
        <w:t xml:space="preserve">, </w:t>
      </w:r>
      <w:r w:rsidRPr="00AB5EFE">
        <w:rPr>
          <w:rFonts w:ascii="Times New Roman" w:hAnsi="Times New Roman"/>
          <w:i/>
        </w:rPr>
        <w:t xml:space="preserve">The Burdens of Empire, 1539-Present </w:t>
      </w:r>
      <w:r w:rsidRPr="00AB5EFE">
        <w:rPr>
          <w:rFonts w:ascii="Times New Roman" w:hAnsi="Times New Roman"/>
        </w:rPr>
        <w:t>(Cambridge: Cambridge University Press, 2015), 123-124.</w:t>
      </w:r>
      <w:r w:rsidRPr="00AB5EFE">
        <w:rPr>
          <w:rFonts w:ascii="Times New Roman" w:hAnsi="Times New Roman"/>
          <w:i/>
        </w:rPr>
        <w:t xml:space="preserve"> </w:t>
      </w:r>
      <w:r>
        <w:rPr>
          <w:rFonts w:ascii="Times New Roman" w:hAnsi="Times New Roman"/>
          <w:iCs/>
        </w:rPr>
        <w:t xml:space="preserve">See also J. G. A. Pocock, </w:t>
      </w:r>
      <w:r>
        <w:rPr>
          <w:rFonts w:ascii="Times New Roman" w:hAnsi="Times New Roman"/>
          <w:i/>
        </w:rPr>
        <w:t xml:space="preserve">The Ancient Constitution and the Feudal Law </w:t>
      </w:r>
      <w:r>
        <w:rPr>
          <w:rFonts w:ascii="Times New Roman" w:hAnsi="Times New Roman"/>
          <w:iCs/>
        </w:rPr>
        <w:t>(Cambridge: Cambridge University Press, 1987 [1957]), 42-45; 53-55.</w:t>
      </w:r>
    </w:p>
  </w:footnote>
  <w:footnote w:id="29">
    <w:p w14:paraId="50A2081B" w14:textId="3E4E4DEC"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VIII, 6, line 29.</w:t>
      </w:r>
    </w:p>
  </w:footnote>
  <w:footnote w:id="30">
    <w:p w14:paraId="731DC6AD" w14:textId="0E6E7369"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VIII, 7, lines 8-9.</w:t>
      </w:r>
    </w:p>
  </w:footnote>
  <w:footnote w:id="31">
    <w:p w14:paraId="585BD701" w14:textId="52BC76B6" w:rsidR="00B83D63" w:rsidRPr="00AB5EFE" w:rsidRDefault="00B83D63" w:rsidP="00580F87">
      <w:pPr>
        <w:pStyle w:val="FootnoteText"/>
        <w:rPr>
          <w:rFonts w:ascii="Times New Roman" w:hAnsi="Times New Roman"/>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OFB</w:t>
      </w:r>
      <w:r w:rsidRPr="00AB5EFE">
        <w:rPr>
          <w:rFonts w:ascii="Times New Roman" w:hAnsi="Times New Roman"/>
        </w:rPr>
        <w:t xml:space="preserve"> VIII, 5, lines 26-27.</w:t>
      </w:r>
    </w:p>
  </w:footnote>
  <w:footnote w:id="32">
    <w:p w14:paraId="56541A74" w14:textId="5F59C009" w:rsidR="00B83D63" w:rsidRPr="00AB5EFE" w:rsidRDefault="00B83D63" w:rsidP="00580F87">
      <w:pPr>
        <w:pStyle w:val="FootnoteText"/>
        <w:rPr>
          <w:i/>
        </w:rPr>
      </w:pPr>
      <w:r w:rsidRPr="00AB5EFE">
        <w:rPr>
          <w:rStyle w:val="FootnoteReference"/>
          <w:rFonts w:ascii="Times New Roman" w:hAnsi="Times New Roman"/>
        </w:rPr>
        <w:footnoteRef/>
      </w:r>
      <w:r w:rsidRPr="00AB5EFE">
        <w:rPr>
          <w:rFonts w:ascii="Times New Roman" w:hAnsi="Times New Roman"/>
        </w:rPr>
        <w:t xml:space="preserve"> </w:t>
      </w:r>
      <w:r w:rsidRPr="00AB5EFE">
        <w:rPr>
          <w:rFonts w:ascii="Times New Roman" w:hAnsi="Times New Roman"/>
          <w:i/>
        </w:rPr>
        <w:t xml:space="preserve">OFB </w:t>
      </w:r>
      <w:r w:rsidRPr="00AB5EFE">
        <w:rPr>
          <w:rFonts w:ascii="Times New Roman" w:hAnsi="Times New Roman"/>
        </w:rPr>
        <w:t xml:space="preserve">VIII, </w:t>
      </w:r>
      <w:r>
        <w:rPr>
          <w:rFonts w:ascii="Times New Roman" w:hAnsi="Times New Roman"/>
        </w:rPr>
        <w:t>12, lines 26-27.</w:t>
      </w:r>
    </w:p>
  </w:footnote>
  <w:footnote w:id="33">
    <w:p w14:paraId="7387ACDA" w14:textId="6CC6968A" w:rsidR="00B83D63" w:rsidRPr="00E5688E" w:rsidRDefault="00B83D63" w:rsidP="00580F87">
      <w:pPr>
        <w:pStyle w:val="FootnoteText"/>
        <w:rPr>
          <w:rFonts w:ascii="Times New Roman" w:hAnsi="Times New Roman"/>
        </w:rPr>
      </w:pPr>
      <w:r w:rsidRPr="00E5688E">
        <w:rPr>
          <w:rStyle w:val="FootnoteReference"/>
          <w:rFonts w:ascii="Times New Roman" w:hAnsi="Times New Roman"/>
        </w:rPr>
        <w:footnoteRef/>
      </w:r>
      <w:r w:rsidRPr="00E5688E">
        <w:rPr>
          <w:rFonts w:ascii="Times New Roman" w:hAnsi="Times New Roman"/>
        </w:rPr>
        <w:t xml:space="preserve"> As Anthony </w:t>
      </w:r>
      <w:proofErr w:type="spellStart"/>
      <w:r w:rsidRPr="00E5688E">
        <w:rPr>
          <w:rFonts w:ascii="Times New Roman" w:hAnsi="Times New Roman"/>
        </w:rPr>
        <w:t>Pagden</w:t>
      </w:r>
      <w:proofErr w:type="spellEnd"/>
      <w:r w:rsidRPr="00E5688E">
        <w:rPr>
          <w:rFonts w:ascii="Times New Roman" w:hAnsi="Times New Roman"/>
        </w:rPr>
        <w:t xml:space="preserve"> writes, “Although very few of the English settlements in America were in fact ‘conquered’ in any meaningful sense, conquest nevertheless remained the basis of the English crown’s claim to its American colony until independence.” Anthony </w:t>
      </w:r>
      <w:proofErr w:type="spellStart"/>
      <w:r w:rsidRPr="00E5688E">
        <w:rPr>
          <w:rFonts w:ascii="Times New Roman" w:hAnsi="Times New Roman"/>
        </w:rPr>
        <w:t>Pagden</w:t>
      </w:r>
      <w:proofErr w:type="spellEnd"/>
      <w:r w:rsidRPr="00E5688E">
        <w:rPr>
          <w:rFonts w:ascii="Times New Roman" w:hAnsi="Times New Roman"/>
        </w:rPr>
        <w:t xml:space="preserve">, </w:t>
      </w:r>
      <w:r w:rsidRPr="00E5688E">
        <w:rPr>
          <w:rFonts w:ascii="Times New Roman" w:hAnsi="Times New Roman"/>
          <w:i/>
        </w:rPr>
        <w:t xml:space="preserve">The Burdens of Empire, </w:t>
      </w:r>
      <w:r w:rsidRPr="00E5688E">
        <w:rPr>
          <w:rFonts w:ascii="Times New Roman" w:hAnsi="Times New Roman"/>
        </w:rPr>
        <w:t>124.</w:t>
      </w:r>
    </w:p>
  </w:footnote>
  <w:footnote w:id="34">
    <w:p w14:paraId="36FF29CC" w14:textId="41AD50D4"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F648D3">
        <w:rPr>
          <w:rFonts w:ascii="Times New Roman" w:hAnsi="Times New Roman"/>
        </w:rPr>
        <w:t xml:space="preserve"> Bacon, </w:t>
      </w:r>
      <w:r w:rsidRPr="00F648D3">
        <w:rPr>
          <w:rFonts w:ascii="Times New Roman" w:hAnsi="Times New Roman"/>
          <w:i/>
          <w:iCs/>
        </w:rPr>
        <w:t xml:space="preserve">Opera </w:t>
      </w:r>
      <w:proofErr w:type="spellStart"/>
      <w:r w:rsidRPr="00F648D3">
        <w:rPr>
          <w:rFonts w:ascii="Times New Roman" w:hAnsi="Times New Roman"/>
          <w:i/>
          <w:iCs/>
        </w:rPr>
        <w:t>moralia</w:t>
      </w:r>
      <w:proofErr w:type="spellEnd"/>
      <w:r w:rsidRPr="00F648D3">
        <w:rPr>
          <w:rFonts w:ascii="Times New Roman" w:hAnsi="Times New Roman"/>
          <w:i/>
          <w:iCs/>
        </w:rPr>
        <w:t xml:space="preserve"> et </w:t>
      </w:r>
      <w:proofErr w:type="spellStart"/>
      <w:r w:rsidRPr="00F648D3">
        <w:rPr>
          <w:rFonts w:ascii="Times New Roman" w:hAnsi="Times New Roman"/>
          <w:i/>
          <w:iCs/>
        </w:rPr>
        <w:t>civilia</w:t>
      </w:r>
      <w:proofErr w:type="spellEnd"/>
      <w:r w:rsidRPr="00F648D3">
        <w:rPr>
          <w:rFonts w:ascii="Times New Roman" w:hAnsi="Times New Roman"/>
        </w:rPr>
        <w:t>, William</w:t>
      </w:r>
      <w:r>
        <w:rPr>
          <w:rFonts w:ascii="Times New Roman" w:hAnsi="Times New Roman"/>
        </w:rPr>
        <w:t xml:space="preserve"> Rawley ed., </w:t>
      </w:r>
      <w:r w:rsidRPr="00F648D3">
        <w:rPr>
          <w:rFonts w:ascii="Times New Roman" w:hAnsi="Times New Roman"/>
        </w:rPr>
        <w:t xml:space="preserve">(London: Richard Whitaker, 1638), 217.  </w:t>
      </w:r>
    </w:p>
  </w:footnote>
  <w:footnote w:id="35">
    <w:p w14:paraId="75F341A9" w14:textId="4C93B4E8"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John Aubrey, “Thomas Hobbes,” 321-403 in ‘</w:t>
      </w:r>
      <w:r w:rsidRPr="004D25D9">
        <w:rPr>
          <w:rFonts w:ascii="Times New Roman" w:hAnsi="Times New Roman"/>
          <w:i/>
        </w:rPr>
        <w:t>Brief Lives</w:t>
      </w:r>
      <w:r w:rsidRPr="004D25D9">
        <w:rPr>
          <w:rFonts w:ascii="Times New Roman" w:hAnsi="Times New Roman"/>
          <w:iCs/>
        </w:rPr>
        <w:t xml:space="preserve">,’ </w:t>
      </w:r>
      <w:r w:rsidRPr="004D25D9">
        <w:rPr>
          <w:rFonts w:ascii="Times New Roman" w:hAnsi="Times New Roman"/>
          <w:i/>
        </w:rPr>
        <w:t xml:space="preserve">chiefly of Contemporaries, set down by John Aubrey, between the Years 1669 &amp; </w:t>
      </w:r>
      <w:r w:rsidRPr="004D25D9">
        <w:rPr>
          <w:rFonts w:ascii="Times New Roman" w:hAnsi="Times New Roman"/>
          <w:iCs/>
        </w:rPr>
        <w:t>1696, ed</w:t>
      </w:r>
      <w:r w:rsidRPr="004D25D9">
        <w:rPr>
          <w:rFonts w:ascii="Times New Roman" w:hAnsi="Times New Roman"/>
        </w:rPr>
        <w:t>. Andrew Clark,</w:t>
      </w:r>
      <w:r>
        <w:rPr>
          <w:rFonts w:ascii="Times New Roman" w:hAnsi="Times New Roman"/>
        </w:rPr>
        <w:t xml:space="preserve"> (Oxford: Clarendon, 1898), 2 vols., I,</w:t>
      </w:r>
      <w:r w:rsidRPr="004D25D9">
        <w:rPr>
          <w:rFonts w:ascii="Times New Roman" w:hAnsi="Times New Roman"/>
        </w:rPr>
        <w:t xml:space="preserve"> 331</w:t>
      </w:r>
      <w:r>
        <w:rPr>
          <w:rFonts w:ascii="Times New Roman" w:hAnsi="Times New Roman"/>
        </w:rPr>
        <w:t>.</w:t>
      </w:r>
    </w:p>
  </w:footnote>
  <w:footnote w:id="36">
    <w:p w14:paraId="102AE656" w14:textId="2469D699"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4D25D9">
        <w:rPr>
          <w:rFonts w:ascii="Times New Roman" w:hAnsi="Times New Roman"/>
          <w:i/>
          <w:iCs/>
          <w:lang w:val="en-GB"/>
        </w:rPr>
        <w:t>OFB</w:t>
      </w:r>
      <w:r w:rsidRPr="004D25D9">
        <w:rPr>
          <w:rFonts w:ascii="Times New Roman" w:hAnsi="Times New Roman"/>
        </w:rPr>
        <w:t xml:space="preserve"> XV</w:t>
      </w:r>
      <w:r w:rsidRPr="004D25D9">
        <w:rPr>
          <w:rFonts w:ascii="Times New Roman" w:hAnsi="Times New Roman"/>
          <w:lang w:val="en-GB"/>
        </w:rPr>
        <w:t>, 107.</w:t>
      </w:r>
    </w:p>
  </w:footnote>
  <w:footnote w:id="37">
    <w:p w14:paraId="58D3211F" w14:textId="7C496264"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 xml:space="preserve">LL </w:t>
      </w:r>
      <w:r w:rsidRPr="004D25D9">
        <w:rPr>
          <w:rFonts w:ascii="Times New Roman" w:hAnsi="Times New Roman"/>
        </w:rPr>
        <w:t xml:space="preserve">II, “A Declaration Touching the Treasons of the late Earl of Essex and his </w:t>
      </w:r>
      <w:proofErr w:type="spellStart"/>
      <w:r w:rsidRPr="004D25D9">
        <w:rPr>
          <w:rFonts w:ascii="Times New Roman" w:hAnsi="Times New Roman"/>
        </w:rPr>
        <w:t>Complices</w:t>
      </w:r>
      <w:proofErr w:type="spellEnd"/>
      <w:r w:rsidRPr="004D25D9">
        <w:rPr>
          <w:rFonts w:ascii="Times New Roman" w:hAnsi="Times New Roman"/>
        </w:rPr>
        <w:t>,” 247</w:t>
      </w:r>
      <w:r>
        <w:rPr>
          <w:rFonts w:ascii="Times New Roman" w:hAnsi="Times New Roman"/>
        </w:rPr>
        <w:t>.</w:t>
      </w:r>
    </w:p>
  </w:footnote>
  <w:footnote w:id="38">
    <w:p w14:paraId="36AA7EB9" w14:textId="190552E2"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lang w:val="en-GB"/>
        </w:rPr>
        <w:t xml:space="preserve">OFB </w:t>
      </w:r>
      <w:r w:rsidRPr="004D25D9">
        <w:rPr>
          <w:rFonts w:ascii="Times New Roman" w:hAnsi="Times New Roman"/>
          <w:lang w:val="en-GB"/>
        </w:rPr>
        <w:t xml:space="preserve">VIII, </w:t>
      </w:r>
      <w:r w:rsidRPr="004D25D9">
        <w:rPr>
          <w:rFonts w:ascii="Times New Roman" w:hAnsi="Times New Roman"/>
          <w:i/>
          <w:lang w:val="en-GB"/>
        </w:rPr>
        <w:t xml:space="preserve">The </w:t>
      </w:r>
      <w:proofErr w:type="spellStart"/>
      <w:r w:rsidRPr="004D25D9">
        <w:rPr>
          <w:rFonts w:ascii="Times New Roman" w:hAnsi="Times New Roman"/>
          <w:i/>
          <w:lang w:val="en-GB"/>
        </w:rPr>
        <w:t>historie</w:t>
      </w:r>
      <w:proofErr w:type="spellEnd"/>
      <w:r w:rsidRPr="004D25D9">
        <w:rPr>
          <w:rFonts w:ascii="Times New Roman" w:hAnsi="Times New Roman"/>
          <w:i/>
          <w:lang w:val="en-GB"/>
        </w:rPr>
        <w:t xml:space="preserve"> of the </w:t>
      </w:r>
      <w:proofErr w:type="spellStart"/>
      <w:r w:rsidRPr="004D25D9">
        <w:rPr>
          <w:rFonts w:ascii="Times New Roman" w:hAnsi="Times New Roman"/>
          <w:i/>
          <w:lang w:val="en-GB"/>
        </w:rPr>
        <w:t>raigne</w:t>
      </w:r>
      <w:proofErr w:type="spellEnd"/>
      <w:r w:rsidRPr="004D25D9">
        <w:rPr>
          <w:rFonts w:ascii="Times New Roman" w:hAnsi="Times New Roman"/>
          <w:i/>
          <w:lang w:val="en-GB"/>
        </w:rPr>
        <w:t xml:space="preserve"> of King Henry the </w:t>
      </w:r>
      <w:proofErr w:type="spellStart"/>
      <w:r w:rsidRPr="004D25D9">
        <w:rPr>
          <w:rFonts w:ascii="Times New Roman" w:hAnsi="Times New Roman"/>
          <w:i/>
          <w:lang w:val="en-GB"/>
        </w:rPr>
        <w:t>seuenth</w:t>
      </w:r>
      <w:proofErr w:type="spellEnd"/>
      <w:r w:rsidRPr="004D25D9">
        <w:rPr>
          <w:rFonts w:ascii="Times New Roman" w:hAnsi="Times New Roman"/>
          <w:i/>
          <w:lang w:val="en-GB"/>
        </w:rPr>
        <w:t>,</w:t>
      </w:r>
      <w:r w:rsidRPr="004D25D9">
        <w:rPr>
          <w:rFonts w:ascii="Times New Roman" w:hAnsi="Times New Roman"/>
          <w:lang w:val="en-GB"/>
        </w:rPr>
        <w:t xml:space="preserve"> 30, lines 7-8 with Michael Kiernan, “Commentary,” 331-334 in </w:t>
      </w:r>
      <w:r w:rsidRPr="004D25D9">
        <w:rPr>
          <w:rFonts w:ascii="Times New Roman" w:hAnsi="Times New Roman"/>
          <w:i/>
          <w:lang w:val="en-GB"/>
        </w:rPr>
        <w:t>OFB</w:t>
      </w:r>
      <w:r w:rsidRPr="004D25D9">
        <w:rPr>
          <w:rFonts w:ascii="Times New Roman" w:hAnsi="Times New Roman"/>
        </w:rPr>
        <w:t xml:space="preserve"> VIII.</w:t>
      </w:r>
    </w:p>
  </w:footnote>
  <w:footnote w:id="39">
    <w:p w14:paraId="45CC5E97" w14:textId="77777777"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E620EA">
        <w:rPr>
          <w:rFonts w:ascii="Times New Roman" w:hAnsi="Times New Roman"/>
          <w:lang w:val="en-GB"/>
        </w:rPr>
        <w:t>Ibid</w:t>
      </w:r>
      <w:r w:rsidRPr="004D25D9">
        <w:rPr>
          <w:rFonts w:ascii="Times New Roman" w:hAnsi="Times New Roman"/>
          <w:i/>
          <w:iCs/>
          <w:lang w:val="en-GB"/>
        </w:rPr>
        <w:t>.</w:t>
      </w:r>
    </w:p>
  </w:footnote>
  <w:footnote w:id="40">
    <w:p w14:paraId="4C55A976" w14:textId="27D7B346"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4D25D9">
        <w:rPr>
          <w:rFonts w:ascii="Times New Roman" w:hAnsi="Times New Roman"/>
          <w:i/>
          <w:iCs/>
          <w:lang w:val="en-GB"/>
        </w:rPr>
        <w:t xml:space="preserve">OFB </w:t>
      </w:r>
      <w:r w:rsidRPr="004D25D9">
        <w:rPr>
          <w:rFonts w:ascii="Times New Roman" w:hAnsi="Times New Roman"/>
          <w:lang w:val="en-GB"/>
        </w:rPr>
        <w:t>XV, 107.</w:t>
      </w:r>
    </w:p>
  </w:footnote>
  <w:footnote w:id="41">
    <w:p w14:paraId="05FB16CE" w14:textId="2A4707D1" w:rsidR="00B83D63" w:rsidRPr="004D25D9" w:rsidRDefault="00B83D63" w:rsidP="00580F87">
      <w:pPr>
        <w:spacing w:after="0" w:line="240" w:lineRule="auto"/>
        <w:rPr>
          <w:rFonts w:ascii="Times New Roman" w:hAnsi="Times New Roman" w:cs="Times New Roman"/>
          <w:sz w:val="20"/>
          <w:szCs w:val="20"/>
        </w:rPr>
      </w:pPr>
      <w:r w:rsidRPr="004D25D9">
        <w:rPr>
          <w:rStyle w:val="FootnoteReference"/>
          <w:rFonts w:ascii="Times New Roman" w:hAnsi="Times New Roman"/>
          <w:sz w:val="20"/>
          <w:szCs w:val="20"/>
        </w:rPr>
        <w:footnoteRef/>
      </w:r>
      <w:r w:rsidRPr="004D25D9">
        <w:rPr>
          <w:rFonts w:ascii="Times New Roman" w:hAnsi="Times New Roman" w:cs="Times New Roman"/>
          <w:sz w:val="20"/>
          <w:szCs w:val="20"/>
        </w:rPr>
        <w:t xml:space="preserve"> Ken MacMillan, </w:t>
      </w:r>
      <w:r w:rsidRPr="004D25D9">
        <w:rPr>
          <w:rFonts w:ascii="Times New Roman" w:hAnsi="Times New Roman" w:cs="Times New Roman"/>
          <w:i/>
          <w:sz w:val="20"/>
          <w:szCs w:val="20"/>
        </w:rPr>
        <w:t xml:space="preserve">Sovereignty and Possession in the English New World: The Legal Foundations of Empire 1576-1640 </w:t>
      </w:r>
      <w:r w:rsidRPr="004D25D9">
        <w:rPr>
          <w:rFonts w:ascii="Times New Roman" w:hAnsi="Times New Roman" w:cs="Times New Roman"/>
          <w:sz w:val="20"/>
          <w:szCs w:val="20"/>
        </w:rPr>
        <w:t>(Cambridge: Cambridge University Press, 2005), 7</w:t>
      </w:r>
      <w:r>
        <w:rPr>
          <w:rFonts w:ascii="Times New Roman" w:hAnsi="Times New Roman" w:cs="Times New Roman"/>
          <w:sz w:val="20"/>
          <w:szCs w:val="20"/>
        </w:rPr>
        <w:t>.</w:t>
      </w:r>
    </w:p>
  </w:footnote>
  <w:footnote w:id="42">
    <w:p w14:paraId="0CA68C32" w14:textId="77777777"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E620EA">
        <w:rPr>
          <w:rFonts w:ascii="Times New Roman" w:hAnsi="Times New Roman"/>
          <w:lang w:val="en-GB"/>
        </w:rPr>
        <w:t>Ibid</w:t>
      </w:r>
      <w:r w:rsidRPr="004D25D9">
        <w:rPr>
          <w:rFonts w:ascii="Times New Roman" w:hAnsi="Times New Roman"/>
          <w:lang w:val="en-GB"/>
        </w:rPr>
        <w:t>.</w:t>
      </w:r>
    </w:p>
  </w:footnote>
  <w:footnote w:id="43">
    <w:p w14:paraId="6C5D05D8" w14:textId="02039700"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4D25D9">
        <w:rPr>
          <w:rFonts w:ascii="Times New Roman" w:hAnsi="Times New Roman"/>
          <w:i/>
          <w:iCs/>
          <w:lang w:val="en-GB"/>
        </w:rPr>
        <w:t xml:space="preserve">OFB </w:t>
      </w:r>
      <w:r w:rsidRPr="004D25D9">
        <w:rPr>
          <w:rFonts w:ascii="Times New Roman" w:hAnsi="Times New Roman"/>
          <w:lang w:val="en-GB"/>
        </w:rPr>
        <w:t>XV, 108.</w:t>
      </w:r>
    </w:p>
  </w:footnote>
  <w:footnote w:id="44">
    <w:p w14:paraId="47B62BB3" w14:textId="77777777"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E620EA">
        <w:rPr>
          <w:rFonts w:ascii="Times New Roman" w:hAnsi="Times New Roman"/>
        </w:rPr>
        <w:t>Ibid</w:t>
      </w:r>
      <w:r w:rsidRPr="004D25D9">
        <w:rPr>
          <w:rFonts w:ascii="Times New Roman" w:hAnsi="Times New Roman"/>
        </w:rPr>
        <w:t>.</w:t>
      </w:r>
    </w:p>
  </w:footnote>
  <w:footnote w:id="45">
    <w:p w14:paraId="3128332E" w14:textId="58708793" w:rsidR="00B83D63" w:rsidRPr="00F648D3" w:rsidRDefault="00B83D63">
      <w:pPr>
        <w:pStyle w:val="FootnoteText"/>
        <w:rPr>
          <w:rFonts w:ascii="Times New Roman" w:hAnsi="Times New Roman" w:cs="Times New Roman"/>
        </w:rPr>
      </w:pPr>
      <w:r w:rsidRPr="00F648D3">
        <w:rPr>
          <w:rStyle w:val="FootnoteReference"/>
          <w:rFonts w:ascii="Times New Roman" w:hAnsi="Times New Roman" w:cs="Times New Roman"/>
        </w:rPr>
        <w:footnoteRef/>
      </w:r>
      <w:r w:rsidRPr="00F648D3">
        <w:rPr>
          <w:rFonts w:ascii="Times New Roman" w:hAnsi="Times New Roman" w:cs="Times New Roman"/>
        </w:rPr>
        <w:t xml:space="preserve"> </w:t>
      </w:r>
      <w:r w:rsidRPr="00F648D3">
        <w:rPr>
          <w:rFonts w:ascii="Times New Roman" w:hAnsi="Times New Roman" w:cs="Times New Roman"/>
          <w:i/>
          <w:iCs/>
        </w:rPr>
        <w:t xml:space="preserve">LL </w:t>
      </w:r>
      <w:r w:rsidRPr="00F648D3">
        <w:rPr>
          <w:rFonts w:ascii="Times New Roman" w:hAnsi="Times New Roman" w:cs="Times New Roman"/>
        </w:rPr>
        <w:t>VII</w:t>
      </w:r>
      <w:r>
        <w:rPr>
          <w:rFonts w:ascii="Times New Roman" w:hAnsi="Times New Roman" w:cs="Times New Roman"/>
        </w:rPr>
        <w:t xml:space="preserve">, </w:t>
      </w:r>
      <w:r>
        <w:rPr>
          <w:rFonts w:ascii="Times New Roman" w:hAnsi="Times New Roman" w:cs="Times New Roman"/>
          <w:i/>
          <w:iCs/>
        </w:rPr>
        <w:t>Considerations touching a War with Spain</w:t>
      </w:r>
      <w:r>
        <w:rPr>
          <w:rFonts w:ascii="Times New Roman" w:hAnsi="Times New Roman" w:cs="Times New Roman"/>
        </w:rPr>
        <w:t>, 469-505.</w:t>
      </w:r>
    </w:p>
  </w:footnote>
  <w:footnote w:id="46">
    <w:p w14:paraId="32B75229" w14:textId="0A9138D0" w:rsidR="00B83D63" w:rsidRPr="004D25D9" w:rsidRDefault="00B83D63" w:rsidP="00580F87">
      <w:pPr>
        <w:spacing w:after="0" w:line="240" w:lineRule="auto"/>
        <w:rPr>
          <w:rFonts w:ascii="Times New Roman" w:hAnsi="Times New Roman" w:cs="Times New Roman"/>
          <w:sz w:val="20"/>
          <w:szCs w:val="20"/>
        </w:rPr>
      </w:pPr>
      <w:r w:rsidRPr="004D25D9">
        <w:rPr>
          <w:rStyle w:val="FootnoteReference"/>
          <w:rFonts w:ascii="Times New Roman" w:hAnsi="Times New Roman"/>
          <w:sz w:val="20"/>
          <w:szCs w:val="20"/>
          <w:lang w:val="la-Latn"/>
        </w:rPr>
        <w:footnoteRef/>
      </w:r>
      <w:r w:rsidRPr="004D25D9">
        <w:rPr>
          <w:rFonts w:ascii="Times New Roman" w:hAnsi="Times New Roman" w:cs="Times New Roman"/>
          <w:sz w:val="20"/>
          <w:szCs w:val="20"/>
          <w:lang w:val="la-Latn"/>
        </w:rPr>
        <w:t xml:space="preserve"> Bacon</w:t>
      </w:r>
      <w:r>
        <w:rPr>
          <w:rFonts w:ascii="Times New Roman" w:hAnsi="Times New Roman" w:cs="Times New Roman"/>
          <w:sz w:val="20"/>
          <w:szCs w:val="20"/>
        </w:rPr>
        <w:t xml:space="preserve">, </w:t>
      </w:r>
      <w:r w:rsidRPr="00465C84">
        <w:rPr>
          <w:rFonts w:ascii="Times New Roman" w:hAnsi="Times New Roman" w:cs="Times New Roman"/>
          <w:i/>
          <w:iCs/>
          <w:sz w:val="20"/>
          <w:szCs w:val="20"/>
          <w:lang w:val="la-Latn"/>
        </w:rPr>
        <w:t>Opera moralia et civilia</w:t>
      </w:r>
      <w:r w:rsidRPr="004D25D9">
        <w:rPr>
          <w:rFonts w:ascii="Times New Roman" w:hAnsi="Times New Roman" w:cs="Times New Roman"/>
          <w:sz w:val="20"/>
          <w:szCs w:val="20"/>
          <w:lang w:val="la-Latn"/>
        </w:rPr>
        <w:t xml:space="preserve">, 335: “Zebedaeus </w:t>
      </w:r>
      <w:r w:rsidRPr="004D25D9">
        <w:rPr>
          <w:rFonts w:ascii="Times New Roman" w:hAnsi="Times New Roman" w:cs="Times New Roman"/>
          <w:i/>
          <w:sz w:val="20"/>
          <w:szCs w:val="20"/>
          <w:lang w:val="la-Latn"/>
        </w:rPr>
        <w:t>Romano-Catholicus</w:t>
      </w:r>
      <w:r w:rsidRPr="004D25D9">
        <w:rPr>
          <w:rFonts w:ascii="Times New Roman" w:hAnsi="Times New Roman" w:cs="Times New Roman"/>
          <w:sz w:val="20"/>
          <w:szCs w:val="20"/>
          <w:lang w:val="la-Latn"/>
        </w:rPr>
        <w:t xml:space="preserve">, </w:t>
      </w:r>
      <w:r w:rsidRPr="004D25D9">
        <w:rPr>
          <w:rFonts w:ascii="Times New Roman" w:hAnsi="Times New Roman" w:cs="Times New Roman"/>
          <w:i/>
          <w:sz w:val="20"/>
          <w:szCs w:val="20"/>
          <w:lang w:val="la-Latn"/>
        </w:rPr>
        <w:t>fervidus, &amp; Zelotes</w:t>
      </w:r>
      <w:r w:rsidRPr="004D25D9">
        <w:rPr>
          <w:rFonts w:ascii="Times New Roman" w:hAnsi="Times New Roman" w:cs="Times New Roman"/>
          <w:sz w:val="20"/>
          <w:szCs w:val="20"/>
          <w:lang w:val="la-Latn"/>
        </w:rPr>
        <w:t>.”</w:t>
      </w:r>
      <w:r w:rsidRPr="004D25D9">
        <w:rPr>
          <w:rFonts w:ascii="Times New Roman" w:hAnsi="Times New Roman" w:cs="Times New Roman"/>
          <w:sz w:val="20"/>
          <w:szCs w:val="20"/>
        </w:rPr>
        <w:t xml:space="preserve"> See also </w:t>
      </w:r>
      <w:r w:rsidRPr="004D25D9">
        <w:rPr>
          <w:rFonts w:ascii="Times New Roman" w:hAnsi="Times New Roman" w:cs="Times New Roman"/>
          <w:i/>
          <w:iCs/>
          <w:sz w:val="20"/>
          <w:szCs w:val="20"/>
        </w:rPr>
        <w:t xml:space="preserve">SEH </w:t>
      </w:r>
      <w:r w:rsidRPr="004D25D9">
        <w:rPr>
          <w:rFonts w:ascii="Times New Roman" w:hAnsi="Times New Roman" w:cs="Times New Roman"/>
          <w:sz w:val="20"/>
          <w:szCs w:val="20"/>
        </w:rPr>
        <w:t xml:space="preserve">VII, 17n2; </w:t>
      </w:r>
      <w:r w:rsidRPr="004D25D9">
        <w:rPr>
          <w:rFonts w:ascii="Times New Roman" w:hAnsi="Times New Roman" w:cs="Times New Roman"/>
          <w:i/>
          <w:iCs/>
          <w:sz w:val="20"/>
          <w:szCs w:val="20"/>
        </w:rPr>
        <w:t xml:space="preserve">OFB </w:t>
      </w:r>
      <w:r w:rsidRPr="004D25D9">
        <w:rPr>
          <w:rFonts w:ascii="Times New Roman" w:hAnsi="Times New Roman" w:cs="Times New Roman"/>
          <w:sz w:val="20"/>
          <w:szCs w:val="20"/>
        </w:rPr>
        <w:t xml:space="preserve">VIII, 187; </w:t>
      </w:r>
      <w:r w:rsidRPr="004D25D9">
        <w:rPr>
          <w:rFonts w:ascii="Times New Roman" w:hAnsi="Times New Roman" w:cs="Times New Roman"/>
          <w:i/>
          <w:sz w:val="20"/>
          <w:szCs w:val="20"/>
        </w:rPr>
        <w:t xml:space="preserve">OFB </w:t>
      </w:r>
      <w:r w:rsidRPr="004D25D9">
        <w:rPr>
          <w:rFonts w:ascii="Times New Roman" w:hAnsi="Times New Roman" w:cs="Times New Roman"/>
          <w:sz w:val="20"/>
          <w:szCs w:val="20"/>
        </w:rPr>
        <w:t xml:space="preserve">VIII, Kiernan, “Commentary,” 496.  </w:t>
      </w:r>
      <w:r w:rsidRPr="004D25D9">
        <w:rPr>
          <w:rFonts w:ascii="Times New Roman" w:hAnsi="Times New Roman" w:cs="Times New Roman"/>
          <w:sz w:val="20"/>
          <w:szCs w:val="20"/>
          <w:lang w:val="en-GB"/>
        </w:rPr>
        <w:t>Michelle Tolman Clarke picks up on this rhetorical strategy, but places it amongst English and French imperial rhetorical strategies in the period after Bacon wrote</w:t>
      </w:r>
      <w:r>
        <w:rPr>
          <w:rFonts w:ascii="Times New Roman" w:hAnsi="Times New Roman" w:cs="Times New Roman"/>
          <w:sz w:val="20"/>
          <w:szCs w:val="20"/>
          <w:lang w:val="en-GB"/>
        </w:rPr>
        <w:t xml:space="preserve">. See </w:t>
      </w:r>
      <w:r w:rsidRPr="004D25D9">
        <w:rPr>
          <w:rFonts w:ascii="Times New Roman" w:hAnsi="Times New Roman" w:cs="Times New Roman"/>
          <w:sz w:val="20"/>
          <w:szCs w:val="20"/>
        </w:rPr>
        <w:t>Tolman Clarke, “Uprooting Nebuchadnezzar’s Tree</w:t>
      </w:r>
      <w:r>
        <w:rPr>
          <w:rFonts w:ascii="Times New Roman" w:hAnsi="Times New Roman" w:cs="Times New Roman"/>
          <w:sz w:val="20"/>
          <w:szCs w:val="20"/>
        </w:rPr>
        <w:t xml:space="preserve">,” </w:t>
      </w:r>
      <w:r w:rsidRPr="004D25D9">
        <w:rPr>
          <w:rFonts w:ascii="Times New Roman" w:hAnsi="Times New Roman" w:cs="Times New Roman"/>
          <w:sz w:val="20"/>
          <w:szCs w:val="20"/>
        </w:rPr>
        <w:t>367-378; at 377</w:t>
      </w:r>
      <w:r>
        <w:rPr>
          <w:rFonts w:ascii="Times New Roman" w:hAnsi="Times New Roman" w:cs="Times New Roman"/>
          <w:sz w:val="20"/>
          <w:szCs w:val="20"/>
        </w:rPr>
        <w:t xml:space="preserve"> </w:t>
      </w:r>
      <w:r w:rsidRPr="004D25D9">
        <w:rPr>
          <w:rFonts w:ascii="Times New Roman" w:hAnsi="Times New Roman" w:cs="Times New Roman"/>
          <w:sz w:val="20"/>
          <w:szCs w:val="20"/>
        </w:rPr>
        <w:t>(</w:t>
      </w:r>
      <w:r>
        <w:rPr>
          <w:rFonts w:ascii="Times New Roman" w:hAnsi="Times New Roman" w:cs="Times New Roman"/>
          <w:sz w:val="20"/>
          <w:szCs w:val="20"/>
        </w:rPr>
        <w:t xml:space="preserve">internal </w:t>
      </w:r>
      <w:r w:rsidRPr="004D25D9">
        <w:rPr>
          <w:rFonts w:ascii="Times New Roman" w:hAnsi="Times New Roman" w:cs="Times New Roman"/>
          <w:sz w:val="20"/>
          <w:szCs w:val="20"/>
        </w:rPr>
        <w:t>references removed</w:t>
      </w:r>
      <w:r>
        <w:rPr>
          <w:rFonts w:ascii="Times New Roman" w:hAnsi="Times New Roman" w:cs="Times New Roman"/>
          <w:sz w:val="20"/>
          <w:szCs w:val="20"/>
        </w:rPr>
        <w:t xml:space="preserve"> from the quotation</w:t>
      </w:r>
      <w:r w:rsidRPr="004D25D9">
        <w:rPr>
          <w:rFonts w:ascii="Times New Roman" w:hAnsi="Times New Roman" w:cs="Times New Roman"/>
          <w:sz w:val="20"/>
          <w:szCs w:val="20"/>
        </w:rPr>
        <w:t>).</w:t>
      </w:r>
    </w:p>
  </w:footnote>
  <w:footnote w:id="47">
    <w:p w14:paraId="3DD7CA75" w14:textId="589776D8" w:rsidR="00B83D63" w:rsidRPr="004D25D9" w:rsidRDefault="00B83D63" w:rsidP="00580F87">
      <w:pPr>
        <w:pStyle w:val="FootnoteText"/>
        <w:rPr>
          <w:rFonts w:ascii="Times New Roman" w:hAnsi="Times New Roman"/>
          <w:lang w:val="it-IT"/>
        </w:rPr>
      </w:pPr>
      <w:r w:rsidRPr="004D25D9">
        <w:rPr>
          <w:rStyle w:val="FootnoteReference"/>
          <w:rFonts w:ascii="Times New Roman" w:hAnsi="Times New Roman"/>
          <w:lang w:val="la-Latn"/>
        </w:rPr>
        <w:footnoteRef/>
      </w:r>
      <w:r w:rsidRPr="004D25D9">
        <w:rPr>
          <w:rFonts w:ascii="Times New Roman" w:hAnsi="Times New Roman"/>
          <w:lang w:val="la-Latn"/>
        </w:rPr>
        <w:t xml:space="preserve"> </w:t>
      </w:r>
      <w:r w:rsidRPr="004D25D9">
        <w:rPr>
          <w:rFonts w:ascii="Times New Roman" w:hAnsi="Times New Roman"/>
          <w:i/>
          <w:iCs/>
          <w:lang w:val="la-Latn"/>
        </w:rPr>
        <w:t>OFB</w:t>
      </w:r>
      <w:r w:rsidRPr="004D25D9">
        <w:rPr>
          <w:rFonts w:ascii="Times New Roman" w:hAnsi="Times New Roman"/>
          <w:lang w:val="la-Latn"/>
        </w:rPr>
        <w:t xml:space="preserve"> VIII, 187; Bacon</w:t>
      </w:r>
      <w:r w:rsidRPr="00465C84">
        <w:rPr>
          <w:rFonts w:ascii="Times New Roman" w:hAnsi="Times New Roman"/>
          <w:lang w:val="it-IT"/>
        </w:rPr>
        <w:t xml:space="preserve">, </w:t>
      </w:r>
      <w:r w:rsidRPr="00465C84">
        <w:rPr>
          <w:rFonts w:ascii="Times New Roman" w:hAnsi="Times New Roman" w:cs="Times New Roman"/>
          <w:i/>
          <w:iCs/>
          <w:lang w:val="la-Latn"/>
        </w:rPr>
        <w:t>Opera moralia et civilia</w:t>
      </w:r>
      <w:r w:rsidRPr="004D25D9">
        <w:rPr>
          <w:rFonts w:ascii="Times New Roman" w:hAnsi="Times New Roman"/>
          <w:lang w:val="la-Latn"/>
        </w:rPr>
        <w:t>, 335</w:t>
      </w:r>
      <w:r w:rsidRPr="004D25D9">
        <w:rPr>
          <w:rFonts w:ascii="Times New Roman" w:hAnsi="Times New Roman"/>
          <w:lang w:val="it-IT"/>
        </w:rPr>
        <w:t>.</w:t>
      </w:r>
    </w:p>
  </w:footnote>
  <w:footnote w:id="48">
    <w:p w14:paraId="1A7EC2FF" w14:textId="36434E97" w:rsidR="00B83D63" w:rsidRPr="009D3928" w:rsidRDefault="00B83D63" w:rsidP="00580F87">
      <w:pPr>
        <w:pStyle w:val="FootnoteText"/>
        <w:rPr>
          <w:rFonts w:ascii="Times New Roman" w:hAnsi="Times New Roman"/>
          <w:lang w:val="it-IT"/>
        </w:rPr>
      </w:pPr>
      <w:r w:rsidRPr="004D25D9">
        <w:rPr>
          <w:rStyle w:val="FootnoteReference"/>
          <w:rFonts w:ascii="Times New Roman" w:hAnsi="Times New Roman"/>
          <w:lang w:val="la-Latn"/>
        </w:rPr>
        <w:footnoteRef/>
      </w:r>
      <w:r w:rsidRPr="004D25D9">
        <w:rPr>
          <w:rFonts w:ascii="Times New Roman" w:hAnsi="Times New Roman"/>
          <w:lang w:val="la-Latn"/>
        </w:rPr>
        <w:t xml:space="preserve"> </w:t>
      </w:r>
      <w:r w:rsidRPr="009D3928">
        <w:rPr>
          <w:rFonts w:ascii="Times New Roman" w:hAnsi="Times New Roman"/>
          <w:i/>
          <w:iCs/>
          <w:lang w:val="it-IT"/>
        </w:rPr>
        <w:t xml:space="preserve">OFB </w:t>
      </w:r>
      <w:r w:rsidRPr="009D3928">
        <w:rPr>
          <w:rFonts w:ascii="Times New Roman" w:hAnsi="Times New Roman"/>
          <w:lang w:val="it-IT"/>
        </w:rPr>
        <w:t>VIII</w:t>
      </w:r>
      <w:r>
        <w:rPr>
          <w:rFonts w:ascii="Times New Roman" w:hAnsi="Times New Roman"/>
          <w:lang w:val="it-IT"/>
        </w:rPr>
        <w:t>,</w:t>
      </w:r>
      <w:r w:rsidRPr="004D25D9">
        <w:rPr>
          <w:rFonts w:ascii="Times New Roman" w:hAnsi="Times New Roman"/>
          <w:lang w:val="la-Latn"/>
        </w:rPr>
        <w:t xml:space="preserve"> 205; Bacon</w:t>
      </w:r>
      <w:r w:rsidRPr="009D3928">
        <w:rPr>
          <w:rFonts w:ascii="Times New Roman" w:hAnsi="Times New Roman"/>
          <w:lang w:val="it-IT"/>
        </w:rPr>
        <w:t xml:space="preserve">, </w:t>
      </w:r>
      <w:r w:rsidRPr="00465C84">
        <w:rPr>
          <w:rFonts w:ascii="Times New Roman" w:hAnsi="Times New Roman" w:cs="Times New Roman"/>
          <w:i/>
          <w:iCs/>
          <w:lang w:val="la-Latn"/>
        </w:rPr>
        <w:t>Opera moralia et civilia</w:t>
      </w:r>
      <w:r w:rsidRPr="004D25D9">
        <w:rPr>
          <w:rFonts w:ascii="Times New Roman" w:hAnsi="Times New Roman"/>
          <w:lang w:val="la-Latn"/>
        </w:rPr>
        <w:t>, 348</w:t>
      </w:r>
      <w:r w:rsidRPr="009D3928">
        <w:rPr>
          <w:rFonts w:ascii="Times New Roman" w:hAnsi="Times New Roman"/>
          <w:lang w:val="it-IT"/>
        </w:rPr>
        <w:t>.</w:t>
      </w:r>
    </w:p>
  </w:footnote>
  <w:footnote w:id="49">
    <w:p w14:paraId="0C0B77F9" w14:textId="25F4BEAC"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2E02F6">
        <w:rPr>
          <w:rFonts w:ascii="Times New Roman" w:hAnsi="Times New Roman"/>
          <w:lang w:val="it-IT"/>
        </w:rPr>
        <w:t xml:space="preserve"> </w:t>
      </w:r>
      <w:r w:rsidRPr="004D25D9">
        <w:rPr>
          <w:rFonts w:ascii="Times New Roman" w:hAnsi="Times New Roman"/>
          <w:lang w:val="la-Latn"/>
        </w:rPr>
        <w:t xml:space="preserve">Bacon </w:t>
      </w:r>
      <w:r w:rsidRPr="00465C84">
        <w:rPr>
          <w:rFonts w:ascii="Times New Roman" w:hAnsi="Times New Roman" w:cs="Times New Roman"/>
          <w:i/>
          <w:iCs/>
          <w:lang w:val="la-Latn"/>
        </w:rPr>
        <w:t>Opera moralia et civilia</w:t>
      </w:r>
      <w:r w:rsidRPr="004D25D9">
        <w:rPr>
          <w:rFonts w:ascii="Times New Roman" w:hAnsi="Times New Roman"/>
          <w:lang w:val="la-Latn"/>
        </w:rPr>
        <w:t>, 348</w:t>
      </w:r>
      <w:r w:rsidRPr="002E02F6">
        <w:rPr>
          <w:rFonts w:ascii="Times New Roman" w:hAnsi="Times New Roman"/>
          <w:lang w:val="it-IT"/>
        </w:rPr>
        <w:t xml:space="preserve">. </w:t>
      </w:r>
      <w:r w:rsidRPr="004D25D9">
        <w:rPr>
          <w:rFonts w:ascii="Times New Roman" w:hAnsi="Times New Roman"/>
          <w:i/>
          <w:iCs/>
          <w:lang w:val="en-GB"/>
        </w:rPr>
        <w:t xml:space="preserve">OFB </w:t>
      </w:r>
      <w:r w:rsidRPr="004D25D9">
        <w:rPr>
          <w:rFonts w:ascii="Times New Roman" w:hAnsi="Times New Roman"/>
          <w:lang w:val="en-GB"/>
        </w:rPr>
        <w:t xml:space="preserve">VIII, 205 and </w:t>
      </w:r>
      <w:r w:rsidRPr="004D25D9">
        <w:rPr>
          <w:rFonts w:ascii="Times New Roman" w:hAnsi="Times New Roman"/>
          <w:i/>
          <w:iCs/>
          <w:lang w:val="en-GB"/>
        </w:rPr>
        <w:t>SEH</w:t>
      </w:r>
      <w:r w:rsidRPr="004D25D9">
        <w:rPr>
          <w:rFonts w:ascii="Times New Roman" w:hAnsi="Times New Roman"/>
          <w:lang w:val="en-GB"/>
        </w:rPr>
        <w:t xml:space="preserve"> VII, 34</w:t>
      </w:r>
      <w:r>
        <w:rPr>
          <w:rFonts w:ascii="Times New Roman" w:hAnsi="Times New Roman"/>
          <w:lang w:val="en-GB"/>
        </w:rPr>
        <w:t>.</w:t>
      </w:r>
      <w:r w:rsidRPr="004D25D9">
        <w:rPr>
          <w:rFonts w:ascii="Times New Roman" w:hAnsi="Times New Roman"/>
          <w:lang w:val="en-GB"/>
        </w:rPr>
        <w:t xml:space="preserve"> </w:t>
      </w:r>
    </w:p>
  </w:footnote>
  <w:footnote w:id="50">
    <w:p w14:paraId="2F063BF0" w14:textId="37DD169D"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LL</w:t>
      </w:r>
      <w:r w:rsidRPr="004D25D9">
        <w:rPr>
          <w:rFonts w:ascii="Times New Roman" w:hAnsi="Times New Roman"/>
        </w:rPr>
        <w:t xml:space="preserve"> II, 88</w:t>
      </w:r>
      <w:r>
        <w:rPr>
          <w:rFonts w:ascii="Times New Roman" w:hAnsi="Times New Roman"/>
        </w:rPr>
        <w:t>.</w:t>
      </w:r>
    </w:p>
  </w:footnote>
  <w:footnote w:id="51">
    <w:p w14:paraId="1D362DAC" w14:textId="3F74E959" w:rsidR="00B83D63" w:rsidRPr="009D7F96" w:rsidRDefault="00B83D63" w:rsidP="00580F87">
      <w:pPr>
        <w:pStyle w:val="FootnoteText"/>
        <w:rPr>
          <w:rFonts w:ascii="Times New Roman" w:hAnsi="Times New Roman"/>
        </w:rPr>
      </w:pPr>
      <w:r w:rsidRPr="009D7F96">
        <w:rPr>
          <w:rStyle w:val="FootnoteReference"/>
          <w:rFonts w:ascii="Times New Roman" w:hAnsi="Times New Roman"/>
        </w:rPr>
        <w:footnoteRef/>
      </w:r>
      <w:r w:rsidRPr="009D7F96">
        <w:rPr>
          <w:rFonts w:ascii="Times New Roman" w:hAnsi="Times New Roman"/>
        </w:rPr>
        <w:t xml:space="preserve"> </w:t>
      </w:r>
      <w:r>
        <w:rPr>
          <w:rFonts w:ascii="Times New Roman" w:hAnsi="Times New Roman"/>
        </w:rPr>
        <w:t xml:space="preserve">Compare </w:t>
      </w:r>
      <w:proofErr w:type="spellStart"/>
      <w:r>
        <w:rPr>
          <w:rFonts w:ascii="Times New Roman" w:hAnsi="Times New Roman"/>
        </w:rPr>
        <w:t>Peltonen</w:t>
      </w:r>
      <w:proofErr w:type="spellEnd"/>
      <w:r>
        <w:rPr>
          <w:rFonts w:ascii="Times New Roman" w:hAnsi="Times New Roman"/>
        </w:rPr>
        <w:t xml:space="preserve">, </w:t>
      </w:r>
      <w:r>
        <w:rPr>
          <w:rFonts w:ascii="Times New Roman" w:hAnsi="Times New Roman"/>
          <w:i/>
        </w:rPr>
        <w:t xml:space="preserve">Classical humanism and republicanism, </w:t>
      </w:r>
      <w:r>
        <w:rPr>
          <w:rFonts w:ascii="Times New Roman" w:hAnsi="Times New Roman"/>
        </w:rPr>
        <w:t>198.</w:t>
      </w:r>
    </w:p>
  </w:footnote>
  <w:footnote w:id="52">
    <w:p w14:paraId="4282DDE6" w14:textId="7A1D5385" w:rsidR="00B83D63" w:rsidRPr="004627CC" w:rsidRDefault="00B83D63" w:rsidP="00580F87">
      <w:pPr>
        <w:autoSpaceDE w:val="0"/>
        <w:autoSpaceDN w:val="0"/>
        <w:adjustRightInd w:val="0"/>
        <w:spacing w:after="0" w:line="240" w:lineRule="auto"/>
        <w:rPr>
          <w:rFonts w:ascii="Times New Roman" w:hAnsi="Times New Roman" w:cs="Times New Roman"/>
          <w:sz w:val="20"/>
          <w:szCs w:val="20"/>
        </w:rPr>
      </w:pPr>
      <w:r w:rsidRPr="004627CC">
        <w:rPr>
          <w:rStyle w:val="FootnoteReference"/>
          <w:rFonts w:ascii="Times New Roman" w:hAnsi="Times New Roman"/>
          <w:sz w:val="20"/>
          <w:szCs w:val="20"/>
        </w:rPr>
        <w:footnoteRef/>
      </w:r>
      <w:r w:rsidRPr="00BF1125">
        <w:rPr>
          <w:rFonts w:ascii="Times New Roman" w:hAnsi="Times New Roman" w:cs="Times New Roman"/>
          <w:sz w:val="20"/>
          <w:szCs w:val="20"/>
          <w:lang w:val="it-IT"/>
        </w:rPr>
        <w:t xml:space="preserve"> </w:t>
      </w:r>
      <w:r w:rsidRPr="00BF1125">
        <w:rPr>
          <w:rFonts w:ascii="Times New Roman" w:hAnsi="Times New Roman" w:cs="Times New Roman"/>
          <w:i/>
          <w:sz w:val="20"/>
          <w:szCs w:val="20"/>
          <w:lang w:val="it-IT"/>
        </w:rPr>
        <w:t xml:space="preserve">SEH </w:t>
      </w:r>
      <w:r w:rsidRPr="00BF1125">
        <w:rPr>
          <w:rFonts w:ascii="Times New Roman" w:hAnsi="Times New Roman" w:cs="Times New Roman"/>
          <w:sz w:val="20"/>
          <w:szCs w:val="20"/>
          <w:lang w:val="it-IT"/>
        </w:rPr>
        <w:t xml:space="preserve">VI, </w:t>
      </w:r>
      <w:r w:rsidRPr="00BF1125">
        <w:rPr>
          <w:rFonts w:ascii="Times New Roman" w:hAnsi="Times New Roman" w:cs="Times New Roman"/>
          <w:i/>
          <w:sz w:val="20"/>
          <w:szCs w:val="20"/>
          <w:lang w:val="it-IT"/>
        </w:rPr>
        <w:t xml:space="preserve">De </w:t>
      </w:r>
      <w:r w:rsidRPr="00804401">
        <w:rPr>
          <w:rFonts w:ascii="Times New Roman" w:hAnsi="Times New Roman" w:cs="Times New Roman"/>
          <w:i/>
          <w:sz w:val="20"/>
          <w:szCs w:val="20"/>
          <w:lang w:val="la-Latn"/>
        </w:rPr>
        <w:t>Sapientia Veterum</w:t>
      </w:r>
      <w:r w:rsidRPr="00BF1125">
        <w:rPr>
          <w:rFonts w:ascii="Times New Roman" w:hAnsi="Times New Roman" w:cs="Times New Roman"/>
          <w:i/>
          <w:sz w:val="20"/>
          <w:szCs w:val="20"/>
          <w:lang w:val="it-IT"/>
        </w:rPr>
        <w:t xml:space="preserve">, </w:t>
      </w:r>
      <w:r w:rsidRPr="00BF1125">
        <w:rPr>
          <w:rFonts w:ascii="Times New Roman" w:hAnsi="Times New Roman" w:cs="Times New Roman"/>
          <w:sz w:val="20"/>
          <w:szCs w:val="20"/>
          <w:lang w:val="it-IT"/>
        </w:rPr>
        <w:t>642.</w:t>
      </w:r>
      <w:r w:rsidRPr="002E6440">
        <w:rPr>
          <w:rFonts w:ascii="Times New Roman" w:hAnsi="Times New Roman" w:cs="Times New Roman"/>
          <w:sz w:val="20"/>
          <w:szCs w:val="20"/>
          <w:lang w:val="la-Latn"/>
        </w:rPr>
        <w:t xml:space="preserve"> </w:t>
      </w:r>
      <w:r>
        <w:rPr>
          <w:rFonts w:ascii="Times New Roman" w:hAnsi="Times New Roman" w:cs="Times New Roman"/>
          <w:sz w:val="20"/>
          <w:szCs w:val="20"/>
        </w:rPr>
        <w:t xml:space="preserve">Cf. </w:t>
      </w:r>
      <w:r>
        <w:rPr>
          <w:rFonts w:ascii="Times New Roman" w:hAnsi="Times New Roman" w:cs="Times New Roman"/>
          <w:i/>
          <w:sz w:val="20"/>
          <w:szCs w:val="20"/>
        </w:rPr>
        <w:t xml:space="preserve">SEH </w:t>
      </w:r>
      <w:r>
        <w:rPr>
          <w:rFonts w:ascii="Times New Roman" w:hAnsi="Times New Roman" w:cs="Times New Roman"/>
          <w:sz w:val="20"/>
          <w:szCs w:val="20"/>
        </w:rPr>
        <w:t>VI, 715 (the translation above is that of the author).</w:t>
      </w:r>
    </w:p>
  </w:footnote>
  <w:footnote w:id="53">
    <w:p w14:paraId="3187A629" w14:textId="28B2D8A6" w:rsidR="00B83D63" w:rsidRPr="00CC657C" w:rsidRDefault="00B83D63" w:rsidP="00580F87">
      <w:pPr>
        <w:pStyle w:val="FootnoteText"/>
        <w:rPr>
          <w:rFonts w:asciiTheme="majorBidi" w:hAnsiTheme="majorBidi" w:cstheme="majorBidi"/>
          <w:i/>
        </w:rPr>
      </w:pPr>
      <w:r w:rsidRPr="00553D2C">
        <w:rPr>
          <w:rStyle w:val="FootnoteReference"/>
          <w:rFonts w:asciiTheme="majorBidi" w:hAnsiTheme="majorBidi" w:cstheme="majorBidi"/>
        </w:rPr>
        <w:footnoteRef/>
      </w:r>
      <w:r w:rsidRPr="00553D2C">
        <w:rPr>
          <w:rFonts w:asciiTheme="majorBidi" w:hAnsiTheme="majorBidi" w:cstheme="majorBidi"/>
        </w:rPr>
        <w:t xml:space="preserve"> “There is little space in this debate for a discussion of the sixteenth- and seventeenth-century intellectual origins of the British Empire, in which ideas of profit and capital were less important than those of virtue or Old Testament theology, for example.” Sarah Irving, </w:t>
      </w:r>
      <w:r w:rsidRPr="00553D2C">
        <w:rPr>
          <w:rFonts w:asciiTheme="majorBidi" w:hAnsiTheme="majorBidi" w:cstheme="majorBidi"/>
          <w:i/>
          <w:iCs/>
        </w:rPr>
        <w:t>Natural Science and the Origins of the British Empire</w:t>
      </w:r>
      <w:r w:rsidRPr="00553D2C">
        <w:rPr>
          <w:rFonts w:asciiTheme="majorBidi" w:hAnsiTheme="majorBidi" w:cstheme="majorBidi"/>
        </w:rPr>
        <w:t xml:space="preserve"> (London: Pickering &amp; </w:t>
      </w:r>
      <w:proofErr w:type="spellStart"/>
      <w:r w:rsidRPr="00553D2C">
        <w:rPr>
          <w:rFonts w:asciiTheme="majorBidi" w:hAnsiTheme="majorBidi" w:cstheme="majorBidi"/>
        </w:rPr>
        <w:t>Chatto</w:t>
      </w:r>
      <w:proofErr w:type="spellEnd"/>
      <w:r w:rsidRPr="00553D2C">
        <w:rPr>
          <w:rFonts w:asciiTheme="majorBidi" w:hAnsiTheme="majorBidi" w:cstheme="majorBidi"/>
        </w:rPr>
        <w:t>, 2008), 5.</w:t>
      </w:r>
      <w:r>
        <w:rPr>
          <w:rFonts w:asciiTheme="majorBidi" w:hAnsiTheme="majorBidi" w:cstheme="majorBidi"/>
        </w:rPr>
        <w:t xml:space="preserve">  See further Andrew Fitzmaurice, </w:t>
      </w:r>
      <w:r>
        <w:rPr>
          <w:rFonts w:asciiTheme="majorBidi" w:hAnsiTheme="majorBidi" w:cstheme="majorBidi"/>
          <w:i/>
        </w:rPr>
        <w:t>Humanism and America: An Intellectual History of English Colonisation 1500-1625</w:t>
      </w:r>
      <w:r>
        <w:rPr>
          <w:rFonts w:asciiTheme="majorBidi" w:hAnsiTheme="majorBidi" w:cstheme="majorBidi"/>
        </w:rPr>
        <w:t xml:space="preserve"> (Cambridge: Cambridge University Press, 2003), 3. </w:t>
      </w:r>
      <w:r>
        <w:rPr>
          <w:rFonts w:asciiTheme="majorBidi" w:hAnsiTheme="majorBidi" w:cstheme="majorBidi"/>
          <w:i/>
        </w:rPr>
        <w:t xml:space="preserve"> </w:t>
      </w:r>
    </w:p>
  </w:footnote>
  <w:footnote w:id="54">
    <w:p w14:paraId="3BFE320F" w14:textId="336C9379" w:rsidR="00B83D63" w:rsidRPr="00553D2C" w:rsidRDefault="00B83D63" w:rsidP="00580F87">
      <w:pPr>
        <w:pStyle w:val="FootnoteText"/>
        <w:rPr>
          <w:rFonts w:asciiTheme="majorBidi" w:hAnsiTheme="majorBidi" w:cstheme="majorBidi"/>
        </w:rPr>
      </w:pPr>
      <w:r w:rsidRPr="00553D2C">
        <w:rPr>
          <w:rStyle w:val="FootnoteReference"/>
          <w:rFonts w:asciiTheme="majorBidi" w:hAnsiTheme="majorBidi" w:cstheme="majorBidi"/>
        </w:rPr>
        <w:footnoteRef/>
      </w:r>
      <w:r w:rsidRPr="00553D2C">
        <w:rPr>
          <w:rFonts w:asciiTheme="majorBidi" w:hAnsiTheme="majorBidi" w:cstheme="majorBidi"/>
        </w:rPr>
        <w:t xml:space="preserve"> </w:t>
      </w:r>
      <w:r w:rsidRPr="00553D2C">
        <w:rPr>
          <w:rFonts w:asciiTheme="majorBidi" w:hAnsiTheme="majorBidi" w:cstheme="majorBidi"/>
          <w:i/>
          <w:iCs/>
        </w:rPr>
        <w:t>OFB</w:t>
      </w:r>
      <w:r w:rsidRPr="00553D2C">
        <w:rPr>
          <w:rFonts w:asciiTheme="majorBidi" w:hAnsiTheme="majorBidi" w:cstheme="majorBidi"/>
        </w:rPr>
        <w:t xml:space="preserve"> XV, “Of Plantations.” 106, lines 10-12.</w:t>
      </w:r>
    </w:p>
  </w:footnote>
  <w:footnote w:id="55">
    <w:p w14:paraId="21D34803" w14:textId="2162388E" w:rsidR="00B83D63" w:rsidRPr="0042029C" w:rsidRDefault="00B83D63" w:rsidP="00580F87">
      <w:pPr>
        <w:pStyle w:val="FootnoteText"/>
        <w:rPr>
          <w:rFonts w:asciiTheme="majorBidi" w:hAnsiTheme="majorBidi" w:cstheme="majorBidi"/>
        </w:rPr>
      </w:pPr>
      <w:r w:rsidRPr="00553D2C">
        <w:rPr>
          <w:rStyle w:val="FootnoteReference"/>
          <w:rFonts w:asciiTheme="majorBidi" w:hAnsiTheme="majorBidi" w:cstheme="majorBidi"/>
        </w:rPr>
        <w:footnoteRef/>
      </w:r>
      <w:r w:rsidRPr="00553D2C">
        <w:rPr>
          <w:rFonts w:asciiTheme="majorBidi" w:hAnsiTheme="majorBidi" w:cstheme="majorBidi"/>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106, lines 12-14.</w:t>
      </w:r>
      <w:r>
        <w:rPr>
          <w:rFonts w:asciiTheme="majorBidi" w:hAnsiTheme="majorBidi" w:cstheme="majorBidi"/>
        </w:rPr>
        <w:t xml:space="preserve">  Cf. Weinberger, </w:t>
      </w:r>
      <w:r>
        <w:rPr>
          <w:rFonts w:asciiTheme="majorBidi" w:hAnsiTheme="majorBidi" w:cstheme="majorBidi"/>
          <w:i/>
          <w:iCs/>
        </w:rPr>
        <w:t>Science, Faith, and Politics</w:t>
      </w:r>
      <w:r>
        <w:rPr>
          <w:rFonts w:asciiTheme="majorBidi" w:hAnsiTheme="majorBidi" w:cstheme="majorBidi"/>
        </w:rPr>
        <w:t>, 129.</w:t>
      </w:r>
    </w:p>
  </w:footnote>
  <w:footnote w:id="56">
    <w:p w14:paraId="417E5768" w14:textId="051947BA" w:rsidR="00B83D63" w:rsidRPr="00553D2C" w:rsidRDefault="00B83D63" w:rsidP="00580F87">
      <w:pPr>
        <w:pStyle w:val="FootnoteText"/>
        <w:rPr>
          <w:rFonts w:asciiTheme="majorBidi" w:hAnsiTheme="majorBidi" w:cstheme="majorBidi"/>
        </w:rPr>
      </w:pPr>
      <w:r w:rsidRPr="00553D2C">
        <w:rPr>
          <w:rStyle w:val="FootnoteReference"/>
          <w:rFonts w:asciiTheme="majorBidi" w:hAnsiTheme="majorBidi" w:cstheme="majorBidi"/>
        </w:rPr>
        <w:footnoteRef/>
      </w:r>
      <w:r w:rsidRPr="00553D2C">
        <w:rPr>
          <w:rFonts w:asciiTheme="majorBidi" w:hAnsiTheme="majorBidi" w:cstheme="majorBidi"/>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106, lines 14-16</w:t>
      </w:r>
      <w:r>
        <w:rPr>
          <w:rFonts w:asciiTheme="majorBidi" w:hAnsiTheme="majorBidi" w:cstheme="majorBidi"/>
        </w:rPr>
        <w:t>.</w:t>
      </w:r>
    </w:p>
  </w:footnote>
  <w:footnote w:id="57">
    <w:p w14:paraId="26EC1317" w14:textId="18FFD030" w:rsidR="00B83D63" w:rsidRPr="00553D2C" w:rsidRDefault="00B83D63" w:rsidP="00580F87">
      <w:pPr>
        <w:pStyle w:val="FootnoteText"/>
        <w:rPr>
          <w:rFonts w:asciiTheme="majorBidi" w:hAnsiTheme="majorBidi" w:cstheme="majorBidi"/>
          <w:lang w:val="en-GB"/>
        </w:rPr>
      </w:pPr>
      <w:r w:rsidRPr="00553D2C">
        <w:rPr>
          <w:rStyle w:val="FootnoteReference"/>
          <w:rFonts w:asciiTheme="majorBidi" w:hAnsiTheme="majorBidi" w:cstheme="majorBidi"/>
        </w:rPr>
        <w:footnoteRef/>
      </w:r>
      <w:r w:rsidRPr="00553D2C">
        <w:rPr>
          <w:rFonts w:asciiTheme="majorBidi" w:hAnsiTheme="majorBidi" w:cstheme="majorBidi"/>
        </w:rPr>
        <w:t xml:space="preserve"> “LXIV. Smith to the Treasurer of Virginia,” [1608], printed in Captain John Smith, </w:t>
      </w:r>
      <w:r w:rsidRPr="00553D2C">
        <w:rPr>
          <w:rFonts w:asciiTheme="majorBidi" w:hAnsiTheme="majorBidi" w:cstheme="majorBidi"/>
          <w:i/>
          <w:iCs/>
        </w:rPr>
        <w:t xml:space="preserve">History of Virginia </w:t>
      </w:r>
      <w:r w:rsidRPr="00553D2C">
        <w:rPr>
          <w:rFonts w:asciiTheme="majorBidi" w:hAnsiTheme="majorBidi" w:cstheme="majorBidi"/>
        </w:rPr>
        <w:t xml:space="preserve">(London: 1624), 70-72 and reprinted in Alexander Brown (ed.), </w:t>
      </w:r>
      <w:r w:rsidRPr="00553D2C">
        <w:rPr>
          <w:rFonts w:asciiTheme="majorBidi" w:hAnsiTheme="majorBidi" w:cstheme="majorBidi"/>
          <w:i/>
          <w:iCs/>
        </w:rPr>
        <w:t>The Genesis of the United States</w:t>
      </w:r>
      <w:r w:rsidRPr="00553D2C">
        <w:rPr>
          <w:rFonts w:asciiTheme="majorBidi" w:hAnsiTheme="majorBidi" w:cstheme="majorBidi"/>
        </w:rPr>
        <w:t>, vol. I, 199-204, at 203-204.</w:t>
      </w:r>
    </w:p>
  </w:footnote>
  <w:footnote w:id="58">
    <w:p w14:paraId="49A518D2" w14:textId="55D9667C" w:rsidR="00B83D63" w:rsidRPr="00553D2C" w:rsidRDefault="00B83D63" w:rsidP="00580F87">
      <w:pPr>
        <w:pStyle w:val="FootnoteText"/>
        <w:rPr>
          <w:rFonts w:asciiTheme="majorBidi" w:hAnsiTheme="majorBidi" w:cstheme="majorBidi"/>
        </w:rPr>
      </w:pPr>
      <w:r w:rsidRPr="00553D2C">
        <w:rPr>
          <w:rStyle w:val="FootnoteReference"/>
          <w:rFonts w:asciiTheme="majorBidi" w:hAnsiTheme="majorBidi" w:cstheme="majorBidi"/>
        </w:rPr>
        <w:footnoteRef/>
      </w:r>
      <w:r w:rsidRPr="00553D2C">
        <w:rPr>
          <w:rFonts w:asciiTheme="majorBidi" w:hAnsiTheme="majorBidi" w:cstheme="majorBidi"/>
        </w:rPr>
        <w:t xml:space="preserve"> </w:t>
      </w:r>
      <w:r w:rsidRPr="00553D2C">
        <w:rPr>
          <w:rFonts w:asciiTheme="majorBidi" w:hAnsiTheme="majorBidi" w:cstheme="majorBidi"/>
          <w:i/>
          <w:iCs/>
        </w:rPr>
        <w:t>OFB</w:t>
      </w:r>
      <w:r w:rsidRPr="00553D2C">
        <w:rPr>
          <w:rFonts w:asciiTheme="majorBidi" w:hAnsiTheme="majorBidi" w:cstheme="majorBidi"/>
        </w:rPr>
        <w:t xml:space="preserve"> XV, “Of Plan</w:t>
      </w:r>
      <w:r>
        <w:rPr>
          <w:rFonts w:asciiTheme="majorBidi" w:hAnsiTheme="majorBidi" w:cstheme="majorBidi"/>
        </w:rPr>
        <w:t>t</w:t>
      </w:r>
      <w:r w:rsidRPr="00553D2C">
        <w:rPr>
          <w:rFonts w:asciiTheme="majorBidi" w:hAnsiTheme="majorBidi" w:cstheme="majorBidi"/>
        </w:rPr>
        <w:t>ations.” 107, lines 61-62: “So Drugs, and, Sweet Woods, where they are, cannot but yield great Profit.”</w:t>
      </w:r>
    </w:p>
  </w:footnote>
  <w:footnote w:id="59">
    <w:p w14:paraId="10916407" w14:textId="6E93EC80" w:rsidR="00B83D63" w:rsidRPr="00FC0981" w:rsidRDefault="00B83D63">
      <w:pPr>
        <w:pStyle w:val="FootnoteText"/>
        <w:rPr>
          <w:rFonts w:ascii="Times New Roman" w:hAnsi="Times New Roman" w:cs="Times New Roman"/>
          <w:iCs/>
        </w:rPr>
      </w:pPr>
      <w:r w:rsidRPr="00FC0981">
        <w:rPr>
          <w:rStyle w:val="FootnoteReference"/>
          <w:rFonts w:ascii="Times New Roman" w:hAnsi="Times New Roman" w:cs="Times New Roman"/>
        </w:rPr>
        <w:footnoteRef/>
      </w:r>
      <w:r w:rsidRPr="00FC0981">
        <w:rPr>
          <w:rFonts w:ascii="Times New Roman" w:hAnsi="Times New Roman" w:cs="Times New Roman"/>
        </w:rPr>
        <w:t xml:space="preserve"> Fitzmaurice, </w:t>
      </w:r>
      <w:r w:rsidRPr="00FC0981">
        <w:rPr>
          <w:rFonts w:ascii="Times New Roman" w:hAnsi="Times New Roman" w:cs="Times New Roman"/>
          <w:i/>
          <w:iCs/>
        </w:rPr>
        <w:t>Humanism in America</w:t>
      </w:r>
      <w:r w:rsidRPr="00FC0981">
        <w:rPr>
          <w:rFonts w:ascii="Times New Roman" w:hAnsi="Times New Roman" w:cs="Times New Roman"/>
        </w:rPr>
        <w:t xml:space="preserve">, 3.  See also Irving, </w:t>
      </w:r>
      <w:r w:rsidRPr="00FC0981">
        <w:rPr>
          <w:rFonts w:ascii="Times New Roman" w:hAnsi="Times New Roman" w:cs="Times New Roman"/>
          <w:i/>
          <w:iCs/>
        </w:rPr>
        <w:t>Natural Science</w:t>
      </w:r>
      <w:r w:rsidRPr="00FC0981">
        <w:rPr>
          <w:rFonts w:ascii="Times New Roman" w:hAnsi="Times New Roman" w:cs="Times New Roman"/>
        </w:rPr>
        <w:t xml:space="preserve">, 5; </w:t>
      </w:r>
      <w:proofErr w:type="spellStart"/>
      <w:r w:rsidRPr="00FC0981">
        <w:rPr>
          <w:rFonts w:ascii="Times New Roman" w:hAnsi="Times New Roman" w:cs="Times New Roman"/>
        </w:rPr>
        <w:t>Peltonen</w:t>
      </w:r>
      <w:proofErr w:type="spellEnd"/>
      <w:r w:rsidRPr="00FC0981">
        <w:rPr>
          <w:rFonts w:ascii="Times New Roman" w:hAnsi="Times New Roman" w:cs="Times New Roman"/>
        </w:rPr>
        <w:t xml:space="preserve">, </w:t>
      </w:r>
      <w:r w:rsidRPr="00FC0981">
        <w:rPr>
          <w:rFonts w:ascii="Times New Roman" w:hAnsi="Times New Roman" w:cs="Times New Roman"/>
          <w:i/>
        </w:rPr>
        <w:t>Classical humanism and republicanism</w:t>
      </w:r>
      <w:r w:rsidRPr="00FC0981">
        <w:rPr>
          <w:rFonts w:ascii="Times New Roman" w:hAnsi="Times New Roman" w:cs="Times New Roman"/>
          <w:iCs/>
        </w:rPr>
        <w:t>.</w:t>
      </w:r>
    </w:p>
  </w:footnote>
  <w:footnote w:id="60">
    <w:p w14:paraId="5DB6045B" w14:textId="5F52C92E"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en-GB"/>
        </w:rPr>
        <w:t xml:space="preserve"> </w:t>
      </w:r>
      <w:r w:rsidRPr="004D25D9">
        <w:rPr>
          <w:rFonts w:ascii="Times New Roman" w:hAnsi="Times New Roman"/>
          <w:i/>
          <w:iCs/>
          <w:lang w:val="en-GB"/>
        </w:rPr>
        <w:t xml:space="preserve">OFB </w:t>
      </w:r>
      <w:r w:rsidRPr="004D25D9">
        <w:rPr>
          <w:rFonts w:ascii="Times New Roman" w:hAnsi="Times New Roman"/>
          <w:lang w:val="en-GB"/>
        </w:rPr>
        <w:t>XV, “Of Plantations.” 108.</w:t>
      </w:r>
    </w:p>
  </w:footnote>
  <w:footnote w:id="61">
    <w:p w14:paraId="2AD20F9F" w14:textId="7D728510" w:rsidR="00B83D63" w:rsidRPr="004D25D9" w:rsidRDefault="00B83D63" w:rsidP="00580F87">
      <w:pPr>
        <w:pStyle w:val="FootnoteText"/>
        <w:rPr>
          <w:rFonts w:ascii="Times New Roman" w:hAnsi="Times New Roman"/>
          <w:lang w:val="nn-NO"/>
        </w:rPr>
      </w:pPr>
      <w:r w:rsidRPr="004D25D9">
        <w:rPr>
          <w:rStyle w:val="FootnoteReference"/>
          <w:rFonts w:ascii="Times New Roman" w:hAnsi="Times New Roman"/>
        </w:rPr>
        <w:footnoteRef/>
      </w:r>
      <w:r w:rsidRPr="004D25D9">
        <w:rPr>
          <w:rFonts w:ascii="Times New Roman" w:hAnsi="Times New Roman"/>
          <w:lang w:val="nn-NO"/>
        </w:rPr>
        <w:t xml:space="preserve"> </w:t>
      </w:r>
      <w:r w:rsidRPr="004D25D9">
        <w:rPr>
          <w:rFonts w:ascii="Times New Roman" w:hAnsi="Times New Roman"/>
          <w:i/>
          <w:iCs/>
          <w:lang w:val="nn-NO"/>
        </w:rPr>
        <w:t xml:space="preserve">SEH </w:t>
      </w:r>
      <w:r w:rsidRPr="004D25D9">
        <w:rPr>
          <w:rFonts w:ascii="Times New Roman" w:hAnsi="Times New Roman"/>
          <w:lang w:val="nn-NO"/>
        </w:rPr>
        <w:t>VI, 537-591.</w:t>
      </w:r>
    </w:p>
  </w:footnote>
  <w:footnote w:id="62">
    <w:p w14:paraId="57AE0434" w14:textId="62F4DF8D"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lang w:val="nn-NO"/>
        </w:rPr>
        <w:t xml:space="preserve"> </w:t>
      </w:r>
      <w:r w:rsidRPr="004D25D9">
        <w:rPr>
          <w:rFonts w:ascii="Times New Roman" w:hAnsi="Times New Roman"/>
          <w:i/>
          <w:iCs/>
          <w:lang w:val="nn-NO"/>
        </w:rPr>
        <w:t xml:space="preserve">SEH </w:t>
      </w:r>
      <w:r w:rsidRPr="004D25D9">
        <w:rPr>
          <w:rFonts w:ascii="Times New Roman" w:hAnsi="Times New Roman"/>
          <w:lang w:val="nn-NO"/>
        </w:rPr>
        <w:t xml:space="preserve">VI, “9. </w:t>
      </w:r>
      <w:r w:rsidRPr="004D25D9">
        <w:rPr>
          <w:rFonts w:ascii="Times New Roman" w:hAnsi="Times New Roman"/>
        </w:rPr>
        <w:t>Of Empire.” 552-553.</w:t>
      </w:r>
    </w:p>
  </w:footnote>
  <w:footnote w:id="63">
    <w:p w14:paraId="4E45133A" w14:textId="0FFBE185"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3E3844">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553.</w:t>
      </w:r>
    </w:p>
  </w:footnote>
  <w:footnote w:id="64">
    <w:p w14:paraId="4AFF71C2" w14:textId="3AA98A96"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OFB </w:t>
      </w:r>
      <w:r w:rsidRPr="004D25D9">
        <w:rPr>
          <w:rFonts w:ascii="Times New Roman" w:hAnsi="Times New Roman"/>
        </w:rPr>
        <w:t>XV, “Of Empire.” 59, lines 33-34.</w:t>
      </w:r>
    </w:p>
  </w:footnote>
  <w:footnote w:id="65">
    <w:p w14:paraId="44BC0993" w14:textId="1A64F7DF"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3E3844">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 xml:space="preserve">59, lines 33-34 with line 39; </w:t>
      </w:r>
      <w:r w:rsidRPr="004D25D9">
        <w:rPr>
          <w:rFonts w:ascii="Times New Roman" w:hAnsi="Times New Roman"/>
          <w:i/>
          <w:iCs/>
        </w:rPr>
        <w:t xml:space="preserve">SEH </w:t>
      </w:r>
      <w:r w:rsidRPr="004D25D9">
        <w:rPr>
          <w:rFonts w:ascii="Times New Roman" w:hAnsi="Times New Roman"/>
        </w:rPr>
        <w:t>VI, “9. Of Empire.” 553.</w:t>
      </w:r>
    </w:p>
  </w:footnote>
  <w:footnote w:id="66">
    <w:p w14:paraId="6816BFA3" w14:textId="094C3C77" w:rsidR="00B83D63" w:rsidRPr="004E261C"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3E3844">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58, lines 4-5.</w:t>
      </w:r>
      <w:r>
        <w:rPr>
          <w:rFonts w:ascii="Times New Roman" w:hAnsi="Times New Roman"/>
        </w:rPr>
        <w:t xml:space="preserve">  Daniel </w:t>
      </w:r>
      <w:proofErr w:type="spellStart"/>
      <w:r>
        <w:rPr>
          <w:rFonts w:ascii="Times New Roman" w:hAnsi="Times New Roman"/>
        </w:rPr>
        <w:t>Coquillette</w:t>
      </w:r>
      <w:proofErr w:type="spellEnd"/>
      <w:r>
        <w:rPr>
          <w:rFonts w:ascii="Times New Roman" w:hAnsi="Times New Roman"/>
        </w:rPr>
        <w:t xml:space="preserve"> notes that in questions of conflicting obligations in politics “Bacon chose, as he always did, the royal side.” </w:t>
      </w:r>
      <w:proofErr w:type="spellStart"/>
      <w:r w:rsidRPr="004E261C">
        <w:rPr>
          <w:rFonts w:ascii="Times New Roman" w:hAnsi="Times New Roman"/>
        </w:rPr>
        <w:t>Coquillette</w:t>
      </w:r>
      <w:proofErr w:type="spellEnd"/>
      <w:r w:rsidRPr="004E261C">
        <w:rPr>
          <w:rFonts w:ascii="Times New Roman" w:hAnsi="Times New Roman"/>
        </w:rPr>
        <w:t xml:space="preserve">, </w:t>
      </w:r>
      <w:r w:rsidRPr="004E261C">
        <w:rPr>
          <w:rFonts w:ascii="Times New Roman" w:hAnsi="Times New Roman"/>
          <w:i/>
        </w:rPr>
        <w:t>Francis Bacon</w:t>
      </w:r>
      <w:r w:rsidRPr="004E261C">
        <w:rPr>
          <w:rFonts w:ascii="Times New Roman" w:hAnsi="Times New Roman"/>
        </w:rPr>
        <w:t>, 185n143.</w:t>
      </w:r>
    </w:p>
  </w:footnote>
  <w:footnote w:id="67">
    <w:p w14:paraId="4BC2CB79" w14:textId="32D14443"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1678C">
        <w:rPr>
          <w:rFonts w:asciiTheme="majorBidi" w:hAnsiTheme="majorBidi" w:cstheme="majorBidi"/>
        </w:rPr>
        <w:t>Ibid.,</w:t>
      </w:r>
      <w:r w:rsidRPr="00553D2C">
        <w:rPr>
          <w:rFonts w:asciiTheme="majorBidi" w:hAnsiTheme="majorBidi" w:cstheme="majorBidi"/>
        </w:rPr>
        <w:t xml:space="preserve"> </w:t>
      </w:r>
      <w:r w:rsidRPr="004D25D9">
        <w:rPr>
          <w:rFonts w:ascii="Times New Roman" w:hAnsi="Times New Roman"/>
        </w:rPr>
        <w:t>60, ll. 61-62.</w:t>
      </w:r>
    </w:p>
  </w:footnote>
  <w:footnote w:id="68">
    <w:p w14:paraId="0B04B315" w14:textId="2134867F"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1678C">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60, ll. 62-70.</w:t>
      </w:r>
    </w:p>
  </w:footnote>
  <w:footnote w:id="69">
    <w:p w14:paraId="4E56E31A" w14:textId="77188CE7"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1678C">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60, ll. 62-70.</w:t>
      </w:r>
    </w:p>
  </w:footnote>
  <w:footnote w:id="70">
    <w:p w14:paraId="7653384E" w14:textId="19F2E445"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LL</w:t>
      </w:r>
      <w:r w:rsidRPr="004D25D9">
        <w:rPr>
          <w:rFonts w:ascii="Times New Roman" w:hAnsi="Times New Roman"/>
        </w:rPr>
        <w:t xml:space="preserve"> VII, </w:t>
      </w:r>
      <w:r w:rsidRPr="004D25D9">
        <w:rPr>
          <w:rFonts w:ascii="Times New Roman" w:hAnsi="Times New Roman"/>
          <w:i/>
        </w:rPr>
        <w:t>Considerations Touching a War with Spain,</w:t>
      </w:r>
      <w:r w:rsidRPr="004D25D9">
        <w:rPr>
          <w:rFonts w:ascii="Times New Roman" w:hAnsi="Times New Roman"/>
        </w:rPr>
        <w:t xml:space="preserve"> 479.</w:t>
      </w:r>
      <w:r>
        <w:rPr>
          <w:rFonts w:ascii="Times New Roman" w:hAnsi="Times New Roman"/>
        </w:rPr>
        <w:t xml:space="preserve">  Cf. </w:t>
      </w:r>
      <w:r w:rsidRPr="004D25D9">
        <w:rPr>
          <w:rFonts w:ascii="Times New Roman" w:hAnsi="Times New Roman"/>
          <w:i/>
          <w:iCs/>
        </w:rPr>
        <w:t>OFB</w:t>
      </w:r>
      <w:r w:rsidRPr="004D25D9">
        <w:rPr>
          <w:rFonts w:ascii="Times New Roman" w:hAnsi="Times New Roman"/>
        </w:rPr>
        <w:t xml:space="preserve"> XV, 60, ll. 62-70.</w:t>
      </w:r>
    </w:p>
  </w:footnote>
  <w:footnote w:id="71">
    <w:p w14:paraId="71A3FCB2" w14:textId="021C48BA" w:rsidR="00B83D63" w:rsidRPr="00B1678C" w:rsidRDefault="00B83D63" w:rsidP="00580F87">
      <w:pPr>
        <w:pStyle w:val="FootnoteText"/>
      </w:pPr>
      <w:r w:rsidRPr="004D25D9">
        <w:rPr>
          <w:rStyle w:val="FootnoteReference"/>
          <w:rFonts w:ascii="Times New Roman" w:hAnsi="Times New Roman"/>
        </w:rPr>
        <w:footnoteRef/>
      </w:r>
      <w:r w:rsidRPr="00B1678C">
        <w:rPr>
          <w:rFonts w:ascii="Times New Roman" w:hAnsi="Times New Roman"/>
        </w:rPr>
        <w:t xml:space="preserve"> </w:t>
      </w:r>
      <w:r w:rsidRPr="00B1678C">
        <w:rPr>
          <w:rFonts w:ascii="Times New Roman" w:hAnsi="Times New Roman"/>
          <w:i/>
        </w:rPr>
        <w:t>LL</w:t>
      </w:r>
      <w:r w:rsidRPr="00B1678C">
        <w:rPr>
          <w:rFonts w:ascii="Times New Roman" w:hAnsi="Times New Roman"/>
        </w:rPr>
        <w:t xml:space="preserve"> VII</w:t>
      </w:r>
      <w:r w:rsidRPr="00B1678C">
        <w:rPr>
          <w:rFonts w:ascii="Times New Roman" w:hAnsi="Times New Roman"/>
          <w:i/>
        </w:rPr>
        <w:t xml:space="preserve">, </w:t>
      </w:r>
      <w:r w:rsidRPr="00B1678C">
        <w:rPr>
          <w:rFonts w:ascii="Times New Roman" w:hAnsi="Times New Roman"/>
        </w:rPr>
        <w:t>479.</w:t>
      </w:r>
    </w:p>
  </w:footnote>
  <w:footnote w:id="72">
    <w:p w14:paraId="073C9B28" w14:textId="3D00CF4E" w:rsidR="00B83D63" w:rsidRPr="002F5BDF" w:rsidRDefault="00B83D63" w:rsidP="00580F87">
      <w:pPr>
        <w:pStyle w:val="FootnoteText"/>
        <w:rPr>
          <w:rFonts w:ascii="Times New Roman" w:hAnsi="Times New Roman"/>
          <w:lang w:val="de-DE"/>
        </w:rPr>
      </w:pPr>
      <w:r w:rsidRPr="00C549FB">
        <w:rPr>
          <w:rStyle w:val="FootnoteReference"/>
          <w:rFonts w:ascii="Times New Roman" w:hAnsi="Times New Roman"/>
        </w:rPr>
        <w:footnoteRef/>
      </w:r>
      <w:r w:rsidRPr="002F5BDF">
        <w:rPr>
          <w:rFonts w:ascii="Times New Roman" w:hAnsi="Times New Roman"/>
          <w:lang w:val="de-DE"/>
        </w:rPr>
        <w:t xml:space="preserve"> </w:t>
      </w:r>
      <w:r w:rsidRPr="002F5BDF">
        <w:rPr>
          <w:rFonts w:ascii="Times New Roman" w:hAnsi="Times New Roman"/>
          <w:i/>
          <w:iCs/>
          <w:lang w:val="de-DE"/>
        </w:rPr>
        <w:t>SEH</w:t>
      </w:r>
      <w:r w:rsidRPr="002F5BDF">
        <w:rPr>
          <w:rFonts w:ascii="Times New Roman" w:hAnsi="Times New Roman"/>
          <w:lang w:val="de-DE"/>
        </w:rPr>
        <w:t xml:space="preserve"> VII, 49.</w:t>
      </w:r>
    </w:p>
  </w:footnote>
  <w:footnote w:id="73">
    <w:p w14:paraId="3B19111E" w14:textId="121EA731" w:rsidR="00B83D63" w:rsidRPr="00B83D63" w:rsidRDefault="00B83D63" w:rsidP="00580F87">
      <w:pPr>
        <w:pStyle w:val="FootnoteText"/>
        <w:rPr>
          <w:rFonts w:ascii="Times New Roman" w:hAnsi="Times New Roman"/>
          <w:lang w:val="de-DE"/>
        </w:rPr>
      </w:pPr>
      <w:r w:rsidRPr="002A1F94">
        <w:rPr>
          <w:rStyle w:val="FootnoteReference"/>
          <w:rFonts w:ascii="Times New Roman" w:hAnsi="Times New Roman"/>
        </w:rPr>
        <w:footnoteRef/>
      </w:r>
      <w:r w:rsidRPr="00B83D63">
        <w:rPr>
          <w:rFonts w:ascii="Times New Roman" w:hAnsi="Times New Roman"/>
          <w:lang w:val="de-DE"/>
        </w:rPr>
        <w:t xml:space="preserve"> </w:t>
      </w:r>
      <w:r w:rsidRPr="00B83D63">
        <w:rPr>
          <w:rFonts w:ascii="Times New Roman" w:hAnsi="Times New Roman"/>
          <w:i/>
          <w:lang w:val="de-DE"/>
        </w:rPr>
        <w:t xml:space="preserve">SEH </w:t>
      </w:r>
      <w:r w:rsidRPr="00B83D63">
        <w:rPr>
          <w:rFonts w:ascii="Times New Roman" w:hAnsi="Times New Roman"/>
          <w:lang w:val="de-DE"/>
        </w:rPr>
        <w:t>VII, 663.</w:t>
      </w:r>
    </w:p>
  </w:footnote>
  <w:footnote w:id="74">
    <w:p w14:paraId="4BB27F98" w14:textId="5015B067" w:rsidR="00B83D63" w:rsidRPr="00B1678C" w:rsidRDefault="00B83D63" w:rsidP="00580F87">
      <w:pPr>
        <w:pStyle w:val="FootnoteText"/>
        <w:rPr>
          <w:rFonts w:ascii="Times New Roman" w:hAnsi="Times New Roman"/>
          <w:lang w:val="de-DE"/>
        </w:rPr>
      </w:pPr>
      <w:r w:rsidRPr="00DF545E">
        <w:rPr>
          <w:rStyle w:val="FootnoteReference"/>
          <w:rFonts w:ascii="Times New Roman" w:hAnsi="Times New Roman"/>
        </w:rPr>
        <w:footnoteRef/>
      </w:r>
      <w:r w:rsidRPr="00B1678C">
        <w:rPr>
          <w:rFonts w:ascii="Times New Roman" w:hAnsi="Times New Roman"/>
          <w:lang w:val="de-DE"/>
        </w:rPr>
        <w:t xml:space="preserve"> </w:t>
      </w:r>
      <w:r w:rsidRPr="00B83D63">
        <w:rPr>
          <w:rFonts w:asciiTheme="majorBidi" w:hAnsiTheme="majorBidi" w:cstheme="majorBidi"/>
          <w:lang w:val="de-DE"/>
        </w:rPr>
        <w:t>Ibid</w:t>
      </w:r>
      <w:r w:rsidRPr="00B1678C">
        <w:rPr>
          <w:rFonts w:asciiTheme="majorBidi" w:hAnsiTheme="majorBidi" w:cstheme="majorBidi"/>
          <w:lang w:val="de-DE"/>
        </w:rPr>
        <w:t xml:space="preserve">., </w:t>
      </w:r>
      <w:r w:rsidRPr="00B1678C">
        <w:rPr>
          <w:rFonts w:ascii="Times New Roman" w:hAnsi="Times New Roman"/>
          <w:lang w:val="de-DE"/>
        </w:rPr>
        <w:t>659-663.</w:t>
      </w:r>
    </w:p>
  </w:footnote>
  <w:footnote w:id="75">
    <w:p w14:paraId="19D5BFF0" w14:textId="5D6950C8" w:rsidR="00B83D63" w:rsidRPr="00DF545E" w:rsidRDefault="00B83D63" w:rsidP="00580F87">
      <w:pPr>
        <w:pStyle w:val="FootnoteText"/>
      </w:pPr>
      <w:r w:rsidRPr="00DF545E">
        <w:rPr>
          <w:rStyle w:val="FootnoteReference"/>
          <w:rFonts w:ascii="Times New Roman" w:hAnsi="Times New Roman"/>
        </w:rPr>
        <w:footnoteRef/>
      </w:r>
      <w:r w:rsidRPr="00DF545E">
        <w:rPr>
          <w:rFonts w:ascii="Times New Roman" w:hAnsi="Times New Roman"/>
        </w:rPr>
        <w:t xml:space="preserve"> </w:t>
      </w:r>
      <w:r w:rsidRPr="00DF545E">
        <w:rPr>
          <w:rFonts w:ascii="Times New Roman" w:hAnsi="Times New Roman"/>
          <w:i/>
        </w:rPr>
        <w:t>OFB</w:t>
      </w:r>
      <w:r w:rsidRPr="00DF545E">
        <w:rPr>
          <w:rFonts w:ascii="Times New Roman" w:hAnsi="Times New Roman"/>
        </w:rPr>
        <w:t xml:space="preserve"> XV, “Of Empire.” 59, lines 24-28.</w:t>
      </w:r>
    </w:p>
  </w:footnote>
  <w:footnote w:id="76">
    <w:p w14:paraId="38312C3C" w14:textId="40CF54CD" w:rsidR="00B83D63" w:rsidRPr="000D0D11" w:rsidRDefault="00B83D63" w:rsidP="00580F87">
      <w:pPr>
        <w:spacing w:after="0" w:line="240" w:lineRule="auto"/>
        <w:rPr>
          <w:rFonts w:ascii="Times New Roman" w:hAnsi="Times New Roman" w:cs="Times New Roman"/>
        </w:rPr>
      </w:pPr>
      <w:r w:rsidRPr="002A1F94">
        <w:rPr>
          <w:rStyle w:val="FootnoteReference"/>
          <w:rFonts w:ascii="Times New Roman" w:hAnsi="Times New Roman"/>
        </w:rPr>
        <w:footnoteRef/>
      </w:r>
      <w:r w:rsidRPr="002A1F94">
        <w:rPr>
          <w:rFonts w:ascii="Times New Roman" w:hAnsi="Times New Roman" w:cs="Times New Roman"/>
        </w:rPr>
        <w:t xml:space="preserve"> </w:t>
      </w:r>
      <w:r w:rsidRPr="004D25D9">
        <w:rPr>
          <w:rFonts w:ascii="Times New Roman" w:hAnsi="Times New Roman" w:cs="Times New Roman"/>
          <w:sz w:val="20"/>
          <w:szCs w:val="20"/>
        </w:rPr>
        <w:t>Clarke, “Uprooting Nebuchadnezzar’s Tree</w:t>
      </w:r>
      <w:r w:rsidRPr="000D0D11">
        <w:rPr>
          <w:rFonts w:ascii="Times New Roman" w:hAnsi="Times New Roman" w:cs="Times New Roman"/>
          <w:sz w:val="20"/>
          <w:szCs w:val="20"/>
        </w:rPr>
        <w:t>,</w:t>
      </w:r>
      <w:r>
        <w:rPr>
          <w:rFonts w:ascii="Times New Roman" w:hAnsi="Times New Roman" w:cs="Times New Roman"/>
          <w:sz w:val="20"/>
          <w:szCs w:val="20"/>
        </w:rPr>
        <w:t>”</w:t>
      </w:r>
      <w:r w:rsidRPr="000D0D11">
        <w:rPr>
          <w:rFonts w:ascii="Times New Roman" w:hAnsi="Times New Roman" w:cs="Times New Roman"/>
          <w:sz w:val="20"/>
          <w:szCs w:val="20"/>
        </w:rPr>
        <w:t xml:space="preserve"> 367-378, at 367.</w:t>
      </w:r>
    </w:p>
  </w:footnote>
  <w:footnote w:id="77">
    <w:p w14:paraId="517ACFAA" w14:textId="2F913A89" w:rsidR="00B83D63" w:rsidRPr="000D0D11" w:rsidRDefault="00B83D63" w:rsidP="00580F87">
      <w:pPr>
        <w:pStyle w:val="FootnoteText"/>
        <w:rPr>
          <w:rFonts w:ascii="Times New Roman" w:hAnsi="Times New Roman"/>
        </w:rPr>
      </w:pPr>
      <w:r w:rsidRPr="000D0D11">
        <w:rPr>
          <w:rStyle w:val="FootnoteReference"/>
          <w:rFonts w:ascii="Times New Roman" w:hAnsi="Times New Roman"/>
        </w:rPr>
        <w:footnoteRef/>
      </w:r>
      <w:r w:rsidRPr="000D0D11">
        <w:rPr>
          <w:rFonts w:ascii="Times New Roman" w:hAnsi="Times New Roman"/>
        </w:rPr>
        <w:t xml:space="preserve"> This point derives from the path</w:t>
      </w:r>
      <w:r>
        <w:rPr>
          <w:rFonts w:ascii="Times New Roman" w:hAnsi="Times New Roman"/>
        </w:rPr>
        <w:t>-</w:t>
      </w:r>
      <w:r w:rsidRPr="000D0D11">
        <w:rPr>
          <w:rFonts w:ascii="Times New Roman" w:hAnsi="Times New Roman"/>
        </w:rPr>
        <w:t xml:space="preserve">breaking work of D.B. Quinn. See </w:t>
      </w:r>
      <w:r w:rsidRPr="000D0D11">
        <w:rPr>
          <w:rFonts w:ascii="Times New Roman" w:hAnsi="Times New Roman"/>
          <w:lang w:val="en-GB"/>
        </w:rPr>
        <w:t xml:space="preserve">David B. Quinn, </w:t>
      </w:r>
      <w:r w:rsidRPr="000D0D11">
        <w:rPr>
          <w:rFonts w:ascii="Times New Roman" w:hAnsi="Times New Roman"/>
          <w:i/>
          <w:iCs/>
          <w:lang w:val="en-GB"/>
        </w:rPr>
        <w:t xml:space="preserve">The Elizabethans and the Irish </w:t>
      </w:r>
      <w:r w:rsidRPr="000D0D11">
        <w:rPr>
          <w:rFonts w:ascii="Times New Roman" w:hAnsi="Times New Roman"/>
          <w:lang w:val="en-GB"/>
        </w:rPr>
        <w:t xml:space="preserve">(Ithaca, 1966) and David B. Quinn, ‘“A Discourse of Ireland” (circa 1599): A sidelight on English colonial policy’, </w:t>
      </w:r>
      <w:r w:rsidRPr="000D0D11">
        <w:rPr>
          <w:rFonts w:ascii="Times New Roman" w:hAnsi="Times New Roman"/>
          <w:i/>
          <w:iCs/>
          <w:lang w:val="en-GB"/>
        </w:rPr>
        <w:t>Proceedings of the Royal Irish Academy</w:t>
      </w:r>
      <w:r w:rsidRPr="000D0D11">
        <w:rPr>
          <w:rFonts w:ascii="Times New Roman" w:hAnsi="Times New Roman"/>
          <w:lang w:val="en-GB"/>
        </w:rPr>
        <w:t>, 47 C (1942), 151–66 (156 and 164); cited in R.</w:t>
      </w:r>
      <w:r>
        <w:rPr>
          <w:rFonts w:ascii="Times New Roman" w:hAnsi="Times New Roman"/>
          <w:lang w:val="en-GB"/>
        </w:rPr>
        <w:t xml:space="preserve"> </w:t>
      </w:r>
      <w:r w:rsidRPr="000D0D11">
        <w:rPr>
          <w:rFonts w:ascii="Times New Roman" w:hAnsi="Times New Roman"/>
          <w:lang w:val="en-GB"/>
        </w:rPr>
        <w:t xml:space="preserve">W. Serjeantson, “Francis Bacon, Colonisation, and the Limits of Atlanticism,” </w:t>
      </w:r>
      <w:r>
        <w:rPr>
          <w:rFonts w:ascii="Times New Roman" w:hAnsi="Times New Roman"/>
        </w:rPr>
        <w:t>lecture at UC-Berkeley, March 2014.</w:t>
      </w:r>
    </w:p>
  </w:footnote>
  <w:footnote w:id="78">
    <w:p w14:paraId="6F7D8CBD" w14:textId="45612902" w:rsidR="00B83D63" w:rsidRPr="005F731C" w:rsidRDefault="00B83D63" w:rsidP="00580F87">
      <w:pPr>
        <w:pStyle w:val="FootnoteText"/>
        <w:rPr>
          <w:rFonts w:ascii="Times New Roman" w:hAnsi="Times New Roman"/>
        </w:rPr>
      </w:pPr>
      <w:r w:rsidRPr="000D0D11">
        <w:rPr>
          <w:rStyle w:val="FootnoteReference"/>
          <w:rFonts w:ascii="Times New Roman" w:hAnsi="Times New Roman"/>
        </w:rPr>
        <w:footnoteRef/>
      </w:r>
      <w:r w:rsidRPr="000D0D11">
        <w:rPr>
          <w:rFonts w:ascii="Times New Roman" w:hAnsi="Times New Roman"/>
        </w:rPr>
        <w:t xml:space="preserve"> </w:t>
      </w:r>
      <w:r w:rsidRPr="000D0D11">
        <w:rPr>
          <w:rFonts w:ascii="Times New Roman" w:hAnsi="Times New Roman"/>
          <w:i/>
        </w:rPr>
        <w:t xml:space="preserve">SEH </w:t>
      </w:r>
      <w:r w:rsidRPr="000D0D11">
        <w:rPr>
          <w:rFonts w:ascii="Times New Roman" w:hAnsi="Times New Roman"/>
        </w:rPr>
        <w:t>VII,</w:t>
      </w:r>
      <w:r w:rsidRPr="005F731C">
        <w:rPr>
          <w:rFonts w:ascii="Times New Roman" w:hAnsi="Times New Roman"/>
        </w:rPr>
        <w:t xml:space="preserve"> 659</w:t>
      </w:r>
      <w:r>
        <w:rPr>
          <w:rFonts w:ascii="Times New Roman" w:hAnsi="Times New Roman"/>
        </w:rPr>
        <w:t>.</w:t>
      </w:r>
    </w:p>
  </w:footnote>
  <w:footnote w:id="79">
    <w:p w14:paraId="3E8D22A6" w14:textId="49ADA0B3" w:rsidR="00B83D63" w:rsidRPr="00DF2587" w:rsidRDefault="00B83D63" w:rsidP="00580F87">
      <w:pPr>
        <w:pStyle w:val="FootnoteText"/>
        <w:rPr>
          <w:rFonts w:ascii="Times New Roman" w:hAnsi="Times New Roman"/>
        </w:rPr>
      </w:pPr>
      <w:r w:rsidRPr="00DF2587">
        <w:rPr>
          <w:rStyle w:val="FootnoteReference"/>
          <w:rFonts w:ascii="Times New Roman" w:hAnsi="Times New Roman"/>
        </w:rPr>
        <w:footnoteRef/>
      </w:r>
      <w:r w:rsidRPr="00DF2587">
        <w:rPr>
          <w:rFonts w:ascii="Times New Roman" w:hAnsi="Times New Roman"/>
        </w:rPr>
        <w:t xml:space="preserve"> </w:t>
      </w:r>
      <w:r w:rsidRPr="00DF2587">
        <w:rPr>
          <w:rFonts w:ascii="Times New Roman" w:hAnsi="Times New Roman"/>
          <w:i/>
        </w:rPr>
        <w:t xml:space="preserve">SEH </w:t>
      </w:r>
      <w:r w:rsidRPr="00DF2587">
        <w:rPr>
          <w:rFonts w:ascii="Times New Roman" w:hAnsi="Times New Roman"/>
        </w:rPr>
        <w:t xml:space="preserve">VI, </w:t>
      </w:r>
      <w:r w:rsidRPr="00DF2587">
        <w:rPr>
          <w:rFonts w:ascii="Times New Roman" w:hAnsi="Times New Roman"/>
          <w:i/>
        </w:rPr>
        <w:t>The Case of the Post-</w:t>
      </w:r>
      <w:proofErr w:type="spellStart"/>
      <w:r w:rsidRPr="00DF2587">
        <w:rPr>
          <w:rFonts w:ascii="Times New Roman" w:hAnsi="Times New Roman"/>
          <w:i/>
        </w:rPr>
        <w:t>Nati</w:t>
      </w:r>
      <w:proofErr w:type="spellEnd"/>
      <w:r w:rsidRPr="00DF2587">
        <w:rPr>
          <w:rFonts w:ascii="Times New Roman" w:hAnsi="Times New Roman"/>
        </w:rPr>
        <w:t>, 649</w:t>
      </w:r>
      <w:r>
        <w:rPr>
          <w:rFonts w:ascii="Times New Roman" w:hAnsi="Times New Roman"/>
        </w:rPr>
        <w:t>.</w:t>
      </w:r>
    </w:p>
  </w:footnote>
  <w:footnote w:id="80">
    <w:p w14:paraId="47771B09" w14:textId="638D9583"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proofErr w:type="spellStart"/>
      <w:r w:rsidRPr="004D25D9">
        <w:rPr>
          <w:rFonts w:ascii="Times New Roman" w:hAnsi="Times New Roman"/>
        </w:rPr>
        <w:t>Peltonen</w:t>
      </w:r>
      <w:proofErr w:type="spellEnd"/>
      <w:r w:rsidRPr="004D25D9">
        <w:rPr>
          <w:rFonts w:ascii="Times New Roman" w:hAnsi="Times New Roman"/>
        </w:rPr>
        <w:t>, “Politics and Science</w:t>
      </w:r>
      <w:r>
        <w:rPr>
          <w:rFonts w:ascii="Times New Roman" w:hAnsi="Times New Roman"/>
        </w:rPr>
        <w:t>,”</w:t>
      </w:r>
      <w:r w:rsidRPr="004D25D9">
        <w:rPr>
          <w:rFonts w:ascii="Times New Roman" w:hAnsi="Times New Roman"/>
        </w:rPr>
        <w:t xml:space="preserve"> 282-284.</w:t>
      </w:r>
    </w:p>
  </w:footnote>
  <w:footnote w:id="81">
    <w:p w14:paraId="49295AFA" w14:textId="23377344"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SEH </w:t>
      </w:r>
      <w:r w:rsidRPr="004D25D9">
        <w:rPr>
          <w:rFonts w:ascii="Times New Roman" w:hAnsi="Times New Roman"/>
        </w:rPr>
        <w:t>VII, “Of the true greatness of the Kingdom of Britain,” 49.</w:t>
      </w:r>
    </w:p>
  </w:footnote>
  <w:footnote w:id="82">
    <w:p w14:paraId="529409DA" w14:textId="3F530B5A"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F26D19">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51.</w:t>
      </w:r>
    </w:p>
  </w:footnote>
  <w:footnote w:id="83">
    <w:p w14:paraId="144AD2A7" w14:textId="2D13070E"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SEH </w:t>
      </w:r>
      <w:r w:rsidRPr="004D25D9">
        <w:rPr>
          <w:rFonts w:ascii="Times New Roman" w:hAnsi="Times New Roman"/>
        </w:rPr>
        <w:t xml:space="preserve">VII, </w:t>
      </w:r>
      <w:r>
        <w:rPr>
          <w:rFonts w:ascii="Times New Roman" w:hAnsi="Times New Roman"/>
        </w:rPr>
        <w:t xml:space="preserve">59; Lucan, </w:t>
      </w:r>
      <w:r>
        <w:rPr>
          <w:rFonts w:ascii="Times New Roman" w:hAnsi="Times New Roman"/>
          <w:i/>
        </w:rPr>
        <w:t xml:space="preserve">De Bello </w:t>
      </w:r>
      <w:proofErr w:type="spellStart"/>
      <w:r>
        <w:rPr>
          <w:rFonts w:ascii="Times New Roman" w:hAnsi="Times New Roman"/>
          <w:i/>
        </w:rPr>
        <w:t>Civile</w:t>
      </w:r>
      <w:proofErr w:type="spellEnd"/>
      <w:r>
        <w:rPr>
          <w:rFonts w:ascii="Times New Roman" w:hAnsi="Times New Roman"/>
          <w:i/>
        </w:rPr>
        <w:t xml:space="preserve">, </w:t>
      </w:r>
      <w:r>
        <w:rPr>
          <w:rFonts w:ascii="Times New Roman" w:hAnsi="Times New Roman"/>
        </w:rPr>
        <w:t xml:space="preserve">I.182 in Lucan, </w:t>
      </w:r>
      <w:r>
        <w:rPr>
          <w:rFonts w:ascii="Times New Roman" w:hAnsi="Times New Roman"/>
          <w:i/>
        </w:rPr>
        <w:t>The Civil War</w:t>
      </w:r>
      <w:r>
        <w:rPr>
          <w:rFonts w:ascii="Times New Roman" w:hAnsi="Times New Roman"/>
        </w:rPr>
        <w:t>, J.D. Duff ed.</w:t>
      </w:r>
      <w:r>
        <w:rPr>
          <w:rFonts w:ascii="Times New Roman" w:hAnsi="Times New Roman"/>
          <w:i/>
        </w:rPr>
        <w:t xml:space="preserve"> </w:t>
      </w:r>
      <w:r>
        <w:rPr>
          <w:rFonts w:ascii="Times New Roman" w:hAnsi="Times New Roman"/>
        </w:rPr>
        <w:t xml:space="preserve">(Cambridge, MA: Harvard University Press, 1928), 16-17.  </w:t>
      </w:r>
    </w:p>
  </w:footnote>
  <w:footnote w:id="84">
    <w:p w14:paraId="15801E12" w14:textId="773EDE95" w:rsidR="00B83D63" w:rsidRPr="00784AB3"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SEH </w:t>
      </w:r>
      <w:r w:rsidRPr="004D25D9">
        <w:rPr>
          <w:rFonts w:ascii="Times New Roman" w:hAnsi="Times New Roman"/>
        </w:rPr>
        <w:t xml:space="preserve">VI, 590; </w:t>
      </w:r>
      <w:r w:rsidRPr="004D25D9">
        <w:rPr>
          <w:rFonts w:ascii="Times New Roman" w:hAnsi="Times New Roman"/>
          <w:i/>
          <w:iCs/>
        </w:rPr>
        <w:t xml:space="preserve">OFB </w:t>
      </w:r>
      <w:r w:rsidRPr="004D25D9">
        <w:rPr>
          <w:rFonts w:ascii="Times New Roman" w:hAnsi="Times New Roman"/>
        </w:rPr>
        <w:t>XV, “Of Seditions and Tr</w:t>
      </w:r>
      <w:r>
        <w:rPr>
          <w:rFonts w:ascii="Times New Roman" w:hAnsi="Times New Roman"/>
        </w:rPr>
        <w:t xml:space="preserve">oubles.” 45, lines 83-88; Michael Kiernan, “Commentary,” </w:t>
      </w:r>
      <w:r>
        <w:rPr>
          <w:rFonts w:ascii="Times New Roman" w:hAnsi="Times New Roman"/>
          <w:i/>
        </w:rPr>
        <w:t xml:space="preserve">OFB </w:t>
      </w:r>
      <w:r>
        <w:rPr>
          <w:rFonts w:ascii="Times New Roman" w:hAnsi="Times New Roman"/>
        </w:rPr>
        <w:t xml:space="preserve">XV, 203. Cf. Lucan, </w:t>
      </w:r>
      <w:r>
        <w:rPr>
          <w:rFonts w:ascii="Times New Roman" w:hAnsi="Times New Roman"/>
          <w:i/>
        </w:rPr>
        <w:t xml:space="preserve">De Bello </w:t>
      </w:r>
      <w:proofErr w:type="spellStart"/>
      <w:r>
        <w:rPr>
          <w:rFonts w:ascii="Times New Roman" w:hAnsi="Times New Roman"/>
          <w:i/>
        </w:rPr>
        <w:t>Civile</w:t>
      </w:r>
      <w:proofErr w:type="spellEnd"/>
      <w:r>
        <w:rPr>
          <w:rFonts w:ascii="Times New Roman" w:hAnsi="Times New Roman"/>
          <w:i/>
        </w:rPr>
        <w:t xml:space="preserve"> </w:t>
      </w:r>
      <w:r>
        <w:rPr>
          <w:rFonts w:ascii="Times New Roman" w:hAnsi="Times New Roman"/>
        </w:rPr>
        <w:t xml:space="preserve">I.181-182 in </w:t>
      </w:r>
      <w:r>
        <w:rPr>
          <w:rFonts w:ascii="Times New Roman" w:hAnsi="Times New Roman"/>
          <w:i/>
        </w:rPr>
        <w:t>The Civil War</w:t>
      </w:r>
      <w:r>
        <w:rPr>
          <w:rFonts w:ascii="Times New Roman" w:hAnsi="Times New Roman"/>
        </w:rPr>
        <w:t xml:space="preserve">, 16-17.  For an account of the political reception of Lucan in England from the second half of the reign of Elizabeth I to the English Civil War see Edward </w:t>
      </w:r>
      <w:proofErr w:type="spellStart"/>
      <w:r>
        <w:rPr>
          <w:rFonts w:ascii="Times New Roman" w:hAnsi="Times New Roman"/>
        </w:rPr>
        <w:t>Paleit</w:t>
      </w:r>
      <w:proofErr w:type="spellEnd"/>
      <w:r>
        <w:rPr>
          <w:rFonts w:ascii="Times New Roman" w:hAnsi="Times New Roman"/>
        </w:rPr>
        <w:t xml:space="preserve">, </w:t>
      </w:r>
      <w:r>
        <w:rPr>
          <w:rFonts w:ascii="Times New Roman" w:hAnsi="Times New Roman"/>
          <w:i/>
        </w:rPr>
        <w:t xml:space="preserve">War, Liberty, and Caesar: Responses to Lucan’s Bellum </w:t>
      </w:r>
      <w:proofErr w:type="spellStart"/>
      <w:r>
        <w:rPr>
          <w:rFonts w:ascii="Times New Roman" w:hAnsi="Times New Roman"/>
          <w:i/>
        </w:rPr>
        <w:t>Ciuile</w:t>
      </w:r>
      <w:proofErr w:type="spellEnd"/>
      <w:r>
        <w:rPr>
          <w:rFonts w:ascii="Times New Roman" w:hAnsi="Times New Roman"/>
          <w:i/>
        </w:rPr>
        <w:t xml:space="preserve">, ca. 1580-1650 </w:t>
      </w:r>
      <w:r>
        <w:rPr>
          <w:rFonts w:ascii="Times New Roman" w:hAnsi="Times New Roman"/>
        </w:rPr>
        <w:t>(Oxford: Oxford University Press, 2013), which does not mention Bacon’s appropriation of this passage.</w:t>
      </w:r>
    </w:p>
  </w:footnote>
  <w:footnote w:id="85">
    <w:p w14:paraId="6F0E645D" w14:textId="2F364F85"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SEH </w:t>
      </w:r>
      <w:r w:rsidRPr="004D25D9">
        <w:rPr>
          <w:rFonts w:ascii="Times New Roman" w:hAnsi="Times New Roman"/>
        </w:rPr>
        <w:t>VII, “Of the true greatness of the Kingdom of Britain,” 59</w:t>
      </w:r>
      <w:r>
        <w:rPr>
          <w:rFonts w:ascii="Times New Roman" w:hAnsi="Times New Roman"/>
        </w:rPr>
        <w:t>.</w:t>
      </w:r>
    </w:p>
  </w:footnote>
  <w:footnote w:id="86">
    <w:p w14:paraId="162D3D19" w14:textId="6DF04738" w:rsidR="00B83D63" w:rsidRPr="007871C4" w:rsidRDefault="00B83D63" w:rsidP="00580F87">
      <w:pPr>
        <w:pStyle w:val="FootnoteText"/>
        <w:rPr>
          <w:rFonts w:ascii="Times New Roman" w:hAnsi="Times New Roman"/>
        </w:rPr>
      </w:pPr>
      <w:r w:rsidRPr="00D64A6E">
        <w:rPr>
          <w:rStyle w:val="FootnoteReference"/>
          <w:rFonts w:ascii="Times New Roman" w:hAnsi="Times New Roman"/>
        </w:rPr>
        <w:footnoteRef/>
      </w:r>
      <w:r w:rsidRPr="00D64A6E">
        <w:rPr>
          <w:rFonts w:ascii="Times New Roman" w:hAnsi="Times New Roman"/>
        </w:rPr>
        <w:t xml:space="preserve"> </w:t>
      </w:r>
      <w:r>
        <w:rPr>
          <w:rFonts w:ascii="Times New Roman" w:hAnsi="Times New Roman"/>
        </w:rPr>
        <w:t xml:space="preserve">On this theme, White notes that “Bacon feared the common people, because he feared civil war”.   White, </w:t>
      </w:r>
      <w:r>
        <w:rPr>
          <w:rFonts w:ascii="Times New Roman" w:hAnsi="Times New Roman"/>
          <w:i/>
        </w:rPr>
        <w:t>Peace Among the Willows,</w:t>
      </w:r>
      <w:r>
        <w:rPr>
          <w:rFonts w:ascii="Times New Roman" w:hAnsi="Times New Roman"/>
        </w:rPr>
        <w:t xml:space="preserve"> 39.</w:t>
      </w:r>
    </w:p>
  </w:footnote>
  <w:footnote w:id="87">
    <w:p w14:paraId="608D9E8E" w14:textId="6DE28EBA" w:rsidR="00B83D63" w:rsidRPr="001B5C56" w:rsidRDefault="00B83D63" w:rsidP="00580F87">
      <w:pPr>
        <w:pStyle w:val="FootnoteText"/>
        <w:rPr>
          <w:rFonts w:ascii="Times New Roman" w:hAnsi="Times New Roman"/>
        </w:rPr>
      </w:pPr>
      <w:r w:rsidRPr="001B5C56">
        <w:rPr>
          <w:rStyle w:val="FootnoteReference"/>
          <w:rFonts w:ascii="Times New Roman" w:hAnsi="Times New Roman"/>
        </w:rPr>
        <w:footnoteRef/>
      </w:r>
      <w:r w:rsidRPr="001B5C56">
        <w:rPr>
          <w:rFonts w:ascii="Times New Roman" w:hAnsi="Times New Roman"/>
        </w:rPr>
        <w:t xml:space="preserve"> </w:t>
      </w:r>
      <w:r w:rsidRPr="001B5C56">
        <w:rPr>
          <w:rFonts w:ascii="Times New Roman" w:hAnsi="Times New Roman"/>
          <w:i/>
        </w:rPr>
        <w:t xml:space="preserve">SEH </w:t>
      </w:r>
      <w:r w:rsidRPr="001B5C56">
        <w:rPr>
          <w:rFonts w:ascii="Times New Roman" w:hAnsi="Times New Roman"/>
        </w:rPr>
        <w:t xml:space="preserve">VII, </w:t>
      </w:r>
      <w:r w:rsidRPr="001B5C56">
        <w:rPr>
          <w:rFonts w:ascii="Times New Roman" w:hAnsi="Times New Roman"/>
          <w:i/>
        </w:rPr>
        <w:t>The Case of the Post-</w:t>
      </w:r>
      <w:proofErr w:type="spellStart"/>
      <w:r w:rsidRPr="001B5C56">
        <w:rPr>
          <w:rFonts w:ascii="Times New Roman" w:hAnsi="Times New Roman"/>
          <w:i/>
        </w:rPr>
        <w:t>Nati</w:t>
      </w:r>
      <w:proofErr w:type="spellEnd"/>
      <w:r w:rsidRPr="001B5C56">
        <w:rPr>
          <w:rFonts w:ascii="Times New Roman" w:hAnsi="Times New Roman"/>
          <w:i/>
        </w:rPr>
        <w:t xml:space="preserve"> of Scotland,</w:t>
      </w:r>
      <w:r w:rsidRPr="001B5C56">
        <w:rPr>
          <w:rFonts w:ascii="Times New Roman" w:hAnsi="Times New Roman"/>
        </w:rPr>
        <w:t xml:space="preserve"> 661.</w:t>
      </w:r>
    </w:p>
  </w:footnote>
  <w:footnote w:id="88">
    <w:p w14:paraId="34088973" w14:textId="4BCC76E2" w:rsidR="00B83D63" w:rsidRPr="007871C4" w:rsidRDefault="00B83D63" w:rsidP="00580F87">
      <w:pPr>
        <w:pStyle w:val="FootnoteText"/>
      </w:pPr>
      <w:r w:rsidRPr="007871C4">
        <w:rPr>
          <w:rStyle w:val="FootnoteReference"/>
          <w:rFonts w:ascii="Times New Roman" w:hAnsi="Times New Roman"/>
        </w:rPr>
        <w:footnoteRef/>
      </w:r>
      <w:r w:rsidRPr="007871C4">
        <w:rPr>
          <w:rFonts w:ascii="Times New Roman" w:hAnsi="Times New Roman"/>
        </w:rPr>
        <w:t xml:space="preserve"> Compare </w:t>
      </w:r>
      <w:proofErr w:type="spellStart"/>
      <w:r w:rsidRPr="007871C4">
        <w:rPr>
          <w:rFonts w:ascii="Times New Roman" w:hAnsi="Times New Roman"/>
        </w:rPr>
        <w:t>Peltonen</w:t>
      </w:r>
      <w:proofErr w:type="spellEnd"/>
      <w:r w:rsidRPr="007871C4">
        <w:rPr>
          <w:rFonts w:ascii="Times New Roman" w:hAnsi="Times New Roman"/>
        </w:rPr>
        <w:t xml:space="preserve">, </w:t>
      </w:r>
      <w:r w:rsidRPr="007871C4">
        <w:rPr>
          <w:rFonts w:ascii="Times New Roman" w:hAnsi="Times New Roman"/>
          <w:i/>
        </w:rPr>
        <w:t>Classic</w:t>
      </w:r>
      <w:r>
        <w:rPr>
          <w:rFonts w:ascii="Times New Roman" w:hAnsi="Times New Roman"/>
          <w:i/>
        </w:rPr>
        <w:t>al humanism</w:t>
      </w:r>
      <w:r w:rsidRPr="007871C4">
        <w:rPr>
          <w:rFonts w:ascii="Times New Roman" w:hAnsi="Times New Roman"/>
        </w:rPr>
        <w:t>, 199-200</w:t>
      </w:r>
      <w:r>
        <w:rPr>
          <w:rFonts w:ascii="Times New Roman" w:hAnsi="Times New Roman"/>
        </w:rPr>
        <w:t>.</w:t>
      </w:r>
    </w:p>
  </w:footnote>
  <w:footnote w:id="89">
    <w:p w14:paraId="468DCEC7" w14:textId="010C75C6"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SEH </w:t>
      </w:r>
      <w:r w:rsidRPr="004D25D9">
        <w:rPr>
          <w:rFonts w:ascii="Times New Roman" w:hAnsi="Times New Roman"/>
        </w:rPr>
        <w:t>VII, “Of the True Greatness of the Kingdom of Britain,” 58.</w:t>
      </w:r>
    </w:p>
  </w:footnote>
  <w:footnote w:id="90">
    <w:p w14:paraId="49428581" w14:textId="77777777"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OFB</w:t>
      </w:r>
      <w:r w:rsidRPr="004D25D9">
        <w:rPr>
          <w:rFonts w:ascii="Times New Roman" w:hAnsi="Times New Roman"/>
        </w:rPr>
        <w:t xml:space="preserve"> XV, “Of Seditions and Troubles. XV.”</w:t>
      </w:r>
    </w:p>
  </w:footnote>
  <w:footnote w:id="91">
    <w:p w14:paraId="2824974C" w14:textId="56A5EA39" w:rsidR="00B83D63" w:rsidRDefault="00B83D63">
      <w:pPr>
        <w:pStyle w:val="FootnoteText"/>
      </w:pPr>
      <w:r w:rsidRPr="00596B3E">
        <w:rPr>
          <w:rStyle w:val="FootnoteReference"/>
          <w:rFonts w:ascii="Times New Roman" w:hAnsi="Times New Roman" w:cs="Times New Roman"/>
        </w:rPr>
        <w:footnoteRef/>
      </w:r>
      <w:r w:rsidRPr="00596B3E">
        <w:rPr>
          <w:rFonts w:ascii="Times New Roman" w:hAnsi="Times New Roman" w:cs="Times New Roman"/>
        </w:rPr>
        <w:t xml:space="preserve"> </w:t>
      </w:r>
      <w:r w:rsidRPr="004D25D9">
        <w:rPr>
          <w:rFonts w:ascii="Times New Roman" w:hAnsi="Times New Roman"/>
          <w:i/>
          <w:iCs/>
          <w:lang w:val="en-GB"/>
        </w:rPr>
        <w:t>LL</w:t>
      </w:r>
      <w:r w:rsidRPr="004D25D9">
        <w:rPr>
          <w:rFonts w:ascii="Times New Roman" w:hAnsi="Times New Roman"/>
          <w:lang w:val="en-GB"/>
        </w:rPr>
        <w:t xml:space="preserve"> II, </w:t>
      </w:r>
      <w:r>
        <w:rPr>
          <w:rFonts w:ascii="Times New Roman" w:hAnsi="Times New Roman"/>
          <w:lang w:val="en-GB"/>
        </w:rPr>
        <w:t xml:space="preserve">“A Letter of Advice to my Lord of Essex,” </w:t>
      </w:r>
      <w:r w:rsidRPr="004D25D9">
        <w:rPr>
          <w:rFonts w:ascii="Times New Roman" w:hAnsi="Times New Roman"/>
          <w:lang w:val="en-GB"/>
        </w:rPr>
        <w:t>130.</w:t>
      </w:r>
    </w:p>
  </w:footnote>
  <w:footnote w:id="92">
    <w:p w14:paraId="28946F64" w14:textId="682832E9" w:rsidR="00B83D63" w:rsidRPr="00220EDC" w:rsidRDefault="00B83D63" w:rsidP="00580F87">
      <w:pPr>
        <w:pStyle w:val="FootnoteText"/>
        <w:rPr>
          <w:rFonts w:ascii="Times New Roman" w:hAnsi="Times New Roman"/>
        </w:rPr>
      </w:pPr>
      <w:r w:rsidRPr="004D25D9">
        <w:rPr>
          <w:rStyle w:val="FootnoteReference"/>
          <w:rFonts w:ascii="Times New Roman" w:hAnsi="Times New Roman"/>
        </w:rPr>
        <w:footnoteRef/>
      </w:r>
      <w:r w:rsidRPr="006504C6">
        <w:rPr>
          <w:rFonts w:ascii="Times New Roman" w:hAnsi="Times New Roman"/>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6504C6">
        <w:rPr>
          <w:rFonts w:ascii="Times New Roman" w:hAnsi="Times New Roman"/>
        </w:rPr>
        <w:t>131-132.</w:t>
      </w:r>
      <w:r>
        <w:rPr>
          <w:rFonts w:ascii="Times New Roman" w:hAnsi="Times New Roman"/>
        </w:rPr>
        <w:t xml:space="preserve"> On Bacon’s view of what peace entails, see Samuel Garrett Zeitlin, “Francis Bacon’s Notion of Peace and the 1604 Treaty of London,” </w:t>
      </w:r>
      <w:r>
        <w:rPr>
          <w:rFonts w:ascii="Times New Roman" w:hAnsi="Times New Roman"/>
          <w:i/>
          <w:iCs/>
        </w:rPr>
        <w:t xml:space="preserve">History of Political Thought </w:t>
      </w:r>
      <w:r>
        <w:rPr>
          <w:rFonts w:ascii="Times New Roman" w:hAnsi="Times New Roman"/>
        </w:rPr>
        <w:t xml:space="preserve">(forthcoming).  On the contrasting Hobbesian notion of peace, see Samuel Garrett Zeitlin, “Interpretation and Critique: Jacob </w:t>
      </w:r>
      <w:proofErr w:type="spellStart"/>
      <w:r>
        <w:rPr>
          <w:rFonts w:ascii="Times New Roman" w:hAnsi="Times New Roman"/>
        </w:rPr>
        <w:t>Taubes</w:t>
      </w:r>
      <w:proofErr w:type="spellEnd"/>
      <w:r>
        <w:rPr>
          <w:rFonts w:ascii="Times New Roman" w:hAnsi="Times New Roman"/>
        </w:rPr>
        <w:t xml:space="preserve">, Julien Freund, and the Interpretation of Hobbes,” </w:t>
      </w:r>
      <w:r>
        <w:rPr>
          <w:rFonts w:ascii="Times New Roman" w:hAnsi="Times New Roman"/>
          <w:i/>
          <w:iCs/>
        </w:rPr>
        <w:t xml:space="preserve">Telos </w:t>
      </w:r>
      <w:r>
        <w:rPr>
          <w:rFonts w:ascii="Times New Roman" w:hAnsi="Times New Roman"/>
        </w:rPr>
        <w:t>181 (Winter 2017), 9-39, at 17-20.</w:t>
      </w:r>
    </w:p>
  </w:footnote>
  <w:footnote w:id="93">
    <w:p w14:paraId="474DDF19" w14:textId="7BBFD3CE" w:rsidR="00B83D63" w:rsidRPr="006504C6" w:rsidRDefault="00B83D63" w:rsidP="007E13D9">
      <w:pPr>
        <w:pStyle w:val="FootnoteText"/>
        <w:rPr>
          <w:rFonts w:ascii="Times New Roman" w:hAnsi="Times New Roman"/>
        </w:rPr>
      </w:pPr>
      <w:r w:rsidRPr="00334C70">
        <w:rPr>
          <w:rStyle w:val="FootnoteReference"/>
          <w:rFonts w:ascii="Times New Roman" w:hAnsi="Times New Roman"/>
        </w:rPr>
        <w:footnoteRef/>
      </w:r>
      <w:r w:rsidRPr="006504C6">
        <w:rPr>
          <w:rFonts w:ascii="Times New Roman" w:hAnsi="Times New Roman"/>
        </w:rPr>
        <w:t xml:space="preserve"> </w:t>
      </w:r>
      <w:r w:rsidRPr="006504C6">
        <w:rPr>
          <w:rFonts w:ascii="Times New Roman" w:hAnsi="Times New Roman"/>
          <w:i/>
        </w:rPr>
        <w:t xml:space="preserve">SEH </w:t>
      </w:r>
      <w:r w:rsidRPr="006504C6">
        <w:rPr>
          <w:rFonts w:ascii="Times New Roman" w:hAnsi="Times New Roman"/>
        </w:rPr>
        <w:t>VII, 646.</w:t>
      </w:r>
    </w:p>
  </w:footnote>
  <w:footnote w:id="94">
    <w:p w14:paraId="6F8D5747" w14:textId="5BFAF48A" w:rsidR="00B83D63" w:rsidRPr="00596B3E" w:rsidRDefault="00B83D63" w:rsidP="00220EDC">
      <w:pPr>
        <w:pStyle w:val="FootnoteText"/>
        <w:rPr>
          <w:rFonts w:ascii="Times New Roman" w:hAnsi="Times New Roman"/>
        </w:rPr>
      </w:pPr>
      <w:r w:rsidRPr="004D25D9">
        <w:rPr>
          <w:rStyle w:val="FootnoteReference"/>
          <w:rFonts w:ascii="Times New Roman" w:hAnsi="Times New Roman"/>
        </w:rPr>
        <w:footnoteRef/>
      </w:r>
      <w:r w:rsidRPr="006504C6">
        <w:rPr>
          <w:rFonts w:ascii="Times New Roman" w:hAnsi="Times New Roman"/>
        </w:rPr>
        <w:t xml:space="preserve"> </w:t>
      </w:r>
      <w:r w:rsidRPr="006504C6">
        <w:rPr>
          <w:rFonts w:ascii="Times New Roman" w:hAnsi="Times New Roman"/>
          <w:i/>
          <w:iCs/>
        </w:rPr>
        <w:t>LL</w:t>
      </w:r>
      <w:r w:rsidRPr="006504C6">
        <w:rPr>
          <w:rFonts w:ascii="Times New Roman" w:hAnsi="Times New Roman"/>
        </w:rPr>
        <w:t xml:space="preserve"> II, </w:t>
      </w:r>
      <w:r>
        <w:rPr>
          <w:rFonts w:ascii="Times New Roman" w:hAnsi="Times New Roman"/>
          <w:lang w:val="en-GB"/>
        </w:rPr>
        <w:t xml:space="preserve">“A Letter of Advice to my Lord of Essex,” </w:t>
      </w:r>
      <w:r w:rsidRPr="006504C6">
        <w:rPr>
          <w:rFonts w:ascii="Times New Roman" w:hAnsi="Times New Roman"/>
        </w:rPr>
        <w:t>131-132.</w:t>
      </w:r>
      <w:r>
        <w:rPr>
          <w:rFonts w:ascii="Times New Roman" w:hAnsi="Times New Roman"/>
        </w:rPr>
        <w:t xml:space="preserve"> </w:t>
      </w:r>
    </w:p>
  </w:footnote>
  <w:footnote w:id="95">
    <w:p w14:paraId="335D2484" w14:textId="5E8F7CF3" w:rsidR="00B83D63" w:rsidRPr="004D25D9" w:rsidRDefault="00B83D63" w:rsidP="00580F87">
      <w:pPr>
        <w:pStyle w:val="FootnoteText"/>
        <w:rPr>
          <w:rFonts w:ascii="Times New Roman" w:hAnsi="Times New Roman"/>
          <w:lang w:val="nn-NO"/>
        </w:rPr>
      </w:pPr>
      <w:r w:rsidRPr="004D25D9">
        <w:rPr>
          <w:rStyle w:val="FootnoteReference"/>
          <w:rFonts w:ascii="Times New Roman" w:hAnsi="Times New Roman"/>
        </w:rPr>
        <w:footnoteRef/>
      </w:r>
      <w:r w:rsidRPr="004D25D9">
        <w:rPr>
          <w:rFonts w:ascii="Times New Roman" w:hAnsi="Times New Roman"/>
          <w:lang w:val="nn-NO"/>
        </w:rPr>
        <w:t xml:space="preserve"> </w:t>
      </w:r>
      <w:r w:rsidRPr="004D25D9">
        <w:rPr>
          <w:rFonts w:ascii="Times New Roman" w:hAnsi="Times New Roman"/>
          <w:i/>
          <w:iCs/>
          <w:lang w:val="nn-NO"/>
        </w:rPr>
        <w:t>LL</w:t>
      </w:r>
      <w:r w:rsidRPr="004D25D9">
        <w:rPr>
          <w:rFonts w:ascii="Times New Roman" w:hAnsi="Times New Roman"/>
          <w:lang w:val="nn-NO"/>
        </w:rPr>
        <w:t xml:space="preserve"> II, 130.</w:t>
      </w:r>
    </w:p>
  </w:footnote>
  <w:footnote w:id="96">
    <w:p w14:paraId="174EBDBD" w14:textId="135F2BFC"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lang w:val="nn-NO"/>
        </w:rPr>
        <w:t xml:space="preserve"> </w:t>
      </w:r>
      <w:r w:rsidRPr="004D25D9">
        <w:rPr>
          <w:rFonts w:ascii="Times New Roman" w:hAnsi="Times New Roman"/>
          <w:i/>
          <w:iCs/>
          <w:lang w:val="nn-NO"/>
        </w:rPr>
        <w:t>LL</w:t>
      </w:r>
      <w:r w:rsidRPr="004D25D9">
        <w:rPr>
          <w:rFonts w:ascii="Times New Roman" w:hAnsi="Times New Roman"/>
          <w:lang w:val="nn-NO"/>
        </w:rPr>
        <w:t xml:space="preserve"> II, 131-132.  </w:t>
      </w:r>
      <w:r w:rsidRPr="004D25D9">
        <w:rPr>
          <w:rFonts w:ascii="Times New Roman" w:hAnsi="Times New Roman"/>
          <w:lang w:val="en-GB"/>
        </w:rPr>
        <w:t xml:space="preserve">See also </w:t>
      </w:r>
      <w:r w:rsidRPr="004D25D9">
        <w:rPr>
          <w:rFonts w:ascii="Times New Roman" w:hAnsi="Times New Roman"/>
          <w:i/>
          <w:iCs/>
          <w:lang w:val="en-GB"/>
        </w:rPr>
        <w:t>LL</w:t>
      </w:r>
      <w:r w:rsidRPr="004D25D9">
        <w:rPr>
          <w:rFonts w:ascii="Times New Roman" w:hAnsi="Times New Roman"/>
          <w:lang w:val="en-GB"/>
        </w:rPr>
        <w:t xml:space="preserve"> III, “A Proclamation drawn for his Majesty’s First Coming in, prepared but not used,” 67-71, at 69</w:t>
      </w:r>
      <w:r>
        <w:rPr>
          <w:rFonts w:ascii="Times New Roman" w:hAnsi="Times New Roman"/>
          <w:lang w:val="en-GB"/>
        </w:rPr>
        <w:t>.</w:t>
      </w:r>
      <w:r w:rsidRPr="004D25D9">
        <w:rPr>
          <w:rFonts w:ascii="Times New Roman" w:hAnsi="Times New Roman"/>
          <w:lang w:val="en-GB"/>
        </w:rPr>
        <w:t xml:space="preserve">  See further </w:t>
      </w:r>
      <w:r w:rsidRPr="004D25D9">
        <w:rPr>
          <w:rFonts w:ascii="Times New Roman" w:hAnsi="Times New Roman"/>
          <w:i/>
          <w:iCs/>
          <w:lang w:val="en-GB"/>
        </w:rPr>
        <w:t>SEH</w:t>
      </w:r>
      <w:r w:rsidRPr="004D25D9">
        <w:rPr>
          <w:rFonts w:ascii="Times New Roman" w:hAnsi="Times New Roman"/>
          <w:lang w:val="en-GB"/>
        </w:rPr>
        <w:t xml:space="preserve"> III, </w:t>
      </w:r>
      <w:proofErr w:type="spellStart"/>
      <w:r w:rsidRPr="004D25D9">
        <w:rPr>
          <w:rFonts w:ascii="Times New Roman" w:hAnsi="Times New Roman"/>
          <w:i/>
          <w:iCs/>
          <w:lang w:val="en-GB"/>
        </w:rPr>
        <w:t>Commentarius</w:t>
      </w:r>
      <w:proofErr w:type="spellEnd"/>
      <w:r w:rsidRPr="004D25D9">
        <w:rPr>
          <w:rFonts w:ascii="Times New Roman" w:hAnsi="Times New Roman"/>
          <w:i/>
          <w:iCs/>
          <w:lang w:val="en-GB"/>
        </w:rPr>
        <w:t xml:space="preserve"> </w:t>
      </w:r>
      <w:proofErr w:type="spellStart"/>
      <w:r w:rsidRPr="004D25D9">
        <w:rPr>
          <w:rFonts w:ascii="Times New Roman" w:hAnsi="Times New Roman"/>
          <w:i/>
          <w:iCs/>
          <w:lang w:val="en-GB"/>
        </w:rPr>
        <w:t>Solutus</w:t>
      </w:r>
      <w:proofErr w:type="spellEnd"/>
      <w:r w:rsidRPr="004D25D9">
        <w:rPr>
          <w:rFonts w:ascii="Times New Roman" w:hAnsi="Times New Roman"/>
          <w:i/>
          <w:iCs/>
          <w:lang w:val="en-GB"/>
        </w:rPr>
        <w:t xml:space="preserve">, </w:t>
      </w:r>
      <w:r w:rsidRPr="004D25D9">
        <w:rPr>
          <w:rFonts w:ascii="Times New Roman" w:hAnsi="Times New Roman"/>
          <w:lang w:val="en-GB"/>
        </w:rPr>
        <w:t xml:space="preserve">525, </w:t>
      </w:r>
      <w:r w:rsidRPr="004D25D9">
        <w:rPr>
          <w:rFonts w:ascii="Times New Roman" w:hAnsi="Times New Roman"/>
          <w:i/>
          <w:iCs/>
          <w:lang w:val="en-GB"/>
        </w:rPr>
        <w:t xml:space="preserve">SEH </w:t>
      </w:r>
      <w:r w:rsidRPr="004D25D9">
        <w:rPr>
          <w:rFonts w:ascii="Times New Roman" w:hAnsi="Times New Roman"/>
          <w:lang w:val="en-GB"/>
        </w:rPr>
        <w:t>VII, 42: “</w:t>
      </w:r>
      <w:proofErr w:type="spellStart"/>
      <w:r w:rsidRPr="004D25D9">
        <w:rPr>
          <w:rFonts w:ascii="Times New Roman" w:hAnsi="Times New Roman"/>
          <w:lang w:val="en-GB"/>
        </w:rPr>
        <w:t>Cyvilyzing</w:t>
      </w:r>
      <w:proofErr w:type="spellEnd"/>
      <w:r w:rsidRPr="004D25D9">
        <w:rPr>
          <w:rFonts w:ascii="Times New Roman" w:hAnsi="Times New Roman"/>
          <w:lang w:val="en-GB"/>
        </w:rPr>
        <w:t xml:space="preserve"> Ireland, </w:t>
      </w:r>
      <w:proofErr w:type="spellStart"/>
      <w:r w:rsidRPr="004D25D9">
        <w:rPr>
          <w:rFonts w:ascii="Times New Roman" w:hAnsi="Times New Roman"/>
          <w:lang w:val="en-GB"/>
        </w:rPr>
        <w:t>furder</w:t>
      </w:r>
      <w:proofErr w:type="spellEnd"/>
      <w:r w:rsidRPr="004D25D9">
        <w:rPr>
          <w:rFonts w:ascii="Times New Roman" w:hAnsi="Times New Roman"/>
          <w:lang w:val="en-GB"/>
        </w:rPr>
        <w:t xml:space="preserve"> </w:t>
      </w:r>
      <w:proofErr w:type="spellStart"/>
      <w:r w:rsidRPr="004D25D9">
        <w:rPr>
          <w:rFonts w:ascii="Times New Roman" w:hAnsi="Times New Roman"/>
          <w:lang w:val="en-GB"/>
        </w:rPr>
        <w:t>coloniz</w:t>
      </w:r>
      <w:proofErr w:type="spellEnd"/>
      <w:r w:rsidRPr="004D25D9">
        <w:rPr>
          <w:rFonts w:ascii="Times New Roman" w:hAnsi="Times New Roman"/>
          <w:lang w:val="en-GB"/>
        </w:rPr>
        <w:t xml:space="preserve">. yᵉ wild of </w:t>
      </w:r>
      <w:proofErr w:type="spellStart"/>
      <w:r w:rsidRPr="004D25D9">
        <w:rPr>
          <w:rFonts w:ascii="Times New Roman" w:hAnsi="Times New Roman"/>
          <w:lang w:val="en-GB"/>
        </w:rPr>
        <w:t>Scotl</w:t>
      </w:r>
      <w:proofErr w:type="spellEnd"/>
      <w:r w:rsidRPr="004D25D9">
        <w:rPr>
          <w:rFonts w:ascii="Times New Roman" w:hAnsi="Times New Roman"/>
          <w:lang w:val="en-GB"/>
        </w:rPr>
        <w:t>. Annexing yᵉ Lowe Countries.”</w:t>
      </w:r>
    </w:p>
  </w:footnote>
  <w:footnote w:id="97">
    <w:p w14:paraId="42D1B0B6" w14:textId="07C9B2C0" w:rsidR="00B83D63" w:rsidRPr="004D25D9" w:rsidRDefault="00B83D63" w:rsidP="00580F87">
      <w:pPr>
        <w:pStyle w:val="FootnoteText"/>
        <w:rPr>
          <w:rFonts w:ascii="Times New Roman" w:hAnsi="Times New Roman"/>
          <w:lang w:val="nn-NO"/>
        </w:rPr>
      </w:pPr>
      <w:r w:rsidRPr="004D25D9">
        <w:rPr>
          <w:rStyle w:val="FootnoteReference"/>
          <w:rFonts w:ascii="Times New Roman" w:hAnsi="Times New Roman"/>
        </w:rPr>
        <w:footnoteRef/>
      </w:r>
      <w:r w:rsidRPr="004D25D9">
        <w:rPr>
          <w:rFonts w:ascii="Times New Roman" w:hAnsi="Times New Roman"/>
          <w:lang w:val="nn-NO"/>
        </w:rPr>
        <w:t xml:space="preserve"> </w:t>
      </w:r>
      <w:r w:rsidRPr="004D25D9">
        <w:rPr>
          <w:rFonts w:ascii="Times New Roman" w:hAnsi="Times New Roman"/>
          <w:i/>
          <w:iCs/>
          <w:lang w:val="nn-NO"/>
        </w:rPr>
        <w:t>LL</w:t>
      </w:r>
      <w:r w:rsidRPr="004D25D9">
        <w:rPr>
          <w:rFonts w:ascii="Times New Roman" w:hAnsi="Times New Roman"/>
          <w:lang w:val="nn-NO"/>
        </w:rPr>
        <w:t xml:space="preserve"> IV, 113-115.</w:t>
      </w:r>
    </w:p>
  </w:footnote>
  <w:footnote w:id="98">
    <w:p w14:paraId="017500AD" w14:textId="437245EC" w:rsidR="00B83D63" w:rsidRPr="004D25D9" w:rsidRDefault="00B83D63" w:rsidP="00580F87">
      <w:pPr>
        <w:spacing w:after="0" w:line="240" w:lineRule="auto"/>
        <w:rPr>
          <w:rFonts w:ascii="Times New Roman" w:hAnsi="Times New Roman" w:cs="Times New Roman"/>
          <w:sz w:val="20"/>
          <w:szCs w:val="20"/>
        </w:rPr>
      </w:pPr>
      <w:r w:rsidRPr="004D25D9">
        <w:rPr>
          <w:rStyle w:val="FootnoteReference"/>
          <w:rFonts w:ascii="Times New Roman" w:hAnsi="Times New Roman"/>
          <w:sz w:val="20"/>
          <w:szCs w:val="20"/>
        </w:rPr>
        <w:footnoteRef/>
      </w:r>
      <w:r w:rsidRPr="004D25D9">
        <w:rPr>
          <w:rFonts w:ascii="Times New Roman" w:hAnsi="Times New Roman" w:cs="Times New Roman"/>
          <w:sz w:val="20"/>
          <w:szCs w:val="20"/>
          <w:lang w:val="nn-NO"/>
        </w:rPr>
        <w:t xml:space="preserve"> </w:t>
      </w:r>
      <w:r w:rsidRPr="004D25D9">
        <w:rPr>
          <w:rFonts w:ascii="Times New Roman" w:hAnsi="Times New Roman" w:cs="Times New Roman"/>
          <w:i/>
          <w:iCs/>
          <w:sz w:val="20"/>
          <w:szCs w:val="20"/>
          <w:lang w:val="nn-NO"/>
        </w:rPr>
        <w:t>LL</w:t>
      </w:r>
      <w:r w:rsidRPr="004D25D9">
        <w:rPr>
          <w:rFonts w:ascii="Times New Roman" w:hAnsi="Times New Roman" w:cs="Times New Roman"/>
          <w:sz w:val="20"/>
          <w:szCs w:val="20"/>
          <w:lang w:val="nn-NO"/>
        </w:rPr>
        <w:t xml:space="preserve"> IV, 114. </w:t>
      </w:r>
    </w:p>
  </w:footnote>
  <w:footnote w:id="99">
    <w:p w14:paraId="00A79610" w14:textId="3E0B0D38" w:rsidR="00B83D63" w:rsidRPr="0011611D" w:rsidRDefault="00B83D63" w:rsidP="00580F87">
      <w:pPr>
        <w:pStyle w:val="FootnoteText"/>
        <w:rPr>
          <w:rFonts w:ascii="Times New Roman" w:hAnsi="Times New Roman"/>
          <w:lang w:val="it-IT"/>
        </w:rPr>
      </w:pPr>
      <w:r w:rsidRPr="00405D32">
        <w:rPr>
          <w:rStyle w:val="FootnoteReference"/>
          <w:rFonts w:ascii="Times New Roman" w:hAnsi="Times New Roman"/>
        </w:rPr>
        <w:footnoteRef/>
      </w:r>
      <w:r w:rsidRPr="0011611D">
        <w:rPr>
          <w:rFonts w:ascii="Times New Roman" w:hAnsi="Times New Roman"/>
          <w:lang w:val="it-IT"/>
        </w:rPr>
        <w:t xml:space="preserve"> Compare </w:t>
      </w:r>
      <w:r w:rsidRPr="0011611D">
        <w:rPr>
          <w:rFonts w:ascii="Times New Roman" w:hAnsi="Times New Roman"/>
          <w:i/>
          <w:lang w:val="it-IT"/>
        </w:rPr>
        <w:t xml:space="preserve">SEH </w:t>
      </w:r>
      <w:r w:rsidRPr="0011611D">
        <w:rPr>
          <w:rFonts w:ascii="Times New Roman" w:hAnsi="Times New Roman"/>
          <w:lang w:val="it-IT"/>
        </w:rPr>
        <w:t>VII, 661.</w:t>
      </w:r>
    </w:p>
  </w:footnote>
  <w:footnote w:id="100">
    <w:p w14:paraId="3834938B" w14:textId="1468F611" w:rsidR="00B83D63" w:rsidRPr="004D25D9" w:rsidRDefault="00B83D63" w:rsidP="00580F87">
      <w:pPr>
        <w:spacing w:after="0" w:line="240" w:lineRule="auto"/>
        <w:outlineLvl w:val="2"/>
        <w:rPr>
          <w:rFonts w:ascii="Times New Roman" w:hAnsi="Times New Roman" w:cs="Times New Roman"/>
          <w:sz w:val="20"/>
          <w:szCs w:val="20"/>
        </w:rPr>
      </w:pPr>
      <w:r w:rsidRPr="004D25D9">
        <w:rPr>
          <w:rStyle w:val="FootnoteReference"/>
          <w:rFonts w:ascii="Times New Roman" w:hAnsi="Times New Roman"/>
          <w:sz w:val="20"/>
          <w:szCs w:val="20"/>
        </w:rPr>
        <w:footnoteRef/>
      </w:r>
      <w:r w:rsidRPr="0011611D">
        <w:rPr>
          <w:rFonts w:ascii="Times New Roman" w:hAnsi="Times New Roman" w:cs="Times New Roman"/>
          <w:sz w:val="20"/>
          <w:szCs w:val="20"/>
          <w:lang w:val="it-IT"/>
        </w:rPr>
        <w:t xml:space="preserve"> </w:t>
      </w:r>
      <w:r w:rsidRPr="0011611D">
        <w:rPr>
          <w:rFonts w:ascii="Times New Roman" w:hAnsi="Times New Roman" w:cs="Times New Roman"/>
          <w:i/>
          <w:iCs/>
          <w:sz w:val="20"/>
          <w:szCs w:val="20"/>
          <w:lang w:val="it-IT"/>
        </w:rPr>
        <w:t>LL</w:t>
      </w:r>
      <w:r w:rsidRPr="0011611D">
        <w:rPr>
          <w:rFonts w:ascii="Times New Roman" w:hAnsi="Times New Roman" w:cs="Times New Roman"/>
          <w:sz w:val="20"/>
          <w:szCs w:val="20"/>
          <w:lang w:val="it-IT"/>
        </w:rPr>
        <w:t xml:space="preserve"> IV, 125. </w:t>
      </w:r>
      <w:r w:rsidRPr="004D25D9">
        <w:rPr>
          <w:rFonts w:ascii="Times New Roman" w:hAnsi="Times New Roman" w:cs="Times New Roman"/>
          <w:sz w:val="20"/>
          <w:szCs w:val="20"/>
        </w:rPr>
        <w:t xml:space="preserve">See also </w:t>
      </w:r>
      <w:r w:rsidRPr="004D25D9">
        <w:rPr>
          <w:rFonts w:ascii="Times New Roman" w:eastAsia="Times New Roman" w:hAnsi="Times New Roman" w:cs="Times New Roman"/>
          <w:i/>
          <w:iCs/>
          <w:sz w:val="20"/>
          <w:szCs w:val="20"/>
          <w:lang w:eastAsia="en-GB"/>
        </w:rPr>
        <w:t>OED</w:t>
      </w:r>
      <w:r w:rsidRPr="004D25D9">
        <w:rPr>
          <w:rFonts w:ascii="Times New Roman" w:eastAsia="Times New Roman" w:hAnsi="Times New Roman" w:cs="Times New Roman"/>
          <w:sz w:val="20"/>
          <w:szCs w:val="20"/>
          <w:lang w:eastAsia="en-GB"/>
        </w:rPr>
        <w:t xml:space="preserve">, “hind, </w:t>
      </w:r>
      <w:r w:rsidRPr="004D25D9">
        <w:rPr>
          <w:rFonts w:ascii="Times New Roman" w:eastAsia="Times New Roman" w:hAnsi="Times New Roman" w:cs="Times New Roman"/>
          <w:i/>
          <w:iCs/>
          <w:sz w:val="20"/>
          <w:szCs w:val="20"/>
          <w:lang w:eastAsia="en-GB"/>
        </w:rPr>
        <w:t>n</w:t>
      </w:r>
      <w:r w:rsidRPr="004D25D9">
        <w:rPr>
          <w:rFonts w:ascii="Times New Roman" w:eastAsia="Times New Roman" w:hAnsi="Times New Roman" w:cs="Times New Roman"/>
          <w:sz w:val="20"/>
          <w:szCs w:val="20"/>
          <w:lang w:eastAsia="en-GB"/>
        </w:rPr>
        <w:t>2”</w:t>
      </w:r>
      <w:r>
        <w:rPr>
          <w:rFonts w:ascii="Times New Roman" w:eastAsia="Times New Roman" w:hAnsi="Times New Roman" w:cs="Times New Roman"/>
          <w:sz w:val="20"/>
          <w:szCs w:val="20"/>
          <w:lang w:eastAsia="en-GB"/>
        </w:rPr>
        <w:t>.</w:t>
      </w:r>
    </w:p>
  </w:footnote>
  <w:footnote w:id="101">
    <w:p w14:paraId="540D1585" w14:textId="5AB5C430"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OFB </w:t>
      </w:r>
      <w:r w:rsidRPr="004D25D9">
        <w:rPr>
          <w:rFonts w:ascii="Times New Roman" w:hAnsi="Times New Roman"/>
        </w:rPr>
        <w:t>XV, “Of Plantations,” 106, lines 23-26</w:t>
      </w:r>
      <w:r>
        <w:rPr>
          <w:rFonts w:ascii="Times New Roman" w:hAnsi="Times New Roman"/>
        </w:rPr>
        <w:t>.</w:t>
      </w:r>
    </w:p>
  </w:footnote>
  <w:footnote w:id="102">
    <w:p w14:paraId="14FF6EA1" w14:textId="71B632D8"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LL</w:t>
      </w:r>
      <w:r w:rsidRPr="004D25D9">
        <w:rPr>
          <w:rFonts w:ascii="Times New Roman" w:hAnsi="Times New Roman"/>
        </w:rPr>
        <w:t xml:space="preserve"> IV, “Certain Considerations touching the Plantation in Ireland,” 120</w:t>
      </w:r>
      <w:r>
        <w:rPr>
          <w:rFonts w:ascii="Times New Roman" w:hAnsi="Times New Roman"/>
        </w:rPr>
        <w:t>.</w:t>
      </w:r>
    </w:p>
  </w:footnote>
  <w:footnote w:id="103">
    <w:p w14:paraId="2643CBC4" w14:textId="5089F4DA"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LL</w:t>
      </w:r>
      <w:r w:rsidRPr="004D25D9">
        <w:rPr>
          <w:rFonts w:ascii="Times New Roman" w:hAnsi="Times New Roman"/>
        </w:rPr>
        <w:t xml:space="preserve"> IV, 117.</w:t>
      </w:r>
    </w:p>
  </w:footnote>
  <w:footnote w:id="104">
    <w:p w14:paraId="11ECD74D" w14:textId="57488841"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See further Andrew Fitzmaurice, </w:t>
      </w:r>
      <w:r w:rsidRPr="004D25D9">
        <w:rPr>
          <w:rFonts w:ascii="Times New Roman" w:hAnsi="Times New Roman"/>
          <w:i/>
        </w:rPr>
        <w:t xml:space="preserve">Sovereignty, Property, and Empire, 1500-2000 </w:t>
      </w:r>
      <w:r w:rsidRPr="004D25D9">
        <w:rPr>
          <w:rFonts w:ascii="Times New Roman" w:hAnsi="Times New Roman"/>
        </w:rPr>
        <w:t xml:space="preserve">(Cambridge: Cambridge University Press, 2014), 256-270; Ken MacMillan, </w:t>
      </w:r>
      <w:r w:rsidRPr="004D25D9">
        <w:rPr>
          <w:rFonts w:ascii="Times New Roman" w:hAnsi="Times New Roman"/>
          <w:i/>
        </w:rPr>
        <w:t>Sovereignty and Possession</w:t>
      </w:r>
      <w:r w:rsidRPr="004D25D9">
        <w:rPr>
          <w:rFonts w:ascii="Times New Roman" w:hAnsi="Times New Roman"/>
        </w:rPr>
        <w:t xml:space="preserve">, 9-12; 61-65. </w:t>
      </w:r>
    </w:p>
  </w:footnote>
  <w:footnote w:id="105">
    <w:p w14:paraId="460C682F" w14:textId="2783EBD0" w:rsidR="00B83D63" w:rsidRPr="00C3785F"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OFB </w:t>
      </w:r>
      <w:r w:rsidRPr="004D25D9">
        <w:rPr>
          <w:rFonts w:ascii="Times New Roman" w:hAnsi="Times New Roman"/>
        </w:rPr>
        <w:t xml:space="preserve">XV, “Of Plantations,” 106, lines 7-9: “I like a </w:t>
      </w:r>
      <w:r w:rsidRPr="004D25D9">
        <w:rPr>
          <w:rFonts w:ascii="Times New Roman" w:hAnsi="Times New Roman"/>
          <w:i/>
          <w:iCs/>
        </w:rPr>
        <w:t xml:space="preserve">Plantation </w:t>
      </w:r>
      <w:r w:rsidRPr="004D25D9">
        <w:rPr>
          <w:rFonts w:ascii="Times New Roman" w:hAnsi="Times New Roman"/>
        </w:rPr>
        <w:t xml:space="preserve">in a Pure </w:t>
      </w:r>
      <w:proofErr w:type="spellStart"/>
      <w:r w:rsidRPr="004D25D9">
        <w:rPr>
          <w:rFonts w:ascii="Times New Roman" w:hAnsi="Times New Roman"/>
        </w:rPr>
        <w:t>Soile</w:t>
      </w:r>
      <w:proofErr w:type="spellEnd"/>
      <w:r w:rsidRPr="004D25D9">
        <w:rPr>
          <w:rFonts w:ascii="Times New Roman" w:hAnsi="Times New Roman"/>
        </w:rPr>
        <w:t xml:space="preserve">; that is, where People are not </w:t>
      </w:r>
      <w:proofErr w:type="spellStart"/>
      <w:r w:rsidRPr="004D25D9">
        <w:rPr>
          <w:rFonts w:ascii="Times New Roman" w:hAnsi="Times New Roman"/>
          <w:i/>
          <w:iCs/>
        </w:rPr>
        <w:t>Displanted</w:t>
      </w:r>
      <w:proofErr w:type="spellEnd"/>
      <w:r w:rsidRPr="004D25D9">
        <w:rPr>
          <w:rFonts w:ascii="Times New Roman" w:hAnsi="Times New Roman"/>
        </w:rPr>
        <w:t xml:space="preserve">, to the end, to </w:t>
      </w:r>
      <w:r w:rsidRPr="004D25D9">
        <w:rPr>
          <w:rFonts w:ascii="Times New Roman" w:hAnsi="Times New Roman"/>
          <w:i/>
          <w:iCs/>
        </w:rPr>
        <w:t xml:space="preserve">Plant </w:t>
      </w:r>
      <w:r w:rsidRPr="004D25D9">
        <w:rPr>
          <w:rFonts w:ascii="Times New Roman" w:hAnsi="Times New Roman"/>
        </w:rPr>
        <w:t xml:space="preserve">in Others.  For else, it is rather an Extirpation, then a </w:t>
      </w:r>
      <w:r w:rsidRPr="004D25D9">
        <w:rPr>
          <w:rFonts w:ascii="Times New Roman" w:hAnsi="Times New Roman"/>
          <w:i/>
          <w:iCs/>
        </w:rPr>
        <w:t>Plantation</w:t>
      </w:r>
      <w:r w:rsidRPr="004D25D9">
        <w:rPr>
          <w:rFonts w:ascii="Times New Roman" w:hAnsi="Times New Roman"/>
        </w:rPr>
        <w:t>.”</w:t>
      </w:r>
      <w:r>
        <w:rPr>
          <w:rFonts w:ascii="Times New Roman" w:hAnsi="Times New Roman"/>
        </w:rPr>
        <w:t xml:space="preserve">  On the views of Bacon’s predecessors writing on the juridical status of Native Americans, see </w:t>
      </w:r>
      <w:proofErr w:type="spellStart"/>
      <w:r>
        <w:rPr>
          <w:rFonts w:ascii="Times New Roman" w:hAnsi="Times New Roman"/>
        </w:rPr>
        <w:t>Daragh</w:t>
      </w:r>
      <w:proofErr w:type="spellEnd"/>
      <w:r>
        <w:rPr>
          <w:rFonts w:ascii="Times New Roman" w:hAnsi="Times New Roman"/>
        </w:rPr>
        <w:t xml:space="preserve"> Grant, “Francisco de Vitoria and </w:t>
      </w:r>
      <w:proofErr w:type="spellStart"/>
      <w:r>
        <w:rPr>
          <w:rFonts w:ascii="Times New Roman" w:hAnsi="Times New Roman"/>
        </w:rPr>
        <w:t>Alberico</w:t>
      </w:r>
      <w:proofErr w:type="spellEnd"/>
      <w:r>
        <w:rPr>
          <w:rFonts w:ascii="Times New Roman" w:hAnsi="Times New Roman"/>
        </w:rPr>
        <w:t xml:space="preserve"> </w:t>
      </w:r>
      <w:proofErr w:type="spellStart"/>
      <w:r>
        <w:rPr>
          <w:rFonts w:ascii="Times New Roman" w:hAnsi="Times New Roman"/>
        </w:rPr>
        <w:t>Gentili</w:t>
      </w:r>
      <w:proofErr w:type="spellEnd"/>
      <w:r>
        <w:rPr>
          <w:rFonts w:ascii="Times New Roman" w:hAnsi="Times New Roman"/>
        </w:rPr>
        <w:t xml:space="preserve"> on the Juridical Status of Native American Polities,” </w:t>
      </w:r>
      <w:r>
        <w:rPr>
          <w:rFonts w:ascii="Times New Roman" w:hAnsi="Times New Roman"/>
          <w:i/>
          <w:iCs/>
        </w:rPr>
        <w:t xml:space="preserve">Renaissance Quarterly </w:t>
      </w:r>
      <w:r>
        <w:rPr>
          <w:rFonts w:ascii="Times New Roman" w:hAnsi="Times New Roman"/>
        </w:rPr>
        <w:t xml:space="preserve">72:3 (Fall 2019), 910-952.  On early colonial treaties with Native American </w:t>
      </w:r>
      <w:proofErr w:type="spellStart"/>
      <w:r>
        <w:rPr>
          <w:rFonts w:ascii="Times New Roman" w:hAnsi="Times New Roman"/>
        </w:rPr>
        <w:t>polities</w:t>
      </w:r>
      <w:proofErr w:type="spellEnd"/>
      <w:r>
        <w:rPr>
          <w:rFonts w:ascii="Times New Roman" w:hAnsi="Times New Roman"/>
        </w:rPr>
        <w:t xml:space="preserve">, see </w:t>
      </w:r>
      <w:proofErr w:type="spellStart"/>
      <w:r>
        <w:rPr>
          <w:rFonts w:ascii="Times New Roman" w:hAnsi="Times New Roman"/>
        </w:rPr>
        <w:t>Daragh</w:t>
      </w:r>
      <w:proofErr w:type="spellEnd"/>
      <w:r>
        <w:rPr>
          <w:rFonts w:ascii="Times New Roman" w:hAnsi="Times New Roman"/>
        </w:rPr>
        <w:t xml:space="preserve"> Grant, “The Treaty of Hartford (1638): Reconsidering Jurisdiction in Southern New England,” </w:t>
      </w:r>
      <w:r>
        <w:rPr>
          <w:rFonts w:ascii="Times New Roman" w:hAnsi="Times New Roman"/>
          <w:i/>
          <w:iCs/>
        </w:rPr>
        <w:t xml:space="preserve">William and Mary Quarterly </w:t>
      </w:r>
      <w:r>
        <w:rPr>
          <w:rFonts w:ascii="Times New Roman" w:hAnsi="Times New Roman"/>
        </w:rPr>
        <w:t>72:3 (July 2015), 461-498.</w:t>
      </w:r>
    </w:p>
  </w:footnote>
  <w:footnote w:id="106">
    <w:p w14:paraId="6505AA4A" w14:textId="56DE3B98" w:rsidR="00B83D63" w:rsidRPr="004D25D9" w:rsidRDefault="00B83D63" w:rsidP="00580F87">
      <w:pPr>
        <w:spacing w:after="0" w:line="240" w:lineRule="auto"/>
        <w:rPr>
          <w:rFonts w:ascii="Times New Roman" w:hAnsi="Times New Roman" w:cs="Times New Roman"/>
          <w:sz w:val="20"/>
          <w:szCs w:val="20"/>
          <w:lang w:val="en-GB"/>
        </w:rPr>
      </w:pPr>
      <w:r w:rsidRPr="004D25D9">
        <w:rPr>
          <w:rStyle w:val="FootnoteReference"/>
          <w:rFonts w:ascii="Times New Roman" w:hAnsi="Times New Roman"/>
          <w:sz w:val="20"/>
          <w:szCs w:val="20"/>
        </w:rPr>
        <w:footnoteRef/>
      </w:r>
      <w:r w:rsidRPr="004D25D9">
        <w:rPr>
          <w:rFonts w:ascii="Times New Roman" w:hAnsi="Times New Roman" w:cs="Times New Roman"/>
          <w:sz w:val="20"/>
          <w:szCs w:val="20"/>
          <w:lang w:val="en-GB"/>
        </w:rPr>
        <w:t xml:space="preserve"> </w:t>
      </w:r>
      <w:r w:rsidRPr="004D25D9">
        <w:rPr>
          <w:rFonts w:ascii="Times New Roman" w:hAnsi="Times New Roman" w:cs="Times New Roman"/>
          <w:i/>
          <w:iCs/>
          <w:sz w:val="20"/>
          <w:szCs w:val="20"/>
          <w:lang w:val="en-GB"/>
        </w:rPr>
        <w:t xml:space="preserve">LL </w:t>
      </w:r>
      <w:r w:rsidRPr="004D25D9">
        <w:rPr>
          <w:rFonts w:ascii="Times New Roman" w:hAnsi="Times New Roman" w:cs="Times New Roman"/>
          <w:sz w:val="20"/>
          <w:szCs w:val="20"/>
          <w:lang w:val="en-GB"/>
        </w:rPr>
        <w:t xml:space="preserve">IV, 116-126.  </w:t>
      </w:r>
      <w:r>
        <w:rPr>
          <w:rFonts w:ascii="Times New Roman" w:hAnsi="Times New Roman" w:cs="Times New Roman"/>
          <w:sz w:val="20"/>
          <w:szCs w:val="20"/>
          <w:lang w:val="en-GB"/>
        </w:rPr>
        <w:t xml:space="preserve">Cf. </w:t>
      </w:r>
      <w:r w:rsidRPr="004D25D9">
        <w:rPr>
          <w:rFonts w:ascii="Times New Roman" w:hAnsi="Times New Roman" w:cs="Times New Roman"/>
          <w:sz w:val="20"/>
          <w:szCs w:val="20"/>
        </w:rPr>
        <w:t xml:space="preserve">Irving, </w:t>
      </w:r>
      <w:r w:rsidRPr="004D25D9">
        <w:rPr>
          <w:rFonts w:ascii="Times New Roman" w:hAnsi="Times New Roman" w:cs="Times New Roman"/>
          <w:i/>
          <w:iCs/>
          <w:sz w:val="20"/>
          <w:szCs w:val="20"/>
        </w:rPr>
        <w:t>Natural Science</w:t>
      </w:r>
      <w:r w:rsidRPr="004D25D9">
        <w:rPr>
          <w:rFonts w:ascii="Times New Roman" w:hAnsi="Times New Roman" w:cs="Times New Roman"/>
          <w:sz w:val="20"/>
          <w:szCs w:val="20"/>
        </w:rPr>
        <w:t xml:space="preserve">, 9.  However, see </w:t>
      </w:r>
      <w:r w:rsidRPr="004D25D9">
        <w:rPr>
          <w:rFonts w:ascii="Times New Roman" w:hAnsi="Times New Roman" w:cs="Times New Roman"/>
          <w:i/>
          <w:iCs/>
          <w:sz w:val="20"/>
          <w:szCs w:val="20"/>
        </w:rPr>
        <w:t xml:space="preserve">OFB </w:t>
      </w:r>
      <w:r w:rsidRPr="004D25D9">
        <w:rPr>
          <w:rFonts w:ascii="Times New Roman" w:hAnsi="Times New Roman" w:cs="Times New Roman"/>
          <w:sz w:val="20"/>
          <w:szCs w:val="20"/>
        </w:rPr>
        <w:t xml:space="preserve">VIII, 205; </w:t>
      </w:r>
      <w:r w:rsidRPr="004D25D9">
        <w:rPr>
          <w:rFonts w:ascii="Times New Roman" w:hAnsi="Times New Roman" w:cs="Times New Roman"/>
          <w:i/>
          <w:iCs/>
          <w:sz w:val="20"/>
          <w:szCs w:val="20"/>
        </w:rPr>
        <w:t xml:space="preserve">SEH </w:t>
      </w:r>
      <w:r w:rsidRPr="004D25D9">
        <w:rPr>
          <w:rFonts w:ascii="Times New Roman" w:hAnsi="Times New Roman" w:cs="Times New Roman"/>
          <w:sz w:val="20"/>
          <w:szCs w:val="20"/>
        </w:rPr>
        <w:t>VII, 34.</w:t>
      </w:r>
    </w:p>
  </w:footnote>
  <w:footnote w:id="107">
    <w:p w14:paraId="2562C335" w14:textId="0FEB7358" w:rsidR="00B83D63" w:rsidRPr="009F3B35" w:rsidRDefault="00B83D63" w:rsidP="00580F87">
      <w:pPr>
        <w:pStyle w:val="FootnoteText"/>
        <w:rPr>
          <w:rFonts w:ascii="Times New Roman" w:hAnsi="Times New Roman"/>
        </w:rPr>
      </w:pPr>
      <w:r w:rsidRPr="009F3B35">
        <w:rPr>
          <w:rStyle w:val="FootnoteReference"/>
          <w:rFonts w:ascii="Times New Roman" w:hAnsi="Times New Roman"/>
        </w:rPr>
        <w:footnoteRef/>
      </w:r>
      <w:r w:rsidRPr="009F3B35">
        <w:rPr>
          <w:rFonts w:ascii="Times New Roman" w:hAnsi="Times New Roman"/>
        </w:rPr>
        <w:t xml:space="preserve"> </w:t>
      </w:r>
      <w:r>
        <w:rPr>
          <w:rFonts w:ascii="Times New Roman" w:hAnsi="Times New Roman"/>
        </w:rPr>
        <w:t xml:space="preserve">This textual repetition is noted in T. van </w:t>
      </w:r>
      <w:proofErr w:type="spellStart"/>
      <w:r>
        <w:rPr>
          <w:rFonts w:ascii="Times New Roman" w:hAnsi="Times New Roman"/>
        </w:rPr>
        <w:t>Malssen</w:t>
      </w:r>
      <w:proofErr w:type="spellEnd"/>
      <w:r>
        <w:rPr>
          <w:rFonts w:ascii="Times New Roman" w:hAnsi="Times New Roman"/>
        </w:rPr>
        <w:t xml:space="preserve">, </w:t>
      </w:r>
      <w:r>
        <w:rPr>
          <w:rFonts w:ascii="Times New Roman" w:hAnsi="Times New Roman"/>
          <w:i/>
        </w:rPr>
        <w:t>The Political Philosophy of Francis Bacon</w:t>
      </w:r>
      <w:r>
        <w:rPr>
          <w:rFonts w:ascii="Times New Roman" w:hAnsi="Times New Roman"/>
        </w:rPr>
        <w:t>, 269n102.</w:t>
      </w:r>
    </w:p>
  </w:footnote>
  <w:footnote w:id="108">
    <w:p w14:paraId="58E7986D" w14:textId="6BC22BAC" w:rsidR="00B83D63" w:rsidRPr="001954B4" w:rsidRDefault="00B83D63" w:rsidP="00580F87">
      <w:pPr>
        <w:pStyle w:val="FootnoteText"/>
        <w:rPr>
          <w:rFonts w:ascii="Times New Roman" w:hAnsi="Times New Roman"/>
          <w:lang w:val="nn-NO"/>
        </w:rPr>
      </w:pPr>
      <w:r w:rsidRPr="001954B4">
        <w:rPr>
          <w:rStyle w:val="FootnoteReference"/>
          <w:rFonts w:ascii="Times New Roman" w:hAnsi="Times New Roman"/>
        </w:rPr>
        <w:footnoteRef/>
      </w:r>
      <w:r w:rsidRPr="001954B4">
        <w:rPr>
          <w:rFonts w:ascii="Times New Roman" w:hAnsi="Times New Roman"/>
          <w:lang w:val="nn-NO"/>
        </w:rPr>
        <w:t xml:space="preserve"> </w:t>
      </w:r>
      <w:r w:rsidRPr="001954B4">
        <w:rPr>
          <w:rFonts w:ascii="Times New Roman" w:hAnsi="Times New Roman"/>
          <w:i/>
          <w:iCs/>
          <w:lang w:val="nn-NO"/>
        </w:rPr>
        <w:t xml:space="preserve">LL </w:t>
      </w:r>
      <w:r w:rsidRPr="001954B4">
        <w:rPr>
          <w:rFonts w:ascii="Times New Roman" w:hAnsi="Times New Roman"/>
          <w:lang w:val="nn-NO"/>
        </w:rPr>
        <w:t>IV, 117-118.</w:t>
      </w:r>
    </w:p>
  </w:footnote>
  <w:footnote w:id="109">
    <w:p w14:paraId="47CF7513" w14:textId="788C90B7" w:rsidR="00B83D63" w:rsidRPr="00DC2AB0" w:rsidRDefault="00B83D63" w:rsidP="00580F87">
      <w:pPr>
        <w:pStyle w:val="FootnoteText"/>
        <w:rPr>
          <w:rFonts w:ascii="Times New Roman" w:hAnsi="Times New Roman"/>
          <w:lang w:val="en-GB"/>
        </w:rPr>
      </w:pPr>
      <w:r w:rsidRPr="001954B4">
        <w:rPr>
          <w:rStyle w:val="FootnoteReference"/>
          <w:rFonts w:ascii="Times New Roman" w:hAnsi="Times New Roman"/>
        </w:rPr>
        <w:footnoteRef/>
      </w:r>
      <w:r w:rsidRPr="001954B4">
        <w:rPr>
          <w:rFonts w:ascii="Times New Roman" w:hAnsi="Times New Roman"/>
          <w:lang w:val="nn-NO"/>
        </w:rPr>
        <w:t xml:space="preserve"> </w:t>
      </w:r>
      <w:r w:rsidRPr="001954B4">
        <w:rPr>
          <w:rFonts w:ascii="Times New Roman" w:hAnsi="Times New Roman"/>
          <w:i/>
          <w:iCs/>
          <w:lang w:val="nn-NO"/>
        </w:rPr>
        <w:t xml:space="preserve">LL </w:t>
      </w:r>
      <w:r w:rsidRPr="001954B4">
        <w:rPr>
          <w:rFonts w:ascii="Times New Roman" w:hAnsi="Times New Roman"/>
          <w:lang w:val="nn-NO"/>
        </w:rPr>
        <w:t xml:space="preserve">IV, 117-118.  </w:t>
      </w:r>
      <w:r w:rsidRPr="001954B4">
        <w:rPr>
          <w:rFonts w:ascii="Times New Roman" w:hAnsi="Times New Roman"/>
          <w:lang w:val="en-GB"/>
        </w:rPr>
        <w:t xml:space="preserve">See also </w:t>
      </w:r>
      <w:r w:rsidRPr="001954B4">
        <w:rPr>
          <w:rFonts w:ascii="Times New Roman" w:hAnsi="Times New Roman"/>
          <w:i/>
          <w:iCs/>
          <w:lang w:val="en-GB"/>
        </w:rPr>
        <w:t>LL</w:t>
      </w:r>
      <w:r w:rsidRPr="001954B4">
        <w:rPr>
          <w:rFonts w:ascii="Times New Roman" w:hAnsi="Times New Roman"/>
          <w:lang w:val="en-GB"/>
        </w:rPr>
        <w:t xml:space="preserve"> III, “A Proclamation drawn for his Majesty’s First Coming in, prepared but not used,” 67-71, at 69</w:t>
      </w:r>
      <w:r>
        <w:rPr>
          <w:rFonts w:ascii="Times New Roman" w:hAnsi="Times New Roman"/>
          <w:lang w:val="en-GB"/>
        </w:rPr>
        <w:t xml:space="preserve">; </w:t>
      </w:r>
      <w:r w:rsidRPr="001954B4">
        <w:rPr>
          <w:rFonts w:ascii="Times New Roman" w:hAnsi="Times New Roman"/>
          <w:i/>
          <w:iCs/>
          <w:lang w:val="en-GB"/>
        </w:rPr>
        <w:t>SEH</w:t>
      </w:r>
      <w:r w:rsidRPr="001954B4">
        <w:rPr>
          <w:rFonts w:ascii="Times New Roman" w:hAnsi="Times New Roman"/>
          <w:lang w:val="en-GB"/>
        </w:rPr>
        <w:t xml:space="preserve"> III, </w:t>
      </w:r>
      <w:proofErr w:type="spellStart"/>
      <w:r w:rsidRPr="001954B4">
        <w:rPr>
          <w:rFonts w:ascii="Times New Roman" w:hAnsi="Times New Roman"/>
          <w:i/>
          <w:iCs/>
          <w:lang w:val="en-GB"/>
        </w:rPr>
        <w:t>Commentarius</w:t>
      </w:r>
      <w:proofErr w:type="spellEnd"/>
      <w:r w:rsidRPr="001954B4">
        <w:rPr>
          <w:rFonts w:ascii="Times New Roman" w:hAnsi="Times New Roman"/>
          <w:i/>
          <w:iCs/>
          <w:lang w:val="en-GB"/>
        </w:rPr>
        <w:t xml:space="preserve"> </w:t>
      </w:r>
      <w:proofErr w:type="spellStart"/>
      <w:r w:rsidRPr="001954B4">
        <w:rPr>
          <w:rFonts w:ascii="Times New Roman" w:hAnsi="Times New Roman"/>
          <w:i/>
          <w:iCs/>
          <w:lang w:val="en-GB"/>
        </w:rPr>
        <w:t>Solutus</w:t>
      </w:r>
      <w:proofErr w:type="spellEnd"/>
      <w:r w:rsidRPr="001954B4">
        <w:rPr>
          <w:rFonts w:ascii="Times New Roman" w:hAnsi="Times New Roman"/>
          <w:i/>
          <w:iCs/>
          <w:lang w:val="en-GB"/>
        </w:rPr>
        <w:t xml:space="preserve">, </w:t>
      </w:r>
      <w:r w:rsidRPr="001954B4">
        <w:rPr>
          <w:rFonts w:ascii="Times New Roman" w:hAnsi="Times New Roman"/>
          <w:lang w:val="en-GB"/>
        </w:rPr>
        <w:t xml:space="preserve">525, </w:t>
      </w:r>
      <w:r w:rsidRPr="001954B4">
        <w:rPr>
          <w:rFonts w:ascii="Times New Roman" w:hAnsi="Times New Roman"/>
          <w:i/>
          <w:iCs/>
          <w:lang w:val="en-GB"/>
        </w:rPr>
        <w:t xml:space="preserve">SEH </w:t>
      </w:r>
      <w:r w:rsidRPr="001954B4">
        <w:rPr>
          <w:rFonts w:ascii="Times New Roman" w:hAnsi="Times New Roman"/>
          <w:lang w:val="en-GB"/>
        </w:rPr>
        <w:t>VII, 42</w:t>
      </w:r>
      <w:r>
        <w:rPr>
          <w:rFonts w:ascii="Times New Roman" w:hAnsi="Times New Roman"/>
          <w:lang w:val="en-GB"/>
        </w:rPr>
        <w:t>.</w:t>
      </w:r>
      <w:r w:rsidRPr="00DC2AB0">
        <w:rPr>
          <w:rFonts w:ascii="Times New Roman" w:hAnsi="Times New Roman"/>
          <w:lang w:val="en-GB"/>
        </w:rPr>
        <w:t xml:space="preserve"> </w:t>
      </w:r>
    </w:p>
  </w:footnote>
  <w:footnote w:id="110">
    <w:p w14:paraId="7CCB2DD2" w14:textId="6BE85748" w:rsidR="00B83D63" w:rsidRPr="00DC2AB0" w:rsidRDefault="00B83D63" w:rsidP="00580F87">
      <w:pPr>
        <w:pStyle w:val="FootnoteText"/>
        <w:rPr>
          <w:rFonts w:ascii="Times New Roman" w:hAnsi="Times New Roman"/>
          <w:lang w:val="en-GB"/>
        </w:rPr>
      </w:pPr>
      <w:r w:rsidRPr="00DC2AB0">
        <w:rPr>
          <w:rStyle w:val="FootnoteReference"/>
          <w:rFonts w:ascii="Times New Roman" w:hAnsi="Times New Roman"/>
        </w:rPr>
        <w:footnoteRef/>
      </w:r>
      <w:r w:rsidRPr="00DC2AB0">
        <w:rPr>
          <w:rFonts w:ascii="Times New Roman" w:hAnsi="Times New Roman"/>
          <w:lang w:val="en-GB"/>
        </w:rPr>
        <w:t xml:space="preserve"> </w:t>
      </w:r>
      <w:r w:rsidRPr="00DC2AB0">
        <w:rPr>
          <w:rFonts w:ascii="Times New Roman" w:hAnsi="Times New Roman"/>
          <w:i/>
          <w:iCs/>
          <w:lang w:val="en-GB"/>
        </w:rPr>
        <w:t>LL</w:t>
      </w:r>
      <w:r w:rsidRPr="00DC2AB0">
        <w:rPr>
          <w:rFonts w:ascii="Times New Roman" w:hAnsi="Times New Roman"/>
          <w:lang w:val="en-GB"/>
        </w:rPr>
        <w:t xml:space="preserve"> II, 130.</w:t>
      </w:r>
    </w:p>
  </w:footnote>
  <w:footnote w:id="111">
    <w:p w14:paraId="19A9BBEA" w14:textId="53F609A1" w:rsidR="00B83D63" w:rsidRPr="00DC2AB0" w:rsidRDefault="00B83D63" w:rsidP="00580F87">
      <w:pPr>
        <w:pStyle w:val="FootnoteText"/>
        <w:rPr>
          <w:rFonts w:ascii="Times New Roman" w:hAnsi="Times New Roman"/>
          <w:lang w:val="en-GB"/>
        </w:rPr>
      </w:pPr>
      <w:r w:rsidRPr="00DC2AB0">
        <w:rPr>
          <w:rStyle w:val="FootnoteReference"/>
          <w:rFonts w:ascii="Times New Roman" w:hAnsi="Times New Roman"/>
        </w:rPr>
        <w:footnoteRef/>
      </w:r>
      <w:r w:rsidRPr="00DC2AB0">
        <w:rPr>
          <w:rFonts w:ascii="Times New Roman" w:hAnsi="Times New Roman"/>
        </w:rPr>
        <w:t xml:space="preserve"> </w:t>
      </w:r>
      <w:r w:rsidRPr="00DC2AB0">
        <w:rPr>
          <w:rFonts w:ascii="Times New Roman" w:hAnsi="Times New Roman"/>
          <w:i/>
          <w:lang w:val="en-GB"/>
        </w:rPr>
        <w:t>LL</w:t>
      </w:r>
      <w:r w:rsidRPr="00DC2AB0">
        <w:rPr>
          <w:rFonts w:ascii="Times New Roman" w:hAnsi="Times New Roman"/>
          <w:lang w:val="en-GB"/>
        </w:rPr>
        <w:t xml:space="preserve"> III, </w:t>
      </w:r>
      <w:r>
        <w:rPr>
          <w:rFonts w:ascii="Times New Roman" w:hAnsi="Times New Roman"/>
          <w:i/>
          <w:lang w:val="en-GB"/>
        </w:rPr>
        <w:t>Considerations touching the Queen’s service in Ireland</w:t>
      </w:r>
      <w:r>
        <w:rPr>
          <w:rFonts w:ascii="Times New Roman" w:hAnsi="Times New Roman"/>
          <w:lang w:val="en-GB"/>
        </w:rPr>
        <w:t>, 46.</w:t>
      </w:r>
    </w:p>
  </w:footnote>
  <w:footnote w:id="112">
    <w:p w14:paraId="1F9AC5C5" w14:textId="3F534A36" w:rsidR="00B83D63" w:rsidRPr="00DC2AB0" w:rsidRDefault="00B83D63" w:rsidP="00580F87">
      <w:pPr>
        <w:pStyle w:val="FootnoteText"/>
        <w:rPr>
          <w:rFonts w:ascii="Times New Roman" w:hAnsi="Times New Roman"/>
          <w:lang w:val="en-GB"/>
        </w:rPr>
      </w:pPr>
      <w:r w:rsidRPr="00DC2AB0">
        <w:rPr>
          <w:rStyle w:val="FootnoteReference"/>
          <w:rFonts w:ascii="Times New Roman" w:hAnsi="Times New Roman"/>
        </w:rPr>
        <w:footnoteRef/>
      </w:r>
      <w:r w:rsidRPr="00DC2AB0">
        <w:rPr>
          <w:rFonts w:ascii="Times New Roman" w:hAnsi="Times New Roman"/>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Pr>
          <w:rFonts w:ascii="Times New Roman" w:hAnsi="Times New Roman"/>
          <w:lang w:val="en-GB"/>
        </w:rPr>
        <w:t>50.</w:t>
      </w:r>
    </w:p>
  </w:footnote>
  <w:footnote w:id="113">
    <w:p w14:paraId="0FA1CE2B" w14:textId="7733FBF1" w:rsidR="00B83D63" w:rsidRPr="001954B4" w:rsidRDefault="00B83D63" w:rsidP="00580F87">
      <w:pPr>
        <w:pStyle w:val="FootnoteText"/>
        <w:rPr>
          <w:rFonts w:ascii="Times New Roman" w:hAnsi="Times New Roman"/>
        </w:rPr>
      </w:pPr>
      <w:r w:rsidRPr="001954B4">
        <w:rPr>
          <w:rStyle w:val="FootnoteReference"/>
          <w:rFonts w:ascii="Times New Roman" w:hAnsi="Times New Roman"/>
        </w:rPr>
        <w:footnoteRef/>
      </w:r>
      <w:r w:rsidRPr="001954B4">
        <w:rPr>
          <w:rFonts w:ascii="Times New Roman" w:hAnsi="Times New Roman"/>
        </w:rPr>
        <w:t xml:space="preserve"> </w:t>
      </w:r>
      <w:r w:rsidRPr="001954B4">
        <w:rPr>
          <w:rFonts w:ascii="Times New Roman" w:hAnsi="Times New Roman"/>
          <w:i/>
        </w:rPr>
        <w:t>OFB</w:t>
      </w:r>
      <w:r w:rsidRPr="001954B4">
        <w:rPr>
          <w:rFonts w:ascii="Times New Roman" w:hAnsi="Times New Roman"/>
        </w:rPr>
        <w:t xml:space="preserve"> XV, “Of Plantations. XXXIII.” 106, lines 8-9.</w:t>
      </w:r>
    </w:p>
  </w:footnote>
  <w:footnote w:id="114">
    <w:p w14:paraId="4D6EF28E" w14:textId="71D6E832" w:rsidR="00B83D63" w:rsidRPr="001954B4" w:rsidRDefault="00B83D63" w:rsidP="00580F87">
      <w:pPr>
        <w:pStyle w:val="FootnoteText"/>
      </w:pPr>
      <w:r w:rsidRPr="001954B4">
        <w:rPr>
          <w:rStyle w:val="FootnoteReference"/>
          <w:rFonts w:ascii="Times New Roman" w:hAnsi="Times New Roman"/>
        </w:rPr>
        <w:footnoteRef/>
      </w:r>
      <w:r w:rsidRPr="001954B4">
        <w:rPr>
          <w:rFonts w:ascii="Times New Roman" w:hAnsi="Times New Roman"/>
        </w:rPr>
        <w:t xml:space="preserve"> Andrew Fitzmaurice, </w:t>
      </w:r>
      <w:r w:rsidRPr="001954B4">
        <w:rPr>
          <w:rFonts w:ascii="Times New Roman" w:hAnsi="Times New Roman"/>
          <w:i/>
        </w:rPr>
        <w:t xml:space="preserve">Sovereignty, Property, and Empire 1500-2000, </w:t>
      </w:r>
      <w:r w:rsidRPr="001954B4">
        <w:rPr>
          <w:rFonts w:ascii="Times New Roman" w:hAnsi="Times New Roman"/>
        </w:rPr>
        <w:t>1-32, at 1.</w:t>
      </w:r>
    </w:p>
  </w:footnote>
  <w:footnote w:id="115">
    <w:p w14:paraId="345C0E80" w14:textId="57BC44C8" w:rsidR="00B83D63" w:rsidRPr="001954B4" w:rsidRDefault="00B83D63" w:rsidP="00580F87">
      <w:pPr>
        <w:pStyle w:val="FootnoteText"/>
        <w:rPr>
          <w:rFonts w:ascii="Times New Roman" w:hAnsi="Times New Roman"/>
        </w:rPr>
      </w:pPr>
      <w:r w:rsidRPr="001954B4">
        <w:rPr>
          <w:rStyle w:val="FootnoteReference"/>
          <w:rFonts w:ascii="Times New Roman" w:hAnsi="Times New Roman"/>
        </w:rPr>
        <w:footnoteRef/>
      </w:r>
      <w:r w:rsidRPr="001954B4">
        <w:rPr>
          <w:rFonts w:ascii="Times New Roman" w:hAnsi="Times New Roman"/>
        </w:rPr>
        <w:t xml:space="preserve"> </w:t>
      </w:r>
      <w:r>
        <w:rPr>
          <w:rFonts w:ascii="Times New Roman" w:hAnsi="Times New Roman"/>
          <w:i/>
        </w:rPr>
        <w:t xml:space="preserve">SEH </w:t>
      </w:r>
      <w:r>
        <w:rPr>
          <w:rFonts w:ascii="Times New Roman" w:hAnsi="Times New Roman"/>
        </w:rPr>
        <w:t>VII, 663.</w:t>
      </w:r>
    </w:p>
  </w:footnote>
  <w:footnote w:id="116">
    <w:p w14:paraId="4AA500F8" w14:textId="3CEAADF4"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 xml:space="preserve">LL </w:t>
      </w:r>
      <w:r w:rsidRPr="004D25D9">
        <w:rPr>
          <w:rFonts w:ascii="Times New Roman" w:hAnsi="Times New Roman"/>
        </w:rPr>
        <w:t xml:space="preserve">II, “A Declaration Touching the Treasons of the late Earl of Essex and his </w:t>
      </w:r>
      <w:proofErr w:type="spellStart"/>
      <w:r w:rsidRPr="004D25D9">
        <w:rPr>
          <w:rFonts w:ascii="Times New Roman" w:hAnsi="Times New Roman"/>
        </w:rPr>
        <w:t>Complices</w:t>
      </w:r>
      <w:proofErr w:type="spellEnd"/>
      <w:r w:rsidRPr="004D25D9">
        <w:rPr>
          <w:rFonts w:ascii="Times New Roman" w:hAnsi="Times New Roman"/>
        </w:rPr>
        <w:t>,” 249.</w:t>
      </w:r>
    </w:p>
  </w:footnote>
  <w:footnote w:id="117">
    <w:p w14:paraId="3722F3F9" w14:textId="2F1792AC" w:rsidR="00B83D63" w:rsidRPr="0030683F" w:rsidRDefault="00B83D63" w:rsidP="00580F87">
      <w:pPr>
        <w:pStyle w:val="FootnoteText"/>
        <w:rPr>
          <w:rFonts w:ascii="Times New Roman" w:hAnsi="Times New Roman"/>
          <w:lang w:val="it-IT"/>
        </w:rPr>
      </w:pPr>
      <w:r w:rsidRPr="004D25D9">
        <w:rPr>
          <w:rStyle w:val="FootnoteReference"/>
          <w:rFonts w:ascii="Times New Roman" w:hAnsi="Times New Roman"/>
        </w:rPr>
        <w:footnoteRef/>
      </w:r>
      <w:r w:rsidRPr="0030683F">
        <w:rPr>
          <w:rFonts w:ascii="Times New Roman" w:hAnsi="Times New Roman"/>
          <w:lang w:val="it-IT"/>
        </w:rPr>
        <w:t xml:space="preserve"> </w:t>
      </w:r>
      <w:r w:rsidRPr="0030683F">
        <w:rPr>
          <w:rFonts w:asciiTheme="majorBidi" w:hAnsiTheme="majorBidi" w:cstheme="majorBidi"/>
          <w:lang w:val="it-IT"/>
        </w:rPr>
        <w:t xml:space="preserve">Ibid., </w:t>
      </w:r>
      <w:r w:rsidRPr="0030683F">
        <w:rPr>
          <w:rFonts w:ascii="Times New Roman" w:hAnsi="Times New Roman"/>
          <w:lang w:val="it-IT"/>
        </w:rPr>
        <w:t>250; 251.</w:t>
      </w:r>
    </w:p>
  </w:footnote>
  <w:footnote w:id="118">
    <w:p w14:paraId="53F4FBD0" w14:textId="7F69E3A3" w:rsidR="00B83D63" w:rsidRPr="0030683F" w:rsidRDefault="00B83D63" w:rsidP="00580F87">
      <w:pPr>
        <w:autoSpaceDE w:val="0"/>
        <w:autoSpaceDN w:val="0"/>
        <w:adjustRightInd w:val="0"/>
        <w:spacing w:after="0" w:line="240" w:lineRule="auto"/>
        <w:rPr>
          <w:rFonts w:ascii="Times New Roman" w:hAnsi="Times New Roman" w:cs="Times New Roman"/>
          <w:sz w:val="20"/>
          <w:lang w:val="it-IT"/>
        </w:rPr>
      </w:pPr>
      <w:r w:rsidRPr="004D25D9">
        <w:rPr>
          <w:rStyle w:val="FootnoteReference"/>
          <w:rFonts w:ascii="Times New Roman" w:hAnsi="Times New Roman"/>
        </w:rPr>
        <w:footnoteRef/>
      </w:r>
      <w:r w:rsidRPr="0030683F">
        <w:rPr>
          <w:rFonts w:ascii="Times New Roman" w:hAnsi="Times New Roman" w:cs="Times New Roman"/>
          <w:lang w:val="it-IT"/>
        </w:rPr>
        <w:t xml:space="preserve"> </w:t>
      </w:r>
      <w:r w:rsidRPr="0030683F">
        <w:rPr>
          <w:rFonts w:ascii="Times New Roman" w:hAnsi="Times New Roman" w:cs="Times New Roman"/>
          <w:i/>
          <w:sz w:val="20"/>
          <w:szCs w:val="21"/>
          <w:lang w:val="it-IT"/>
        </w:rPr>
        <w:t xml:space="preserve">LL </w:t>
      </w:r>
      <w:r w:rsidRPr="0030683F">
        <w:rPr>
          <w:rFonts w:ascii="Times New Roman" w:hAnsi="Times New Roman" w:cs="Times New Roman"/>
          <w:sz w:val="20"/>
          <w:szCs w:val="21"/>
          <w:lang w:val="it-IT"/>
        </w:rPr>
        <w:t>VII, 176.</w:t>
      </w:r>
    </w:p>
  </w:footnote>
  <w:footnote w:id="119">
    <w:p w14:paraId="786D4C13" w14:textId="1CA86F81" w:rsidR="00B83D63" w:rsidRPr="007D1097" w:rsidRDefault="00B83D63" w:rsidP="00580F87">
      <w:pPr>
        <w:pStyle w:val="FootnoteText"/>
        <w:rPr>
          <w:rFonts w:ascii="Times New Roman" w:hAnsi="Times New Roman"/>
          <w:lang w:val="it-IT"/>
        </w:rPr>
      </w:pPr>
      <w:r w:rsidRPr="004D25D9">
        <w:rPr>
          <w:rStyle w:val="FootnoteReference"/>
          <w:rFonts w:ascii="Times New Roman" w:hAnsi="Times New Roman"/>
        </w:rPr>
        <w:footnoteRef/>
      </w:r>
      <w:r w:rsidRPr="007D1097">
        <w:rPr>
          <w:rFonts w:ascii="Times New Roman" w:hAnsi="Times New Roman"/>
          <w:lang w:val="it-IT"/>
        </w:rPr>
        <w:t xml:space="preserve"> </w:t>
      </w:r>
      <w:r w:rsidRPr="007D1097">
        <w:rPr>
          <w:rFonts w:ascii="Times New Roman" w:hAnsi="Times New Roman"/>
          <w:i/>
          <w:iCs/>
          <w:lang w:val="it-IT"/>
        </w:rPr>
        <w:t xml:space="preserve">SEH </w:t>
      </w:r>
      <w:r w:rsidRPr="007D1097">
        <w:rPr>
          <w:rFonts w:ascii="Times New Roman" w:hAnsi="Times New Roman"/>
          <w:lang w:val="it-IT"/>
        </w:rPr>
        <w:t>VI</w:t>
      </w:r>
      <w:r w:rsidRPr="004D25D9">
        <w:rPr>
          <w:rFonts w:ascii="Times New Roman" w:hAnsi="Times New Roman"/>
          <w:lang w:val="la-Latn"/>
        </w:rPr>
        <w:t>, “In Felicem Memoriae Elizabethae Angliae Reginae,” 293</w:t>
      </w:r>
      <w:r w:rsidRPr="007D1097">
        <w:rPr>
          <w:rFonts w:ascii="Times New Roman" w:hAnsi="Times New Roman"/>
          <w:lang w:val="it-IT"/>
        </w:rPr>
        <w:t>;</w:t>
      </w:r>
      <w:r w:rsidRPr="004D25D9">
        <w:rPr>
          <w:rFonts w:ascii="Times New Roman" w:hAnsi="Times New Roman"/>
          <w:lang w:val="la-Latn"/>
        </w:rPr>
        <w:t xml:space="preserve"> </w:t>
      </w:r>
      <w:r w:rsidRPr="007D1097">
        <w:rPr>
          <w:rFonts w:ascii="Times New Roman" w:hAnsi="Times New Roman"/>
          <w:lang w:val="it-IT"/>
        </w:rPr>
        <w:t>294.</w:t>
      </w:r>
    </w:p>
  </w:footnote>
  <w:footnote w:id="120">
    <w:p w14:paraId="140C7C3A" w14:textId="5EE5AC18" w:rsidR="00B83D63" w:rsidRPr="004D25D9" w:rsidRDefault="00B83D63" w:rsidP="00580F87">
      <w:pPr>
        <w:spacing w:after="0" w:line="240" w:lineRule="auto"/>
        <w:rPr>
          <w:rFonts w:ascii="Times New Roman" w:hAnsi="Times New Roman" w:cs="Times New Roman"/>
        </w:rPr>
      </w:pPr>
      <w:r w:rsidRPr="004D25D9">
        <w:rPr>
          <w:rStyle w:val="FootnoteReference"/>
          <w:rFonts w:ascii="Times New Roman" w:hAnsi="Times New Roman"/>
          <w:sz w:val="20"/>
          <w:szCs w:val="20"/>
        </w:rPr>
        <w:footnoteRef/>
      </w:r>
      <w:r w:rsidRPr="004D25D9">
        <w:rPr>
          <w:rFonts w:ascii="Times New Roman" w:hAnsi="Times New Roman" w:cs="Times New Roman"/>
          <w:sz w:val="20"/>
          <w:szCs w:val="20"/>
          <w:lang w:val="en-GB"/>
        </w:rPr>
        <w:t xml:space="preserve"> </w:t>
      </w:r>
      <w:r w:rsidRPr="004D25D9">
        <w:rPr>
          <w:rFonts w:ascii="Times New Roman" w:hAnsi="Times New Roman" w:cs="Times New Roman"/>
          <w:i/>
          <w:iCs/>
          <w:sz w:val="20"/>
          <w:szCs w:val="20"/>
          <w:lang w:val="en-GB"/>
        </w:rPr>
        <w:t>LL</w:t>
      </w:r>
      <w:r w:rsidRPr="004D25D9">
        <w:rPr>
          <w:rFonts w:ascii="Times New Roman" w:hAnsi="Times New Roman" w:cs="Times New Roman"/>
          <w:sz w:val="20"/>
          <w:szCs w:val="20"/>
          <w:lang w:val="en-GB"/>
        </w:rPr>
        <w:t xml:space="preserve"> IV, 123. </w:t>
      </w:r>
      <w:r w:rsidRPr="004D25D9">
        <w:rPr>
          <w:rFonts w:ascii="Times New Roman" w:hAnsi="Times New Roman" w:cs="Times New Roman"/>
          <w:sz w:val="20"/>
          <w:szCs w:val="20"/>
        </w:rPr>
        <w:t xml:space="preserve">Compare </w:t>
      </w:r>
      <w:r w:rsidRPr="004D25D9">
        <w:rPr>
          <w:rFonts w:ascii="Times New Roman" w:hAnsi="Times New Roman" w:cs="Times New Roman"/>
          <w:i/>
          <w:iCs/>
          <w:sz w:val="20"/>
          <w:szCs w:val="20"/>
        </w:rPr>
        <w:t>LL</w:t>
      </w:r>
      <w:r w:rsidRPr="004D25D9">
        <w:rPr>
          <w:rFonts w:ascii="Times New Roman" w:hAnsi="Times New Roman" w:cs="Times New Roman"/>
          <w:sz w:val="20"/>
          <w:szCs w:val="20"/>
        </w:rPr>
        <w:t xml:space="preserve"> II, 127</w:t>
      </w:r>
      <w:r>
        <w:rPr>
          <w:rFonts w:ascii="Times New Roman" w:hAnsi="Times New Roman" w:cs="Times New Roman"/>
          <w:sz w:val="20"/>
          <w:szCs w:val="20"/>
        </w:rPr>
        <w:t>.</w:t>
      </w:r>
    </w:p>
  </w:footnote>
  <w:footnote w:id="121">
    <w:p w14:paraId="3E067258" w14:textId="7C0C707C"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David Armitage, </w:t>
      </w:r>
      <w:r w:rsidRPr="004D25D9">
        <w:rPr>
          <w:rFonts w:ascii="Times New Roman" w:hAnsi="Times New Roman"/>
          <w:i/>
          <w:iCs/>
        </w:rPr>
        <w:t>The Ideological Origins of the British Empire</w:t>
      </w:r>
      <w:r w:rsidRPr="004D25D9">
        <w:rPr>
          <w:rFonts w:ascii="Times New Roman" w:hAnsi="Times New Roman"/>
        </w:rPr>
        <w:t xml:space="preserve"> (Cambridge: Cambridge University Press, 2000), 1. See further </w:t>
      </w:r>
      <w:r w:rsidRPr="0030683F">
        <w:rPr>
          <w:rFonts w:ascii="Times New Roman" w:hAnsi="Times New Roman"/>
        </w:rPr>
        <w:t>ibid</w:t>
      </w:r>
      <w:r>
        <w:rPr>
          <w:rFonts w:ascii="Times New Roman" w:hAnsi="Times New Roman"/>
          <w:i/>
          <w:iCs/>
        </w:rPr>
        <w:t>.,</w:t>
      </w:r>
      <w:r w:rsidRPr="004D25D9">
        <w:rPr>
          <w:rFonts w:ascii="Times New Roman" w:hAnsi="Times New Roman"/>
        </w:rPr>
        <w:t xml:space="preserve"> 8; 62; 65; 69-70.</w:t>
      </w:r>
    </w:p>
  </w:footnote>
  <w:footnote w:id="122">
    <w:p w14:paraId="185D796E" w14:textId="7C10E6E9"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SEH</w:t>
      </w:r>
      <w:r w:rsidRPr="004D25D9">
        <w:rPr>
          <w:rFonts w:ascii="Times New Roman" w:hAnsi="Times New Roman"/>
        </w:rPr>
        <w:t xml:space="preserve"> VII, “Of the true Greatness of the Kingdom of Britain,” 49</w:t>
      </w:r>
      <w:r>
        <w:rPr>
          <w:rFonts w:ascii="Times New Roman" w:hAnsi="Times New Roman"/>
        </w:rPr>
        <w:t>.</w:t>
      </w:r>
    </w:p>
  </w:footnote>
  <w:footnote w:id="123">
    <w:p w14:paraId="5508342C" w14:textId="12AC4DE1"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OFB </w:t>
      </w:r>
      <w:r w:rsidRPr="004D25D9">
        <w:rPr>
          <w:rFonts w:ascii="Times New Roman" w:hAnsi="Times New Roman"/>
        </w:rPr>
        <w:t>XV, “Of Plantations.” 106, line 3.</w:t>
      </w:r>
    </w:p>
  </w:footnote>
  <w:footnote w:id="124">
    <w:p w14:paraId="36C65334" w14:textId="124AAAFE"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107, lines 69-70.</w:t>
      </w:r>
    </w:p>
  </w:footnote>
  <w:footnote w:id="125">
    <w:p w14:paraId="7172B5D9" w14:textId="245E1894"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106-108.</w:t>
      </w:r>
    </w:p>
  </w:footnote>
  <w:footnote w:id="126">
    <w:p w14:paraId="58B73C5E" w14:textId="6B440C49"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B83D63">
        <w:rPr>
          <w:rFonts w:asciiTheme="majorBidi" w:hAnsiTheme="majorBidi" w:cstheme="majorBidi"/>
        </w:rPr>
        <w:t>Ibid</w:t>
      </w:r>
      <w:r>
        <w:rPr>
          <w:rFonts w:asciiTheme="majorBidi" w:hAnsiTheme="majorBidi" w:cstheme="majorBidi"/>
        </w:rPr>
        <w:t>.,</w:t>
      </w:r>
      <w:r w:rsidRPr="00553D2C">
        <w:rPr>
          <w:rFonts w:asciiTheme="majorBidi" w:hAnsiTheme="majorBidi" w:cstheme="majorBidi"/>
        </w:rPr>
        <w:t xml:space="preserve"> </w:t>
      </w:r>
      <w:r w:rsidRPr="004D25D9">
        <w:rPr>
          <w:rFonts w:ascii="Times New Roman" w:hAnsi="Times New Roman"/>
        </w:rPr>
        <w:t>106, lines 23-26.</w:t>
      </w:r>
    </w:p>
  </w:footnote>
  <w:footnote w:id="127">
    <w:p w14:paraId="0893C9C7" w14:textId="5417A72C" w:rsidR="00B83D63" w:rsidRPr="00B83D63" w:rsidRDefault="00B83D63" w:rsidP="00580F87">
      <w:pPr>
        <w:pStyle w:val="FootnoteText"/>
        <w:rPr>
          <w:rFonts w:ascii="Times New Roman" w:hAnsi="Times New Roman"/>
        </w:rPr>
      </w:pPr>
      <w:r w:rsidRPr="00B83D63">
        <w:rPr>
          <w:rStyle w:val="FootnoteReference"/>
          <w:rFonts w:ascii="Times New Roman" w:hAnsi="Times New Roman"/>
        </w:rPr>
        <w:footnoteRef/>
      </w:r>
      <w:r w:rsidRPr="00B83D63">
        <w:rPr>
          <w:rFonts w:ascii="Times New Roman" w:hAnsi="Times New Roman"/>
        </w:rPr>
        <w:t xml:space="preserve"> </w:t>
      </w:r>
      <w:r w:rsidRPr="00B83D63">
        <w:rPr>
          <w:rFonts w:asciiTheme="majorBidi" w:hAnsiTheme="majorBidi" w:cstheme="majorBidi"/>
        </w:rPr>
        <w:t xml:space="preserve">Ibid., </w:t>
      </w:r>
      <w:r w:rsidRPr="00B83D63">
        <w:rPr>
          <w:rFonts w:ascii="Times New Roman" w:hAnsi="Times New Roman"/>
        </w:rPr>
        <w:t>108, lines 91-98.</w:t>
      </w:r>
    </w:p>
  </w:footnote>
  <w:footnote w:id="128">
    <w:p w14:paraId="28B092CA" w14:textId="67DB7CF0" w:rsidR="00B83D63" w:rsidRPr="004D25D9" w:rsidRDefault="00B83D63" w:rsidP="00580F87">
      <w:pPr>
        <w:spacing w:after="0" w:line="240" w:lineRule="auto"/>
        <w:rPr>
          <w:rFonts w:ascii="Times New Roman" w:hAnsi="Times New Roman" w:cs="Times New Roman"/>
          <w:sz w:val="20"/>
          <w:szCs w:val="20"/>
        </w:rPr>
      </w:pPr>
      <w:r w:rsidRPr="00B83D63">
        <w:rPr>
          <w:rStyle w:val="FootnoteReference"/>
          <w:rFonts w:ascii="Times New Roman" w:hAnsi="Times New Roman"/>
          <w:sz w:val="20"/>
          <w:szCs w:val="20"/>
        </w:rPr>
        <w:footnoteRef/>
      </w:r>
      <w:r w:rsidRPr="00B83D63">
        <w:rPr>
          <w:rFonts w:ascii="Times New Roman" w:hAnsi="Times New Roman" w:cs="Times New Roman"/>
          <w:sz w:val="20"/>
          <w:szCs w:val="20"/>
        </w:rPr>
        <w:t xml:space="preserve"> </w:t>
      </w:r>
      <w:r w:rsidRPr="00B83D63">
        <w:rPr>
          <w:rFonts w:asciiTheme="majorBidi" w:hAnsiTheme="majorBidi" w:cstheme="majorBidi"/>
          <w:sz w:val="20"/>
          <w:szCs w:val="20"/>
        </w:rPr>
        <w:t xml:space="preserve">Ibid., </w:t>
      </w:r>
      <w:r w:rsidRPr="004D25D9">
        <w:rPr>
          <w:rFonts w:ascii="Times New Roman" w:hAnsi="Times New Roman" w:cs="Times New Roman"/>
          <w:sz w:val="20"/>
          <w:szCs w:val="20"/>
        </w:rPr>
        <w:t xml:space="preserve">108, lines 97-98.  See also MacMillan, </w:t>
      </w:r>
      <w:r w:rsidRPr="004D25D9">
        <w:rPr>
          <w:rFonts w:ascii="Times New Roman" w:hAnsi="Times New Roman" w:cs="Times New Roman"/>
          <w:i/>
          <w:sz w:val="20"/>
          <w:szCs w:val="20"/>
        </w:rPr>
        <w:t>Sovereignty and Possession</w:t>
      </w:r>
      <w:r w:rsidRPr="004D25D9">
        <w:rPr>
          <w:rFonts w:ascii="Times New Roman" w:hAnsi="Times New Roman" w:cs="Times New Roman"/>
          <w:sz w:val="20"/>
          <w:szCs w:val="20"/>
        </w:rPr>
        <w:t>, 9</w:t>
      </w:r>
      <w:r>
        <w:rPr>
          <w:rFonts w:ascii="Times New Roman" w:hAnsi="Times New Roman" w:cs="Times New Roman"/>
          <w:sz w:val="20"/>
          <w:szCs w:val="20"/>
        </w:rPr>
        <w:t>.</w:t>
      </w:r>
    </w:p>
  </w:footnote>
  <w:footnote w:id="129">
    <w:p w14:paraId="18FC0B67" w14:textId="0C6EA0F2"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LL</w:t>
      </w:r>
      <w:r w:rsidRPr="004D25D9">
        <w:rPr>
          <w:rFonts w:ascii="Times New Roman" w:hAnsi="Times New Roman"/>
        </w:rPr>
        <w:t xml:space="preserve"> III, </w:t>
      </w:r>
      <w:r w:rsidRPr="004D25D9">
        <w:rPr>
          <w:rFonts w:ascii="Times New Roman" w:hAnsi="Times New Roman"/>
          <w:i/>
        </w:rPr>
        <w:t>Considerations touching the Queen’s service in Ireland</w:t>
      </w:r>
      <w:r w:rsidRPr="004D25D9">
        <w:rPr>
          <w:rFonts w:ascii="Times New Roman" w:hAnsi="Times New Roman"/>
        </w:rPr>
        <w:t>, 46-51, at 49</w:t>
      </w:r>
      <w:r>
        <w:rPr>
          <w:rFonts w:ascii="Times New Roman" w:hAnsi="Times New Roman"/>
        </w:rPr>
        <w:t>.</w:t>
      </w:r>
    </w:p>
  </w:footnote>
  <w:footnote w:id="130">
    <w:p w14:paraId="184E34DA" w14:textId="2B3F3011"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w:t>
      </w:r>
      <w:r w:rsidRPr="00A61029">
        <w:rPr>
          <w:rFonts w:asciiTheme="majorBidi" w:hAnsiTheme="majorBidi" w:cstheme="majorBidi"/>
        </w:rPr>
        <w:t>Ibid</w:t>
      </w:r>
      <w:r>
        <w:rPr>
          <w:rFonts w:asciiTheme="majorBidi" w:hAnsiTheme="majorBidi" w:cstheme="majorBidi"/>
        </w:rPr>
        <w:t>.,</w:t>
      </w:r>
      <w:r w:rsidRPr="004D25D9">
        <w:rPr>
          <w:rFonts w:ascii="Times New Roman" w:hAnsi="Times New Roman"/>
        </w:rPr>
        <w:t xml:space="preserve"> 49.</w:t>
      </w:r>
    </w:p>
  </w:footnote>
  <w:footnote w:id="131">
    <w:p w14:paraId="0B4E5F26" w14:textId="6522096B" w:rsidR="00B83D63" w:rsidRPr="00260569" w:rsidRDefault="00B83D63" w:rsidP="00580F87">
      <w:pPr>
        <w:pStyle w:val="FootnoteText"/>
        <w:rPr>
          <w:rFonts w:ascii="Times New Roman" w:hAnsi="Times New Roman"/>
        </w:rPr>
      </w:pPr>
      <w:r w:rsidRPr="00260569">
        <w:rPr>
          <w:rStyle w:val="FootnoteReference"/>
          <w:rFonts w:ascii="Times New Roman" w:hAnsi="Times New Roman"/>
        </w:rPr>
        <w:footnoteRef/>
      </w:r>
      <w:r w:rsidRPr="00260569">
        <w:rPr>
          <w:rFonts w:ascii="Times New Roman" w:hAnsi="Times New Roman"/>
        </w:rPr>
        <w:t xml:space="preserve"> Mark Greengrass, </w:t>
      </w:r>
      <w:r w:rsidRPr="00260569">
        <w:rPr>
          <w:rFonts w:ascii="Times New Roman" w:hAnsi="Times New Roman"/>
          <w:i/>
        </w:rPr>
        <w:t>Christendom Destroyed</w:t>
      </w:r>
      <w:r w:rsidRPr="00260569">
        <w:rPr>
          <w:rFonts w:ascii="Times New Roman" w:hAnsi="Times New Roman"/>
        </w:rPr>
        <w:t xml:space="preserve">: </w:t>
      </w:r>
      <w:r w:rsidRPr="00260569">
        <w:rPr>
          <w:rFonts w:ascii="Times New Roman" w:hAnsi="Times New Roman"/>
          <w:i/>
        </w:rPr>
        <w:t>Europe 1517-1648</w:t>
      </w:r>
      <w:r w:rsidRPr="00260569">
        <w:rPr>
          <w:rFonts w:ascii="Times New Roman" w:hAnsi="Times New Roman"/>
        </w:rPr>
        <w:t xml:space="preserve"> (London: Penguin, 2015 [2014]), </w:t>
      </w:r>
      <w:r>
        <w:rPr>
          <w:rFonts w:ascii="Times New Roman" w:hAnsi="Times New Roman"/>
        </w:rPr>
        <w:t>564; 578.</w:t>
      </w:r>
    </w:p>
  </w:footnote>
  <w:footnote w:id="132">
    <w:p w14:paraId="58A4E103" w14:textId="33644E1A" w:rsidR="00B83D63" w:rsidRPr="009945AE" w:rsidRDefault="00B83D63" w:rsidP="00580F87">
      <w:pPr>
        <w:pStyle w:val="FootnoteText"/>
        <w:rPr>
          <w:rFonts w:ascii="Times New Roman" w:hAnsi="Times New Roman"/>
        </w:rPr>
      </w:pPr>
      <w:r w:rsidRPr="009945AE">
        <w:rPr>
          <w:rStyle w:val="FootnoteReference"/>
          <w:rFonts w:ascii="Times New Roman" w:hAnsi="Times New Roman"/>
        </w:rPr>
        <w:footnoteRef/>
      </w:r>
      <w:r w:rsidRPr="009945AE">
        <w:rPr>
          <w:rFonts w:ascii="Times New Roman" w:hAnsi="Times New Roman"/>
        </w:rPr>
        <w:t xml:space="preserve"> On the Bacon family’s support for Trinity College, Dublin, see Lady Anne Bacon’s letter dated 22 May 1595 to William Cecil, Lord Burghley. </w:t>
      </w:r>
      <w:r w:rsidRPr="009945AE">
        <w:rPr>
          <w:rFonts w:ascii="Times New Roman" w:hAnsi="Times New Roman"/>
          <w:i/>
        </w:rPr>
        <w:t>The Letters of Lady Anne Bacon</w:t>
      </w:r>
      <w:r w:rsidRPr="009945AE">
        <w:rPr>
          <w:rFonts w:ascii="Times New Roman" w:hAnsi="Times New Roman"/>
        </w:rPr>
        <w:t>, ed. Gemma Allen (Cambridge: Cambridge University Press for the Royal Historical Society, 2014), 218.</w:t>
      </w:r>
    </w:p>
  </w:footnote>
  <w:footnote w:id="133">
    <w:p w14:paraId="4859105F" w14:textId="014C7C9C"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LL</w:t>
      </w:r>
      <w:r w:rsidRPr="004D25D9">
        <w:rPr>
          <w:rFonts w:ascii="Times New Roman" w:hAnsi="Times New Roman"/>
        </w:rPr>
        <w:t xml:space="preserve"> III, </w:t>
      </w:r>
      <w:r w:rsidRPr="004D25D9">
        <w:rPr>
          <w:rFonts w:ascii="Times New Roman" w:hAnsi="Times New Roman"/>
          <w:i/>
        </w:rPr>
        <w:t>Considerations touching the Queen’s service in Ireland</w:t>
      </w:r>
      <w:r w:rsidRPr="004D25D9">
        <w:rPr>
          <w:rFonts w:ascii="Times New Roman" w:hAnsi="Times New Roman"/>
        </w:rPr>
        <w:t>, 46-51, at 49</w:t>
      </w:r>
      <w:r>
        <w:rPr>
          <w:rFonts w:ascii="Times New Roman" w:hAnsi="Times New Roman"/>
        </w:rPr>
        <w:t>.</w:t>
      </w:r>
    </w:p>
  </w:footnote>
  <w:footnote w:id="134">
    <w:p w14:paraId="1BD5F603" w14:textId="190C44E4"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LL</w:t>
      </w:r>
      <w:r w:rsidRPr="004D25D9">
        <w:rPr>
          <w:rFonts w:ascii="Times New Roman" w:hAnsi="Times New Roman"/>
        </w:rPr>
        <w:t xml:space="preserve"> III, 46-51, at 49</w:t>
      </w:r>
    </w:p>
  </w:footnote>
  <w:footnote w:id="135">
    <w:p w14:paraId="7A4BA156" w14:textId="7137E96F"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rPr>
        <w:t xml:space="preserve">OFB </w:t>
      </w:r>
      <w:r w:rsidRPr="004D25D9">
        <w:rPr>
          <w:rFonts w:ascii="Times New Roman" w:hAnsi="Times New Roman"/>
        </w:rPr>
        <w:t>XV, “Of Empire. XIX.” 62, lines 148-150.</w:t>
      </w:r>
    </w:p>
  </w:footnote>
  <w:footnote w:id="136">
    <w:p w14:paraId="42794EB0" w14:textId="5D3ADF08" w:rsidR="00B83D63" w:rsidRPr="004D25D9" w:rsidRDefault="00B83D63" w:rsidP="00580F87">
      <w:pPr>
        <w:pStyle w:val="FootnoteText"/>
        <w:rPr>
          <w:rFonts w:ascii="Times New Roman" w:hAnsi="Times New Roman"/>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rPr>
        <w:t>LL</w:t>
      </w:r>
      <w:r w:rsidRPr="004D25D9">
        <w:rPr>
          <w:rFonts w:ascii="Times New Roman" w:hAnsi="Times New Roman"/>
        </w:rPr>
        <w:t xml:space="preserve"> III, </w:t>
      </w:r>
      <w:r w:rsidRPr="004D25D9">
        <w:rPr>
          <w:rFonts w:ascii="Times New Roman" w:hAnsi="Times New Roman"/>
          <w:i/>
        </w:rPr>
        <w:t>Considerations touching the Queen’s service in Ireland</w:t>
      </w:r>
      <w:r w:rsidRPr="004D25D9">
        <w:rPr>
          <w:rFonts w:ascii="Times New Roman" w:hAnsi="Times New Roman"/>
        </w:rPr>
        <w:t>, 46-51, at 49.</w:t>
      </w:r>
    </w:p>
  </w:footnote>
  <w:footnote w:id="137">
    <w:p w14:paraId="42CC85E3" w14:textId="397EC122" w:rsidR="00B83D63" w:rsidRPr="004D25D9" w:rsidRDefault="00B83D63" w:rsidP="00580F87">
      <w:pPr>
        <w:pStyle w:val="FootnoteText"/>
        <w:rPr>
          <w:rFonts w:ascii="Times New Roman" w:hAnsi="Times New Roman"/>
          <w:lang w:val="en-GB"/>
        </w:rPr>
      </w:pPr>
      <w:r w:rsidRPr="004D25D9">
        <w:rPr>
          <w:rStyle w:val="FootnoteReference"/>
          <w:rFonts w:ascii="Times New Roman" w:hAnsi="Times New Roman"/>
        </w:rPr>
        <w:footnoteRef/>
      </w:r>
      <w:r w:rsidRPr="004D25D9">
        <w:rPr>
          <w:rFonts w:ascii="Times New Roman" w:hAnsi="Times New Roman"/>
        </w:rPr>
        <w:t xml:space="preserve"> </w:t>
      </w:r>
      <w:r w:rsidRPr="004D25D9">
        <w:rPr>
          <w:rFonts w:ascii="Times New Roman" w:hAnsi="Times New Roman"/>
          <w:i/>
          <w:iCs/>
          <w:lang w:val="en-GB"/>
        </w:rPr>
        <w:t>LL</w:t>
      </w:r>
      <w:r w:rsidRPr="004D25D9">
        <w:rPr>
          <w:rFonts w:ascii="Times New Roman" w:hAnsi="Times New Roman"/>
          <w:lang w:val="en-GB"/>
        </w:rPr>
        <w:t xml:space="preserve"> IV, “Certain Considerations Touching the Plantation in Ireland,” 116.</w:t>
      </w:r>
    </w:p>
  </w:footnote>
  <w:footnote w:id="138">
    <w:p w14:paraId="3B392809" w14:textId="06244596" w:rsidR="00B83D63" w:rsidRPr="0034291A" w:rsidRDefault="00B83D63" w:rsidP="00580F87">
      <w:pPr>
        <w:spacing w:after="0" w:line="240" w:lineRule="auto"/>
        <w:rPr>
          <w:rFonts w:ascii="Times New Roman" w:eastAsia="Times New Roman" w:hAnsi="Times New Roman" w:cs="Times New Roman"/>
          <w:sz w:val="20"/>
          <w:szCs w:val="20"/>
          <w:lang w:eastAsia="en-GB"/>
        </w:rPr>
      </w:pPr>
      <w:r w:rsidRPr="004D25D9">
        <w:rPr>
          <w:rStyle w:val="FootnoteReference"/>
          <w:rFonts w:ascii="Times New Roman" w:hAnsi="Times New Roman"/>
          <w:sz w:val="20"/>
          <w:szCs w:val="20"/>
        </w:rPr>
        <w:footnoteRef/>
      </w:r>
      <w:r w:rsidRPr="004D25D9">
        <w:rPr>
          <w:rFonts w:ascii="Times New Roman" w:hAnsi="Times New Roman" w:cs="Times New Roman"/>
          <w:sz w:val="20"/>
          <w:szCs w:val="20"/>
        </w:rPr>
        <w:t xml:space="preserve"> R.A. Melvin, review of H.B. White, </w:t>
      </w:r>
      <w:r w:rsidRPr="004D25D9">
        <w:rPr>
          <w:rFonts w:ascii="Times New Roman" w:hAnsi="Times New Roman" w:cs="Times New Roman"/>
          <w:i/>
          <w:sz w:val="20"/>
          <w:szCs w:val="20"/>
        </w:rPr>
        <w:t>Peace Among the Willows</w:t>
      </w:r>
      <w:r w:rsidRPr="004D25D9">
        <w:rPr>
          <w:rFonts w:ascii="Times New Roman" w:hAnsi="Times New Roman" w:cs="Times New Roman"/>
          <w:sz w:val="20"/>
          <w:szCs w:val="20"/>
        </w:rPr>
        <w:t xml:space="preserve">, </w:t>
      </w:r>
      <w:r>
        <w:rPr>
          <w:rFonts w:ascii="Times New Roman" w:eastAsia="Times New Roman" w:hAnsi="Times New Roman" w:cs="Times New Roman"/>
          <w:i/>
          <w:sz w:val="20"/>
          <w:szCs w:val="20"/>
          <w:lang w:eastAsia="en-GB"/>
        </w:rPr>
        <w:t>APSR</w:t>
      </w:r>
      <w:r w:rsidRPr="004D25D9">
        <w:rPr>
          <w:rFonts w:ascii="Times New Roman" w:eastAsia="Times New Roman" w:hAnsi="Times New Roman" w:cs="Times New Roman"/>
          <w:sz w:val="20"/>
          <w:szCs w:val="20"/>
          <w:lang w:eastAsia="en-GB"/>
        </w:rPr>
        <w:t>, 64:1 (Mar., 1970), 200-201, at 200.</w:t>
      </w:r>
      <w:r>
        <w:rPr>
          <w:rFonts w:ascii="Times New Roman" w:eastAsia="Times New Roman" w:hAnsi="Times New Roman" w:cs="Times New Roman"/>
          <w:sz w:val="20"/>
          <w:szCs w:val="20"/>
          <w:lang w:eastAsia="en-GB"/>
        </w:rPr>
        <w:t xml:space="preserve"> </w:t>
      </w:r>
    </w:p>
  </w:footnote>
  <w:footnote w:id="139">
    <w:p w14:paraId="1AC1C18E" w14:textId="4AB73407" w:rsidR="00B83D63" w:rsidRPr="00DE7C46" w:rsidRDefault="00B83D63" w:rsidP="00580F87">
      <w:pPr>
        <w:pStyle w:val="FootnoteText"/>
        <w:rPr>
          <w:rFonts w:ascii="Times New Roman" w:hAnsi="Times New Roman"/>
        </w:rPr>
      </w:pPr>
      <w:r w:rsidRPr="00984443">
        <w:rPr>
          <w:rStyle w:val="FootnoteReference"/>
          <w:rFonts w:ascii="Times New Roman" w:hAnsi="Times New Roman"/>
        </w:rPr>
        <w:footnoteRef/>
      </w:r>
      <w:r w:rsidRPr="00984443">
        <w:rPr>
          <w:rFonts w:ascii="Times New Roman" w:hAnsi="Times New Roman"/>
        </w:rPr>
        <w:t xml:space="preserve"> See Bacon’s diary from the final days of July, 1608, the </w:t>
      </w:r>
      <w:proofErr w:type="spellStart"/>
      <w:r w:rsidRPr="00984443">
        <w:rPr>
          <w:rFonts w:ascii="Times New Roman" w:hAnsi="Times New Roman"/>
          <w:i/>
        </w:rPr>
        <w:t>Commentarius</w:t>
      </w:r>
      <w:proofErr w:type="spellEnd"/>
      <w:r w:rsidRPr="00984443">
        <w:rPr>
          <w:rFonts w:ascii="Times New Roman" w:hAnsi="Times New Roman"/>
          <w:i/>
        </w:rPr>
        <w:t xml:space="preserve"> </w:t>
      </w:r>
      <w:proofErr w:type="spellStart"/>
      <w:r w:rsidRPr="00984443">
        <w:rPr>
          <w:rFonts w:ascii="Times New Roman" w:hAnsi="Times New Roman"/>
          <w:i/>
        </w:rPr>
        <w:t>Solutus</w:t>
      </w:r>
      <w:proofErr w:type="spellEnd"/>
      <w:r w:rsidRPr="00984443">
        <w:rPr>
          <w:rFonts w:ascii="Times New Roman" w:hAnsi="Times New Roman"/>
        </w:rPr>
        <w:t xml:space="preserve">. </w:t>
      </w:r>
      <w:r w:rsidRPr="00984443">
        <w:rPr>
          <w:rFonts w:ascii="Times New Roman" w:hAnsi="Times New Roman"/>
          <w:i/>
        </w:rPr>
        <w:t xml:space="preserve">LL </w:t>
      </w:r>
      <w:r w:rsidRPr="00984443">
        <w:rPr>
          <w:rFonts w:ascii="Times New Roman" w:hAnsi="Times New Roman"/>
        </w:rPr>
        <w:t xml:space="preserve">IV, 50-94, in which </w:t>
      </w:r>
      <w:r>
        <w:rPr>
          <w:rFonts w:ascii="Times New Roman" w:hAnsi="Times New Roman"/>
        </w:rPr>
        <w:t xml:space="preserve">he </w:t>
      </w:r>
      <w:r w:rsidRPr="00984443">
        <w:rPr>
          <w:rFonts w:ascii="Times New Roman" w:hAnsi="Times New Roman"/>
        </w:rPr>
        <w:t xml:space="preserve">contemplates “annexing the Low Countries”, a position which he also articulates in his </w:t>
      </w:r>
      <w:r w:rsidRPr="00984443">
        <w:rPr>
          <w:rFonts w:ascii="Times New Roman" w:hAnsi="Times New Roman"/>
          <w:i/>
        </w:rPr>
        <w:t xml:space="preserve">Certain Observations upon a Libel </w:t>
      </w:r>
      <w:r w:rsidRPr="00984443">
        <w:rPr>
          <w:rFonts w:ascii="Times New Roman" w:hAnsi="Times New Roman"/>
        </w:rPr>
        <w:t>from almost two decades prior.</w:t>
      </w:r>
      <w:r>
        <w:rPr>
          <w:rFonts w:ascii="Times New Roman" w:hAnsi="Times New Roman"/>
        </w:rPr>
        <w:t xml:space="preserve">  On Bacon’s thought on this matter, see Serjeantson, “Limits of Atlanticism.”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AB7921"/>
    <w:multiLevelType w:val="hybridMultilevel"/>
    <w:tmpl w:val="59906E7E"/>
    <w:lvl w:ilvl="0" w:tplc="4D9A7544">
      <w:start w:val="1"/>
      <w:numFmt w:val="upperRoman"/>
      <w:lvlText w:val="%1."/>
      <w:lvlJc w:val="left"/>
      <w:pPr>
        <w:ind w:left="1080" w:hanging="72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87"/>
    <w:rsid w:val="00004E87"/>
    <w:rsid w:val="00010C85"/>
    <w:rsid w:val="0002233C"/>
    <w:rsid w:val="000313A6"/>
    <w:rsid w:val="00056D3F"/>
    <w:rsid w:val="00076956"/>
    <w:rsid w:val="000A1D71"/>
    <w:rsid w:val="000A6892"/>
    <w:rsid w:val="000C5786"/>
    <w:rsid w:val="000E3CE8"/>
    <w:rsid w:val="000E60E2"/>
    <w:rsid w:val="000E6165"/>
    <w:rsid w:val="00105E4B"/>
    <w:rsid w:val="00114703"/>
    <w:rsid w:val="0013232C"/>
    <w:rsid w:val="001652E6"/>
    <w:rsid w:val="001966AD"/>
    <w:rsid w:val="001B3FC4"/>
    <w:rsid w:val="001B767E"/>
    <w:rsid w:val="001C0286"/>
    <w:rsid w:val="001E6C8C"/>
    <w:rsid w:val="001E735C"/>
    <w:rsid w:val="001F41F3"/>
    <w:rsid w:val="00201B64"/>
    <w:rsid w:val="00202EE6"/>
    <w:rsid w:val="0020542C"/>
    <w:rsid w:val="00220EDC"/>
    <w:rsid w:val="002220EC"/>
    <w:rsid w:val="002255C4"/>
    <w:rsid w:val="00226DF9"/>
    <w:rsid w:val="002319DB"/>
    <w:rsid w:val="00244DAB"/>
    <w:rsid w:val="002633CC"/>
    <w:rsid w:val="002657DC"/>
    <w:rsid w:val="002665CD"/>
    <w:rsid w:val="00266F25"/>
    <w:rsid w:val="00293939"/>
    <w:rsid w:val="002A0949"/>
    <w:rsid w:val="002A160A"/>
    <w:rsid w:val="002A7A7B"/>
    <w:rsid w:val="002C4E45"/>
    <w:rsid w:val="002C5670"/>
    <w:rsid w:val="002C6717"/>
    <w:rsid w:val="002E02F6"/>
    <w:rsid w:val="002F5BDF"/>
    <w:rsid w:val="002F5F0F"/>
    <w:rsid w:val="00305776"/>
    <w:rsid w:val="0030683F"/>
    <w:rsid w:val="00331FFB"/>
    <w:rsid w:val="00341C3B"/>
    <w:rsid w:val="0034291A"/>
    <w:rsid w:val="00350FD3"/>
    <w:rsid w:val="00367365"/>
    <w:rsid w:val="00374892"/>
    <w:rsid w:val="003749DB"/>
    <w:rsid w:val="003949A9"/>
    <w:rsid w:val="00395D8F"/>
    <w:rsid w:val="0039768A"/>
    <w:rsid w:val="003A4BAE"/>
    <w:rsid w:val="003A4F77"/>
    <w:rsid w:val="003B1DBA"/>
    <w:rsid w:val="003C564F"/>
    <w:rsid w:val="003E0EF6"/>
    <w:rsid w:val="003E3844"/>
    <w:rsid w:val="00402D90"/>
    <w:rsid w:val="0042029C"/>
    <w:rsid w:val="00426978"/>
    <w:rsid w:val="004320AA"/>
    <w:rsid w:val="00441D03"/>
    <w:rsid w:val="004428A4"/>
    <w:rsid w:val="004638CB"/>
    <w:rsid w:val="00465C84"/>
    <w:rsid w:val="0047198E"/>
    <w:rsid w:val="004876F7"/>
    <w:rsid w:val="004A1C53"/>
    <w:rsid w:val="004A70E9"/>
    <w:rsid w:val="004C44DC"/>
    <w:rsid w:val="004C45D8"/>
    <w:rsid w:val="004D68DD"/>
    <w:rsid w:val="004E065A"/>
    <w:rsid w:val="004E188C"/>
    <w:rsid w:val="004E261C"/>
    <w:rsid w:val="004F6CE9"/>
    <w:rsid w:val="005074F3"/>
    <w:rsid w:val="00511969"/>
    <w:rsid w:val="00516BEF"/>
    <w:rsid w:val="00520FB6"/>
    <w:rsid w:val="00522E03"/>
    <w:rsid w:val="005336D2"/>
    <w:rsid w:val="00580F87"/>
    <w:rsid w:val="0058589A"/>
    <w:rsid w:val="00593DE0"/>
    <w:rsid w:val="00596B3E"/>
    <w:rsid w:val="005A4FAD"/>
    <w:rsid w:val="005C6755"/>
    <w:rsid w:val="005D2BA3"/>
    <w:rsid w:val="005D5561"/>
    <w:rsid w:val="005F20FE"/>
    <w:rsid w:val="00601BCE"/>
    <w:rsid w:val="006022C3"/>
    <w:rsid w:val="00627154"/>
    <w:rsid w:val="00632B74"/>
    <w:rsid w:val="0065034A"/>
    <w:rsid w:val="006504C6"/>
    <w:rsid w:val="006833CA"/>
    <w:rsid w:val="00696B9B"/>
    <w:rsid w:val="006C0990"/>
    <w:rsid w:val="006C3E79"/>
    <w:rsid w:val="006E5108"/>
    <w:rsid w:val="00711CAD"/>
    <w:rsid w:val="00715E2A"/>
    <w:rsid w:val="007415DD"/>
    <w:rsid w:val="007546BD"/>
    <w:rsid w:val="0076368D"/>
    <w:rsid w:val="00781F95"/>
    <w:rsid w:val="007879B9"/>
    <w:rsid w:val="00787C57"/>
    <w:rsid w:val="007906DD"/>
    <w:rsid w:val="00792414"/>
    <w:rsid w:val="007945A0"/>
    <w:rsid w:val="007B26BF"/>
    <w:rsid w:val="007B3550"/>
    <w:rsid w:val="007D1097"/>
    <w:rsid w:val="007D7379"/>
    <w:rsid w:val="007E13D9"/>
    <w:rsid w:val="007E250D"/>
    <w:rsid w:val="00806366"/>
    <w:rsid w:val="008103D8"/>
    <w:rsid w:val="00810E38"/>
    <w:rsid w:val="00890F93"/>
    <w:rsid w:val="008A43D9"/>
    <w:rsid w:val="008B367C"/>
    <w:rsid w:val="008B381E"/>
    <w:rsid w:val="008C0ADB"/>
    <w:rsid w:val="008D4224"/>
    <w:rsid w:val="008E2A0B"/>
    <w:rsid w:val="008E35CD"/>
    <w:rsid w:val="008F357A"/>
    <w:rsid w:val="00900CAB"/>
    <w:rsid w:val="00902BDF"/>
    <w:rsid w:val="00907CC6"/>
    <w:rsid w:val="0092320B"/>
    <w:rsid w:val="00946572"/>
    <w:rsid w:val="00947F60"/>
    <w:rsid w:val="009570E6"/>
    <w:rsid w:val="00961AD6"/>
    <w:rsid w:val="00980C79"/>
    <w:rsid w:val="00991B42"/>
    <w:rsid w:val="009A3E2B"/>
    <w:rsid w:val="009B7082"/>
    <w:rsid w:val="009C2613"/>
    <w:rsid w:val="009C2692"/>
    <w:rsid w:val="009D05D5"/>
    <w:rsid w:val="009D3928"/>
    <w:rsid w:val="009D4402"/>
    <w:rsid w:val="009D4473"/>
    <w:rsid w:val="00A13111"/>
    <w:rsid w:val="00A14AB9"/>
    <w:rsid w:val="00A1616D"/>
    <w:rsid w:val="00A21DA6"/>
    <w:rsid w:val="00A31FDF"/>
    <w:rsid w:val="00A4283A"/>
    <w:rsid w:val="00A43336"/>
    <w:rsid w:val="00A444E1"/>
    <w:rsid w:val="00A564E1"/>
    <w:rsid w:val="00A5651E"/>
    <w:rsid w:val="00A61029"/>
    <w:rsid w:val="00A74C15"/>
    <w:rsid w:val="00A86859"/>
    <w:rsid w:val="00A93E74"/>
    <w:rsid w:val="00A94188"/>
    <w:rsid w:val="00AB50BE"/>
    <w:rsid w:val="00AD0F08"/>
    <w:rsid w:val="00AD2F18"/>
    <w:rsid w:val="00B02D25"/>
    <w:rsid w:val="00B06033"/>
    <w:rsid w:val="00B1678C"/>
    <w:rsid w:val="00B25B0C"/>
    <w:rsid w:val="00B2775E"/>
    <w:rsid w:val="00B7420A"/>
    <w:rsid w:val="00B81AEB"/>
    <w:rsid w:val="00B83D63"/>
    <w:rsid w:val="00BD4C8F"/>
    <w:rsid w:val="00BF1125"/>
    <w:rsid w:val="00BF74EA"/>
    <w:rsid w:val="00C10E08"/>
    <w:rsid w:val="00C3785F"/>
    <w:rsid w:val="00C46A4B"/>
    <w:rsid w:val="00C5247C"/>
    <w:rsid w:val="00C7021C"/>
    <w:rsid w:val="00C95682"/>
    <w:rsid w:val="00CA4B52"/>
    <w:rsid w:val="00CA5A11"/>
    <w:rsid w:val="00CE7FC1"/>
    <w:rsid w:val="00CF004D"/>
    <w:rsid w:val="00CF21C4"/>
    <w:rsid w:val="00CF6DD3"/>
    <w:rsid w:val="00D50575"/>
    <w:rsid w:val="00D51217"/>
    <w:rsid w:val="00D533FB"/>
    <w:rsid w:val="00D607C2"/>
    <w:rsid w:val="00D66FE4"/>
    <w:rsid w:val="00D91E8A"/>
    <w:rsid w:val="00DA1F39"/>
    <w:rsid w:val="00DA296A"/>
    <w:rsid w:val="00DB1CEF"/>
    <w:rsid w:val="00DD55A3"/>
    <w:rsid w:val="00DE7C46"/>
    <w:rsid w:val="00E00A76"/>
    <w:rsid w:val="00E059CB"/>
    <w:rsid w:val="00E06CB2"/>
    <w:rsid w:val="00E169D7"/>
    <w:rsid w:val="00E210C1"/>
    <w:rsid w:val="00E23140"/>
    <w:rsid w:val="00E2648B"/>
    <w:rsid w:val="00E620EA"/>
    <w:rsid w:val="00E74388"/>
    <w:rsid w:val="00E800FD"/>
    <w:rsid w:val="00E8653F"/>
    <w:rsid w:val="00E910FE"/>
    <w:rsid w:val="00EA30CB"/>
    <w:rsid w:val="00EB3C95"/>
    <w:rsid w:val="00EB65D8"/>
    <w:rsid w:val="00ED0585"/>
    <w:rsid w:val="00ED0FCE"/>
    <w:rsid w:val="00ED37F7"/>
    <w:rsid w:val="00EE2D3B"/>
    <w:rsid w:val="00EE7B72"/>
    <w:rsid w:val="00EE7ED1"/>
    <w:rsid w:val="00EF389D"/>
    <w:rsid w:val="00EF3A7E"/>
    <w:rsid w:val="00F26D19"/>
    <w:rsid w:val="00F32E59"/>
    <w:rsid w:val="00F437C3"/>
    <w:rsid w:val="00F46414"/>
    <w:rsid w:val="00F519A8"/>
    <w:rsid w:val="00F648D3"/>
    <w:rsid w:val="00F74B63"/>
    <w:rsid w:val="00F81894"/>
    <w:rsid w:val="00F9208D"/>
    <w:rsid w:val="00F97CDE"/>
    <w:rsid w:val="00FA7042"/>
    <w:rsid w:val="00FA75E6"/>
    <w:rsid w:val="00FB0498"/>
    <w:rsid w:val="00FB0FE1"/>
    <w:rsid w:val="00FC0981"/>
    <w:rsid w:val="00FE1723"/>
    <w:rsid w:val="00FE7727"/>
    <w:rsid w:val="00FF50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621FC37"/>
  <w15:docId w15:val="{2312855D-5320-4EE5-BD35-4282738A2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80F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80F87"/>
    <w:pPr>
      <w:spacing w:after="0" w:line="240" w:lineRule="auto"/>
    </w:pPr>
    <w:rPr>
      <w:sz w:val="20"/>
      <w:szCs w:val="20"/>
    </w:rPr>
  </w:style>
  <w:style w:type="character" w:customStyle="1" w:styleId="FootnoteTextChar">
    <w:name w:val="Footnote Text Char"/>
    <w:basedOn w:val="DefaultParagraphFont"/>
    <w:link w:val="FootnoteText"/>
    <w:uiPriority w:val="99"/>
    <w:rsid w:val="00580F87"/>
    <w:rPr>
      <w:sz w:val="20"/>
      <w:szCs w:val="20"/>
    </w:rPr>
  </w:style>
  <w:style w:type="character" w:styleId="FootnoteReference">
    <w:name w:val="footnote reference"/>
    <w:basedOn w:val="DefaultParagraphFont"/>
    <w:uiPriority w:val="99"/>
    <w:unhideWhenUsed/>
    <w:rsid w:val="00580F87"/>
    <w:rPr>
      <w:vertAlign w:val="superscript"/>
    </w:rPr>
  </w:style>
  <w:style w:type="paragraph" w:styleId="Header">
    <w:name w:val="header"/>
    <w:basedOn w:val="Normal"/>
    <w:link w:val="HeaderChar"/>
    <w:uiPriority w:val="99"/>
    <w:unhideWhenUsed/>
    <w:rsid w:val="000A68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6892"/>
  </w:style>
  <w:style w:type="paragraph" w:styleId="Footer">
    <w:name w:val="footer"/>
    <w:basedOn w:val="Normal"/>
    <w:link w:val="FooterChar"/>
    <w:uiPriority w:val="99"/>
    <w:unhideWhenUsed/>
    <w:rsid w:val="000A68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6892"/>
  </w:style>
  <w:style w:type="paragraph" w:styleId="ListParagraph">
    <w:name w:val="List Paragraph"/>
    <w:basedOn w:val="Normal"/>
    <w:uiPriority w:val="34"/>
    <w:qFormat/>
    <w:rsid w:val="0076368D"/>
    <w:pPr>
      <w:ind w:left="720"/>
      <w:contextualSpacing/>
    </w:pPr>
  </w:style>
  <w:style w:type="paragraph" w:styleId="BalloonText">
    <w:name w:val="Balloon Text"/>
    <w:basedOn w:val="Normal"/>
    <w:link w:val="BalloonTextChar"/>
    <w:uiPriority w:val="99"/>
    <w:semiHidden/>
    <w:unhideWhenUsed/>
    <w:rsid w:val="00F97C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7CDE"/>
    <w:rPr>
      <w:rFonts w:ascii="Segoe UI" w:hAnsi="Segoe UI" w:cs="Segoe UI"/>
      <w:sz w:val="18"/>
      <w:szCs w:val="18"/>
    </w:rPr>
  </w:style>
  <w:style w:type="character" w:styleId="CommentReference">
    <w:name w:val="annotation reference"/>
    <w:basedOn w:val="DefaultParagraphFont"/>
    <w:uiPriority w:val="99"/>
    <w:semiHidden/>
    <w:unhideWhenUsed/>
    <w:rsid w:val="008C0ADB"/>
    <w:rPr>
      <w:sz w:val="16"/>
      <w:szCs w:val="16"/>
    </w:rPr>
  </w:style>
  <w:style w:type="paragraph" w:styleId="CommentText">
    <w:name w:val="annotation text"/>
    <w:basedOn w:val="Normal"/>
    <w:link w:val="CommentTextChar"/>
    <w:uiPriority w:val="99"/>
    <w:semiHidden/>
    <w:unhideWhenUsed/>
    <w:rsid w:val="008C0ADB"/>
    <w:pPr>
      <w:spacing w:line="240" w:lineRule="auto"/>
    </w:pPr>
    <w:rPr>
      <w:sz w:val="20"/>
      <w:szCs w:val="20"/>
    </w:rPr>
  </w:style>
  <w:style w:type="character" w:customStyle="1" w:styleId="CommentTextChar">
    <w:name w:val="Comment Text Char"/>
    <w:basedOn w:val="DefaultParagraphFont"/>
    <w:link w:val="CommentText"/>
    <w:uiPriority w:val="99"/>
    <w:semiHidden/>
    <w:rsid w:val="008C0ADB"/>
    <w:rPr>
      <w:sz w:val="20"/>
      <w:szCs w:val="20"/>
    </w:rPr>
  </w:style>
  <w:style w:type="paragraph" w:styleId="CommentSubject">
    <w:name w:val="annotation subject"/>
    <w:basedOn w:val="CommentText"/>
    <w:next w:val="CommentText"/>
    <w:link w:val="CommentSubjectChar"/>
    <w:uiPriority w:val="99"/>
    <w:semiHidden/>
    <w:unhideWhenUsed/>
    <w:rsid w:val="008C0ADB"/>
    <w:rPr>
      <w:b/>
      <w:bCs/>
    </w:rPr>
  </w:style>
  <w:style w:type="character" w:customStyle="1" w:styleId="CommentSubjectChar">
    <w:name w:val="Comment Subject Char"/>
    <w:basedOn w:val="CommentTextChar"/>
    <w:link w:val="CommentSubject"/>
    <w:uiPriority w:val="99"/>
    <w:semiHidden/>
    <w:rsid w:val="008C0AD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EF99C-9424-4549-9201-00FA1C10A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30</Pages>
  <Words>7517</Words>
  <Characters>42848</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Zeitlin</dc:creator>
  <cp:keywords/>
  <dc:description/>
  <cp:lastModifiedBy>Samuel Zeitlin</cp:lastModifiedBy>
  <cp:revision>6</cp:revision>
  <cp:lastPrinted>2020-04-05T11:07:00Z</cp:lastPrinted>
  <dcterms:created xsi:type="dcterms:W3CDTF">2020-04-24T20:17:00Z</dcterms:created>
  <dcterms:modified xsi:type="dcterms:W3CDTF">2020-05-18T18:40:00Z</dcterms:modified>
</cp:coreProperties>
</file>