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05C1F9" w14:textId="5EB37509" w:rsidR="0034258E" w:rsidRPr="00CB3ECF" w:rsidRDefault="00CB3ECF" w:rsidP="009A2DE6">
      <w:pPr>
        <w:spacing w:line="276" w:lineRule="auto"/>
        <w:rPr>
          <w:rFonts w:ascii="Times New Roman" w:hAnsi="Times New Roman" w:cs="Times New Roman"/>
          <w:b/>
          <w:sz w:val="28"/>
          <w:szCs w:val="28"/>
        </w:rPr>
      </w:pPr>
      <w:bookmarkStart w:id="0" w:name="_GoBack"/>
      <w:bookmarkEnd w:id="0"/>
      <w:r w:rsidRPr="00CB3ECF">
        <w:rPr>
          <w:rFonts w:ascii="Times New Roman" w:hAnsi="Times New Roman" w:cs="Times New Roman"/>
          <w:b/>
          <w:sz w:val="28"/>
          <w:szCs w:val="28"/>
        </w:rPr>
        <w:t>E</w:t>
      </w:r>
      <w:r w:rsidR="00E74A20" w:rsidRPr="00CB3ECF">
        <w:rPr>
          <w:rFonts w:ascii="Times New Roman" w:hAnsi="Times New Roman" w:cs="Times New Roman"/>
          <w:b/>
          <w:sz w:val="28"/>
          <w:szCs w:val="28"/>
        </w:rPr>
        <w:t xml:space="preserve">rythrocyte transketolase activity </w:t>
      </w:r>
      <w:r w:rsidR="00F17D31">
        <w:rPr>
          <w:rFonts w:ascii="Times New Roman" w:hAnsi="Times New Roman" w:cs="Times New Roman"/>
          <w:b/>
          <w:sz w:val="28"/>
          <w:szCs w:val="28"/>
        </w:rPr>
        <w:t xml:space="preserve">coefficient (ETKAC) </w:t>
      </w:r>
      <w:r w:rsidRPr="00CB3ECF">
        <w:rPr>
          <w:rFonts w:ascii="Times New Roman" w:hAnsi="Times New Roman" w:cs="Times New Roman"/>
          <w:b/>
          <w:sz w:val="28"/>
          <w:szCs w:val="28"/>
        </w:rPr>
        <w:t xml:space="preserve">assay protocol </w:t>
      </w:r>
      <w:r w:rsidR="00E74A20" w:rsidRPr="00CB3ECF">
        <w:rPr>
          <w:rFonts w:ascii="Times New Roman" w:hAnsi="Times New Roman" w:cs="Times New Roman"/>
          <w:b/>
          <w:sz w:val="28"/>
          <w:szCs w:val="28"/>
        </w:rPr>
        <w:t>for the assessment of thiamine (vitamin B1) status</w:t>
      </w:r>
    </w:p>
    <w:p w14:paraId="1CEF5EC1" w14:textId="564BF055" w:rsidR="000A4E1D" w:rsidRPr="00CB3ECF" w:rsidRDefault="00E74A20" w:rsidP="009A2DE6">
      <w:pPr>
        <w:spacing w:line="276" w:lineRule="auto"/>
        <w:rPr>
          <w:rFonts w:ascii="Times New Roman" w:hAnsi="Times New Roman" w:cs="Times New Roman"/>
          <w:sz w:val="24"/>
          <w:szCs w:val="24"/>
        </w:rPr>
      </w:pPr>
      <w:r w:rsidRPr="00CB3ECF">
        <w:rPr>
          <w:rFonts w:ascii="Times New Roman" w:hAnsi="Times New Roman" w:cs="Times New Roman"/>
          <w:sz w:val="24"/>
          <w:szCs w:val="24"/>
        </w:rPr>
        <w:t>Kerry S. Jones</w:t>
      </w:r>
      <w:r w:rsidR="00BD67F6">
        <w:rPr>
          <w:rFonts w:ascii="Times New Roman" w:hAnsi="Times New Roman" w:cs="Times New Roman"/>
          <w:sz w:val="24"/>
          <w:szCs w:val="24"/>
          <w:vertAlign w:val="superscript"/>
        </w:rPr>
        <w:t>a</w:t>
      </w:r>
      <w:r w:rsidRPr="00CB3ECF">
        <w:rPr>
          <w:rFonts w:ascii="Times New Roman" w:hAnsi="Times New Roman" w:cs="Times New Roman"/>
          <w:sz w:val="24"/>
          <w:szCs w:val="24"/>
        </w:rPr>
        <w:t xml:space="preserve">, </w:t>
      </w:r>
      <w:r w:rsidR="0034258E" w:rsidRPr="00CB3ECF">
        <w:rPr>
          <w:rFonts w:ascii="Times New Roman" w:hAnsi="Times New Roman" w:cs="Times New Roman"/>
          <w:sz w:val="24"/>
          <w:szCs w:val="24"/>
        </w:rPr>
        <w:t xml:space="preserve">Damon </w:t>
      </w:r>
      <w:r w:rsidR="00B025E0">
        <w:rPr>
          <w:rFonts w:ascii="Times New Roman" w:hAnsi="Times New Roman" w:cs="Times New Roman"/>
          <w:sz w:val="24"/>
          <w:szCs w:val="24"/>
        </w:rPr>
        <w:t xml:space="preserve">A. </w:t>
      </w:r>
      <w:r w:rsidR="0034258E" w:rsidRPr="00CB3ECF">
        <w:rPr>
          <w:rFonts w:ascii="Times New Roman" w:hAnsi="Times New Roman" w:cs="Times New Roman"/>
          <w:sz w:val="24"/>
          <w:szCs w:val="24"/>
        </w:rPr>
        <w:t>Parkington</w:t>
      </w:r>
      <w:r w:rsidR="00BD67F6">
        <w:rPr>
          <w:rFonts w:ascii="Times New Roman" w:hAnsi="Times New Roman" w:cs="Times New Roman"/>
          <w:sz w:val="24"/>
          <w:szCs w:val="24"/>
          <w:vertAlign w:val="superscript"/>
        </w:rPr>
        <w:t>a</w:t>
      </w:r>
      <w:r w:rsidR="0034258E" w:rsidRPr="00CB3ECF">
        <w:rPr>
          <w:rFonts w:ascii="Times New Roman" w:hAnsi="Times New Roman" w:cs="Times New Roman"/>
          <w:sz w:val="24"/>
          <w:szCs w:val="24"/>
        </w:rPr>
        <w:t xml:space="preserve">, Lorna </w:t>
      </w:r>
      <w:r w:rsidR="000C3448">
        <w:rPr>
          <w:rFonts w:ascii="Times New Roman" w:hAnsi="Times New Roman" w:cs="Times New Roman"/>
          <w:sz w:val="24"/>
          <w:szCs w:val="24"/>
        </w:rPr>
        <w:t xml:space="preserve">J. </w:t>
      </w:r>
      <w:r w:rsidR="0034258E" w:rsidRPr="00CB3ECF">
        <w:rPr>
          <w:rFonts w:ascii="Times New Roman" w:hAnsi="Times New Roman" w:cs="Times New Roman"/>
          <w:sz w:val="24"/>
          <w:szCs w:val="24"/>
        </w:rPr>
        <w:t>Cox</w:t>
      </w:r>
      <w:r w:rsidR="00C34ADF">
        <w:rPr>
          <w:rFonts w:ascii="Times New Roman" w:hAnsi="Times New Roman" w:cs="Times New Roman"/>
          <w:sz w:val="24"/>
          <w:szCs w:val="24"/>
          <w:vertAlign w:val="superscript"/>
        </w:rPr>
        <w:t>a</w:t>
      </w:r>
      <w:r w:rsidR="000D0135">
        <w:rPr>
          <w:rFonts w:ascii="Times New Roman" w:hAnsi="Times New Roman" w:cs="Times New Roman"/>
          <w:sz w:val="24"/>
          <w:szCs w:val="24"/>
          <w:vertAlign w:val="superscript"/>
        </w:rPr>
        <w:t>,</w:t>
      </w:r>
      <w:r w:rsidR="00BD67F6">
        <w:rPr>
          <w:rFonts w:ascii="Times New Roman" w:hAnsi="Times New Roman" w:cs="Times New Roman"/>
          <w:sz w:val="24"/>
          <w:szCs w:val="24"/>
          <w:vertAlign w:val="superscript"/>
        </w:rPr>
        <w:t>b</w:t>
      </w:r>
      <w:r w:rsidR="0034258E" w:rsidRPr="00CB3ECF">
        <w:rPr>
          <w:rFonts w:ascii="Times New Roman" w:hAnsi="Times New Roman" w:cs="Times New Roman"/>
          <w:sz w:val="24"/>
          <w:szCs w:val="24"/>
        </w:rPr>
        <w:t>, Albert Koulman</w:t>
      </w:r>
      <w:r w:rsidR="00BD67F6">
        <w:rPr>
          <w:rFonts w:ascii="Times New Roman" w:hAnsi="Times New Roman" w:cs="Times New Roman"/>
          <w:sz w:val="24"/>
          <w:szCs w:val="24"/>
          <w:vertAlign w:val="superscript"/>
        </w:rPr>
        <w:t>a</w:t>
      </w:r>
      <w:r w:rsidR="0034258E" w:rsidRPr="00CB3ECF">
        <w:rPr>
          <w:rFonts w:ascii="Times New Roman" w:hAnsi="Times New Roman" w:cs="Times New Roman"/>
          <w:sz w:val="24"/>
          <w:szCs w:val="24"/>
        </w:rPr>
        <w:t xml:space="preserve"> </w:t>
      </w:r>
    </w:p>
    <w:p w14:paraId="2612CECF" w14:textId="371C5124" w:rsidR="00CB3ECF" w:rsidRDefault="00BD67F6" w:rsidP="009A2DE6">
      <w:pPr>
        <w:spacing w:line="276" w:lineRule="auto"/>
        <w:rPr>
          <w:rFonts w:ascii="Times New Roman" w:hAnsi="Times New Roman" w:cs="Times New Roman"/>
          <w:sz w:val="24"/>
          <w:szCs w:val="24"/>
        </w:rPr>
      </w:pPr>
      <w:r>
        <w:rPr>
          <w:rFonts w:ascii="Times New Roman" w:hAnsi="Times New Roman" w:cs="Times New Roman"/>
          <w:sz w:val="24"/>
          <w:szCs w:val="24"/>
          <w:vertAlign w:val="superscript"/>
        </w:rPr>
        <w:t>a</w:t>
      </w:r>
      <w:r w:rsidR="00264AC9" w:rsidRPr="00264AC9">
        <w:rPr>
          <w:rFonts w:ascii="Times New Roman" w:hAnsi="Times New Roman" w:cs="Times New Roman"/>
          <w:sz w:val="24"/>
          <w:szCs w:val="24"/>
          <w:vertAlign w:val="superscript"/>
        </w:rPr>
        <w:t xml:space="preserve"> </w:t>
      </w:r>
      <w:r w:rsidR="00CB3ECF">
        <w:rPr>
          <w:rFonts w:ascii="Times New Roman" w:hAnsi="Times New Roman" w:cs="Times New Roman"/>
          <w:sz w:val="24"/>
          <w:szCs w:val="24"/>
        </w:rPr>
        <w:t xml:space="preserve">NIHR BRC Nutritional Biomarker Laboratory, </w:t>
      </w:r>
      <w:r w:rsidR="00CB3ECF" w:rsidRPr="00CB3ECF">
        <w:rPr>
          <w:rFonts w:ascii="Times New Roman" w:hAnsi="Times New Roman" w:cs="Times New Roman"/>
          <w:sz w:val="24"/>
          <w:szCs w:val="24"/>
        </w:rPr>
        <w:t>MRC Epidemiology Unit</w:t>
      </w:r>
      <w:r w:rsidR="00CB3ECF">
        <w:rPr>
          <w:rFonts w:ascii="Times New Roman" w:hAnsi="Times New Roman" w:cs="Times New Roman"/>
          <w:sz w:val="24"/>
          <w:szCs w:val="24"/>
        </w:rPr>
        <w:t xml:space="preserve">, University of </w:t>
      </w:r>
      <w:r w:rsidR="00CB3ECF" w:rsidRPr="00264AC9">
        <w:rPr>
          <w:rFonts w:ascii="Times New Roman" w:hAnsi="Times New Roman" w:cs="Times New Roman"/>
          <w:sz w:val="24"/>
          <w:szCs w:val="24"/>
        </w:rPr>
        <w:t>Cambridge, Cambridge, UK</w:t>
      </w:r>
    </w:p>
    <w:p w14:paraId="73D62379" w14:textId="77777777" w:rsidR="000D0135" w:rsidRDefault="000D0135" w:rsidP="009A2DE6">
      <w:pPr>
        <w:spacing w:line="276" w:lineRule="auto"/>
        <w:rPr>
          <w:rFonts w:ascii="Times New Roman" w:hAnsi="Times New Roman" w:cs="Times New Roman"/>
          <w:sz w:val="24"/>
          <w:szCs w:val="24"/>
        </w:rPr>
      </w:pPr>
      <w:r w:rsidRPr="000D0135">
        <w:rPr>
          <w:rFonts w:ascii="Times New Roman" w:hAnsi="Times New Roman" w:cs="Times New Roman"/>
          <w:sz w:val="24"/>
          <w:szCs w:val="24"/>
          <w:vertAlign w:val="superscript"/>
        </w:rPr>
        <w:t>b</w:t>
      </w:r>
      <w:r>
        <w:rPr>
          <w:rFonts w:ascii="Times New Roman" w:hAnsi="Times New Roman" w:cs="Times New Roman"/>
          <w:sz w:val="24"/>
          <w:szCs w:val="24"/>
          <w:vertAlign w:val="superscript"/>
        </w:rPr>
        <w:t xml:space="preserve"> </w:t>
      </w:r>
      <w:r>
        <w:rPr>
          <w:rFonts w:ascii="Times New Roman" w:hAnsi="Times New Roman" w:cs="Times New Roman"/>
          <w:sz w:val="24"/>
          <w:szCs w:val="24"/>
        </w:rPr>
        <w:t>MRC Elsie Widdowson Laboratory, Fulbourn Road, Cambridge, UK*</w:t>
      </w:r>
    </w:p>
    <w:p w14:paraId="5461AFF6" w14:textId="564C160E" w:rsidR="000D0135" w:rsidRPr="00264AC9" w:rsidRDefault="000D0135" w:rsidP="009A2DE6">
      <w:pPr>
        <w:spacing w:line="276" w:lineRule="auto"/>
        <w:rPr>
          <w:rFonts w:ascii="Times New Roman" w:hAnsi="Times New Roman" w:cs="Times New Roman"/>
          <w:sz w:val="24"/>
          <w:szCs w:val="24"/>
        </w:rPr>
      </w:pPr>
      <w:r>
        <w:rPr>
          <w:rFonts w:ascii="Times New Roman" w:hAnsi="Times New Roman" w:cs="Times New Roman"/>
          <w:sz w:val="24"/>
          <w:szCs w:val="24"/>
        </w:rPr>
        <w:t xml:space="preserve">* (closed </w:t>
      </w:r>
      <w:r w:rsidR="007D7106">
        <w:rPr>
          <w:rFonts w:ascii="Times New Roman" w:hAnsi="Times New Roman" w:cs="Times New Roman"/>
          <w:sz w:val="24"/>
          <w:szCs w:val="24"/>
        </w:rPr>
        <w:t xml:space="preserve">down </w:t>
      </w:r>
      <w:r>
        <w:rPr>
          <w:rFonts w:ascii="Times New Roman" w:hAnsi="Times New Roman" w:cs="Times New Roman"/>
          <w:sz w:val="24"/>
          <w:szCs w:val="24"/>
        </w:rPr>
        <w:t>in December 2018)</w:t>
      </w:r>
    </w:p>
    <w:p w14:paraId="70F00BFB" w14:textId="77777777" w:rsidR="00CB3ECF" w:rsidRPr="00CB3ECF" w:rsidRDefault="00CB3ECF" w:rsidP="009A2DE6">
      <w:pPr>
        <w:spacing w:line="276" w:lineRule="auto"/>
        <w:rPr>
          <w:rFonts w:ascii="Times New Roman" w:hAnsi="Times New Roman" w:cs="Times New Roman"/>
          <w:b/>
          <w:sz w:val="24"/>
          <w:szCs w:val="24"/>
        </w:rPr>
      </w:pPr>
      <w:r w:rsidRPr="00CB3ECF">
        <w:rPr>
          <w:rFonts w:ascii="Times New Roman" w:hAnsi="Times New Roman" w:cs="Times New Roman"/>
          <w:b/>
          <w:sz w:val="24"/>
          <w:szCs w:val="24"/>
        </w:rPr>
        <w:t>Corresponding author contact information:</w:t>
      </w:r>
    </w:p>
    <w:p w14:paraId="4408987D" w14:textId="77777777" w:rsidR="00CB3ECF" w:rsidRDefault="00CB3ECF" w:rsidP="009A2DE6">
      <w:pPr>
        <w:spacing w:line="276" w:lineRule="auto"/>
        <w:rPr>
          <w:rFonts w:ascii="Times New Roman" w:hAnsi="Times New Roman" w:cs="Times New Roman"/>
          <w:sz w:val="24"/>
          <w:szCs w:val="24"/>
        </w:rPr>
      </w:pPr>
      <w:r>
        <w:rPr>
          <w:rFonts w:ascii="Times New Roman" w:hAnsi="Times New Roman" w:cs="Times New Roman"/>
          <w:sz w:val="24"/>
          <w:szCs w:val="24"/>
        </w:rPr>
        <w:t>Kerry S. Jones</w:t>
      </w:r>
    </w:p>
    <w:p w14:paraId="30FE92C3" w14:textId="77777777" w:rsidR="00BD67F6" w:rsidRDefault="00CB3ECF" w:rsidP="009A2DE6">
      <w:pPr>
        <w:spacing w:line="276" w:lineRule="auto"/>
        <w:rPr>
          <w:rFonts w:ascii="Times New Roman" w:hAnsi="Times New Roman" w:cs="Times New Roman"/>
          <w:sz w:val="24"/>
          <w:szCs w:val="24"/>
        </w:rPr>
      </w:pPr>
      <w:r>
        <w:rPr>
          <w:rFonts w:ascii="Times New Roman" w:hAnsi="Times New Roman" w:cs="Times New Roman"/>
          <w:sz w:val="24"/>
          <w:szCs w:val="24"/>
        </w:rPr>
        <w:t xml:space="preserve">NIHR BRC Nutritional Biomarker Laboratory, </w:t>
      </w:r>
    </w:p>
    <w:p w14:paraId="58A4D538" w14:textId="0B9F5DA4" w:rsidR="00BD67F6" w:rsidRDefault="00BD67F6" w:rsidP="009A2DE6">
      <w:pPr>
        <w:spacing w:line="276" w:lineRule="auto"/>
        <w:rPr>
          <w:rFonts w:ascii="Times New Roman" w:hAnsi="Times New Roman" w:cs="Times New Roman"/>
          <w:sz w:val="24"/>
          <w:szCs w:val="24"/>
        </w:rPr>
      </w:pPr>
      <w:r w:rsidRPr="00BD67F6">
        <w:rPr>
          <w:rFonts w:ascii="Times New Roman" w:hAnsi="Times New Roman" w:cs="Times New Roman"/>
          <w:sz w:val="24"/>
          <w:szCs w:val="24"/>
        </w:rPr>
        <w:t>MRC Epidemiology Unit</w:t>
      </w:r>
      <w:r>
        <w:rPr>
          <w:rFonts w:ascii="Times New Roman" w:hAnsi="Times New Roman" w:cs="Times New Roman"/>
          <w:sz w:val="24"/>
          <w:szCs w:val="24"/>
        </w:rPr>
        <w:t>,</w:t>
      </w:r>
    </w:p>
    <w:p w14:paraId="630C3F32" w14:textId="77777777" w:rsidR="00BD67F6" w:rsidRDefault="00CB3ECF" w:rsidP="009A2DE6">
      <w:pPr>
        <w:spacing w:line="276" w:lineRule="auto"/>
        <w:rPr>
          <w:rFonts w:ascii="Times New Roman" w:hAnsi="Times New Roman" w:cs="Times New Roman"/>
          <w:sz w:val="24"/>
          <w:szCs w:val="24"/>
        </w:rPr>
      </w:pPr>
      <w:r>
        <w:rPr>
          <w:rFonts w:ascii="Times New Roman" w:hAnsi="Times New Roman" w:cs="Times New Roman"/>
          <w:sz w:val="24"/>
          <w:szCs w:val="24"/>
        </w:rPr>
        <w:t xml:space="preserve">Clifford Allbutt Building, </w:t>
      </w:r>
    </w:p>
    <w:p w14:paraId="674D5868" w14:textId="77777777" w:rsidR="00BD67F6" w:rsidRDefault="00CB3ECF" w:rsidP="009A2DE6">
      <w:pPr>
        <w:spacing w:line="276" w:lineRule="auto"/>
        <w:rPr>
          <w:rFonts w:ascii="Times New Roman" w:hAnsi="Times New Roman" w:cs="Times New Roman"/>
          <w:sz w:val="24"/>
          <w:szCs w:val="24"/>
        </w:rPr>
      </w:pPr>
      <w:r>
        <w:rPr>
          <w:rFonts w:ascii="Times New Roman" w:hAnsi="Times New Roman" w:cs="Times New Roman"/>
          <w:sz w:val="24"/>
          <w:szCs w:val="24"/>
        </w:rPr>
        <w:t xml:space="preserve">Cambridge Biomedical Campus, </w:t>
      </w:r>
    </w:p>
    <w:p w14:paraId="73C9B503" w14:textId="77777777" w:rsidR="00BD67F6" w:rsidRDefault="00CB3ECF" w:rsidP="009A2DE6">
      <w:pPr>
        <w:spacing w:line="276" w:lineRule="auto"/>
        <w:rPr>
          <w:rFonts w:ascii="Times New Roman" w:hAnsi="Times New Roman" w:cs="Times New Roman"/>
          <w:sz w:val="24"/>
          <w:szCs w:val="24"/>
        </w:rPr>
      </w:pPr>
      <w:r>
        <w:rPr>
          <w:rFonts w:ascii="Times New Roman" w:hAnsi="Times New Roman" w:cs="Times New Roman"/>
          <w:sz w:val="24"/>
          <w:szCs w:val="24"/>
        </w:rPr>
        <w:t xml:space="preserve">Hills Road, </w:t>
      </w:r>
    </w:p>
    <w:p w14:paraId="7C49097A" w14:textId="77777777" w:rsidR="00BD67F6" w:rsidRDefault="00CB3ECF" w:rsidP="009A2DE6">
      <w:pPr>
        <w:spacing w:line="276" w:lineRule="auto"/>
        <w:rPr>
          <w:rFonts w:ascii="Times New Roman" w:hAnsi="Times New Roman" w:cs="Times New Roman"/>
          <w:sz w:val="24"/>
          <w:szCs w:val="24"/>
        </w:rPr>
      </w:pPr>
      <w:r>
        <w:rPr>
          <w:rFonts w:ascii="Times New Roman" w:hAnsi="Times New Roman" w:cs="Times New Roman"/>
          <w:sz w:val="24"/>
          <w:szCs w:val="24"/>
        </w:rPr>
        <w:t xml:space="preserve">Cambridge, </w:t>
      </w:r>
    </w:p>
    <w:p w14:paraId="18CEDA70" w14:textId="064983DB" w:rsidR="00CB3ECF" w:rsidRDefault="00CB3ECF" w:rsidP="009A2DE6">
      <w:pPr>
        <w:spacing w:line="276" w:lineRule="auto"/>
        <w:rPr>
          <w:rFonts w:ascii="Times New Roman" w:hAnsi="Times New Roman" w:cs="Times New Roman"/>
          <w:sz w:val="24"/>
          <w:szCs w:val="24"/>
        </w:rPr>
      </w:pPr>
      <w:r>
        <w:rPr>
          <w:rFonts w:ascii="Times New Roman" w:hAnsi="Times New Roman" w:cs="Times New Roman"/>
          <w:sz w:val="24"/>
          <w:szCs w:val="24"/>
        </w:rPr>
        <w:t>CB2 0AH</w:t>
      </w:r>
    </w:p>
    <w:p w14:paraId="4D541909" w14:textId="233D6290" w:rsidR="00BD67F6" w:rsidRDefault="00BD67F6" w:rsidP="009A2DE6">
      <w:pPr>
        <w:spacing w:line="276" w:lineRule="auto"/>
        <w:rPr>
          <w:rFonts w:ascii="Times New Roman" w:hAnsi="Times New Roman" w:cs="Times New Roman"/>
          <w:sz w:val="24"/>
          <w:szCs w:val="24"/>
        </w:rPr>
      </w:pPr>
      <w:r>
        <w:rPr>
          <w:rFonts w:ascii="Times New Roman" w:hAnsi="Times New Roman" w:cs="Times New Roman"/>
          <w:sz w:val="24"/>
          <w:szCs w:val="24"/>
        </w:rPr>
        <w:t>UK</w:t>
      </w:r>
    </w:p>
    <w:p w14:paraId="529ECB29" w14:textId="528720DE" w:rsidR="00CB3ECF" w:rsidRDefault="00BD67F6" w:rsidP="009A2DE6">
      <w:pPr>
        <w:spacing w:line="276" w:lineRule="auto"/>
        <w:rPr>
          <w:rFonts w:ascii="Times New Roman" w:hAnsi="Times New Roman" w:cs="Times New Roman"/>
          <w:sz w:val="24"/>
          <w:szCs w:val="24"/>
        </w:rPr>
      </w:pPr>
      <w:r w:rsidRPr="00BD67F6">
        <w:rPr>
          <w:rFonts w:ascii="Times New Roman" w:hAnsi="Times New Roman" w:cs="Times New Roman"/>
          <w:b/>
          <w:sz w:val="24"/>
          <w:szCs w:val="24"/>
        </w:rPr>
        <w:t>Email:</w:t>
      </w:r>
      <w:r>
        <w:rPr>
          <w:rFonts w:ascii="Times New Roman" w:hAnsi="Times New Roman" w:cs="Times New Roman"/>
          <w:sz w:val="24"/>
          <w:szCs w:val="24"/>
        </w:rPr>
        <w:t xml:space="preserve"> </w:t>
      </w:r>
      <w:r w:rsidR="00CB3ECF">
        <w:rPr>
          <w:rFonts w:ascii="Times New Roman" w:hAnsi="Times New Roman" w:cs="Times New Roman"/>
          <w:sz w:val="24"/>
          <w:szCs w:val="24"/>
        </w:rPr>
        <w:t>kerry.jones@mrc-epid.cam.ac.uk</w:t>
      </w:r>
    </w:p>
    <w:p w14:paraId="30E4C0E2" w14:textId="77777777" w:rsidR="009A78BC" w:rsidRDefault="009A78BC" w:rsidP="009A2DE6">
      <w:pPr>
        <w:spacing w:line="276" w:lineRule="auto"/>
        <w:rPr>
          <w:rFonts w:ascii="Times New Roman" w:hAnsi="Times New Roman" w:cs="Times New Roman"/>
          <w:b/>
          <w:sz w:val="24"/>
          <w:szCs w:val="24"/>
        </w:rPr>
      </w:pPr>
    </w:p>
    <w:p w14:paraId="52C86189" w14:textId="77777777" w:rsidR="00CB3ECF" w:rsidRDefault="00CB3ECF" w:rsidP="009A2DE6">
      <w:pPr>
        <w:spacing w:line="276" w:lineRule="auto"/>
        <w:rPr>
          <w:rFonts w:ascii="Times New Roman" w:hAnsi="Times New Roman" w:cs="Times New Roman"/>
          <w:sz w:val="24"/>
          <w:szCs w:val="24"/>
        </w:rPr>
      </w:pPr>
      <w:r w:rsidRPr="00CB3ECF">
        <w:rPr>
          <w:rFonts w:ascii="Times New Roman" w:hAnsi="Times New Roman" w:cs="Times New Roman"/>
          <w:b/>
          <w:sz w:val="24"/>
          <w:szCs w:val="24"/>
        </w:rPr>
        <w:t>Short title:</w:t>
      </w:r>
      <w:r>
        <w:rPr>
          <w:rFonts w:ascii="Times New Roman" w:hAnsi="Times New Roman" w:cs="Times New Roman"/>
          <w:sz w:val="24"/>
          <w:szCs w:val="24"/>
        </w:rPr>
        <w:t xml:space="preserve"> ETKAC assay protocol</w:t>
      </w:r>
    </w:p>
    <w:p w14:paraId="6C52B0E4" w14:textId="77777777" w:rsidR="009A78BC" w:rsidRDefault="009A78BC" w:rsidP="009A2DE6">
      <w:pPr>
        <w:spacing w:line="276" w:lineRule="auto"/>
        <w:rPr>
          <w:rFonts w:ascii="Times New Roman" w:hAnsi="Times New Roman" w:cs="Times New Roman"/>
          <w:b/>
          <w:sz w:val="24"/>
          <w:szCs w:val="24"/>
        </w:rPr>
      </w:pPr>
    </w:p>
    <w:p w14:paraId="3B58F8CA" w14:textId="7BAC18E6" w:rsidR="00CB3ECF" w:rsidRDefault="00CB3ECF" w:rsidP="009A2DE6">
      <w:pPr>
        <w:spacing w:line="276" w:lineRule="auto"/>
        <w:rPr>
          <w:rFonts w:ascii="Times New Roman" w:hAnsi="Times New Roman" w:cs="Times New Roman"/>
          <w:sz w:val="24"/>
          <w:szCs w:val="24"/>
        </w:rPr>
      </w:pPr>
      <w:r w:rsidRPr="00CB3ECF">
        <w:rPr>
          <w:rFonts w:ascii="Times New Roman" w:hAnsi="Times New Roman" w:cs="Times New Roman"/>
          <w:b/>
          <w:sz w:val="24"/>
          <w:szCs w:val="24"/>
        </w:rPr>
        <w:t>Key words:</w:t>
      </w:r>
      <w:r>
        <w:rPr>
          <w:rFonts w:ascii="Times New Roman" w:hAnsi="Times New Roman" w:cs="Times New Roman"/>
          <w:sz w:val="24"/>
          <w:szCs w:val="24"/>
        </w:rPr>
        <w:t xml:space="preserve"> thiamine; </w:t>
      </w:r>
      <w:r w:rsidR="0063044A">
        <w:rPr>
          <w:rFonts w:ascii="Times New Roman" w:hAnsi="Times New Roman" w:cs="Times New Roman"/>
          <w:sz w:val="24"/>
          <w:szCs w:val="24"/>
        </w:rPr>
        <w:t xml:space="preserve">vitamin B1; </w:t>
      </w:r>
      <w:r>
        <w:rPr>
          <w:rFonts w:ascii="Times New Roman" w:hAnsi="Times New Roman" w:cs="Times New Roman"/>
          <w:sz w:val="24"/>
          <w:szCs w:val="24"/>
        </w:rPr>
        <w:t xml:space="preserve">ETKAC; </w:t>
      </w:r>
      <w:r w:rsidR="00C34ADF">
        <w:rPr>
          <w:rFonts w:ascii="Times New Roman" w:hAnsi="Times New Roman" w:cs="Times New Roman"/>
          <w:sz w:val="24"/>
          <w:szCs w:val="24"/>
        </w:rPr>
        <w:t>beriberi</w:t>
      </w:r>
      <w:r w:rsidR="00B365DD">
        <w:rPr>
          <w:rFonts w:ascii="Times New Roman" w:hAnsi="Times New Roman" w:cs="Times New Roman"/>
          <w:sz w:val="24"/>
          <w:szCs w:val="24"/>
        </w:rPr>
        <w:t>;</w:t>
      </w:r>
      <w:r w:rsidR="0063044A">
        <w:rPr>
          <w:rFonts w:ascii="Times New Roman" w:hAnsi="Times New Roman" w:cs="Times New Roman"/>
          <w:sz w:val="24"/>
          <w:szCs w:val="24"/>
        </w:rPr>
        <w:t xml:space="preserve"> TPPE</w:t>
      </w:r>
    </w:p>
    <w:p w14:paraId="5F4D2ED4" w14:textId="77777777" w:rsidR="00E74A20" w:rsidRPr="00CB3ECF" w:rsidRDefault="00E74A20">
      <w:pPr>
        <w:rPr>
          <w:rFonts w:ascii="Times New Roman" w:hAnsi="Times New Roman" w:cs="Times New Roman"/>
          <w:sz w:val="24"/>
          <w:szCs w:val="24"/>
        </w:rPr>
      </w:pPr>
    </w:p>
    <w:p w14:paraId="2F0A65DD" w14:textId="77777777" w:rsidR="00E74A20" w:rsidRPr="00CB3ECF" w:rsidRDefault="00E74A20">
      <w:pPr>
        <w:rPr>
          <w:rFonts w:ascii="Times New Roman" w:hAnsi="Times New Roman" w:cs="Times New Roman"/>
          <w:sz w:val="24"/>
          <w:szCs w:val="24"/>
        </w:rPr>
      </w:pPr>
    </w:p>
    <w:p w14:paraId="3CF2A9E0" w14:textId="77777777" w:rsidR="00CB3ECF" w:rsidRDefault="00CB3ECF">
      <w:pPr>
        <w:rPr>
          <w:rFonts w:ascii="Times New Roman" w:hAnsi="Times New Roman" w:cs="Times New Roman"/>
          <w:sz w:val="24"/>
          <w:szCs w:val="24"/>
        </w:rPr>
      </w:pPr>
      <w:r>
        <w:rPr>
          <w:rFonts w:ascii="Times New Roman" w:hAnsi="Times New Roman" w:cs="Times New Roman"/>
          <w:sz w:val="24"/>
          <w:szCs w:val="24"/>
        </w:rPr>
        <w:br w:type="page"/>
      </w:r>
    </w:p>
    <w:p w14:paraId="446BC101" w14:textId="77777777" w:rsidR="00CB3ECF" w:rsidRPr="00B365DD" w:rsidRDefault="00CB3ECF" w:rsidP="009A2DE6">
      <w:pPr>
        <w:spacing w:line="276" w:lineRule="auto"/>
        <w:rPr>
          <w:rFonts w:ascii="Times New Roman" w:hAnsi="Times New Roman" w:cs="Times New Roman"/>
          <w:b/>
          <w:sz w:val="24"/>
          <w:szCs w:val="24"/>
        </w:rPr>
      </w:pPr>
      <w:r w:rsidRPr="00B365DD">
        <w:rPr>
          <w:rFonts w:ascii="Times New Roman" w:hAnsi="Times New Roman" w:cs="Times New Roman"/>
          <w:b/>
          <w:sz w:val="24"/>
          <w:szCs w:val="24"/>
        </w:rPr>
        <w:lastRenderedPageBreak/>
        <w:t>Abstract</w:t>
      </w:r>
    </w:p>
    <w:p w14:paraId="017A07F0" w14:textId="144437C7" w:rsidR="00DC575C" w:rsidRDefault="00DC575C" w:rsidP="00DC575C">
      <w:pPr>
        <w:spacing w:line="276" w:lineRule="auto"/>
        <w:rPr>
          <w:rFonts w:ascii="Times New Roman" w:hAnsi="Times New Roman" w:cs="Times New Roman"/>
          <w:sz w:val="24"/>
          <w:szCs w:val="24"/>
        </w:rPr>
      </w:pPr>
      <w:r>
        <w:rPr>
          <w:rFonts w:ascii="Times New Roman" w:hAnsi="Times New Roman" w:cs="Times New Roman"/>
          <w:sz w:val="24"/>
          <w:szCs w:val="24"/>
        </w:rPr>
        <w:t xml:space="preserve">Vitamin B1 (thiamine) is an essential nutrient that acts as a cofactor for a number of metabolic processes, particularly in energy metabolism. Symptoms of classic thiamine deficiency are recognised as </w:t>
      </w:r>
      <w:r w:rsidR="00C34ADF">
        <w:rPr>
          <w:rFonts w:ascii="Times New Roman" w:hAnsi="Times New Roman" w:cs="Times New Roman"/>
          <w:sz w:val="24"/>
          <w:szCs w:val="24"/>
        </w:rPr>
        <w:t>beriberi</w:t>
      </w:r>
      <w:r>
        <w:rPr>
          <w:rFonts w:ascii="Times New Roman" w:hAnsi="Times New Roman" w:cs="Times New Roman"/>
          <w:sz w:val="24"/>
          <w:szCs w:val="24"/>
        </w:rPr>
        <w:t xml:space="preserve">, although clinical symptoms are non-specific and recognition of sub-clinical deficiency is difficult. Therefore, </w:t>
      </w:r>
      <w:r w:rsidR="00C34ADF">
        <w:rPr>
          <w:rFonts w:ascii="Times New Roman" w:hAnsi="Times New Roman" w:cs="Times New Roman"/>
          <w:sz w:val="24"/>
          <w:szCs w:val="24"/>
        </w:rPr>
        <w:t xml:space="preserve">reliable </w:t>
      </w:r>
      <w:r>
        <w:rPr>
          <w:rFonts w:ascii="Times New Roman" w:hAnsi="Times New Roman" w:cs="Times New Roman"/>
          <w:sz w:val="24"/>
          <w:szCs w:val="24"/>
        </w:rPr>
        <w:t>biomarkers of thiamine status are required.</w:t>
      </w:r>
    </w:p>
    <w:p w14:paraId="418F20AF" w14:textId="19D2483D" w:rsidR="00DC575C" w:rsidRDefault="00DC575C" w:rsidP="00DC575C">
      <w:pPr>
        <w:spacing w:line="276" w:lineRule="auto"/>
        <w:rPr>
          <w:rFonts w:ascii="Times New Roman" w:hAnsi="Times New Roman" w:cs="Times New Roman"/>
          <w:sz w:val="24"/>
          <w:szCs w:val="24"/>
        </w:rPr>
      </w:pPr>
      <w:r>
        <w:rPr>
          <w:rFonts w:ascii="Times New Roman" w:hAnsi="Times New Roman" w:cs="Times New Roman"/>
          <w:sz w:val="24"/>
          <w:szCs w:val="24"/>
        </w:rPr>
        <w:t xml:space="preserve">Thiamine diphosphate (ThDP) is a cofactor for transketolase </w:t>
      </w:r>
      <w:r w:rsidR="00C34ADF">
        <w:rPr>
          <w:rFonts w:ascii="Times New Roman" w:hAnsi="Times New Roman" w:cs="Times New Roman"/>
          <w:sz w:val="24"/>
          <w:szCs w:val="24"/>
        </w:rPr>
        <w:t xml:space="preserve">including erythrocyte transketolase </w:t>
      </w:r>
      <w:r>
        <w:rPr>
          <w:rFonts w:ascii="Times New Roman" w:hAnsi="Times New Roman" w:cs="Times New Roman"/>
          <w:sz w:val="24"/>
          <w:szCs w:val="24"/>
        </w:rPr>
        <w:t>(ETK)</w:t>
      </w:r>
      <w:r w:rsidR="00C34ADF">
        <w:rPr>
          <w:rFonts w:ascii="Times New Roman" w:hAnsi="Times New Roman" w:cs="Times New Roman"/>
          <w:sz w:val="24"/>
          <w:szCs w:val="24"/>
        </w:rPr>
        <w:t xml:space="preserve">.The </w:t>
      </w:r>
      <w:r>
        <w:rPr>
          <w:rFonts w:ascii="Times New Roman" w:hAnsi="Times New Roman" w:cs="Times New Roman"/>
          <w:sz w:val="24"/>
          <w:szCs w:val="24"/>
        </w:rPr>
        <w:t xml:space="preserve">ETK activity assay as an indirect, functional marker of thiamine status, has been used for over 50 years. The ETK activity assay provides a sensitive and specific biomarker of thiamine status, however, there is a lack of consensus over the cut-offs for deficiency, partly due to a lack of assay </w:t>
      </w:r>
      <w:r w:rsidR="00517204">
        <w:rPr>
          <w:rFonts w:ascii="Times New Roman" w:hAnsi="Times New Roman" w:cs="Times New Roman"/>
          <w:sz w:val="24"/>
          <w:szCs w:val="24"/>
        </w:rPr>
        <w:t>harmonization</w:t>
      </w:r>
      <w:r>
        <w:rPr>
          <w:rFonts w:ascii="Times New Roman" w:hAnsi="Times New Roman" w:cs="Times New Roman"/>
          <w:sz w:val="24"/>
          <w:szCs w:val="24"/>
        </w:rPr>
        <w:t>.</w:t>
      </w:r>
    </w:p>
    <w:p w14:paraId="2AE5B0A5" w14:textId="77777777" w:rsidR="00DC575C" w:rsidRDefault="00DC575C" w:rsidP="00DC575C">
      <w:pPr>
        <w:spacing w:line="276" w:lineRule="auto"/>
        <w:rPr>
          <w:rFonts w:ascii="Times New Roman" w:hAnsi="Times New Roman" w:cs="Times New Roman"/>
          <w:sz w:val="24"/>
          <w:szCs w:val="24"/>
        </w:rPr>
      </w:pPr>
      <w:r>
        <w:rPr>
          <w:rFonts w:ascii="Times New Roman" w:hAnsi="Times New Roman" w:cs="Times New Roman"/>
          <w:sz w:val="24"/>
          <w:szCs w:val="24"/>
        </w:rPr>
        <w:t xml:space="preserve">Here, we provide a step-by-step protocol for the measurement of ETK activity and calculation of the ETK activity coefficient (ETKAC), including detailed explanations of equipment and chemicals required and guidance for quality control procedures.  </w:t>
      </w:r>
    </w:p>
    <w:p w14:paraId="61440E68" w14:textId="7D59DF30" w:rsidR="00CB3ECF" w:rsidRDefault="00517204" w:rsidP="00DC575C">
      <w:pPr>
        <w:spacing w:line="276" w:lineRule="auto"/>
        <w:rPr>
          <w:rFonts w:ascii="Times New Roman" w:hAnsi="Times New Roman" w:cs="Times New Roman"/>
          <w:sz w:val="24"/>
          <w:szCs w:val="24"/>
        </w:rPr>
      </w:pPr>
      <w:r>
        <w:rPr>
          <w:rFonts w:ascii="Times New Roman" w:hAnsi="Times New Roman" w:cs="Times New Roman"/>
          <w:sz w:val="24"/>
          <w:szCs w:val="24"/>
        </w:rPr>
        <w:t>Harmonization</w:t>
      </w:r>
      <w:r w:rsidR="00DC575C">
        <w:rPr>
          <w:rFonts w:ascii="Times New Roman" w:hAnsi="Times New Roman" w:cs="Times New Roman"/>
          <w:sz w:val="24"/>
          <w:szCs w:val="24"/>
        </w:rPr>
        <w:t xml:space="preserve"> of protocol</w:t>
      </w:r>
      <w:r w:rsidR="00421D8A">
        <w:rPr>
          <w:rFonts w:ascii="Times New Roman" w:hAnsi="Times New Roman" w:cs="Times New Roman"/>
          <w:sz w:val="24"/>
          <w:szCs w:val="24"/>
        </w:rPr>
        <w:t xml:space="preserve"> will provide</w:t>
      </w:r>
      <w:r w:rsidR="00DC575C">
        <w:rPr>
          <w:rFonts w:ascii="Times New Roman" w:hAnsi="Times New Roman" w:cs="Times New Roman"/>
          <w:sz w:val="24"/>
          <w:szCs w:val="24"/>
        </w:rPr>
        <w:t xml:space="preserve"> the basis for the development of internationally recognized cut-offs for thiamine insufficiency. The establishment of quality control materials and a quality assurance scheme are recommended to provide reliability. This will ensure the ETK activity assay remains an important method for the assessment of thiamine status.</w:t>
      </w:r>
      <w:r w:rsidR="00CB3ECF">
        <w:rPr>
          <w:rFonts w:ascii="Times New Roman" w:hAnsi="Times New Roman" w:cs="Times New Roman"/>
          <w:sz w:val="24"/>
          <w:szCs w:val="24"/>
        </w:rPr>
        <w:br w:type="page"/>
      </w:r>
    </w:p>
    <w:p w14:paraId="0AE99E0D" w14:textId="77777777" w:rsidR="0034258E" w:rsidRPr="00764081" w:rsidRDefault="0034258E" w:rsidP="00764081">
      <w:pPr>
        <w:pStyle w:val="ListParagraph"/>
        <w:numPr>
          <w:ilvl w:val="0"/>
          <w:numId w:val="20"/>
        </w:numPr>
        <w:rPr>
          <w:rFonts w:ascii="Times New Roman" w:hAnsi="Times New Roman" w:cs="Times New Roman"/>
          <w:b/>
          <w:sz w:val="24"/>
          <w:szCs w:val="24"/>
        </w:rPr>
      </w:pPr>
      <w:r w:rsidRPr="00764081">
        <w:rPr>
          <w:rFonts w:ascii="Times New Roman" w:hAnsi="Times New Roman" w:cs="Times New Roman"/>
          <w:b/>
          <w:sz w:val="24"/>
          <w:szCs w:val="24"/>
        </w:rPr>
        <w:lastRenderedPageBreak/>
        <w:t>Introduction</w:t>
      </w:r>
    </w:p>
    <w:p w14:paraId="3F610C46" w14:textId="7830B63C" w:rsidR="0034258E" w:rsidRPr="00CB3ECF" w:rsidRDefault="00A31FD9">
      <w:pPr>
        <w:rPr>
          <w:rFonts w:ascii="Times New Roman" w:hAnsi="Times New Roman" w:cs="Times New Roman"/>
          <w:sz w:val="24"/>
          <w:szCs w:val="24"/>
        </w:rPr>
      </w:pPr>
      <w:r w:rsidRPr="00CB3ECF">
        <w:rPr>
          <w:rFonts w:ascii="Times New Roman" w:hAnsi="Times New Roman" w:cs="Times New Roman"/>
          <w:sz w:val="24"/>
          <w:szCs w:val="24"/>
        </w:rPr>
        <w:t xml:space="preserve">Thiamine (vitamin B1) is an essential </w:t>
      </w:r>
      <w:r w:rsidR="000F1877" w:rsidRPr="00CB3ECF">
        <w:rPr>
          <w:rFonts w:ascii="Times New Roman" w:hAnsi="Times New Roman" w:cs="Times New Roman"/>
          <w:sz w:val="24"/>
          <w:szCs w:val="24"/>
        </w:rPr>
        <w:t>micro</w:t>
      </w:r>
      <w:r w:rsidR="000C3448">
        <w:rPr>
          <w:rFonts w:ascii="Times New Roman" w:hAnsi="Times New Roman" w:cs="Times New Roman"/>
          <w:sz w:val="24"/>
          <w:szCs w:val="24"/>
        </w:rPr>
        <w:t>nutrient</w:t>
      </w:r>
      <w:r w:rsidR="000F1877" w:rsidRPr="00CB3ECF">
        <w:rPr>
          <w:rFonts w:ascii="Times New Roman" w:hAnsi="Times New Roman" w:cs="Times New Roman"/>
          <w:sz w:val="24"/>
          <w:szCs w:val="24"/>
        </w:rPr>
        <w:t xml:space="preserve">. In humans, the </w:t>
      </w:r>
      <w:r w:rsidRPr="00CB3ECF">
        <w:rPr>
          <w:rFonts w:ascii="Times New Roman" w:hAnsi="Times New Roman" w:cs="Times New Roman"/>
          <w:sz w:val="24"/>
          <w:szCs w:val="24"/>
        </w:rPr>
        <w:t xml:space="preserve">majority of thiamine exists in phosphorylated forms: </w:t>
      </w:r>
      <w:r w:rsidR="007D5D35" w:rsidRPr="00CB3ECF">
        <w:rPr>
          <w:rFonts w:ascii="Times New Roman" w:hAnsi="Times New Roman" w:cs="Times New Roman"/>
          <w:sz w:val="24"/>
          <w:szCs w:val="24"/>
        </w:rPr>
        <w:t>thiamine</w:t>
      </w:r>
      <w:r w:rsidRPr="00CB3ECF">
        <w:rPr>
          <w:rFonts w:ascii="Times New Roman" w:hAnsi="Times New Roman" w:cs="Times New Roman"/>
          <w:sz w:val="24"/>
          <w:szCs w:val="24"/>
        </w:rPr>
        <w:t xml:space="preserve"> monophosphate (T</w:t>
      </w:r>
      <w:r w:rsidR="000F1877" w:rsidRPr="00CB3ECF">
        <w:rPr>
          <w:rFonts w:ascii="Times New Roman" w:hAnsi="Times New Roman" w:cs="Times New Roman"/>
          <w:sz w:val="24"/>
          <w:szCs w:val="24"/>
        </w:rPr>
        <w:t>h</w:t>
      </w:r>
      <w:r w:rsidRPr="00CB3ECF">
        <w:rPr>
          <w:rFonts w:ascii="Times New Roman" w:hAnsi="Times New Roman" w:cs="Times New Roman"/>
          <w:sz w:val="24"/>
          <w:szCs w:val="24"/>
        </w:rPr>
        <w:t xml:space="preserve">MP), </w:t>
      </w:r>
      <w:r w:rsidR="00C84543" w:rsidRPr="00CB3ECF">
        <w:rPr>
          <w:rFonts w:ascii="Times New Roman" w:hAnsi="Times New Roman" w:cs="Times New Roman"/>
          <w:sz w:val="24"/>
          <w:szCs w:val="24"/>
        </w:rPr>
        <w:t>thiamine diphosphate (ThDP)</w:t>
      </w:r>
      <w:r w:rsidR="00C84543">
        <w:rPr>
          <w:rFonts w:ascii="Times New Roman" w:hAnsi="Times New Roman" w:cs="Times New Roman"/>
          <w:sz w:val="24"/>
          <w:szCs w:val="24"/>
        </w:rPr>
        <w:t xml:space="preserve"> </w:t>
      </w:r>
      <w:r w:rsidRPr="00CB3ECF">
        <w:rPr>
          <w:rFonts w:ascii="Times New Roman" w:hAnsi="Times New Roman" w:cs="Times New Roman"/>
          <w:sz w:val="24"/>
          <w:szCs w:val="24"/>
        </w:rPr>
        <w:t>(also known as</w:t>
      </w:r>
      <w:r w:rsidR="00C84543">
        <w:rPr>
          <w:rFonts w:ascii="Times New Roman" w:hAnsi="Times New Roman" w:cs="Times New Roman"/>
          <w:sz w:val="24"/>
          <w:szCs w:val="24"/>
        </w:rPr>
        <w:t xml:space="preserve"> </w:t>
      </w:r>
      <w:r w:rsidR="00C84543" w:rsidRPr="00CB3ECF">
        <w:rPr>
          <w:rFonts w:ascii="Times New Roman" w:hAnsi="Times New Roman" w:cs="Times New Roman"/>
          <w:sz w:val="24"/>
          <w:szCs w:val="24"/>
        </w:rPr>
        <w:t>thiamine pyrophosphate (ThPP)</w:t>
      </w:r>
      <w:r w:rsidR="000F1877" w:rsidRPr="00CB3ECF">
        <w:rPr>
          <w:rFonts w:ascii="Times New Roman" w:hAnsi="Times New Roman" w:cs="Times New Roman"/>
          <w:sz w:val="24"/>
          <w:szCs w:val="24"/>
        </w:rPr>
        <w:t>) and thiamine triphos</w:t>
      </w:r>
      <w:r w:rsidRPr="00CB3ECF">
        <w:rPr>
          <w:rFonts w:ascii="Times New Roman" w:hAnsi="Times New Roman" w:cs="Times New Roman"/>
          <w:sz w:val="24"/>
          <w:szCs w:val="24"/>
        </w:rPr>
        <w:t>phate</w:t>
      </w:r>
      <w:r w:rsidR="000F1877" w:rsidRPr="00CB3ECF">
        <w:rPr>
          <w:rFonts w:ascii="Times New Roman" w:hAnsi="Times New Roman" w:cs="Times New Roman"/>
          <w:sz w:val="24"/>
          <w:szCs w:val="24"/>
        </w:rPr>
        <w:t xml:space="preserve"> (ThTP)</w:t>
      </w:r>
      <w:r w:rsidRPr="00CB3ECF">
        <w:rPr>
          <w:rFonts w:ascii="Times New Roman" w:hAnsi="Times New Roman" w:cs="Times New Roman"/>
          <w:sz w:val="24"/>
          <w:szCs w:val="24"/>
        </w:rPr>
        <w:t xml:space="preserve">. </w:t>
      </w:r>
      <w:r w:rsidR="000F1877" w:rsidRPr="00CB3ECF">
        <w:rPr>
          <w:rFonts w:ascii="Times New Roman" w:hAnsi="Times New Roman" w:cs="Times New Roman"/>
          <w:sz w:val="24"/>
          <w:szCs w:val="24"/>
        </w:rPr>
        <w:t>ThDP is the major form, making up aro</w:t>
      </w:r>
      <w:r w:rsidR="00EB1791">
        <w:rPr>
          <w:rFonts w:ascii="Times New Roman" w:hAnsi="Times New Roman" w:cs="Times New Roman"/>
          <w:sz w:val="24"/>
          <w:szCs w:val="24"/>
        </w:rPr>
        <w:t xml:space="preserve">und 80% of total blood thiamine and </w:t>
      </w:r>
      <w:r w:rsidR="00F17D31">
        <w:rPr>
          <w:rFonts w:ascii="Times New Roman" w:hAnsi="Times New Roman" w:cs="Times New Roman"/>
          <w:sz w:val="24"/>
          <w:szCs w:val="24"/>
        </w:rPr>
        <w:t xml:space="preserve">is </w:t>
      </w:r>
      <w:r w:rsidR="00D83171">
        <w:rPr>
          <w:rFonts w:ascii="Times New Roman" w:hAnsi="Times New Roman" w:cs="Times New Roman"/>
          <w:sz w:val="24"/>
          <w:szCs w:val="24"/>
        </w:rPr>
        <w:t xml:space="preserve">mainly </w:t>
      </w:r>
      <w:r w:rsidR="00F17D31">
        <w:rPr>
          <w:rFonts w:ascii="Times New Roman" w:hAnsi="Times New Roman" w:cs="Times New Roman"/>
          <w:sz w:val="24"/>
          <w:szCs w:val="24"/>
        </w:rPr>
        <w:t>present in</w:t>
      </w:r>
      <w:r w:rsidR="000F1877" w:rsidRPr="00CB3ECF">
        <w:rPr>
          <w:rFonts w:ascii="Times New Roman" w:hAnsi="Times New Roman" w:cs="Times New Roman"/>
          <w:sz w:val="24"/>
          <w:szCs w:val="24"/>
        </w:rPr>
        <w:t xml:space="preserve"> </w:t>
      </w:r>
      <w:r w:rsidR="00F17D31">
        <w:rPr>
          <w:rFonts w:ascii="Times New Roman" w:hAnsi="Times New Roman" w:cs="Times New Roman"/>
          <w:sz w:val="24"/>
          <w:szCs w:val="24"/>
        </w:rPr>
        <w:t>erythrocytes</w:t>
      </w:r>
      <w:r w:rsidR="000F1877" w:rsidRPr="00CB3ECF">
        <w:rPr>
          <w:rFonts w:ascii="Times New Roman" w:hAnsi="Times New Roman" w:cs="Times New Roman"/>
          <w:sz w:val="24"/>
          <w:szCs w:val="24"/>
        </w:rPr>
        <w:t xml:space="preserve"> and white blood cells. </w:t>
      </w:r>
    </w:p>
    <w:p w14:paraId="0920B213" w14:textId="6C28DF0C" w:rsidR="000F1877" w:rsidRDefault="000F1877">
      <w:pPr>
        <w:rPr>
          <w:rFonts w:ascii="Times New Roman" w:hAnsi="Times New Roman" w:cs="Times New Roman"/>
          <w:sz w:val="24"/>
          <w:szCs w:val="24"/>
        </w:rPr>
      </w:pPr>
      <w:r w:rsidRPr="00CB3ECF">
        <w:rPr>
          <w:rFonts w:ascii="Times New Roman" w:hAnsi="Times New Roman" w:cs="Times New Roman"/>
          <w:sz w:val="24"/>
          <w:szCs w:val="24"/>
        </w:rPr>
        <w:t>ThDP is an essential cofactor for a number</w:t>
      </w:r>
      <w:r w:rsidR="00D83171">
        <w:rPr>
          <w:rFonts w:ascii="Times New Roman" w:hAnsi="Times New Roman" w:cs="Times New Roman"/>
          <w:sz w:val="24"/>
          <w:szCs w:val="24"/>
        </w:rPr>
        <w:t xml:space="preserve"> of</w:t>
      </w:r>
      <w:r w:rsidRPr="00CB3ECF">
        <w:rPr>
          <w:rFonts w:ascii="Times New Roman" w:hAnsi="Times New Roman" w:cs="Times New Roman"/>
          <w:sz w:val="24"/>
          <w:szCs w:val="24"/>
        </w:rPr>
        <w:t xml:space="preserve"> metabolic enzymes, particularly those associated with </w:t>
      </w:r>
      <w:r w:rsidR="00045A2D">
        <w:rPr>
          <w:rFonts w:ascii="Times New Roman" w:hAnsi="Times New Roman" w:cs="Times New Roman"/>
          <w:sz w:val="24"/>
          <w:szCs w:val="24"/>
        </w:rPr>
        <w:t>oxidative and non-oxidative carbohydrate metabolism</w:t>
      </w:r>
      <w:r w:rsidR="00D83171">
        <w:rPr>
          <w:rFonts w:ascii="Times New Roman" w:hAnsi="Times New Roman" w:cs="Times New Roman"/>
          <w:sz w:val="24"/>
          <w:szCs w:val="24"/>
        </w:rPr>
        <w:t>. These</w:t>
      </w:r>
      <w:r w:rsidRPr="00CB3ECF">
        <w:rPr>
          <w:rFonts w:ascii="Times New Roman" w:hAnsi="Times New Roman" w:cs="Times New Roman"/>
          <w:sz w:val="24"/>
          <w:szCs w:val="24"/>
        </w:rPr>
        <w:t xml:space="preserve"> </w:t>
      </w:r>
      <w:r w:rsidR="00D83171" w:rsidRPr="00CB3ECF">
        <w:rPr>
          <w:rFonts w:ascii="Times New Roman" w:hAnsi="Times New Roman" w:cs="Times New Roman"/>
          <w:sz w:val="24"/>
          <w:szCs w:val="24"/>
        </w:rPr>
        <w:t>includ</w:t>
      </w:r>
      <w:r w:rsidR="00D83171">
        <w:rPr>
          <w:rFonts w:ascii="Times New Roman" w:hAnsi="Times New Roman" w:cs="Times New Roman"/>
          <w:sz w:val="24"/>
          <w:szCs w:val="24"/>
        </w:rPr>
        <w:t xml:space="preserve">e </w:t>
      </w:r>
      <w:r w:rsidRPr="00CB3ECF">
        <w:rPr>
          <w:rFonts w:ascii="Times New Roman" w:hAnsi="Times New Roman" w:cs="Times New Roman"/>
          <w:sz w:val="24"/>
          <w:szCs w:val="24"/>
        </w:rPr>
        <w:t xml:space="preserve">pyruvate </w:t>
      </w:r>
      <w:r w:rsidR="00045A2D">
        <w:rPr>
          <w:rFonts w:ascii="Times New Roman" w:hAnsi="Times New Roman" w:cs="Times New Roman"/>
          <w:sz w:val="24"/>
          <w:szCs w:val="24"/>
        </w:rPr>
        <w:t>dehydrogenase</w:t>
      </w:r>
      <w:r w:rsidR="00D83171">
        <w:rPr>
          <w:rFonts w:ascii="Times New Roman" w:hAnsi="Times New Roman" w:cs="Times New Roman"/>
          <w:sz w:val="24"/>
          <w:szCs w:val="24"/>
        </w:rPr>
        <w:t>, responsible</w:t>
      </w:r>
      <w:r w:rsidR="00045A2D">
        <w:rPr>
          <w:rFonts w:ascii="Times New Roman" w:hAnsi="Times New Roman" w:cs="Times New Roman"/>
          <w:sz w:val="24"/>
          <w:szCs w:val="24"/>
        </w:rPr>
        <w:t xml:space="preserve"> for the conversion of pyruvate to acetyl coenzyme A</w:t>
      </w:r>
      <w:r w:rsidRPr="00CB3ECF">
        <w:rPr>
          <w:rFonts w:ascii="Times New Roman" w:hAnsi="Times New Roman" w:cs="Times New Roman"/>
          <w:sz w:val="24"/>
          <w:szCs w:val="24"/>
        </w:rPr>
        <w:t>, α-ketoglutarate dehydrogenase</w:t>
      </w:r>
      <w:r w:rsidR="00C6251A" w:rsidRPr="00CB3ECF">
        <w:rPr>
          <w:rFonts w:ascii="Times New Roman" w:hAnsi="Times New Roman" w:cs="Times New Roman"/>
          <w:sz w:val="24"/>
          <w:szCs w:val="24"/>
        </w:rPr>
        <w:t xml:space="preserve"> </w:t>
      </w:r>
      <w:r w:rsidR="00045A2D">
        <w:rPr>
          <w:rFonts w:ascii="Times New Roman" w:hAnsi="Times New Roman" w:cs="Times New Roman"/>
          <w:sz w:val="24"/>
          <w:szCs w:val="24"/>
        </w:rPr>
        <w:t xml:space="preserve">in the Krebs cycle </w:t>
      </w:r>
      <w:r w:rsidR="00C6251A" w:rsidRPr="00CB3ECF">
        <w:rPr>
          <w:rFonts w:ascii="Times New Roman" w:hAnsi="Times New Roman" w:cs="Times New Roman"/>
          <w:sz w:val="24"/>
          <w:szCs w:val="24"/>
        </w:rPr>
        <w:t>and</w:t>
      </w:r>
      <w:r w:rsidRPr="00CB3ECF">
        <w:rPr>
          <w:rFonts w:ascii="Times New Roman" w:hAnsi="Times New Roman" w:cs="Times New Roman"/>
          <w:sz w:val="24"/>
          <w:szCs w:val="24"/>
        </w:rPr>
        <w:t xml:space="preserve"> </w:t>
      </w:r>
      <w:r w:rsidR="00C6251A" w:rsidRPr="00CB3ECF">
        <w:rPr>
          <w:rFonts w:ascii="Times New Roman" w:hAnsi="Times New Roman" w:cs="Times New Roman"/>
          <w:sz w:val="24"/>
          <w:szCs w:val="24"/>
        </w:rPr>
        <w:t>the branched chain α-</w:t>
      </w:r>
      <w:r w:rsidR="00045A2D">
        <w:rPr>
          <w:rFonts w:ascii="Times New Roman" w:hAnsi="Times New Roman" w:cs="Times New Roman"/>
          <w:sz w:val="24"/>
          <w:szCs w:val="24"/>
        </w:rPr>
        <w:t xml:space="preserve">keto acid dehydrogenase complex. </w:t>
      </w:r>
      <w:r w:rsidR="00C6251A" w:rsidRPr="00CB3ECF">
        <w:rPr>
          <w:rFonts w:ascii="Times New Roman" w:hAnsi="Times New Roman" w:cs="Times New Roman"/>
          <w:sz w:val="24"/>
          <w:szCs w:val="24"/>
        </w:rPr>
        <w:t xml:space="preserve"> </w:t>
      </w:r>
      <w:r w:rsidR="003037E6">
        <w:rPr>
          <w:rFonts w:ascii="Times New Roman" w:hAnsi="Times New Roman" w:cs="Times New Roman"/>
          <w:sz w:val="24"/>
          <w:szCs w:val="24"/>
        </w:rPr>
        <w:t>In non-oxidative carbohydrate metabolism, ThDP is a cofactor for the transketolase in the pentose phosphate pathway</w:t>
      </w:r>
      <w:r w:rsidR="00D83171">
        <w:rPr>
          <w:rFonts w:ascii="Times New Roman" w:hAnsi="Times New Roman" w:cs="Times New Roman"/>
          <w:sz w:val="24"/>
          <w:szCs w:val="24"/>
        </w:rPr>
        <w:t>, necessary for</w:t>
      </w:r>
      <w:r w:rsidR="003037E6">
        <w:rPr>
          <w:rFonts w:ascii="Times New Roman" w:hAnsi="Times New Roman" w:cs="Times New Roman"/>
          <w:sz w:val="24"/>
          <w:szCs w:val="24"/>
        </w:rPr>
        <w:t xml:space="preserve"> the production of pentoses and NADPH </w:t>
      </w:r>
      <w:r w:rsidR="00D83171">
        <w:rPr>
          <w:rFonts w:ascii="Times New Roman" w:hAnsi="Times New Roman" w:cs="Times New Roman"/>
          <w:sz w:val="24"/>
          <w:szCs w:val="24"/>
        </w:rPr>
        <w:t xml:space="preserve">used in </w:t>
      </w:r>
      <w:r w:rsidR="003037E6">
        <w:rPr>
          <w:rFonts w:ascii="Times New Roman" w:hAnsi="Times New Roman" w:cs="Times New Roman"/>
          <w:sz w:val="24"/>
          <w:szCs w:val="24"/>
        </w:rPr>
        <w:t>nucleic acid and</w:t>
      </w:r>
      <w:r w:rsidR="00F17D31">
        <w:rPr>
          <w:rFonts w:ascii="Times New Roman" w:hAnsi="Times New Roman" w:cs="Times New Roman"/>
          <w:sz w:val="24"/>
          <w:szCs w:val="24"/>
        </w:rPr>
        <w:t xml:space="preserve"> fatty </w:t>
      </w:r>
      <w:r w:rsidR="00D83171">
        <w:rPr>
          <w:rFonts w:ascii="Times New Roman" w:hAnsi="Times New Roman" w:cs="Times New Roman"/>
          <w:sz w:val="24"/>
          <w:szCs w:val="24"/>
        </w:rPr>
        <w:t xml:space="preserve">acid </w:t>
      </w:r>
      <w:r w:rsidR="00F17D31">
        <w:rPr>
          <w:rFonts w:ascii="Times New Roman" w:hAnsi="Times New Roman" w:cs="Times New Roman"/>
          <w:sz w:val="24"/>
          <w:szCs w:val="24"/>
        </w:rPr>
        <w:t>synthesis, respectively.</w:t>
      </w:r>
      <w:r w:rsidR="003037E6">
        <w:rPr>
          <w:rFonts w:ascii="Times New Roman" w:hAnsi="Times New Roman" w:cs="Times New Roman"/>
          <w:sz w:val="24"/>
          <w:szCs w:val="24"/>
        </w:rPr>
        <w:fldChar w:fldCharType="begin" w:fldLock="1"/>
      </w:r>
      <w:r w:rsidR="003037E6">
        <w:rPr>
          <w:rFonts w:ascii="Times New Roman" w:hAnsi="Times New Roman" w:cs="Times New Roman"/>
          <w:sz w:val="24"/>
          <w:szCs w:val="24"/>
        </w:rPr>
        <w:instrText>ADDIN CSL_CITATION {"citationItems":[{"id":"ITEM-1","itemData":{"DOI":"10.1177/0148607114565245","ISSN":"1941-2444 (Electronic)","PMID":"25564426","abstract":"Thiamin is a water-soluble vitamin also known as vitamin B1. Its biologically active  form, thiamin pyrophosphate (TPP), is a cofactor in macronutrient metabolism. In addition to its coenzyme roles, TPP plays a role in nerve structure and function as well as brain metabolism. Signs and symptoms of thiamin deficiency (TD) include lactic acidosis, peripheral neuropathy, ataxia, and ocular changes (eg, nystagmus). More advanced symptoms include confabulation and memory loss and/or psychosis, resulting in Wernicke's encephalopathy and/or Wernicke's Korsakoff syndrome, respectively. The nutrition support clinician should be aware of patients who may be at risk for TD. Risk factors include those patients with malnutrition due to 1 or more nutrition-related etiologies: decreased nutrient intake, increased nutrient losses, or impaired nutrient absorption. Clinical scenarios such as unexplained heart failure or lactic acidosis, renal failure with dialysis, alcoholism, starvation, hyperemesis gravidarum, or bariatric surgery may increase the risk for TD. Patients who are critically ill and require nutrition support may also be at risk for TD, especially those who are given intravenous dextrose void of thiamin repletion. Furthermore, understanding thiamin's role as a potential therapeutic agent for diabetes, some inborn errors of metabolism, and neurodegenerative diseases warrants further research. This tutorial describes the absorption, digestion, and metabolism of thiamin. Issues pertaining to thiamin in clinical practice will be described, and evidence-based practice suggestions for the prevention and treatment of TD will be discussed.","author":[{"dropping-particle":"","family":"Frank","given":"Laura L","non-dropping-particle":"","parse-names":false,"suffix":""}],"container-title":"JPEN. Journal of parenteral and enteral nutrition","id":"ITEM-1","issue":"5","issued":{"date-parts":[["2015","7"]]},"language":"eng","page":"503-520","publisher-place":"United States","title":"Thiamin in Clinical Practice.","type":"article-journal","volume":"39"},"uris":["http://www.mendeley.com/documents/?uuid=e619897a-9128-41e0-86bb-52a374f2df09"]}],"mendeley":{"formattedCitation":"&lt;sup&gt;1&lt;/sup&gt;","plainTextFormattedCitation":"1","previouslyFormattedCitation":"&lt;sup&gt;1&lt;/sup&gt;"},"properties":{"noteIndex":0},"schema":"https://github.com/citation-style-language/schema/raw/master/csl-citation.json"}</w:instrText>
      </w:r>
      <w:r w:rsidR="003037E6">
        <w:rPr>
          <w:rFonts w:ascii="Times New Roman" w:hAnsi="Times New Roman" w:cs="Times New Roman"/>
          <w:sz w:val="24"/>
          <w:szCs w:val="24"/>
        </w:rPr>
        <w:fldChar w:fldCharType="separate"/>
      </w:r>
      <w:r w:rsidR="003037E6" w:rsidRPr="003037E6">
        <w:rPr>
          <w:rFonts w:ascii="Times New Roman" w:hAnsi="Times New Roman" w:cs="Times New Roman"/>
          <w:noProof/>
          <w:sz w:val="24"/>
          <w:szCs w:val="24"/>
          <w:vertAlign w:val="superscript"/>
        </w:rPr>
        <w:t>1</w:t>
      </w:r>
      <w:r w:rsidR="003037E6">
        <w:rPr>
          <w:rFonts w:ascii="Times New Roman" w:hAnsi="Times New Roman" w:cs="Times New Roman"/>
          <w:sz w:val="24"/>
          <w:szCs w:val="24"/>
        </w:rPr>
        <w:fldChar w:fldCharType="end"/>
      </w:r>
      <w:r w:rsidR="00F0084E" w:rsidRPr="00CB3ECF">
        <w:rPr>
          <w:rFonts w:ascii="Times New Roman" w:hAnsi="Times New Roman" w:cs="Times New Roman"/>
          <w:sz w:val="24"/>
          <w:szCs w:val="24"/>
        </w:rPr>
        <w:t xml:space="preserve"> </w:t>
      </w:r>
    </w:p>
    <w:p w14:paraId="465C31CF" w14:textId="56FE9D45" w:rsidR="00A31FD9" w:rsidRPr="00CB3ECF" w:rsidRDefault="00F0084E">
      <w:pPr>
        <w:rPr>
          <w:rFonts w:ascii="Times New Roman" w:hAnsi="Times New Roman" w:cs="Times New Roman"/>
          <w:sz w:val="24"/>
          <w:szCs w:val="24"/>
        </w:rPr>
      </w:pPr>
      <w:r w:rsidRPr="00CB3ECF">
        <w:rPr>
          <w:rFonts w:ascii="Times New Roman" w:hAnsi="Times New Roman" w:cs="Times New Roman"/>
          <w:sz w:val="24"/>
          <w:szCs w:val="24"/>
        </w:rPr>
        <w:t xml:space="preserve">Thiamine deficiency </w:t>
      </w:r>
      <w:r w:rsidR="00935132">
        <w:rPr>
          <w:rFonts w:ascii="Times New Roman" w:hAnsi="Times New Roman" w:cs="Times New Roman"/>
          <w:sz w:val="24"/>
          <w:szCs w:val="24"/>
        </w:rPr>
        <w:t>is</w:t>
      </w:r>
      <w:r w:rsidRPr="00CB3ECF">
        <w:rPr>
          <w:rFonts w:ascii="Times New Roman" w:hAnsi="Times New Roman" w:cs="Times New Roman"/>
          <w:sz w:val="24"/>
          <w:szCs w:val="24"/>
        </w:rPr>
        <w:t xml:space="preserve"> associated with non</w:t>
      </w:r>
      <w:r w:rsidR="00C723FF" w:rsidRPr="00CB3ECF">
        <w:rPr>
          <w:rFonts w:ascii="Times New Roman" w:hAnsi="Times New Roman" w:cs="Times New Roman"/>
          <w:sz w:val="24"/>
          <w:szCs w:val="24"/>
        </w:rPr>
        <w:t>-specific clinical symptoms affecting the cardiovascular, muscular</w:t>
      </w:r>
      <w:r w:rsidR="00DD4162">
        <w:rPr>
          <w:rFonts w:ascii="Times New Roman" w:hAnsi="Times New Roman" w:cs="Times New Roman"/>
          <w:sz w:val="24"/>
          <w:szCs w:val="24"/>
        </w:rPr>
        <w:t xml:space="preserve"> and</w:t>
      </w:r>
      <w:r w:rsidR="00C723FF" w:rsidRPr="00CB3ECF">
        <w:rPr>
          <w:rFonts w:ascii="Times New Roman" w:hAnsi="Times New Roman" w:cs="Times New Roman"/>
          <w:sz w:val="24"/>
          <w:szCs w:val="24"/>
        </w:rPr>
        <w:t xml:space="preserve"> nervous  systems. </w:t>
      </w:r>
      <w:r w:rsidRPr="00CB3ECF">
        <w:rPr>
          <w:rFonts w:ascii="Times New Roman" w:hAnsi="Times New Roman" w:cs="Times New Roman"/>
          <w:sz w:val="24"/>
          <w:szCs w:val="24"/>
        </w:rPr>
        <w:t xml:space="preserve">The classical manifestation of thiamine deficiency is </w:t>
      </w:r>
      <w:r w:rsidR="00C34ADF">
        <w:rPr>
          <w:rFonts w:ascii="Times New Roman" w:hAnsi="Times New Roman" w:cs="Times New Roman"/>
          <w:sz w:val="24"/>
          <w:szCs w:val="24"/>
        </w:rPr>
        <w:t>beriberi</w:t>
      </w:r>
      <w:r w:rsidR="00C723FF" w:rsidRPr="00CB3ECF">
        <w:rPr>
          <w:rFonts w:ascii="Times New Roman" w:hAnsi="Times New Roman" w:cs="Times New Roman"/>
          <w:sz w:val="24"/>
          <w:szCs w:val="24"/>
        </w:rPr>
        <w:t xml:space="preserve">. The populations most at risk are </w:t>
      </w:r>
      <w:r w:rsidR="00013F7B">
        <w:rPr>
          <w:rFonts w:ascii="Times New Roman" w:hAnsi="Times New Roman" w:cs="Times New Roman"/>
          <w:sz w:val="24"/>
          <w:szCs w:val="24"/>
        </w:rPr>
        <w:t xml:space="preserve">breastfed </w:t>
      </w:r>
      <w:r w:rsidR="00C723FF" w:rsidRPr="00CB3ECF">
        <w:rPr>
          <w:rFonts w:ascii="Times New Roman" w:hAnsi="Times New Roman" w:cs="Times New Roman"/>
          <w:sz w:val="24"/>
          <w:szCs w:val="24"/>
        </w:rPr>
        <w:t xml:space="preserve">infants </w:t>
      </w:r>
      <w:r w:rsidR="00013F7B">
        <w:rPr>
          <w:rFonts w:ascii="Times New Roman" w:hAnsi="Times New Roman" w:cs="Times New Roman"/>
          <w:sz w:val="24"/>
          <w:szCs w:val="24"/>
        </w:rPr>
        <w:t xml:space="preserve">of thiamine-deficient mothers </w:t>
      </w:r>
      <w:r w:rsidR="00C723FF" w:rsidRPr="00CB3ECF">
        <w:rPr>
          <w:rFonts w:ascii="Times New Roman" w:hAnsi="Times New Roman" w:cs="Times New Roman"/>
          <w:sz w:val="24"/>
          <w:szCs w:val="24"/>
        </w:rPr>
        <w:t xml:space="preserve">in low-income countries, </w:t>
      </w:r>
      <w:r w:rsidR="007D5D35" w:rsidRPr="00CB3ECF">
        <w:rPr>
          <w:rFonts w:ascii="Times New Roman" w:hAnsi="Times New Roman" w:cs="Times New Roman"/>
          <w:sz w:val="24"/>
          <w:szCs w:val="24"/>
        </w:rPr>
        <w:t>particularly</w:t>
      </w:r>
      <w:r w:rsidR="00C723FF" w:rsidRPr="00CB3ECF">
        <w:rPr>
          <w:rFonts w:ascii="Times New Roman" w:hAnsi="Times New Roman" w:cs="Times New Roman"/>
          <w:sz w:val="24"/>
          <w:szCs w:val="24"/>
        </w:rPr>
        <w:t xml:space="preserve"> those with poor diet diversity and where rice is </w:t>
      </w:r>
      <w:r w:rsidR="009A78BC">
        <w:rPr>
          <w:rFonts w:ascii="Times New Roman" w:hAnsi="Times New Roman" w:cs="Times New Roman"/>
          <w:sz w:val="24"/>
          <w:szCs w:val="24"/>
        </w:rPr>
        <w:t xml:space="preserve">the </w:t>
      </w:r>
      <w:r w:rsidR="00C723FF" w:rsidRPr="00CB3ECF">
        <w:rPr>
          <w:rFonts w:ascii="Times New Roman" w:hAnsi="Times New Roman" w:cs="Times New Roman"/>
          <w:sz w:val="24"/>
          <w:szCs w:val="24"/>
        </w:rPr>
        <w:t>staple food</w:t>
      </w:r>
      <w:r w:rsidR="00F17D31">
        <w:rPr>
          <w:rFonts w:ascii="Times New Roman" w:hAnsi="Times New Roman" w:cs="Times New Roman"/>
          <w:sz w:val="24"/>
          <w:szCs w:val="24"/>
        </w:rPr>
        <w:t>.</w:t>
      </w:r>
      <w:r w:rsidR="00F55571">
        <w:rPr>
          <w:rFonts w:ascii="Times New Roman" w:hAnsi="Times New Roman" w:cs="Times New Roman"/>
          <w:sz w:val="24"/>
          <w:szCs w:val="24"/>
        </w:rPr>
        <w:fldChar w:fldCharType="begin" w:fldLock="1"/>
      </w:r>
      <w:r w:rsidR="003037E6">
        <w:rPr>
          <w:rFonts w:ascii="Times New Roman" w:hAnsi="Times New Roman" w:cs="Times New Roman"/>
          <w:sz w:val="24"/>
          <w:szCs w:val="24"/>
        </w:rPr>
        <w:instrText>ADDIN CSL_CITATION {"citationItems":[{"id":"ITEM-1","itemData":{"DOI":"10.1111/nyas.13919","ISSN":"1749-6632 (Electronic)","PMID":"30151974","abstract":"Thiamine is an essential micronutrient that plays a key role in energy metabolism.  Many populations worldwide may be at risk of clinical or subclinical thiamine deficiencies, due to famine, reliance on staple crops with low thiamine content, or food preparation practices, such as milling grains and washing milled rice. Clinical manifestations of thiamine deficiency are variable; this, along with the lack of a readily accessible and widely agreed upon biomarker of thiamine status, complicates efforts to diagnose thiamine deficiency and assess its global prevalence. Strategies to identify regions at risk of thiamine deficiency through proxy measures, such as analysis of food balance sheet data and month-specific infant mortality rates, may be valuable for understanding the scope of thiamine deficiency. Urgent public health responses are warranted in high-risk regions, considering the contribution of thiamine deficiency to infant mortality and research suggesting that even subclinical thiamine deficiency in childhood may have lifelong neurodevelopmental consequences. Food fortification and maternal and/or infant thiamine supplementation have proven effective in raising thiamine status and reducing the incidence of infantile beriberi in regions where thiamine deficiency is prevalent, but trial data are limited. Efforts to determine culturally and environmentally appropriate food vehicles for thiamine fortification are ongoing.","author":[{"dropping-particle":"","family":"Whitfield","given":"Kyly C","non-dropping-particle":"","parse-names":false,"suffix":""},{"dropping-particle":"","family":"Bourassa","given":"Megan W","non-dropping-particle":"","parse-names":false,"suffix":""},{"dropping-particle":"","family":"Adamolekun","given":"Bola","non-dropping-particle":"","parse-names":false,"suffix":""},{"dropping-particle":"","family":"Bergeron","given":"Gilles","non-dropping-particle":"","parse-names":false,"suffix":""},{"dropping-particle":"","family":"Bettendorff","given":"Lucien","non-dropping-particle":"","parse-names":false,"suffix":""},{"dropping-particle":"","family":"Brown","given":"Kenneth H","non-dropping-particle":"","parse-names":false,"suffix":""},{"dropping-particle":"","family":"Cox","given":"Lorna","non-dropping-particle":"","parse-names":false,"suffix":""},{"dropping-particle":"","family":"Fattal-Valevski","given":"Aviva","non-dropping-particle":"","parse-names":false,"suffix":""},{"dropping-particle":"","family":"Fischer","given":"Philip R","non-dropping-particle":"","parse-names":false,"suffix":""},{"dropping-particle":"","family":"Frank","given":"Elizabeth L","non-dropping-particle":"","parse-names":false,"suffix":""},{"dropping-particle":"","family":"Hiffler","given":"Laurent","non-dropping-particle":"","parse-names":false,"suffix":""},{"dropping-particle":"","family":"Hlaing","given":"Lwin Mar","non-dropping-particle":"","parse-names":false,"suffix":""},{"dropping-particle":"","family":"Jefferds","given":"Maria Elena","non-dropping-particle":"","parse-names":false,"suffix":""},{"dropping-particle":"","family":"Kapner","given":"Hallie","non-dropping-particle":"","parse-names":false,"suffix":""},{"dropping-particle":"","family":"Kounnavong","given":"Sengchanh","non-dropping-particle":"","parse-names":false,"suffix":""},{"dropping-particle":"","family":"Mousavi","given":"Maral P S","non-dropping-particle":"","parse-names":false,"suffix":""},{"dropping-particle":"","family":"Roth","given":"Daniel E","non-dropping-particle":"","parse-names":false,"suffix":""},{"dropping-particle":"","family":"Tsaloglou","given":"Maria-Nefeli","non-dropping-particle":"","parse-names":false,"suffix":""},{"dropping-particle":"","family":"Wieringa","given":"Frank","non-dropping-particle":"","parse-names":false,"suffix":""},{"dropping-particle":"","family":"Combs","given":"Gerald F Jr","non-dropping-particle":"","parse-names":false,"suffix":""}],"container-title":"Annals of the New York Academy of Sciences","id":"ITEM-1","issue":"1","issued":{"date-parts":[["2018","10"]]},"language":"eng","page":"3-43","title":"Thiamine deficiency disorders: diagnosis, prevalence, and a roadmap for global  control programs.","type":"article-journal","volume":"1430"},"uris":["http://www.mendeley.com/documents/?uuid=29e06608-673c-4fb0-ae25-2eb1df5e4941"]},{"id":"ITEM-2","itemData":{"DOI":"10.3389/fnut.2016.00016","ISSN":"2296-861X (Print)","PMID":"27379239","abstract":"In humans, thiamine is a micronutrient prone to depletion that may result in severe  clinical abnormalities. This narrative review summarizes current knowledge on thiamine deficiency (TD) and bridges the gap between pathophysiology and clinical presentation by integrating thiamine metabolism at subcellular level with its function to vital organs. The broad clinical spectrum of TD is outlined, with emphasis on conditions encountered in tropical pediatric practice. In particular, TD is associated with type B lactic acidosis and classic forms of beriberi in children, but it is often unrecognized. Other severe acute conditions are associated with hypermetabolism, inducing a functional TD. The crucial role of thiamine in infant cognitive development is also highlighted in this review, along with analysis of the potential impact of TD in refeeding syndrome during severe acute malnutrition (SAM). This review aims to increase clinical awareness of TD in tropical settings where access to diagnostic tests is poor, and advocates for an early therapeutic thiamine challenge in resource-limited settings. Moreover, it provides evidence for thiamine as treatment in critical conditions requiring metabolic resuscitation, and gives rationale to the consideration of increased thiamine supplementation in therapeutic foods for malnourished children.","author":[{"dropping-particle":"","family":"Hiffler","given":"Laurent","non-dropping-particle":"","parse-names":false,"suffix":""},{"dropping-particle":"","family":"Rakotoambinina","given":"Benjamin","non-dropping-particle":"","parse-names":false,"suffix":""},{"dropping-particle":"","family":"Lafferty","given":"Nadia","non-dropping-particle":"","parse-names":false,"suffix":""},{"dropping-particle":"","family":"Martinez Garcia","given":"Daniel","non-dropping-particle":"","parse-names":false,"suffix":""}],"container-title":"Frontiers in nutrition","id":"ITEM-2","issued":{"date-parts":[["2016"]]},"language":"eng","page":"16","title":"Thiamine Deficiency in Tropical Pediatrics: New Insights into a Neglected but Vital  Metabolic Challenge.","type":"article-journal","volume":"3"},"uris":["http://www.mendeley.com/documents/?uuid=e7c7e37a-688d-4e29-9645-db46c6dcf8cc"]}],"mendeley":{"formattedCitation":"&lt;sup&gt;2,3&lt;/sup&gt;","plainTextFormattedCitation":"2,3","previouslyFormattedCitation":"&lt;sup&gt;2,3&lt;/sup&gt;"},"properties":{"noteIndex":0},"schema":"https://github.com/citation-style-language/schema/raw/master/csl-citation.json"}</w:instrText>
      </w:r>
      <w:r w:rsidR="00F55571">
        <w:rPr>
          <w:rFonts w:ascii="Times New Roman" w:hAnsi="Times New Roman" w:cs="Times New Roman"/>
          <w:sz w:val="24"/>
          <w:szCs w:val="24"/>
        </w:rPr>
        <w:fldChar w:fldCharType="separate"/>
      </w:r>
      <w:r w:rsidR="003037E6" w:rsidRPr="003037E6">
        <w:rPr>
          <w:rFonts w:ascii="Times New Roman" w:hAnsi="Times New Roman" w:cs="Times New Roman"/>
          <w:noProof/>
          <w:sz w:val="24"/>
          <w:szCs w:val="24"/>
          <w:vertAlign w:val="superscript"/>
        </w:rPr>
        <w:t>2,3</w:t>
      </w:r>
      <w:r w:rsidR="00F55571">
        <w:rPr>
          <w:rFonts w:ascii="Times New Roman" w:hAnsi="Times New Roman" w:cs="Times New Roman"/>
          <w:sz w:val="24"/>
          <w:szCs w:val="24"/>
        </w:rPr>
        <w:fldChar w:fldCharType="end"/>
      </w:r>
      <w:r w:rsidR="00C723FF" w:rsidRPr="00CB3ECF">
        <w:rPr>
          <w:rFonts w:ascii="Times New Roman" w:hAnsi="Times New Roman" w:cs="Times New Roman"/>
          <w:sz w:val="24"/>
          <w:szCs w:val="24"/>
        </w:rPr>
        <w:t xml:space="preserve"> </w:t>
      </w:r>
      <w:r w:rsidR="00E31691">
        <w:rPr>
          <w:rFonts w:ascii="Times New Roman" w:hAnsi="Times New Roman" w:cs="Times New Roman"/>
          <w:sz w:val="24"/>
          <w:szCs w:val="24"/>
        </w:rPr>
        <w:t xml:space="preserve">In </w:t>
      </w:r>
      <w:r w:rsidR="007D7106">
        <w:rPr>
          <w:rFonts w:ascii="Times New Roman" w:hAnsi="Times New Roman" w:cs="Times New Roman"/>
          <w:sz w:val="24"/>
          <w:szCs w:val="24"/>
        </w:rPr>
        <w:t>high-</w:t>
      </w:r>
      <w:r w:rsidR="00C94796">
        <w:rPr>
          <w:rFonts w:ascii="Times New Roman" w:hAnsi="Times New Roman" w:cs="Times New Roman"/>
          <w:sz w:val="24"/>
          <w:szCs w:val="24"/>
        </w:rPr>
        <w:t xml:space="preserve">income </w:t>
      </w:r>
      <w:r w:rsidR="00E31691">
        <w:rPr>
          <w:rFonts w:ascii="Times New Roman" w:hAnsi="Times New Roman" w:cs="Times New Roman"/>
          <w:sz w:val="24"/>
          <w:szCs w:val="24"/>
        </w:rPr>
        <w:t>countries, deficiency is rare but may be present in</w:t>
      </w:r>
      <w:r w:rsidR="00B71820">
        <w:rPr>
          <w:rFonts w:ascii="Times New Roman" w:hAnsi="Times New Roman" w:cs="Times New Roman"/>
          <w:sz w:val="24"/>
          <w:szCs w:val="24"/>
        </w:rPr>
        <w:t xml:space="preserve"> the elderly,</w:t>
      </w:r>
      <w:r w:rsidR="00E31691">
        <w:rPr>
          <w:rFonts w:ascii="Times New Roman" w:hAnsi="Times New Roman" w:cs="Times New Roman"/>
          <w:sz w:val="24"/>
          <w:szCs w:val="24"/>
        </w:rPr>
        <w:t xml:space="preserve"> chron</w:t>
      </w:r>
      <w:r w:rsidR="00EB1791">
        <w:rPr>
          <w:rFonts w:ascii="Times New Roman" w:hAnsi="Times New Roman" w:cs="Times New Roman"/>
          <w:sz w:val="24"/>
          <w:szCs w:val="24"/>
        </w:rPr>
        <w:t>ic alcoholics and persons with acute or</w:t>
      </w:r>
      <w:r w:rsidR="00E31691">
        <w:rPr>
          <w:rFonts w:ascii="Times New Roman" w:hAnsi="Times New Roman" w:cs="Times New Roman"/>
          <w:sz w:val="24"/>
          <w:szCs w:val="24"/>
        </w:rPr>
        <w:t xml:space="preserve"> chronic medica</w:t>
      </w:r>
      <w:r w:rsidR="00B71820">
        <w:rPr>
          <w:rFonts w:ascii="Times New Roman" w:hAnsi="Times New Roman" w:cs="Times New Roman"/>
          <w:sz w:val="24"/>
          <w:szCs w:val="24"/>
        </w:rPr>
        <w:t>l conditions associated with mal</w:t>
      </w:r>
      <w:r w:rsidR="00EB1791">
        <w:rPr>
          <w:rFonts w:ascii="Times New Roman" w:hAnsi="Times New Roman" w:cs="Times New Roman"/>
          <w:sz w:val="24"/>
          <w:szCs w:val="24"/>
        </w:rPr>
        <w:t>nutrition</w:t>
      </w:r>
      <w:r w:rsidR="00F17D31">
        <w:rPr>
          <w:rFonts w:ascii="Times New Roman" w:hAnsi="Times New Roman" w:cs="Times New Roman"/>
          <w:sz w:val="24"/>
          <w:szCs w:val="24"/>
        </w:rPr>
        <w:t>.</w:t>
      </w:r>
      <w:r w:rsidR="00EB1791">
        <w:rPr>
          <w:rFonts w:ascii="Times New Roman" w:hAnsi="Times New Roman" w:cs="Times New Roman"/>
          <w:sz w:val="24"/>
          <w:szCs w:val="24"/>
        </w:rPr>
        <w:fldChar w:fldCharType="begin" w:fldLock="1"/>
      </w:r>
      <w:r w:rsidR="00F119CB">
        <w:rPr>
          <w:rFonts w:ascii="Times New Roman" w:hAnsi="Times New Roman" w:cs="Times New Roman"/>
          <w:sz w:val="24"/>
          <w:szCs w:val="24"/>
        </w:rPr>
        <w:instrText>ADDIN CSL_CITATION {"citationItems":[{"id":"ITEM-1","itemData":{"DOI":"10.1177/0148607114565245","ISSN":"1941-2444 (Electronic)","PMID":"25564426","abstract":"Thiamin is a water-soluble vitamin also known as vitamin B1. Its biologically active  form, thiamin pyrophosphate (TPP), is a cofactor in macronutrient metabolism. In addition to its coenzyme roles, TPP plays a role in nerve structure and function as well as brain metabolism. Signs and symptoms of thiamin deficiency (TD) include lactic acidosis, peripheral neuropathy, ataxia, and ocular changes (eg, nystagmus). More advanced symptoms include confabulation and memory loss and/or psychosis, resulting in Wernicke's encephalopathy and/or Wernicke's Korsakoff syndrome, respectively. The nutrition support clinician should be aware of patients who may be at risk for TD. Risk factors include those patients with malnutrition due to 1 or more nutrition-related etiologies: decreased nutrient intake, increased nutrient losses, or impaired nutrient absorption. Clinical scenarios such as unexplained heart failure or lactic acidosis, renal failure with dialysis, alcoholism, starvation, hyperemesis gravidarum, or bariatric surgery may increase the risk for TD. Patients who are critically ill and require nutrition support may also be at risk for TD, especially those who are given intravenous dextrose void of thiamin repletion. Furthermore, understanding thiamin's role as a potential therapeutic agent for diabetes, some inborn errors of metabolism, and neurodegenerative diseases warrants further research. This tutorial describes the absorption, digestion, and metabolism of thiamin. Issues pertaining to thiamin in clinical practice will be described, and evidence-based practice suggestions for the prevention and treatment of TD will be discussed.","author":[{"dropping-particle":"","family":"Frank","given":"Laura L","non-dropping-particle":"","parse-names":false,"suffix":""}],"container-title":"JPEN. Journal of parenteral and enteral nutrition","id":"ITEM-1","issue":"5","issued":{"date-parts":[["2015","7"]]},"language":"eng","page":"503-520","publisher-place":"United States","title":"Thiamin in Clinical Practice.","type":"article-journal","volume":"39"},"uris":["http://www.mendeley.com/documents/?uuid=e619897a-9128-41e0-86bb-52a374f2df09"]}],"mendeley":{"formattedCitation":"&lt;sup&gt;1&lt;/sup&gt;","plainTextFormattedCitation":"1","previouslyFormattedCitation":"&lt;sup&gt;1&lt;/sup&gt;"},"properties":{"noteIndex":0},"schema":"https://github.com/citation-style-language/schema/raw/master/csl-citation.json"}</w:instrText>
      </w:r>
      <w:r w:rsidR="00EB1791">
        <w:rPr>
          <w:rFonts w:ascii="Times New Roman" w:hAnsi="Times New Roman" w:cs="Times New Roman"/>
          <w:sz w:val="24"/>
          <w:szCs w:val="24"/>
        </w:rPr>
        <w:fldChar w:fldCharType="separate"/>
      </w:r>
      <w:r w:rsidR="003037E6" w:rsidRPr="003037E6">
        <w:rPr>
          <w:rFonts w:ascii="Times New Roman" w:hAnsi="Times New Roman" w:cs="Times New Roman"/>
          <w:noProof/>
          <w:sz w:val="24"/>
          <w:szCs w:val="24"/>
          <w:vertAlign w:val="superscript"/>
        </w:rPr>
        <w:t>1</w:t>
      </w:r>
      <w:r w:rsidR="00EB1791">
        <w:rPr>
          <w:rFonts w:ascii="Times New Roman" w:hAnsi="Times New Roman" w:cs="Times New Roman"/>
          <w:sz w:val="24"/>
          <w:szCs w:val="24"/>
        </w:rPr>
        <w:fldChar w:fldCharType="end"/>
      </w:r>
      <w:r w:rsidR="00696EA3">
        <w:rPr>
          <w:rFonts w:ascii="Times New Roman" w:hAnsi="Times New Roman" w:cs="Times New Roman"/>
          <w:sz w:val="24"/>
          <w:szCs w:val="24"/>
        </w:rPr>
        <w:t xml:space="preserve"> </w:t>
      </w:r>
      <w:r w:rsidR="00C723FF" w:rsidRPr="00CB3ECF">
        <w:rPr>
          <w:rFonts w:ascii="Times New Roman" w:hAnsi="Times New Roman" w:cs="Times New Roman"/>
          <w:sz w:val="24"/>
          <w:szCs w:val="24"/>
        </w:rPr>
        <w:t xml:space="preserve">In addition to the effect of acute deficiency, evidence also exists that </w:t>
      </w:r>
      <w:r w:rsidR="001B721B">
        <w:rPr>
          <w:rFonts w:ascii="Times New Roman" w:hAnsi="Times New Roman" w:cs="Times New Roman"/>
          <w:sz w:val="24"/>
          <w:szCs w:val="24"/>
        </w:rPr>
        <w:t xml:space="preserve">sub-clinical </w:t>
      </w:r>
      <w:r w:rsidR="00C723FF" w:rsidRPr="00CB3ECF">
        <w:rPr>
          <w:rFonts w:ascii="Times New Roman" w:hAnsi="Times New Roman" w:cs="Times New Roman"/>
          <w:sz w:val="24"/>
          <w:szCs w:val="24"/>
        </w:rPr>
        <w:t>deficiency may have long-term effects in relation to cognition and gross motor skills</w:t>
      </w:r>
      <w:r w:rsidR="00F17D31">
        <w:rPr>
          <w:rFonts w:ascii="Times New Roman" w:hAnsi="Times New Roman" w:cs="Times New Roman"/>
          <w:sz w:val="24"/>
          <w:szCs w:val="24"/>
        </w:rPr>
        <w:t>.</w:t>
      </w:r>
      <w:r w:rsidR="00F55571">
        <w:rPr>
          <w:rFonts w:ascii="Times New Roman" w:hAnsi="Times New Roman" w:cs="Times New Roman"/>
          <w:sz w:val="24"/>
          <w:szCs w:val="24"/>
        </w:rPr>
        <w:fldChar w:fldCharType="begin" w:fldLock="1"/>
      </w:r>
      <w:r w:rsidR="003037E6">
        <w:rPr>
          <w:rFonts w:ascii="Times New Roman" w:hAnsi="Times New Roman" w:cs="Times New Roman"/>
          <w:sz w:val="24"/>
          <w:szCs w:val="24"/>
        </w:rPr>
        <w:instrText>ADDIN CSL_CITATION {"citationItems":[{"id":"ITEM-1","itemData":{"DOI":"10.1111/nyas.13919","ISSN":"1749-6632 (Electronic)","PMID":"30151974","abstract":"Thiamine is an essential micronutrient that plays a key role in energy metabolism.  Many populations worldwide may be at risk of clinical or subclinical thiamine deficiencies, due to famine, reliance on staple crops with low thiamine content, or food preparation practices, such as milling grains and washing milled rice. Clinical manifestations of thiamine deficiency are variable; this, along with the lack of a readily accessible and widely agreed upon biomarker of thiamine status, complicates efforts to diagnose thiamine deficiency and assess its global prevalence. Strategies to identify regions at risk of thiamine deficiency through proxy measures, such as analysis of food balance sheet data and month-specific infant mortality rates, may be valuable for understanding the scope of thiamine deficiency. Urgent public health responses are warranted in high-risk regions, considering the contribution of thiamine deficiency to infant mortality and research suggesting that even subclinical thiamine deficiency in childhood may have lifelong neurodevelopmental consequences. Food fortification and maternal and/or infant thiamine supplementation have proven effective in raising thiamine status and reducing the incidence of infantile beriberi in regions where thiamine deficiency is prevalent, but trial data are limited. Efforts to determine culturally and environmentally appropriate food vehicles for thiamine fortification are ongoing.","author":[{"dropping-particle":"","family":"Whitfield","given":"Kyly C","non-dropping-particle":"","parse-names":false,"suffix":""},{"dropping-particle":"","family":"Bourassa","given":"Megan W","non-dropping-particle":"","parse-names":false,"suffix":""},{"dropping-particle":"","family":"Adamolekun","given":"Bola","non-dropping-particle":"","parse-names":false,"suffix":""},{"dropping-particle":"","family":"Bergeron","given":"Gilles","non-dropping-particle":"","parse-names":false,"suffix":""},{"dropping-particle":"","family":"Bettendorff","given":"Lucien","non-dropping-particle":"","parse-names":false,"suffix":""},{"dropping-particle":"","family":"Brown","given":"Kenneth H","non-dropping-particle":"","parse-names":false,"suffix":""},{"dropping-particle":"","family":"Cox","given":"Lorna","non-dropping-particle":"","parse-names":false,"suffix":""},{"dropping-particle":"","family":"Fattal-Valevski","given":"Aviva","non-dropping-particle":"","parse-names":false,"suffix":""},{"dropping-particle":"","family":"Fischer","given":"Philip R","non-dropping-particle":"","parse-names":false,"suffix":""},{"dropping-particle":"","family":"Frank","given":"Elizabeth L","non-dropping-particle":"","parse-names":false,"suffix":""},{"dropping-particle":"","family":"Hiffler","given":"Laurent","non-dropping-particle":"","parse-names":false,"suffix":""},{"dropping-particle":"","family":"Hlaing","given":"Lwin Mar","non-dropping-particle":"","parse-names":false,"suffix":""},{"dropping-particle":"","family":"Jefferds","given":"Maria Elena","non-dropping-particle":"","parse-names":false,"suffix":""},{"dropping-particle":"","family":"Kapner","given":"Hallie","non-dropping-particle":"","parse-names":false,"suffix":""},{"dropping-particle":"","family":"Kounnavong","given":"Sengchanh","non-dropping-particle":"","parse-names":false,"suffix":""},{"dropping-particle":"","family":"Mousavi","given":"Maral P S","non-dropping-particle":"","parse-names":false,"suffix":""},{"dropping-particle":"","family":"Roth","given":"Daniel E","non-dropping-particle":"","parse-names":false,"suffix":""},{"dropping-particle":"","family":"Tsaloglou","given":"Maria-Nefeli","non-dropping-particle":"","parse-names":false,"suffix":""},{"dropping-particle":"","family":"Wieringa","given":"Frank","non-dropping-particle":"","parse-names":false,"suffix":""},{"dropping-particle":"","family":"Combs","given":"Gerald F Jr","non-dropping-particle":"","parse-names":false,"suffix":""}],"container-title":"Annals of the New York Academy of Sciences","id":"ITEM-1","issue":"1","issued":{"date-parts":[["2018","10"]]},"language":"eng","page":"3-43","title":"Thiamine deficiency disorders: diagnosis, prevalence, and a roadmap for global  control programs.","type":"article-journal","volume":"1430"},"uris":["http://www.mendeley.com/documents/?uuid=29e06608-673c-4fb0-ae25-2eb1df5e4941"]}],"mendeley":{"formattedCitation":"&lt;sup&gt;2&lt;/sup&gt;","plainTextFormattedCitation":"2","previouslyFormattedCitation":"&lt;sup&gt;2&lt;/sup&gt;"},"properties":{"noteIndex":0},"schema":"https://github.com/citation-style-language/schema/raw/master/csl-citation.json"}</w:instrText>
      </w:r>
      <w:r w:rsidR="00F55571">
        <w:rPr>
          <w:rFonts w:ascii="Times New Roman" w:hAnsi="Times New Roman" w:cs="Times New Roman"/>
          <w:sz w:val="24"/>
          <w:szCs w:val="24"/>
        </w:rPr>
        <w:fldChar w:fldCharType="separate"/>
      </w:r>
      <w:r w:rsidR="003037E6" w:rsidRPr="003037E6">
        <w:rPr>
          <w:rFonts w:ascii="Times New Roman" w:hAnsi="Times New Roman" w:cs="Times New Roman"/>
          <w:noProof/>
          <w:sz w:val="24"/>
          <w:szCs w:val="24"/>
          <w:vertAlign w:val="superscript"/>
        </w:rPr>
        <w:t>2</w:t>
      </w:r>
      <w:r w:rsidR="00F55571">
        <w:rPr>
          <w:rFonts w:ascii="Times New Roman" w:hAnsi="Times New Roman" w:cs="Times New Roman"/>
          <w:sz w:val="24"/>
          <w:szCs w:val="24"/>
        </w:rPr>
        <w:fldChar w:fldCharType="end"/>
      </w:r>
      <w:r w:rsidR="00696EA3">
        <w:rPr>
          <w:rFonts w:ascii="Times New Roman" w:hAnsi="Times New Roman" w:cs="Times New Roman"/>
          <w:sz w:val="24"/>
          <w:szCs w:val="24"/>
        </w:rPr>
        <w:t xml:space="preserve"> </w:t>
      </w:r>
    </w:p>
    <w:p w14:paraId="59EFA0CC" w14:textId="00E44DB1" w:rsidR="00C723FF" w:rsidRDefault="00C723FF">
      <w:pPr>
        <w:rPr>
          <w:rFonts w:ascii="Times New Roman" w:hAnsi="Times New Roman" w:cs="Times New Roman"/>
          <w:sz w:val="24"/>
          <w:szCs w:val="24"/>
        </w:rPr>
      </w:pPr>
      <w:r w:rsidRPr="00CB3ECF">
        <w:rPr>
          <w:rFonts w:ascii="Times New Roman" w:hAnsi="Times New Roman" w:cs="Times New Roman"/>
          <w:sz w:val="24"/>
          <w:szCs w:val="24"/>
        </w:rPr>
        <w:t xml:space="preserve">In order to </w:t>
      </w:r>
      <w:r w:rsidR="007D5D35" w:rsidRPr="00CB3ECF">
        <w:rPr>
          <w:rFonts w:ascii="Times New Roman" w:hAnsi="Times New Roman" w:cs="Times New Roman"/>
          <w:sz w:val="24"/>
          <w:szCs w:val="24"/>
        </w:rPr>
        <w:t>investigate the potential impact of sub</w:t>
      </w:r>
      <w:r w:rsidRPr="00CB3ECF">
        <w:rPr>
          <w:rFonts w:ascii="Times New Roman" w:hAnsi="Times New Roman" w:cs="Times New Roman"/>
          <w:sz w:val="24"/>
          <w:szCs w:val="24"/>
        </w:rPr>
        <w:t>-</w:t>
      </w:r>
      <w:r w:rsidR="007D5D35" w:rsidRPr="00CB3ECF">
        <w:rPr>
          <w:rFonts w:ascii="Times New Roman" w:hAnsi="Times New Roman" w:cs="Times New Roman"/>
          <w:sz w:val="24"/>
          <w:szCs w:val="24"/>
        </w:rPr>
        <w:t>clinical</w:t>
      </w:r>
      <w:r w:rsidRPr="00CB3ECF">
        <w:rPr>
          <w:rFonts w:ascii="Times New Roman" w:hAnsi="Times New Roman" w:cs="Times New Roman"/>
          <w:sz w:val="24"/>
          <w:szCs w:val="24"/>
        </w:rPr>
        <w:t xml:space="preserve"> deficiency</w:t>
      </w:r>
      <w:r w:rsidR="00F55571">
        <w:rPr>
          <w:rFonts w:ascii="Times New Roman" w:hAnsi="Times New Roman" w:cs="Times New Roman"/>
          <w:sz w:val="24"/>
          <w:szCs w:val="24"/>
        </w:rPr>
        <w:t xml:space="preserve"> and </w:t>
      </w:r>
      <w:r w:rsidR="001B721B">
        <w:rPr>
          <w:rFonts w:ascii="Times New Roman" w:hAnsi="Times New Roman" w:cs="Times New Roman"/>
          <w:sz w:val="24"/>
          <w:szCs w:val="24"/>
        </w:rPr>
        <w:t>to</w:t>
      </w:r>
      <w:r w:rsidR="00D83171">
        <w:rPr>
          <w:rFonts w:ascii="Times New Roman" w:hAnsi="Times New Roman" w:cs="Times New Roman"/>
          <w:sz w:val="24"/>
          <w:szCs w:val="24"/>
        </w:rPr>
        <w:t xml:space="preserve"> improve our</w:t>
      </w:r>
      <w:r w:rsidR="00F55571">
        <w:rPr>
          <w:rFonts w:ascii="Times New Roman" w:hAnsi="Times New Roman" w:cs="Times New Roman"/>
          <w:sz w:val="24"/>
          <w:szCs w:val="24"/>
        </w:rPr>
        <w:t xml:space="preserve"> understand</w:t>
      </w:r>
      <w:r w:rsidR="00D83171">
        <w:rPr>
          <w:rFonts w:ascii="Times New Roman" w:hAnsi="Times New Roman" w:cs="Times New Roman"/>
          <w:sz w:val="24"/>
          <w:szCs w:val="24"/>
        </w:rPr>
        <w:t>ing of</w:t>
      </w:r>
      <w:r w:rsidR="00F55571">
        <w:rPr>
          <w:rFonts w:ascii="Times New Roman" w:hAnsi="Times New Roman" w:cs="Times New Roman"/>
          <w:sz w:val="24"/>
          <w:szCs w:val="24"/>
        </w:rPr>
        <w:t xml:space="preserve"> the global prevalence of thiamine </w:t>
      </w:r>
      <w:r w:rsidR="001B721B">
        <w:rPr>
          <w:rFonts w:ascii="Times New Roman" w:hAnsi="Times New Roman" w:cs="Times New Roman"/>
          <w:sz w:val="24"/>
          <w:szCs w:val="24"/>
        </w:rPr>
        <w:t>deficiency</w:t>
      </w:r>
      <w:r w:rsidRPr="00CB3ECF">
        <w:rPr>
          <w:rFonts w:ascii="Times New Roman" w:hAnsi="Times New Roman" w:cs="Times New Roman"/>
          <w:sz w:val="24"/>
          <w:szCs w:val="24"/>
        </w:rPr>
        <w:t xml:space="preserve">, biomarkers </w:t>
      </w:r>
      <w:r w:rsidR="00F55571">
        <w:rPr>
          <w:rFonts w:ascii="Times New Roman" w:hAnsi="Times New Roman" w:cs="Times New Roman"/>
          <w:sz w:val="24"/>
          <w:szCs w:val="24"/>
        </w:rPr>
        <w:t>to assess</w:t>
      </w:r>
      <w:r w:rsidRPr="00CB3ECF">
        <w:rPr>
          <w:rFonts w:ascii="Times New Roman" w:hAnsi="Times New Roman" w:cs="Times New Roman"/>
          <w:sz w:val="24"/>
          <w:szCs w:val="24"/>
        </w:rPr>
        <w:t xml:space="preserve"> thiamine status are essential. </w:t>
      </w:r>
      <w:r w:rsidR="00FB0DD3">
        <w:rPr>
          <w:rFonts w:ascii="Times New Roman" w:hAnsi="Times New Roman" w:cs="Times New Roman"/>
          <w:sz w:val="24"/>
          <w:szCs w:val="24"/>
        </w:rPr>
        <w:t xml:space="preserve">The measurement of </w:t>
      </w:r>
      <w:r w:rsidR="007D50AE">
        <w:rPr>
          <w:rFonts w:ascii="Times New Roman" w:hAnsi="Times New Roman" w:cs="Times New Roman"/>
          <w:sz w:val="24"/>
          <w:szCs w:val="24"/>
        </w:rPr>
        <w:t>s</w:t>
      </w:r>
      <w:r w:rsidR="00C448BC" w:rsidRPr="00CB3ECF">
        <w:rPr>
          <w:rFonts w:ascii="Times New Roman" w:hAnsi="Times New Roman" w:cs="Times New Roman"/>
          <w:sz w:val="24"/>
          <w:szCs w:val="24"/>
        </w:rPr>
        <w:t>erum</w:t>
      </w:r>
      <w:r w:rsidR="00214582">
        <w:rPr>
          <w:rFonts w:ascii="Times New Roman" w:hAnsi="Times New Roman" w:cs="Times New Roman"/>
          <w:sz w:val="24"/>
          <w:szCs w:val="24"/>
        </w:rPr>
        <w:t xml:space="preserve"> or plasma</w:t>
      </w:r>
      <w:r w:rsidR="00C448BC" w:rsidRPr="00CB3ECF">
        <w:rPr>
          <w:rFonts w:ascii="Times New Roman" w:hAnsi="Times New Roman" w:cs="Times New Roman"/>
          <w:sz w:val="24"/>
          <w:szCs w:val="24"/>
        </w:rPr>
        <w:t xml:space="preserve"> thiamine concentration is of limited use since it represents only a small </w:t>
      </w:r>
      <w:r w:rsidR="00935132">
        <w:rPr>
          <w:rFonts w:ascii="Times New Roman" w:hAnsi="Times New Roman" w:cs="Times New Roman"/>
          <w:sz w:val="24"/>
          <w:szCs w:val="24"/>
        </w:rPr>
        <w:t>portion</w:t>
      </w:r>
      <w:r w:rsidR="00C448BC" w:rsidRPr="00CB3ECF">
        <w:rPr>
          <w:rFonts w:ascii="Times New Roman" w:hAnsi="Times New Roman" w:cs="Times New Roman"/>
          <w:sz w:val="24"/>
          <w:szCs w:val="24"/>
        </w:rPr>
        <w:t xml:space="preserve"> of thiamine in the </w:t>
      </w:r>
      <w:r w:rsidR="00EB1791">
        <w:rPr>
          <w:rFonts w:ascii="Times New Roman" w:hAnsi="Times New Roman" w:cs="Times New Roman"/>
          <w:sz w:val="24"/>
          <w:szCs w:val="24"/>
        </w:rPr>
        <w:t>blood and is affected by a number of disease states</w:t>
      </w:r>
      <w:r w:rsidR="00F17D31">
        <w:rPr>
          <w:rFonts w:ascii="Times New Roman" w:hAnsi="Times New Roman" w:cs="Times New Roman"/>
          <w:sz w:val="24"/>
          <w:szCs w:val="24"/>
        </w:rPr>
        <w:t>.</w:t>
      </w:r>
      <w:r w:rsidR="00EB1791">
        <w:rPr>
          <w:rFonts w:ascii="Times New Roman" w:hAnsi="Times New Roman" w:cs="Times New Roman"/>
          <w:sz w:val="24"/>
          <w:szCs w:val="24"/>
        </w:rPr>
        <w:fldChar w:fldCharType="begin" w:fldLock="1"/>
      </w:r>
      <w:r w:rsidR="00F119CB">
        <w:rPr>
          <w:rFonts w:ascii="Times New Roman" w:hAnsi="Times New Roman" w:cs="Times New Roman"/>
          <w:sz w:val="24"/>
          <w:szCs w:val="24"/>
        </w:rPr>
        <w:instrText>ADDIN CSL_CITATION {"citationItems":[{"id":"ITEM-1","itemData":{"DOI":"10.1177/0148607114565245","ISSN":"1941-2444 (Electronic)","PMID":"25564426","abstract":"Thiamin is a water-soluble vitamin also known as vitamin B1. Its biologically active  form, thiamin pyrophosphate (TPP), is a cofactor in macronutrient metabolism. In addition to its coenzyme roles, TPP plays a role in nerve structure and function as well as brain metabolism. Signs and symptoms of thiamin deficiency (TD) include lactic acidosis, peripheral neuropathy, ataxia, and ocular changes (eg, nystagmus). More advanced symptoms include confabulation and memory loss and/or psychosis, resulting in Wernicke's encephalopathy and/or Wernicke's Korsakoff syndrome, respectively. The nutrition support clinician should be aware of patients who may be at risk for TD. Risk factors include those patients with malnutrition due to 1 or more nutrition-related etiologies: decreased nutrient intake, increased nutrient losses, or impaired nutrient absorption. Clinical scenarios such as unexplained heart failure or lactic acidosis, renal failure with dialysis, alcoholism, starvation, hyperemesis gravidarum, or bariatric surgery may increase the risk for TD. Patients who are critically ill and require nutrition support may also be at risk for TD, especially those who are given intravenous dextrose void of thiamin repletion. Furthermore, understanding thiamin's role as a potential therapeutic agent for diabetes, some inborn errors of metabolism, and neurodegenerative diseases warrants further research. This tutorial describes the absorption, digestion, and metabolism of thiamin. Issues pertaining to thiamin in clinical practice will be described, and evidence-based practice suggestions for the prevention and treatment of TD will be discussed.","author":[{"dropping-particle":"","family":"Frank","given":"Laura L","non-dropping-particle":"","parse-names":false,"suffix":""}],"container-title":"JPEN. Journal of parenteral and enteral nutrition","id":"ITEM-1","issue":"5","issued":{"date-parts":[["2015","7"]]},"language":"eng","page":"503-520","publisher-place":"United States","title":"Thiamin in Clinical Practice.","type":"article-journal","volume":"39"},"uris":["http://www.mendeley.com/documents/?uuid=e619897a-9128-41e0-86bb-52a374f2df09"]}],"mendeley":{"formattedCitation":"&lt;sup&gt;1&lt;/sup&gt;","plainTextFormattedCitation":"1","previouslyFormattedCitation":"&lt;sup&gt;1&lt;/sup&gt;"},"properties":{"noteIndex":0},"schema":"https://github.com/citation-style-language/schema/raw/master/csl-citation.json"}</w:instrText>
      </w:r>
      <w:r w:rsidR="00EB1791">
        <w:rPr>
          <w:rFonts w:ascii="Times New Roman" w:hAnsi="Times New Roman" w:cs="Times New Roman"/>
          <w:sz w:val="24"/>
          <w:szCs w:val="24"/>
        </w:rPr>
        <w:fldChar w:fldCharType="separate"/>
      </w:r>
      <w:r w:rsidR="003037E6" w:rsidRPr="003037E6">
        <w:rPr>
          <w:rFonts w:ascii="Times New Roman" w:hAnsi="Times New Roman" w:cs="Times New Roman"/>
          <w:noProof/>
          <w:sz w:val="24"/>
          <w:szCs w:val="24"/>
          <w:vertAlign w:val="superscript"/>
        </w:rPr>
        <w:t>1</w:t>
      </w:r>
      <w:r w:rsidR="00EB1791">
        <w:rPr>
          <w:rFonts w:ascii="Times New Roman" w:hAnsi="Times New Roman" w:cs="Times New Roman"/>
          <w:sz w:val="24"/>
          <w:szCs w:val="24"/>
        </w:rPr>
        <w:fldChar w:fldCharType="end"/>
      </w:r>
      <w:r w:rsidR="00C448BC" w:rsidRPr="00CB3ECF">
        <w:rPr>
          <w:rFonts w:ascii="Times New Roman" w:hAnsi="Times New Roman" w:cs="Times New Roman"/>
          <w:sz w:val="24"/>
          <w:szCs w:val="24"/>
        </w:rPr>
        <w:t xml:space="preserve"> </w:t>
      </w:r>
      <w:r w:rsidR="00B94DA2">
        <w:rPr>
          <w:rFonts w:ascii="Times New Roman" w:hAnsi="Times New Roman" w:cs="Times New Roman"/>
          <w:sz w:val="24"/>
          <w:szCs w:val="24"/>
        </w:rPr>
        <w:t>Although</w:t>
      </w:r>
      <w:r w:rsidR="0093113B">
        <w:rPr>
          <w:rFonts w:ascii="Times New Roman" w:hAnsi="Times New Roman" w:cs="Times New Roman"/>
          <w:sz w:val="24"/>
          <w:szCs w:val="24"/>
        </w:rPr>
        <w:t xml:space="preserve"> </w:t>
      </w:r>
      <w:r w:rsidR="00B94DA2">
        <w:rPr>
          <w:rFonts w:ascii="Times New Roman" w:hAnsi="Times New Roman" w:cs="Times New Roman"/>
          <w:sz w:val="24"/>
          <w:szCs w:val="24"/>
        </w:rPr>
        <w:t xml:space="preserve">a </w:t>
      </w:r>
      <w:r w:rsidR="0093113B">
        <w:rPr>
          <w:rFonts w:ascii="Times New Roman" w:hAnsi="Times New Roman" w:cs="Times New Roman"/>
          <w:sz w:val="24"/>
          <w:szCs w:val="24"/>
        </w:rPr>
        <w:t xml:space="preserve">correlation between plasma </w:t>
      </w:r>
      <w:r w:rsidR="00B94DA2">
        <w:rPr>
          <w:rFonts w:ascii="Times New Roman" w:hAnsi="Times New Roman" w:cs="Times New Roman"/>
          <w:sz w:val="24"/>
          <w:szCs w:val="24"/>
        </w:rPr>
        <w:t>thiamine and erythrocyte ThDP has been shown</w:t>
      </w:r>
      <w:r w:rsidR="00B94DA2">
        <w:rPr>
          <w:rFonts w:ascii="Times New Roman" w:hAnsi="Times New Roman" w:cs="Times New Roman"/>
          <w:sz w:val="24"/>
          <w:szCs w:val="24"/>
        </w:rPr>
        <w:fldChar w:fldCharType="begin" w:fldLock="1"/>
      </w:r>
      <w:r w:rsidR="00016D44">
        <w:rPr>
          <w:rFonts w:ascii="Times New Roman" w:hAnsi="Times New Roman" w:cs="Times New Roman"/>
          <w:sz w:val="24"/>
          <w:szCs w:val="24"/>
        </w:rPr>
        <w:instrText>ADDIN CSL_CITATION {"citationItems":[{"id":"ITEM-1","itemData":{"DOI":"10.3390/nu9070676","ISSN":"2072-6643 (Electronic)","PMID":"28661435","abstract":"Background: Traditionally, vitamin B₁ status is assessed by a functional test  measuring erythrocyte transketolase (ETK) activity or direct measurement of erythrocyte thiamine diphosphate (eThDP) concentration. However, such analyses are logistically challenging, and do not allow assessment of vitamin B₁ status in plasma/serum samples stored in biobanks. Using a multiplex assay, we evaluated plasma concentrations of thiamine and thiamine monophosphate (TMP), as alternative, convenient measures of vitamin B₁ status. Methods: We investigated the relationships between the established biomarker eThDP and plasma concentrations of thiamine and TMP, and compared the response of these thiamine forms to thiamine fortification using samples from 196 healthy Cambodian women (aged 18-45 years.). eThDP was measured by high performance liquid chromatography with fluorescence detection (HPLC-FLD) and plasma thiamine and TMP by high performance liquid chromatography-tandem mass spectrometry (LC-MS/MS). Results: Plasma thiamine and TMP correlated significantly with eThDP at baseline and study-end (p &lt; 0.05). Among the fortification groups, the strongest response was observed for plasma thiamine (increased by 266%), while increases in plasma TMP (60%) and eThDP (53%) were comparable. Conclusions: Plasma thiamine and TMP correlated positively with eThDP, and all thiamine forms responded significantly to thiamine intervention. Measuring plasma concentrations of thiamine forms is advantageous due to convenient sample handling and capacity to develop low volume, high-throughput, multiplex assays.","author":[{"dropping-particle":"","family":"McCann","given":"Adrian","non-dropping-particle":"","parse-names":false,"suffix":""},{"dropping-particle":"","family":"Midttun","given":"Øivind","non-dropping-particle":"","parse-names":false,"suffix":""},{"dropping-particle":"","family":"Whitfield","given":"Kyly C","non-dropping-particle":"","parse-names":false,"suffix":""},{"dropping-particle":"","family":"Kroeun","given":"Hou","non-dropping-particle":"","parse-names":false,"suffix":""},{"dropping-particle":"","family":"Borath","given":"Mam","non-dropping-particle":"","parse-names":false,"suffix":""},{"dropping-particle":"","family":"Sophonneary","given":"Prak","non-dropping-particle":"","parse-names":false,"suffix":""},{"dropping-particle":"","family":"Ueland","given":"Per Magne","non-dropping-particle":"","parse-names":false,"suffix":""},{"dropping-particle":"","family":"Green","given":"Timothy J","non-dropping-particle":"","parse-names":false,"suffix":""}],"container-title":"Nutrients","id":"ITEM-1","issue":"7","issued":{"date-parts":[["2017","6"]]},"language":"eng","title":"Comparable Performance Characteristics of Plasma Thiamine and Erythrocyte Thiamine  Diphosphate in Response to Thiamine Fortification in Rural Cambodian Women.","type":"article-journal","volume":"9"},"uris":["http://www.mendeley.com/documents/?uuid=846143ec-e7e8-49c3-818a-aa0b19c3075e"]}],"mendeley":{"formattedCitation":"&lt;sup&gt;4&lt;/sup&gt;","plainTextFormattedCitation":"4","previouslyFormattedCitation":"&lt;sup&gt;4&lt;/sup&gt;"},"properties":{"noteIndex":0},"schema":"https://github.com/citation-style-language/schema/raw/master/csl-citation.json"}</w:instrText>
      </w:r>
      <w:r w:rsidR="00B94DA2">
        <w:rPr>
          <w:rFonts w:ascii="Times New Roman" w:hAnsi="Times New Roman" w:cs="Times New Roman"/>
          <w:sz w:val="24"/>
          <w:szCs w:val="24"/>
        </w:rPr>
        <w:fldChar w:fldCharType="separate"/>
      </w:r>
      <w:r w:rsidR="00B94DA2" w:rsidRPr="00B94DA2">
        <w:rPr>
          <w:rFonts w:ascii="Times New Roman" w:hAnsi="Times New Roman" w:cs="Times New Roman"/>
          <w:noProof/>
          <w:sz w:val="24"/>
          <w:szCs w:val="24"/>
          <w:vertAlign w:val="superscript"/>
        </w:rPr>
        <w:t>4</w:t>
      </w:r>
      <w:r w:rsidR="00B94DA2">
        <w:rPr>
          <w:rFonts w:ascii="Times New Roman" w:hAnsi="Times New Roman" w:cs="Times New Roman"/>
          <w:sz w:val="24"/>
          <w:szCs w:val="24"/>
        </w:rPr>
        <w:fldChar w:fldCharType="end"/>
      </w:r>
      <w:r w:rsidR="00B94DA2">
        <w:rPr>
          <w:rFonts w:ascii="Times New Roman" w:hAnsi="Times New Roman" w:cs="Times New Roman"/>
          <w:sz w:val="24"/>
          <w:szCs w:val="24"/>
        </w:rPr>
        <w:t>, these data were from a thiamine fortification trial</w:t>
      </w:r>
      <w:r w:rsidR="008A1CF8">
        <w:rPr>
          <w:rFonts w:ascii="Times New Roman" w:hAnsi="Times New Roman" w:cs="Times New Roman"/>
          <w:sz w:val="24"/>
          <w:szCs w:val="24"/>
        </w:rPr>
        <w:t>;</w:t>
      </w:r>
      <w:r w:rsidR="00B94DA2">
        <w:rPr>
          <w:rFonts w:ascii="Times New Roman" w:hAnsi="Times New Roman" w:cs="Times New Roman"/>
          <w:sz w:val="24"/>
          <w:szCs w:val="24"/>
        </w:rPr>
        <w:t xml:space="preserve"> plasma thiamine is affected by recent dietary intake</w:t>
      </w:r>
      <w:r w:rsidR="007D7106">
        <w:rPr>
          <w:rFonts w:ascii="Times New Roman" w:hAnsi="Times New Roman" w:cs="Times New Roman"/>
          <w:sz w:val="24"/>
          <w:szCs w:val="24"/>
        </w:rPr>
        <w:t xml:space="preserve"> and is therefore not suitable as a biomarker of long-term thiamine status</w:t>
      </w:r>
      <w:r w:rsidR="00B94DA2">
        <w:rPr>
          <w:rFonts w:ascii="Times New Roman" w:hAnsi="Times New Roman" w:cs="Times New Roman"/>
          <w:sz w:val="24"/>
          <w:szCs w:val="24"/>
        </w:rPr>
        <w:t xml:space="preserve">. </w:t>
      </w:r>
      <w:r w:rsidR="00214582">
        <w:rPr>
          <w:rFonts w:ascii="Times New Roman" w:hAnsi="Times New Roman" w:cs="Times New Roman"/>
          <w:sz w:val="24"/>
          <w:szCs w:val="24"/>
        </w:rPr>
        <w:t xml:space="preserve">Urinary thiamine excretion may correlate with intake </w:t>
      </w:r>
      <w:r w:rsidR="00B94DA2">
        <w:rPr>
          <w:rFonts w:ascii="Times New Roman" w:hAnsi="Times New Roman" w:cs="Times New Roman"/>
          <w:sz w:val="24"/>
          <w:szCs w:val="24"/>
        </w:rPr>
        <w:t>at all but low thiamine intakes. However, it</w:t>
      </w:r>
      <w:r w:rsidR="00214582">
        <w:rPr>
          <w:rFonts w:ascii="Times New Roman" w:hAnsi="Times New Roman" w:cs="Times New Roman"/>
          <w:sz w:val="24"/>
          <w:szCs w:val="24"/>
        </w:rPr>
        <w:t xml:space="preserve"> does </w:t>
      </w:r>
      <w:r w:rsidR="005F7996">
        <w:rPr>
          <w:rFonts w:ascii="Times New Roman" w:hAnsi="Times New Roman" w:cs="Times New Roman"/>
          <w:sz w:val="24"/>
          <w:szCs w:val="24"/>
        </w:rPr>
        <w:t xml:space="preserve">not </w:t>
      </w:r>
      <w:r w:rsidR="00214582">
        <w:rPr>
          <w:rFonts w:ascii="Times New Roman" w:hAnsi="Times New Roman" w:cs="Times New Roman"/>
          <w:sz w:val="24"/>
          <w:szCs w:val="24"/>
        </w:rPr>
        <w:t xml:space="preserve">provide information on thiamine status particularly when status is low as thiamine may be conserved. In addition, single 24-hour urine collections are of </w:t>
      </w:r>
      <w:r w:rsidR="005F7996">
        <w:rPr>
          <w:rFonts w:ascii="Times New Roman" w:hAnsi="Times New Roman" w:cs="Times New Roman"/>
          <w:sz w:val="24"/>
          <w:szCs w:val="24"/>
        </w:rPr>
        <w:t>limited use due to</w:t>
      </w:r>
      <w:r w:rsidR="00214582">
        <w:rPr>
          <w:rFonts w:ascii="Times New Roman" w:hAnsi="Times New Roman" w:cs="Times New Roman"/>
          <w:sz w:val="24"/>
          <w:szCs w:val="24"/>
        </w:rPr>
        <w:t xml:space="preserve"> large within-subject variability. </w:t>
      </w:r>
      <w:r w:rsidR="00214582">
        <w:rPr>
          <w:rFonts w:ascii="Times New Roman" w:hAnsi="Times New Roman" w:cs="Times New Roman"/>
          <w:sz w:val="24"/>
          <w:szCs w:val="24"/>
        </w:rPr>
        <w:fldChar w:fldCharType="begin" w:fldLock="1"/>
      </w:r>
      <w:r w:rsidR="00016D44">
        <w:rPr>
          <w:rFonts w:ascii="Times New Roman" w:hAnsi="Times New Roman" w:cs="Times New Roman"/>
          <w:sz w:val="24"/>
          <w:szCs w:val="24"/>
        </w:rPr>
        <w:instrText>ADDIN CSL_CITATION {"citationItems":[{"id":"ITEM-1","itemData":{"author":[{"dropping-particle":"","family":"Gibson","given":"Rosalind S.","non-dropping-particle":"","parse-names":false,"suffix":""}],"edition":"Second","id":"ITEM-1","issued":{"date-parts":[["2005"]]},"publisher":"Oxford University Press","publisher-place":"New York","title":"Principles of Nutritional Assessment","type":"book"},"uris":["http://www.mendeley.com/documents/?uuid=b4295b5e-04a7-4a87-92a3-4da31d23d1f2"]}],"mendeley":{"formattedCitation":"&lt;sup&gt;5&lt;/sup&gt;","plainTextFormattedCitation":"5","previouslyFormattedCitation":"&lt;sup&gt;5&lt;/sup&gt;"},"properties":{"noteIndex":0},"schema":"https://github.com/citation-style-language/schema/raw/master/csl-citation.json"}</w:instrText>
      </w:r>
      <w:r w:rsidR="00214582">
        <w:rPr>
          <w:rFonts w:ascii="Times New Roman" w:hAnsi="Times New Roman" w:cs="Times New Roman"/>
          <w:sz w:val="24"/>
          <w:szCs w:val="24"/>
        </w:rPr>
        <w:fldChar w:fldCharType="separate"/>
      </w:r>
      <w:r w:rsidR="00B94DA2" w:rsidRPr="00B94DA2">
        <w:rPr>
          <w:rFonts w:ascii="Times New Roman" w:hAnsi="Times New Roman" w:cs="Times New Roman"/>
          <w:noProof/>
          <w:sz w:val="24"/>
          <w:szCs w:val="24"/>
          <w:vertAlign w:val="superscript"/>
        </w:rPr>
        <w:t>5</w:t>
      </w:r>
      <w:r w:rsidR="00214582">
        <w:rPr>
          <w:rFonts w:ascii="Times New Roman" w:hAnsi="Times New Roman" w:cs="Times New Roman"/>
          <w:sz w:val="24"/>
          <w:szCs w:val="24"/>
        </w:rPr>
        <w:fldChar w:fldCharType="end"/>
      </w:r>
      <w:r w:rsidR="00214582">
        <w:rPr>
          <w:rFonts w:ascii="Times New Roman" w:hAnsi="Times New Roman" w:cs="Times New Roman"/>
          <w:sz w:val="24"/>
          <w:szCs w:val="24"/>
        </w:rPr>
        <w:t xml:space="preserve"> </w:t>
      </w:r>
      <w:r w:rsidR="009903D1">
        <w:rPr>
          <w:rFonts w:ascii="Times New Roman" w:hAnsi="Times New Roman" w:cs="Times New Roman"/>
          <w:sz w:val="24"/>
          <w:szCs w:val="24"/>
        </w:rPr>
        <w:t>Longer-term t</w:t>
      </w:r>
      <w:r w:rsidRPr="00CB3ECF">
        <w:rPr>
          <w:rFonts w:ascii="Times New Roman" w:hAnsi="Times New Roman" w:cs="Times New Roman"/>
          <w:sz w:val="24"/>
          <w:szCs w:val="24"/>
        </w:rPr>
        <w:t xml:space="preserve">hiamine status from human blood samples can be assessed either by direct measurement of ThDP </w:t>
      </w:r>
      <w:r w:rsidR="009903D1">
        <w:rPr>
          <w:rFonts w:ascii="Times New Roman" w:hAnsi="Times New Roman" w:cs="Times New Roman"/>
          <w:sz w:val="24"/>
          <w:szCs w:val="24"/>
        </w:rPr>
        <w:t xml:space="preserve">in </w:t>
      </w:r>
      <w:r w:rsidR="00394D04">
        <w:rPr>
          <w:rFonts w:ascii="Times New Roman" w:hAnsi="Times New Roman" w:cs="Times New Roman"/>
          <w:sz w:val="24"/>
          <w:szCs w:val="24"/>
        </w:rPr>
        <w:t xml:space="preserve">erythrocytes or </w:t>
      </w:r>
      <w:r w:rsidR="009903D1">
        <w:rPr>
          <w:rFonts w:ascii="Times New Roman" w:hAnsi="Times New Roman" w:cs="Times New Roman"/>
          <w:sz w:val="24"/>
          <w:szCs w:val="24"/>
        </w:rPr>
        <w:t>whole blood</w:t>
      </w:r>
      <w:r w:rsidR="00394D04">
        <w:rPr>
          <w:rFonts w:ascii="Times New Roman" w:hAnsi="Times New Roman" w:cs="Times New Roman"/>
          <w:sz w:val="24"/>
          <w:szCs w:val="24"/>
        </w:rPr>
        <w:t>,</w:t>
      </w:r>
      <w:r w:rsidR="009903D1">
        <w:rPr>
          <w:rFonts w:ascii="Times New Roman" w:hAnsi="Times New Roman" w:cs="Times New Roman"/>
          <w:sz w:val="24"/>
          <w:szCs w:val="24"/>
        </w:rPr>
        <w:t xml:space="preserve"> </w:t>
      </w:r>
      <w:r w:rsidRPr="00CB3ECF">
        <w:rPr>
          <w:rFonts w:ascii="Times New Roman" w:hAnsi="Times New Roman" w:cs="Times New Roman"/>
          <w:sz w:val="24"/>
          <w:szCs w:val="24"/>
        </w:rPr>
        <w:t xml:space="preserve">or by the measurement of the </w:t>
      </w:r>
      <w:r w:rsidR="007D5D35" w:rsidRPr="00CB3ECF">
        <w:rPr>
          <w:rFonts w:ascii="Times New Roman" w:hAnsi="Times New Roman" w:cs="Times New Roman"/>
          <w:sz w:val="24"/>
          <w:szCs w:val="24"/>
        </w:rPr>
        <w:t>degree</w:t>
      </w:r>
      <w:r w:rsidRPr="00CB3ECF">
        <w:rPr>
          <w:rFonts w:ascii="Times New Roman" w:hAnsi="Times New Roman" w:cs="Times New Roman"/>
          <w:sz w:val="24"/>
          <w:szCs w:val="24"/>
        </w:rPr>
        <w:t xml:space="preserve"> of ThDP-saturation of </w:t>
      </w:r>
      <w:r w:rsidR="003F1DE0" w:rsidRPr="00CB3ECF">
        <w:rPr>
          <w:rFonts w:ascii="Times New Roman" w:hAnsi="Times New Roman" w:cs="Times New Roman"/>
          <w:sz w:val="24"/>
          <w:szCs w:val="24"/>
        </w:rPr>
        <w:t>erythrocyte</w:t>
      </w:r>
      <w:r w:rsidRPr="00CB3ECF">
        <w:rPr>
          <w:rFonts w:ascii="Times New Roman" w:hAnsi="Times New Roman" w:cs="Times New Roman"/>
          <w:sz w:val="24"/>
          <w:szCs w:val="24"/>
        </w:rPr>
        <w:t xml:space="preserve"> transketolase (ETK)</w:t>
      </w:r>
      <w:r w:rsidR="007D5D35" w:rsidRPr="00CB3ECF">
        <w:rPr>
          <w:rFonts w:ascii="Times New Roman" w:hAnsi="Times New Roman" w:cs="Times New Roman"/>
          <w:sz w:val="24"/>
          <w:szCs w:val="24"/>
        </w:rPr>
        <w:t>, a ThDP-depend</w:t>
      </w:r>
      <w:r w:rsidR="00632D96">
        <w:rPr>
          <w:rFonts w:ascii="Times New Roman" w:hAnsi="Times New Roman" w:cs="Times New Roman"/>
          <w:sz w:val="24"/>
          <w:szCs w:val="24"/>
        </w:rPr>
        <w:t>e</w:t>
      </w:r>
      <w:r w:rsidR="007D5D35" w:rsidRPr="00CB3ECF">
        <w:rPr>
          <w:rFonts w:ascii="Times New Roman" w:hAnsi="Times New Roman" w:cs="Times New Roman"/>
          <w:sz w:val="24"/>
          <w:szCs w:val="24"/>
        </w:rPr>
        <w:t xml:space="preserve">nt enzyme. </w:t>
      </w:r>
      <w:r w:rsidR="00C448BC" w:rsidRPr="00CB3ECF">
        <w:rPr>
          <w:rFonts w:ascii="Times New Roman" w:hAnsi="Times New Roman" w:cs="Times New Roman"/>
          <w:sz w:val="24"/>
          <w:szCs w:val="24"/>
        </w:rPr>
        <w:t xml:space="preserve">The </w:t>
      </w:r>
      <w:r w:rsidR="003F1DE0" w:rsidRPr="00CB3ECF">
        <w:rPr>
          <w:rFonts w:ascii="Times New Roman" w:hAnsi="Times New Roman" w:cs="Times New Roman"/>
          <w:sz w:val="24"/>
          <w:szCs w:val="24"/>
        </w:rPr>
        <w:t>advantages a</w:t>
      </w:r>
      <w:r w:rsidR="00696EA3">
        <w:rPr>
          <w:rFonts w:ascii="Times New Roman" w:hAnsi="Times New Roman" w:cs="Times New Roman"/>
          <w:sz w:val="24"/>
          <w:szCs w:val="24"/>
        </w:rPr>
        <w:t>nd disadvantages of both the d</w:t>
      </w:r>
      <w:r w:rsidR="003F1DE0" w:rsidRPr="00CB3ECF">
        <w:rPr>
          <w:rFonts w:ascii="Times New Roman" w:hAnsi="Times New Roman" w:cs="Times New Roman"/>
          <w:sz w:val="24"/>
          <w:szCs w:val="24"/>
        </w:rPr>
        <w:t xml:space="preserve">irect and </w:t>
      </w:r>
      <w:r w:rsidR="00696EA3">
        <w:rPr>
          <w:rFonts w:ascii="Times New Roman" w:hAnsi="Times New Roman" w:cs="Times New Roman"/>
          <w:sz w:val="24"/>
          <w:szCs w:val="24"/>
        </w:rPr>
        <w:t>in</w:t>
      </w:r>
      <w:r w:rsidR="003F1DE0" w:rsidRPr="00CB3ECF">
        <w:rPr>
          <w:rFonts w:ascii="Times New Roman" w:hAnsi="Times New Roman" w:cs="Times New Roman"/>
          <w:sz w:val="24"/>
          <w:szCs w:val="24"/>
        </w:rPr>
        <w:t xml:space="preserve">direct assays </w:t>
      </w:r>
      <w:r w:rsidR="00296009" w:rsidRPr="00CB3ECF">
        <w:rPr>
          <w:rFonts w:ascii="Times New Roman" w:hAnsi="Times New Roman" w:cs="Times New Roman"/>
          <w:sz w:val="24"/>
          <w:szCs w:val="24"/>
        </w:rPr>
        <w:t xml:space="preserve">were reviewed recently </w:t>
      </w:r>
      <w:r w:rsidR="00296009" w:rsidRPr="00CB3ECF">
        <w:rPr>
          <w:rFonts w:ascii="Times New Roman" w:hAnsi="Times New Roman" w:cs="Times New Roman"/>
          <w:sz w:val="24"/>
          <w:szCs w:val="24"/>
        </w:rPr>
        <w:fldChar w:fldCharType="begin" w:fldLock="1"/>
      </w:r>
      <w:r w:rsidR="00016D44">
        <w:rPr>
          <w:rFonts w:ascii="Times New Roman" w:hAnsi="Times New Roman" w:cs="Times New Roman"/>
          <w:sz w:val="24"/>
          <w:szCs w:val="24"/>
        </w:rPr>
        <w:instrText>ADDIN CSL_CITATION {"citationItems":[{"id":"ITEM-1","itemData":{"DOI":"10.1515/cclm-2017-0054","ISSN":"1437-4331 (Electronic)","PMID":"28432843","abstract":"BACKGROUND: Thiamine has a crucial role in energy production, and consequently  thiamine deficiency (TD) has been associated with cardiac failure, neurological disorders, oxidative stress (lactic acidosis and sepsis) and refeeding syndrome (RFS). This review aims to explore analytical methodologies of thiamine compound quantification and highlight similarities, variances and limitations of current techniques and how they may be relevant to patients. CONTENT: An electronic search of Medline, PubMed and Embase databases for original articles published in peer-reviewed journals was conducted. MethodsNow was used to search for published analytical methods of thiamine compounds. Keywords for all databases included \"thiamine and its phosphate esters\", \"thiamine methodology\" and terms related to critical illness. Enquiries were also made to six external quality assurance (EQA) programme organisations for the inclusion of thiamine measurement. SUMMARY: A total of 777 published articles were identified; 122 were included in this review. The most common published method is HPLC with florescence detection. Two of the six EQA organisations include a thiamine measurement programme, both measuring only whole-blood thiamine pyrophosphate (TPP). No standard measurement procedure for thiamine compound quantification was identified. OUTLOOK: Overall, there is an absence of standardisation in measurement methodologies for thiamine in clinical care. Consequently, multiple variations in method practises are prohibiting the comparison of study results as they are not traceable to any higher order reference. Traceability of certified reference materials and reference measurement procedures is needed to provide an anchor to create the link between studies and help bring consensus on the clinical importance of thiamine.","author":[{"dropping-particle":"","family":"Collie","given":"Jake T B","non-dropping-particle":"","parse-names":false,"suffix":""},{"dropping-particle":"","family":"Greaves","given":"Ronda F","non-dropping-particle":"","parse-names":false,"suffix":""},{"dropping-particle":"","family":"Jones","given":"Oliver A H","non-dropping-particle":"","parse-names":false,"suffix":""},{"dropping-particle":"","family":"Lam","given":"Que","non-dropping-particle":"","parse-names":false,"suffix":""},{"dropping-particle":"","family":"Eastwood","given":"Glenn M","non-dropping-particle":"","parse-names":false,"suffix":""},{"dropping-particle":"","family":"Bellomo","given":"Rinaldo","non-dropping-particle":"","parse-names":false,"suffix":""}],"container-title":"Clinical chemistry and laboratory medicine","id":"ITEM-1","issue":"11","issued":{"date-parts":[["2017","10"]]},"language":"eng","page":"1652-1668","publisher-place":"Germany","title":"Vitamin B1 in critically ill patients: needs and challenges.","type":"article-journal","volume":"55"},"uris":["http://www.mendeley.com/documents/?uuid=8dbf0dfa-b515-40fe-a3f5-3690f0903e8b"]},{"id":"ITEM-2","itemData":{"DOI":"10.1111/nyas.13919","ISSN":"1749-6632 (Electronic)","PMID":"30151974","abstract":"Thiamine is an essential micronutrient that plays a key role in energy metabolism.  Many populations worldwide may be at risk of clinical or subclinical thiamine deficiencies, due to famine, reliance on staple crops with low thiamine content, or food preparation practices, such as milling grains and washing milled rice. Clinical manifestations of thiamine deficiency are variable; this, along with the lack of a readily accessible and widely agreed upon biomarker of thiamine status, complicates efforts to diagnose thiamine deficiency and assess its global prevalence. Strategies to identify regions at risk of thiamine deficiency through proxy measures, such as analysis of food balance sheet data and month-specific infant mortality rates, may be valuable for understanding the scope of thiamine deficiency. Urgent public health responses are warranted in high-risk regions, considering the contribution of thiamine deficiency to infant mortality and research suggesting that even subclinical thiamine deficiency in childhood may have lifelong neurodevelopmental consequences. Food fortification and maternal and/or infant thiamine supplementation have proven effective in raising thiamine status and reducing the incidence of infantile beriberi in regions where thiamine deficiency is prevalent, but trial data are limited. Efforts to determine culturally and environmentally appropriate food vehicles for thiamine fortification are ongoing.","author":[{"dropping-particle":"","family":"Whitfield","given":"Kyly C","non-dropping-particle":"","parse-names":false,"suffix":""},{"dropping-particle":"","family":"Bourassa","given":"Megan W","non-dropping-particle":"","parse-names":false,"suffix":""},{"dropping-particle":"","family":"Adamolekun","given":"Bola","non-dropping-particle":"","parse-names":false,"suffix":""},{"dropping-particle":"","family":"Bergeron","given":"Gilles","non-dropping-particle":"","parse-names":false,"suffix":""},{"dropping-particle":"","family":"Bettendorff","given":"Lucien","non-dropping-particle":"","parse-names":false,"suffix":""},{"dropping-particle":"","family":"Brown","given":"Kenneth H","non-dropping-particle":"","parse-names":false,"suffix":""},{"dropping-particle":"","family":"Cox","given":"Lorna","non-dropping-particle":"","parse-names":false,"suffix":""},{"dropping-particle":"","family":"Fattal-Valevski","given":"Aviva","non-dropping-particle":"","parse-names":false,"suffix":""},{"dropping-particle":"","family":"Fischer","given":"Philip R","non-dropping-particle":"","parse-names":false,"suffix":""},{"dropping-particle":"","family":"Frank","given":"Elizabeth L","non-dropping-particle":"","parse-names":false,"suffix":""},{"dropping-particle":"","family":"Hiffler","given":"Laurent","non-dropping-particle":"","parse-names":false,"suffix":""},{"dropping-particle":"","family":"Hlaing","given":"Lwin Mar","non-dropping-particle":"","parse-names":false,"suffix":""},{"dropping-particle":"","family":"Jefferds","given":"Maria Elena","non-dropping-particle":"","parse-names":false,"suffix":""},{"dropping-particle":"","family":"Kapner","given":"Hallie","non-dropping-particle":"","parse-names":false,"suffix":""},{"dropping-particle":"","family":"Kounnavong","given":"Sengchanh","non-dropping-particle":"","parse-names":false,"suffix":""},{"dropping-particle":"","family":"Mousavi","given":"Maral P S","non-dropping-particle":"","parse-names":false,"suffix":""},{"dropping-particle":"","family":"Roth","given":"Daniel E","non-dropping-particle":"","parse-names":false,"suffix":""},{"dropping-particle":"","family":"Tsaloglou","given":"Maria-Nefeli","non-dropping-particle":"","parse-names":false,"suffix":""},{"dropping-particle":"","family":"Wieringa","given":"Frank","non-dropping-particle":"","parse-names":false,"suffix":""},{"dropping-particle":"","family":"Combs","given":"Gerald F Jr","non-dropping-particle":"","parse-names":false,"suffix":""}],"container-title":"Annals of the New York Academy of Sciences","id":"ITEM-2","issue":"1","issued":{"date-parts":[["2018","10"]]},"language":"eng","page":"3-43","title":"Thiamine deficiency disorders: diagnosis, prevalence, and a roadmap for global  control programs.","type":"article-journal","volume":"1430"},"uris":["http://www.mendeley.com/documents/?uuid=29e06608-673c-4fb0-ae25-2eb1df5e4941"]},{"id":"ITEM-3","itemData":{"DOI":"10.1177/0148607114565245","ISSN":"1941-2444 (Electronic)","PMID":"25564426","abstract":"Thiamin is a water-soluble vitamin also known as vitamin B1. Its biologically active  form, thiamin pyrophosphate (TPP), is a cofactor in macronutrient metabolism. In addition to its coenzyme roles, TPP plays a role in nerve structure and function as well as brain metabolism. Signs and symptoms of thiamin deficiency (TD) include lactic acidosis, peripheral neuropathy, ataxia, and ocular changes (eg, nystagmus). More advanced symptoms include confabulation and memory loss and/or psychosis, resulting in Wernicke's encephalopathy and/or Wernicke's Korsakoff syndrome, respectively. The nutrition support clinician should be aware of patients who may be at risk for TD. Risk factors include those patients with malnutrition due to 1 or more nutrition-related etiologies: decreased nutrient intake, increased nutrient losses, or impaired nutrient absorption. Clinical scenarios such as unexplained heart failure or lactic acidosis, renal failure with dialysis, alcoholism, starvation, hyperemesis gravidarum, or bariatric surgery may increase the risk for TD. Patients who are critically ill and require nutrition support may also be at risk for TD, especially those who are given intravenous dextrose void of thiamin repletion. Furthermore, understanding thiamin's role as a potential therapeutic agent for diabetes, some inborn errors of metabolism, and neurodegenerative diseases warrants further research. This tutorial describes the absorption, digestion, and metabolism of thiamin. Issues pertaining to thiamin in clinical practice will be described, and evidence-based practice suggestions for the prevention and treatment of TD will be discussed.","author":[{"dropping-particle":"","family":"Frank","given":"Laura L","non-dropping-particle":"","parse-names":false,"suffix":""}],"container-title":"JPEN. Journal of parenteral and enteral nutrition","id":"ITEM-3","issue":"5","issued":{"date-parts":[["2015","7"]]},"language":"eng","page":"503-520","publisher-place":"United States","title":"Thiamin in Clinical Practice.","type":"article-journal","volume":"39"},"uris":["http://www.mendeley.com/documents/?uuid=e619897a-9128-41e0-86bb-52a374f2df09"]}],"mendeley":{"formattedCitation":"&lt;sup&gt;1,2,6&lt;/sup&gt;","plainTextFormattedCitation":"1,2,6","previouslyFormattedCitation":"&lt;sup&gt;1,2,6&lt;/sup&gt;"},"properties":{"noteIndex":0},"schema":"https://github.com/citation-style-language/schema/raw/master/csl-citation.json"}</w:instrText>
      </w:r>
      <w:r w:rsidR="00296009" w:rsidRPr="00CB3ECF">
        <w:rPr>
          <w:rFonts w:ascii="Times New Roman" w:hAnsi="Times New Roman" w:cs="Times New Roman"/>
          <w:sz w:val="24"/>
          <w:szCs w:val="24"/>
        </w:rPr>
        <w:fldChar w:fldCharType="separate"/>
      </w:r>
      <w:r w:rsidR="00B94DA2" w:rsidRPr="00B94DA2">
        <w:rPr>
          <w:rFonts w:ascii="Times New Roman" w:hAnsi="Times New Roman" w:cs="Times New Roman"/>
          <w:noProof/>
          <w:sz w:val="24"/>
          <w:szCs w:val="24"/>
          <w:vertAlign w:val="superscript"/>
        </w:rPr>
        <w:t>1,2,6</w:t>
      </w:r>
      <w:r w:rsidR="00296009" w:rsidRPr="00CB3ECF">
        <w:rPr>
          <w:rFonts w:ascii="Times New Roman" w:hAnsi="Times New Roman" w:cs="Times New Roman"/>
          <w:sz w:val="24"/>
          <w:szCs w:val="24"/>
        </w:rPr>
        <w:fldChar w:fldCharType="end"/>
      </w:r>
      <w:r w:rsidR="00296009">
        <w:rPr>
          <w:rFonts w:ascii="Times New Roman" w:hAnsi="Times New Roman" w:cs="Times New Roman"/>
          <w:sz w:val="24"/>
          <w:szCs w:val="24"/>
        </w:rPr>
        <w:t xml:space="preserve">, </w:t>
      </w:r>
      <w:r w:rsidR="00214582">
        <w:rPr>
          <w:rFonts w:ascii="Times New Roman" w:hAnsi="Times New Roman" w:cs="Times New Roman"/>
          <w:sz w:val="24"/>
          <w:szCs w:val="24"/>
        </w:rPr>
        <w:t>including</w:t>
      </w:r>
      <w:r w:rsidR="003F1DE0">
        <w:rPr>
          <w:rFonts w:ascii="Times New Roman" w:hAnsi="Times New Roman" w:cs="Times New Roman"/>
          <w:sz w:val="24"/>
          <w:szCs w:val="24"/>
        </w:rPr>
        <w:t xml:space="preserve"> a detailed </w:t>
      </w:r>
      <w:r w:rsidR="00696EA3">
        <w:rPr>
          <w:rFonts w:ascii="Times New Roman" w:hAnsi="Times New Roman" w:cs="Times New Roman"/>
          <w:sz w:val="24"/>
          <w:szCs w:val="24"/>
        </w:rPr>
        <w:t>description</w:t>
      </w:r>
      <w:r w:rsidR="003F1DE0">
        <w:rPr>
          <w:rFonts w:ascii="Times New Roman" w:hAnsi="Times New Roman" w:cs="Times New Roman"/>
          <w:sz w:val="24"/>
          <w:szCs w:val="24"/>
        </w:rPr>
        <w:t xml:space="preserve"> of the </w:t>
      </w:r>
      <w:r w:rsidR="0034353E" w:rsidRPr="00CB3ECF">
        <w:rPr>
          <w:rFonts w:ascii="Times New Roman" w:hAnsi="Times New Roman" w:cs="Times New Roman"/>
          <w:sz w:val="24"/>
          <w:szCs w:val="24"/>
        </w:rPr>
        <w:t>direct measurement of ThDP</w:t>
      </w:r>
      <w:r w:rsidR="00FB0DD3">
        <w:rPr>
          <w:rFonts w:ascii="Times New Roman" w:hAnsi="Times New Roman" w:cs="Times New Roman"/>
          <w:sz w:val="24"/>
          <w:szCs w:val="24"/>
        </w:rPr>
        <w:t xml:space="preserve">. </w:t>
      </w:r>
      <w:r w:rsidR="00421D8A">
        <w:rPr>
          <w:rFonts w:ascii="Times New Roman" w:hAnsi="Times New Roman" w:cs="Times New Roman"/>
          <w:sz w:val="24"/>
          <w:szCs w:val="24"/>
        </w:rPr>
        <w:t>However, t</w:t>
      </w:r>
      <w:r w:rsidR="00296009">
        <w:rPr>
          <w:rFonts w:ascii="Times New Roman" w:hAnsi="Times New Roman" w:cs="Times New Roman"/>
          <w:sz w:val="24"/>
          <w:szCs w:val="24"/>
        </w:rPr>
        <w:t xml:space="preserve">he methodology to </w:t>
      </w:r>
      <w:r w:rsidR="00696EA3">
        <w:rPr>
          <w:rFonts w:ascii="Times New Roman" w:hAnsi="Times New Roman" w:cs="Times New Roman"/>
          <w:sz w:val="24"/>
          <w:szCs w:val="24"/>
        </w:rPr>
        <w:t>measure</w:t>
      </w:r>
      <w:r w:rsidR="00296009">
        <w:rPr>
          <w:rFonts w:ascii="Times New Roman" w:hAnsi="Times New Roman" w:cs="Times New Roman"/>
          <w:sz w:val="24"/>
          <w:szCs w:val="24"/>
        </w:rPr>
        <w:t xml:space="preserve"> the</w:t>
      </w:r>
      <w:r w:rsidR="00696EA3">
        <w:rPr>
          <w:rFonts w:ascii="Times New Roman" w:hAnsi="Times New Roman" w:cs="Times New Roman"/>
          <w:sz w:val="24"/>
          <w:szCs w:val="24"/>
        </w:rPr>
        <w:t xml:space="preserve"> ETK</w:t>
      </w:r>
      <w:r w:rsidR="00935132">
        <w:rPr>
          <w:rFonts w:ascii="Times New Roman" w:hAnsi="Times New Roman" w:cs="Times New Roman"/>
          <w:sz w:val="24"/>
          <w:szCs w:val="24"/>
        </w:rPr>
        <w:t xml:space="preserve"> activity</w:t>
      </w:r>
      <w:r w:rsidR="00696EA3">
        <w:rPr>
          <w:rFonts w:ascii="Times New Roman" w:hAnsi="Times New Roman" w:cs="Times New Roman"/>
          <w:sz w:val="24"/>
          <w:szCs w:val="24"/>
        </w:rPr>
        <w:t xml:space="preserve"> has received less attention</w:t>
      </w:r>
      <w:r w:rsidR="001619D1">
        <w:rPr>
          <w:rFonts w:ascii="Times New Roman" w:hAnsi="Times New Roman" w:cs="Times New Roman"/>
          <w:sz w:val="24"/>
          <w:szCs w:val="24"/>
        </w:rPr>
        <w:t>.</w:t>
      </w:r>
    </w:p>
    <w:p w14:paraId="4B6D52F2" w14:textId="7C1921E0" w:rsidR="00133770" w:rsidRDefault="00033F44">
      <w:pPr>
        <w:rPr>
          <w:rFonts w:ascii="Times New Roman" w:hAnsi="Times New Roman" w:cs="Times New Roman"/>
          <w:sz w:val="24"/>
          <w:szCs w:val="24"/>
        </w:rPr>
      </w:pPr>
      <w:r>
        <w:rPr>
          <w:rFonts w:ascii="Times New Roman" w:hAnsi="Times New Roman" w:cs="Times New Roman"/>
          <w:sz w:val="24"/>
          <w:szCs w:val="24"/>
        </w:rPr>
        <w:t xml:space="preserve">ETK activity is commonly expressed as a ratio or ‘activity coefficient’ (ETKAC). Two measurements are made to determine the EKTAC: </w:t>
      </w:r>
      <w:r w:rsidR="00391A7B">
        <w:rPr>
          <w:rFonts w:ascii="Times New Roman" w:hAnsi="Times New Roman" w:cs="Times New Roman"/>
          <w:sz w:val="24"/>
          <w:szCs w:val="24"/>
        </w:rPr>
        <w:t xml:space="preserve">(1) </w:t>
      </w:r>
      <w:r>
        <w:rPr>
          <w:rFonts w:ascii="Times New Roman" w:hAnsi="Times New Roman" w:cs="Times New Roman"/>
          <w:sz w:val="24"/>
          <w:szCs w:val="24"/>
        </w:rPr>
        <w:t>the basal activity of ETK</w:t>
      </w:r>
      <w:r w:rsidR="00391A7B">
        <w:rPr>
          <w:rFonts w:ascii="Times New Roman" w:hAnsi="Times New Roman" w:cs="Times New Roman"/>
          <w:sz w:val="24"/>
          <w:szCs w:val="24"/>
        </w:rPr>
        <w:t xml:space="preserve"> and (2) </w:t>
      </w:r>
      <w:r w:rsidR="00133770" w:rsidRPr="00CB3ECF">
        <w:rPr>
          <w:rFonts w:ascii="Times New Roman" w:hAnsi="Times New Roman" w:cs="Times New Roman"/>
          <w:sz w:val="24"/>
          <w:szCs w:val="24"/>
        </w:rPr>
        <w:t xml:space="preserve">‘activated’ or ‘stimulated’ </w:t>
      </w:r>
      <w:r w:rsidR="00133770">
        <w:rPr>
          <w:rFonts w:ascii="Times New Roman" w:hAnsi="Times New Roman" w:cs="Times New Roman"/>
          <w:sz w:val="24"/>
          <w:szCs w:val="24"/>
        </w:rPr>
        <w:t>ETK</w:t>
      </w:r>
      <w:r w:rsidR="00133770" w:rsidRPr="00CB3ECF">
        <w:rPr>
          <w:rFonts w:ascii="Times New Roman" w:hAnsi="Times New Roman" w:cs="Times New Roman"/>
          <w:sz w:val="24"/>
          <w:szCs w:val="24"/>
        </w:rPr>
        <w:t xml:space="preserve"> activity by addition of exogenous</w:t>
      </w:r>
      <w:r w:rsidR="00133770">
        <w:rPr>
          <w:rFonts w:ascii="Times New Roman" w:hAnsi="Times New Roman" w:cs="Times New Roman"/>
          <w:sz w:val="24"/>
          <w:szCs w:val="24"/>
        </w:rPr>
        <w:t>,</w:t>
      </w:r>
      <w:r w:rsidR="00133770" w:rsidRPr="00CB3ECF">
        <w:rPr>
          <w:rFonts w:ascii="Times New Roman" w:hAnsi="Times New Roman" w:cs="Times New Roman"/>
          <w:sz w:val="24"/>
          <w:szCs w:val="24"/>
        </w:rPr>
        <w:t xml:space="preserve"> excess </w:t>
      </w:r>
      <w:r w:rsidR="00133770" w:rsidRPr="00FD1FC4">
        <w:rPr>
          <w:rFonts w:ascii="Times New Roman" w:hAnsi="Times New Roman" w:cs="Times New Roman"/>
          <w:sz w:val="24"/>
          <w:szCs w:val="24"/>
        </w:rPr>
        <w:t>ThDP</w:t>
      </w:r>
      <w:r w:rsidR="00133770">
        <w:rPr>
          <w:rFonts w:ascii="Times New Roman" w:hAnsi="Times New Roman" w:cs="Times New Roman"/>
          <w:sz w:val="24"/>
          <w:szCs w:val="24"/>
        </w:rPr>
        <w:t xml:space="preserve">. The ratio of the activated to basal activity gives the ETKAC and provides a proxy measure for the </w:t>
      </w:r>
      <w:r w:rsidR="00133770" w:rsidRPr="00133770">
        <w:rPr>
          <w:rFonts w:ascii="Times New Roman" w:hAnsi="Times New Roman" w:cs="Times New Roman"/>
          <w:i/>
          <w:sz w:val="24"/>
          <w:szCs w:val="24"/>
        </w:rPr>
        <w:t>in vivo</w:t>
      </w:r>
      <w:r w:rsidR="00133770">
        <w:rPr>
          <w:rFonts w:ascii="Times New Roman" w:hAnsi="Times New Roman" w:cs="Times New Roman"/>
          <w:sz w:val="24"/>
          <w:szCs w:val="24"/>
        </w:rPr>
        <w:t xml:space="preserve"> activity of ETK and an indication of the availability of ThDP and thiamine status.  </w:t>
      </w:r>
    </w:p>
    <w:p w14:paraId="11100C33" w14:textId="2CB66570" w:rsidR="00DA3FAD" w:rsidRPr="00CB3ECF" w:rsidRDefault="00C448BC">
      <w:pPr>
        <w:rPr>
          <w:rFonts w:ascii="Times New Roman" w:hAnsi="Times New Roman" w:cs="Times New Roman"/>
          <w:sz w:val="24"/>
          <w:szCs w:val="24"/>
        </w:rPr>
      </w:pPr>
      <w:r w:rsidRPr="00CB3ECF">
        <w:rPr>
          <w:rFonts w:ascii="Times New Roman" w:hAnsi="Times New Roman" w:cs="Times New Roman"/>
          <w:sz w:val="24"/>
          <w:szCs w:val="24"/>
        </w:rPr>
        <w:lastRenderedPageBreak/>
        <w:t xml:space="preserve">In this manuscript, we </w:t>
      </w:r>
      <w:r w:rsidR="00696EA3">
        <w:rPr>
          <w:rFonts w:ascii="Times New Roman" w:hAnsi="Times New Roman" w:cs="Times New Roman"/>
          <w:sz w:val="24"/>
          <w:szCs w:val="24"/>
        </w:rPr>
        <w:t xml:space="preserve">describe the background to the </w:t>
      </w:r>
      <w:r w:rsidR="001B721B">
        <w:rPr>
          <w:rFonts w:ascii="Times New Roman" w:hAnsi="Times New Roman" w:cs="Times New Roman"/>
          <w:sz w:val="24"/>
          <w:szCs w:val="24"/>
        </w:rPr>
        <w:t>ETK</w:t>
      </w:r>
      <w:r w:rsidR="00935132">
        <w:rPr>
          <w:rFonts w:ascii="Times New Roman" w:hAnsi="Times New Roman" w:cs="Times New Roman"/>
          <w:sz w:val="24"/>
          <w:szCs w:val="24"/>
        </w:rPr>
        <w:t xml:space="preserve"> </w:t>
      </w:r>
      <w:r w:rsidR="001C0FD3">
        <w:rPr>
          <w:rFonts w:ascii="Times New Roman" w:hAnsi="Times New Roman" w:cs="Times New Roman"/>
          <w:sz w:val="24"/>
          <w:szCs w:val="24"/>
        </w:rPr>
        <w:t>activation</w:t>
      </w:r>
      <w:r w:rsidR="001B721B">
        <w:rPr>
          <w:rFonts w:ascii="Times New Roman" w:hAnsi="Times New Roman" w:cs="Times New Roman"/>
          <w:sz w:val="24"/>
          <w:szCs w:val="24"/>
        </w:rPr>
        <w:t xml:space="preserve"> </w:t>
      </w:r>
      <w:r w:rsidR="00696EA3">
        <w:rPr>
          <w:rFonts w:ascii="Times New Roman" w:hAnsi="Times New Roman" w:cs="Times New Roman"/>
          <w:sz w:val="24"/>
          <w:szCs w:val="24"/>
        </w:rPr>
        <w:t xml:space="preserve">assay </w:t>
      </w:r>
      <w:r w:rsidR="001619D1">
        <w:rPr>
          <w:rFonts w:ascii="Times New Roman" w:hAnsi="Times New Roman" w:cs="Times New Roman"/>
          <w:sz w:val="24"/>
          <w:szCs w:val="24"/>
        </w:rPr>
        <w:t xml:space="preserve">and </w:t>
      </w:r>
      <w:r w:rsidR="00F55571">
        <w:rPr>
          <w:rFonts w:ascii="Times New Roman" w:hAnsi="Times New Roman" w:cs="Times New Roman"/>
          <w:sz w:val="24"/>
          <w:szCs w:val="24"/>
        </w:rPr>
        <w:t xml:space="preserve">discuss aspects relating to </w:t>
      </w:r>
      <w:r w:rsidR="00146463">
        <w:rPr>
          <w:rFonts w:ascii="Times New Roman" w:hAnsi="Times New Roman" w:cs="Times New Roman"/>
          <w:sz w:val="24"/>
          <w:szCs w:val="24"/>
        </w:rPr>
        <w:t xml:space="preserve">reliably and robustly </w:t>
      </w:r>
      <w:r w:rsidR="001B721B">
        <w:rPr>
          <w:rFonts w:ascii="Times New Roman" w:hAnsi="Times New Roman" w:cs="Times New Roman"/>
          <w:sz w:val="24"/>
          <w:szCs w:val="24"/>
        </w:rPr>
        <w:t>performing</w:t>
      </w:r>
      <w:r w:rsidR="00F55571">
        <w:rPr>
          <w:rFonts w:ascii="Times New Roman" w:hAnsi="Times New Roman" w:cs="Times New Roman"/>
          <w:sz w:val="24"/>
          <w:szCs w:val="24"/>
        </w:rPr>
        <w:t xml:space="preserve">, reporting and interpreting the </w:t>
      </w:r>
      <w:r w:rsidR="00935132">
        <w:rPr>
          <w:rFonts w:ascii="Times New Roman" w:hAnsi="Times New Roman" w:cs="Times New Roman"/>
          <w:sz w:val="24"/>
          <w:szCs w:val="24"/>
        </w:rPr>
        <w:t xml:space="preserve">ETK activity </w:t>
      </w:r>
      <w:r w:rsidR="00F55571">
        <w:rPr>
          <w:rFonts w:ascii="Times New Roman" w:hAnsi="Times New Roman" w:cs="Times New Roman"/>
          <w:sz w:val="24"/>
          <w:szCs w:val="24"/>
        </w:rPr>
        <w:t xml:space="preserve">data. In addition, </w:t>
      </w:r>
      <w:r w:rsidR="001B721B">
        <w:rPr>
          <w:rFonts w:ascii="Times New Roman" w:hAnsi="Times New Roman" w:cs="Times New Roman"/>
          <w:sz w:val="24"/>
          <w:szCs w:val="24"/>
        </w:rPr>
        <w:t xml:space="preserve">we </w:t>
      </w:r>
      <w:r w:rsidR="001619D1">
        <w:rPr>
          <w:rFonts w:ascii="Times New Roman" w:hAnsi="Times New Roman" w:cs="Times New Roman"/>
          <w:sz w:val="24"/>
          <w:szCs w:val="24"/>
        </w:rPr>
        <w:t>pr</w:t>
      </w:r>
      <w:r w:rsidR="00FB0DD3">
        <w:rPr>
          <w:rFonts w:ascii="Times New Roman" w:hAnsi="Times New Roman" w:cs="Times New Roman"/>
          <w:sz w:val="24"/>
          <w:szCs w:val="24"/>
        </w:rPr>
        <w:t>esent</w:t>
      </w:r>
      <w:r w:rsidR="001B721B">
        <w:rPr>
          <w:rFonts w:ascii="Times New Roman" w:hAnsi="Times New Roman" w:cs="Times New Roman"/>
          <w:sz w:val="24"/>
          <w:szCs w:val="24"/>
        </w:rPr>
        <w:t xml:space="preserve"> a step-by-step protocol that provide</w:t>
      </w:r>
      <w:r w:rsidR="00FB0DD3">
        <w:rPr>
          <w:rFonts w:ascii="Times New Roman" w:hAnsi="Times New Roman" w:cs="Times New Roman"/>
          <w:sz w:val="24"/>
          <w:szCs w:val="24"/>
        </w:rPr>
        <w:t>s</w:t>
      </w:r>
      <w:r w:rsidR="001B721B">
        <w:rPr>
          <w:rFonts w:ascii="Times New Roman" w:hAnsi="Times New Roman" w:cs="Times New Roman"/>
          <w:sz w:val="24"/>
          <w:szCs w:val="24"/>
        </w:rPr>
        <w:t xml:space="preserve"> </w:t>
      </w:r>
      <w:r w:rsidR="00C82166">
        <w:rPr>
          <w:rFonts w:ascii="Times New Roman" w:hAnsi="Times New Roman" w:cs="Times New Roman"/>
          <w:sz w:val="24"/>
          <w:szCs w:val="24"/>
        </w:rPr>
        <w:t xml:space="preserve">detailed </w:t>
      </w:r>
      <w:r w:rsidR="00A3243B">
        <w:rPr>
          <w:rFonts w:ascii="Times New Roman" w:hAnsi="Times New Roman" w:cs="Times New Roman"/>
          <w:sz w:val="24"/>
          <w:szCs w:val="24"/>
        </w:rPr>
        <w:t>guidance</w:t>
      </w:r>
      <w:r w:rsidR="00C82166">
        <w:rPr>
          <w:rFonts w:ascii="Times New Roman" w:hAnsi="Times New Roman" w:cs="Times New Roman"/>
          <w:sz w:val="24"/>
          <w:szCs w:val="24"/>
        </w:rPr>
        <w:t xml:space="preserve"> and should enable</w:t>
      </w:r>
      <w:r w:rsidR="00A3243B">
        <w:rPr>
          <w:rFonts w:ascii="Times New Roman" w:hAnsi="Times New Roman" w:cs="Times New Roman"/>
          <w:sz w:val="24"/>
          <w:szCs w:val="24"/>
        </w:rPr>
        <w:t xml:space="preserve"> laboratories </w:t>
      </w:r>
      <w:r w:rsidR="00C82166">
        <w:rPr>
          <w:rFonts w:ascii="Times New Roman" w:hAnsi="Times New Roman" w:cs="Times New Roman"/>
          <w:sz w:val="24"/>
          <w:szCs w:val="24"/>
        </w:rPr>
        <w:t xml:space="preserve">to set up the method independently </w:t>
      </w:r>
      <w:r w:rsidR="001B721B">
        <w:rPr>
          <w:rFonts w:ascii="Times New Roman" w:hAnsi="Times New Roman" w:cs="Times New Roman"/>
          <w:sz w:val="24"/>
          <w:szCs w:val="24"/>
        </w:rPr>
        <w:t xml:space="preserve">and </w:t>
      </w:r>
      <w:r w:rsidR="00C82166">
        <w:rPr>
          <w:rFonts w:ascii="Times New Roman" w:hAnsi="Times New Roman" w:cs="Times New Roman"/>
          <w:sz w:val="24"/>
          <w:szCs w:val="24"/>
        </w:rPr>
        <w:t xml:space="preserve">improve </w:t>
      </w:r>
      <w:r w:rsidR="001C0FD3">
        <w:rPr>
          <w:rFonts w:ascii="Times New Roman" w:hAnsi="Times New Roman" w:cs="Times New Roman"/>
          <w:sz w:val="24"/>
          <w:szCs w:val="24"/>
        </w:rPr>
        <w:t>harmonization</w:t>
      </w:r>
      <w:r w:rsidR="00A3243B">
        <w:rPr>
          <w:rFonts w:ascii="Times New Roman" w:hAnsi="Times New Roman" w:cs="Times New Roman"/>
          <w:sz w:val="24"/>
          <w:szCs w:val="24"/>
        </w:rPr>
        <w:t xml:space="preserve">. </w:t>
      </w:r>
    </w:p>
    <w:p w14:paraId="5539F720" w14:textId="77777777" w:rsidR="00B14A81" w:rsidRPr="00764081" w:rsidRDefault="00B14A81" w:rsidP="00DA3FAD">
      <w:pPr>
        <w:pStyle w:val="ListParagraph"/>
        <w:numPr>
          <w:ilvl w:val="0"/>
          <w:numId w:val="30"/>
        </w:numPr>
        <w:rPr>
          <w:rFonts w:ascii="Times New Roman" w:hAnsi="Times New Roman" w:cs="Times New Roman"/>
          <w:b/>
          <w:sz w:val="24"/>
          <w:szCs w:val="24"/>
        </w:rPr>
      </w:pPr>
      <w:r w:rsidRPr="00764081">
        <w:rPr>
          <w:rFonts w:ascii="Times New Roman" w:hAnsi="Times New Roman" w:cs="Times New Roman"/>
          <w:b/>
          <w:sz w:val="24"/>
          <w:szCs w:val="24"/>
        </w:rPr>
        <w:t>Historical b</w:t>
      </w:r>
      <w:r w:rsidR="00CB3ECF" w:rsidRPr="00764081">
        <w:rPr>
          <w:rFonts w:ascii="Times New Roman" w:hAnsi="Times New Roman" w:cs="Times New Roman"/>
          <w:b/>
          <w:sz w:val="24"/>
          <w:szCs w:val="24"/>
        </w:rPr>
        <w:t>ack</w:t>
      </w:r>
      <w:r w:rsidR="00A3243B" w:rsidRPr="00764081">
        <w:rPr>
          <w:rFonts w:ascii="Times New Roman" w:hAnsi="Times New Roman" w:cs="Times New Roman"/>
          <w:b/>
          <w:sz w:val="24"/>
          <w:szCs w:val="24"/>
        </w:rPr>
        <w:t>ground</w:t>
      </w:r>
    </w:p>
    <w:p w14:paraId="711AC9F3" w14:textId="300913DA" w:rsidR="00DA3FAD" w:rsidRPr="00CB3ECF" w:rsidRDefault="00935132">
      <w:pPr>
        <w:rPr>
          <w:rFonts w:ascii="Times New Roman" w:hAnsi="Times New Roman" w:cs="Times New Roman"/>
          <w:sz w:val="24"/>
          <w:szCs w:val="24"/>
        </w:rPr>
      </w:pPr>
      <w:r>
        <w:rPr>
          <w:rFonts w:ascii="Times New Roman" w:hAnsi="Times New Roman" w:cs="Times New Roman"/>
          <w:sz w:val="24"/>
          <w:szCs w:val="24"/>
        </w:rPr>
        <w:t xml:space="preserve">The ETK activity </w:t>
      </w:r>
      <w:r w:rsidR="00B14A81" w:rsidRPr="00CB3ECF">
        <w:rPr>
          <w:rFonts w:ascii="Times New Roman" w:hAnsi="Times New Roman" w:cs="Times New Roman"/>
          <w:sz w:val="24"/>
          <w:szCs w:val="24"/>
        </w:rPr>
        <w:t xml:space="preserve">assay in its early form </w:t>
      </w:r>
      <w:r w:rsidR="00C82166">
        <w:rPr>
          <w:rFonts w:ascii="Times New Roman" w:hAnsi="Times New Roman" w:cs="Times New Roman"/>
          <w:sz w:val="24"/>
          <w:szCs w:val="24"/>
        </w:rPr>
        <w:t>for</w:t>
      </w:r>
      <w:r w:rsidR="00C82166" w:rsidRPr="00CB3ECF">
        <w:rPr>
          <w:rFonts w:ascii="Times New Roman" w:hAnsi="Times New Roman" w:cs="Times New Roman"/>
          <w:sz w:val="24"/>
          <w:szCs w:val="24"/>
        </w:rPr>
        <w:t xml:space="preserve"> </w:t>
      </w:r>
      <w:r w:rsidR="00B14A81" w:rsidRPr="00CB3ECF">
        <w:rPr>
          <w:rFonts w:ascii="Times New Roman" w:hAnsi="Times New Roman" w:cs="Times New Roman"/>
          <w:sz w:val="24"/>
          <w:szCs w:val="24"/>
        </w:rPr>
        <w:t>the application of thiamine deficiency</w:t>
      </w:r>
      <w:r w:rsidR="00C82166">
        <w:rPr>
          <w:rFonts w:ascii="Times New Roman" w:hAnsi="Times New Roman" w:cs="Times New Roman"/>
          <w:sz w:val="24"/>
          <w:szCs w:val="24"/>
        </w:rPr>
        <w:t xml:space="preserve"> assessment</w:t>
      </w:r>
      <w:r w:rsidR="00B14A81" w:rsidRPr="00CB3ECF">
        <w:rPr>
          <w:rFonts w:ascii="Times New Roman" w:hAnsi="Times New Roman" w:cs="Times New Roman"/>
          <w:sz w:val="24"/>
          <w:szCs w:val="24"/>
        </w:rPr>
        <w:t xml:space="preserve"> was established by</w:t>
      </w:r>
      <w:r w:rsidR="00B14A81" w:rsidRPr="00207ED4">
        <w:rPr>
          <w:rFonts w:ascii="Times New Roman" w:hAnsi="Times New Roman" w:cs="Times New Roman"/>
          <w:sz w:val="24"/>
          <w:szCs w:val="24"/>
          <w:lang w:val="en-US"/>
        </w:rPr>
        <w:t xml:space="preserve"> Brin</w:t>
      </w:r>
      <w:r w:rsidR="00B14A81" w:rsidRPr="00CB3ECF">
        <w:rPr>
          <w:rFonts w:ascii="Times New Roman" w:hAnsi="Times New Roman" w:cs="Times New Roman"/>
          <w:sz w:val="24"/>
          <w:szCs w:val="24"/>
        </w:rPr>
        <w:t xml:space="preserve"> </w:t>
      </w:r>
      <w:r w:rsidR="00B14A81" w:rsidRPr="00CB3ECF">
        <w:rPr>
          <w:rFonts w:ascii="Times New Roman" w:hAnsi="Times New Roman" w:cs="Times New Roman"/>
          <w:sz w:val="24"/>
          <w:szCs w:val="24"/>
        </w:rPr>
        <w:fldChar w:fldCharType="begin" w:fldLock="1"/>
      </w:r>
      <w:r w:rsidR="00016D44">
        <w:rPr>
          <w:rFonts w:ascii="Times New Roman" w:hAnsi="Times New Roman" w:cs="Times New Roman"/>
          <w:sz w:val="24"/>
          <w:szCs w:val="24"/>
        </w:rPr>
        <w:instrText>ADDIN CSL_CITATION {"citationItems":[{"id":"ITEM-1","itemData":{"DOI":"10.1093/jn/78.2.179","ISSN":"0022-3166 (Print)","PMID":"14015491","author":[{"dropping-particle":"","family":"Brin","given":"M","non-dropping-particle":"","parse-names":false,"suffix":""}],"container-title":"The Journal of nutrition","id":"ITEM-1","issue":"2","issued":{"date-parts":[["1962","10"]]},"language":"eng","page":"179-183","publisher-place":"United States","title":"Effects of thiamine deficiency and of oxythiamine on rat tissue transketolase.","type":"article-journal","volume":"78"},"uris":["http://www.mendeley.com/documents/?uuid=49a32f31-14ae-458b-b7e5-724313f12dd6"]}],"mendeley":{"formattedCitation":"&lt;sup&gt;7&lt;/sup&gt;","plainTextFormattedCitation":"7","previouslyFormattedCitation":"&lt;sup&gt;7&lt;/sup&gt;"},"properties":{"noteIndex":0},"schema":"https://github.com/citation-style-language/schema/raw/master/csl-citation.json"}</w:instrText>
      </w:r>
      <w:r w:rsidR="00B14A81" w:rsidRPr="00CB3ECF">
        <w:rPr>
          <w:rFonts w:ascii="Times New Roman" w:hAnsi="Times New Roman" w:cs="Times New Roman"/>
          <w:sz w:val="24"/>
          <w:szCs w:val="24"/>
        </w:rPr>
        <w:fldChar w:fldCharType="separate"/>
      </w:r>
      <w:r w:rsidR="00B94DA2" w:rsidRPr="00B94DA2">
        <w:rPr>
          <w:rFonts w:ascii="Times New Roman" w:hAnsi="Times New Roman" w:cs="Times New Roman"/>
          <w:noProof/>
          <w:sz w:val="24"/>
          <w:szCs w:val="24"/>
          <w:vertAlign w:val="superscript"/>
        </w:rPr>
        <w:t>7</w:t>
      </w:r>
      <w:r w:rsidR="00B14A81" w:rsidRPr="00CB3ECF">
        <w:rPr>
          <w:rFonts w:ascii="Times New Roman" w:hAnsi="Times New Roman" w:cs="Times New Roman"/>
          <w:sz w:val="24"/>
          <w:szCs w:val="24"/>
        </w:rPr>
        <w:fldChar w:fldCharType="end"/>
      </w:r>
      <w:r w:rsidR="00B14A81" w:rsidRPr="00CB3ECF">
        <w:rPr>
          <w:rFonts w:ascii="Times New Roman" w:hAnsi="Times New Roman" w:cs="Times New Roman"/>
          <w:sz w:val="24"/>
          <w:szCs w:val="24"/>
        </w:rPr>
        <w:t xml:space="preserve"> and was later improved and adapted as understanding and technology progressed</w:t>
      </w:r>
      <w:r>
        <w:rPr>
          <w:rFonts w:ascii="Times New Roman" w:hAnsi="Times New Roman" w:cs="Times New Roman"/>
          <w:sz w:val="24"/>
          <w:szCs w:val="24"/>
        </w:rPr>
        <w:t xml:space="preserve">. Assays moved from the </w:t>
      </w:r>
      <w:r w:rsidR="00B14A81" w:rsidRPr="00CB3ECF">
        <w:rPr>
          <w:rFonts w:ascii="Times New Roman" w:hAnsi="Times New Roman" w:cs="Times New Roman"/>
          <w:sz w:val="24"/>
          <w:szCs w:val="24"/>
        </w:rPr>
        <w:t xml:space="preserve">less-specific </w:t>
      </w:r>
      <w:r w:rsidR="00207ED4" w:rsidRPr="00CB3ECF">
        <w:rPr>
          <w:rFonts w:ascii="Times New Roman" w:hAnsi="Times New Roman" w:cs="Times New Roman"/>
          <w:sz w:val="24"/>
          <w:szCs w:val="24"/>
        </w:rPr>
        <w:t>colorimetric</w:t>
      </w:r>
      <w:r w:rsidR="00B14A81" w:rsidRPr="00CB3ECF">
        <w:rPr>
          <w:rFonts w:ascii="Times New Roman" w:hAnsi="Times New Roman" w:cs="Times New Roman"/>
          <w:sz w:val="24"/>
          <w:szCs w:val="24"/>
        </w:rPr>
        <w:t xml:space="preserve"> determination of substrate disappearance or appearance of end-products to UV detection of NADH</w:t>
      </w:r>
      <w:r>
        <w:rPr>
          <w:rFonts w:ascii="Times New Roman" w:hAnsi="Times New Roman" w:cs="Times New Roman"/>
          <w:sz w:val="24"/>
          <w:szCs w:val="24"/>
        </w:rPr>
        <w:t>.</w:t>
      </w:r>
      <w:r w:rsidR="00B14A81" w:rsidRPr="00CB3ECF">
        <w:rPr>
          <w:rFonts w:ascii="Times New Roman" w:hAnsi="Times New Roman" w:cs="Times New Roman"/>
          <w:sz w:val="24"/>
          <w:szCs w:val="24"/>
        </w:rPr>
        <w:t xml:space="preserve"> </w:t>
      </w:r>
      <w:r w:rsidR="00B14A81" w:rsidRPr="00CB3ECF">
        <w:rPr>
          <w:rFonts w:ascii="Times New Roman" w:hAnsi="Times New Roman" w:cs="Times New Roman"/>
          <w:sz w:val="24"/>
          <w:szCs w:val="24"/>
        </w:rPr>
        <w:fldChar w:fldCharType="begin" w:fldLock="1"/>
      </w:r>
      <w:r w:rsidR="00016D44">
        <w:rPr>
          <w:rFonts w:ascii="Times New Roman" w:hAnsi="Times New Roman" w:cs="Times New Roman"/>
          <w:sz w:val="24"/>
          <w:szCs w:val="24"/>
        </w:rPr>
        <w:instrText>ADDIN CSL_CITATION {"citationItems":[{"id":"ITEM-1","itemData":{"DOI":"10.1016/0009-8981(71)90496-7","ISSN":"0009-8981 (Print)","PMID":"4330339","author":[{"dropping-particle":"","family":"Smeets","given":"E H","non-dropping-particle":"","parse-names":false,"suffix":""},{"dropping-particle":"","family":"Muller","given":"H","non-dropping-particle":"","parse-names":false,"suffix":""},{"dropping-particle":"","family":"Wael","given":"J","non-dropping-particle":"de","parse-names":false,"suffix":""}],"container-title":"Clinica chimica acta; international journal of clinical chemistry","id":"ITEM-1","issue":"2","issued":{"date-parts":[["1971","7"]]},"language":"eng","page":"379-386","publisher-place":"Netherlands","title":"A NADH-dependent transketolase assay in erythrocyte hemolysates.","type":"article-journal","volume":"33"},"uris":["http://www.mendeley.com/documents/?uuid=1220ce05-40b3-4c57-b746-f024fe9fdc06"]}],"mendeley":{"formattedCitation":"&lt;sup&gt;8&lt;/sup&gt;","plainTextFormattedCitation":"8","previouslyFormattedCitation":"&lt;sup&gt;8&lt;/sup&gt;"},"properties":{"noteIndex":0},"schema":"https://github.com/citation-style-language/schema/raw/master/csl-citation.json"}</w:instrText>
      </w:r>
      <w:r w:rsidR="00B14A81" w:rsidRPr="00CB3ECF">
        <w:rPr>
          <w:rFonts w:ascii="Times New Roman" w:hAnsi="Times New Roman" w:cs="Times New Roman"/>
          <w:sz w:val="24"/>
          <w:szCs w:val="24"/>
        </w:rPr>
        <w:fldChar w:fldCharType="separate"/>
      </w:r>
      <w:r w:rsidR="00B94DA2" w:rsidRPr="00B94DA2">
        <w:rPr>
          <w:rFonts w:ascii="Times New Roman" w:hAnsi="Times New Roman" w:cs="Times New Roman"/>
          <w:noProof/>
          <w:sz w:val="24"/>
          <w:szCs w:val="24"/>
          <w:vertAlign w:val="superscript"/>
        </w:rPr>
        <w:t>8</w:t>
      </w:r>
      <w:r w:rsidR="00B14A81" w:rsidRPr="00CB3ECF">
        <w:rPr>
          <w:rFonts w:ascii="Times New Roman" w:hAnsi="Times New Roman" w:cs="Times New Roman"/>
          <w:sz w:val="24"/>
          <w:szCs w:val="24"/>
        </w:rPr>
        <w:fldChar w:fldCharType="end"/>
      </w:r>
      <w:r w:rsidR="00B14A81" w:rsidRPr="00CB3ECF">
        <w:rPr>
          <w:rFonts w:ascii="Times New Roman" w:hAnsi="Times New Roman" w:cs="Times New Roman"/>
          <w:sz w:val="24"/>
          <w:szCs w:val="24"/>
        </w:rPr>
        <w:t xml:space="preserve"> </w:t>
      </w:r>
      <w:r>
        <w:rPr>
          <w:rFonts w:ascii="Times New Roman" w:hAnsi="Times New Roman" w:cs="Times New Roman"/>
          <w:sz w:val="24"/>
          <w:szCs w:val="24"/>
        </w:rPr>
        <w:t>T</w:t>
      </w:r>
      <w:r w:rsidR="00B14A81" w:rsidRPr="00CB3ECF">
        <w:rPr>
          <w:rFonts w:ascii="Times New Roman" w:hAnsi="Times New Roman" w:cs="Times New Roman"/>
          <w:sz w:val="24"/>
          <w:szCs w:val="24"/>
        </w:rPr>
        <w:t xml:space="preserve">he assay relies on the detection of small changes in enzyme activity </w:t>
      </w:r>
      <w:r>
        <w:rPr>
          <w:rFonts w:ascii="Times New Roman" w:hAnsi="Times New Roman" w:cs="Times New Roman"/>
          <w:sz w:val="24"/>
          <w:szCs w:val="24"/>
        </w:rPr>
        <w:t xml:space="preserve">and </w:t>
      </w:r>
      <w:r w:rsidR="00B14A81" w:rsidRPr="00CB3ECF">
        <w:rPr>
          <w:rFonts w:ascii="Times New Roman" w:hAnsi="Times New Roman" w:cs="Times New Roman"/>
          <w:sz w:val="24"/>
          <w:szCs w:val="24"/>
        </w:rPr>
        <w:t>early methods lacked the necessary sensitivity and had relatively poor precision. The assay was further refined and adapted for semi-automated clinical chemistry analysers</w:t>
      </w:r>
      <w:r w:rsidR="00CB2038">
        <w:rPr>
          <w:rFonts w:ascii="Times New Roman" w:hAnsi="Times New Roman" w:cs="Times New Roman"/>
          <w:sz w:val="24"/>
          <w:szCs w:val="24"/>
        </w:rPr>
        <w:t>.</w:t>
      </w:r>
      <w:r w:rsidR="00B14A81" w:rsidRPr="00CB3ECF">
        <w:rPr>
          <w:rFonts w:ascii="Times New Roman" w:hAnsi="Times New Roman" w:cs="Times New Roman"/>
          <w:sz w:val="24"/>
          <w:szCs w:val="24"/>
        </w:rPr>
        <w:t xml:space="preserve"> </w:t>
      </w:r>
      <w:r w:rsidR="00CB2038">
        <w:rPr>
          <w:rFonts w:ascii="Times New Roman" w:hAnsi="Times New Roman" w:cs="Times New Roman"/>
          <w:sz w:val="24"/>
          <w:szCs w:val="24"/>
        </w:rPr>
        <w:t>This improved</w:t>
      </w:r>
      <w:r w:rsidR="00DC5ECF" w:rsidRPr="00CB3ECF">
        <w:rPr>
          <w:rFonts w:ascii="Times New Roman" w:hAnsi="Times New Roman" w:cs="Times New Roman"/>
          <w:sz w:val="24"/>
          <w:szCs w:val="24"/>
        </w:rPr>
        <w:t xml:space="preserve"> </w:t>
      </w:r>
      <w:r w:rsidR="00DC5ECF">
        <w:rPr>
          <w:rFonts w:ascii="Times New Roman" w:hAnsi="Times New Roman" w:cs="Times New Roman"/>
          <w:sz w:val="24"/>
          <w:szCs w:val="24"/>
        </w:rPr>
        <w:t xml:space="preserve">measurement </w:t>
      </w:r>
      <w:r w:rsidR="00DC5ECF" w:rsidRPr="00CB3ECF">
        <w:rPr>
          <w:rFonts w:ascii="Times New Roman" w:hAnsi="Times New Roman" w:cs="Times New Roman"/>
          <w:sz w:val="24"/>
          <w:szCs w:val="24"/>
        </w:rPr>
        <w:t>precision</w:t>
      </w:r>
      <w:r w:rsidR="00CB2038">
        <w:rPr>
          <w:rFonts w:ascii="Times New Roman" w:hAnsi="Times New Roman" w:cs="Times New Roman"/>
          <w:sz w:val="24"/>
          <w:szCs w:val="24"/>
        </w:rPr>
        <w:t xml:space="preserve">, </w:t>
      </w:r>
      <w:r w:rsidR="00DC5ECF">
        <w:rPr>
          <w:rFonts w:ascii="Times New Roman" w:hAnsi="Times New Roman" w:cs="Times New Roman"/>
          <w:sz w:val="24"/>
          <w:szCs w:val="24"/>
        </w:rPr>
        <w:t xml:space="preserve">even at observed </w:t>
      </w:r>
      <w:r w:rsidR="00DC5ECF" w:rsidRPr="00CB3ECF">
        <w:rPr>
          <w:rFonts w:ascii="Times New Roman" w:hAnsi="Times New Roman" w:cs="Times New Roman"/>
          <w:sz w:val="24"/>
          <w:szCs w:val="24"/>
        </w:rPr>
        <w:t>high absorbance</w:t>
      </w:r>
      <w:r>
        <w:rPr>
          <w:rFonts w:ascii="Times New Roman" w:hAnsi="Times New Roman" w:cs="Times New Roman"/>
          <w:sz w:val="24"/>
          <w:szCs w:val="24"/>
        </w:rPr>
        <w:t>,</w:t>
      </w:r>
      <w:r w:rsidR="00DC5ECF" w:rsidRPr="00CB3ECF">
        <w:rPr>
          <w:rFonts w:ascii="Times New Roman" w:hAnsi="Times New Roman" w:cs="Times New Roman"/>
          <w:sz w:val="24"/>
          <w:szCs w:val="24"/>
        </w:rPr>
        <w:t xml:space="preserve"> and the ability to run basal and activated measurements side-by-side</w:t>
      </w:r>
      <w:r w:rsidR="00DC5ECF">
        <w:rPr>
          <w:rFonts w:ascii="Times New Roman" w:hAnsi="Times New Roman" w:cs="Times New Roman"/>
          <w:sz w:val="24"/>
          <w:szCs w:val="24"/>
        </w:rPr>
        <w:t xml:space="preserve"> </w:t>
      </w:r>
      <w:r>
        <w:rPr>
          <w:rFonts w:ascii="Times New Roman" w:hAnsi="Times New Roman" w:cs="Times New Roman"/>
          <w:sz w:val="24"/>
          <w:szCs w:val="24"/>
        </w:rPr>
        <w:t xml:space="preserve">further </w:t>
      </w:r>
      <w:r w:rsidR="00B14A81" w:rsidRPr="00CB3ECF">
        <w:rPr>
          <w:rFonts w:ascii="Times New Roman" w:hAnsi="Times New Roman" w:cs="Times New Roman"/>
          <w:sz w:val="24"/>
          <w:szCs w:val="24"/>
        </w:rPr>
        <w:t>improv</w:t>
      </w:r>
      <w:r w:rsidR="00DC5ECF">
        <w:rPr>
          <w:rFonts w:ascii="Times New Roman" w:hAnsi="Times New Roman" w:cs="Times New Roman"/>
          <w:sz w:val="24"/>
          <w:szCs w:val="24"/>
        </w:rPr>
        <w:t>ed</w:t>
      </w:r>
      <w:r w:rsidR="00B14A81" w:rsidRPr="00CB3ECF">
        <w:rPr>
          <w:rFonts w:ascii="Times New Roman" w:hAnsi="Times New Roman" w:cs="Times New Roman"/>
          <w:sz w:val="24"/>
          <w:szCs w:val="24"/>
        </w:rPr>
        <w:t xml:space="preserve"> performance</w:t>
      </w:r>
      <w:r w:rsidR="00632D96">
        <w:rPr>
          <w:rFonts w:ascii="Times New Roman" w:hAnsi="Times New Roman" w:cs="Times New Roman"/>
          <w:sz w:val="24"/>
          <w:szCs w:val="24"/>
        </w:rPr>
        <w:t>.</w:t>
      </w:r>
      <w:r w:rsidR="00B14A81" w:rsidRPr="00CB3ECF">
        <w:rPr>
          <w:rFonts w:ascii="Times New Roman" w:hAnsi="Times New Roman" w:cs="Times New Roman"/>
          <w:sz w:val="24"/>
          <w:szCs w:val="24"/>
        </w:rPr>
        <w:fldChar w:fldCharType="begin" w:fldLock="1"/>
      </w:r>
      <w:r w:rsidR="00016D44">
        <w:rPr>
          <w:rFonts w:ascii="Times New Roman" w:hAnsi="Times New Roman" w:cs="Times New Roman"/>
          <w:sz w:val="24"/>
          <w:szCs w:val="24"/>
        </w:rPr>
        <w:instrText>ADDIN CSL_CITATION {"citationItems":[{"id":"ITEM-1","itemData":{"DOI":"10.1177/000456328702400106","ISSN":"0004-5632 (Print)","PMID":"3827183","abstract":"Adaptation of coenzyme stimulation assays for the nutritional assessment of  thiamine, riboflavin and pyridoxine on the Cobas Bio centrifugal analyser are described. Whole blood was collected into acid-citrate dextrose, which preserves the erythrocytes, prior to assay for several days. Washed erythrocytes stored at -70 degrees C and subsequently thawed, showed altered enzyme activities. The methods offer improved precision over existing procedures and take advantage of the high throughput capabilities of the instrumentation.","author":[{"dropping-particle":"","family":"Mount","given":"J N","non-dropping-particle":"","parse-names":false,"suffix":""},{"dropping-particle":"","family":"Heduan","given":"E","non-dropping-particle":"","parse-names":false,"suffix":""},{"dropping-particle":"","family":"Herd","given":"C","non-dropping-particle":"","parse-names":false,"suffix":""},{"dropping-particle":"","family":"Jupp","given":"R","non-dropping-particle":"","parse-names":false,"suffix":""},{"dropping-particle":"","family":"Kearney","given":"E","non-dropping-particle":"","parse-names":false,"suffix":""},{"dropping-particle":"","family":"Marsh","given":"A","non-dropping-particle":"","parse-names":false,"suffix":""}],"container-title":"Annals of clinical biochemistry","id":"ITEM-1","issued":{"date-parts":[["1987","1"]]},"language":"eng","page":"41-46","publisher-place":"England","title":"Adaptation of coenzyme stimulation assays for the nutritional assessment of vitamins  B1, B2 and B6 using the Cobas Bio centrifugal analyser.","type":"article-journal","volume":"24 ( Pt 1)"},"uris":["http://www.mendeley.com/documents/?uuid=257ca902-6079-4cbc-90e9-7c76a994cc5c"]},{"id":"ITEM-2","itemData":{"ISSN":"0300-9831 (Print)","PMID":"2210961","abstract":"The programming of the Cobas-Bio centrifugal analyzer for kinetic tests of  transketolase, glutathione reductase and aspartate amino-transferase is described. The results obtained in a population of 200 healthy people of both sexes are reported.","author":[{"dropping-particle":"","family":"Vuilleumier","given":"J P","non-dropping-particle":"","parse-names":false,"suffix":""},{"dropping-particle":"","family":"Keller","given":"H E","non-dropping-particle":"","parse-names":false,"suffix":""},{"dropping-particle":"","family":"Keck","given":"E","non-dropping-particle":"","parse-names":false,"suffix":""}],"container-title":"International journal for vitamin and nutrition research. Internationale Zeitschrift  fur Vitamin- und Ernahrungsforschung. Journal international de vitaminologie et de nutrition","id":"ITEM-2","issue":"2","issued":{"date-parts":[["1990"]]},"language":"eng","page":"126-135","publisher-place":"Switzerland","title":"Clinical chemical methods for the routine assessment of the vitamin status in human  populations. Part III: The apoenzyme stimulation tests for vitamin B1, B2 and B6 adapted to the Cobas-Bio analyzer.","type":"article-journal","volume":"60"},"uris":["http://www.mendeley.com/documents/?uuid=a9844687-c69f-4cdb-83cf-578022965086"]}],"mendeley":{"formattedCitation":"&lt;sup&gt;9,10&lt;/sup&gt;","plainTextFormattedCitation":"9,10","previouslyFormattedCitation":"&lt;sup&gt;9,10&lt;/sup&gt;"},"properties":{"noteIndex":0},"schema":"https://github.com/citation-style-language/schema/raw/master/csl-citation.json"}</w:instrText>
      </w:r>
      <w:r w:rsidR="00B14A81" w:rsidRPr="00CB3ECF">
        <w:rPr>
          <w:rFonts w:ascii="Times New Roman" w:hAnsi="Times New Roman" w:cs="Times New Roman"/>
          <w:sz w:val="24"/>
          <w:szCs w:val="24"/>
        </w:rPr>
        <w:fldChar w:fldCharType="separate"/>
      </w:r>
      <w:r w:rsidR="00B94DA2" w:rsidRPr="00B94DA2">
        <w:rPr>
          <w:rFonts w:ascii="Times New Roman" w:hAnsi="Times New Roman" w:cs="Times New Roman"/>
          <w:noProof/>
          <w:sz w:val="24"/>
          <w:szCs w:val="24"/>
          <w:vertAlign w:val="superscript"/>
        </w:rPr>
        <w:t>9,10</w:t>
      </w:r>
      <w:r w:rsidR="00B14A81" w:rsidRPr="00CB3ECF">
        <w:rPr>
          <w:rFonts w:ascii="Times New Roman" w:hAnsi="Times New Roman" w:cs="Times New Roman"/>
          <w:sz w:val="24"/>
          <w:szCs w:val="24"/>
        </w:rPr>
        <w:fldChar w:fldCharType="end"/>
      </w:r>
      <w:r w:rsidR="00B14A81" w:rsidRPr="00CB3ECF">
        <w:rPr>
          <w:rFonts w:ascii="Times New Roman" w:hAnsi="Times New Roman" w:cs="Times New Roman"/>
          <w:sz w:val="24"/>
          <w:szCs w:val="24"/>
        </w:rPr>
        <w:t xml:space="preserve"> For </w:t>
      </w:r>
      <w:r>
        <w:rPr>
          <w:rFonts w:ascii="Times New Roman" w:hAnsi="Times New Roman" w:cs="Times New Roman"/>
          <w:sz w:val="24"/>
          <w:szCs w:val="24"/>
        </w:rPr>
        <w:t xml:space="preserve">additional </w:t>
      </w:r>
      <w:r w:rsidR="00B14A81" w:rsidRPr="00CB3ECF">
        <w:rPr>
          <w:rFonts w:ascii="Times New Roman" w:hAnsi="Times New Roman" w:cs="Times New Roman"/>
          <w:sz w:val="24"/>
          <w:szCs w:val="24"/>
        </w:rPr>
        <w:t>convenience</w:t>
      </w:r>
      <w:r>
        <w:rPr>
          <w:rFonts w:ascii="Times New Roman" w:hAnsi="Times New Roman" w:cs="Times New Roman"/>
          <w:sz w:val="24"/>
          <w:szCs w:val="24"/>
        </w:rPr>
        <w:t xml:space="preserve"> and to remove the need for large, expensive equipment</w:t>
      </w:r>
      <w:r w:rsidR="00B14A81" w:rsidRPr="00CB3ECF">
        <w:rPr>
          <w:rFonts w:ascii="Times New Roman" w:hAnsi="Times New Roman" w:cs="Times New Roman"/>
          <w:sz w:val="24"/>
          <w:szCs w:val="24"/>
        </w:rPr>
        <w:t xml:space="preserve">, the assay has been </w:t>
      </w:r>
      <w:r w:rsidR="00DC5ECF">
        <w:rPr>
          <w:rFonts w:ascii="Times New Roman" w:hAnsi="Times New Roman" w:cs="Times New Roman"/>
          <w:sz w:val="24"/>
          <w:szCs w:val="24"/>
        </w:rPr>
        <w:t xml:space="preserve">further </w:t>
      </w:r>
      <w:r w:rsidR="00B14A81" w:rsidRPr="00CB3ECF">
        <w:rPr>
          <w:rFonts w:ascii="Times New Roman" w:hAnsi="Times New Roman" w:cs="Times New Roman"/>
          <w:sz w:val="24"/>
          <w:szCs w:val="24"/>
        </w:rPr>
        <w:t xml:space="preserve">adapted to </w:t>
      </w:r>
      <w:r w:rsidR="00DC5ECF">
        <w:rPr>
          <w:rFonts w:ascii="Times New Roman" w:hAnsi="Times New Roman" w:cs="Times New Roman"/>
          <w:sz w:val="24"/>
          <w:szCs w:val="24"/>
        </w:rPr>
        <w:t xml:space="preserve">a </w:t>
      </w:r>
      <w:r w:rsidR="00B14A81" w:rsidRPr="00CB3ECF">
        <w:rPr>
          <w:rFonts w:ascii="Times New Roman" w:hAnsi="Times New Roman" w:cs="Times New Roman"/>
          <w:sz w:val="24"/>
          <w:szCs w:val="24"/>
        </w:rPr>
        <w:t xml:space="preserve">96-well plate </w:t>
      </w:r>
      <w:r w:rsidR="00DC5ECF">
        <w:rPr>
          <w:rFonts w:ascii="Times New Roman" w:hAnsi="Times New Roman" w:cs="Times New Roman"/>
          <w:sz w:val="24"/>
          <w:szCs w:val="24"/>
        </w:rPr>
        <w:t>format</w:t>
      </w:r>
      <w:r w:rsidR="009C4F19">
        <w:rPr>
          <w:rFonts w:ascii="Times New Roman" w:hAnsi="Times New Roman" w:cs="Times New Roman"/>
          <w:sz w:val="24"/>
          <w:szCs w:val="24"/>
        </w:rPr>
        <w:t xml:space="preserve"> and </w:t>
      </w:r>
      <w:r w:rsidR="00DC5ECF">
        <w:rPr>
          <w:rFonts w:ascii="Times New Roman" w:hAnsi="Times New Roman" w:cs="Times New Roman"/>
          <w:sz w:val="24"/>
          <w:szCs w:val="24"/>
        </w:rPr>
        <w:t xml:space="preserve">measured with </w:t>
      </w:r>
      <w:r w:rsidR="00632D96">
        <w:rPr>
          <w:rFonts w:ascii="Times New Roman" w:hAnsi="Times New Roman" w:cs="Times New Roman"/>
          <w:sz w:val="24"/>
          <w:szCs w:val="24"/>
        </w:rPr>
        <w:t xml:space="preserve">a </w:t>
      </w:r>
      <w:r w:rsidR="00DC5ECF">
        <w:rPr>
          <w:rFonts w:ascii="Times New Roman" w:hAnsi="Times New Roman" w:cs="Times New Roman"/>
          <w:sz w:val="24"/>
          <w:szCs w:val="24"/>
        </w:rPr>
        <w:t>plate reader</w:t>
      </w:r>
      <w:r w:rsidR="00B2295E">
        <w:rPr>
          <w:rFonts w:ascii="Times New Roman" w:hAnsi="Times New Roman" w:cs="Times New Roman"/>
          <w:sz w:val="24"/>
          <w:szCs w:val="24"/>
        </w:rPr>
        <w:fldChar w:fldCharType="begin" w:fldLock="1"/>
      </w:r>
      <w:r w:rsidR="00016D44">
        <w:rPr>
          <w:rFonts w:ascii="Times New Roman" w:hAnsi="Times New Roman" w:cs="Times New Roman"/>
          <w:sz w:val="24"/>
          <w:szCs w:val="24"/>
        </w:rPr>
        <w:instrText>ADDIN CSL_CITATION {"citationItems":[{"id":"ITEM-1","itemData":{"author":[{"dropping-particle":"","family":"Public Health England","given":"","non-dropping-particle":"","parse-names":false,"suffix":""}],"id":"ITEM-1","issued":{"date-parts":[["2014"]]},"number-of-pages":"Appendix P Methods of blood analysis and quality c","title":"National Diet and Nutrition Survey Results from Years 1, 2, 3 and 4 (combined) of the Rolling Programme (2008/2009 – 2011/2012)","type":"report"},"uris":["http://www.mendeley.com/documents/?uuid=9a8bb5fa-81b3-47ec-affd-68406db8dbb9"]}],"mendeley":{"formattedCitation":"&lt;sup&gt;11&lt;/sup&gt;","plainTextFormattedCitation":"11","previouslyFormattedCitation":"&lt;sup&gt;11&lt;/sup&gt;"},"properties":{"noteIndex":0},"schema":"https://github.com/citation-style-language/schema/raw/master/csl-citation.json"}</w:instrText>
      </w:r>
      <w:r w:rsidR="00B2295E">
        <w:rPr>
          <w:rFonts w:ascii="Times New Roman" w:hAnsi="Times New Roman" w:cs="Times New Roman"/>
          <w:sz w:val="24"/>
          <w:szCs w:val="24"/>
        </w:rPr>
        <w:fldChar w:fldCharType="separate"/>
      </w:r>
      <w:r w:rsidR="00B94DA2" w:rsidRPr="00B94DA2">
        <w:rPr>
          <w:rFonts w:ascii="Times New Roman" w:hAnsi="Times New Roman" w:cs="Times New Roman"/>
          <w:noProof/>
          <w:sz w:val="24"/>
          <w:szCs w:val="24"/>
          <w:vertAlign w:val="superscript"/>
        </w:rPr>
        <w:t>11</w:t>
      </w:r>
      <w:r w:rsidR="00B2295E">
        <w:rPr>
          <w:rFonts w:ascii="Times New Roman" w:hAnsi="Times New Roman" w:cs="Times New Roman"/>
          <w:sz w:val="24"/>
          <w:szCs w:val="24"/>
        </w:rPr>
        <w:fldChar w:fldCharType="end"/>
      </w:r>
      <w:r w:rsidR="00B2295E">
        <w:rPr>
          <w:rFonts w:ascii="Times New Roman" w:hAnsi="Times New Roman" w:cs="Times New Roman"/>
          <w:sz w:val="24"/>
          <w:szCs w:val="24"/>
        </w:rPr>
        <w:t>. The</w:t>
      </w:r>
      <w:r w:rsidR="009C4F19">
        <w:rPr>
          <w:rFonts w:ascii="Times New Roman" w:hAnsi="Times New Roman" w:cs="Times New Roman"/>
          <w:sz w:val="24"/>
          <w:szCs w:val="24"/>
        </w:rPr>
        <w:t xml:space="preserve"> </w:t>
      </w:r>
      <w:r w:rsidR="00DC5ECF">
        <w:rPr>
          <w:rFonts w:ascii="Times New Roman" w:hAnsi="Times New Roman" w:cs="Times New Roman"/>
          <w:sz w:val="24"/>
          <w:szCs w:val="24"/>
        </w:rPr>
        <w:t xml:space="preserve">assay as </w:t>
      </w:r>
      <w:r w:rsidR="00CB2038">
        <w:rPr>
          <w:rFonts w:ascii="Times New Roman" w:hAnsi="Times New Roman" w:cs="Times New Roman"/>
          <w:sz w:val="24"/>
          <w:szCs w:val="24"/>
        </w:rPr>
        <w:t>it is current</w:t>
      </w:r>
      <w:r w:rsidR="009C4F19">
        <w:rPr>
          <w:rFonts w:ascii="Times New Roman" w:hAnsi="Times New Roman" w:cs="Times New Roman"/>
          <w:sz w:val="24"/>
          <w:szCs w:val="24"/>
        </w:rPr>
        <w:t>ly</w:t>
      </w:r>
      <w:r w:rsidR="00CB2038">
        <w:rPr>
          <w:rFonts w:ascii="Times New Roman" w:hAnsi="Times New Roman" w:cs="Times New Roman"/>
          <w:sz w:val="24"/>
          <w:szCs w:val="24"/>
        </w:rPr>
        <w:t xml:space="preserve"> </w:t>
      </w:r>
      <w:r w:rsidR="00BE384D">
        <w:rPr>
          <w:rFonts w:ascii="Times New Roman" w:hAnsi="Times New Roman" w:cs="Times New Roman"/>
          <w:sz w:val="24"/>
          <w:szCs w:val="24"/>
        </w:rPr>
        <w:t>performed</w:t>
      </w:r>
      <w:r w:rsidR="00DC5ECF">
        <w:rPr>
          <w:rFonts w:ascii="Times New Roman" w:hAnsi="Times New Roman" w:cs="Times New Roman"/>
          <w:sz w:val="24"/>
          <w:szCs w:val="24"/>
        </w:rPr>
        <w:t xml:space="preserve"> in our laboratory </w:t>
      </w:r>
      <w:r w:rsidR="009C4F19">
        <w:rPr>
          <w:rFonts w:ascii="Times New Roman" w:hAnsi="Times New Roman" w:cs="Times New Roman"/>
          <w:sz w:val="24"/>
          <w:szCs w:val="24"/>
        </w:rPr>
        <w:t>is</w:t>
      </w:r>
      <w:r w:rsidR="00CB2038">
        <w:rPr>
          <w:rFonts w:ascii="Times New Roman" w:hAnsi="Times New Roman" w:cs="Times New Roman"/>
          <w:sz w:val="24"/>
          <w:szCs w:val="24"/>
        </w:rPr>
        <w:t xml:space="preserve"> </w:t>
      </w:r>
      <w:r w:rsidR="00B14A81" w:rsidRPr="00CB3ECF">
        <w:rPr>
          <w:rFonts w:ascii="Times New Roman" w:hAnsi="Times New Roman" w:cs="Times New Roman"/>
          <w:sz w:val="24"/>
          <w:szCs w:val="24"/>
        </w:rPr>
        <w:t xml:space="preserve">described herein. </w:t>
      </w:r>
    </w:p>
    <w:p w14:paraId="0F399784" w14:textId="77777777" w:rsidR="00F1257B" w:rsidRPr="00764081" w:rsidRDefault="00F1257B" w:rsidP="00DA3FAD">
      <w:pPr>
        <w:pStyle w:val="ListParagraph"/>
        <w:numPr>
          <w:ilvl w:val="0"/>
          <w:numId w:val="30"/>
        </w:numPr>
        <w:rPr>
          <w:rFonts w:ascii="Times New Roman" w:hAnsi="Times New Roman" w:cs="Times New Roman"/>
          <w:b/>
          <w:sz w:val="24"/>
          <w:szCs w:val="24"/>
        </w:rPr>
      </w:pPr>
      <w:r w:rsidRPr="00764081">
        <w:rPr>
          <w:rFonts w:ascii="Times New Roman" w:hAnsi="Times New Roman" w:cs="Times New Roman"/>
          <w:b/>
          <w:sz w:val="24"/>
          <w:szCs w:val="24"/>
        </w:rPr>
        <w:t>Chemistry of assay</w:t>
      </w:r>
    </w:p>
    <w:p w14:paraId="2F765E4C" w14:textId="77777777" w:rsidR="007B3B26" w:rsidRPr="00CB3ECF" w:rsidRDefault="00A3243B">
      <w:pPr>
        <w:rPr>
          <w:rFonts w:ascii="Times New Roman" w:hAnsi="Times New Roman" w:cs="Times New Roman"/>
          <w:sz w:val="24"/>
          <w:szCs w:val="24"/>
        </w:rPr>
      </w:pPr>
      <w:r>
        <w:rPr>
          <w:rFonts w:ascii="Times New Roman" w:hAnsi="Times New Roman" w:cs="Times New Roman"/>
          <w:sz w:val="24"/>
          <w:szCs w:val="24"/>
        </w:rPr>
        <w:t xml:space="preserve">The </w:t>
      </w:r>
      <w:r w:rsidRPr="00CB3ECF">
        <w:rPr>
          <w:rFonts w:ascii="Times New Roman" w:hAnsi="Times New Roman" w:cs="Times New Roman"/>
          <w:sz w:val="24"/>
          <w:szCs w:val="24"/>
        </w:rPr>
        <w:t>ThDP-dependent enzyme</w:t>
      </w:r>
      <w:r>
        <w:rPr>
          <w:rFonts w:ascii="Times New Roman" w:hAnsi="Times New Roman" w:cs="Times New Roman"/>
          <w:sz w:val="24"/>
          <w:szCs w:val="24"/>
        </w:rPr>
        <w:t xml:space="preserve"> ETK</w:t>
      </w:r>
      <w:r w:rsidR="007B3B26" w:rsidRPr="00CB3ECF">
        <w:rPr>
          <w:rFonts w:ascii="Times New Roman" w:hAnsi="Times New Roman" w:cs="Times New Roman"/>
          <w:sz w:val="24"/>
          <w:szCs w:val="24"/>
        </w:rPr>
        <w:t xml:space="preserve"> catalyses the metabolism of pentoses in two reactions in the pentose phosphate pathway:</w:t>
      </w:r>
    </w:p>
    <w:p w14:paraId="6B0C5E0D" w14:textId="77777777" w:rsidR="007B3B26" w:rsidRPr="00CB3ECF" w:rsidRDefault="007B3B26" w:rsidP="007B3B26">
      <w:pPr>
        <w:pStyle w:val="ListParagraph"/>
        <w:numPr>
          <w:ilvl w:val="0"/>
          <w:numId w:val="3"/>
        </w:numPr>
        <w:ind w:left="567" w:hanging="567"/>
        <w:rPr>
          <w:rFonts w:ascii="Times New Roman" w:hAnsi="Times New Roman" w:cs="Times New Roman"/>
          <w:sz w:val="24"/>
          <w:szCs w:val="24"/>
        </w:rPr>
      </w:pPr>
      <w:r w:rsidRPr="00CB3ECF">
        <w:rPr>
          <w:rFonts w:ascii="Times New Roman" w:hAnsi="Times New Roman" w:cs="Times New Roman"/>
          <w:sz w:val="24"/>
          <w:szCs w:val="24"/>
        </w:rPr>
        <w:t xml:space="preserve">xylulose-5-phosphate + ribose-5-phosphate </w:t>
      </w:r>
      <w:r w:rsidRPr="00CB3ECF">
        <w:rPr>
          <w:rFonts w:ascii="Times New Roman" w:hAnsi="Times New Roman" w:cs="Times New Roman"/>
          <w:sz w:val="24"/>
          <w:szCs w:val="24"/>
        </w:rPr>
        <w:sym w:font="Wingdings 3" w:char="F044"/>
      </w:r>
      <w:r w:rsidRPr="00CB3ECF">
        <w:rPr>
          <w:rFonts w:ascii="Times New Roman" w:hAnsi="Times New Roman" w:cs="Times New Roman"/>
          <w:sz w:val="24"/>
          <w:szCs w:val="24"/>
        </w:rPr>
        <w:t xml:space="preserve"> sedoheptulose</w:t>
      </w:r>
      <w:r w:rsidR="00F76CC9" w:rsidRPr="00CB3ECF">
        <w:rPr>
          <w:rFonts w:ascii="Times New Roman" w:hAnsi="Times New Roman" w:cs="Times New Roman"/>
          <w:sz w:val="24"/>
          <w:szCs w:val="24"/>
        </w:rPr>
        <w:t>-</w:t>
      </w:r>
      <w:r w:rsidRPr="00CB3ECF">
        <w:rPr>
          <w:rFonts w:ascii="Times New Roman" w:hAnsi="Times New Roman" w:cs="Times New Roman"/>
          <w:sz w:val="24"/>
          <w:szCs w:val="24"/>
        </w:rPr>
        <w:t>7-phosphate + glyceraldehyde-3-phosphate</w:t>
      </w:r>
    </w:p>
    <w:p w14:paraId="54810DC2" w14:textId="518528CF" w:rsidR="00F76CC9" w:rsidRPr="00CB3ECF" w:rsidRDefault="007B3B26" w:rsidP="00F76CC9">
      <w:pPr>
        <w:pStyle w:val="ListParagraph"/>
        <w:numPr>
          <w:ilvl w:val="0"/>
          <w:numId w:val="3"/>
        </w:numPr>
        <w:ind w:left="567" w:hanging="567"/>
        <w:rPr>
          <w:rFonts w:ascii="Times New Roman" w:hAnsi="Times New Roman" w:cs="Times New Roman"/>
          <w:sz w:val="24"/>
          <w:szCs w:val="24"/>
        </w:rPr>
      </w:pPr>
      <w:r w:rsidRPr="00CB3ECF">
        <w:rPr>
          <w:rFonts w:ascii="Times New Roman" w:hAnsi="Times New Roman" w:cs="Times New Roman"/>
          <w:sz w:val="24"/>
          <w:szCs w:val="24"/>
        </w:rPr>
        <w:t xml:space="preserve">xylulose-5-phosphate + </w:t>
      </w:r>
      <w:r w:rsidR="006A6E57" w:rsidRPr="00CB3ECF">
        <w:rPr>
          <w:rFonts w:ascii="Times New Roman" w:hAnsi="Times New Roman" w:cs="Times New Roman"/>
          <w:sz w:val="24"/>
          <w:szCs w:val="24"/>
        </w:rPr>
        <w:t>erthy</w:t>
      </w:r>
      <w:r w:rsidR="006A6E57">
        <w:rPr>
          <w:rFonts w:ascii="Times New Roman" w:hAnsi="Times New Roman" w:cs="Times New Roman"/>
          <w:sz w:val="24"/>
          <w:szCs w:val="24"/>
        </w:rPr>
        <w:t>ose</w:t>
      </w:r>
      <w:r w:rsidRPr="00CB3ECF">
        <w:rPr>
          <w:rFonts w:ascii="Times New Roman" w:hAnsi="Times New Roman" w:cs="Times New Roman"/>
          <w:sz w:val="24"/>
          <w:szCs w:val="24"/>
        </w:rPr>
        <w:t xml:space="preserve">-4-phosphate </w:t>
      </w:r>
      <w:r w:rsidRPr="00CB3ECF">
        <w:rPr>
          <w:rFonts w:ascii="Times New Roman" w:hAnsi="Times New Roman" w:cs="Times New Roman"/>
          <w:sz w:val="24"/>
          <w:szCs w:val="24"/>
        </w:rPr>
        <w:sym w:font="Wingdings 3" w:char="F044"/>
      </w:r>
      <w:r w:rsidRPr="00CB3ECF">
        <w:rPr>
          <w:rFonts w:ascii="Times New Roman" w:hAnsi="Times New Roman" w:cs="Times New Roman"/>
          <w:sz w:val="24"/>
          <w:szCs w:val="24"/>
        </w:rPr>
        <w:t xml:space="preserve"> fructose-6-phosphate + glyceraldehyde-3-phosphate</w:t>
      </w:r>
    </w:p>
    <w:p w14:paraId="4E125E12" w14:textId="7C7B7F2A" w:rsidR="00207ED4" w:rsidRPr="006508DC" w:rsidRDefault="00F76CC9">
      <w:pPr>
        <w:rPr>
          <w:rFonts w:ascii="Times New Roman" w:hAnsi="Times New Roman" w:cs="Times New Roman"/>
          <w:sz w:val="24"/>
          <w:szCs w:val="24"/>
        </w:rPr>
      </w:pPr>
      <w:r w:rsidRPr="00CB3ECF">
        <w:rPr>
          <w:rFonts w:ascii="Times New Roman" w:hAnsi="Times New Roman" w:cs="Times New Roman"/>
          <w:sz w:val="24"/>
          <w:szCs w:val="24"/>
        </w:rPr>
        <w:t>In the current assay, the resultant glyceraldehyde</w:t>
      </w:r>
      <w:r w:rsidR="005820DB">
        <w:rPr>
          <w:rFonts w:ascii="Times New Roman" w:hAnsi="Times New Roman" w:cs="Times New Roman"/>
          <w:sz w:val="24"/>
          <w:szCs w:val="24"/>
        </w:rPr>
        <w:t>-</w:t>
      </w:r>
      <w:r w:rsidRPr="00CB3ECF">
        <w:rPr>
          <w:rFonts w:ascii="Times New Roman" w:hAnsi="Times New Roman" w:cs="Times New Roman"/>
          <w:sz w:val="24"/>
          <w:szCs w:val="24"/>
        </w:rPr>
        <w:t xml:space="preserve">3-phosphate is metabolised to dihydroxyacetone </w:t>
      </w:r>
      <w:r w:rsidR="002B3871" w:rsidRPr="00CB3ECF">
        <w:rPr>
          <w:rFonts w:ascii="Times New Roman" w:hAnsi="Times New Roman" w:cs="Times New Roman"/>
          <w:sz w:val="24"/>
          <w:szCs w:val="24"/>
        </w:rPr>
        <w:t>phosphate</w:t>
      </w:r>
      <w:r w:rsidR="000135C5">
        <w:rPr>
          <w:rFonts w:ascii="Times New Roman" w:hAnsi="Times New Roman" w:cs="Times New Roman"/>
          <w:sz w:val="24"/>
          <w:szCs w:val="24"/>
        </w:rPr>
        <w:t xml:space="preserve">, </w:t>
      </w:r>
      <w:r w:rsidR="002B3871" w:rsidRPr="00CB3ECF">
        <w:rPr>
          <w:rFonts w:ascii="Times New Roman" w:hAnsi="Times New Roman" w:cs="Times New Roman"/>
          <w:sz w:val="24"/>
          <w:szCs w:val="24"/>
        </w:rPr>
        <w:t>which</w:t>
      </w:r>
      <w:r w:rsidRPr="00CB3ECF">
        <w:rPr>
          <w:rFonts w:ascii="Times New Roman" w:hAnsi="Times New Roman" w:cs="Times New Roman"/>
          <w:sz w:val="24"/>
          <w:szCs w:val="24"/>
        </w:rPr>
        <w:t xml:space="preserve"> in the final reaction </w:t>
      </w:r>
      <w:r w:rsidR="002B3871" w:rsidRPr="00CB3ECF">
        <w:rPr>
          <w:rFonts w:ascii="Times New Roman" w:hAnsi="Times New Roman" w:cs="Times New Roman"/>
          <w:sz w:val="24"/>
          <w:szCs w:val="24"/>
        </w:rPr>
        <w:t xml:space="preserve">is reduced to </w:t>
      </w:r>
      <w:r w:rsidRPr="00CB3ECF">
        <w:rPr>
          <w:rFonts w:ascii="Times New Roman" w:hAnsi="Times New Roman" w:cs="Times New Roman"/>
          <w:sz w:val="24"/>
          <w:szCs w:val="24"/>
        </w:rPr>
        <w:t xml:space="preserve">glycerol-3-phosphate </w:t>
      </w:r>
      <w:r w:rsidR="002B3871" w:rsidRPr="00CB3ECF">
        <w:rPr>
          <w:rFonts w:ascii="Times New Roman" w:hAnsi="Times New Roman" w:cs="Times New Roman"/>
          <w:sz w:val="24"/>
          <w:szCs w:val="24"/>
        </w:rPr>
        <w:t>by glycerol-3-phosphate dehydrogenase and NADH</w:t>
      </w:r>
      <w:r w:rsidR="00207ED4">
        <w:rPr>
          <w:rFonts w:ascii="Times New Roman" w:hAnsi="Times New Roman" w:cs="Times New Roman"/>
          <w:sz w:val="24"/>
          <w:szCs w:val="24"/>
        </w:rPr>
        <w:t xml:space="preserve"> (</w:t>
      </w:r>
      <w:r w:rsidR="00207ED4" w:rsidRPr="00E35435">
        <w:rPr>
          <w:rFonts w:ascii="Times New Roman" w:hAnsi="Times New Roman" w:cs="Times New Roman"/>
          <w:b/>
          <w:sz w:val="24"/>
          <w:szCs w:val="24"/>
        </w:rPr>
        <w:t>Figure 1</w:t>
      </w:r>
      <w:r w:rsidR="00207ED4">
        <w:rPr>
          <w:rFonts w:ascii="Times New Roman" w:hAnsi="Times New Roman" w:cs="Times New Roman"/>
          <w:sz w:val="24"/>
          <w:szCs w:val="24"/>
        </w:rPr>
        <w:t>)</w:t>
      </w:r>
      <w:r w:rsidR="002B3871" w:rsidRPr="00CB3ECF">
        <w:rPr>
          <w:rFonts w:ascii="Times New Roman" w:hAnsi="Times New Roman" w:cs="Times New Roman"/>
          <w:sz w:val="24"/>
          <w:szCs w:val="24"/>
        </w:rPr>
        <w:t xml:space="preserve">. </w:t>
      </w:r>
      <w:r w:rsidR="00B14A81" w:rsidRPr="00CB3ECF">
        <w:rPr>
          <w:rFonts w:ascii="Times New Roman" w:hAnsi="Times New Roman" w:cs="Times New Roman"/>
          <w:sz w:val="24"/>
          <w:szCs w:val="24"/>
        </w:rPr>
        <w:t xml:space="preserve">The assay monitors the rate of oxidation of NADH </w:t>
      </w:r>
      <w:r w:rsidR="002B3871" w:rsidRPr="00CB3ECF">
        <w:rPr>
          <w:rFonts w:ascii="Times New Roman" w:hAnsi="Times New Roman" w:cs="Times New Roman"/>
          <w:sz w:val="24"/>
          <w:szCs w:val="24"/>
        </w:rPr>
        <w:t>by measuring the decrease in absorbance at 340 nm</w:t>
      </w:r>
      <w:r w:rsidR="00B14A81" w:rsidRPr="00CB3ECF">
        <w:rPr>
          <w:rFonts w:ascii="Times New Roman" w:hAnsi="Times New Roman" w:cs="Times New Roman"/>
          <w:sz w:val="24"/>
          <w:szCs w:val="24"/>
        </w:rPr>
        <w:t xml:space="preserve">. </w:t>
      </w:r>
      <w:r w:rsidR="008D36B1">
        <w:rPr>
          <w:rFonts w:ascii="Times New Roman" w:hAnsi="Times New Roman" w:cs="Times New Roman"/>
          <w:sz w:val="24"/>
          <w:szCs w:val="24"/>
        </w:rPr>
        <w:t xml:space="preserve">In the described protocol, xylulose-5-phosphate is not required as a substrate; ribose-5-phosphate is converted to xylulose-5-phosphate by erythrocyte thiamine-independent enzymes ribosephosphate isomerase and ribulosephosphate-3-epimerase. </w:t>
      </w:r>
      <w:r w:rsidR="008D36B1">
        <w:rPr>
          <w:rFonts w:ascii="Times New Roman" w:hAnsi="Times New Roman" w:cs="Times New Roman"/>
          <w:sz w:val="24"/>
          <w:szCs w:val="24"/>
        </w:rPr>
        <w:fldChar w:fldCharType="begin" w:fldLock="1"/>
      </w:r>
      <w:r w:rsidR="008D36B1">
        <w:rPr>
          <w:rFonts w:ascii="Times New Roman" w:hAnsi="Times New Roman" w:cs="Times New Roman"/>
          <w:sz w:val="24"/>
          <w:szCs w:val="24"/>
        </w:rPr>
        <w:instrText>ADDIN CSL_CITATION {"citationItems":[{"id":"ITEM-1","itemData":{"DOI":"10.1016/0009-8981(71)90496-7","ISSN":"0009-8981 (Print)","PMID":"4330339","author":[{"dropping-particle":"","family":"Smeets","given":"E H","non-dropping-particle":"","parse-names":false,"suffix":""},{"dropping-particle":"","family":"Muller","given":"H","non-dropping-particle":"","parse-names":false,"suffix":""},{"dropping-particle":"","family":"Wael","given":"J","non-dropping-particle":"de","parse-names":false,"suffix":""}],"container-title":"Clinica chimica acta; international journal of clinical chemistry","id":"ITEM-1","issue":"2","issued":{"date-parts":[["1971","7"]]},"language":"eng","page":"379-386","publisher-place":"Netherlands","title":"A NADH-dependent transketolase assay in erythrocyte hemolysates.","type":"article-journal","volume":"33"},"uris":["http://www.mendeley.com/documents/?uuid=1220ce05-40b3-4c57-b746-f024fe9fdc06"]}],"mendeley":{"formattedCitation":"&lt;sup&gt;8&lt;/sup&gt;","plainTextFormattedCitation":"8"},"properties":{"noteIndex":0},"schema":"https://github.com/citation-style-language/schema/raw/master/csl-citation.json"}</w:instrText>
      </w:r>
      <w:r w:rsidR="008D36B1">
        <w:rPr>
          <w:rFonts w:ascii="Times New Roman" w:hAnsi="Times New Roman" w:cs="Times New Roman"/>
          <w:sz w:val="24"/>
          <w:szCs w:val="24"/>
        </w:rPr>
        <w:fldChar w:fldCharType="separate"/>
      </w:r>
      <w:r w:rsidR="008D36B1" w:rsidRPr="008D36B1">
        <w:rPr>
          <w:rFonts w:ascii="Times New Roman" w:hAnsi="Times New Roman" w:cs="Times New Roman"/>
          <w:noProof/>
          <w:sz w:val="24"/>
          <w:szCs w:val="24"/>
          <w:vertAlign w:val="superscript"/>
        </w:rPr>
        <w:t>8</w:t>
      </w:r>
      <w:r w:rsidR="008D36B1">
        <w:rPr>
          <w:rFonts w:ascii="Times New Roman" w:hAnsi="Times New Roman" w:cs="Times New Roman"/>
          <w:sz w:val="24"/>
          <w:szCs w:val="24"/>
        </w:rPr>
        <w:fldChar w:fldCharType="end"/>
      </w:r>
      <w:r w:rsidR="008D36B1">
        <w:rPr>
          <w:rFonts w:ascii="Times New Roman" w:hAnsi="Times New Roman" w:cs="Times New Roman"/>
          <w:sz w:val="24"/>
          <w:szCs w:val="24"/>
        </w:rPr>
        <w:t xml:space="preserve"> </w:t>
      </w:r>
    </w:p>
    <w:p w14:paraId="05E2095B" w14:textId="2B6D65C3" w:rsidR="00A3243B" w:rsidRPr="00764081" w:rsidRDefault="00A3243B" w:rsidP="00DA3FAD">
      <w:pPr>
        <w:pStyle w:val="ListParagraph"/>
        <w:numPr>
          <w:ilvl w:val="0"/>
          <w:numId w:val="30"/>
        </w:numPr>
        <w:rPr>
          <w:rFonts w:ascii="Times New Roman" w:hAnsi="Times New Roman" w:cs="Times New Roman"/>
          <w:b/>
          <w:sz w:val="24"/>
          <w:szCs w:val="24"/>
        </w:rPr>
      </w:pPr>
      <w:r w:rsidRPr="00764081">
        <w:rPr>
          <w:rFonts w:ascii="Times New Roman" w:hAnsi="Times New Roman" w:cs="Times New Roman"/>
          <w:b/>
          <w:sz w:val="24"/>
          <w:szCs w:val="24"/>
        </w:rPr>
        <w:t xml:space="preserve">Calculation </w:t>
      </w:r>
      <w:r w:rsidR="00133770">
        <w:rPr>
          <w:rFonts w:ascii="Times New Roman" w:hAnsi="Times New Roman" w:cs="Times New Roman"/>
          <w:b/>
          <w:sz w:val="24"/>
          <w:szCs w:val="24"/>
        </w:rPr>
        <w:t xml:space="preserve">and interpretation </w:t>
      </w:r>
      <w:r w:rsidRPr="00764081">
        <w:rPr>
          <w:rFonts w:ascii="Times New Roman" w:hAnsi="Times New Roman" w:cs="Times New Roman"/>
          <w:b/>
          <w:sz w:val="24"/>
          <w:szCs w:val="24"/>
        </w:rPr>
        <w:t>of ETKAC</w:t>
      </w:r>
    </w:p>
    <w:p w14:paraId="4B8DA606" w14:textId="5D5B58AC" w:rsidR="00DA02C6" w:rsidRDefault="00EE7EDE">
      <w:pPr>
        <w:rPr>
          <w:rFonts w:ascii="Times New Roman" w:hAnsi="Times New Roman" w:cs="Times New Roman"/>
          <w:sz w:val="24"/>
          <w:szCs w:val="24"/>
        </w:rPr>
      </w:pPr>
      <w:r w:rsidRPr="00CB3ECF">
        <w:rPr>
          <w:rFonts w:ascii="Times New Roman" w:hAnsi="Times New Roman" w:cs="Times New Roman"/>
          <w:sz w:val="24"/>
          <w:szCs w:val="24"/>
        </w:rPr>
        <w:t xml:space="preserve">Calculation of ETKAC involves </w:t>
      </w:r>
      <w:r w:rsidR="009C4F19">
        <w:rPr>
          <w:rFonts w:ascii="Times New Roman" w:hAnsi="Times New Roman" w:cs="Times New Roman"/>
          <w:sz w:val="24"/>
          <w:szCs w:val="24"/>
        </w:rPr>
        <w:t xml:space="preserve">in erythrocyte lysates: </w:t>
      </w:r>
      <w:r w:rsidRPr="00CB3ECF">
        <w:rPr>
          <w:rFonts w:ascii="Times New Roman" w:hAnsi="Times New Roman" w:cs="Times New Roman"/>
          <w:sz w:val="24"/>
          <w:szCs w:val="24"/>
        </w:rPr>
        <w:t xml:space="preserve">(1) measurement of the basal activity of </w:t>
      </w:r>
      <w:r w:rsidR="00207ED4">
        <w:rPr>
          <w:rFonts w:ascii="Times New Roman" w:hAnsi="Times New Roman" w:cs="Times New Roman"/>
          <w:sz w:val="24"/>
          <w:szCs w:val="24"/>
        </w:rPr>
        <w:t>ETK</w:t>
      </w:r>
      <w:r w:rsidR="000135C5">
        <w:rPr>
          <w:rFonts w:ascii="Times New Roman" w:hAnsi="Times New Roman" w:cs="Times New Roman"/>
          <w:sz w:val="24"/>
          <w:szCs w:val="24"/>
        </w:rPr>
        <w:t>;</w:t>
      </w:r>
      <w:r w:rsidRPr="00CB3ECF">
        <w:rPr>
          <w:rFonts w:ascii="Times New Roman" w:hAnsi="Times New Roman" w:cs="Times New Roman"/>
          <w:sz w:val="24"/>
          <w:szCs w:val="24"/>
        </w:rPr>
        <w:t xml:space="preserve"> (2) measurement of ‘activated’ or ‘stimulated’ </w:t>
      </w:r>
      <w:r w:rsidR="00207ED4">
        <w:rPr>
          <w:rFonts w:ascii="Times New Roman" w:hAnsi="Times New Roman" w:cs="Times New Roman"/>
          <w:sz w:val="24"/>
          <w:szCs w:val="24"/>
        </w:rPr>
        <w:t>ETK</w:t>
      </w:r>
      <w:r w:rsidRPr="00CB3ECF">
        <w:rPr>
          <w:rFonts w:ascii="Times New Roman" w:hAnsi="Times New Roman" w:cs="Times New Roman"/>
          <w:sz w:val="24"/>
          <w:szCs w:val="24"/>
        </w:rPr>
        <w:t xml:space="preserve"> activity by addition of exogenous</w:t>
      </w:r>
      <w:r w:rsidR="009A2DE6">
        <w:rPr>
          <w:rFonts w:ascii="Times New Roman" w:hAnsi="Times New Roman" w:cs="Times New Roman"/>
          <w:sz w:val="24"/>
          <w:szCs w:val="24"/>
        </w:rPr>
        <w:t>,</w:t>
      </w:r>
      <w:r w:rsidRPr="00CB3ECF">
        <w:rPr>
          <w:rFonts w:ascii="Times New Roman" w:hAnsi="Times New Roman" w:cs="Times New Roman"/>
          <w:sz w:val="24"/>
          <w:szCs w:val="24"/>
        </w:rPr>
        <w:t xml:space="preserve"> excess </w:t>
      </w:r>
      <w:r w:rsidRPr="00FD1FC4">
        <w:rPr>
          <w:rFonts w:ascii="Times New Roman" w:hAnsi="Times New Roman" w:cs="Times New Roman"/>
          <w:sz w:val="24"/>
          <w:szCs w:val="24"/>
        </w:rPr>
        <w:t xml:space="preserve">ThDP. </w:t>
      </w:r>
      <w:r w:rsidR="00DA02C6">
        <w:rPr>
          <w:rFonts w:ascii="Times New Roman" w:hAnsi="Times New Roman" w:cs="Times New Roman"/>
          <w:sz w:val="24"/>
          <w:szCs w:val="24"/>
        </w:rPr>
        <w:t>The basal test represents the active holo-transketolase activity. Addition of exogenous ThDP</w:t>
      </w:r>
      <w:r w:rsidR="005261A9">
        <w:rPr>
          <w:rFonts w:ascii="Times New Roman" w:hAnsi="Times New Roman" w:cs="Times New Roman"/>
          <w:sz w:val="24"/>
          <w:szCs w:val="24"/>
        </w:rPr>
        <w:t xml:space="preserve"> activates apo-transketolase and the ‘stimulated’ activity </w:t>
      </w:r>
      <w:r w:rsidR="00DA02C6">
        <w:rPr>
          <w:rFonts w:ascii="Times New Roman" w:hAnsi="Times New Roman" w:cs="Times New Roman"/>
          <w:sz w:val="24"/>
          <w:szCs w:val="24"/>
        </w:rPr>
        <w:t>represents</w:t>
      </w:r>
      <w:r w:rsidR="005261A9">
        <w:rPr>
          <w:rFonts w:ascii="Times New Roman" w:hAnsi="Times New Roman" w:cs="Times New Roman"/>
          <w:sz w:val="24"/>
          <w:szCs w:val="24"/>
        </w:rPr>
        <w:t xml:space="preserve"> the activity of both the (now-activated) apo-transketo</w:t>
      </w:r>
      <w:r w:rsidR="009A2DE6">
        <w:rPr>
          <w:rFonts w:ascii="Times New Roman" w:hAnsi="Times New Roman" w:cs="Times New Roman"/>
          <w:sz w:val="24"/>
          <w:szCs w:val="24"/>
        </w:rPr>
        <w:t xml:space="preserve">lase and holo-transketolase. Takeuchi </w:t>
      </w:r>
      <w:r w:rsidR="009A2DE6" w:rsidRPr="00207ED4">
        <w:rPr>
          <w:rFonts w:ascii="Times New Roman" w:hAnsi="Times New Roman" w:cs="Times New Roman"/>
          <w:i/>
          <w:sz w:val="24"/>
          <w:szCs w:val="24"/>
        </w:rPr>
        <w:t>et al</w:t>
      </w:r>
      <w:r w:rsidR="009A2DE6">
        <w:rPr>
          <w:rFonts w:ascii="Times New Roman" w:hAnsi="Times New Roman" w:cs="Times New Roman"/>
          <w:sz w:val="24"/>
          <w:szCs w:val="24"/>
        </w:rPr>
        <w:t>.</w:t>
      </w:r>
      <w:r w:rsidR="00207ED4">
        <w:rPr>
          <w:rFonts w:ascii="Times New Roman" w:hAnsi="Times New Roman" w:cs="Times New Roman"/>
          <w:sz w:val="24"/>
          <w:szCs w:val="24"/>
        </w:rPr>
        <w:t>,</w:t>
      </w:r>
      <w:r w:rsidR="009A2DE6">
        <w:rPr>
          <w:rFonts w:ascii="Times New Roman" w:hAnsi="Times New Roman" w:cs="Times New Roman"/>
          <w:sz w:val="24"/>
          <w:szCs w:val="24"/>
        </w:rPr>
        <w:t xml:space="preserve"> demonstrated in experiments with apo-transketolase enzymes, that ETKAC reflects the degree of saturation of ETK with ThDP. </w:t>
      </w:r>
      <w:r w:rsidR="009A2DE6">
        <w:rPr>
          <w:rFonts w:ascii="Times New Roman" w:hAnsi="Times New Roman" w:cs="Times New Roman"/>
          <w:sz w:val="24"/>
          <w:szCs w:val="24"/>
        </w:rPr>
        <w:fldChar w:fldCharType="begin" w:fldLock="1"/>
      </w:r>
      <w:r w:rsidR="00016D44">
        <w:rPr>
          <w:rFonts w:ascii="Times New Roman" w:hAnsi="Times New Roman" w:cs="Times New Roman"/>
          <w:sz w:val="24"/>
          <w:szCs w:val="24"/>
        </w:rPr>
        <w:instrText>ADDIN CSL_CITATION {"citationItems":[{"id":"ITEM-1","itemData":{"ISSN":"0300-9831 (Print)","PMID":"2210959","abstract":"The thiamin pyrophosphate effect has been used as a reliable index to evaluate the  nutritional status of thiamin. But there has not been any report concerning whether or not the thiamin pyrophosphate effect really reflects the saturation status of transketolase with thiamin pyrophosphate. In this report we studied the relationship between the thiamin pyrophosphate effect and the saturation status of transketolase. First, we determined the thiamin pyrophosphate concentrations, transketolase activities, thiamin pyrophosphate effects, and transketolase concentrations in human hemolysates from 16 apparently healthy subjects. The molar ratio of thiamin pyrophosphate to transketolase was in inverse proportion to the thiamin pyrophosphate effect. Second, we prepared apotransketolase preparations and reconstituted it with various concentrations of thiamin pyrophosphate. The thiamin pyrophosphate effects in these preparations were in good correspondence with the ratios of apotransketolase. These results indicate that the thiamin pyrophosphate effect really reflects the saturation status of transketolase with coenzyme.","author":[{"dropping-particle":"","family":"Takeuchi","given":"T","non-dropping-particle":"","parse-names":false,"suffix":""},{"dropping-particle":"","family":"Jung","given":"E H","non-dropping-particle":"","parse-names":false,"suffix":""},{"dropping-particle":"","family":"Nishino","given":"K","non-dropping-particle":"","parse-names":false,"suffix":""},{"dropping-particle":"","family":"Itokawa","given":"Y","non-dropping-particle":"","parse-names":false,"suffix":""}],"container-title":"International journal for vitamin and nutrition research. Internationale Zeitschrift  fur Vitamin- und Ernahrungsforschung. Journal international de vitaminologie et de nutrition","id":"ITEM-1","issue":"2","issued":{"date-parts":[["1990"]]},"language":"eng","page":"112-120","publisher-place":"Switzerland","title":"The relationship between the thiamin pyrophosphate effect and the saturation status  of the transketolase with its coenzyme in human erythrocytes.","type":"article-journal","volume":"60"},"uris":["http://www.mendeley.com/documents/?uuid=1658b997-3c10-406f-98fb-3cb3ae9fd758"]}],"mendeley":{"formattedCitation":"&lt;sup&gt;12&lt;/sup&gt;","plainTextFormattedCitation":"12","previouslyFormattedCitation":"&lt;sup&gt;12&lt;/sup&gt;"},"properties":{"noteIndex":0},"schema":"https://github.com/citation-style-language/schema/raw/master/csl-citation.json"}</w:instrText>
      </w:r>
      <w:r w:rsidR="009A2DE6">
        <w:rPr>
          <w:rFonts w:ascii="Times New Roman" w:hAnsi="Times New Roman" w:cs="Times New Roman"/>
          <w:sz w:val="24"/>
          <w:szCs w:val="24"/>
        </w:rPr>
        <w:fldChar w:fldCharType="separate"/>
      </w:r>
      <w:r w:rsidR="00B94DA2" w:rsidRPr="00B94DA2">
        <w:rPr>
          <w:rFonts w:ascii="Times New Roman" w:hAnsi="Times New Roman" w:cs="Times New Roman"/>
          <w:noProof/>
          <w:sz w:val="24"/>
          <w:szCs w:val="24"/>
          <w:vertAlign w:val="superscript"/>
        </w:rPr>
        <w:t>12</w:t>
      </w:r>
      <w:r w:rsidR="009A2DE6">
        <w:rPr>
          <w:rFonts w:ascii="Times New Roman" w:hAnsi="Times New Roman" w:cs="Times New Roman"/>
          <w:sz w:val="24"/>
          <w:szCs w:val="24"/>
        </w:rPr>
        <w:fldChar w:fldCharType="end"/>
      </w:r>
    </w:p>
    <w:p w14:paraId="14271657" w14:textId="41D23012" w:rsidR="00980904" w:rsidRDefault="00EE7EDE">
      <w:pPr>
        <w:rPr>
          <w:rFonts w:ascii="Times New Roman" w:hAnsi="Times New Roman" w:cs="Times New Roman"/>
          <w:sz w:val="24"/>
          <w:szCs w:val="24"/>
        </w:rPr>
      </w:pPr>
      <w:r w:rsidRPr="00FD1FC4">
        <w:rPr>
          <w:rFonts w:ascii="Times New Roman" w:hAnsi="Times New Roman" w:cs="Times New Roman"/>
          <w:sz w:val="24"/>
          <w:szCs w:val="24"/>
        </w:rPr>
        <w:t xml:space="preserve">The results of the basal and stimulated activities are commonly presented as a ratio </w:t>
      </w:r>
      <w:r w:rsidR="00980904" w:rsidRPr="00FD1FC4">
        <w:rPr>
          <w:rFonts w:ascii="Times New Roman" w:hAnsi="Times New Roman" w:cs="Times New Roman"/>
          <w:sz w:val="24"/>
          <w:szCs w:val="24"/>
        </w:rPr>
        <w:t>or activity coefficient</w:t>
      </w:r>
      <w:r w:rsidRPr="00FD1FC4">
        <w:rPr>
          <w:rFonts w:ascii="Times New Roman" w:hAnsi="Times New Roman" w:cs="Times New Roman"/>
          <w:sz w:val="24"/>
          <w:szCs w:val="24"/>
        </w:rPr>
        <w:t>, the ETKAC</w:t>
      </w:r>
      <w:r w:rsidR="00FD1FC4" w:rsidRPr="00FD1FC4">
        <w:rPr>
          <w:rFonts w:ascii="Times New Roman" w:hAnsi="Times New Roman" w:cs="Times New Roman"/>
          <w:sz w:val="24"/>
          <w:szCs w:val="24"/>
        </w:rPr>
        <w:t xml:space="preserve"> calculated as stimulated activity/basal activity. A</w:t>
      </w:r>
      <w:r w:rsidRPr="00FD1FC4">
        <w:rPr>
          <w:rFonts w:ascii="Times New Roman" w:hAnsi="Times New Roman" w:cs="Times New Roman"/>
          <w:sz w:val="24"/>
          <w:szCs w:val="24"/>
        </w:rPr>
        <w:t>lternatively</w:t>
      </w:r>
      <w:r w:rsidR="0053280A">
        <w:rPr>
          <w:rFonts w:ascii="Times New Roman" w:hAnsi="Times New Roman" w:cs="Times New Roman"/>
          <w:sz w:val="24"/>
          <w:szCs w:val="24"/>
        </w:rPr>
        <w:t>,</w:t>
      </w:r>
      <w:r w:rsidRPr="00FD1FC4">
        <w:rPr>
          <w:rFonts w:ascii="Times New Roman" w:hAnsi="Times New Roman" w:cs="Times New Roman"/>
          <w:sz w:val="24"/>
          <w:szCs w:val="24"/>
        </w:rPr>
        <w:t xml:space="preserve"> </w:t>
      </w:r>
      <w:r w:rsidR="00FD1FC4" w:rsidRPr="00FD1FC4">
        <w:rPr>
          <w:rFonts w:ascii="Times New Roman" w:hAnsi="Times New Roman" w:cs="Times New Roman"/>
          <w:sz w:val="24"/>
          <w:szCs w:val="24"/>
        </w:rPr>
        <w:t xml:space="preserve">results </w:t>
      </w:r>
      <w:r w:rsidR="00FD1FC4" w:rsidRPr="00FD1FC4">
        <w:rPr>
          <w:rFonts w:ascii="Times New Roman" w:hAnsi="Times New Roman" w:cs="Times New Roman"/>
          <w:sz w:val="24"/>
          <w:szCs w:val="24"/>
        </w:rPr>
        <w:lastRenderedPageBreak/>
        <w:t xml:space="preserve">may be presented as a </w:t>
      </w:r>
      <w:r w:rsidRPr="00FD1FC4">
        <w:rPr>
          <w:rFonts w:ascii="Times New Roman" w:hAnsi="Times New Roman" w:cs="Times New Roman"/>
          <w:sz w:val="24"/>
          <w:szCs w:val="24"/>
        </w:rPr>
        <w:t>percentage [% activation  = (</w:t>
      </w:r>
      <w:r w:rsidR="00FD1FC4" w:rsidRPr="00FD1FC4">
        <w:rPr>
          <w:rFonts w:ascii="Times New Roman" w:hAnsi="Times New Roman" w:cs="Times New Roman"/>
          <w:sz w:val="24"/>
          <w:szCs w:val="24"/>
        </w:rPr>
        <w:t>ETKAC</w:t>
      </w:r>
      <w:r w:rsidR="00980904" w:rsidRPr="00FD1FC4">
        <w:rPr>
          <w:rFonts w:ascii="Times New Roman" w:hAnsi="Times New Roman" w:cs="Times New Roman"/>
          <w:sz w:val="24"/>
          <w:szCs w:val="24"/>
        </w:rPr>
        <w:t xml:space="preserve"> x 100) – 100]</w:t>
      </w:r>
      <w:r w:rsidR="00207ED4">
        <w:rPr>
          <w:rFonts w:ascii="Times New Roman" w:hAnsi="Times New Roman" w:cs="Times New Roman"/>
          <w:sz w:val="24"/>
          <w:szCs w:val="24"/>
        </w:rPr>
        <w:t xml:space="preserve"> (</w:t>
      </w:r>
      <w:r w:rsidR="00FD1FC4" w:rsidRPr="00FD1FC4">
        <w:rPr>
          <w:rFonts w:ascii="Times New Roman" w:hAnsi="Times New Roman" w:cs="Times New Roman"/>
          <w:sz w:val="24"/>
          <w:szCs w:val="24"/>
        </w:rPr>
        <w:t>also known as thiamine pyrophosphate</w:t>
      </w:r>
      <w:r w:rsidR="00FD1FC4">
        <w:rPr>
          <w:rFonts w:ascii="Times New Roman" w:hAnsi="Times New Roman" w:cs="Times New Roman"/>
          <w:sz w:val="24"/>
          <w:szCs w:val="24"/>
        </w:rPr>
        <w:t xml:space="preserve"> effect (TPPE)</w:t>
      </w:r>
      <w:r w:rsidR="00207ED4">
        <w:rPr>
          <w:rFonts w:ascii="Times New Roman" w:hAnsi="Times New Roman" w:cs="Times New Roman"/>
          <w:sz w:val="24"/>
          <w:szCs w:val="24"/>
        </w:rPr>
        <w:t>)</w:t>
      </w:r>
      <w:r w:rsidR="00FD1FC4">
        <w:rPr>
          <w:rFonts w:ascii="Times New Roman" w:hAnsi="Times New Roman" w:cs="Times New Roman"/>
          <w:sz w:val="24"/>
          <w:szCs w:val="24"/>
        </w:rPr>
        <w:t>.</w:t>
      </w:r>
    </w:p>
    <w:p w14:paraId="29231B4A" w14:textId="04C62AD0" w:rsidR="00133770" w:rsidRPr="00CB3ECF" w:rsidRDefault="00133770" w:rsidP="00133770">
      <w:pPr>
        <w:spacing w:line="276" w:lineRule="auto"/>
        <w:rPr>
          <w:rFonts w:ascii="Times New Roman" w:hAnsi="Times New Roman" w:cs="Times New Roman"/>
          <w:sz w:val="24"/>
          <w:szCs w:val="24"/>
        </w:rPr>
      </w:pPr>
      <w:r w:rsidRPr="00CB3ECF">
        <w:rPr>
          <w:rFonts w:ascii="Times New Roman" w:hAnsi="Times New Roman" w:cs="Times New Roman"/>
          <w:sz w:val="24"/>
          <w:szCs w:val="24"/>
        </w:rPr>
        <w:t xml:space="preserve">In thiamine sufficiency, addition of exogenous ThDP will make little difference to the enzyme activity and hence an ETKAC close to 1 will be obtained.  </w:t>
      </w:r>
      <w:r>
        <w:rPr>
          <w:rFonts w:ascii="Times New Roman" w:hAnsi="Times New Roman" w:cs="Times New Roman"/>
          <w:sz w:val="24"/>
          <w:szCs w:val="24"/>
        </w:rPr>
        <w:t>In</w:t>
      </w:r>
      <w:r w:rsidRPr="00CB3ECF">
        <w:rPr>
          <w:rFonts w:ascii="Times New Roman" w:hAnsi="Times New Roman" w:cs="Times New Roman"/>
          <w:sz w:val="24"/>
          <w:szCs w:val="24"/>
        </w:rPr>
        <w:t xml:space="preserve"> thiamine insufficiency or deficiency </w:t>
      </w:r>
      <w:r>
        <w:rPr>
          <w:rFonts w:ascii="Times New Roman" w:hAnsi="Times New Roman" w:cs="Times New Roman"/>
          <w:sz w:val="24"/>
          <w:szCs w:val="24"/>
        </w:rPr>
        <w:t xml:space="preserve">addition of </w:t>
      </w:r>
      <w:r w:rsidRPr="00CB3ECF">
        <w:rPr>
          <w:rFonts w:ascii="Times New Roman" w:hAnsi="Times New Roman" w:cs="Times New Roman"/>
          <w:sz w:val="24"/>
          <w:szCs w:val="24"/>
        </w:rPr>
        <w:t xml:space="preserve">exogenous ThDP has a progressively greater effect </w:t>
      </w:r>
      <w:r>
        <w:rPr>
          <w:rFonts w:ascii="Times New Roman" w:hAnsi="Times New Roman" w:cs="Times New Roman"/>
          <w:sz w:val="24"/>
          <w:szCs w:val="24"/>
        </w:rPr>
        <w:t xml:space="preserve">on ETKAC to provide </w:t>
      </w:r>
      <w:r w:rsidRPr="00CB3ECF">
        <w:rPr>
          <w:rFonts w:ascii="Times New Roman" w:hAnsi="Times New Roman" w:cs="Times New Roman"/>
          <w:sz w:val="24"/>
          <w:szCs w:val="24"/>
        </w:rPr>
        <w:t xml:space="preserve">a continuum </w:t>
      </w:r>
      <w:r>
        <w:rPr>
          <w:rFonts w:ascii="Times New Roman" w:hAnsi="Times New Roman" w:cs="Times New Roman"/>
          <w:sz w:val="24"/>
          <w:szCs w:val="24"/>
        </w:rPr>
        <w:t>of thiamine status.</w:t>
      </w:r>
      <w:r w:rsidRPr="00CB3ECF">
        <w:rPr>
          <w:rFonts w:ascii="Times New Roman" w:hAnsi="Times New Roman" w:cs="Times New Roman"/>
          <w:sz w:val="24"/>
          <w:szCs w:val="24"/>
        </w:rPr>
        <w:fldChar w:fldCharType="begin" w:fldLock="1"/>
      </w:r>
      <w:r w:rsidR="00016D44">
        <w:rPr>
          <w:rFonts w:ascii="Times New Roman" w:hAnsi="Times New Roman" w:cs="Times New Roman"/>
          <w:sz w:val="24"/>
          <w:szCs w:val="24"/>
        </w:rPr>
        <w:instrText>ADDIN CSL_CITATION {"citationItems":[{"id":"ITEM-1","itemData":{"DOI":"10.2903/j.efsa.2016.4653","ISSN":"1831-4732","abstract":"Abstract Following a request from the European Commission, the EFSA Panel on Dietetic Products, Nutrition and Allergies (NDA) derived dietary reference values (DRVs) for thiamin (vitamin B1). The Panel considers that data from depletion?repletion studies in adults on the amount of dietary thiamin intake associated with the erythrocyte transketolase activity coefficient (αETK) &lt; 1.15, generally considered to reflect an adequate thiamin status, or with the restoration of normal (baseline) erythrocyte transketolase activity, without a sharp increase in urinary thiamin excretion, can be used to estimate thiamin requirement. In the absence of new scientific evidence, the Panel endorses the average requirement (AR) of 0.072 mg/MJ (0.3 mg/1,000 kcal) for all adults proposed by the Scientific Committee for Food (SCF) in 1993 on the basis of one depletion?repletion study, in which both αETK and urinary thiamin excretion were measured. Results from other depletion?repletion studies are in agreement with this value. The Panel agrees on the coefficient of variation of 20% used by the SCF to cover uncertainties related to distribution of thiamin requirements in the general population, and endorses the population reference intake (PRI) of 0.1 mg/MJ (0.4 mg/1,000 kcal) set by the SCF for all adults. The same AR and PRI as for adults, expressed in mg/MJ, are proposed for infants aged 7?11 months, children aged 1 to &lt; 18 years, and during pregnancy and lactation, under the assumption that the relationship between thiamin requirement and energy requirement is the same in all population groups.","author":[{"dropping-particle":"","family":"EFSA Panel on Dietetic Products","given":"Nutrition and Allergies (NDA)","non-dropping-particle":"","parse-names":false,"suffix":""},{"dropping-particle":"","family":"Turck","given":"Dominique","non-dropping-particle":"","parse-names":false,"suffix":""},{"dropping-particle":"","family":"Bresson","given":"Jean-Louis","non-dropping-particle":"","parse-names":false,"suffix":""},{"dropping-particle":"","family":"Burlingame","given":"Barbara","non-dropping-particle":"","parse-names":false,"suffix":""},{"dropping-particle":"","family":"Dean","given":"Tara","non-dropping-particle":"","parse-names":false,"suffix":""},{"dropping-particle":"","family":"Fairweather-Tait","given":"Susan","non-dropping-particle":"","parse-names":false,"suffix":""},{"dropping-particle":"","family":"Heinonen","given":"Marina","non-dropping-particle":"","parse-names":false,"suffix":""},{"dropping-particle":"","family":"Hirsch-Ernst","given":"Karen Ildico","non-dropping-particle":"","parse-names":false,"suffix":""},{"dropping-particle":"","family":"Mangelsdorf","given":"Inge","non-dropping-particle":"","parse-names":false,"suffix":""},{"dropping-particle":"","family":"McArdle","given":"Harry J","non-dropping-particle":"","parse-names":false,"suffix":""},{"dropping-particle":"","family":"Naska","given":"Androniki","non-dropping-particle":"","parse-names":false,"suffix":""},{"dropping-particle":"","family":"Nowicka","given":"Grażyna","non-dropping-particle":"","parse-names":false,"suffix":""},{"dropping-particle":"","family":"Pentieva","given":"Kristina","non-dropping-particle":"","parse-names":false,"suffix":""},{"dropping-particle":"","family":"Sanz","given":"Yolanda","non-dropping-particle":"","parse-names":false,"suffix":""},{"dropping-particle":"","family":"Siani","given":"Alfonso","non-dropping-particle":"","parse-names":false,"suffix":""},{"dropping-particle":"","family":"Sjödin","given":"Anders","non-dropping-particle":"","parse-names":false,"suffix":""},{"dropping-particle":"","family":"Stern","given":"Martin","non-dropping-particle":"","parse-names":false,"suffix":""},{"dropping-particle":"","family":"Tomé","given":"Daniel","non-dropping-particle":"","parse-names":false,"suffix":""},{"dropping-particle":"","family":"Loveren","given":"Henk","non-dropping-particle":"Van","parse-names":false,"suffix":""},{"dropping-particle":"","family":"Vinceti","given":"Marco","non-dropping-particle":"","parse-names":false,"suffix":""},{"dropping-particle":"","family":"Willatts","given":"Peter","non-dropping-particle":"","parse-names":false,"suffix":""},{"dropping-particle":"","family":"Lamberg-Allardt","given":"Christel","non-dropping-particle":"","parse-names":false,"suffix":""},{"dropping-particle":"","family":"Przyrembel","given":"Hildegard","non-dropping-particle":"","parse-names":false,"suffix":""},{"dropping-particle":"","family":"Tetens","given":"Inge","non-dropping-particle":"","parse-names":false,"suffix":""},{"dropping-particle":"","family":"Gudelj Rakic","given":"Jelena","non-dropping-particle":"","parse-names":false,"suffix":""},{"dropping-particle":"","family":"Ioannidou","given":"Sofia","non-dropping-particle":"","parse-names":false,"suffix":""},{"dropping-particle":"","family":"Sesmaisons-Lecarré","given":"Agnès","non-dropping-particle":"de","parse-names":false,"suffix":""},{"dropping-particle":"","family":"Forss","given":"Annette Cecilia","non-dropping-particle":"","parse-names":false,"suffix":""},{"dropping-particle":"","family":"Neuhäuser-Berthold","given":"Monika","non-dropping-particle":"","parse-names":false,"suffix":""}],"container-title":"EFSA Journal","id":"ITEM-1","issue":"12","issued":{"date-parts":[["2016","12","1"]]},"note":"doi: 10.2903/j.efsa.2016.4653","page":"e04653","publisher":"John Wiley &amp; Sons, Ltd","title":"Dietary reference values for thiamin","type":"article-journal","volume":"14"},"uris":["http://www.mendeley.com/documents/?uuid=e68cb375-3dc5-4836-9636-6e64dfa4ac89"]}],"mendeley":{"formattedCitation":"&lt;sup&gt;13&lt;/sup&gt;","plainTextFormattedCitation":"13","previouslyFormattedCitation":"&lt;sup&gt;13&lt;/sup&gt;"},"properties":{"noteIndex":0},"schema":"https://github.com/citation-style-language/schema/raw/master/csl-citation.json"}</w:instrText>
      </w:r>
      <w:r w:rsidRPr="00CB3ECF">
        <w:rPr>
          <w:rFonts w:ascii="Times New Roman" w:hAnsi="Times New Roman" w:cs="Times New Roman"/>
          <w:sz w:val="24"/>
          <w:szCs w:val="24"/>
        </w:rPr>
        <w:fldChar w:fldCharType="separate"/>
      </w:r>
      <w:r w:rsidR="00B94DA2" w:rsidRPr="00B94DA2">
        <w:rPr>
          <w:rFonts w:ascii="Times New Roman" w:hAnsi="Times New Roman" w:cs="Times New Roman"/>
          <w:noProof/>
          <w:sz w:val="24"/>
          <w:szCs w:val="24"/>
          <w:vertAlign w:val="superscript"/>
        </w:rPr>
        <w:t>13</w:t>
      </w:r>
      <w:r w:rsidRPr="00CB3ECF">
        <w:rPr>
          <w:rFonts w:ascii="Times New Roman" w:hAnsi="Times New Roman" w:cs="Times New Roman"/>
          <w:sz w:val="24"/>
          <w:szCs w:val="24"/>
        </w:rPr>
        <w:fldChar w:fldCharType="end"/>
      </w:r>
    </w:p>
    <w:p w14:paraId="378B03B9" w14:textId="413FA266" w:rsidR="00133770" w:rsidRDefault="00013F7B" w:rsidP="00133770">
      <w:pPr>
        <w:rPr>
          <w:rFonts w:ascii="Times New Roman" w:hAnsi="Times New Roman" w:cs="Times New Roman"/>
          <w:sz w:val="24"/>
          <w:szCs w:val="24"/>
        </w:rPr>
      </w:pPr>
      <w:r>
        <w:rPr>
          <w:rFonts w:ascii="Times New Roman" w:hAnsi="Times New Roman" w:cs="Times New Roman"/>
          <w:sz w:val="24"/>
          <w:szCs w:val="24"/>
        </w:rPr>
        <w:t>Although there is no international consensus on cut-offs, t</w:t>
      </w:r>
      <w:r w:rsidR="00133770" w:rsidRPr="00CB3ECF">
        <w:rPr>
          <w:rFonts w:ascii="Times New Roman" w:hAnsi="Times New Roman" w:cs="Times New Roman"/>
          <w:sz w:val="24"/>
          <w:szCs w:val="24"/>
        </w:rPr>
        <w:t>he commonly used threshold for risk</w:t>
      </w:r>
      <w:r w:rsidR="00133770">
        <w:rPr>
          <w:rFonts w:ascii="Times New Roman" w:hAnsi="Times New Roman" w:cs="Times New Roman"/>
          <w:sz w:val="24"/>
          <w:szCs w:val="24"/>
        </w:rPr>
        <w:t xml:space="preserve"> of deficiency is an ETKAC of &gt;</w:t>
      </w:r>
      <w:r w:rsidR="00133770" w:rsidRPr="00CB3ECF">
        <w:rPr>
          <w:rFonts w:ascii="Times New Roman" w:hAnsi="Times New Roman" w:cs="Times New Roman"/>
          <w:sz w:val="24"/>
          <w:szCs w:val="24"/>
        </w:rPr>
        <w:t>1.25</w:t>
      </w:r>
      <w:r w:rsidR="00133770">
        <w:rPr>
          <w:rFonts w:ascii="Times New Roman" w:hAnsi="Times New Roman" w:cs="Times New Roman"/>
          <w:sz w:val="24"/>
          <w:szCs w:val="24"/>
        </w:rPr>
        <w:t>.</w:t>
      </w:r>
      <w:r w:rsidR="00133770" w:rsidRPr="00CB3ECF">
        <w:rPr>
          <w:rFonts w:ascii="Times New Roman" w:hAnsi="Times New Roman" w:cs="Times New Roman"/>
          <w:sz w:val="24"/>
          <w:szCs w:val="24"/>
        </w:rPr>
        <w:fldChar w:fldCharType="begin" w:fldLock="1"/>
      </w:r>
      <w:r w:rsidR="00016D44">
        <w:rPr>
          <w:rFonts w:ascii="Times New Roman" w:hAnsi="Times New Roman" w:cs="Times New Roman"/>
          <w:sz w:val="24"/>
          <w:szCs w:val="24"/>
        </w:rPr>
        <w:instrText>ADDIN CSL_CITATION {"citationItems":[{"id":"ITEM-1","itemData":{"DOI":"10.17226/6015","ISBN":"0-309-06411-2","PMID":"23193625","abstract":"This report is the second in a series that presents a comprehensive set of reference values for nutrient intakes for healthy U.S and Canadian populations. It is a product of the Food and Nutrition Board of the Institute of Medicine (IOM) working in cooperation with scientists from Canada. The report establishes a set of reference values for the B vitamins and choline to replace previously published Recommended Dietary Allowances (RDAs) for the United States and Recommended Nutrient Intakes (RNIs) for Canada. It considers evidence concerning the prevention of disease and developmental disorders along with more traditional evidence of sufficient nutrient intake; and examines data about choline, a food component that in the past has not been considered essential in the human diet. Although the reference values are based on data, the data were often scanty or drawn from studies that had limitations in addressing the question. Thus, scientific judgment was required in setting the reference values. The reasoning used is described for each nutrient in Chapters 4 through 12. Evidence concerning the use of these nutrients for the amelioration or cure of disease or disability was not considered because that was beyond the project's scope of work.","author":[{"dropping-particle":"","family":"Medicine","given":"Institute of","non-dropping-particle":"","parse-names":false,"suffix":""}],"id":"ITEM-1","issued":{"date-parts":[["1998"]]},"language":"eng","publisher-place":"Washington (DC)","title":"Dietary Reference Intakes for Thiamin, Riboflavin, Niacin, Vitamin B 6, Folate, Vitamin B 12, Pantothenic Acid, Biotin, and Choline","type":"book"},"uris":["http://www.mendeley.com/documents/?uuid=6b01bf17-ff45-4edd-8d1b-f6f973d88f1a"]},{"id":"ITEM-2","itemData":{"DOI":"10.2903/j.efsa.2016.4653","ISSN":"1831-4732","abstract":"Abstract Following a request from the European Commission, the EFSA Panel on Dietetic Products, Nutrition and Allergies (NDA) derived dietary reference values (DRVs) for thiamin (vitamin B1). The Panel considers that data from depletion?repletion studies in adults on the amount of dietary thiamin intake associated with the erythrocyte transketolase activity coefficient (αETK) &lt; 1.15, generally considered to reflect an adequate thiamin status, or with the restoration of normal (baseline) erythrocyte transketolase activity, without a sharp increase in urinary thiamin excretion, can be used to estimate thiamin requirement. In the absence of new scientific evidence, the Panel endorses the average requirement (AR) of 0.072 mg/MJ (0.3 mg/1,000 kcal) for all adults proposed by the Scientific Committee for Food (SCF) in 1993 on the basis of one depletion?repletion study, in which both αETK and urinary thiamin excretion were measured. Results from other depletion?repletion studies are in agreement with this value. The Panel agrees on the coefficient of variation of 20% used by the SCF to cover uncertainties related to distribution of thiamin requirements in the general population, and endorses the population reference intake (PRI) of 0.1 mg/MJ (0.4 mg/1,000 kcal) set by the SCF for all adults. The same AR and PRI as for adults, expressed in mg/MJ, are proposed for infants aged 7?11 months, children aged 1 to &lt; 18 years, and during pregnancy and lactation, under the assumption that the relationship between thiamin requirement and energy requirement is the same in all population groups.","author":[{"dropping-particle":"","family":"EFSA Panel on Dietetic Products","given":"Nutrition and Allergies (NDA)","non-dropping-particle":"","parse-names":false,"suffix":""},{"dropping-particle":"","family":"Turck","given":"Dominique","non-dropping-particle":"","parse-names":false,"suffix":""},{"dropping-particle":"","family":"Bresson","given":"Jean-Louis","non-dropping-particle":"","parse-names":false,"suffix":""},{"dropping-particle":"","family":"Burlingame","given":"Barbara","non-dropping-particle":"","parse-names":false,"suffix":""},{"dropping-particle":"","family":"Dean","given":"Tara","non-dropping-particle":"","parse-names":false,"suffix":""},{"dropping-particle":"","family":"Fairweather-Tait","given":"Susan","non-dropping-particle":"","parse-names":false,"suffix":""},{"dropping-particle":"","family":"Heinonen","given":"Marina","non-dropping-particle":"","parse-names":false,"suffix":""},{"dropping-particle":"","family":"Hirsch-Ernst","given":"Karen Ildico","non-dropping-particle":"","parse-names":false,"suffix":""},{"dropping-particle":"","family":"Mangelsdorf","given":"Inge","non-dropping-particle":"","parse-names":false,"suffix":""},{"dropping-particle":"","family":"McArdle","given":"Harry J","non-dropping-particle":"","parse-names":false,"suffix":""},{"dropping-particle":"","family":"Naska","given":"Androniki","non-dropping-particle":"","parse-names":false,"suffix":""},{"dropping-particle":"","family":"Nowicka","given":"Grażyna","non-dropping-particle":"","parse-names":false,"suffix":""},{"dropping-particle":"","family":"Pentieva","given":"Kristina","non-dropping-particle":"","parse-names":false,"suffix":""},{"dropping-particle":"","family":"Sanz","given":"Yolanda","non-dropping-particle":"","parse-names":false,"suffix":""},{"dropping-particle":"","family":"Siani","given":"Alfonso","non-dropping-particle":"","parse-names":false,"suffix":""},{"dropping-particle":"","family":"Sjödin","given":"Anders","non-dropping-particle":"","parse-names":false,"suffix":""},{"dropping-particle":"","family":"Stern","given":"Martin","non-dropping-particle":"","parse-names":false,"suffix":""},{"dropping-particle":"","family":"Tomé","given":"Daniel","non-dropping-particle":"","parse-names":false,"suffix":""},{"dropping-particle":"","family":"Loveren","given":"Henk","non-dropping-particle":"Van","parse-names":false,"suffix":""},{"dropping-particle":"","family":"Vinceti","given":"Marco","non-dropping-particle":"","parse-names":false,"suffix":""},{"dropping-particle":"","family":"Willatts","given":"Peter","non-dropping-particle":"","parse-names":false,"suffix":""},{"dropping-particle":"","family":"Lamberg-Allardt","given":"Christel","non-dropping-particle":"","parse-names":false,"suffix":""},{"dropping-particle":"","family":"Przyrembel","given":"Hildegard","non-dropping-particle":"","parse-names":false,"suffix":""},{"dropping-particle":"","family":"Tetens","given":"Inge","non-dropping-particle":"","parse-names":false,"suffix":""},{"dropping-particle":"","family":"Gudelj Rakic","given":"Jelena","non-dropping-particle":"","parse-names":false,"suffix":""},{"dropping-particle":"","family":"Ioannidou","given":"Sofia","non-dropping-particle":"","parse-names":false,"suffix":""},{"dropping-particle":"","family":"Sesmaisons-Lecarré","given":"Agnès","non-dropping-particle":"de","parse-names":false,"suffix":""},{"dropping-particle":"","family":"Forss","given":"Annette Cecilia","non-dropping-particle":"","parse-names":false,"suffix":""},{"dropping-particle":"","family":"Neuhäuser-Berthold","given":"Monika","non-dropping-particle":"","parse-names":false,"suffix":""}],"container-title":"EFSA Journal","id":"ITEM-2","issue":"12","issued":{"date-parts":[["2016","12","1"]]},"note":"doi: 10.2903/j.efsa.2016.4653","page":"e04653","publisher":"John Wiley &amp; Sons, Ltd","title":"Dietary reference values for thiamin","type":"article-journal","volume":"14"},"uris":["http://www.mendeley.com/documents/?uuid=e68cb375-3dc5-4836-9636-6e64dfa4ac89"]}],"mendeley":{"formattedCitation":"&lt;sup&gt;13,14&lt;/sup&gt;","plainTextFormattedCitation":"13,14","previouslyFormattedCitation":"&lt;sup&gt;13,14&lt;/sup&gt;"},"properties":{"noteIndex":0},"schema":"https://github.com/citation-style-language/schema/raw/master/csl-citation.json"}</w:instrText>
      </w:r>
      <w:r w:rsidR="00133770" w:rsidRPr="00CB3ECF">
        <w:rPr>
          <w:rFonts w:ascii="Times New Roman" w:hAnsi="Times New Roman" w:cs="Times New Roman"/>
          <w:sz w:val="24"/>
          <w:szCs w:val="24"/>
        </w:rPr>
        <w:fldChar w:fldCharType="separate"/>
      </w:r>
      <w:r w:rsidR="00B94DA2" w:rsidRPr="00B94DA2">
        <w:rPr>
          <w:rFonts w:ascii="Times New Roman" w:hAnsi="Times New Roman" w:cs="Times New Roman"/>
          <w:noProof/>
          <w:sz w:val="24"/>
          <w:szCs w:val="24"/>
          <w:vertAlign w:val="superscript"/>
        </w:rPr>
        <w:t>13,14</w:t>
      </w:r>
      <w:r w:rsidR="00133770" w:rsidRPr="00CB3ECF">
        <w:rPr>
          <w:rFonts w:ascii="Times New Roman" w:hAnsi="Times New Roman" w:cs="Times New Roman"/>
          <w:sz w:val="24"/>
          <w:szCs w:val="24"/>
        </w:rPr>
        <w:fldChar w:fldCharType="end"/>
      </w:r>
      <w:r w:rsidR="00133770" w:rsidRPr="00CB3ECF">
        <w:rPr>
          <w:rFonts w:ascii="Times New Roman" w:hAnsi="Times New Roman" w:cs="Times New Roman"/>
          <w:sz w:val="24"/>
          <w:szCs w:val="24"/>
        </w:rPr>
        <w:t xml:space="preserve"> An ETKAC of less than 1.15 indicates sufficiency and values between 1.15 and 1.25 suggest a low risk of clinical deficiency</w:t>
      </w:r>
      <w:r w:rsidR="00133770">
        <w:rPr>
          <w:rFonts w:ascii="Times New Roman" w:hAnsi="Times New Roman" w:cs="Times New Roman"/>
          <w:sz w:val="24"/>
          <w:szCs w:val="24"/>
        </w:rPr>
        <w:t>.</w:t>
      </w:r>
      <w:r w:rsidR="00133770" w:rsidRPr="00CB3ECF">
        <w:rPr>
          <w:rFonts w:ascii="Times New Roman" w:hAnsi="Times New Roman" w:cs="Times New Roman"/>
          <w:sz w:val="24"/>
          <w:szCs w:val="24"/>
        </w:rPr>
        <w:t xml:space="preserve"> </w:t>
      </w:r>
      <w:r w:rsidR="00133770" w:rsidRPr="00CB3ECF">
        <w:rPr>
          <w:rFonts w:ascii="Times New Roman" w:hAnsi="Times New Roman" w:cs="Times New Roman"/>
          <w:sz w:val="24"/>
          <w:szCs w:val="24"/>
        </w:rPr>
        <w:fldChar w:fldCharType="begin" w:fldLock="1"/>
      </w:r>
      <w:r w:rsidR="00016D44">
        <w:rPr>
          <w:rFonts w:ascii="Times New Roman" w:hAnsi="Times New Roman" w:cs="Times New Roman"/>
          <w:sz w:val="24"/>
          <w:szCs w:val="24"/>
        </w:rPr>
        <w:instrText>ADDIN CSL_CITATION {"citationItems":[{"id":"ITEM-1","itemData":{"DOI":"10.2903/j.efsa.2016.4653","ISSN":"1831-4732","abstract":"Abstract Following a request from the European Commission, the EFSA Panel on Dietetic Products, Nutrition and Allergies (NDA) derived dietary reference values (DRVs) for thiamin (vitamin B1). The Panel considers that data from depletion?repletion studies in adults on the amount of dietary thiamin intake associated with the erythrocyte transketolase activity coefficient (αETK) &lt; 1.15, generally considered to reflect an adequate thiamin status, or with the restoration of normal (baseline) erythrocyte transketolase activity, without a sharp increase in urinary thiamin excretion, can be used to estimate thiamin requirement. In the absence of new scientific evidence, the Panel endorses the average requirement (AR) of 0.072 mg/MJ (0.3 mg/1,000 kcal) for all adults proposed by the Scientific Committee for Food (SCF) in 1993 on the basis of one depletion?repletion study, in which both αETK and urinary thiamin excretion were measured. Results from other depletion?repletion studies are in agreement with this value. The Panel agrees on the coefficient of variation of 20% used by the SCF to cover uncertainties related to distribution of thiamin requirements in the general population, and endorses the population reference intake (PRI) of 0.1 mg/MJ (0.4 mg/1,000 kcal) set by the SCF for all adults. The same AR and PRI as for adults, expressed in mg/MJ, are proposed for infants aged 7?11 months, children aged 1 to &lt; 18 years, and during pregnancy and lactation, under the assumption that the relationship between thiamin requirement and energy requirement is the same in all population groups.","author":[{"dropping-particle":"","family":"EFSA Panel on Dietetic Products","given":"Nutrition and Allergies (NDA)","non-dropping-particle":"","parse-names":false,"suffix":""},{"dropping-particle":"","family":"Turck","given":"Dominique","non-dropping-particle":"","parse-names":false,"suffix":""},{"dropping-particle":"","family":"Bresson","given":"Jean-Louis","non-dropping-particle":"","parse-names":false,"suffix":""},{"dropping-particle":"","family":"Burlingame","given":"Barbara","non-dropping-particle":"","parse-names":false,"suffix":""},{"dropping-particle":"","family":"Dean","given":"Tara","non-dropping-particle":"","parse-names":false,"suffix":""},{"dropping-particle":"","family":"Fairweather-Tait","given":"Susan","non-dropping-particle":"","parse-names":false,"suffix":""},{"dropping-particle":"","family":"Heinonen","given":"Marina","non-dropping-particle":"","parse-names":false,"suffix":""},{"dropping-particle":"","family":"Hirsch-Ernst","given":"Karen Ildico","non-dropping-particle":"","parse-names":false,"suffix":""},{"dropping-particle":"","family":"Mangelsdorf","given":"Inge","non-dropping-particle":"","parse-names":false,"suffix":""},{"dropping-particle":"","family":"McArdle","given":"Harry J","non-dropping-particle":"","parse-names":false,"suffix":""},{"dropping-particle":"","family":"Naska","given":"Androniki","non-dropping-particle":"","parse-names":false,"suffix":""},{"dropping-particle":"","family":"Nowicka","given":"Grażyna","non-dropping-particle":"","parse-names":false,"suffix":""},{"dropping-particle":"","family":"Pentieva","given":"Kristina","non-dropping-particle":"","parse-names":false,"suffix":""},{"dropping-particle":"","family":"Sanz","given":"Yolanda","non-dropping-particle":"","parse-names":false,"suffix":""},{"dropping-particle":"","family":"Siani","given":"Alfonso","non-dropping-particle":"","parse-names":false,"suffix":""},{"dropping-particle":"","family":"Sjödin","given":"Anders","non-dropping-particle":"","parse-names":false,"suffix":""},{"dropping-particle":"","family":"Stern","given":"Martin","non-dropping-particle":"","parse-names":false,"suffix":""},{"dropping-particle":"","family":"Tomé","given":"Daniel","non-dropping-particle":"","parse-names":false,"suffix":""},{"dropping-particle":"","family":"Loveren","given":"Henk","non-dropping-particle":"Van","parse-names":false,"suffix":""},{"dropping-particle":"","family":"Vinceti","given":"Marco","non-dropping-particle":"","parse-names":false,"suffix":""},{"dropping-particle":"","family":"Willatts","given":"Peter","non-dropping-particle":"","parse-names":false,"suffix":""},{"dropping-particle":"","family":"Lamberg-Allardt","given":"Christel","non-dropping-particle":"","parse-names":false,"suffix":""},{"dropping-particle":"","family":"Przyrembel","given":"Hildegard","non-dropping-particle":"","parse-names":false,"suffix":""},{"dropping-particle":"","family":"Tetens","given":"Inge","non-dropping-particle":"","parse-names":false,"suffix":""},{"dropping-particle":"","family":"Gudelj Rakic","given":"Jelena","non-dropping-particle":"","parse-names":false,"suffix":""},{"dropping-particle":"","family":"Ioannidou","given":"Sofia","non-dropping-particle":"","parse-names":false,"suffix":""},{"dropping-particle":"","family":"Sesmaisons-Lecarré","given":"Agnès","non-dropping-particle":"de","parse-names":false,"suffix":""},{"dropping-particle":"","family":"Forss","given":"Annette Cecilia","non-dropping-particle":"","parse-names":false,"suffix":""},{"dropping-particle":"","family":"Neuhäuser-Berthold","given":"Monika","non-dropping-particle":"","parse-names":false,"suffix":""}],"container-title":"EFSA Journal","id":"ITEM-1","issue":"12","issued":{"date-parts":[["2016","12","1"]]},"note":"doi: 10.2903/j.efsa.2016.4653","page":"e04653","publisher":"John Wiley &amp; Sons, Ltd","title":"Dietary reference values for thiamin","type":"article-journal","volume":"14"},"uris":["http://www.mendeley.com/documents/?uuid=e68cb375-3dc5-4836-9636-6e64dfa4ac89"]}],"mendeley":{"formattedCitation":"&lt;sup&gt;13&lt;/sup&gt;","plainTextFormattedCitation":"13","previouslyFormattedCitation":"&lt;sup&gt;13&lt;/sup&gt;"},"properties":{"noteIndex":0},"schema":"https://github.com/citation-style-language/schema/raw/master/csl-citation.json"}</w:instrText>
      </w:r>
      <w:r w:rsidR="00133770" w:rsidRPr="00CB3ECF">
        <w:rPr>
          <w:rFonts w:ascii="Times New Roman" w:hAnsi="Times New Roman" w:cs="Times New Roman"/>
          <w:sz w:val="24"/>
          <w:szCs w:val="24"/>
        </w:rPr>
        <w:fldChar w:fldCharType="separate"/>
      </w:r>
      <w:r w:rsidR="00B94DA2" w:rsidRPr="00B94DA2">
        <w:rPr>
          <w:rFonts w:ascii="Times New Roman" w:hAnsi="Times New Roman" w:cs="Times New Roman"/>
          <w:noProof/>
          <w:sz w:val="24"/>
          <w:szCs w:val="24"/>
          <w:vertAlign w:val="superscript"/>
        </w:rPr>
        <w:t>13</w:t>
      </w:r>
      <w:r w:rsidR="00133770" w:rsidRPr="00CB3ECF">
        <w:rPr>
          <w:rFonts w:ascii="Times New Roman" w:hAnsi="Times New Roman" w:cs="Times New Roman"/>
          <w:sz w:val="24"/>
          <w:szCs w:val="24"/>
        </w:rPr>
        <w:fldChar w:fldCharType="end"/>
      </w:r>
      <w:r w:rsidR="00133770" w:rsidRPr="00CB3ECF">
        <w:rPr>
          <w:rFonts w:ascii="Times New Roman" w:hAnsi="Times New Roman" w:cs="Times New Roman"/>
          <w:sz w:val="24"/>
          <w:szCs w:val="24"/>
        </w:rPr>
        <w:t xml:space="preserve"> </w:t>
      </w:r>
      <w:r w:rsidR="00133770">
        <w:rPr>
          <w:rFonts w:ascii="Times New Roman" w:hAnsi="Times New Roman" w:cs="Times New Roman"/>
          <w:sz w:val="24"/>
          <w:szCs w:val="24"/>
        </w:rPr>
        <w:t>Others have suggested values of ≥1.2 indicate deficiency.</w:t>
      </w:r>
      <w:r w:rsidR="00133770">
        <w:rPr>
          <w:rFonts w:ascii="Times New Roman" w:hAnsi="Times New Roman" w:cs="Times New Roman"/>
          <w:sz w:val="24"/>
          <w:szCs w:val="24"/>
        </w:rPr>
        <w:fldChar w:fldCharType="begin" w:fldLock="1"/>
      </w:r>
      <w:r w:rsidR="00016D44">
        <w:rPr>
          <w:rFonts w:ascii="Times New Roman" w:hAnsi="Times New Roman" w:cs="Times New Roman"/>
          <w:sz w:val="24"/>
          <w:szCs w:val="24"/>
        </w:rPr>
        <w:instrText>ADDIN CSL_CITATION {"citationItems":[{"id":"ITEM-1","itemData":{"ISSN":"0964-7058 (Print)","PMID":"17723996","abstract":"In The Nutrition and Health Survey of Taiwan Elementary School Children (NAHSIT  Children 2001~2002), erythrocyte activity coefficients of transketolase (ETKAC) and glutathione reductase (EGRAC) were chosen as indices for assessing the functional status of thiamin and riboflavin nutriture. Mean values of the ETKAC for boys and girls, both of which were in a normal range, were 1.07+/-0.00 and 1.06+/-0.01, respectively. The respective prevalence rates of marginal and deficient thiamin states were 10.4% and 7.8% for boys and 9.3% and 7.3% for girls. Mean values of the EGRAC were 1.18+/-0.00 for boys and 1.19+/-0.01 for girls, both of which showed an increasing trend with age. The respective rates of marginal and deficient riboflavin states were as high as 32.5% and 3.5% for boys and 35.9% and 4.5% for girls. The marginal and deficient riboflavin statuses of Taiwanese schoolchildren were associated with a low frequency of dairy food consumption and an elevated risk of anemia.","author":[{"dropping-particle":"","family":"Shaw","given":"Ning-Sing","non-dropping-particle":"","parse-names":false,"suffix":""},{"dropping-particle":"","family":"Wang","given":"Jui-Line","non-dropping-particle":"","parse-names":false,"suffix":""},{"dropping-particle":"","family":"Pan","given":"Wen-Harn","non-dropping-particle":"","parse-names":false,"suffix":""},{"dropping-particle":"","family":"Liao","given":"Pei-Chun","non-dropping-particle":"","parse-names":false,"suffix":""},{"dropping-particle":"Lo","family":"Yang","given":"Feili","non-dropping-particle":"","parse-names":false,"suffix":""}],"container-title":"Asia Pacific journal of clinical nutrition","id":"ITEM-1","issued":{"date-parts":[["2007"]]},"language":"eng","page":"564-571","publisher-place":"Australia","title":"Thiamin and riboflavin status of Taiwanese elementary schoolchildren.","type":"article-journal","volume":"16 Suppl 2"},"uris":["http://www.mendeley.com/documents/?uuid=d6ddd7ba-9167-41a0-bdd7-1d6ed9e1a2ea"]}],"mendeley":{"formattedCitation":"&lt;sup&gt;15&lt;/sup&gt;","plainTextFormattedCitation":"15","previouslyFormattedCitation":"&lt;sup&gt;15&lt;/sup&gt;"},"properties":{"noteIndex":0},"schema":"https://github.com/citation-style-language/schema/raw/master/csl-citation.json"}</w:instrText>
      </w:r>
      <w:r w:rsidR="00133770">
        <w:rPr>
          <w:rFonts w:ascii="Times New Roman" w:hAnsi="Times New Roman" w:cs="Times New Roman"/>
          <w:sz w:val="24"/>
          <w:szCs w:val="24"/>
        </w:rPr>
        <w:fldChar w:fldCharType="separate"/>
      </w:r>
      <w:r w:rsidR="00B94DA2" w:rsidRPr="00B94DA2">
        <w:rPr>
          <w:rFonts w:ascii="Times New Roman" w:hAnsi="Times New Roman" w:cs="Times New Roman"/>
          <w:noProof/>
          <w:sz w:val="24"/>
          <w:szCs w:val="24"/>
          <w:vertAlign w:val="superscript"/>
        </w:rPr>
        <w:t>15</w:t>
      </w:r>
      <w:r w:rsidR="00133770">
        <w:rPr>
          <w:rFonts w:ascii="Times New Roman" w:hAnsi="Times New Roman" w:cs="Times New Roman"/>
          <w:sz w:val="24"/>
          <w:szCs w:val="24"/>
        </w:rPr>
        <w:fldChar w:fldCharType="end"/>
      </w:r>
      <w:r w:rsidR="00133770">
        <w:rPr>
          <w:rFonts w:ascii="Times New Roman" w:hAnsi="Times New Roman" w:cs="Times New Roman"/>
          <w:sz w:val="24"/>
          <w:szCs w:val="24"/>
        </w:rPr>
        <w:t xml:space="preserve"> Beriberi</w:t>
      </w:r>
      <w:r w:rsidR="00133770" w:rsidRPr="00CB3ECF">
        <w:rPr>
          <w:rFonts w:ascii="Times New Roman" w:hAnsi="Times New Roman" w:cs="Times New Roman"/>
          <w:sz w:val="24"/>
          <w:szCs w:val="24"/>
        </w:rPr>
        <w:t xml:space="preserve"> </w:t>
      </w:r>
      <w:r w:rsidR="00133770">
        <w:rPr>
          <w:rFonts w:ascii="Times New Roman" w:hAnsi="Times New Roman" w:cs="Times New Roman"/>
          <w:sz w:val="24"/>
          <w:szCs w:val="24"/>
        </w:rPr>
        <w:t>is</w:t>
      </w:r>
      <w:r w:rsidR="00133770" w:rsidRPr="00CB3ECF">
        <w:rPr>
          <w:rFonts w:ascii="Times New Roman" w:hAnsi="Times New Roman" w:cs="Times New Roman"/>
          <w:sz w:val="24"/>
          <w:szCs w:val="24"/>
        </w:rPr>
        <w:t xml:space="preserve"> typ</w:t>
      </w:r>
      <w:r w:rsidR="00133770">
        <w:rPr>
          <w:rFonts w:ascii="Times New Roman" w:hAnsi="Times New Roman" w:cs="Times New Roman"/>
          <w:sz w:val="24"/>
          <w:szCs w:val="24"/>
        </w:rPr>
        <w:t>ically associated with ETKAC values &gt;</w:t>
      </w:r>
      <w:r w:rsidR="00133770" w:rsidRPr="00CB3ECF">
        <w:rPr>
          <w:rFonts w:ascii="Times New Roman" w:hAnsi="Times New Roman" w:cs="Times New Roman"/>
          <w:sz w:val="24"/>
          <w:szCs w:val="24"/>
        </w:rPr>
        <w:t>1.4</w:t>
      </w:r>
      <w:r w:rsidR="00133770">
        <w:rPr>
          <w:rFonts w:ascii="Times New Roman" w:hAnsi="Times New Roman" w:cs="Times New Roman"/>
          <w:sz w:val="24"/>
          <w:szCs w:val="24"/>
        </w:rPr>
        <w:t>.</w:t>
      </w:r>
      <w:r w:rsidR="00133770" w:rsidRPr="00CB3ECF">
        <w:rPr>
          <w:rFonts w:ascii="Times New Roman" w:hAnsi="Times New Roman" w:cs="Times New Roman"/>
          <w:sz w:val="24"/>
          <w:szCs w:val="24"/>
        </w:rPr>
        <w:fldChar w:fldCharType="begin" w:fldLock="1"/>
      </w:r>
      <w:r w:rsidR="00133770">
        <w:rPr>
          <w:rFonts w:ascii="Times New Roman" w:hAnsi="Times New Roman" w:cs="Times New Roman"/>
          <w:sz w:val="24"/>
          <w:szCs w:val="24"/>
        </w:rPr>
        <w:instrText>ADDIN CSL_CITATION {"citationItems":[{"id":"ITEM-1","itemData":{"DOI":"10.1111/nyas.13919","ISSN":"1749-6632 (Electronic)","PMID":"30151974","abstract":"Thiamine is an essential micronutrient that plays a key role in energy metabolism.  Many populations worldwide may be at risk of clinical or subclinical thiamine deficiencies, due to famine, reliance on staple crops with low thiamine content, or food preparation practices, such as milling grains and washing milled rice. Clinical manifestations of thiamine deficiency are variable; this, along with the lack of a readily accessible and widely agreed upon biomarker of thiamine status, complicates efforts to diagnose thiamine deficiency and assess its global prevalence. Strategies to identify regions at risk of thiamine deficiency through proxy measures, such as analysis of food balance sheet data and month-specific infant mortality rates, may be valuable for understanding the scope of thiamine deficiency. Urgent public health responses are warranted in high-risk regions, considering the contribution of thiamine deficiency to infant mortality and research suggesting that even subclinical thiamine deficiency in childhood may have lifelong neurodevelopmental consequences. Food fortification and maternal and/or infant thiamine supplementation have proven effective in raising thiamine status and reducing the incidence of infantile beriberi in regions where thiamine deficiency is prevalent, but trial data are limited. Efforts to determine culturally and environmentally appropriate food vehicles for thiamine fortification are ongoing.","author":[{"dropping-particle":"","family":"Whitfield","given":"Kyly C","non-dropping-particle":"","parse-names":false,"suffix":""},{"dropping-particle":"","family":"Bourassa","given":"Megan W","non-dropping-particle":"","parse-names":false,"suffix":""},{"dropping-particle":"","family":"Adamolekun","given":"Bola","non-dropping-particle":"","parse-names":false,"suffix":""},{"dropping-particle":"","family":"Bergeron","given":"Gilles","non-dropping-particle":"","parse-names":false,"suffix":""},{"dropping-particle":"","family":"Bettendorff","given":"Lucien","non-dropping-particle":"","parse-names":false,"suffix":""},{"dropping-particle":"","family":"Brown","given":"Kenneth H","non-dropping-particle":"","parse-names":false,"suffix":""},{"dropping-particle":"","family":"Cox","given":"Lorna","non-dropping-particle":"","parse-names":false,"suffix":""},{"dropping-particle":"","family":"Fattal-Valevski","given":"Aviva","non-dropping-particle":"","parse-names":false,"suffix":""},{"dropping-particle":"","family":"Fischer","given":"Philip R","non-dropping-particle":"","parse-names":false,"suffix":""},{"dropping-particle":"","family":"Frank","given":"Elizabeth L","non-dropping-particle":"","parse-names":false,"suffix":""},{"dropping-particle":"","family":"Hiffler","given":"Laurent","non-dropping-particle":"","parse-names":false,"suffix":""},{"dropping-particle":"","family":"Hlaing","given":"Lwin Mar","non-dropping-particle":"","parse-names":false,"suffix":""},{"dropping-particle":"","family":"Jefferds","given":"Maria Elena","non-dropping-particle":"","parse-names":false,"suffix":""},{"dropping-particle":"","family":"Kapner","given":"Hallie","non-dropping-particle":"","parse-names":false,"suffix":""},{"dropping-particle":"","family":"Kounnavong","given":"Sengchanh","non-dropping-particle":"","parse-names":false,"suffix":""},{"dropping-particle":"","family":"Mousavi","given":"Maral P S","non-dropping-particle":"","parse-names":false,"suffix":""},{"dropping-particle":"","family":"Roth","given":"Daniel E","non-dropping-particle":"","parse-names":false,"suffix":""},{"dropping-particle":"","family":"Tsaloglou","given":"Maria-Nefeli","non-dropping-particle":"","parse-names":false,"suffix":""},{"dropping-particle":"","family":"Wieringa","given":"Frank","non-dropping-particle":"","parse-names":false,"suffix":""},{"dropping-particle":"","family":"Combs","given":"Gerald F Jr","non-dropping-particle":"","parse-names":false,"suffix":""}],"container-title":"Annals of the New York Academy of Sciences","id":"ITEM-1","issue":"1","issued":{"date-parts":[["2018","10"]]},"language":"eng","page":"3-43","title":"Thiamine deficiency disorders: diagnosis, prevalence, and a roadmap for global  control programs.","type":"article-journal","volume":"1430"},"uris":["http://www.mendeley.com/documents/?uuid=29e06608-673c-4fb0-ae25-2eb1df5e4941"]}],"mendeley":{"formattedCitation":"&lt;sup&gt;2&lt;/sup&gt;","plainTextFormattedCitation":"2","previouslyFormattedCitation":"&lt;sup&gt;2&lt;/sup&gt;"},"properties":{"noteIndex":0},"schema":"https://github.com/citation-style-language/schema/raw/master/csl-citation.json"}</w:instrText>
      </w:r>
      <w:r w:rsidR="00133770" w:rsidRPr="00CB3ECF">
        <w:rPr>
          <w:rFonts w:ascii="Times New Roman" w:hAnsi="Times New Roman" w:cs="Times New Roman"/>
          <w:sz w:val="24"/>
          <w:szCs w:val="24"/>
        </w:rPr>
        <w:fldChar w:fldCharType="separate"/>
      </w:r>
      <w:r w:rsidR="00133770" w:rsidRPr="003037E6">
        <w:rPr>
          <w:rFonts w:ascii="Times New Roman" w:hAnsi="Times New Roman" w:cs="Times New Roman"/>
          <w:noProof/>
          <w:sz w:val="24"/>
          <w:szCs w:val="24"/>
          <w:vertAlign w:val="superscript"/>
        </w:rPr>
        <w:t>2</w:t>
      </w:r>
      <w:r w:rsidR="00133770" w:rsidRPr="00CB3ECF">
        <w:rPr>
          <w:rFonts w:ascii="Times New Roman" w:hAnsi="Times New Roman" w:cs="Times New Roman"/>
          <w:sz w:val="24"/>
          <w:szCs w:val="24"/>
        </w:rPr>
        <w:fldChar w:fldCharType="end"/>
      </w:r>
    </w:p>
    <w:p w14:paraId="3A90B922" w14:textId="3CF02818" w:rsidR="00DB14BC" w:rsidRDefault="007A4234" w:rsidP="00764081">
      <w:pPr>
        <w:spacing w:line="276" w:lineRule="auto"/>
        <w:rPr>
          <w:rFonts w:ascii="Times New Roman" w:hAnsi="Times New Roman" w:cs="Times New Roman"/>
          <w:sz w:val="24"/>
          <w:szCs w:val="24"/>
        </w:rPr>
      </w:pPr>
      <w:r>
        <w:rPr>
          <w:rFonts w:ascii="Times New Roman" w:hAnsi="Times New Roman" w:cs="Times New Roman"/>
          <w:sz w:val="24"/>
          <w:szCs w:val="24"/>
        </w:rPr>
        <w:t xml:space="preserve">The use of </w:t>
      </w:r>
      <w:r w:rsidR="00CF0C4F" w:rsidRPr="00CB3ECF">
        <w:rPr>
          <w:rFonts w:ascii="Times New Roman" w:hAnsi="Times New Roman" w:cs="Times New Roman"/>
          <w:sz w:val="24"/>
          <w:szCs w:val="24"/>
        </w:rPr>
        <w:t xml:space="preserve"> ETKAC rather than </w:t>
      </w:r>
      <w:r w:rsidR="008A1CF8">
        <w:rPr>
          <w:rFonts w:ascii="Times New Roman" w:hAnsi="Times New Roman" w:cs="Times New Roman"/>
          <w:sz w:val="24"/>
          <w:szCs w:val="24"/>
        </w:rPr>
        <w:t xml:space="preserve">absolute measures of </w:t>
      </w:r>
      <w:r w:rsidR="009925A8">
        <w:rPr>
          <w:rFonts w:ascii="Times New Roman" w:hAnsi="Times New Roman" w:cs="Times New Roman"/>
          <w:sz w:val="24"/>
          <w:szCs w:val="24"/>
        </w:rPr>
        <w:t>ETK</w:t>
      </w:r>
      <w:r w:rsidR="00C524EC" w:rsidRPr="00CB3ECF">
        <w:rPr>
          <w:rFonts w:ascii="Times New Roman" w:hAnsi="Times New Roman" w:cs="Times New Roman"/>
          <w:sz w:val="24"/>
          <w:szCs w:val="24"/>
        </w:rPr>
        <w:t xml:space="preserve"> </w:t>
      </w:r>
      <w:r w:rsidR="00CF0C4F" w:rsidRPr="00CB3ECF">
        <w:rPr>
          <w:rFonts w:ascii="Times New Roman" w:hAnsi="Times New Roman" w:cs="Times New Roman"/>
          <w:sz w:val="24"/>
          <w:szCs w:val="24"/>
        </w:rPr>
        <w:t xml:space="preserve">activity </w:t>
      </w:r>
      <w:r w:rsidR="008A1CF8">
        <w:rPr>
          <w:rFonts w:ascii="Times New Roman" w:hAnsi="Times New Roman" w:cs="Times New Roman"/>
          <w:sz w:val="24"/>
          <w:szCs w:val="24"/>
        </w:rPr>
        <w:t>is preferred for three main reasons</w:t>
      </w:r>
      <w:r w:rsidR="009C4F19">
        <w:rPr>
          <w:rFonts w:ascii="Times New Roman" w:hAnsi="Times New Roman" w:cs="Times New Roman"/>
          <w:sz w:val="24"/>
          <w:szCs w:val="24"/>
        </w:rPr>
        <w:t>:</w:t>
      </w:r>
      <w:r w:rsidR="00CF0C4F" w:rsidRPr="00CB3ECF">
        <w:rPr>
          <w:rFonts w:ascii="Times New Roman" w:hAnsi="Times New Roman" w:cs="Times New Roman"/>
          <w:sz w:val="24"/>
          <w:szCs w:val="24"/>
        </w:rPr>
        <w:t xml:space="preserve">  </w:t>
      </w:r>
      <w:r w:rsidR="009C4F19">
        <w:rPr>
          <w:rFonts w:ascii="Times New Roman" w:hAnsi="Times New Roman" w:cs="Times New Roman"/>
          <w:sz w:val="24"/>
          <w:szCs w:val="24"/>
        </w:rPr>
        <w:t>(</w:t>
      </w:r>
      <w:r w:rsidR="00CF0C4F" w:rsidRPr="00CB3ECF">
        <w:rPr>
          <w:rFonts w:ascii="Times New Roman" w:hAnsi="Times New Roman" w:cs="Times New Roman"/>
          <w:sz w:val="24"/>
          <w:szCs w:val="24"/>
        </w:rPr>
        <w:t>1) the between-subject variation in basal activity is large</w:t>
      </w:r>
      <w:r w:rsidR="0053280A">
        <w:rPr>
          <w:rFonts w:ascii="Times New Roman" w:hAnsi="Times New Roman" w:cs="Times New Roman"/>
          <w:sz w:val="24"/>
          <w:szCs w:val="24"/>
        </w:rPr>
        <w:t>;</w:t>
      </w:r>
      <w:r w:rsidR="00CF0C4F" w:rsidRPr="00CB3ECF">
        <w:rPr>
          <w:rFonts w:ascii="Times New Roman" w:hAnsi="Times New Roman" w:cs="Times New Roman"/>
          <w:sz w:val="24"/>
          <w:szCs w:val="24"/>
        </w:rPr>
        <w:t xml:space="preserve"> </w:t>
      </w:r>
      <w:r w:rsidR="009C4F19">
        <w:rPr>
          <w:rFonts w:ascii="Times New Roman" w:hAnsi="Times New Roman" w:cs="Times New Roman"/>
          <w:sz w:val="24"/>
          <w:szCs w:val="24"/>
        </w:rPr>
        <w:t>(</w:t>
      </w:r>
      <w:r w:rsidR="00CF0C4F" w:rsidRPr="00CB3ECF">
        <w:rPr>
          <w:rFonts w:ascii="Times New Roman" w:hAnsi="Times New Roman" w:cs="Times New Roman"/>
          <w:sz w:val="24"/>
          <w:szCs w:val="24"/>
        </w:rPr>
        <w:t>2) it is assumed, but not certain, that apo</w:t>
      </w:r>
      <w:r w:rsidR="009A2DE6">
        <w:rPr>
          <w:rFonts w:ascii="Times New Roman" w:hAnsi="Times New Roman" w:cs="Times New Roman"/>
          <w:sz w:val="24"/>
          <w:szCs w:val="24"/>
        </w:rPr>
        <w:t>-</w:t>
      </w:r>
      <w:r w:rsidR="00CF0C4F" w:rsidRPr="00CB3ECF">
        <w:rPr>
          <w:rFonts w:ascii="Times New Roman" w:hAnsi="Times New Roman" w:cs="Times New Roman"/>
          <w:sz w:val="24"/>
          <w:szCs w:val="24"/>
        </w:rPr>
        <w:t xml:space="preserve">enzyme levels are not affected by vitamin deficiencies </w:t>
      </w:r>
      <w:r w:rsidR="00CF0C4F" w:rsidRPr="00CB3ECF">
        <w:rPr>
          <w:rFonts w:ascii="Times New Roman" w:hAnsi="Times New Roman" w:cs="Times New Roman"/>
          <w:sz w:val="24"/>
          <w:szCs w:val="24"/>
        </w:rPr>
        <w:fldChar w:fldCharType="begin" w:fldLock="1"/>
      </w:r>
      <w:r w:rsidR="00016D44">
        <w:rPr>
          <w:rFonts w:ascii="Times New Roman" w:hAnsi="Times New Roman" w:cs="Times New Roman"/>
          <w:sz w:val="24"/>
          <w:szCs w:val="24"/>
        </w:rPr>
        <w:instrText>ADDIN CSL_CITATION {"citationItems":[{"id":"ITEM-1","itemData":{"author":[{"dropping-particle":"","family":"Gibson","given":"Rosalind S.","non-dropping-particle":"","parse-names":false,"suffix":""}],"edition":"Second","id":"ITEM-1","issued":{"date-parts":[["2005"]]},"publisher":"Oxford University Press","publisher-place":"New York","title":"Principles of Nutritional Assessment","type":"book"},"uris":["http://www.mendeley.com/documents/?uuid=b4295b5e-04a7-4a87-92a3-4da31d23d1f2"]}],"mendeley":{"formattedCitation":"&lt;sup&gt;5&lt;/sup&gt;","plainTextFormattedCitation":"5","previouslyFormattedCitation":"&lt;sup&gt;5&lt;/sup&gt;"},"properties":{"noteIndex":0},"schema":"https://github.com/citation-style-language/schema/raw/master/csl-citation.json"}</w:instrText>
      </w:r>
      <w:r w:rsidR="00CF0C4F" w:rsidRPr="00CB3ECF">
        <w:rPr>
          <w:rFonts w:ascii="Times New Roman" w:hAnsi="Times New Roman" w:cs="Times New Roman"/>
          <w:sz w:val="24"/>
          <w:szCs w:val="24"/>
        </w:rPr>
        <w:fldChar w:fldCharType="separate"/>
      </w:r>
      <w:r w:rsidR="00B94DA2" w:rsidRPr="00B94DA2">
        <w:rPr>
          <w:rFonts w:ascii="Times New Roman" w:hAnsi="Times New Roman" w:cs="Times New Roman"/>
          <w:noProof/>
          <w:sz w:val="24"/>
          <w:szCs w:val="24"/>
          <w:vertAlign w:val="superscript"/>
        </w:rPr>
        <w:t>5</w:t>
      </w:r>
      <w:r w:rsidR="00CF0C4F" w:rsidRPr="00CB3ECF">
        <w:rPr>
          <w:rFonts w:ascii="Times New Roman" w:hAnsi="Times New Roman" w:cs="Times New Roman"/>
          <w:sz w:val="24"/>
          <w:szCs w:val="24"/>
        </w:rPr>
        <w:fldChar w:fldCharType="end"/>
      </w:r>
      <w:r w:rsidR="005820DB">
        <w:rPr>
          <w:rFonts w:ascii="Times New Roman" w:hAnsi="Times New Roman" w:cs="Times New Roman"/>
          <w:sz w:val="24"/>
          <w:szCs w:val="24"/>
        </w:rPr>
        <w:t xml:space="preserve"> </w:t>
      </w:r>
      <w:r w:rsidR="00CF0C4F" w:rsidRPr="00CB3ECF">
        <w:rPr>
          <w:rFonts w:ascii="Times New Roman" w:hAnsi="Times New Roman" w:cs="Times New Roman"/>
          <w:sz w:val="24"/>
          <w:szCs w:val="24"/>
        </w:rPr>
        <w:t xml:space="preserve">and </w:t>
      </w:r>
      <w:r w:rsidR="009C4F19">
        <w:rPr>
          <w:rFonts w:ascii="Times New Roman" w:hAnsi="Times New Roman" w:cs="Times New Roman"/>
          <w:sz w:val="24"/>
          <w:szCs w:val="24"/>
        </w:rPr>
        <w:t>(</w:t>
      </w:r>
      <w:r w:rsidR="00CF0C4F" w:rsidRPr="00CB3ECF">
        <w:rPr>
          <w:rFonts w:ascii="Times New Roman" w:hAnsi="Times New Roman" w:cs="Times New Roman"/>
          <w:sz w:val="24"/>
          <w:szCs w:val="24"/>
        </w:rPr>
        <w:t>3) it reduces the need for the precise definition of assay conditions</w:t>
      </w:r>
      <w:r w:rsidR="007765B3">
        <w:rPr>
          <w:rFonts w:ascii="Times New Roman" w:hAnsi="Times New Roman" w:cs="Times New Roman"/>
          <w:sz w:val="24"/>
          <w:szCs w:val="24"/>
        </w:rPr>
        <w:t xml:space="preserve"> (e</w:t>
      </w:r>
      <w:r w:rsidR="00A27AB7">
        <w:rPr>
          <w:rFonts w:ascii="Times New Roman" w:hAnsi="Times New Roman" w:cs="Times New Roman"/>
          <w:sz w:val="24"/>
          <w:szCs w:val="24"/>
        </w:rPr>
        <w:t>.</w:t>
      </w:r>
      <w:r w:rsidR="007765B3">
        <w:rPr>
          <w:rFonts w:ascii="Times New Roman" w:hAnsi="Times New Roman" w:cs="Times New Roman"/>
          <w:sz w:val="24"/>
          <w:szCs w:val="24"/>
        </w:rPr>
        <w:t>g</w:t>
      </w:r>
      <w:r w:rsidR="00A27AB7">
        <w:rPr>
          <w:rFonts w:ascii="Times New Roman" w:hAnsi="Times New Roman" w:cs="Times New Roman"/>
          <w:sz w:val="24"/>
          <w:szCs w:val="24"/>
        </w:rPr>
        <w:t>.</w:t>
      </w:r>
      <w:r w:rsidR="007765B3">
        <w:rPr>
          <w:rFonts w:ascii="Times New Roman" w:hAnsi="Times New Roman" w:cs="Times New Roman"/>
          <w:sz w:val="24"/>
          <w:szCs w:val="24"/>
        </w:rPr>
        <w:t xml:space="preserve"> optical path length)</w:t>
      </w:r>
      <w:r w:rsidR="0053280A">
        <w:rPr>
          <w:rFonts w:ascii="Times New Roman" w:hAnsi="Times New Roman" w:cs="Times New Roman"/>
          <w:sz w:val="24"/>
          <w:szCs w:val="24"/>
        </w:rPr>
        <w:t>,</w:t>
      </w:r>
      <w:r w:rsidR="007765B3">
        <w:rPr>
          <w:rFonts w:ascii="Times New Roman" w:hAnsi="Times New Roman" w:cs="Times New Roman"/>
          <w:sz w:val="24"/>
          <w:szCs w:val="24"/>
        </w:rPr>
        <w:t xml:space="preserve"> </w:t>
      </w:r>
      <w:r w:rsidR="00CF0C4F" w:rsidRPr="00CB3ECF">
        <w:rPr>
          <w:rFonts w:ascii="Times New Roman" w:hAnsi="Times New Roman" w:cs="Times New Roman"/>
          <w:sz w:val="24"/>
          <w:szCs w:val="24"/>
        </w:rPr>
        <w:t>which are critical to calculate absolute enzyme activities</w:t>
      </w:r>
      <w:r w:rsidR="00207ED4">
        <w:rPr>
          <w:rFonts w:ascii="Times New Roman" w:hAnsi="Times New Roman" w:cs="Times New Roman"/>
          <w:sz w:val="24"/>
          <w:szCs w:val="24"/>
        </w:rPr>
        <w:t>.</w:t>
      </w:r>
      <w:r w:rsidR="00CF0C4F" w:rsidRPr="00CB3ECF">
        <w:rPr>
          <w:rFonts w:ascii="Times New Roman" w:hAnsi="Times New Roman" w:cs="Times New Roman"/>
          <w:sz w:val="24"/>
          <w:szCs w:val="24"/>
        </w:rPr>
        <w:fldChar w:fldCharType="begin" w:fldLock="1"/>
      </w:r>
      <w:r w:rsidR="008D36B1">
        <w:rPr>
          <w:rFonts w:ascii="Times New Roman" w:hAnsi="Times New Roman" w:cs="Times New Roman"/>
          <w:sz w:val="24"/>
          <w:szCs w:val="24"/>
        </w:rPr>
        <w:instrText>ADDIN CSL_CITATION {"citationItems":[{"id":"ITEM-1","itemData":{"DOI":"10.1177/000456329703400604","ISSN":"0004-5632","author":[{"dropping-particle":"","family":"Bates","given":"C J","non-dropping-particle":"","parse-names":false,"suffix":""}],"container-title":"Annals of Clinical Biochemistry","id":"ITEM-1","issue":"6","issued":{"date-parts":[["1997","11","1"]]},"note":"doi: 10.1177/000456329703400604","page":"599-626","publisher":"SAGE Publications","title":"Vitamin Analysis","type":"article-journal","volume":"34"},"uris":["http://www.mendeley.com/documents/?uuid=f09c6fce-150d-434b-82e8-010fa611d821"]}],"mendeley":{"formattedCitation":"&lt;sup&gt;16&lt;/sup&gt;","plainTextFormattedCitation":"16","previouslyFormattedCitation":"&lt;sup&gt;16&lt;/sup&gt;"},"properties":{"noteIndex":0},"schema":"https://github.com/citation-style-language/schema/raw/master/csl-citation.json"}</w:instrText>
      </w:r>
      <w:r w:rsidR="00CF0C4F" w:rsidRPr="00CB3ECF">
        <w:rPr>
          <w:rFonts w:ascii="Times New Roman" w:hAnsi="Times New Roman" w:cs="Times New Roman"/>
          <w:sz w:val="24"/>
          <w:szCs w:val="24"/>
        </w:rPr>
        <w:fldChar w:fldCharType="separate"/>
      </w:r>
      <w:r w:rsidR="00E57474" w:rsidRPr="00E57474">
        <w:rPr>
          <w:rFonts w:ascii="Times New Roman" w:hAnsi="Times New Roman" w:cs="Times New Roman"/>
          <w:noProof/>
          <w:sz w:val="24"/>
          <w:szCs w:val="24"/>
          <w:vertAlign w:val="superscript"/>
        </w:rPr>
        <w:t>16</w:t>
      </w:r>
      <w:r w:rsidR="00CF0C4F" w:rsidRPr="00CB3ECF">
        <w:rPr>
          <w:rFonts w:ascii="Times New Roman" w:hAnsi="Times New Roman" w:cs="Times New Roman"/>
          <w:sz w:val="24"/>
          <w:szCs w:val="24"/>
        </w:rPr>
        <w:fldChar w:fldCharType="end"/>
      </w:r>
      <w:r w:rsidR="00A27AB7">
        <w:rPr>
          <w:rFonts w:ascii="Times New Roman" w:hAnsi="Times New Roman" w:cs="Times New Roman"/>
          <w:sz w:val="24"/>
          <w:szCs w:val="24"/>
        </w:rPr>
        <w:t xml:space="preserve"> </w:t>
      </w:r>
      <w:r w:rsidR="00E806E3">
        <w:rPr>
          <w:rFonts w:ascii="Times New Roman" w:hAnsi="Times New Roman" w:cs="Times New Roman"/>
          <w:sz w:val="24"/>
          <w:szCs w:val="24"/>
        </w:rPr>
        <w:t xml:space="preserve">Others have suggested using combinations of the </w:t>
      </w:r>
      <w:r w:rsidR="001B721B">
        <w:rPr>
          <w:rFonts w:ascii="Times New Roman" w:hAnsi="Times New Roman" w:cs="Times New Roman"/>
          <w:sz w:val="24"/>
          <w:szCs w:val="24"/>
        </w:rPr>
        <w:t>stimulated ETK activity a</w:t>
      </w:r>
      <w:r w:rsidR="00207ED4">
        <w:rPr>
          <w:rFonts w:ascii="Times New Roman" w:hAnsi="Times New Roman" w:cs="Times New Roman"/>
          <w:sz w:val="24"/>
          <w:szCs w:val="24"/>
        </w:rPr>
        <w:t>nd the ETKAC in interpretation.</w:t>
      </w:r>
      <w:r w:rsidR="001B721B">
        <w:rPr>
          <w:rFonts w:ascii="Times New Roman" w:hAnsi="Times New Roman" w:cs="Times New Roman"/>
          <w:sz w:val="24"/>
          <w:szCs w:val="24"/>
        </w:rPr>
        <w:fldChar w:fldCharType="begin" w:fldLock="1"/>
      </w:r>
      <w:r w:rsidR="008D36B1">
        <w:rPr>
          <w:rFonts w:ascii="Times New Roman" w:hAnsi="Times New Roman" w:cs="Times New Roman"/>
          <w:sz w:val="24"/>
          <w:szCs w:val="24"/>
        </w:rPr>
        <w:instrText>ADDIN CSL_CITATION {"citationItems":[{"id":"ITEM-1","itemData":{"DOI":"10.1111/j.1445-5994.1977.tb03368.x","ISSN":"0004-8291 (Print)","PMID":"272167","author":[{"dropping-particle":"","family":"Wood","given":"B","non-dropping-particle":"","parse-names":false,"suffix":""},{"dropping-particle":"","family":"Breen","given":"K J","non-dropping-particle":"","parse-names":false,"suffix":""},{"dropping-particle":"","family":"Penington","given":"D G","non-dropping-particle":"","parse-names":false,"suffix":""}],"container-title":"Australian and New Zealand journal of medicine","id":"ITEM-1","issue":"5","issued":{"date-parts":[["1977","10"]]},"language":"eng","page":"475-484","publisher-place":"Australia","title":"Thiamine status in alcoholism.","type":"article-journal","volume":"7"},"uris":["http://www.mendeley.com/documents/?uuid=9282b0f0-b7ee-4b1d-8963-1c6ed395fa80"]}],"mendeley":{"formattedCitation":"&lt;sup&gt;17&lt;/sup&gt;","plainTextFormattedCitation":"17","previouslyFormattedCitation":"&lt;sup&gt;17&lt;/sup&gt;"},"properties":{"noteIndex":0},"schema":"https://github.com/citation-style-language/schema/raw/master/csl-citation.json"}</w:instrText>
      </w:r>
      <w:r w:rsidR="001B721B">
        <w:rPr>
          <w:rFonts w:ascii="Times New Roman" w:hAnsi="Times New Roman" w:cs="Times New Roman"/>
          <w:sz w:val="24"/>
          <w:szCs w:val="24"/>
        </w:rPr>
        <w:fldChar w:fldCharType="separate"/>
      </w:r>
      <w:r w:rsidR="00E57474" w:rsidRPr="00E57474">
        <w:rPr>
          <w:rFonts w:ascii="Times New Roman" w:hAnsi="Times New Roman" w:cs="Times New Roman"/>
          <w:noProof/>
          <w:sz w:val="24"/>
          <w:szCs w:val="24"/>
          <w:vertAlign w:val="superscript"/>
        </w:rPr>
        <w:t>17</w:t>
      </w:r>
      <w:r w:rsidR="001B721B">
        <w:rPr>
          <w:rFonts w:ascii="Times New Roman" w:hAnsi="Times New Roman" w:cs="Times New Roman"/>
          <w:sz w:val="24"/>
          <w:szCs w:val="24"/>
        </w:rPr>
        <w:fldChar w:fldCharType="end"/>
      </w:r>
    </w:p>
    <w:p w14:paraId="7723C69F" w14:textId="356F3D50" w:rsidR="00B618FC" w:rsidRDefault="00C524EC" w:rsidP="00764081">
      <w:pPr>
        <w:spacing w:line="276" w:lineRule="auto"/>
        <w:rPr>
          <w:rFonts w:ascii="Times New Roman" w:hAnsi="Times New Roman" w:cs="Times New Roman"/>
          <w:sz w:val="24"/>
          <w:szCs w:val="24"/>
        </w:rPr>
      </w:pPr>
      <w:r>
        <w:rPr>
          <w:rFonts w:ascii="Times New Roman" w:hAnsi="Times New Roman" w:cs="Times New Roman"/>
          <w:sz w:val="24"/>
          <w:szCs w:val="24"/>
        </w:rPr>
        <w:t>However, the use of b</w:t>
      </w:r>
      <w:r w:rsidRPr="00CB3ECF">
        <w:rPr>
          <w:rFonts w:ascii="Times New Roman" w:hAnsi="Times New Roman" w:cs="Times New Roman"/>
          <w:sz w:val="24"/>
          <w:szCs w:val="24"/>
        </w:rPr>
        <w:t xml:space="preserve">asal </w:t>
      </w:r>
      <w:r>
        <w:rPr>
          <w:rFonts w:ascii="Times New Roman" w:hAnsi="Times New Roman" w:cs="Times New Roman"/>
          <w:sz w:val="24"/>
          <w:szCs w:val="24"/>
        </w:rPr>
        <w:t>ETK</w:t>
      </w:r>
      <w:r w:rsidRPr="00CB3ECF">
        <w:rPr>
          <w:rFonts w:ascii="Times New Roman" w:hAnsi="Times New Roman" w:cs="Times New Roman"/>
          <w:sz w:val="24"/>
          <w:szCs w:val="24"/>
        </w:rPr>
        <w:t xml:space="preserve"> activity </w:t>
      </w:r>
      <w:r>
        <w:rPr>
          <w:rFonts w:ascii="Times New Roman" w:hAnsi="Times New Roman" w:cs="Times New Roman"/>
          <w:sz w:val="24"/>
          <w:szCs w:val="24"/>
        </w:rPr>
        <w:t>rather than ETKAC has also been recommended, particularly for the assessment of thiamine status in infants due to potential low levels of apo</w:t>
      </w:r>
      <w:r w:rsidR="00B6418A">
        <w:rPr>
          <w:rFonts w:ascii="Times New Roman" w:hAnsi="Times New Roman" w:cs="Times New Roman"/>
          <w:sz w:val="24"/>
          <w:szCs w:val="24"/>
        </w:rPr>
        <w:t>-</w:t>
      </w:r>
      <w:r>
        <w:rPr>
          <w:rFonts w:ascii="Times New Roman" w:hAnsi="Times New Roman" w:cs="Times New Roman"/>
          <w:sz w:val="24"/>
          <w:szCs w:val="24"/>
        </w:rPr>
        <w:t xml:space="preserve">enzyme caused by long-term, low exposure to thiamine. </w:t>
      </w:r>
      <w:r>
        <w:rPr>
          <w:rFonts w:ascii="Times New Roman" w:hAnsi="Times New Roman" w:cs="Times New Roman"/>
          <w:sz w:val="24"/>
          <w:szCs w:val="24"/>
        </w:rPr>
        <w:fldChar w:fldCharType="begin" w:fldLock="1"/>
      </w:r>
      <w:r w:rsidR="008D36B1">
        <w:rPr>
          <w:rFonts w:ascii="Times New Roman" w:hAnsi="Times New Roman" w:cs="Times New Roman"/>
          <w:sz w:val="24"/>
          <w:szCs w:val="24"/>
        </w:rPr>
        <w:instrText xml:space="preserve">ADDIN CSL_CITATION {"citationItems":[{"id":"ITEM-1","itemData":{"abstract":"Author Summary Infantile beriberi, or clinical thiamin (vitamin B1) deficiency in infants, is a forgotten disease in Asia, where </w:instrText>
      </w:r>
      <w:r w:rsidR="008D36B1">
        <w:rPr>
          <w:rFonts w:ascii="Cambria Math" w:hAnsi="Cambria Math" w:cs="Cambria Math"/>
          <w:sz w:val="24"/>
          <w:szCs w:val="24"/>
        </w:rPr>
        <w:instrText>∼</w:instrText>
      </w:r>
      <w:r w:rsidR="008D36B1">
        <w:rPr>
          <w:rFonts w:ascii="Times New Roman" w:hAnsi="Times New Roman" w:cs="Times New Roman"/>
          <w:sz w:val="24"/>
          <w:szCs w:val="24"/>
        </w:rPr>
        <w:instrText xml:space="preserve">100 years ago it was a major public health problem. Children aged </w:instrText>
      </w:r>
      <w:r w:rsidR="008D36B1">
        <w:rPr>
          <w:rFonts w:ascii="Cambria Math" w:hAnsi="Cambria Math" w:cs="Cambria Math"/>
          <w:sz w:val="24"/>
          <w:szCs w:val="24"/>
        </w:rPr>
        <w:instrText>∼</w:instrText>
      </w:r>
      <w:r w:rsidR="008D36B1">
        <w:rPr>
          <w:rFonts w:ascii="Times New Roman" w:hAnsi="Times New Roman" w:cs="Times New Roman"/>
          <w:sz w:val="24"/>
          <w:szCs w:val="24"/>
        </w:rPr>
        <w:instrText>2–3 months present in cardiac failure but usually rapidly improve if given thiamin injections. It remains relatively common in Vientiane, Lao PDR (Laos) probably because of prolonged intra- and post-partum maternal food avoidance behaviours. There has been very little recent research on the best diagnostic techniques. We conducted a case control study of 47 infants with beriberi and age-matched afebrile and febrile controls in Vientiane. The conventional measures of thiamin deficiency, basal and activated erythrocyte transketolase activities (ETK) and activation (α) coefficients, were assayed along with three markers of cardiac dysfunction - plasma brain natriuretic peptide, N-terminal pro-brain natriuretic peptide, and troponin T. Basal ETK was a better biochemical marker of infantile beriberi than the activation coefficient. Raised plasma troponin T may be a useful indicator of infantile beriberi in babies at risk and in the absence of other evident causes.","author":[{"dropping-particle":"","family":"Soukaloun","given":"Douangdao","non-dropping-particle":"","parse-names":false,"suffix":""},{"dropping-particle":"","family":"Lee","given":"Sue J","non-dropping-particle":"","parse-names":false,"suffix":""},{"dropping-particle":"","family":"Chamberlain","given":"Karen","non-dropping-particle":"","parse-names":false,"suffix":""},{"dropping-particle":"","family":"Taylor","given":"Ann M","non-dropping-particle":"","parse-names":false,"suffix":""},{"dropping-particle":"","family":"Mayxay","given":"Mayfong","non-dropping-particle":"","parse-names":false,"suffix":""},{"dropping-particle":"","family":"Sisouk","given":"Kongkham","non-dropping-particle":"","parse-names":false,"suffix":""},{"dropping-particle":"","family":"Soumphonphakdy","given":"Bandit","non-dropping-particle":"","parse-names":false,"suffix":""},{"dropping-particle":"","family":"Latsavong","given":"Khaysy","non-dropping-particle":"","parse-names":false,"suffix":""},{"dropping-particle":"","family":"Akkhavong","given":"Kongsin","non-dropping-particle":"","parse-names":false,"suffix":""},{"dropping-particle":"","family":"Phommachanh","given":"Douangkham","non-dropping-particle":"","parse-names":false,"suffix":""},{"dropping-particle":"","family":"Sengmeuang","given":"Vanmaly","non-dropping-particle":"","parse-names":false,"suffix":""},{"dropping-particle":"","family":"Luangxay","given":"Khonsavanh","non-dropping-particle":"","parse-names":false,"suffix":""},{"dropping-particle":"","family":"McDonagh","given":"Theresa","non-dropping-particle":"","parse-names":false,"suffix":""},{"dropping-particle":"","family":"White","given":"Nicholas J","non-dropping-particle":"","parse-names":false,"suffix":""},{"dropping-particle":"","family":"Newton","given":"Paul N","non-dropping-particle":"","parse-names":false,"suffix":""}],"container-title":"PLOS Neglected Tropical Diseases","id":"ITEM-1","issue":"2","issued":{"date-parts":[["2011","2","22"]]},"page":"e971","publisher":"Public Library of Science","title":"Erythrocyte Transketolase Activity, Markers of Cardiac Dysfunction and the Diagnosis of Infantile Beriberi","type":"article-journal","volume":"5"},"uris":["http://www.mendeley.com/documents/?uuid=aa151570-38dc-457c-a27d-1fb5276609a9"]}],"mendeley":{"formattedCitation":"&lt;sup&gt;18&lt;/sup&gt;","plainTextFormattedCitation":"18","previouslyFormattedCitation":"&lt;sup&gt;18&lt;/sup&gt;"},"properties":{"noteIndex":0},"schema":"https://github.com/citation-style-language/schema/raw/master/csl-citation.json"}</w:instrText>
      </w:r>
      <w:r>
        <w:rPr>
          <w:rFonts w:ascii="Times New Roman" w:hAnsi="Times New Roman" w:cs="Times New Roman"/>
          <w:sz w:val="24"/>
          <w:szCs w:val="24"/>
        </w:rPr>
        <w:fldChar w:fldCharType="separate"/>
      </w:r>
      <w:r w:rsidR="00E57474" w:rsidRPr="00E57474">
        <w:rPr>
          <w:rFonts w:ascii="Times New Roman" w:hAnsi="Times New Roman" w:cs="Times New Roman"/>
          <w:noProof/>
          <w:sz w:val="24"/>
          <w:szCs w:val="24"/>
          <w:vertAlign w:val="superscript"/>
        </w:rPr>
        <w:t>18</w:t>
      </w:r>
      <w:r>
        <w:rPr>
          <w:rFonts w:ascii="Times New Roman" w:hAnsi="Times New Roman" w:cs="Times New Roman"/>
          <w:sz w:val="24"/>
          <w:szCs w:val="24"/>
        </w:rPr>
        <w:fldChar w:fldCharType="end"/>
      </w:r>
      <w:r>
        <w:rPr>
          <w:rFonts w:ascii="Times New Roman" w:hAnsi="Times New Roman" w:cs="Times New Roman"/>
          <w:sz w:val="24"/>
          <w:szCs w:val="24"/>
        </w:rPr>
        <w:t xml:space="preserve"> A recent study of children and adults found that whilst both basal and ETKAC correlated with erythrocyte ThDP the correlation was stronger for basal activity.</w:t>
      </w:r>
      <w:r>
        <w:rPr>
          <w:rFonts w:ascii="Times New Roman" w:hAnsi="Times New Roman" w:cs="Times New Roman"/>
          <w:sz w:val="24"/>
          <w:szCs w:val="24"/>
        </w:rPr>
        <w:fldChar w:fldCharType="begin" w:fldLock="1"/>
      </w:r>
      <w:r w:rsidR="008D36B1">
        <w:rPr>
          <w:rFonts w:ascii="Times New Roman" w:hAnsi="Times New Roman" w:cs="Times New Roman"/>
          <w:sz w:val="24"/>
          <w:szCs w:val="24"/>
        </w:rPr>
        <w:instrText>ADDIN CSL_CITATION {"citationItems":[{"id":"ITEM-1","itemData":{"DOI":"10.4269/ajtmh.20-0479","ISSN":"1476-1645 (Electronic)","PMID":"32996449","abstract":"Thiamin deficiency, or beriberi, is an increasingly re-recognized cause of morbidity  and mortality in the developing world. Thiamin status has traditionally been measured through the erythrocyte activation assay (ETKA) or basal transketolase activity (ETK), which indirectly measures thiamin diphosphate (TDP). Thiamin diphosphate can also be measured directly by high-performance liquid chromatography (HPLC), which may allow a more precise estimation of thiamin status. We compared the direct measurement of TDP by HPLC with basal ETK activity and ETKA in 230 patients with Plasmodium falciparum malaria in rural southern Laos but without overt clinical beriberi, as part of a trial of thiamin supplementation. Admission thiamin status measured by basal ETK activity and ETKA (α) was compared with thiamin status assessed by the measurement of TDP by HPLC; 55% of 230 included patients were male, and the median age was 10 (range 0.5-73) years. Using α ≥ 25% as the gold standard of thiamin deficiency, the sensitivity of TDP &lt; 275 ng/gHb as a measure of thiamin deficiency was 68.5% (95% CI: 54.4-80.5%), with specificity of 60.8 (95% CI: 53.2-68.1%). There was a significant inverse correlation between the results of the two tests (Kendall's tau = -0.212, P &lt; 0.001). Basal ETK activity was also significantly positively correlated with TDP levels (Kendall's tau = 0.576, P &lt; 0.001). Thiamin diphosphate measurement may have a role in measuring thiamin levels in clinical settings. Further studies evaluating TDP concentration in erythrocytes with basal ETK activity and ETKA (α) in beriberi patients would help establish comparative values of these assays.","author":[{"dropping-particle":"","family":"Taylor","given":"Andrew J","non-dropping-particle":"","parse-names":false,"suffix":""},{"dropping-particle":"","family":"Talwar","given":"Dinesh","non-dropping-particle":"","parse-names":false,"suffix":""},{"dropping-particle":"","family":"Lee","given":"Sue J","non-dropping-particle":"","parse-names":false,"suffix":""},{"dropping-particle":"","family":"Cox","given":"Lorna","non-dropping-particle":"","parse-names":false,"suffix":""},{"dropping-particle":"","family":"Mayxay","given":"Mayfong","non-dropping-particle":"","parse-names":false,"suffix":""},{"dropping-particle":"","family":"Newton","given":"Paul N","non-dropping-particle":"","parse-names":false,"suffix":""}],"container-title":"The American journal of tropical medicine and hygiene","id":"ITEM-1","issued":{"date-parts":[["2020","9"]]},"language":"eng","publisher-place":"United States","title":"Comparison of Thiamin Diphosphate High-Performance Liquid Chromatography and  Erythrocyte Transketolase Assays for Evaluating Thiamin Status in Malaria Patients without Beriberi.","type":"article-journal"},"uris":["http://www.mendeley.com/documents/?uuid=89f0311d-41d0-438f-a3e8-51300409860a"]}],"mendeley":{"formattedCitation":"&lt;sup&gt;19&lt;/sup&gt;","plainTextFormattedCitation":"19","previouslyFormattedCitation":"&lt;sup&gt;19&lt;/sup&gt;"},"properties":{"noteIndex":0},"schema":"https://github.com/citation-style-language/schema/raw/master/csl-citation.json"}</w:instrText>
      </w:r>
      <w:r>
        <w:rPr>
          <w:rFonts w:ascii="Times New Roman" w:hAnsi="Times New Roman" w:cs="Times New Roman"/>
          <w:sz w:val="24"/>
          <w:szCs w:val="24"/>
        </w:rPr>
        <w:fldChar w:fldCharType="separate"/>
      </w:r>
      <w:r w:rsidR="00E57474" w:rsidRPr="00E57474">
        <w:rPr>
          <w:rFonts w:ascii="Times New Roman" w:hAnsi="Times New Roman" w:cs="Times New Roman"/>
          <w:noProof/>
          <w:sz w:val="24"/>
          <w:szCs w:val="24"/>
          <w:vertAlign w:val="superscript"/>
        </w:rPr>
        <w:t>19</w:t>
      </w:r>
      <w:r>
        <w:rPr>
          <w:rFonts w:ascii="Times New Roman" w:hAnsi="Times New Roman" w:cs="Times New Roman"/>
          <w:sz w:val="24"/>
          <w:szCs w:val="24"/>
        </w:rPr>
        <w:fldChar w:fldCharType="end"/>
      </w:r>
      <w:r>
        <w:rPr>
          <w:rFonts w:ascii="Times New Roman" w:hAnsi="Times New Roman" w:cs="Times New Roman"/>
          <w:sz w:val="24"/>
          <w:szCs w:val="24"/>
        </w:rPr>
        <w:t xml:space="preserve"> Basal (or activated ETK) activity need</w:t>
      </w:r>
      <w:r w:rsidR="009925A8">
        <w:rPr>
          <w:rFonts w:ascii="Times New Roman" w:hAnsi="Times New Roman" w:cs="Times New Roman"/>
          <w:sz w:val="24"/>
          <w:szCs w:val="24"/>
        </w:rPr>
        <w:t>s</w:t>
      </w:r>
      <w:r>
        <w:rPr>
          <w:rFonts w:ascii="Times New Roman" w:hAnsi="Times New Roman" w:cs="Times New Roman"/>
          <w:sz w:val="24"/>
          <w:szCs w:val="24"/>
        </w:rPr>
        <w:t xml:space="preserve"> to be expressed per mass unit of h</w:t>
      </w:r>
      <w:r w:rsidRPr="00CB3ECF">
        <w:rPr>
          <w:rFonts w:ascii="Times New Roman" w:hAnsi="Times New Roman" w:cs="Times New Roman"/>
          <w:sz w:val="24"/>
          <w:szCs w:val="24"/>
        </w:rPr>
        <w:t xml:space="preserve">emoglobin </w:t>
      </w:r>
      <w:r>
        <w:rPr>
          <w:rFonts w:ascii="Times New Roman" w:hAnsi="Times New Roman" w:cs="Times New Roman"/>
          <w:sz w:val="24"/>
          <w:szCs w:val="24"/>
        </w:rPr>
        <w:t>and it is necessary to measure the hemoglobin concentration in the same lysate as used for the ETK activity assay. In addition, it is necessary to calculate the factor needed to convert rate to activity.</w:t>
      </w:r>
    </w:p>
    <w:p w14:paraId="5D1B29A9" w14:textId="77777777" w:rsidR="0077180F" w:rsidRPr="00764081" w:rsidRDefault="00764081" w:rsidP="00DA3FAD">
      <w:pPr>
        <w:pStyle w:val="ListParagraph"/>
        <w:numPr>
          <w:ilvl w:val="0"/>
          <w:numId w:val="30"/>
        </w:numPr>
        <w:spacing w:line="276" w:lineRule="auto"/>
        <w:rPr>
          <w:rFonts w:ascii="Times New Roman" w:hAnsi="Times New Roman" w:cs="Times New Roman"/>
          <w:b/>
          <w:sz w:val="24"/>
          <w:szCs w:val="24"/>
        </w:rPr>
      </w:pPr>
      <w:r>
        <w:rPr>
          <w:rFonts w:ascii="Times New Roman" w:hAnsi="Times New Roman" w:cs="Times New Roman"/>
          <w:b/>
          <w:sz w:val="24"/>
          <w:szCs w:val="24"/>
        </w:rPr>
        <w:t>Recommended s</w:t>
      </w:r>
      <w:r w:rsidR="0077180F" w:rsidRPr="00764081">
        <w:rPr>
          <w:rFonts w:ascii="Times New Roman" w:hAnsi="Times New Roman" w:cs="Times New Roman"/>
          <w:b/>
          <w:sz w:val="24"/>
          <w:szCs w:val="24"/>
        </w:rPr>
        <w:t>ample type</w:t>
      </w:r>
    </w:p>
    <w:p w14:paraId="761A3034" w14:textId="608583F5" w:rsidR="00D47D23" w:rsidRDefault="003E68BA" w:rsidP="00764081">
      <w:pPr>
        <w:spacing w:line="276" w:lineRule="auto"/>
        <w:rPr>
          <w:rFonts w:ascii="Times New Roman" w:hAnsi="Times New Roman" w:cs="Times New Roman"/>
          <w:sz w:val="24"/>
          <w:szCs w:val="24"/>
        </w:rPr>
      </w:pPr>
      <w:r>
        <w:rPr>
          <w:rFonts w:ascii="Times New Roman" w:hAnsi="Times New Roman" w:cs="Times New Roman"/>
          <w:sz w:val="24"/>
          <w:szCs w:val="24"/>
        </w:rPr>
        <w:t xml:space="preserve">Washed erythrocytes are </w:t>
      </w:r>
      <w:r w:rsidR="004776BB">
        <w:rPr>
          <w:rFonts w:ascii="Times New Roman" w:hAnsi="Times New Roman" w:cs="Times New Roman"/>
          <w:sz w:val="24"/>
          <w:szCs w:val="24"/>
        </w:rPr>
        <w:t xml:space="preserve">the recommended </w:t>
      </w:r>
      <w:r w:rsidR="00391523">
        <w:rPr>
          <w:rFonts w:ascii="Times New Roman" w:hAnsi="Times New Roman" w:cs="Times New Roman"/>
          <w:sz w:val="24"/>
          <w:szCs w:val="24"/>
        </w:rPr>
        <w:t>sample type</w:t>
      </w:r>
      <w:r>
        <w:rPr>
          <w:rFonts w:ascii="Times New Roman" w:hAnsi="Times New Roman" w:cs="Times New Roman"/>
          <w:sz w:val="24"/>
          <w:szCs w:val="24"/>
        </w:rPr>
        <w:t xml:space="preserve">. Leucocytes have </w:t>
      </w:r>
      <w:r w:rsidRPr="00CB3ECF">
        <w:rPr>
          <w:rFonts w:ascii="Times New Roman" w:hAnsi="Times New Roman" w:cs="Times New Roman"/>
          <w:sz w:val="24"/>
          <w:szCs w:val="24"/>
        </w:rPr>
        <w:t>relatively large amounts of thiamine</w:t>
      </w:r>
      <w:r>
        <w:rPr>
          <w:rFonts w:ascii="Times New Roman" w:hAnsi="Times New Roman" w:cs="Times New Roman"/>
          <w:sz w:val="24"/>
          <w:szCs w:val="24"/>
        </w:rPr>
        <w:t xml:space="preserve"> and</w:t>
      </w:r>
      <w:r w:rsidR="009C4F19">
        <w:rPr>
          <w:rFonts w:ascii="Times New Roman" w:hAnsi="Times New Roman" w:cs="Times New Roman"/>
          <w:sz w:val="24"/>
          <w:szCs w:val="24"/>
        </w:rPr>
        <w:t xml:space="preserve"> </w:t>
      </w:r>
      <w:r w:rsidR="00207ED4">
        <w:rPr>
          <w:rFonts w:ascii="Times New Roman" w:hAnsi="Times New Roman" w:cs="Times New Roman"/>
          <w:sz w:val="24"/>
          <w:szCs w:val="24"/>
        </w:rPr>
        <w:t>transketolase</w:t>
      </w:r>
      <w:r>
        <w:rPr>
          <w:rFonts w:ascii="Times New Roman" w:hAnsi="Times New Roman" w:cs="Times New Roman"/>
          <w:sz w:val="24"/>
          <w:szCs w:val="24"/>
        </w:rPr>
        <w:t xml:space="preserve"> activity</w:t>
      </w:r>
      <w:r w:rsidR="00770AD8" w:rsidRPr="00CB3ECF">
        <w:rPr>
          <w:rFonts w:ascii="Times New Roman" w:hAnsi="Times New Roman" w:cs="Times New Roman"/>
          <w:sz w:val="24"/>
          <w:szCs w:val="24"/>
        </w:rPr>
        <w:t xml:space="preserve"> can </w:t>
      </w:r>
      <w:r w:rsidR="009C4F19">
        <w:rPr>
          <w:rFonts w:ascii="Times New Roman" w:hAnsi="Times New Roman" w:cs="Times New Roman"/>
          <w:sz w:val="24"/>
          <w:szCs w:val="24"/>
        </w:rPr>
        <w:t xml:space="preserve">therefore </w:t>
      </w:r>
      <w:r w:rsidR="00770AD8" w:rsidRPr="00CB3ECF">
        <w:rPr>
          <w:rFonts w:ascii="Times New Roman" w:hAnsi="Times New Roman" w:cs="Times New Roman"/>
          <w:sz w:val="24"/>
          <w:szCs w:val="24"/>
        </w:rPr>
        <w:t>be considerably higher in whole blood compared to erythrocytes</w:t>
      </w:r>
      <w:r w:rsidR="00764081">
        <w:rPr>
          <w:rFonts w:ascii="Times New Roman" w:hAnsi="Times New Roman" w:cs="Times New Roman"/>
          <w:sz w:val="24"/>
          <w:szCs w:val="24"/>
        </w:rPr>
        <w:t>.</w:t>
      </w:r>
      <w:r w:rsidR="00770AD8" w:rsidRPr="00CB3ECF">
        <w:rPr>
          <w:rFonts w:ascii="Times New Roman" w:hAnsi="Times New Roman" w:cs="Times New Roman"/>
          <w:sz w:val="24"/>
          <w:szCs w:val="24"/>
        </w:rPr>
        <w:fldChar w:fldCharType="begin" w:fldLock="1"/>
      </w:r>
      <w:r w:rsidR="00E57474">
        <w:rPr>
          <w:rFonts w:ascii="Times New Roman" w:hAnsi="Times New Roman" w:cs="Times New Roman"/>
          <w:sz w:val="24"/>
          <w:szCs w:val="24"/>
        </w:rPr>
        <w:instrText>ADDIN CSL_CITATION {"citationItems":[{"id":"ITEM-1","itemData":{"DOI":"10.1016/0009-8981(71)90496-7","ISSN":"0009-8981 (Print)","PMID":"4330339","author":[{"dropping-particle":"","family":"Smeets","given":"E H","non-dropping-particle":"","parse-names":false,"suffix":""},{"dropping-particle":"","family":"Muller","given":"H","non-dropping-particle":"","parse-names":false,"suffix":""},{"dropping-particle":"","family":"Wael","given":"J","non-dropping-particle":"de","parse-names":false,"suffix":""}],"container-title":"Clinica chimica acta; international journal of clinical chemistry","id":"ITEM-1","issue":"2","issued":{"date-parts":[["1971","7"]]},"language":"eng","page":"379-386","publisher-place":"Netherlands","title":"A NADH-dependent transketolase assay in erythrocyte hemolysates.","type":"article-journal","volume":"33"},"uris":["http://www.mendeley.com/documents/?uuid=1220ce05-40b3-4c57-b746-f024fe9fdc06"]},{"id":"ITEM-2","itemData":{"ISSN":"0009-9147 (Print)","PMID":"3995746","author":[{"dropping-particle":"","family":"Buttery","given":"J E","non-dropping-particle":"","parse-names":false,"suffix":""},{"dropping-particle":"","family":"Pannall","given":"P R","non-dropping-particle":"","parse-names":false,"suffix":""}],"container-title":"Clinical chemistry","id":"ITEM-2","issue":"6","issued":{"date-parts":[["1985","6"]]},"language":"eng","page":"1086","publisher-place":"England","title":"Kinetic transketolase assay: use of whole-blood hemolysate as the sample.","type":"article","volume":"31"},"uris":["http://www.mendeley.com/documents/?uuid=6beb36fb-5725-45e9-b708-0525e4ca4712"]}],"mendeley":{"formattedCitation":"&lt;sup&gt;8,20&lt;/sup&gt;","plainTextFormattedCitation":"8,20","previouslyFormattedCitation":"&lt;sup&gt;8,20&lt;/sup&gt;"},"properties":{"noteIndex":0},"schema":"https://github.com/citation-style-language/schema/raw/master/csl-citation.json"}</w:instrText>
      </w:r>
      <w:r w:rsidR="00770AD8" w:rsidRPr="00CB3ECF">
        <w:rPr>
          <w:rFonts w:ascii="Times New Roman" w:hAnsi="Times New Roman" w:cs="Times New Roman"/>
          <w:sz w:val="24"/>
          <w:szCs w:val="24"/>
        </w:rPr>
        <w:fldChar w:fldCharType="separate"/>
      </w:r>
      <w:r w:rsidR="00016D44" w:rsidRPr="00016D44">
        <w:rPr>
          <w:rFonts w:ascii="Times New Roman" w:hAnsi="Times New Roman" w:cs="Times New Roman"/>
          <w:noProof/>
          <w:sz w:val="24"/>
          <w:szCs w:val="24"/>
          <w:vertAlign w:val="superscript"/>
        </w:rPr>
        <w:t>8,20</w:t>
      </w:r>
      <w:r w:rsidR="00770AD8" w:rsidRPr="00CB3ECF">
        <w:rPr>
          <w:rFonts w:ascii="Times New Roman" w:hAnsi="Times New Roman" w:cs="Times New Roman"/>
          <w:sz w:val="24"/>
          <w:szCs w:val="24"/>
        </w:rPr>
        <w:fldChar w:fldCharType="end"/>
      </w:r>
      <w:r w:rsidR="0062268F" w:rsidRPr="00CB3ECF">
        <w:rPr>
          <w:rFonts w:ascii="Times New Roman" w:hAnsi="Times New Roman" w:cs="Times New Roman"/>
          <w:sz w:val="24"/>
          <w:szCs w:val="24"/>
        </w:rPr>
        <w:t xml:space="preserve"> </w:t>
      </w:r>
      <w:r w:rsidR="00D47D23" w:rsidRPr="00CB3ECF">
        <w:rPr>
          <w:rFonts w:ascii="Times New Roman" w:hAnsi="Times New Roman" w:cs="Times New Roman"/>
          <w:sz w:val="24"/>
          <w:szCs w:val="24"/>
        </w:rPr>
        <w:t xml:space="preserve">The use of leucocytes </w:t>
      </w:r>
      <w:r w:rsidR="00D47D23" w:rsidRPr="00CB3ECF">
        <w:rPr>
          <w:rFonts w:ascii="Times New Roman" w:hAnsi="Times New Roman" w:cs="Times New Roman"/>
          <w:sz w:val="24"/>
          <w:szCs w:val="24"/>
        </w:rPr>
        <w:fldChar w:fldCharType="begin" w:fldLock="1"/>
      </w:r>
      <w:r w:rsidR="00E57474">
        <w:rPr>
          <w:rFonts w:ascii="Times New Roman" w:hAnsi="Times New Roman" w:cs="Times New Roman"/>
          <w:sz w:val="24"/>
          <w:szCs w:val="24"/>
        </w:rPr>
        <w:instrText>ADDIN CSL_CITATION {"citationItems":[{"id":"ITEM-1","itemData":{"DOI":"10.1093/jn/106.11.1678","ISSN":"0022-3166 (Print)","PMID":"978273","abstract":"The purpose of this study was to evaluate the possibility of using leukocyte  transketolase activity (TKA) as an index of thiamin status. It was shown previously that hepatic TKA in rats is altered by changes in the type and amounts of carbohydrate, protein, and fat in the diet. It was, therefore, essential to determine whether leukocyte TKA in rats is affected by dietary factors other than thiamin intake. Hepatic TKA and leukocyte TKA both varied with dietary thiamin intake; maximum activity was attained when the diet contained 3 to 4 mg thiamin/kg diet. Administration of oxythiamin resulted in decreases in TKA in both liver and leukocytes. The changes in leukocyte and hepatic TKA induced by varying degrees of thiamin deficiency were closely correlated. The responses of thiamin content were also closely correlated in liver and leukocytes. However, only hepatic TKA was altered by increasing the fat or protein content of the diet or by substituting fructose for glucose. None of the dietary manipulations studied except the production of thiamin deficiency had any effect on leukocyte TKA. We conclude from our results that leukocyte TKA is a sensitive and specific indicator of thiamin nutriture in rats.","author":[{"dropping-particle":"","family":"Cheng","given":"C H","non-dropping-particle":"","parse-names":false,"suffix":""},{"dropping-particle":"","family":"Koch","given":"M","non-dropping-particle":"","parse-names":false,"suffix":""},{"dropping-particle":"","family":"Shank","given":"R E","non-dropping-particle":"","parse-names":false,"suffix":""}],"container-title":"The Journal of nutrition","id":"ITEM-1","issue":"11","issued":{"date-parts":[["1976","11"]]},"language":"eng","page":"1678-1685","publisher-place":"United States","title":"Leukocyte transketolase activity as an indicator of thiamin nutriture in rats.","type":"article-journal","volume":"106"},"uris":["http://www.mendeley.com/documents/?uuid=0a1f81e0-e502-4234-b3de-93f7a14b0885"]},{"id":"ITEM-2","itemData":{"DOI":"10.1111/j.1753-4887.1977.tb06588.x","ISSN":"0029-6643 (Print)","PMID":"331149","container-title":"Nutrition reviews","id":"ITEM-2","issue":"7","issued":{"date-parts":[["1977","7"]]},"language":"eng","page":"185-187","publisher-place":"United States","title":"Leukocyte transketolase activity: an indicator of thiamin nutriture.","type":"article-journal","volume":"35"},"uris":["http://www.mendeley.com/documents/?uuid=2352c52b-acf1-4956-96a0-34c222ec9832"]}],"mendeley":{"formattedCitation":"&lt;sup&gt;21,22&lt;/sup&gt;","plainTextFormattedCitation":"21,22","previouslyFormattedCitation":"&lt;sup&gt;21,22&lt;/sup&gt;"},"properties":{"noteIndex":0},"schema":"https://github.com/citation-style-language/schema/raw/master/csl-citation.json"}</w:instrText>
      </w:r>
      <w:r w:rsidR="00D47D23" w:rsidRPr="00CB3ECF">
        <w:rPr>
          <w:rFonts w:ascii="Times New Roman" w:hAnsi="Times New Roman" w:cs="Times New Roman"/>
          <w:sz w:val="24"/>
          <w:szCs w:val="24"/>
        </w:rPr>
        <w:fldChar w:fldCharType="separate"/>
      </w:r>
      <w:r w:rsidR="00016D44" w:rsidRPr="00016D44">
        <w:rPr>
          <w:rFonts w:ascii="Times New Roman" w:hAnsi="Times New Roman" w:cs="Times New Roman"/>
          <w:noProof/>
          <w:sz w:val="24"/>
          <w:szCs w:val="24"/>
          <w:vertAlign w:val="superscript"/>
        </w:rPr>
        <w:t>21,22</w:t>
      </w:r>
      <w:r w:rsidR="00D47D23" w:rsidRPr="00CB3ECF">
        <w:rPr>
          <w:rFonts w:ascii="Times New Roman" w:hAnsi="Times New Roman" w:cs="Times New Roman"/>
          <w:sz w:val="24"/>
          <w:szCs w:val="24"/>
        </w:rPr>
        <w:fldChar w:fldCharType="end"/>
      </w:r>
      <w:r w:rsidR="00D47D23" w:rsidRPr="00CB3ECF">
        <w:rPr>
          <w:rFonts w:ascii="Times New Roman" w:hAnsi="Times New Roman" w:cs="Times New Roman"/>
          <w:sz w:val="24"/>
          <w:szCs w:val="24"/>
        </w:rPr>
        <w:t xml:space="preserve"> to assess </w:t>
      </w:r>
      <w:r w:rsidR="009A2DE6">
        <w:rPr>
          <w:rFonts w:ascii="Times New Roman" w:hAnsi="Times New Roman" w:cs="Times New Roman"/>
          <w:sz w:val="24"/>
          <w:szCs w:val="24"/>
        </w:rPr>
        <w:t xml:space="preserve">transketolase activity </w:t>
      </w:r>
      <w:r w:rsidR="00D47D23" w:rsidRPr="00CB3ECF">
        <w:rPr>
          <w:rFonts w:ascii="Times New Roman" w:hAnsi="Times New Roman" w:cs="Times New Roman"/>
          <w:sz w:val="24"/>
          <w:szCs w:val="24"/>
        </w:rPr>
        <w:t xml:space="preserve">has </w:t>
      </w:r>
      <w:r w:rsidR="00391523">
        <w:rPr>
          <w:rFonts w:ascii="Times New Roman" w:hAnsi="Times New Roman" w:cs="Times New Roman"/>
          <w:sz w:val="24"/>
          <w:szCs w:val="24"/>
        </w:rPr>
        <w:t xml:space="preserve">been reported but </w:t>
      </w:r>
      <w:r w:rsidR="00ED4E99">
        <w:rPr>
          <w:rFonts w:ascii="Times New Roman" w:hAnsi="Times New Roman" w:cs="Times New Roman"/>
          <w:sz w:val="24"/>
          <w:szCs w:val="24"/>
        </w:rPr>
        <w:t xml:space="preserve">has </w:t>
      </w:r>
      <w:r w:rsidR="00391523">
        <w:rPr>
          <w:rFonts w:ascii="Times New Roman" w:hAnsi="Times New Roman" w:cs="Times New Roman"/>
          <w:sz w:val="24"/>
          <w:szCs w:val="24"/>
        </w:rPr>
        <w:t xml:space="preserve">not </w:t>
      </w:r>
      <w:r w:rsidR="009A2DE6">
        <w:rPr>
          <w:rFonts w:ascii="Times New Roman" w:hAnsi="Times New Roman" w:cs="Times New Roman"/>
          <w:sz w:val="24"/>
          <w:szCs w:val="24"/>
        </w:rPr>
        <w:t xml:space="preserve">been </w:t>
      </w:r>
      <w:r w:rsidR="00ED4E99">
        <w:rPr>
          <w:rFonts w:ascii="Times New Roman" w:hAnsi="Times New Roman" w:cs="Times New Roman"/>
          <w:sz w:val="24"/>
          <w:szCs w:val="24"/>
        </w:rPr>
        <w:t>applied</w:t>
      </w:r>
      <w:r w:rsidR="00391523">
        <w:rPr>
          <w:rFonts w:ascii="Times New Roman" w:hAnsi="Times New Roman" w:cs="Times New Roman"/>
          <w:sz w:val="24"/>
          <w:szCs w:val="24"/>
        </w:rPr>
        <w:t xml:space="preserve"> routinely, possibly because the shorter half-life of leucocytes compared to erythrocytes would result in a </w:t>
      </w:r>
      <w:r w:rsidR="00696EA3">
        <w:rPr>
          <w:rFonts w:ascii="Times New Roman" w:hAnsi="Times New Roman" w:cs="Times New Roman"/>
          <w:sz w:val="24"/>
          <w:szCs w:val="24"/>
        </w:rPr>
        <w:t xml:space="preserve">only </w:t>
      </w:r>
      <w:r w:rsidR="009A2DE6">
        <w:rPr>
          <w:rFonts w:ascii="Times New Roman" w:hAnsi="Times New Roman" w:cs="Times New Roman"/>
          <w:sz w:val="24"/>
          <w:szCs w:val="24"/>
        </w:rPr>
        <w:t>short-</w:t>
      </w:r>
      <w:r w:rsidR="00391523">
        <w:rPr>
          <w:rFonts w:ascii="Times New Roman" w:hAnsi="Times New Roman" w:cs="Times New Roman"/>
          <w:sz w:val="24"/>
          <w:szCs w:val="24"/>
        </w:rPr>
        <w:t xml:space="preserve">term biomarker of thiamine status. </w:t>
      </w:r>
    </w:p>
    <w:p w14:paraId="65B825BD" w14:textId="037799CF" w:rsidR="0062268F" w:rsidRPr="00CB3ECF" w:rsidRDefault="00D47D23" w:rsidP="00764081">
      <w:pPr>
        <w:spacing w:line="276" w:lineRule="auto"/>
        <w:rPr>
          <w:rFonts w:ascii="Times New Roman" w:hAnsi="Times New Roman" w:cs="Times New Roman"/>
          <w:sz w:val="24"/>
          <w:szCs w:val="24"/>
        </w:rPr>
      </w:pPr>
      <w:r>
        <w:rPr>
          <w:rFonts w:ascii="Times New Roman" w:hAnsi="Times New Roman" w:cs="Times New Roman"/>
          <w:sz w:val="24"/>
          <w:szCs w:val="24"/>
        </w:rPr>
        <w:t xml:space="preserve">The use of whole blood, a more convenient sample compared to washed </w:t>
      </w:r>
      <w:r w:rsidRPr="00D47D23">
        <w:rPr>
          <w:rFonts w:ascii="Times New Roman" w:hAnsi="Times New Roman" w:cs="Times New Roman"/>
          <w:sz w:val="24"/>
          <w:szCs w:val="24"/>
        </w:rPr>
        <w:t>erythrocytes</w:t>
      </w:r>
      <w:r w:rsidR="00B346CF">
        <w:rPr>
          <w:rFonts w:ascii="Times New Roman" w:hAnsi="Times New Roman" w:cs="Times New Roman"/>
          <w:sz w:val="24"/>
          <w:szCs w:val="24"/>
        </w:rPr>
        <w:t>,</w:t>
      </w:r>
      <w:r w:rsidRPr="00D47D23">
        <w:rPr>
          <w:rFonts w:ascii="Times New Roman" w:hAnsi="Times New Roman" w:cs="Times New Roman"/>
          <w:sz w:val="24"/>
          <w:szCs w:val="24"/>
        </w:rPr>
        <w:t xml:space="preserve"> </w:t>
      </w:r>
      <w:r>
        <w:rPr>
          <w:rFonts w:ascii="Times New Roman" w:hAnsi="Times New Roman" w:cs="Times New Roman"/>
          <w:sz w:val="24"/>
          <w:szCs w:val="24"/>
        </w:rPr>
        <w:t>has also been considered</w:t>
      </w:r>
      <w:r w:rsidR="00391523">
        <w:rPr>
          <w:rFonts w:ascii="Times New Roman" w:hAnsi="Times New Roman" w:cs="Times New Roman"/>
          <w:sz w:val="24"/>
          <w:szCs w:val="24"/>
        </w:rPr>
        <w:t xml:space="preserve">. Whilst </w:t>
      </w:r>
      <w:r w:rsidR="00207ED4">
        <w:rPr>
          <w:rFonts w:ascii="Times New Roman" w:hAnsi="Times New Roman" w:cs="Times New Roman"/>
          <w:sz w:val="24"/>
          <w:szCs w:val="24"/>
        </w:rPr>
        <w:t>transketolase</w:t>
      </w:r>
      <w:r w:rsidR="00391523">
        <w:rPr>
          <w:rFonts w:ascii="Times New Roman" w:hAnsi="Times New Roman" w:cs="Times New Roman"/>
          <w:sz w:val="24"/>
          <w:szCs w:val="24"/>
        </w:rPr>
        <w:t xml:space="preserve"> activity was higher in whole blood, </w:t>
      </w:r>
      <w:r w:rsidR="009A2DE6">
        <w:rPr>
          <w:rFonts w:ascii="Times New Roman" w:hAnsi="Times New Roman" w:cs="Times New Roman"/>
          <w:sz w:val="24"/>
          <w:szCs w:val="24"/>
        </w:rPr>
        <w:t>the transketolase activity coefficient</w:t>
      </w:r>
      <w:r>
        <w:rPr>
          <w:rFonts w:ascii="Times New Roman" w:hAnsi="Times New Roman" w:cs="Times New Roman"/>
          <w:sz w:val="24"/>
          <w:szCs w:val="24"/>
        </w:rPr>
        <w:t xml:space="preserve"> was similar between whole blood and erythrocyte hemolysates</w:t>
      </w:r>
      <w:r w:rsidR="00764081">
        <w:rPr>
          <w:rFonts w:ascii="Times New Roman" w:hAnsi="Times New Roman" w:cs="Times New Roman"/>
          <w:sz w:val="24"/>
          <w:szCs w:val="24"/>
        </w:rPr>
        <w:t>.</w:t>
      </w:r>
      <w:r w:rsidR="00391523" w:rsidRPr="00D47D23">
        <w:rPr>
          <w:rFonts w:ascii="Times New Roman" w:hAnsi="Times New Roman" w:cs="Times New Roman"/>
          <w:sz w:val="24"/>
          <w:szCs w:val="24"/>
        </w:rPr>
        <w:fldChar w:fldCharType="begin" w:fldLock="1"/>
      </w:r>
      <w:r w:rsidR="00E57474">
        <w:rPr>
          <w:rFonts w:ascii="Times New Roman" w:hAnsi="Times New Roman" w:cs="Times New Roman"/>
          <w:sz w:val="24"/>
          <w:szCs w:val="24"/>
        </w:rPr>
        <w:instrText>ADDIN CSL_CITATION {"citationItems":[{"id":"ITEM-1","itemData":{"DOI":"10.1016/0305-0491(87)90397-x","ISSN":"0305-0491 (Print)","PMID":"3665430","abstract":"1. A study was made of transketolase activity in red and white blood cells and of  conditions for assay for transketolase activity and for assessment of the \"TPP effect\" in human and rat blood. 2. The ratio of the transketolase activity in white cells to that in red cells varied between 23 and 93. 3. Red cells or white cells can both be used for assessment of transketolase activity and the \"TPP effect\", but the best source for evaluation of transketolase activity and the percent change on addition of thiamin diphosphate appears to be whole blood.","author":[{"dropping-particle":"","family":"Ali","given":"M","non-dropping-particle":"","parse-names":false,"suffix":""},{"dropping-particle":"","family":"Gubler","given":"C J","non-dropping-particle":"","parse-names":false,"suffix":""},{"dropping-particle":"","family":"Saleh","given":"J","non-dropping-particle":"Al","parse-names":false,"suffix":""},{"dropping-particle":"","family":"Abu Farsak","given":"F","non-dropping-particle":"","parse-names":false,"suffix":""}],"container-title":"Comparative biochemistry and physiology. B, Comparative biochemistry","id":"ITEM-1","issue":"4","issued":{"date-parts":[["1987"]]},"language":"eng","page":"833-835","publisher-place":"England","title":"A comparison of transketolase assay and transketolase and lactate dehydrogenase  activity levels in whole blood and red cell hemolysates and in leukocytes.","type":"article-journal","volume":"87"},"uris":["http://www.mendeley.com/documents/?uuid=e3f8bbb6-6aa3-4b4a-a460-3332aa4a6d04"]},{"id":"ITEM-2","itemData":{"ISSN":"0009-9147 (Print)","PMID":"3995746","author":[{"dropping-particle":"","family":"Buttery","given":"J E","non-dropping-particle":"","parse-names":false,"suffix":""},{"dropping-particle":"","family":"Pannall","given":"P R","non-dropping-particle":"","parse-names":false,"suffix":""}],"container-title":"Clinical chemistry","id":"ITEM-2","issue":"6","issued":{"date-parts":[["1985","6"]]},"language":"eng","page":"1086","publisher-place":"England","title":"Kinetic transketolase assay: use of whole-blood hemolysate as the sample.","type":"article","volume":"31"},"uris":["http://www.mendeley.com/documents/?uuid=6beb36fb-5725-45e9-b708-0525e4ca4712"]}],"mendeley":{"formattedCitation":"&lt;sup&gt;20,23&lt;/sup&gt;","plainTextFormattedCitation":"20,23","previouslyFormattedCitation":"&lt;sup&gt;20,23&lt;/sup&gt;"},"properties":{"noteIndex":0},"schema":"https://github.com/citation-style-language/schema/raw/master/csl-citation.json"}</w:instrText>
      </w:r>
      <w:r w:rsidR="00391523" w:rsidRPr="00D47D23">
        <w:rPr>
          <w:rFonts w:ascii="Times New Roman" w:hAnsi="Times New Roman" w:cs="Times New Roman"/>
          <w:sz w:val="24"/>
          <w:szCs w:val="24"/>
        </w:rPr>
        <w:fldChar w:fldCharType="separate"/>
      </w:r>
      <w:r w:rsidR="00016D44" w:rsidRPr="00016D44">
        <w:rPr>
          <w:rFonts w:ascii="Times New Roman" w:hAnsi="Times New Roman" w:cs="Times New Roman"/>
          <w:noProof/>
          <w:sz w:val="24"/>
          <w:szCs w:val="24"/>
          <w:vertAlign w:val="superscript"/>
        </w:rPr>
        <w:t>20,23</w:t>
      </w:r>
      <w:r w:rsidR="00391523" w:rsidRPr="00D47D23">
        <w:rPr>
          <w:rFonts w:ascii="Times New Roman" w:hAnsi="Times New Roman" w:cs="Times New Roman"/>
          <w:sz w:val="24"/>
          <w:szCs w:val="24"/>
        </w:rPr>
        <w:fldChar w:fldCharType="end"/>
      </w:r>
      <w:r w:rsidR="00391523">
        <w:rPr>
          <w:rFonts w:ascii="Times New Roman" w:hAnsi="Times New Roman" w:cs="Times New Roman"/>
          <w:sz w:val="24"/>
          <w:szCs w:val="24"/>
        </w:rPr>
        <w:t xml:space="preserve"> H</w:t>
      </w:r>
      <w:r w:rsidR="004776BB">
        <w:rPr>
          <w:rFonts w:ascii="Times New Roman" w:hAnsi="Times New Roman" w:cs="Times New Roman"/>
          <w:sz w:val="24"/>
          <w:szCs w:val="24"/>
        </w:rPr>
        <w:t xml:space="preserve">owever, </w:t>
      </w:r>
      <w:r w:rsidR="00085B8E">
        <w:rPr>
          <w:rFonts w:ascii="Times New Roman" w:hAnsi="Times New Roman" w:cs="Times New Roman"/>
          <w:sz w:val="24"/>
          <w:szCs w:val="24"/>
        </w:rPr>
        <w:t>there are</w:t>
      </w:r>
      <w:r w:rsidR="004776BB">
        <w:rPr>
          <w:rFonts w:ascii="Times New Roman" w:hAnsi="Times New Roman" w:cs="Times New Roman"/>
          <w:sz w:val="24"/>
          <w:szCs w:val="24"/>
        </w:rPr>
        <w:t xml:space="preserve"> concerns around the use of whole blood, partly due to </w:t>
      </w:r>
      <w:r w:rsidR="00ED4E99">
        <w:rPr>
          <w:rFonts w:ascii="Times New Roman" w:hAnsi="Times New Roman" w:cs="Times New Roman"/>
          <w:sz w:val="24"/>
          <w:szCs w:val="24"/>
        </w:rPr>
        <w:t xml:space="preserve">between-person </w:t>
      </w:r>
      <w:r w:rsidR="004776BB">
        <w:rPr>
          <w:rFonts w:ascii="Times New Roman" w:hAnsi="Times New Roman" w:cs="Times New Roman"/>
          <w:sz w:val="24"/>
          <w:szCs w:val="24"/>
        </w:rPr>
        <w:t>variability in l</w:t>
      </w:r>
      <w:r w:rsidR="009A2DE6">
        <w:rPr>
          <w:rFonts w:ascii="Times New Roman" w:hAnsi="Times New Roman" w:cs="Times New Roman"/>
          <w:sz w:val="24"/>
          <w:szCs w:val="24"/>
        </w:rPr>
        <w:t>eucocyte count, particularly in</w:t>
      </w:r>
      <w:r w:rsidR="004776BB">
        <w:rPr>
          <w:rFonts w:ascii="Times New Roman" w:hAnsi="Times New Roman" w:cs="Times New Roman"/>
          <w:sz w:val="24"/>
          <w:szCs w:val="24"/>
        </w:rPr>
        <w:t xml:space="preserve"> clinical conditions </w:t>
      </w:r>
      <w:r w:rsidR="00085B8E">
        <w:rPr>
          <w:rFonts w:ascii="Times New Roman" w:hAnsi="Times New Roman" w:cs="Times New Roman"/>
          <w:sz w:val="24"/>
          <w:szCs w:val="24"/>
        </w:rPr>
        <w:t xml:space="preserve">that </w:t>
      </w:r>
      <w:r w:rsidR="004776BB">
        <w:rPr>
          <w:rFonts w:ascii="Times New Roman" w:hAnsi="Times New Roman" w:cs="Times New Roman"/>
          <w:sz w:val="24"/>
          <w:szCs w:val="24"/>
        </w:rPr>
        <w:t>may impact leucocyte number</w:t>
      </w:r>
      <w:r w:rsidR="00764081">
        <w:rPr>
          <w:rFonts w:ascii="Times New Roman" w:hAnsi="Times New Roman" w:cs="Times New Roman"/>
          <w:sz w:val="24"/>
          <w:szCs w:val="24"/>
        </w:rPr>
        <w:t>.</w:t>
      </w:r>
      <w:r w:rsidR="004776BB">
        <w:rPr>
          <w:rFonts w:ascii="Times New Roman" w:hAnsi="Times New Roman" w:cs="Times New Roman"/>
          <w:sz w:val="24"/>
          <w:szCs w:val="24"/>
        </w:rPr>
        <w:t xml:space="preserve"> </w:t>
      </w:r>
      <w:r w:rsidR="004776BB">
        <w:rPr>
          <w:rFonts w:ascii="Times New Roman" w:hAnsi="Times New Roman" w:cs="Times New Roman"/>
          <w:sz w:val="24"/>
          <w:szCs w:val="24"/>
        </w:rPr>
        <w:fldChar w:fldCharType="begin" w:fldLock="1"/>
      </w:r>
      <w:r w:rsidR="00E57474">
        <w:rPr>
          <w:rFonts w:ascii="Times New Roman" w:hAnsi="Times New Roman" w:cs="Times New Roman"/>
          <w:sz w:val="24"/>
          <w:szCs w:val="24"/>
        </w:rPr>
        <w:instrText>ADDIN CSL_CITATION {"citationItems":[{"id":"ITEM-1","itemData":{"ISSN":"0009-9147 (Print)","PMID":"4064300","author":[{"dropping-particle":"","family":"Anderson","given":"S H","non-dropping-particle":"","parse-names":false,"suffix":""},{"dropping-particle":"","family":"Nicol","given":"A D","non-dropping-particle":"","parse-names":false,"suffix":""}],"container-title":"Clinical chemistry","id":"ITEM-1","issue":"12","issued":{"date-parts":[["1985","12"]]},"language":"eng","page":"2044","publisher-place":"England","title":"Kinetic transketolase assay: use of whole-blood hemolysate as the sample.","type":"article","volume":"31"},"uris":["http://www.mendeley.com/documents/?uuid=5b414ef0-269c-4dc4-99d6-375c56f8d6d6"]}],"mendeley":{"formattedCitation":"&lt;sup&gt;24&lt;/sup&gt;","plainTextFormattedCitation":"24","previouslyFormattedCitation":"&lt;sup&gt;24&lt;/sup&gt;"},"properties":{"noteIndex":0},"schema":"https://github.com/citation-style-language/schema/raw/master/csl-citation.json"}</w:instrText>
      </w:r>
      <w:r w:rsidR="004776BB">
        <w:rPr>
          <w:rFonts w:ascii="Times New Roman" w:hAnsi="Times New Roman" w:cs="Times New Roman"/>
          <w:sz w:val="24"/>
          <w:szCs w:val="24"/>
        </w:rPr>
        <w:fldChar w:fldCharType="separate"/>
      </w:r>
      <w:r w:rsidR="00016D44" w:rsidRPr="00016D44">
        <w:rPr>
          <w:rFonts w:ascii="Times New Roman" w:hAnsi="Times New Roman" w:cs="Times New Roman"/>
          <w:noProof/>
          <w:sz w:val="24"/>
          <w:szCs w:val="24"/>
          <w:vertAlign w:val="superscript"/>
        </w:rPr>
        <w:t>24</w:t>
      </w:r>
      <w:r w:rsidR="004776BB">
        <w:rPr>
          <w:rFonts w:ascii="Times New Roman" w:hAnsi="Times New Roman" w:cs="Times New Roman"/>
          <w:sz w:val="24"/>
          <w:szCs w:val="24"/>
        </w:rPr>
        <w:fldChar w:fldCharType="end"/>
      </w:r>
      <w:r w:rsidR="004776BB">
        <w:rPr>
          <w:rFonts w:ascii="Times New Roman" w:hAnsi="Times New Roman" w:cs="Times New Roman"/>
          <w:sz w:val="24"/>
          <w:szCs w:val="24"/>
        </w:rPr>
        <w:t xml:space="preserve">  </w:t>
      </w:r>
    </w:p>
    <w:p w14:paraId="648C9E65" w14:textId="72D34547" w:rsidR="00DB14BC" w:rsidRDefault="00DB14BC" w:rsidP="00764081">
      <w:pPr>
        <w:spacing w:line="276" w:lineRule="auto"/>
        <w:rPr>
          <w:rFonts w:ascii="Times New Roman" w:hAnsi="Times New Roman" w:cs="Times New Roman"/>
          <w:sz w:val="24"/>
          <w:szCs w:val="24"/>
        </w:rPr>
      </w:pPr>
      <w:r>
        <w:rPr>
          <w:rFonts w:ascii="Times New Roman" w:hAnsi="Times New Roman" w:cs="Times New Roman"/>
          <w:sz w:val="24"/>
          <w:szCs w:val="24"/>
        </w:rPr>
        <w:t xml:space="preserve">Whole blood collected in blood tubes containing </w:t>
      </w:r>
      <w:r w:rsidR="00B2295E">
        <w:rPr>
          <w:rFonts w:ascii="Times New Roman" w:hAnsi="Times New Roman" w:cs="Times New Roman"/>
          <w:sz w:val="24"/>
          <w:szCs w:val="24"/>
        </w:rPr>
        <w:t xml:space="preserve">either </w:t>
      </w:r>
      <w:r>
        <w:rPr>
          <w:rFonts w:ascii="Times New Roman" w:hAnsi="Times New Roman" w:cs="Times New Roman"/>
          <w:sz w:val="24"/>
          <w:szCs w:val="24"/>
        </w:rPr>
        <w:t>lithium heparin (LH) or e</w:t>
      </w:r>
      <w:r w:rsidRPr="00A3243B">
        <w:rPr>
          <w:rFonts w:ascii="Times New Roman" w:hAnsi="Times New Roman" w:cs="Times New Roman"/>
          <w:sz w:val="24"/>
          <w:szCs w:val="24"/>
        </w:rPr>
        <w:t>thylenediaminetetraacetic acid</w:t>
      </w:r>
      <w:r w:rsidRPr="00CB3ECF">
        <w:rPr>
          <w:rFonts w:ascii="Times New Roman" w:hAnsi="Times New Roman" w:cs="Times New Roman"/>
          <w:sz w:val="24"/>
          <w:szCs w:val="24"/>
        </w:rPr>
        <w:t xml:space="preserve"> </w:t>
      </w:r>
      <w:r>
        <w:rPr>
          <w:rFonts w:ascii="Times New Roman" w:hAnsi="Times New Roman" w:cs="Times New Roman"/>
          <w:sz w:val="24"/>
          <w:szCs w:val="24"/>
        </w:rPr>
        <w:t>(</w:t>
      </w:r>
      <w:r w:rsidRPr="00CB3ECF">
        <w:rPr>
          <w:rFonts w:ascii="Times New Roman" w:hAnsi="Times New Roman" w:cs="Times New Roman"/>
          <w:sz w:val="24"/>
          <w:szCs w:val="24"/>
        </w:rPr>
        <w:t>EDTA</w:t>
      </w:r>
      <w:r>
        <w:rPr>
          <w:rFonts w:ascii="Times New Roman" w:hAnsi="Times New Roman" w:cs="Times New Roman"/>
          <w:sz w:val="24"/>
          <w:szCs w:val="24"/>
        </w:rPr>
        <w:t>)</w:t>
      </w:r>
      <w:r w:rsidRPr="00CB3ECF">
        <w:rPr>
          <w:rFonts w:ascii="Times New Roman" w:hAnsi="Times New Roman" w:cs="Times New Roman"/>
          <w:sz w:val="24"/>
          <w:szCs w:val="24"/>
        </w:rPr>
        <w:t xml:space="preserve"> </w:t>
      </w:r>
      <w:r>
        <w:rPr>
          <w:rFonts w:ascii="Times New Roman" w:hAnsi="Times New Roman" w:cs="Times New Roman"/>
          <w:sz w:val="24"/>
          <w:szCs w:val="24"/>
        </w:rPr>
        <w:t xml:space="preserve">anti-coagulant </w:t>
      </w:r>
      <w:r w:rsidRPr="00CB3ECF">
        <w:rPr>
          <w:rFonts w:ascii="Times New Roman" w:hAnsi="Times New Roman" w:cs="Times New Roman"/>
          <w:sz w:val="24"/>
          <w:szCs w:val="24"/>
        </w:rPr>
        <w:t xml:space="preserve">can be used as the starting sample for </w:t>
      </w:r>
      <w:r w:rsidRPr="00CB3ECF">
        <w:rPr>
          <w:rFonts w:ascii="Times New Roman" w:hAnsi="Times New Roman" w:cs="Times New Roman"/>
          <w:sz w:val="24"/>
          <w:szCs w:val="24"/>
        </w:rPr>
        <w:lastRenderedPageBreak/>
        <w:t>the preparation of washed erythrocytes. Agreement in our own laboratory</w:t>
      </w:r>
      <w:r>
        <w:rPr>
          <w:rFonts w:ascii="Times New Roman" w:hAnsi="Times New Roman" w:cs="Times New Roman"/>
          <w:sz w:val="24"/>
          <w:szCs w:val="24"/>
        </w:rPr>
        <w:t xml:space="preserve"> between the two sample types is</w:t>
      </w:r>
      <w:r w:rsidRPr="00CB3ECF">
        <w:rPr>
          <w:rFonts w:ascii="Times New Roman" w:hAnsi="Times New Roman" w:cs="Times New Roman"/>
          <w:sz w:val="24"/>
          <w:szCs w:val="24"/>
        </w:rPr>
        <w:t xml:space="preserve"> </w:t>
      </w:r>
      <w:r w:rsidRPr="00E35435">
        <w:rPr>
          <w:rFonts w:ascii="Times New Roman" w:hAnsi="Times New Roman" w:cs="Times New Roman"/>
          <w:sz w:val="24"/>
          <w:szCs w:val="24"/>
        </w:rPr>
        <w:t xml:space="preserve">shown in </w:t>
      </w:r>
      <w:r w:rsidRPr="00E35435">
        <w:rPr>
          <w:rFonts w:ascii="Times New Roman" w:hAnsi="Times New Roman" w:cs="Times New Roman"/>
          <w:b/>
          <w:sz w:val="24"/>
          <w:szCs w:val="24"/>
        </w:rPr>
        <w:t xml:space="preserve">Figure </w:t>
      </w:r>
      <w:r w:rsidR="0063044A" w:rsidRPr="00E35435">
        <w:rPr>
          <w:rFonts w:ascii="Times New Roman" w:hAnsi="Times New Roman" w:cs="Times New Roman"/>
          <w:b/>
          <w:sz w:val="24"/>
          <w:szCs w:val="24"/>
        </w:rPr>
        <w:t>2</w:t>
      </w:r>
      <w:r w:rsidRPr="00E35435">
        <w:rPr>
          <w:rFonts w:ascii="Times New Roman" w:hAnsi="Times New Roman" w:cs="Times New Roman"/>
          <w:sz w:val="24"/>
          <w:szCs w:val="24"/>
        </w:rPr>
        <w:t>.</w:t>
      </w:r>
      <w:r w:rsidRPr="00CB3ECF">
        <w:rPr>
          <w:rFonts w:ascii="Times New Roman" w:hAnsi="Times New Roman" w:cs="Times New Roman"/>
          <w:sz w:val="24"/>
          <w:szCs w:val="24"/>
        </w:rPr>
        <w:t xml:space="preserve"> </w:t>
      </w:r>
    </w:p>
    <w:p w14:paraId="2AB6B399" w14:textId="77777777" w:rsidR="00764081" w:rsidRPr="00764081" w:rsidRDefault="001B721B" w:rsidP="00DA3FAD">
      <w:pPr>
        <w:pStyle w:val="ListParagraph"/>
        <w:numPr>
          <w:ilvl w:val="0"/>
          <w:numId w:val="30"/>
        </w:numPr>
        <w:spacing w:line="276" w:lineRule="auto"/>
        <w:ind w:left="714" w:hanging="357"/>
        <w:contextualSpacing w:val="0"/>
        <w:rPr>
          <w:rFonts w:ascii="Times New Roman" w:hAnsi="Times New Roman" w:cs="Times New Roman"/>
          <w:b/>
          <w:sz w:val="24"/>
          <w:szCs w:val="24"/>
        </w:rPr>
      </w:pPr>
      <w:r w:rsidRPr="00764081">
        <w:rPr>
          <w:rFonts w:ascii="Times New Roman" w:hAnsi="Times New Roman" w:cs="Times New Roman"/>
          <w:b/>
          <w:sz w:val="24"/>
          <w:szCs w:val="24"/>
        </w:rPr>
        <w:t>Sample s</w:t>
      </w:r>
      <w:r w:rsidR="00764081">
        <w:rPr>
          <w:rFonts w:ascii="Times New Roman" w:hAnsi="Times New Roman" w:cs="Times New Roman"/>
          <w:b/>
          <w:sz w:val="24"/>
          <w:szCs w:val="24"/>
        </w:rPr>
        <w:t>tability</w:t>
      </w:r>
    </w:p>
    <w:p w14:paraId="3D19A912" w14:textId="40A78DB7" w:rsidR="00C524EC" w:rsidRPr="00C524EC" w:rsidRDefault="00C524EC" w:rsidP="00764081">
      <w:pPr>
        <w:spacing w:line="276" w:lineRule="auto"/>
        <w:rPr>
          <w:rFonts w:ascii="Times New Roman" w:hAnsi="Times New Roman" w:cs="Times New Roman"/>
          <w:sz w:val="24"/>
          <w:szCs w:val="24"/>
        </w:rPr>
      </w:pPr>
      <w:r>
        <w:rPr>
          <w:rFonts w:ascii="Times New Roman" w:hAnsi="Times New Roman" w:cs="Times New Roman"/>
          <w:sz w:val="24"/>
          <w:szCs w:val="24"/>
        </w:rPr>
        <w:t xml:space="preserve">A small number of studies have investigated the stability of ETK activity and ETKAC across a number of analytical stages </w:t>
      </w:r>
      <w:r w:rsidR="007D7106">
        <w:rPr>
          <w:rFonts w:ascii="Times New Roman" w:hAnsi="Times New Roman" w:cs="Times New Roman"/>
          <w:sz w:val="24"/>
          <w:szCs w:val="24"/>
        </w:rPr>
        <w:t xml:space="preserve">including in whole blood and </w:t>
      </w:r>
      <w:r>
        <w:rPr>
          <w:rFonts w:ascii="Times New Roman" w:hAnsi="Times New Roman" w:cs="Times New Roman"/>
          <w:sz w:val="24"/>
          <w:szCs w:val="24"/>
        </w:rPr>
        <w:t>hemolysates</w:t>
      </w:r>
      <w:r w:rsidR="007D7106">
        <w:rPr>
          <w:rFonts w:ascii="Times New Roman" w:hAnsi="Times New Roman" w:cs="Times New Roman"/>
          <w:sz w:val="24"/>
          <w:szCs w:val="24"/>
        </w:rPr>
        <w:t>,</w:t>
      </w:r>
      <w:r>
        <w:rPr>
          <w:rFonts w:ascii="Times New Roman" w:hAnsi="Times New Roman" w:cs="Times New Roman"/>
          <w:sz w:val="24"/>
          <w:szCs w:val="24"/>
        </w:rPr>
        <w:t xml:space="preserve"> and at a range of temperatures from refrigeration at 4 </w:t>
      </w:r>
      <w:r w:rsidR="009925A8" w:rsidRPr="00CB3ECF">
        <w:rPr>
          <w:rFonts w:ascii="Times New Roman" w:hAnsi="Times New Roman" w:cs="Times New Roman"/>
          <w:sz w:val="24"/>
          <w:szCs w:val="24"/>
        </w:rPr>
        <w:t>°C</w:t>
      </w:r>
      <w:r w:rsidR="009925A8">
        <w:rPr>
          <w:rFonts w:ascii="Times New Roman" w:hAnsi="Times New Roman" w:cs="Times New Roman"/>
          <w:sz w:val="24"/>
          <w:szCs w:val="24"/>
        </w:rPr>
        <w:t xml:space="preserve"> </w:t>
      </w:r>
      <w:r>
        <w:rPr>
          <w:rFonts w:ascii="Times New Roman" w:hAnsi="Times New Roman" w:cs="Times New Roman"/>
          <w:sz w:val="24"/>
          <w:szCs w:val="24"/>
        </w:rPr>
        <w:t>to frozen storage at -20</w:t>
      </w:r>
      <w:r w:rsidR="009925A8">
        <w:rPr>
          <w:rFonts w:ascii="Times New Roman" w:hAnsi="Times New Roman" w:cs="Times New Roman"/>
          <w:sz w:val="24"/>
          <w:szCs w:val="24"/>
        </w:rPr>
        <w:t xml:space="preserve"> </w:t>
      </w:r>
      <w:r w:rsidR="009925A8" w:rsidRPr="00CB3ECF">
        <w:rPr>
          <w:rFonts w:ascii="Times New Roman" w:hAnsi="Times New Roman" w:cs="Times New Roman"/>
          <w:sz w:val="24"/>
          <w:szCs w:val="24"/>
        </w:rPr>
        <w:t>°C</w:t>
      </w:r>
      <w:r>
        <w:rPr>
          <w:rFonts w:ascii="Times New Roman" w:hAnsi="Times New Roman" w:cs="Times New Roman"/>
          <w:sz w:val="24"/>
          <w:szCs w:val="24"/>
        </w:rPr>
        <w:t xml:space="preserve"> and -70</w:t>
      </w:r>
      <w:r w:rsidR="009925A8">
        <w:rPr>
          <w:rFonts w:ascii="Times New Roman" w:hAnsi="Times New Roman" w:cs="Times New Roman"/>
          <w:sz w:val="24"/>
          <w:szCs w:val="24"/>
        </w:rPr>
        <w:t xml:space="preserve"> </w:t>
      </w:r>
      <w:r w:rsidR="009925A8" w:rsidRPr="00CB3ECF">
        <w:rPr>
          <w:rFonts w:ascii="Times New Roman" w:hAnsi="Times New Roman" w:cs="Times New Roman"/>
          <w:sz w:val="24"/>
          <w:szCs w:val="24"/>
        </w:rPr>
        <w:t>°C</w:t>
      </w:r>
      <w:r w:rsidR="007D7106">
        <w:rPr>
          <w:rFonts w:ascii="Times New Roman" w:hAnsi="Times New Roman" w:cs="Times New Roman"/>
          <w:sz w:val="24"/>
          <w:szCs w:val="24"/>
        </w:rPr>
        <w:t>,</w:t>
      </w:r>
      <w:r w:rsidR="009925A8">
        <w:rPr>
          <w:rFonts w:ascii="Times New Roman" w:hAnsi="Times New Roman" w:cs="Times New Roman"/>
          <w:sz w:val="24"/>
          <w:szCs w:val="24"/>
        </w:rPr>
        <w:t xml:space="preserve"> </w:t>
      </w:r>
      <w:r>
        <w:rPr>
          <w:rFonts w:ascii="Times New Roman" w:hAnsi="Times New Roman" w:cs="Times New Roman"/>
          <w:sz w:val="24"/>
          <w:szCs w:val="24"/>
        </w:rPr>
        <w:t xml:space="preserve">possibly reflecting the availability of cold storage in different clinical and field site settings. </w:t>
      </w:r>
    </w:p>
    <w:p w14:paraId="3E14B4DF" w14:textId="75AB0632" w:rsidR="00A368CD" w:rsidRPr="00764081" w:rsidRDefault="00A368CD" w:rsidP="00764081">
      <w:pPr>
        <w:spacing w:line="276" w:lineRule="auto"/>
        <w:rPr>
          <w:rFonts w:ascii="Times New Roman" w:hAnsi="Times New Roman" w:cs="Times New Roman"/>
          <w:i/>
          <w:sz w:val="24"/>
          <w:szCs w:val="24"/>
        </w:rPr>
      </w:pPr>
      <w:r w:rsidRPr="00764081">
        <w:rPr>
          <w:rFonts w:ascii="Times New Roman" w:hAnsi="Times New Roman" w:cs="Times New Roman"/>
          <w:i/>
          <w:sz w:val="24"/>
          <w:szCs w:val="24"/>
        </w:rPr>
        <w:t>Whole blood</w:t>
      </w:r>
    </w:p>
    <w:p w14:paraId="3B6BA302" w14:textId="20396513" w:rsidR="0065450B" w:rsidRPr="00CB3ECF" w:rsidRDefault="000A20D1" w:rsidP="00764081">
      <w:pPr>
        <w:spacing w:line="276" w:lineRule="auto"/>
        <w:rPr>
          <w:rFonts w:ascii="Times New Roman" w:hAnsi="Times New Roman" w:cs="Times New Roman"/>
          <w:sz w:val="24"/>
          <w:szCs w:val="24"/>
        </w:rPr>
      </w:pPr>
      <w:r w:rsidRPr="00CB3ECF">
        <w:rPr>
          <w:rFonts w:ascii="Times New Roman" w:hAnsi="Times New Roman" w:cs="Times New Roman"/>
          <w:sz w:val="24"/>
          <w:szCs w:val="24"/>
        </w:rPr>
        <w:t>In whole blood</w:t>
      </w:r>
      <w:r w:rsidR="0065450B" w:rsidRPr="00CB3ECF">
        <w:rPr>
          <w:rFonts w:ascii="Times New Roman" w:hAnsi="Times New Roman" w:cs="Times New Roman"/>
          <w:sz w:val="24"/>
          <w:szCs w:val="24"/>
        </w:rPr>
        <w:t xml:space="preserve"> kept at 4</w:t>
      </w:r>
      <w:r w:rsidR="00D82476">
        <w:rPr>
          <w:rFonts w:ascii="Times New Roman" w:hAnsi="Times New Roman" w:cs="Times New Roman"/>
          <w:sz w:val="24"/>
          <w:szCs w:val="24"/>
        </w:rPr>
        <w:t> </w:t>
      </w:r>
      <w:r w:rsidR="0065450B" w:rsidRPr="00CB3ECF">
        <w:rPr>
          <w:rFonts w:ascii="Times New Roman" w:hAnsi="Times New Roman" w:cs="Times New Roman"/>
          <w:sz w:val="24"/>
          <w:szCs w:val="24"/>
        </w:rPr>
        <w:t>°C</w:t>
      </w:r>
      <w:r w:rsidR="001619D1">
        <w:rPr>
          <w:rFonts w:ascii="Times New Roman" w:hAnsi="Times New Roman" w:cs="Times New Roman"/>
          <w:sz w:val="24"/>
          <w:szCs w:val="24"/>
        </w:rPr>
        <w:t xml:space="preserve"> or at room temperature</w:t>
      </w:r>
      <w:r w:rsidR="0065450B" w:rsidRPr="00CB3ECF">
        <w:rPr>
          <w:rFonts w:ascii="Times New Roman" w:hAnsi="Times New Roman" w:cs="Times New Roman"/>
          <w:sz w:val="24"/>
          <w:szCs w:val="24"/>
        </w:rPr>
        <w:t xml:space="preserve">, ETKAC was stable for </w:t>
      </w:r>
      <w:r w:rsidR="001619D1">
        <w:rPr>
          <w:rFonts w:ascii="Times New Roman" w:hAnsi="Times New Roman" w:cs="Times New Roman"/>
          <w:sz w:val="24"/>
          <w:szCs w:val="24"/>
        </w:rPr>
        <w:t xml:space="preserve">up </w:t>
      </w:r>
      <w:r w:rsidR="0065450B" w:rsidRPr="00CB3ECF">
        <w:rPr>
          <w:rFonts w:ascii="Times New Roman" w:hAnsi="Times New Roman" w:cs="Times New Roman"/>
          <w:sz w:val="24"/>
          <w:szCs w:val="24"/>
        </w:rPr>
        <w:t xml:space="preserve">24 </w:t>
      </w:r>
      <w:r w:rsidR="00764081">
        <w:rPr>
          <w:rFonts w:ascii="Times New Roman" w:hAnsi="Times New Roman" w:cs="Times New Roman"/>
          <w:sz w:val="24"/>
          <w:szCs w:val="24"/>
        </w:rPr>
        <w:t>h</w:t>
      </w:r>
      <w:r w:rsidR="001619D1">
        <w:rPr>
          <w:rFonts w:ascii="Times New Roman" w:hAnsi="Times New Roman" w:cs="Times New Roman"/>
          <w:sz w:val="24"/>
          <w:szCs w:val="24"/>
        </w:rPr>
        <w:t>, decreasing</w:t>
      </w:r>
      <w:r w:rsidR="0065450B" w:rsidRPr="00CB3ECF">
        <w:rPr>
          <w:rFonts w:ascii="Times New Roman" w:hAnsi="Times New Roman" w:cs="Times New Roman"/>
          <w:sz w:val="24"/>
          <w:szCs w:val="24"/>
        </w:rPr>
        <w:t xml:space="preserve"> </w:t>
      </w:r>
      <w:r w:rsidR="001619D1">
        <w:rPr>
          <w:rFonts w:ascii="Times New Roman" w:hAnsi="Times New Roman" w:cs="Times New Roman"/>
          <w:sz w:val="24"/>
          <w:szCs w:val="24"/>
        </w:rPr>
        <w:t>thereafter</w:t>
      </w:r>
      <w:r w:rsidR="00764081">
        <w:rPr>
          <w:rFonts w:ascii="Times New Roman" w:hAnsi="Times New Roman" w:cs="Times New Roman"/>
          <w:sz w:val="24"/>
          <w:szCs w:val="24"/>
        </w:rPr>
        <w:t xml:space="preserve">; </w:t>
      </w:r>
      <w:r w:rsidR="001619D1">
        <w:rPr>
          <w:rFonts w:ascii="Times New Roman" w:hAnsi="Times New Roman" w:cs="Times New Roman"/>
          <w:sz w:val="24"/>
          <w:szCs w:val="24"/>
        </w:rPr>
        <w:fldChar w:fldCharType="begin" w:fldLock="1"/>
      </w:r>
      <w:r w:rsidR="00E57474">
        <w:rPr>
          <w:rFonts w:ascii="Times New Roman" w:hAnsi="Times New Roman" w:cs="Times New Roman"/>
          <w:sz w:val="24"/>
          <w:szCs w:val="24"/>
        </w:rPr>
        <w:instrText>ADDIN CSL_CITATION {"citationItems":[{"id":"ITEM-1","itemData":{"DOI":"10.1177/000456328602300207","ISSN":"0004-5632 (Print)","PMID":"3767264","abstract":"A method for measuring erythrocyte transketolase activity (ETKA) is described that  is precise, economical of reagents and capable of high throughput with partial or full automation. The transketolase-dependent transformation of ribose-5-phosphate, yielding glyceraldehyde-3-phosphate, is linked via 'indicator enzymes' to glycerol production and NADH consumption, the latter being followed fluorimetrically. Conditions under which ETKA and 'TPP Effect' are derived have been examined and optimised. Values are comparable with those obtained by other methods but a relatively narrow adult reference range for ETKA is observed. Data are presented for optimal preparation and storage of samples.","author":[{"dropping-particle":"","family":"Anderson","given":"S H","non-dropping-particle":"","parse-names":false,"suffix":""},{"dropping-particle":"","family":"Nicol","given":"A D","non-dropping-particle":"","parse-names":false,"suffix":""}],"container-title":"Annals of clinical biochemistry","id":"ITEM-1","issued":{"date-parts":[["1986","3"]]},"language":"eng","page":"180-189","publisher-place":"England","title":"A fluorimetric method for measurement of erythrocyte transketolase activity.","type":"article-journal","volume":"23 ( Pt 2)"},"uris":["http://www.mendeley.com/documents/?uuid=f34901c0-73fb-41f1-af52-9f4c2ecb28ac"]},{"id":"ITEM-2","itemData":{"DOI":"10.1177/000456328502200417","ISSN":"0004-5632 (Print)","PMID":"4037670","abstract":"Whole blood and washed erythrocytes from nutritionally normal and abnormal elderly  patients were stored at room temperature, 4 degrees C and -20 degrees C for up to 14 days. In both groups, and under all storage conditions, the erythrocyte transketolase (ETK) activity and the thiamine pyrophosphate (TPP) effect decreased with time of storage. The ETK activity for specimens stored at -20 degrees C decreased significantly by day 14 (P less than 0.05). The TPP effect in specimens stored at -20 degrees C decreased significantly in the nutritionally abnormal group at 4 days (P less than 0.05) and in the nutritionally normal group by day 14 (P less than 0.05). These significant changes in ETK activity and TPP effect with storage can lead to misleading interpretation of thiamine nutritional status.","author":[{"dropping-particle":"","family":"Puxty","given":"J A","non-dropping-particle":"","parse-names":false,"suffix":""},{"dropping-particle":"","family":"Haskew","given":"A E","non-dropping-particle":"","parse-names":false,"suffix":""},{"dropping-particle":"","family":"Ratcliffe","given":"J G","non-dropping-particle":"","parse-names":false,"suffix":""},{"dropping-particle":"","family":"McMurray","given":"J","non-dropping-particle":"","parse-names":false,"suffix":""}],"container-title":"Annals of clinical biochemistry","id":"ITEM-2","issued":{"date-parts":[["1985","7"]]},"language":"eng","page":"423-427","publisher-place":"England","title":"Changes in erythrocyte transketolase activity and the thiamine pyrophosphate effect  during storage of blood.","type":"article-journal","volume":"22 ( Pt 4)"},"uris":["http://www.mendeley.com/documents/?uuid=b04cfe1f-8f85-4c40-a5f6-c9fe773f55e8"]}],"mendeley":{"formattedCitation":"&lt;sup&gt;25,26&lt;/sup&gt;","plainTextFormattedCitation":"25,26","previouslyFormattedCitation":"&lt;sup&gt;25,26&lt;/sup&gt;"},"properties":{"noteIndex":0},"schema":"https://github.com/citation-style-language/schema/raw/master/csl-citation.json"}</w:instrText>
      </w:r>
      <w:r w:rsidR="001619D1">
        <w:rPr>
          <w:rFonts w:ascii="Times New Roman" w:hAnsi="Times New Roman" w:cs="Times New Roman"/>
          <w:sz w:val="24"/>
          <w:szCs w:val="24"/>
        </w:rPr>
        <w:fldChar w:fldCharType="separate"/>
      </w:r>
      <w:r w:rsidR="00016D44" w:rsidRPr="00016D44">
        <w:rPr>
          <w:rFonts w:ascii="Times New Roman" w:hAnsi="Times New Roman" w:cs="Times New Roman"/>
          <w:noProof/>
          <w:sz w:val="24"/>
          <w:szCs w:val="24"/>
          <w:vertAlign w:val="superscript"/>
        </w:rPr>
        <w:t>25,26</w:t>
      </w:r>
      <w:r w:rsidR="001619D1">
        <w:rPr>
          <w:rFonts w:ascii="Times New Roman" w:hAnsi="Times New Roman" w:cs="Times New Roman"/>
          <w:sz w:val="24"/>
          <w:szCs w:val="24"/>
        </w:rPr>
        <w:fldChar w:fldCharType="end"/>
      </w:r>
      <w:r w:rsidR="0065450B" w:rsidRPr="00CB3ECF">
        <w:rPr>
          <w:rFonts w:ascii="Times New Roman" w:hAnsi="Times New Roman" w:cs="Times New Roman"/>
          <w:sz w:val="24"/>
          <w:szCs w:val="24"/>
        </w:rPr>
        <w:t xml:space="preserve"> however, basal activity was </w:t>
      </w:r>
      <w:r w:rsidR="00764081">
        <w:rPr>
          <w:rFonts w:ascii="Times New Roman" w:hAnsi="Times New Roman" w:cs="Times New Roman"/>
          <w:sz w:val="24"/>
          <w:szCs w:val="24"/>
        </w:rPr>
        <w:t xml:space="preserve">reportedly </w:t>
      </w:r>
      <w:r w:rsidR="0065450B" w:rsidRPr="00CB3ECF">
        <w:rPr>
          <w:rFonts w:ascii="Times New Roman" w:hAnsi="Times New Roman" w:cs="Times New Roman"/>
          <w:sz w:val="24"/>
          <w:szCs w:val="24"/>
        </w:rPr>
        <w:t>stable for up to 4 d</w:t>
      </w:r>
      <w:r w:rsidR="00764081">
        <w:rPr>
          <w:rFonts w:ascii="Times New Roman" w:hAnsi="Times New Roman" w:cs="Times New Roman"/>
          <w:sz w:val="24"/>
          <w:szCs w:val="24"/>
        </w:rPr>
        <w:t>.</w:t>
      </w:r>
      <w:r w:rsidR="0065450B" w:rsidRPr="00CB3ECF">
        <w:rPr>
          <w:rFonts w:ascii="Times New Roman" w:hAnsi="Times New Roman" w:cs="Times New Roman"/>
          <w:sz w:val="24"/>
          <w:szCs w:val="24"/>
        </w:rPr>
        <w:fldChar w:fldCharType="begin" w:fldLock="1"/>
      </w:r>
      <w:r w:rsidR="00E57474">
        <w:rPr>
          <w:rFonts w:ascii="Times New Roman" w:hAnsi="Times New Roman" w:cs="Times New Roman"/>
          <w:sz w:val="24"/>
          <w:szCs w:val="24"/>
        </w:rPr>
        <w:instrText>ADDIN CSL_CITATION {"citationItems":[{"id":"ITEM-1","itemData":{"DOI":"10.1177/000456328602300207","ISSN":"0004-5632 (Print)","PMID":"3767264","abstract":"A method for measuring erythrocyte transketolase activity (ETKA) is described that  is precise, economical of reagents and capable of high throughput with partial or full automation. The transketolase-dependent transformation of ribose-5-phosphate, yielding glyceraldehyde-3-phosphate, is linked via 'indicator enzymes' to glycerol production and NADH consumption, the latter being followed fluorimetrically. Conditions under which ETKA and 'TPP Effect' are derived have been examined and optimised. Values are comparable with those obtained by other methods but a relatively narrow adult reference range for ETKA is observed. Data are presented for optimal preparation and storage of samples.","author":[{"dropping-particle":"","family":"Anderson","given":"S H","non-dropping-particle":"","parse-names":false,"suffix":""},{"dropping-particle":"","family":"Nicol","given":"A D","non-dropping-particle":"","parse-names":false,"suffix":""}],"container-title":"Annals of clinical biochemistry","id":"ITEM-1","issued":{"date-parts":[["1986","3"]]},"language":"eng","page":"180-189","publisher-place":"England","title":"A fluorimetric method for measurement of erythrocyte transketolase activity.","type":"article-journal","volume":"23 ( Pt 2)"},"uris":["http://www.mendeley.com/documents/?uuid=f34901c0-73fb-41f1-af52-9f4c2ecb28ac"]}],"mendeley":{"formattedCitation":"&lt;sup&gt;25&lt;/sup&gt;","plainTextFormattedCitation":"25","previouslyFormattedCitation":"&lt;sup&gt;25&lt;/sup&gt;"},"properties":{"noteIndex":0},"schema":"https://github.com/citation-style-language/schema/raw/master/csl-citation.json"}</w:instrText>
      </w:r>
      <w:r w:rsidR="0065450B" w:rsidRPr="00CB3ECF">
        <w:rPr>
          <w:rFonts w:ascii="Times New Roman" w:hAnsi="Times New Roman" w:cs="Times New Roman"/>
          <w:sz w:val="24"/>
          <w:szCs w:val="24"/>
        </w:rPr>
        <w:fldChar w:fldCharType="separate"/>
      </w:r>
      <w:r w:rsidR="00016D44" w:rsidRPr="00016D44">
        <w:rPr>
          <w:rFonts w:ascii="Times New Roman" w:hAnsi="Times New Roman" w:cs="Times New Roman"/>
          <w:noProof/>
          <w:sz w:val="24"/>
          <w:szCs w:val="24"/>
          <w:vertAlign w:val="superscript"/>
        </w:rPr>
        <w:t>25</w:t>
      </w:r>
      <w:r w:rsidR="0065450B" w:rsidRPr="00CB3ECF">
        <w:rPr>
          <w:rFonts w:ascii="Times New Roman" w:hAnsi="Times New Roman" w:cs="Times New Roman"/>
          <w:sz w:val="24"/>
          <w:szCs w:val="24"/>
        </w:rPr>
        <w:fldChar w:fldCharType="end"/>
      </w:r>
    </w:p>
    <w:p w14:paraId="2B594EF5" w14:textId="5FBC3D3E" w:rsidR="00681820" w:rsidRPr="00B83817" w:rsidRDefault="0065450B" w:rsidP="00764081">
      <w:pPr>
        <w:spacing w:line="276" w:lineRule="auto"/>
        <w:rPr>
          <w:rFonts w:ascii="Times New Roman" w:hAnsi="Times New Roman" w:cs="Times New Roman"/>
          <w:sz w:val="24"/>
          <w:szCs w:val="24"/>
        </w:rPr>
      </w:pPr>
      <w:r w:rsidRPr="00CB3ECF">
        <w:rPr>
          <w:rFonts w:ascii="Times New Roman" w:hAnsi="Times New Roman" w:cs="Times New Roman"/>
          <w:sz w:val="24"/>
          <w:szCs w:val="24"/>
        </w:rPr>
        <w:t>In our laboratory, whole blood samples from 15 participants kept at 4</w:t>
      </w:r>
      <w:r w:rsidR="00D82476">
        <w:rPr>
          <w:rFonts w:ascii="Times New Roman" w:hAnsi="Times New Roman" w:cs="Times New Roman"/>
          <w:sz w:val="24"/>
          <w:szCs w:val="24"/>
        </w:rPr>
        <w:t xml:space="preserve"> </w:t>
      </w:r>
      <w:r w:rsidRPr="00CB3ECF">
        <w:rPr>
          <w:rFonts w:ascii="Times New Roman" w:hAnsi="Times New Roman" w:cs="Times New Roman"/>
          <w:sz w:val="24"/>
          <w:szCs w:val="24"/>
        </w:rPr>
        <w:t xml:space="preserve">°C were also observed to be stable for 24 h with no significant change </w:t>
      </w:r>
      <w:r w:rsidR="00C524EC">
        <w:rPr>
          <w:rFonts w:ascii="Times New Roman" w:hAnsi="Times New Roman" w:cs="Times New Roman"/>
          <w:sz w:val="24"/>
          <w:szCs w:val="24"/>
        </w:rPr>
        <w:t xml:space="preserve">in ETKAC </w:t>
      </w:r>
      <w:r w:rsidR="001619D1">
        <w:rPr>
          <w:rFonts w:ascii="Times New Roman" w:hAnsi="Times New Roman" w:cs="Times New Roman"/>
          <w:sz w:val="24"/>
          <w:szCs w:val="24"/>
        </w:rPr>
        <w:t xml:space="preserve">observed </w:t>
      </w:r>
      <w:r w:rsidRPr="00CB3ECF">
        <w:rPr>
          <w:rFonts w:ascii="Times New Roman" w:hAnsi="Times New Roman" w:cs="Times New Roman"/>
          <w:sz w:val="24"/>
          <w:szCs w:val="24"/>
        </w:rPr>
        <w:t xml:space="preserve">in LH </w:t>
      </w:r>
      <w:r w:rsidR="00DB14BC" w:rsidRPr="00CB3ECF">
        <w:rPr>
          <w:rFonts w:ascii="Times New Roman" w:hAnsi="Times New Roman" w:cs="Times New Roman"/>
          <w:sz w:val="24"/>
          <w:szCs w:val="24"/>
        </w:rPr>
        <w:t xml:space="preserve">whole blood </w:t>
      </w:r>
      <w:r w:rsidRPr="00CB3ECF">
        <w:rPr>
          <w:rFonts w:ascii="Times New Roman" w:hAnsi="Times New Roman" w:cs="Times New Roman"/>
          <w:sz w:val="24"/>
          <w:szCs w:val="24"/>
        </w:rPr>
        <w:t>(</w:t>
      </w:r>
      <w:r w:rsidR="00764081">
        <w:rPr>
          <w:rFonts w:ascii="Times New Roman" w:hAnsi="Times New Roman" w:cs="Times New Roman"/>
          <w:sz w:val="24"/>
          <w:szCs w:val="24"/>
        </w:rPr>
        <w:t xml:space="preserve">% </w:t>
      </w:r>
      <w:r w:rsidRPr="00CB3ECF">
        <w:rPr>
          <w:rFonts w:ascii="Times New Roman" w:hAnsi="Times New Roman" w:cs="Times New Roman"/>
          <w:sz w:val="24"/>
          <w:szCs w:val="24"/>
        </w:rPr>
        <w:t xml:space="preserve">geometric mean </w:t>
      </w:r>
      <w:r w:rsidR="00696EA3">
        <w:rPr>
          <w:rFonts w:ascii="Times New Roman" w:hAnsi="Times New Roman" w:cs="Times New Roman"/>
          <w:sz w:val="24"/>
          <w:szCs w:val="24"/>
        </w:rPr>
        <w:t xml:space="preserve">change </w:t>
      </w:r>
      <w:r w:rsidRPr="00CB3ECF">
        <w:rPr>
          <w:rFonts w:ascii="Times New Roman" w:hAnsi="Times New Roman" w:cs="Times New Roman"/>
          <w:sz w:val="24"/>
          <w:szCs w:val="24"/>
        </w:rPr>
        <w:t xml:space="preserve">(95% confidence interval) -0.3 (-2, 2)) </w:t>
      </w:r>
      <w:r w:rsidR="00DB14BC">
        <w:rPr>
          <w:rFonts w:ascii="Times New Roman" w:hAnsi="Times New Roman" w:cs="Times New Roman"/>
          <w:sz w:val="24"/>
          <w:szCs w:val="24"/>
        </w:rPr>
        <w:t xml:space="preserve">or </w:t>
      </w:r>
      <w:r w:rsidRPr="00CB3ECF">
        <w:rPr>
          <w:rFonts w:ascii="Times New Roman" w:hAnsi="Times New Roman" w:cs="Times New Roman"/>
          <w:sz w:val="24"/>
          <w:szCs w:val="24"/>
        </w:rPr>
        <w:t xml:space="preserve"> EDTA whole blood (-1 (-3, 1) and </w:t>
      </w:r>
      <w:r w:rsidR="00B2295E">
        <w:rPr>
          <w:rFonts w:ascii="Times New Roman" w:hAnsi="Times New Roman" w:cs="Times New Roman"/>
          <w:sz w:val="24"/>
          <w:szCs w:val="24"/>
        </w:rPr>
        <w:t xml:space="preserve">showed </w:t>
      </w:r>
      <w:r w:rsidRPr="00CB3ECF">
        <w:rPr>
          <w:rFonts w:ascii="Times New Roman" w:hAnsi="Times New Roman" w:cs="Times New Roman"/>
          <w:sz w:val="24"/>
          <w:szCs w:val="24"/>
        </w:rPr>
        <w:t>good agreement (</w:t>
      </w:r>
      <w:r w:rsidRPr="00E35435">
        <w:rPr>
          <w:rFonts w:ascii="Times New Roman" w:hAnsi="Times New Roman" w:cs="Times New Roman"/>
          <w:b/>
          <w:sz w:val="24"/>
          <w:szCs w:val="24"/>
        </w:rPr>
        <w:t xml:space="preserve">Figure </w:t>
      </w:r>
      <w:r w:rsidR="0063044A" w:rsidRPr="00E35435">
        <w:rPr>
          <w:rFonts w:ascii="Times New Roman" w:hAnsi="Times New Roman" w:cs="Times New Roman"/>
          <w:b/>
          <w:sz w:val="24"/>
          <w:szCs w:val="24"/>
        </w:rPr>
        <w:t>3</w:t>
      </w:r>
      <w:r w:rsidRPr="00CB3ECF">
        <w:rPr>
          <w:rFonts w:ascii="Times New Roman" w:hAnsi="Times New Roman" w:cs="Times New Roman"/>
          <w:sz w:val="24"/>
          <w:szCs w:val="24"/>
        </w:rPr>
        <w:t>)</w:t>
      </w:r>
      <w:r w:rsidR="00764081">
        <w:rPr>
          <w:rFonts w:ascii="Times New Roman" w:hAnsi="Times New Roman" w:cs="Times New Roman"/>
          <w:sz w:val="24"/>
          <w:szCs w:val="24"/>
        </w:rPr>
        <w:t>.</w:t>
      </w:r>
    </w:p>
    <w:p w14:paraId="7F0AFC32" w14:textId="3064AE25" w:rsidR="0009675E" w:rsidRPr="00CB3ECF" w:rsidRDefault="0009675E" w:rsidP="006C26FC">
      <w:pPr>
        <w:spacing w:line="276" w:lineRule="auto"/>
        <w:rPr>
          <w:rFonts w:ascii="Times New Roman" w:hAnsi="Times New Roman" w:cs="Times New Roman"/>
          <w:i/>
          <w:sz w:val="24"/>
          <w:szCs w:val="24"/>
        </w:rPr>
      </w:pPr>
      <w:r w:rsidRPr="00CB3ECF">
        <w:rPr>
          <w:rFonts w:ascii="Times New Roman" w:hAnsi="Times New Roman" w:cs="Times New Roman"/>
          <w:i/>
          <w:sz w:val="24"/>
          <w:szCs w:val="24"/>
        </w:rPr>
        <w:t>Washed erythrocytes</w:t>
      </w:r>
    </w:p>
    <w:p w14:paraId="6379F95B" w14:textId="3AC5B81F" w:rsidR="00EC5A26" w:rsidRPr="00CB3ECF" w:rsidRDefault="0009675E" w:rsidP="006C26FC">
      <w:pPr>
        <w:spacing w:line="276" w:lineRule="auto"/>
        <w:rPr>
          <w:rFonts w:ascii="Times New Roman" w:hAnsi="Times New Roman" w:cs="Times New Roman"/>
          <w:sz w:val="24"/>
          <w:szCs w:val="24"/>
        </w:rPr>
      </w:pPr>
      <w:r w:rsidRPr="00CB3ECF">
        <w:rPr>
          <w:rFonts w:ascii="Times New Roman" w:hAnsi="Times New Roman" w:cs="Times New Roman"/>
          <w:sz w:val="24"/>
          <w:szCs w:val="24"/>
        </w:rPr>
        <w:t xml:space="preserve">Puxty </w:t>
      </w:r>
      <w:r w:rsidRPr="00E31691">
        <w:rPr>
          <w:rFonts w:ascii="Times New Roman" w:hAnsi="Times New Roman" w:cs="Times New Roman"/>
          <w:i/>
          <w:sz w:val="24"/>
          <w:szCs w:val="24"/>
        </w:rPr>
        <w:t>et al</w:t>
      </w:r>
      <w:r w:rsidR="00E31691">
        <w:rPr>
          <w:rFonts w:ascii="Times New Roman" w:hAnsi="Times New Roman" w:cs="Times New Roman"/>
          <w:sz w:val="24"/>
          <w:szCs w:val="24"/>
        </w:rPr>
        <w:t>.,</w:t>
      </w:r>
      <w:r w:rsidR="00EC5A26" w:rsidRPr="00CB3ECF">
        <w:rPr>
          <w:rFonts w:ascii="Times New Roman" w:hAnsi="Times New Roman" w:cs="Times New Roman"/>
          <w:sz w:val="24"/>
          <w:szCs w:val="24"/>
        </w:rPr>
        <w:t xml:space="preserve"> </w:t>
      </w:r>
      <w:r w:rsidRPr="00CB3ECF">
        <w:rPr>
          <w:rFonts w:ascii="Times New Roman" w:hAnsi="Times New Roman" w:cs="Times New Roman"/>
          <w:sz w:val="24"/>
          <w:szCs w:val="24"/>
        </w:rPr>
        <w:t xml:space="preserve">observed </w:t>
      </w:r>
      <w:r w:rsidR="005832E5">
        <w:rPr>
          <w:rFonts w:ascii="Times New Roman" w:hAnsi="Times New Roman" w:cs="Times New Roman"/>
          <w:sz w:val="24"/>
          <w:szCs w:val="24"/>
        </w:rPr>
        <w:t xml:space="preserve">greater deterioration of ETKAC after storage of washed erythrocytes at </w:t>
      </w:r>
      <w:r w:rsidR="005832E5" w:rsidRPr="00CB3ECF">
        <w:rPr>
          <w:rFonts w:ascii="Times New Roman" w:hAnsi="Times New Roman" w:cs="Times New Roman"/>
          <w:sz w:val="24"/>
          <w:szCs w:val="24"/>
        </w:rPr>
        <w:t>-20</w:t>
      </w:r>
      <w:r w:rsidR="00D82476">
        <w:rPr>
          <w:rFonts w:ascii="Times New Roman" w:hAnsi="Times New Roman" w:cs="Times New Roman"/>
          <w:sz w:val="24"/>
          <w:szCs w:val="24"/>
        </w:rPr>
        <w:t> </w:t>
      </w:r>
      <w:r w:rsidR="005832E5" w:rsidRPr="00CB3ECF">
        <w:rPr>
          <w:rFonts w:ascii="Times New Roman" w:hAnsi="Times New Roman" w:cs="Times New Roman"/>
          <w:sz w:val="24"/>
          <w:szCs w:val="24"/>
        </w:rPr>
        <w:t>°C</w:t>
      </w:r>
      <w:r w:rsidR="005832E5">
        <w:rPr>
          <w:rFonts w:ascii="Times New Roman" w:hAnsi="Times New Roman" w:cs="Times New Roman"/>
          <w:sz w:val="24"/>
          <w:szCs w:val="24"/>
        </w:rPr>
        <w:t xml:space="preserve"> in </w:t>
      </w:r>
      <w:r w:rsidR="00764081">
        <w:rPr>
          <w:rFonts w:ascii="Times New Roman" w:hAnsi="Times New Roman" w:cs="Times New Roman"/>
          <w:sz w:val="24"/>
          <w:szCs w:val="24"/>
        </w:rPr>
        <w:t>participants in an</w:t>
      </w:r>
      <w:r w:rsidR="009226BF" w:rsidRPr="00CB3ECF">
        <w:rPr>
          <w:rFonts w:ascii="Times New Roman" w:hAnsi="Times New Roman" w:cs="Times New Roman"/>
          <w:sz w:val="24"/>
          <w:szCs w:val="24"/>
        </w:rPr>
        <w:t xml:space="preserve"> ‘</w:t>
      </w:r>
      <w:r w:rsidR="00EC5A26" w:rsidRPr="00CB3ECF">
        <w:rPr>
          <w:rFonts w:ascii="Times New Roman" w:hAnsi="Times New Roman" w:cs="Times New Roman"/>
          <w:sz w:val="24"/>
          <w:szCs w:val="24"/>
        </w:rPr>
        <w:t xml:space="preserve">insufficient’ </w:t>
      </w:r>
      <w:r w:rsidR="009226BF" w:rsidRPr="00CB3ECF">
        <w:rPr>
          <w:rFonts w:ascii="Times New Roman" w:hAnsi="Times New Roman" w:cs="Times New Roman"/>
          <w:sz w:val="24"/>
          <w:szCs w:val="24"/>
        </w:rPr>
        <w:t xml:space="preserve">group </w:t>
      </w:r>
      <w:r w:rsidR="00EC5A26" w:rsidRPr="00CB3ECF">
        <w:rPr>
          <w:rFonts w:ascii="Times New Roman" w:hAnsi="Times New Roman" w:cs="Times New Roman"/>
          <w:sz w:val="24"/>
          <w:szCs w:val="24"/>
        </w:rPr>
        <w:t>(</w:t>
      </w:r>
      <w:r w:rsidR="009226BF" w:rsidRPr="00CB3ECF">
        <w:rPr>
          <w:rFonts w:ascii="Times New Roman" w:hAnsi="Times New Roman" w:cs="Times New Roman"/>
          <w:sz w:val="24"/>
          <w:szCs w:val="24"/>
        </w:rPr>
        <w:t xml:space="preserve">ETKAC </w:t>
      </w:r>
      <w:r w:rsidR="00EC5A26" w:rsidRPr="00CB3ECF">
        <w:rPr>
          <w:rFonts w:ascii="Times New Roman" w:hAnsi="Times New Roman" w:cs="Times New Roman"/>
          <w:sz w:val="24"/>
          <w:szCs w:val="24"/>
        </w:rPr>
        <w:t>&gt;1.15) grou</w:t>
      </w:r>
      <w:r w:rsidR="009226BF" w:rsidRPr="00CB3ECF">
        <w:rPr>
          <w:rFonts w:ascii="Times New Roman" w:hAnsi="Times New Roman" w:cs="Times New Roman"/>
          <w:sz w:val="24"/>
          <w:szCs w:val="24"/>
        </w:rPr>
        <w:t xml:space="preserve">p than </w:t>
      </w:r>
      <w:r w:rsidR="00764081">
        <w:rPr>
          <w:rFonts w:ascii="Times New Roman" w:hAnsi="Times New Roman" w:cs="Times New Roman"/>
          <w:sz w:val="24"/>
          <w:szCs w:val="24"/>
        </w:rPr>
        <w:t xml:space="preserve">in a </w:t>
      </w:r>
      <w:r w:rsidR="009226BF" w:rsidRPr="00CB3ECF">
        <w:rPr>
          <w:rFonts w:ascii="Times New Roman" w:hAnsi="Times New Roman" w:cs="Times New Roman"/>
          <w:sz w:val="24"/>
          <w:szCs w:val="24"/>
        </w:rPr>
        <w:t>sufficient group (ETKAC &lt;1.15)</w:t>
      </w:r>
      <w:r w:rsidR="00541566">
        <w:rPr>
          <w:rFonts w:ascii="Times New Roman" w:hAnsi="Times New Roman" w:cs="Times New Roman"/>
          <w:sz w:val="24"/>
          <w:szCs w:val="24"/>
        </w:rPr>
        <w:t xml:space="preserve"> and speculate this may be due to the stability of different isoenzymes</w:t>
      </w:r>
      <w:r w:rsidR="00EC5A26" w:rsidRPr="00CB3ECF">
        <w:rPr>
          <w:rFonts w:ascii="Times New Roman" w:hAnsi="Times New Roman" w:cs="Times New Roman"/>
          <w:sz w:val="24"/>
          <w:szCs w:val="24"/>
        </w:rPr>
        <w:t xml:space="preserve">. In the sufficient group, samples were stable </w:t>
      </w:r>
      <w:r w:rsidR="00207ED4">
        <w:rPr>
          <w:rFonts w:ascii="Times New Roman" w:hAnsi="Times New Roman" w:cs="Times New Roman"/>
          <w:sz w:val="24"/>
          <w:szCs w:val="24"/>
        </w:rPr>
        <w:t xml:space="preserve">for </w:t>
      </w:r>
      <w:r w:rsidR="00EC5A26" w:rsidRPr="00CB3ECF">
        <w:rPr>
          <w:rFonts w:ascii="Times New Roman" w:hAnsi="Times New Roman" w:cs="Times New Roman"/>
          <w:sz w:val="24"/>
          <w:szCs w:val="24"/>
        </w:rPr>
        <w:t xml:space="preserve">up to 14 days </w:t>
      </w:r>
      <w:r w:rsidR="009226BF" w:rsidRPr="00CB3ECF">
        <w:rPr>
          <w:rFonts w:ascii="Times New Roman" w:hAnsi="Times New Roman" w:cs="Times New Roman"/>
          <w:sz w:val="24"/>
          <w:szCs w:val="24"/>
        </w:rPr>
        <w:t>at -20</w:t>
      </w:r>
      <w:r w:rsidR="00D82476">
        <w:rPr>
          <w:rFonts w:ascii="Times New Roman" w:hAnsi="Times New Roman" w:cs="Times New Roman"/>
          <w:sz w:val="24"/>
          <w:szCs w:val="24"/>
        </w:rPr>
        <w:t> </w:t>
      </w:r>
      <w:bookmarkStart w:id="1" w:name="OLE_LINK1"/>
      <w:r w:rsidR="00811125">
        <w:rPr>
          <w:rFonts w:ascii="Times New Roman" w:hAnsi="Times New Roman" w:cs="Times New Roman"/>
          <w:sz w:val="24"/>
          <w:szCs w:val="24"/>
        </w:rPr>
        <w:t>°</w:t>
      </w:r>
      <w:bookmarkEnd w:id="1"/>
      <w:r w:rsidR="009226BF" w:rsidRPr="00CB3ECF">
        <w:rPr>
          <w:rFonts w:ascii="Times New Roman" w:hAnsi="Times New Roman" w:cs="Times New Roman"/>
          <w:sz w:val="24"/>
          <w:szCs w:val="24"/>
        </w:rPr>
        <w:t xml:space="preserve">C </w:t>
      </w:r>
      <w:r w:rsidR="00EC5A26" w:rsidRPr="00CB3ECF">
        <w:rPr>
          <w:rFonts w:ascii="Times New Roman" w:hAnsi="Times New Roman" w:cs="Times New Roman"/>
          <w:sz w:val="24"/>
          <w:szCs w:val="24"/>
        </w:rPr>
        <w:t>but</w:t>
      </w:r>
      <w:r w:rsidR="00681820">
        <w:rPr>
          <w:rFonts w:ascii="Times New Roman" w:hAnsi="Times New Roman" w:cs="Times New Roman"/>
          <w:sz w:val="24"/>
          <w:szCs w:val="24"/>
        </w:rPr>
        <w:t xml:space="preserve"> for</w:t>
      </w:r>
      <w:r w:rsidR="00764081">
        <w:rPr>
          <w:rFonts w:ascii="Times New Roman" w:hAnsi="Times New Roman" w:cs="Times New Roman"/>
          <w:sz w:val="24"/>
          <w:szCs w:val="24"/>
        </w:rPr>
        <w:t xml:space="preserve"> only 4 d</w:t>
      </w:r>
      <w:r w:rsidR="00EC5A26" w:rsidRPr="00CB3ECF">
        <w:rPr>
          <w:rFonts w:ascii="Times New Roman" w:hAnsi="Times New Roman" w:cs="Times New Roman"/>
          <w:sz w:val="24"/>
          <w:szCs w:val="24"/>
        </w:rPr>
        <w:t xml:space="preserve"> in the ‘insufficient’ </w:t>
      </w:r>
      <w:r w:rsidR="009226BF" w:rsidRPr="00CB3ECF">
        <w:rPr>
          <w:rFonts w:ascii="Times New Roman" w:hAnsi="Times New Roman" w:cs="Times New Roman"/>
          <w:sz w:val="24"/>
          <w:szCs w:val="24"/>
        </w:rPr>
        <w:t>group</w:t>
      </w:r>
      <w:r w:rsidR="00764081">
        <w:rPr>
          <w:rFonts w:ascii="Times New Roman" w:hAnsi="Times New Roman" w:cs="Times New Roman"/>
          <w:sz w:val="24"/>
          <w:szCs w:val="24"/>
        </w:rPr>
        <w:t>.</w:t>
      </w:r>
      <w:r w:rsidR="00EC5A26" w:rsidRPr="00CB3ECF">
        <w:rPr>
          <w:rFonts w:ascii="Times New Roman" w:hAnsi="Times New Roman" w:cs="Times New Roman"/>
          <w:sz w:val="24"/>
          <w:szCs w:val="24"/>
        </w:rPr>
        <w:fldChar w:fldCharType="begin" w:fldLock="1"/>
      </w:r>
      <w:r w:rsidR="00E57474">
        <w:rPr>
          <w:rFonts w:ascii="Times New Roman" w:hAnsi="Times New Roman" w:cs="Times New Roman"/>
          <w:sz w:val="24"/>
          <w:szCs w:val="24"/>
        </w:rPr>
        <w:instrText>ADDIN CSL_CITATION {"citationItems":[{"id":"ITEM-1","itemData":{"DOI":"10.1177/000456328502200417","ISSN":"0004-5632 (Print)","PMID":"4037670","abstract":"Whole blood and washed erythrocytes from nutritionally normal and abnormal elderly  patients were stored at room temperature, 4 degrees C and -20 degrees C for up to 14 days. In both groups, and under all storage conditions, the erythrocyte transketolase (ETK) activity and the thiamine pyrophosphate (TPP) effect decreased with time of storage. The ETK activity for specimens stored at -20 degrees C decreased significantly by day 14 (P less than 0.05). The TPP effect in specimens stored at -20 degrees C decreased significantly in the nutritionally abnormal group at 4 days (P less than 0.05) and in the nutritionally normal group by day 14 (P less than 0.05). These significant changes in ETK activity and TPP effect with storage can lead to misleading interpretation of thiamine nutritional status.","author":[{"dropping-particle":"","family":"Puxty","given":"J A","non-dropping-particle":"","parse-names":false,"suffix":""},{"dropping-particle":"","family":"Haskew","given":"A E","non-dropping-particle":"","parse-names":false,"suffix":""},{"dropping-particle":"","family":"Ratcliffe","given":"J G","non-dropping-particle":"","parse-names":false,"suffix":""},{"dropping-particle":"","family":"McMurray","given":"J","non-dropping-particle":"","parse-names":false,"suffix":""}],"container-title":"Annals of clinical biochemistry","id":"ITEM-1","issued":{"date-parts":[["1985","7"]]},"language":"eng","page":"423-427","publisher-place":"England","title":"Changes in erythrocyte transketolase activity and the thiamine pyrophosphate effect  during storage of blood.","type":"article-journal","volume":"22 ( Pt 4)"},"uris":["http://www.mendeley.com/documents/?uuid=b04cfe1f-8f85-4c40-a5f6-c9fe773f55e8"]}],"mendeley":{"formattedCitation":"&lt;sup&gt;26&lt;/sup&gt;","plainTextFormattedCitation":"26","previouslyFormattedCitation":"&lt;sup&gt;26&lt;/sup&gt;"},"properties":{"noteIndex":0},"schema":"https://github.com/citation-style-language/schema/raw/master/csl-citation.json"}</w:instrText>
      </w:r>
      <w:r w:rsidR="00EC5A26" w:rsidRPr="00CB3ECF">
        <w:rPr>
          <w:rFonts w:ascii="Times New Roman" w:hAnsi="Times New Roman" w:cs="Times New Roman"/>
          <w:sz w:val="24"/>
          <w:szCs w:val="24"/>
        </w:rPr>
        <w:fldChar w:fldCharType="separate"/>
      </w:r>
      <w:r w:rsidR="00016D44" w:rsidRPr="00016D44">
        <w:rPr>
          <w:rFonts w:ascii="Times New Roman" w:hAnsi="Times New Roman" w:cs="Times New Roman"/>
          <w:noProof/>
          <w:sz w:val="24"/>
          <w:szCs w:val="24"/>
          <w:vertAlign w:val="superscript"/>
        </w:rPr>
        <w:t>26</w:t>
      </w:r>
      <w:r w:rsidR="00EC5A26" w:rsidRPr="00CB3ECF">
        <w:rPr>
          <w:rFonts w:ascii="Times New Roman" w:hAnsi="Times New Roman" w:cs="Times New Roman"/>
          <w:sz w:val="24"/>
          <w:szCs w:val="24"/>
        </w:rPr>
        <w:fldChar w:fldCharType="end"/>
      </w:r>
      <w:r w:rsidR="00EC5A26" w:rsidRPr="00CB3ECF">
        <w:rPr>
          <w:rFonts w:ascii="Times New Roman" w:hAnsi="Times New Roman" w:cs="Times New Roman"/>
          <w:sz w:val="24"/>
          <w:szCs w:val="24"/>
        </w:rPr>
        <w:t xml:space="preserve"> Washed </w:t>
      </w:r>
      <w:r w:rsidR="00EC2790" w:rsidRPr="00CB3ECF">
        <w:rPr>
          <w:rFonts w:ascii="Times New Roman" w:hAnsi="Times New Roman" w:cs="Times New Roman"/>
          <w:sz w:val="24"/>
          <w:szCs w:val="24"/>
        </w:rPr>
        <w:t xml:space="preserve">erythrocytes </w:t>
      </w:r>
      <w:r w:rsidR="00B2295E">
        <w:rPr>
          <w:rFonts w:ascii="Times New Roman" w:hAnsi="Times New Roman" w:cs="Times New Roman"/>
          <w:sz w:val="24"/>
          <w:szCs w:val="24"/>
        </w:rPr>
        <w:t>stored</w:t>
      </w:r>
      <w:r w:rsidR="00EC5A26" w:rsidRPr="00CB3ECF">
        <w:rPr>
          <w:rFonts w:ascii="Times New Roman" w:hAnsi="Times New Roman" w:cs="Times New Roman"/>
          <w:sz w:val="24"/>
          <w:szCs w:val="24"/>
        </w:rPr>
        <w:t xml:space="preserve"> at 4</w:t>
      </w:r>
      <w:r w:rsidR="00D82476">
        <w:rPr>
          <w:rFonts w:ascii="Times New Roman" w:hAnsi="Times New Roman" w:cs="Times New Roman"/>
          <w:sz w:val="24"/>
          <w:szCs w:val="24"/>
        </w:rPr>
        <w:t> </w:t>
      </w:r>
      <w:r w:rsidR="005832E5" w:rsidRPr="00CB3ECF">
        <w:rPr>
          <w:rFonts w:ascii="Times New Roman" w:hAnsi="Times New Roman" w:cs="Times New Roman"/>
          <w:sz w:val="24"/>
          <w:szCs w:val="24"/>
        </w:rPr>
        <w:t>°</w:t>
      </w:r>
      <w:r w:rsidR="00EC5A26" w:rsidRPr="00CB3ECF">
        <w:rPr>
          <w:rFonts w:ascii="Times New Roman" w:hAnsi="Times New Roman" w:cs="Times New Roman"/>
          <w:sz w:val="24"/>
          <w:szCs w:val="24"/>
        </w:rPr>
        <w:t>C</w:t>
      </w:r>
      <w:r w:rsidR="00764081">
        <w:rPr>
          <w:rFonts w:ascii="Times New Roman" w:hAnsi="Times New Roman" w:cs="Times New Roman"/>
          <w:sz w:val="24"/>
          <w:szCs w:val="24"/>
        </w:rPr>
        <w:t xml:space="preserve"> were stable for less than 2 d.</w:t>
      </w:r>
      <w:r w:rsidR="00EC5A26" w:rsidRPr="00CB3ECF">
        <w:rPr>
          <w:rFonts w:ascii="Times New Roman" w:hAnsi="Times New Roman" w:cs="Times New Roman"/>
          <w:sz w:val="24"/>
          <w:szCs w:val="24"/>
        </w:rPr>
        <w:fldChar w:fldCharType="begin" w:fldLock="1"/>
      </w:r>
      <w:r w:rsidR="00E57474">
        <w:rPr>
          <w:rFonts w:ascii="Times New Roman" w:hAnsi="Times New Roman" w:cs="Times New Roman"/>
          <w:sz w:val="24"/>
          <w:szCs w:val="24"/>
        </w:rPr>
        <w:instrText>ADDIN CSL_CITATION {"citationItems":[{"id":"ITEM-1","itemData":{"DOI":"10.1177/000456328502200417","ISSN":"0004-5632 (Print)","PMID":"4037670","abstract":"Whole blood and washed erythrocytes from nutritionally normal and abnormal elderly  patients were stored at room temperature, 4 degrees C and -20 degrees C for up to 14 days. In both groups, and under all storage conditions, the erythrocyte transketolase (ETK) activity and the thiamine pyrophosphate (TPP) effect decreased with time of storage. The ETK activity for specimens stored at -20 degrees C decreased significantly by day 14 (P less than 0.05). The TPP effect in specimens stored at -20 degrees C decreased significantly in the nutritionally abnormal group at 4 days (P less than 0.05) and in the nutritionally normal group by day 14 (P less than 0.05). These significant changes in ETK activity and TPP effect with storage can lead to misleading interpretation of thiamine nutritional status.","author":[{"dropping-particle":"","family":"Puxty","given":"J A","non-dropping-particle":"","parse-names":false,"suffix":""},{"dropping-particle":"","family":"Haskew","given":"A E","non-dropping-particle":"","parse-names":false,"suffix":""},{"dropping-particle":"","family":"Ratcliffe","given":"J G","non-dropping-particle":"","parse-names":false,"suffix":""},{"dropping-particle":"","family":"McMurray","given":"J","non-dropping-particle":"","parse-names":false,"suffix":""}],"container-title":"Annals of clinical biochemistry","id":"ITEM-1","issued":{"date-parts":[["1985","7"]]},"language":"eng","page":"423-427","publisher-place":"England","title":"Changes in erythrocyte transketolase activity and the thiamine pyrophosphate effect  during storage of blood.","type":"article-journal","volume":"22 ( Pt 4)"},"uris":["http://www.mendeley.com/documents/?uuid=b04cfe1f-8f85-4c40-a5f6-c9fe773f55e8"]}],"mendeley":{"formattedCitation":"&lt;sup&gt;26&lt;/sup&gt;","plainTextFormattedCitation":"26","previouslyFormattedCitation":"&lt;sup&gt;26&lt;/sup&gt;"},"properties":{"noteIndex":0},"schema":"https://github.com/citation-style-language/schema/raw/master/csl-citation.json"}</w:instrText>
      </w:r>
      <w:r w:rsidR="00EC5A26" w:rsidRPr="00CB3ECF">
        <w:rPr>
          <w:rFonts w:ascii="Times New Roman" w:hAnsi="Times New Roman" w:cs="Times New Roman"/>
          <w:sz w:val="24"/>
          <w:szCs w:val="24"/>
        </w:rPr>
        <w:fldChar w:fldCharType="separate"/>
      </w:r>
      <w:r w:rsidR="00016D44" w:rsidRPr="00016D44">
        <w:rPr>
          <w:rFonts w:ascii="Times New Roman" w:hAnsi="Times New Roman" w:cs="Times New Roman"/>
          <w:noProof/>
          <w:sz w:val="24"/>
          <w:szCs w:val="24"/>
          <w:vertAlign w:val="superscript"/>
        </w:rPr>
        <w:t>26</w:t>
      </w:r>
      <w:r w:rsidR="00EC5A26" w:rsidRPr="00CB3ECF">
        <w:rPr>
          <w:rFonts w:ascii="Times New Roman" w:hAnsi="Times New Roman" w:cs="Times New Roman"/>
          <w:sz w:val="24"/>
          <w:szCs w:val="24"/>
        </w:rPr>
        <w:fldChar w:fldCharType="end"/>
      </w:r>
      <w:r w:rsidR="00EC5A26" w:rsidRPr="00CB3ECF">
        <w:rPr>
          <w:rFonts w:ascii="Times New Roman" w:hAnsi="Times New Roman" w:cs="Times New Roman"/>
          <w:sz w:val="24"/>
          <w:szCs w:val="24"/>
        </w:rPr>
        <w:t xml:space="preserve"> Other studies observed </w:t>
      </w:r>
      <w:r w:rsidR="00182E3B" w:rsidRPr="00CB3ECF">
        <w:rPr>
          <w:rFonts w:ascii="Times New Roman" w:hAnsi="Times New Roman" w:cs="Times New Roman"/>
          <w:sz w:val="24"/>
          <w:szCs w:val="24"/>
        </w:rPr>
        <w:t>no c</w:t>
      </w:r>
      <w:r w:rsidR="00EC5A26" w:rsidRPr="00CB3ECF">
        <w:rPr>
          <w:rFonts w:ascii="Times New Roman" w:hAnsi="Times New Roman" w:cs="Times New Roman"/>
          <w:sz w:val="24"/>
          <w:szCs w:val="24"/>
        </w:rPr>
        <w:t xml:space="preserve">onsistent </w:t>
      </w:r>
      <w:r w:rsidR="00182E3B" w:rsidRPr="00CB3ECF">
        <w:rPr>
          <w:rFonts w:ascii="Times New Roman" w:hAnsi="Times New Roman" w:cs="Times New Roman"/>
          <w:sz w:val="24"/>
          <w:szCs w:val="24"/>
        </w:rPr>
        <w:t>change</w:t>
      </w:r>
      <w:r w:rsidR="00EC5A26" w:rsidRPr="00CB3ECF">
        <w:rPr>
          <w:rFonts w:ascii="Times New Roman" w:hAnsi="Times New Roman" w:cs="Times New Roman"/>
          <w:sz w:val="24"/>
          <w:szCs w:val="24"/>
        </w:rPr>
        <w:t xml:space="preserve"> over time in basal </w:t>
      </w:r>
      <w:r w:rsidR="00182E3B" w:rsidRPr="00CB3ECF">
        <w:rPr>
          <w:rFonts w:ascii="Times New Roman" w:hAnsi="Times New Roman" w:cs="Times New Roman"/>
          <w:sz w:val="24"/>
          <w:szCs w:val="24"/>
        </w:rPr>
        <w:t>and stimulated activity</w:t>
      </w:r>
      <w:r w:rsidR="00764081">
        <w:rPr>
          <w:rFonts w:ascii="Times New Roman" w:hAnsi="Times New Roman" w:cs="Times New Roman"/>
          <w:sz w:val="24"/>
          <w:szCs w:val="24"/>
        </w:rPr>
        <w:t>.</w:t>
      </w:r>
      <w:r w:rsidR="00182E3B" w:rsidRPr="00CB3ECF">
        <w:rPr>
          <w:rFonts w:ascii="Times New Roman" w:hAnsi="Times New Roman" w:cs="Times New Roman"/>
          <w:sz w:val="24"/>
          <w:szCs w:val="24"/>
        </w:rPr>
        <w:fldChar w:fldCharType="begin" w:fldLock="1"/>
      </w:r>
      <w:r w:rsidR="00016D44">
        <w:rPr>
          <w:rFonts w:ascii="Times New Roman" w:hAnsi="Times New Roman" w:cs="Times New Roman"/>
          <w:sz w:val="24"/>
          <w:szCs w:val="24"/>
        </w:rPr>
        <w:instrText>ADDIN CSL_CITATION {"citationItems":[{"id":"ITEM-1","itemData":{"DOI":"10.1177/000456328702400106","ISSN":"0004-5632 (Print)","PMID":"3827183","abstract":"Adaptation of coenzyme stimulation assays for the nutritional assessment of  thiamine, riboflavin and pyridoxine on the Cobas Bio centrifugal analyser are described. Whole blood was collected into acid-citrate dextrose, which preserves the erythrocytes, prior to assay for several days. Washed erythrocytes stored at -70 degrees C and subsequently thawed, showed altered enzyme activities. The methods offer improved precision over existing procedures and take advantage of the high throughput capabilities of the instrumentation.","author":[{"dropping-particle":"","family":"Mount","given":"J N","non-dropping-particle":"","parse-names":false,"suffix":""},{"dropping-particle":"","family":"Heduan","given":"E","non-dropping-particle":"","parse-names":false,"suffix":""},{"dropping-particle":"","family":"Herd","given":"C","non-dropping-particle":"","parse-names":false,"suffix":""},{"dropping-particle":"","family":"Jupp","given":"R","non-dropping-particle":"","parse-names":false,"suffix":""},{"dropping-particle":"","family":"Kearney","given":"E","non-dropping-particle":"","parse-names":false,"suffix":""},{"dropping-particle":"","family":"Marsh","given":"A","non-dropping-particle":"","parse-names":false,"suffix":""}],"container-title":"Annals of clinical biochemistry","id":"ITEM-1","issued":{"date-parts":[["1987","1"]]},"language":"eng","page":"41-46","publisher-place":"England","title":"Adaptation of coenzyme stimulation assays for the nutritional assessment of vitamins  B1, B2 and B6 using the Cobas Bio centrifugal analyser.","type":"article-journal","volume":"24 ( Pt 1)"},"uris":["http://www.mendeley.com/documents/?uuid=257ca902-6079-4cbc-90e9-7c76a994cc5c"]}],"mendeley":{"formattedCitation":"&lt;sup&gt;9&lt;/sup&gt;","plainTextFormattedCitation":"9","previouslyFormattedCitation":"&lt;sup&gt;9&lt;/sup&gt;"},"properties":{"noteIndex":0},"schema":"https://github.com/citation-style-language/schema/raw/master/csl-citation.json"}</w:instrText>
      </w:r>
      <w:r w:rsidR="00182E3B" w:rsidRPr="00CB3ECF">
        <w:rPr>
          <w:rFonts w:ascii="Times New Roman" w:hAnsi="Times New Roman" w:cs="Times New Roman"/>
          <w:sz w:val="24"/>
          <w:szCs w:val="24"/>
        </w:rPr>
        <w:fldChar w:fldCharType="separate"/>
      </w:r>
      <w:r w:rsidR="00B94DA2" w:rsidRPr="00B94DA2">
        <w:rPr>
          <w:rFonts w:ascii="Times New Roman" w:hAnsi="Times New Roman" w:cs="Times New Roman"/>
          <w:noProof/>
          <w:sz w:val="24"/>
          <w:szCs w:val="24"/>
          <w:vertAlign w:val="superscript"/>
        </w:rPr>
        <w:t>9</w:t>
      </w:r>
      <w:r w:rsidR="00182E3B" w:rsidRPr="00CB3ECF">
        <w:rPr>
          <w:rFonts w:ascii="Times New Roman" w:hAnsi="Times New Roman" w:cs="Times New Roman"/>
          <w:sz w:val="24"/>
          <w:szCs w:val="24"/>
        </w:rPr>
        <w:fldChar w:fldCharType="end"/>
      </w:r>
      <w:r w:rsidR="00EC2790" w:rsidRPr="00CB3ECF">
        <w:rPr>
          <w:rFonts w:ascii="Times New Roman" w:hAnsi="Times New Roman" w:cs="Times New Roman"/>
          <w:sz w:val="24"/>
          <w:szCs w:val="24"/>
        </w:rPr>
        <w:t xml:space="preserve"> </w:t>
      </w:r>
    </w:p>
    <w:p w14:paraId="5960072D" w14:textId="77777777" w:rsidR="00A368CD" w:rsidRPr="00CB3ECF" w:rsidRDefault="00A368CD" w:rsidP="006C26FC">
      <w:pPr>
        <w:spacing w:line="276" w:lineRule="auto"/>
        <w:rPr>
          <w:rFonts w:ascii="Times New Roman" w:hAnsi="Times New Roman" w:cs="Times New Roman"/>
          <w:i/>
          <w:sz w:val="24"/>
          <w:szCs w:val="24"/>
        </w:rPr>
      </w:pPr>
      <w:r w:rsidRPr="00CB3ECF">
        <w:rPr>
          <w:rFonts w:ascii="Times New Roman" w:hAnsi="Times New Roman" w:cs="Times New Roman"/>
          <w:i/>
          <w:sz w:val="24"/>
          <w:szCs w:val="24"/>
        </w:rPr>
        <w:t>Hemolysates</w:t>
      </w:r>
    </w:p>
    <w:p w14:paraId="4C2B4244" w14:textId="7F0F3B90" w:rsidR="006C26FC" w:rsidRPr="006508DC" w:rsidRDefault="002A0494" w:rsidP="006508DC">
      <w:pPr>
        <w:spacing w:line="276" w:lineRule="auto"/>
        <w:rPr>
          <w:rFonts w:ascii="Times New Roman" w:hAnsi="Times New Roman" w:cs="Times New Roman"/>
          <w:sz w:val="24"/>
          <w:szCs w:val="24"/>
        </w:rPr>
      </w:pPr>
      <w:r w:rsidRPr="00CB3ECF">
        <w:rPr>
          <w:rFonts w:ascii="Times New Roman" w:hAnsi="Times New Roman" w:cs="Times New Roman"/>
          <w:sz w:val="24"/>
          <w:szCs w:val="24"/>
        </w:rPr>
        <w:t>Hemolysates can be kept frozen at -20</w:t>
      </w:r>
      <w:r w:rsidR="00D82476">
        <w:rPr>
          <w:rFonts w:ascii="Times New Roman" w:hAnsi="Times New Roman" w:cs="Times New Roman"/>
          <w:sz w:val="24"/>
          <w:szCs w:val="24"/>
        </w:rPr>
        <w:t> </w:t>
      </w:r>
      <w:r w:rsidR="00696EA3" w:rsidRPr="00CB3ECF">
        <w:rPr>
          <w:rFonts w:ascii="Times New Roman" w:hAnsi="Times New Roman" w:cs="Times New Roman"/>
          <w:sz w:val="24"/>
          <w:szCs w:val="24"/>
        </w:rPr>
        <w:t>°</w:t>
      </w:r>
      <w:r w:rsidRPr="00CB3ECF">
        <w:rPr>
          <w:rFonts w:ascii="Times New Roman" w:hAnsi="Times New Roman" w:cs="Times New Roman"/>
          <w:sz w:val="24"/>
          <w:szCs w:val="24"/>
        </w:rPr>
        <w:t>C for at least 4 weeks</w:t>
      </w:r>
      <w:r w:rsidR="00192F02" w:rsidRPr="00CB3ECF">
        <w:rPr>
          <w:rFonts w:ascii="Times New Roman" w:hAnsi="Times New Roman" w:cs="Times New Roman"/>
          <w:sz w:val="24"/>
          <w:szCs w:val="24"/>
        </w:rPr>
        <w:t xml:space="preserve">, however caution should be paid to freeze-thaw cycles since reports suggest significant falls in enzyme activity can occur after </w:t>
      </w:r>
      <w:r w:rsidRPr="00CB3ECF">
        <w:rPr>
          <w:rFonts w:ascii="Times New Roman" w:hAnsi="Times New Roman" w:cs="Times New Roman"/>
          <w:sz w:val="24"/>
          <w:szCs w:val="24"/>
        </w:rPr>
        <w:t xml:space="preserve">two </w:t>
      </w:r>
      <w:r w:rsidR="00770AD8" w:rsidRPr="00CB3ECF">
        <w:rPr>
          <w:rFonts w:ascii="Times New Roman" w:hAnsi="Times New Roman" w:cs="Times New Roman"/>
          <w:sz w:val="24"/>
          <w:szCs w:val="24"/>
        </w:rPr>
        <w:t>freeze-thaw cycles</w:t>
      </w:r>
      <w:r w:rsidR="00207ED4">
        <w:rPr>
          <w:rFonts w:ascii="Times New Roman" w:hAnsi="Times New Roman" w:cs="Times New Roman"/>
          <w:sz w:val="24"/>
          <w:szCs w:val="24"/>
        </w:rPr>
        <w:t>.</w:t>
      </w:r>
      <w:r w:rsidRPr="00CB3ECF">
        <w:rPr>
          <w:rFonts w:ascii="Times New Roman" w:hAnsi="Times New Roman" w:cs="Times New Roman"/>
          <w:sz w:val="24"/>
          <w:szCs w:val="24"/>
        </w:rPr>
        <w:fldChar w:fldCharType="begin" w:fldLock="1"/>
      </w:r>
      <w:r w:rsidR="00016D44">
        <w:rPr>
          <w:rFonts w:ascii="Times New Roman" w:hAnsi="Times New Roman" w:cs="Times New Roman"/>
          <w:sz w:val="24"/>
          <w:szCs w:val="24"/>
        </w:rPr>
        <w:instrText>ADDIN CSL_CITATION {"citationItems":[{"id":"ITEM-1","itemData":{"DOI":"10.1016/0009-8981(71)90496-7","ISSN":"0009-8981 (Print)","PMID":"4330339","author":[{"dropping-particle":"","family":"Smeets","given":"E H","non-dropping-particle":"","parse-names":false,"suffix":""},{"dropping-particle":"","family":"Muller","given":"H","non-dropping-particle":"","parse-names":false,"suffix":""},{"dropping-particle":"","family":"Wael","given":"J","non-dropping-particle":"de","parse-names":false,"suffix":""}],"container-title":"Clinica chimica acta; international journal of clinical chemistry","id":"ITEM-1","issue":"2","issued":{"date-parts":[["1971","7"]]},"language":"eng","page":"379-386","publisher-place":"Netherlands","title":"A NADH-dependent transketolase assay in erythrocyte hemolysates.","type":"article-journal","volume":"33"},"uris":["http://www.mendeley.com/documents/?uuid=1220ce05-40b3-4c57-b746-f024fe9fdc06"]}],"mendeley":{"formattedCitation":"&lt;sup&gt;8&lt;/sup&gt;","plainTextFormattedCitation":"8","previouslyFormattedCitation":"&lt;sup&gt;8&lt;/sup&gt;"},"properties":{"noteIndex":0},"schema":"https://github.com/citation-style-language/schema/raw/master/csl-citation.json"}</w:instrText>
      </w:r>
      <w:r w:rsidRPr="00CB3ECF">
        <w:rPr>
          <w:rFonts w:ascii="Times New Roman" w:hAnsi="Times New Roman" w:cs="Times New Roman"/>
          <w:sz w:val="24"/>
          <w:szCs w:val="24"/>
        </w:rPr>
        <w:fldChar w:fldCharType="separate"/>
      </w:r>
      <w:r w:rsidR="00B94DA2" w:rsidRPr="00B94DA2">
        <w:rPr>
          <w:rFonts w:ascii="Times New Roman" w:hAnsi="Times New Roman" w:cs="Times New Roman"/>
          <w:noProof/>
          <w:sz w:val="24"/>
          <w:szCs w:val="24"/>
          <w:vertAlign w:val="superscript"/>
        </w:rPr>
        <w:t>8</w:t>
      </w:r>
      <w:r w:rsidRPr="00CB3ECF">
        <w:rPr>
          <w:rFonts w:ascii="Times New Roman" w:hAnsi="Times New Roman" w:cs="Times New Roman"/>
          <w:sz w:val="24"/>
          <w:szCs w:val="24"/>
        </w:rPr>
        <w:fldChar w:fldCharType="end"/>
      </w:r>
      <w:r w:rsidR="0009675E" w:rsidRPr="00CB3ECF">
        <w:rPr>
          <w:rFonts w:ascii="Times New Roman" w:hAnsi="Times New Roman" w:cs="Times New Roman"/>
          <w:sz w:val="24"/>
          <w:szCs w:val="24"/>
        </w:rPr>
        <w:t xml:space="preserve"> Another study showed a decrease of 7% in ETKAC in hemolysates analysed </w:t>
      </w:r>
      <w:r w:rsidR="000676E4" w:rsidRPr="00CB3ECF">
        <w:rPr>
          <w:rFonts w:ascii="Times New Roman" w:hAnsi="Times New Roman" w:cs="Times New Roman"/>
          <w:sz w:val="24"/>
          <w:szCs w:val="24"/>
        </w:rPr>
        <w:t xml:space="preserve">after freezing </w:t>
      </w:r>
      <w:r w:rsidR="000676E4">
        <w:rPr>
          <w:rFonts w:ascii="Times New Roman" w:hAnsi="Times New Roman" w:cs="Times New Roman"/>
          <w:sz w:val="24"/>
          <w:szCs w:val="24"/>
        </w:rPr>
        <w:t xml:space="preserve">at -18 °C </w:t>
      </w:r>
      <w:r w:rsidR="000676E4" w:rsidRPr="00CB3ECF">
        <w:rPr>
          <w:rFonts w:ascii="Times New Roman" w:hAnsi="Times New Roman" w:cs="Times New Roman"/>
          <w:sz w:val="24"/>
          <w:szCs w:val="24"/>
        </w:rPr>
        <w:t xml:space="preserve">for 2 weeks </w:t>
      </w:r>
      <w:r w:rsidR="000676E4">
        <w:rPr>
          <w:rFonts w:ascii="Times New Roman" w:hAnsi="Times New Roman" w:cs="Times New Roman"/>
          <w:sz w:val="24"/>
          <w:szCs w:val="24"/>
        </w:rPr>
        <w:t xml:space="preserve">compared with </w:t>
      </w:r>
      <w:r w:rsidR="0009675E" w:rsidRPr="00CB3ECF">
        <w:rPr>
          <w:rFonts w:ascii="Times New Roman" w:hAnsi="Times New Roman" w:cs="Times New Roman"/>
          <w:sz w:val="24"/>
          <w:szCs w:val="24"/>
        </w:rPr>
        <w:t xml:space="preserve">fresh </w:t>
      </w:r>
      <w:r w:rsidR="000676E4">
        <w:rPr>
          <w:rFonts w:ascii="Times New Roman" w:hAnsi="Times New Roman" w:cs="Times New Roman"/>
          <w:sz w:val="24"/>
          <w:szCs w:val="24"/>
        </w:rPr>
        <w:t>samples</w:t>
      </w:r>
      <w:r w:rsidR="00207ED4">
        <w:rPr>
          <w:rFonts w:ascii="Times New Roman" w:hAnsi="Times New Roman" w:cs="Times New Roman"/>
          <w:sz w:val="24"/>
          <w:szCs w:val="24"/>
        </w:rPr>
        <w:t>.</w:t>
      </w:r>
      <w:r w:rsidR="0009675E" w:rsidRPr="00CB3ECF">
        <w:rPr>
          <w:rFonts w:ascii="Times New Roman" w:hAnsi="Times New Roman" w:cs="Times New Roman"/>
          <w:sz w:val="24"/>
          <w:szCs w:val="24"/>
        </w:rPr>
        <w:fldChar w:fldCharType="begin" w:fldLock="1"/>
      </w:r>
      <w:r w:rsidR="00E57474">
        <w:rPr>
          <w:rFonts w:ascii="Times New Roman" w:hAnsi="Times New Roman" w:cs="Times New Roman"/>
          <w:sz w:val="24"/>
          <w:szCs w:val="24"/>
        </w:rPr>
        <w:instrText>ADDIN CSL_CITATION {"citationItems":[{"id":"ITEM-1","itemData":{"ISSN":"0009-9147 (Print)","PMID":"1253408","abstract":"We describe optimized, ultraviolet spectrophotometric procedures for determination  of erythrocyte transketolase, glutathione reductase, and aspartate aminotransferase activity, and their activation by their respective coenzymes--thiamine pyrophosphate, flavin-adenine dinucleotide, and pyridoxal-5-phosphate--as tests for vitamin B1, B2, and B6 deficiency. With these procedures we have investigated healthy subjects on normal and vitamin-supplemented diets, and a series of (mainly) alcoholic hospital in-patients. The enzyme procedures described have good precision and can be readily carried out in the routine laboratory. Abnormal transketolase activation correlated well with clinical evidence of vitamin B1 deficiency.","author":[{"dropping-particle":"","family":"Bayoumi","given":"R A","non-dropping-particle":"","parse-names":false,"suffix":""},{"dropping-particle":"","family":"Rosalki","given":"S B","non-dropping-particle":"","parse-names":false,"suffix":""}],"container-title":"Clinical chemistry","id":"ITEM-1","issue":"3","issued":{"date-parts":[["1976","3"]]},"language":"eng","page":"327-335","publisher-place":"England","title":"Evaluation of methods of coenzyme activation of erythrocyte enzymes for detection of  deficiency of vitamins B1, B2, and B6.","type":"article-journal","volume":"22"},"uris":["http://www.mendeley.com/documents/?uuid=125d2b96-f6e7-4ee5-af88-d95c3c1e54bf"]}],"mendeley":{"formattedCitation":"&lt;sup&gt;27&lt;/sup&gt;","plainTextFormattedCitation":"27","previouslyFormattedCitation":"&lt;sup&gt;27&lt;/sup&gt;"},"properties":{"noteIndex":0},"schema":"https://github.com/citation-style-language/schema/raw/master/csl-citation.json"}</w:instrText>
      </w:r>
      <w:r w:rsidR="0009675E" w:rsidRPr="00CB3ECF">
        <w:rPr>
          <w:rFonts w:ascii="Times New Roman" w:hAnsi="Times New Roman" w:cs="Times New Roman"/>
          <w:sz w:val="24"/>
          <w:szCs w:val="24"/>
        </w:rPr>
        <w:fldChar w:fldCharType="separate"/>
      </w:r>
      <w:r w:rsidR="00016D44" w:rsidRPr="00016D44">
        <w:rPr>
          <w:rFonts w:ascii="Times New Roman" w:hAnsi="Times New Roman" w:cs="Times New Roman"/>
          <w:noProof/>
          <w:sz w:val="24"/>
          <w:szCs w:val="24"/>
          <w:vertAlign w:val="superscript"/>
        </w:rPr>
        <w:t>27</w:t>
      </w:r>
      <w:r w:rsidR="0009675E" w:rsidRPr="00CB3ECF">
        <w:rPr>
          <w:rFonts w:ascii="Times New Roman" w:hAnsi="Times New Roman" w:cs="Times New Roman"/>
          <w:sz w:val="24"/>
          <w:szCs w:val="24"/>
        </w:rPr>
        <w:fldChar w:fldCharType="end"/>
      </w:r>
      <w:r w:rsidR="00913FFC" w:rsidRPr="00CB3ECF">
        <w:rPr>
          <w:rFonts w:ascii="Times New Roman" w:hAnsi="Times New Roman" w:cs="Times New Roman"/>
          <w:sz w:val="24"/>
          <w:szCs w:val="24"/>
        </w:rPr>
        <w:t xml:space="preserve"> </w:t>
      </w:r>
      <w:r w:rsidR="00192F02" w:rsidRPr="00CB3ECF">
        <w:rPr>
          <w:rFonts w:ascii="Times New Roman" w:hAnsi="Times New Roman" w:cs="Times New Roman"/>
          <w:sz w:val="24"/>
          <w:szCs w:val="24"/>
        </w:rPr>
        <w:t>As with washed erythrocytes, samples kept at -70</w:t>
      </w:r>
      <w:r w:rsidR="00D82476">
        <w:rPr>
          <w:rFonts w:ascii="Times New Roman" w:hAnsi="Times New Roman" w:cs="Times New Roman"/>
          <w:sz w:val="24"/>
          <w:szCs w:val="24"/>
        </w:rPr>
        <w:t> </w:t>
      </w:r>
      <w:r w:rsidR="00192F02" w:rsidRPr="00CB3ECF">
        <w:rPr>
          <w:rFonts w:ascii="Times New Roman" w:hAnsi="Times New Roman" w:cs="Times New Roman"/>
          <w:sz w:val="24"/>
          <w:szCs w:val="24"/>
        </w:rPr>
        <w:t>°C remained stable for at least 2 months</w:t>
      </w:r>
      <w:r w:rsidR="00207ED4">
        <w:rPr>
          <w:rFonts w:ascii="Times New Roman" w:hAnsi="Times New Roman" w:cs="Times New Roman"/>
          <w:sz w:val="24"/>
          <w:szCs w:val="24"/>
        </w:rPr>
        <w:t>.</w:t>
      </w:r>
      <w:r w:rsidR="00192F02" w:rsidRPr="00CB3ECF">
        <w:rPr>
          <w:rFonts w:ascii="Times New Roman" w:hAnsi="Times New Roman" w:cs="Times New Roman"/>
          <w:sz w:val="24"/>
          <w:szCs w:val="24"/>
        </w:rPr>
        <w:fldChar w:fldCharType="begin" w:fldLock="1"/>
      </w:r>
      <w:r w:rsidR="00E57474">
        <w:rPr>
          <w:rFonts w:ascii="Times New Roman" w:hAnsi="Times New Roman" w:cs="Times New Roman"/>
          <w:sz w:val="24"/>
          <w:szCs w:val="24"/>
        </w:rPr>
        <w:instrText>ADDIN CSL_CITATION {"citationItems":[{"id":"ITEM-1","itemData":{"DOI":"10.1177/000456328602300207","ISSN":"0004-5632 (Print)","PMID":"3767264","abstract":"A method for measuring erythrocyte transketolase activity (ETKA) is described that  is precise, economical of reagents and capable of high throughput with partial or full automation. The transketolase-dependent transformation of ribose-5-phosphate, yielding glyceraldehyde-3-phosphate, is linked via 'indicator enzymes' to glycerol production and NADH consumption, the latter being followed fluorimetrically. Conditions under which ETKA and 'TPP Effect' are derived have been examined and optimised. Values are comparable with those obtained by other methods but a relatively narrow adult reference range for ETKA is observed. Data are presented for optimal preparation and storage of samples.","author":[{"dropping-particle":"","family":"Anderson","given":"S H","non-dropping-particle":"","parse-names":false,"suffix":""},{"dropping-particle":"","family":"Nicol","given":"A D","non-dropping-particle":"","parse-names":false,"suffix":""}],"container-title":"Annals of clinical biochemistry","id":"ITEM-1","issued":{"date-parts":[["1986","3"]]},"language":"eng","page":"180-189","publisher-place":"England","title":"A fluorimetric method for measurement of erythrocyte transketolase activity.","type":"article-journal","volume":"23 ( Pt 2)"},"uris":["http://www.mendeley.com/documents/?uuid=f34901c0-73fb-41f1-af52-9f4c2ecb28ac"]}],"mendeley":{"formattedCitation":"&lt;sup&gt;25&lt;/sup&gt;","plainTextFormattedCitation":"25","previouslyFormattedCitation":"&lt;sup&gt;25&lt;/sup&gt;"},"properties":{"noteIndex":0},"schema":"https://github.com/citation-style-language/schema/raw/master/csl-citation.json"}</w:instrText>
      </w:r>
      <w:r w:rsidR="00192F02" w:rsidRPr="00CB3ECF">
        <w:rPr>
          <w:rFonts w:ascii="Times New Roman" w:hAnsi="Times New Roman" w:cs="Times New Roman"/>
          <w:sz w:val="24"/>
          <w:szCs w:val="24"/>
        </w:rPr>
        <w:fldChar w:fldCharType="separate"/>
      </w:r>
      <w:r w:rsidR="00016D44" w:rsidRPr="00016D44">
        <w:rPr>
          <w:rFonts w:ascii="Times New Roman" w:hAnsi="Times New Roman" w:cs="Times New Roman"/>
          <w:noProof/>
          <w:sz w:val="24"/>
          <w:szCs w:val="24"/>
          <w:vertAlign w:val="superscript"/>
        </w:rPr>
        <w:t>25</w:t>
      </w:r>
      <w:r w:rsidR="00192F02" w:rsidRPr="00CB3ECF">
        <w:rPr>
          <w:rFonts w:ascii="Times New Roman" w:hAnsi="Times New Roman" w:cs="Times New Roman"/>
          <w:sz w:val="24"/>
          <w:szCs w:val="24"/>
        </w:rPr>
        <w:fldChar w:fldCharType="end"/>
      </w:r>
      <w:r w:rsidR="00192F02" w:rsidRPr="00CB3ECF">
        <w:rPr>
          <w:rFonts w:ascii="Times New Roman" w:hAnsi="Times New Roman" w:cs="Times New Roman"/>
          <w:sz w:val="24"/>
          <w:szCs w:val="24"/>
        </w:rPr>
        <w:t xml:space="preserve"> </w:t>
      </w:r>
      <w:r w:rsidR="00913FFC" w:rsidRPr="00CB3ECF">
        <w:rPr>
          <w:rFonts w:ascii="Times New Roman" w:hAnsi="Times New Roman" w:cs="Times New Roman"/>
          <w:sz w:val="24"/>
          <w:szCs w:val="24"/>
        </w:rPr>
        <w:t xml:space="preserve">In our own laboratory, we observed a less than 1% change in ETKAC in a set of 59 hemolysates stored </w:t>
      </w:r>
      <w:r w:rsidR="00192F02" w:rsidRPr="00CB3ECF">
        <w:rPr>
          <w:rFonts w:ascii="Times New Roman" w:hAnsi="Times New Roman" w:cs="Times New Roman"/>
          <w:sz w:val="24"/>
          <w:szCs w:val="24"/>
        </w:rPr>
        <w:t>at -70</w:t>
      </w:r>
      <w:r w:rsidR="00D82476">
        <w:rPr>
          <w:rFonts w:ascii="Times New Roman" w:hAnsi="Times New Roman" w:cs="Times New Roman"/>
          <w:sz w:val="24"/>
          <w:szCs w:val="24"/>
        </w:rPr>
        <w:t> </w:t>
      </w:r>
      <w:r w:rsidR="00192F02" w:rsidRPr="009A2DE6">
        <w:rPr>
          <w:rFonts w:ascii="Times New Roman" w:hAnsi="Times New Roman" w:cs="Times New Roman"/>
          <w:sz w:val="24"/>
          <w:szCs w:val="24"/>
        </w:rPr>
        <w:t xml:space="preserve">°C </w:t>
      </w:r>
      <w:r w:rsidR="00913FFC" w:rsidRPr="009A2DE6">
        <w:rPr>
          <w:rFonts w:ascii="Times New Roman" w:hAnsi="Times New Roman" w:cs="Times New Roman"/>
          <w:sz w:val="24"/>
          <w:szCs w:val="24"/>
        </w:rPr>
        <w:t xml:space="preserve">for </w:t>
      </w:r>
      <w:r w:rsidR="009A2DE6" w:rsidRPr="009A2DE6">
        <w:rPr>
          <w:rFonts w:ascii="Times New Roman" w:hAnsi="Times New Roman" w:cs="Times New Roman"/>
          <w:sz w:val="24"/>
          <w:szCs w:val="24"/>
        </w:rPr>
        <w:t>6 months</w:t>
      </w:r>
      <w:r w:rsidR="00192F02" w:rsidRPr="00CB3ECF">
        <w:rPr>
          <w:rFonts w:ascii="Times New Roman" w:hAnsi="Times New Roman" w:cs="Times New Roman"/>
          <w:sz w:val="24"/>
          <w:szCs w:val="24"/>
        </w:rPr>
        <w:t xml:space="preserve"> and excellent agreement acro</w:t>
      </w:r>
      <w:r w:rsidR="006C26FC">
        <w:rPr>
          <w:rFonts w:ascii="Times New Roman" w:hAnsi="Times New Roman" w:cs="Times New Roman"/>
          <w:sz w:val="24"/>
          <w:szCs w:val="24"/>
        </w:rPr>
        <w:t>ss a range of EKTAC (</w:t>
      </w:r>
      <w:r w:rsidR="006C26FC" w:rsidRPr="00E35435">
        <w:rPr>
          <w:rFonts w:ascii="Times New Roman" w:hAnsi="Times New Roman" w:cs="Times New Roman"/>
          <w:b/>
          <w:sz w:val="24"/>
          <w:szCs w:val="24"/>
        </w:rPr>
        <w:t xml:space="preserve">Figure </w:t>
      </w:r>
      <w:r w:rsidR="0063044A" w:rsidRPr="00E35435">
        <w:rPr>
          <w:rFonts w:ascii="Times New Roman" w:hAnsi="Times New Roman" w:cs="Times New Roman"/>
          <w:b/>
          <w:sz w:val="24"/>
          <w:szCs w:val="24"/>
        </w:rPr>
        <w:t>4</w:t>
      </w:r>
      <w:r w:rsidR="004941BF">
        <w:rPr>
          <w:rFonts w:ascii="Times New Roman" w:hAnsi="Times New Roman" w:cs="Times New Roman"/>
          <w:sz w:val="24"/>
          <w:szCs w:val="24"/>
        </w:rPr>
        <w:t>). E</w:t>
      </w:r>
      <w:r w:rsidR="006C26FC" w:rsidRPr="00CB3ECF">
        <w:rPr>
          <w:rFonts w:ascii="Times New Roman" w:hAnsi="Times New Roman" w:cs="Times New Roman"/>
          <w:sz w:val="24"/>
          <w:szCs w:val="24"/>
        </w:rPr>
        <w:t xml:space="preserve">nzyme activities </w:t>
      </w:r>
      <w:r w:rsidR="006C26FC">
        <w:rPr>
          <w:rFonts w:ascii="Times New Roman" w:hAnsi="Times New Roman" w:cs="Times New Roman"/>
          <w:sz w:val="24"/>
          <w:szCs w:val="24"/>
        </w:rPr>
        <w:t xml:space="preserve">reportedly </w:t>
      </w:r>
      <w:r w:rsidR="006C26FC" w:rsidRPr="00CB3ECF">
        <w:rPr>
          <w:rFonts w:ascii="Times New Roman" w:hAnsi="Times New Roman" w:cs="Times New Roman"/>
          <w:sz w:val="24"/>
          <w:szCs w:val="24"/>
        </w:rPr>
        <w:t xml:space="preserve">remain stable </w:t>
      </w:r>
      <w:r w:rsidR="004941BF">
        <w:rPr>
          <w:rFonts w:ascii="Times New Roman" w:hAnsi="Times New Roman" w:cs="Times New Roman"/>
          <w:sz w:val="24"/>
          <w:szCs w:val="24"/>
        </w:rPr>
        <w:t xml:space="preserve">at </w:t>
      </w:r>
      <w:r w:rsidR="006C26FC" w:rsidRPr="00CB3ECF">
        <w:rPr>
          <w:rFonts w:ascii="Times New Roman" w:hAnsi="Times New Roman" w:cs="Times New Roman"/>
          <w:sz w:val="24"/>
          <w:szCs w:val="24"/>
        </w:rPr>
        <w:t>-70</w:t>
      </w:r>
      <w:r w:rsidR="00D82476">
        <w:rPr>
          <w:rFonts w:ascii="Times New Roman" w:hAnsi="Times New Roman" w:cs="Times New Roman"/>
          <w:sz w:val="24"/>
          <w:szCs w:val="24"/>
        </w:rPr>
        <w:t> </w:t>
      </w:r>
      <w:r w:rsidR="006C26FC" w:rsidRPr="00CB3ECF">
        <w:rPr>
          <w:rFonts w:ascii="Times New Roman" w:hAnsi="Times New Roman" w:cs="Times New Roman"/>
          <w:sz w:val="24"/>
          <w:szCs w:val="24"/>
        </w:rPr>
        <w:t>°C for over one year</w:t>
      </w:r>
      <w:r w:rsidR="006C26FC">
        <w:rPr>
          <w:rFonts w:ascii="Times New Roman" w:hAnsi="Times New Roman" w:cs="Times New Roman"/>
          <w:sz w:val="24"/>
          <w:szCs w:val="24"/>
        </w:rPr>
        <w:t>.</w:t>
      </w:r>
      <w:r w:rsidR="006C26FC">
        <w:rPr>
          <w:rFonts w:ascii="Times New Roman" w:hAnsi="Times New Roman" w:cs="Times New Roman"/>
          <w:sz w:val="24"/>
          <w:szCs w:val="24"/>
        </w:rPr>
        <w:fldChar w:fldCharType="begin" w:fldLock="1"/>
      </w:r>
      <w:r w:rsidR="006C26FC">
        <w:rPr>
          <w:rFonts w:ascii="Times New Roman" w:hAnsi="Times New Roman" w:cs="Times New Roman"/>
          <w:sz w:val="24"/>
          <w:szCs w:val="24"/>
        </w:rPr>
        <w:instrText>ADDIN CSL_CITATION {"citationItems":[{"id":"ITEM-1","itemData":{"DOI":"10.1111/nyas.13919","ISSN":"1749-6632 (Electronic)","PMID":"30151974","abstract":"Thiamine is an essential micronutrient that plays a key role in energy metabolism.  Many populations worldwide may be at risk of clinical or subclinical thiamine deficiencies, due to famine, reliance on staple crops with low thiamine content, or food preparation practices, such as milling grains and washing milled rice. Clinical manifestations of thiamine deficiency are variable; this, along with the lack of a readily accessible and widely agreed upon biomarker of thiamine status, complicates efforts to diagnose thiamine deficiency and assess its global prevalence. Strategies to identify regions at risk of thiamine deficiency through proxy measures, such as analysis of food balance sheet data and month-specific infant mortality rates, may be valuable for understanding the scope of thiamine deficiency. Urgent public health responses are warranted in high-risk regions, considering the contribution of thiamine deficiency to infant mortality and research suggesting that even subclinical thiamine deficiency in childhood may have lifelong neurodevelopmental consequences. Food fortification and maternal and/or infant thiamine supplementation have proven effective in raising thiamine status and reducing the incidence of infantile beriberi in regions where thiamine deficiency is prevalent, but trial data are limited. Efforts to determine culturally and environmentally appropriate food vehicles for thiamine fortification are ongoing.","author":[{"dropping-particle":"","family":"Whitfield","given":"Kyly C","non-dropping-particle":"","parse-names":false,"suffix":""},{"dropping-particle":"","family":"Bourassa","given":"Megan W","non-dropping-particle":"","parse-names":false,"suffix":""},{"dropping-particle":"","family":"Adamolekun","given":"Bola","non-dropping-particle":"","parse-names":false,"suffix":""},{"dropping-particle":"","family":"Bergeron","given":"Gilles","non-dropping-particle":"","parse-names":false,"suffix":""},{"dropping-particle":"","family":"Bettendorff","given":"Lucien","non-dropping-particle":"","parse-names":false,"suffix":""},{"dropping-particle":"","family":"Brown","given":"Kenneth H","non-dropping-particle":"","parse-names":false,"suffix":""},{"dropping-particle":"","family":"Cox","given":"Lorna","non-dropping-particle":"","parse-names":false,"suffix":""},{"dropping-particle":"","family":"Fattal-Valevski","given":"Aviva","non-dropping-particle":"","parse-names":false,"suffix":""},{"dropping-particle":"","family":"Fischer","given":"Philip R","non-dropping-particle":"","parse-names":false,"suffix":""},{"dropping-particle":"","family":"Frank","given":"Elizabeth L","non-dropping-particle":"","parse-names":false,"suffix":""},{"dropping-particle":"","family":"Hiffler","given":"Laurent","non-dropping-particle":"","parse-names":false,"suffix":""},{"dropping-particle":"","family":"Hlaing","given":"Lwin Mar","non-dropping-particle":"","parse-names":false,"suffix":""},{"dropping-particle":"","family":"Jefferds","given":"Maria Elena","non-dropping-particle":"","parse-names":false,"suffix":""},{"dropping-particle":"","family":"Kapner","given":"Hallie","non-dropping-particle":"","parse-names":false,"suffix":""},{"dropping-particle":"","family":"Kounnavong","given":"Sengchanh","non-dropping-particle":"","parse-names":false,"suffix":""},{"dropping-particle":"","family":"Mousavi","given":"Maral P S","non-dropping-particle":"","parse-names":false,"suffix":""},{"dropping-particle":"","family":"Roth","given":"Daniel E","non-dropping-particle":"","parse-names":false,"suffix":""},{"dropping-particle":"","family":"Tsaloglou","given":"Maria-Nefeli","non-dropping-particle":"","parse-names":false,"suffix":""},{"dropping-particle":"","family":"Wieringa","given":"Frank","non-dropping-particle":"","parse-names":false,"suffix":""},{"dropping-particle":"","family":"Combs","given":"Gerald F Jr","non-dropping-particle":"","parse-names":false,"suffix":""}],"container-title":"Annals of the New York Academy of Sciences","id":"ITEM-1","issue":"1","issued":{"date-parts":[["2018","10"]]},"language":"eng","page":"3-43","title":"Thiamine deficiency disorders: diagnosis, prevalence, and a roadmap for global  control programs.","type":"article-journal","volume":"1430"},"uris":["http://www.mendeley.com/documents/?uuid=29e06608-673c-4fb0-ae25-2eb1df5e4941"]}],"mendeley":{"formattedCitation":"&lt;sup&gt;2&lt;/sup&gt;","plainTextFormattedCitation":"2","previouslyFormattedCitation":"&lt;sup&gt;2&lt;/sup&gt;"},"properties":{"noteIndex":0},"schema":"https://github.com/citation-style-language/schema/raw/master/csl-citation.json"}</w:instrText>
      </w:r>
      <w:r w:rsidR="006C26FC">
        <w:rPr>
          <w:rFonts w:ascii="Times New Roman" w:hAnsi="Times New Roman" w:cs="Times New Roman"/>
          <w:sz w:val="24"/>
          <w:szCs w:val="24"/>
        </w:rPr>
        <w:fldChar w:fldCharType="separate"/>
      </w:r>
      <w:r w:rsidR="006C26FC" w:rsidRPr="003037E6">
        <w:rPr>
          <w:rFonts w:ascii="Times New Roman" w:hAnsi="Times New Roman" w:cs="Times New Roman"/>
          <w:noProof/>
          <w:sz w:val="24"/>
          <w:szCs w:val="24"/>
          <w:vertAlign w:val="superscript"/>
        </w:rPr>
        <w:t>2</w:t>
      </w:r>
      <w:r w:rsidR="006C26FC">
        <w:rPr>
          <w:rFonts w:ascii="Times New Roman" w:hAnsi="Times New Roman" w:cs="Times New Roman"/>
          <w:sz w:val="24"/>
          <w:szCs w:val="24"/>
        </w:rPr>
        <w:fldChar w:fldCharType="end"/>
      </w:r>
      <w:r w:rsidR="006C26FC">
        <w:rPr>
          <w:rFonts w:ascii="Times New Roman" w:hAnsi="Times New Roman" w:cs="Times New Roman"/>
          <w:sz w:val="24"/>
          <w:szCs w:val="24"/>
        </w:rPr>
        <w:t xml:space="preserve"> </w:t>
      </w:r>
      <w:r w:rsidR="00BE384D">
        <w:rPr>
          <w:rFonts w:ascii="Times New Roman" w:hAnsi="Times New Roman" w:cs="Times New Roman"/>
          <w:sz w:val="24"/>
          <w:szCs w:val="24"/>
        </w:rPr>
        <w:t xml:space="preserve">Storage of </w:t>
      </w:r>
      <w:r w:rsidR="006C26FC">
        <w:rPr>
          <w:rFonts w:ascii="Times New Roman" w:hAnsi="Times New Roman" w:cs="Times New Roman"/>
          <w:sz w:val="24"/>
          <w:szCs w:val="24"/>
        </w:rPr>
        <w:t xml:space="preserve">washed erythrocytes and hemolysates </w:t>
      </w:r>
      <w:r w:rsidR="00BE384D">
        <w:rPr>
          <w:rFonts w:ascii="Times New Roman" w:hAnsi="Times New Roman" w:cs="Times New Roman"/>
          <w:sz w:val="24"/>
          <w:szCs w:val="24"/>
        </w:rPr>
        <w:t>at -70</w:t>
      </w:r>
      <w:r w:rsidR="00D82476">
        <w:rPr>
          <w:rFonts w:ascii="Times New Roman" w:hAnsi="Times New Roman" w:cs="Times New Roman"/>
          <w:sz w:val="24"/>
          <w:szCs w:val="24"/>
        </w:rPr>
        <w:t> </w:t>
      </w:r>
      <w:r w:rsidR="00BE384D">
        <w:rPr>
          <w:rFonts w:ascii="Times New Roman" w:hAnsi="Times New Roman" w:cs="Times New Roman"/>
          <w:sz w:val="24"/>
          <w:szCs w:val="24"/>
        </w:rPr>
        <w:t>°C or below is recommended</w:t>
      </w:r>
      <w:r w:rsidR="006C26FC">
        <w:rPr>
          <w:rFonts w:ascii="Times New Roman" w:hAnsi="Times New Roman" w:cs="Times New Roman"/>
          <w:sz w:val="24"/>
          <w:szCs w:val="24"/>
        </w:rPr>
        <w:t>.</w:t>
      </w:r>
      <w:r w:rsidR="00BE384D">
        <w:rPr>
          <w:rFonts w:ascii="Times New Roman" w:hAnsi="Times New Roman" w:cs="Times New Roman"/>
          <w:sz w:val="24"/>
          <w:szCs w:val="24"/>
        </w:rPr>
        <w:fldChar w:fldCharType="begin" w:fldLock="1"/>
      </w:r>
      <w:r w:rsidR="008D36B1">
        <w:rPr>
          <w:rFonts w:ascii="Times New Roman" w:hAnsi="Times New Roman" w:cs="Times New Roman"/>
          <w:sz w:val="24"/>
          <w:szCs w:val="24"/>
        </w:rPr>
        <w:instrText>ADDIN CSL_CITATION {"citationItems":[{"id":"ITEM-1","itemData":{"DOI":"10.1177/000456329703400604","ISSN":"0004-5632","author":[{"dropping-particle":"","family":"Bates","given":"C J","non-dropping-particle":"","parse-names":false,"suffix":""}],"container-title":"Annals of Clinical Biochemistry","id":"ITEM-1","issue":"6","issued":{"date-parts":[["1997","11","1"]]},"note":"doi: 10.1177/000456329703400604","page":"599-626","publisher":"SAGE Publications","title":"Vitamin Analysis","type":"article-journal","volume":"34"},"uris":["http://www.mendeley.com/documents/?uuid=f09c6fce-150d-434b-82e8-010fa611d821"]}],"mendeley":{"formattedCitation":"&lt;sup&gt;16&lt;/sup&gt;","plainTextFormattedCitation":"16","previouslyFormattedCitation":"&lt;sup&gt;16&lt;/sup&gt;"},"properties":{"noteIndex":0},"schema":"https://github.com/citation-style-language/schema/raw/master/csl-citation.json"}</w:instrText>
      </w:r>
      <w:r w:rsidR="00BE384D">
        <w:rPr>
          <w:rFonts w:ascii="Times New Roman" w:hAnsi="Times New Roman" w:cs="Times New Roman"/>
          <w:sz w:val="24"/>
          <w:szCs w:val="24"/>
        </w:rPr>
        <w:fldChar w:fldCharType="separate"/>
      </w:r>
      <w:r w:rsidR="00E57474" w:rsidRPr="00E57474">
        <w:rPr>
          <w:rFonts w:ascii="Times New Roman" w:hAnsi="Times New Roman" w:cs="Times New Roman"/>
          <w:noProof/>
          <w:sz w:val="24"/>
          <w:szCs w:val="24"/>
          <w:vertAlign w:val="superscript"/>
        </w:rPr>
        <w:t>16</w:t>
      </w:r>
      <w:r w:rsidR="00BE384D">
        <w:rPr>
          <w:rFonts w:ascii="Times New Roman" w:hAnsi="Times New Roman" w:cs="Times New Roman"/>
          <w:sz w:val="24"/>
          <w:szCs w:val="24"/>
        </w:rPr>
        <w:fldChar w:fldCharType="end"/>
      </w:r>
    </w:p>
    <w:p w14:paraId="329A085D" w14:textId="77777777" w:rsidR="00C46DC4" w:rsidRPr="006C26FC" w:rsidRDefault="006C26FC" w:rsidP="00DA3FAD">
      <w:pPr>
        <w:pStyle w:val="ListParagraph"/>
        <w:numPr>
          <w:ilvl w:val="0"/>
          <w:numId w:val="30"/>
        </w:numPr>
        <w:spacing w:line="276" w:lineRule="auto"/>
        <w:ind w:left="714" w:hanging="357"/>
        <w:contextualSpacing w:val="0"/>
        <w:rPr>
          <w:rFonts w:ascii="Times New Roman" w:hAnsi="Times New Roman" w:cs="Times New Roman"/>
          <w:b/>
          <w:sz w:val="24"/>
          <w:szCs w:val="24"/>
        </w:rPr>
      </w:pPr>
      <w:r w:rsidRPr="006C26FC">
        <w:rPr>
          <w:rFonts w:ascii="Times New Roman" w:hAnsi="Times New Roman" w:cs="Times New Roman"/>
          <w:b/>
          <w:sz w:val="24"/>
          <w:szCs w:val="24"/>
        </w:rPr>
        <w:t>Assay and individual variability</w:t>
      </w:r>
    </w:p>
    <w:p w14:paraId="5A3FB392" w14:textId="77777777" w:rsidR="0099750E" w:rsidRPr="006C26FC" w:rsidRDefault="00192F02" w:rsidP="006C26FC">
      <w:pPr>
        <w:spacing w:line="276" w:lineRule="auto"/>
        <w:rPr>
          <w:rFonts w:ascii="Times New Roman" w:hAnsi="Times New Roman" w:cs="Times New Roman"/>
          <w:i/>
          <w:sz w:val="24"/>
          <w:szCs w:val="24"/>
        </w:rPr>
      </w:pPr>
      <w:r w:rsidRPr="006C26FC">
        <w:rPr>
          <w:rFonts w:ascii="Times New Roman" w:hAnsi="Times New Roman" w:cs="Times New Roman"/>
          <w:i/>
          <w:sz w:val="24"/>
          <w:szCs w:val="24"/>
        </w:rPr>
        <w:t xml:space="preserve">Analytical </w:t>
      </w:r>
      <w:r w:rsidR="00B54C37" w:rsidRPr="006C26FC">
        <w:rPr>
          <w:rFonts w:ascii="Times New Roman" w:hAnsi="Times New Roman" w:cs="Times New Roman"/>
          <w:i/>
          <w:sz w:val="24"/>
          <w:szCs w:val="24"/>
        </w:rPr>
        <w:t>v</w:t>
      </w:r>
      <w:r w:rsidR="00EE7EDE" w:rsidRPr="006C26FC">
        <w:rPr>
          <w:rFonts w:ascii="Times New Roman" w:hAnsi="Times New Roman" w:cs="Times New Roman"/>
          <w:i/>
          <w:sz w:val="24"/>
          <w:szCs w:val="24"/>
        </w:rPr>
        <w:t>ariability</w:t>
      </w:r>
    </w:p>
    <w:p w14:paraId="58D8D56F" w14:textId="37A484BB" w:rsidR="0099750E" w:rsidRDefault="0099750E" w:rsidP="006C26FC">
      <w:pPr>
        <w:spacing w:line="276" w:lineRule="auto"/>
        <w:rPr>
          <w:rFonts w:ascii="Times New Roman" w:hAnsi="Times New Roman" w:cs="Times New Roman"/>
          <w:sz w:val="24"/>
          <w:szCs w:val="24"/>
        </w:rPr>
      </w:pPr>
      <w:r w:rsidRPr="00CB3ECF">
        <w:rPr>
          <w:rFonts w:ascii="Times New Roman" w:hAnsi="Times New Roman" w:cs="Times New Roman"/>
          <w:sz w:val="24"/>
          <w:szCs w:val="24"/>
        </w:rPr>
        <w:t xml:space="preserve">Our routine method includes 3 internal QC materials with ETKAC (mean (SD)) of 1.07 (0.03), 1.15 (0.05) and 1.18 (0.05) and corresponding </w:t>
      </w:r>
      <w:r w:rsidR="00913FFC" w:rsidRPr="00CB3ECF">
        <w:rPr>
          <w:rFonts w:ascii="Times New Roman" w:hAnsi="Times New Roman" w:cs="Times New Roman"/>
          <w:sz w:val="24"/>
          <w:szCs w:val="24"/>
        </w:rPr>
        <w:t xml:space="preserve">between batch </w:t>
      </w:r>
      <w:r w:rsidR="000A20D1" w:rsidRPr="00CB3ECF">
        <w:rPr>
          <w:rFonts w:ascii="Times New Roman" w:hAnsi="Times New Roman" w:cs="Times New Roman"/>
          <w:sz w:val="24"/>
          <w:szCs w:val="24"/>
        </w:rPr>
        <w:t>%</w:t>
      </w:r>
      <w:r w:rsidRPr="00CB3ECF">
        <w:rPr>
          <w:rFonts w:ascii="Times New Roman" w:hAnsi="Times New Roman" w:cs="Times New Roman"/>
          <w:sz w:val="24"/>
          <w:szCs w:val="24"/>
        </w:rPr>
        <w:t>CV</w:t>
      </w:r>
      <w:r w:rsidR="000A20D1" w:rsidRPr="00CB3ECF">
        <w:rPr>
          <w:rFonts w:ascii="Times New Roman" w:hAnsi="Times New Roman" w:cs="Times New Roman"/>
          <w:sz w:val="24"/>
          <w:szCs w:val="24"/>
        </w:rPr>
        <w:t>s</w:t>
      </w:r>
      <w:r w:rsidRPr="00CB3ECF">
        <w:rPr>
          <w:rFonts w:ascii="Times New Roman" w:hAnsi="Times New Roman" w:cs="Times New Roman"/>
          <w:sz w:val="24"/>
          <w:szCs w:val="24"/>
        </w:rPr>
        <w:t xml:space="preserve"> of 3.1, 3.9 and 4.1%</w:t>
      </w:r>
      <w:r w:rsidR="001F635C" w:rsidRPr="00CB3ECF">
        <w:rPr>
          <w:rFonts w:ascii="Times New Roman" w:hAnsi="Times New Roman" w:cs="Times New Roman"/>
          <w:sz w:val="24"/>
          <w:szCs w:val="24"/>
        </w:rPr>
        <w:t xml:space="preserve"> (</w:t>
      </w:r>
      <w:r w:rsidR="001F635C" w:rsidRPr="006C26FC">
        <w:rPr>
          <w:rFonts w:ascii="Times New Roman" w:hAnsi="Times New Roman" w:cs="Times New Roman"/>
          <w:i/>
          <w:sz w:val="24"/>
          <w:szCs w:val="24"/>
        </w:rPr>
        <w:t>n</w:t>
      </w:r>
      <w:r w:rsidR="001F635C" w:rsidRPr="00CB3ECF">
        <w:rPr>
          <w:rFonts w:ascii="Times New Roman" w:hAnsi="Times New Roman" w:cs="Times New Roman"/>
          <w:sz w:val="24"/>
          <w:szCs w:val="24"/>
        </w:rPr>
        <w:t xml:space="preserve"> 25)</w:t>
      </w:r>
      <w:r w:rsidRPr="00CB3ECF">
        <w:rPr>
          <w:rFonts w:ascii="Times New Roman" w:hAnsi="Times New Roman" w:cs="Times New Roman"/>
          <w:sz w:val="24"/>
          <w:szCs w:val="24"/>
        </w:rPr>
        <w:t xml:space="preserve">. </w:t>
      </w:r>
      <w:r w:rsidR="00B54C37">
        <w:rPr>
          <w:rFonts w:ascii="Times New Roman" w:hAnsi="Times New Roman" w:cs="Times New Roman"/>
          <w:sz w:val="24"/>
          <w:szCs w:val="24"/>
        </w:rPr>
        <w:t>Targets of &lt;</w:t>
      </w:r>
      <w:r w:rsidR="004941BF">
        <w:rPr>
          <w:rFonts w:ascii="Times New Roman" w:hAnsi="Times New Roman" w:cs="Times New Roman"/>
          <w:sz w:val="24"/>
          <w:szCs w:val="24"/>
        </w:rPr>
        <w:t>5</w:t>
      </w:r>
      <w:r w:rsidR="00B54C37">
        <w:rPr>
          <w:rFonts w:ascii="Times New Roman" w:hAnsi="Times New Roman" w:cs="Times New Roman"/>
          <w:sz w:val="24"/>
          <w:szCs w:val="24"/>
        </w:rPr>
        <w:t xml:space="preserve">% are recommended. </w:t>
      </w:r>
    </w:p>
    <w:p w14:paraId="18D0D900" w14:textId="77777777" w:rsidR="00EE7EDE" w:rsidRPr="006C26FC" w:rsidRDefault="00B54C37" w:rsidP="006C26FC">
      <w:pPr>
        <w:spacing w:line="276" w:lineRule="auto"/>
        <w:rPr>
          <w:rFonts w:ascii="Times New Roman" w:hAnsi="Times New Roman" w:cs="Times New Roman"/>
          <w:i/>
          <w:sz w:val="24"/>
          <w:szCs w:val="24"/>
        </w:rPr>
      </w:pPr>
      <w:r w:rsidRPr="006C26FC">
        <w:rPr>
          <w:rFonts w:ascii="Times New Roman" w:hAnsi="Times New Roman" w:cs="Times New Roman"/>
          <w:i/>
          <w:sz w:val="24"/>
          <w:szCs w:val="24"/>
        </w:rPr>
        <w:t>Within-individual variation</w:t>
      </w:r>
    </w:p>
    <w:p w14:paraId="1F2191EB" w14:textId="5F6CAE21" w:rsidR="00B54C37" w:rsidRDefault="002B67D9" w:rsidP="006C26FC">
      <w:pPr>
        <w:spacing w:line="276" w:lineRule="auto"/>
        <w:rPr>
          <w:rFonts w:ascii="Times New Roman" w:hAnsi="Times New Roman" w:cs="Times New Roman"/>
          <w:sz w:val="24"/>
          <w:szCs w:val="24"/>
        </w:rPr>
      </w:pPr>
      <w:r>
        <w:rPr>
          <w:rFonts w:ascii="Times New Roman" w:hAnsi="Times New Roman" w:cs="Times New Roman"/>
          <w:sz w:val="24"/>
          <w:szCs w:val="24"/>
        </w:rPr>
        <w:lastRenderedPageBreak/>
        <w:t>A study from 1990 reported w</w:t>
      </w:r>
      <w:r w:rsidR="00241EED" w:rsidRPr="00241EED">
        <w:rPr>
          <w:rFonts w:ascii="Times New Roman" w:hAnsi="Times New Roman" w:cs="Times New Roman"/>
          <w:sz w:val="24"/>
          <w:szCs w:val="24"/>
        </w:rPr>
        <w:t xml:space="preserve">ithin-individual variation of </w:t>
      </w:r>
      <w:r>
        <w:rPr>
          <w:rFonts w:ascii="Times New Roman" w:hAnsi="Times New Roman" w:cs="Times New Roman"/>
          <w:sz w:val="24"/>
          <w:szCs w:val="24"/>
        </w:rPr>
        <w:t xml:space="preserve">basal and activated </w:t>
      </w:r>
      <w:r w:rsidR="00241EED" w:rsidRPr="00241EED">
        <w:rPr>
          <w:rFonts w:ascii="Times New Roman" w:hAnsi="Times New Roman" w:cs="Times New Roman"/>
          <w:sz w:val="24"/>
          <w:szCs w:val="24"/>
        </w:rPr>
        <w:t>transketolase activity between 3</w:t>
      </w:r>
      <w:r w:rsidR="00517204">
        <w:rPr>
          <w:rFonts w:ascii="Times New Roman" w:hAnsi="Times New Roman" w:cs="Times New Roman"/>
          <w:sz w:val="24"/>
          <w:szCs w:val="24"/>
        </w:rPr>
        <w:t>%</w:t>
      </w:r>
      <w:r w:rsidR="00241EED" w:rsidRPr="00241EED">
        <w:rPr>
          <w:rFonts w:ascii="Times New Roman" w:hAnsi="Times New Roman" w:cs="Times New Roman"/>
          <w:sz w:val="24"/>
          <w:szCs w:val="24"/>
        </w:rPr>
        <w:t xml:space="preserve"> and 6% measured in 20 samples </w:t>
      </w:r>
      <w:r>
        <w:rPr>
          <w:rFonts w:ascii="Times New Roman" w:hAnsi="Times New Roman" w:cs="Times New Roman"/>
          <w:sz w:val="24"/>
          <w:szCs w:val="24"/>
        </w:rPr>
        <w:t xml:space="preserve">collected </w:t>
      </w:r>
      <w:r w:rsidR="00241EED" w:rsidRPr="00241EED">
        <w:rPr>
          <w:rFonts w:ascii="Times New Roman" w:hAnsi="Times New Roman" w:cs="Times New Roman"/>
          <w:sz w:val="24"/>
          <w:szCs w:val="24"/>
        </w:rPr>
        <w:t xml:space="preserve">from </w:t>
      </w:r>
      <w:r>
        <w:rPr>
          <w:rFonts w:ascii="Times New Roman" w:hAnsi="Times New Roman" w:cs="Times New Roman"/>
          <w:sz w:val="24"/>
          <w:szCs w:val="24"/>
        </w:rPr>
        <w:t xml:space="preserve">each of </w:t>
      </w:r>
      <w:r w:rsidR="00241EED" w:rsidRPr="00241EED">
        <w:rPr>
          <w:rFonts w:ascii="Times New Roman" w:hAnsi="Times New Roman" w:cs="Times New Roman"/>
          <w:sz w:val="24"/>
          <w:szCs w:val="24"/>
        </w:rPr>
        <w:t>4 individuals over 60 days on a constant diet</w:t>
      </w:r>
      <w:r w:rsidR="006C26FC">
        <w:rPr>
          <w:rFonts w:ascii="Times New Roman" w:hAnsi="Times New Roman" w:cs="Times New Roman"/>
          <w:sz w:val="24"/>
          <w:szCs w:val="24"/>
        </w:rPr>
        <w:t>.</w:t>
      </w:r>
      <w:r w:rsidR="00241EED" w:rsidRPr="00241EED">
        <w:rPr>
          <w:rFonts w:ascii="Times New Roman" w:hAnsi="Times New Roman" w:cs="Times New Roman"/>
          <w:sz w:val="24"/>
          <w:szCs w:val="24"/>
        </w:rPr>
        <w:fldChar w:fldCharType="begin" w:fldLock="1"/>
      </w:r>
      <w:r w:rsidR="00E57474">
        <w:rPr>
          <w:rFonts w:ascii="Times New Roman" w:hAnsi="Times New Roman" w:cs="Times New Roman"/>
          <w:sz w:val="24"/>
          <w:szCs w:val="24"/>
        </w:rPr>
        <w:instrText>ADDIN CSL_CITATION {"citationItems":[{"id":"ITEM-1","itemData":{"ISSN":"0954-3007 (Print)","PMID":"2261898","abstract":"The biological variability of the values of various biochemical indices used for the  assessment of the nutritional status of man was investigated in 4 healthy male volunteers (mean age 23 years). They were given a constant diet for 60 d, with the nutrient intake at the level of the Dutch recommendations. Blood was collected twice a week and 24-h urine samples on all 60 d; furthermore, on one day blood was collected every 2 h. Two months after the 60-d constant diet period the intra-individual variability of the various indices was studied once more, this time under habitual dietary practices. The intra-individual variability of urinary excretion of the vitamins B1 and B2 turned out to be rather high (coefficient of variation (CV) ranging from 11 to 25 per cent). Despite a constant sodium intake throughout the study, the variability of urinary Na excretion was also high (mean CV 16 per cent); the level of CV did not improve when the excretion was expressed on the basis of creatinine. Levels of serum HDL- and total cholesterol were fairly constant, both over the 60-d period and during the day (CV 2.5-7 per cent). The CV within subjects for vitamin B1, B2 and B6 concentrations in blood ranged from 6 to 12 per cent, the variations of the corresponding erythrocyte enzyme activities were smaller. It is remarkable that the CV within subjects of most variables studied was not higher during the period on the habitual diet. We conclude that casual blood sampling is insufficient for an evaluation of the vitamin B status of an individual. The high intra-individual variability of 24-h vitamin B1 and B2 urinary excretions indicates that in the assessment of the vitamin status or intake of an individual the importance of these excretion figures is limited. The 'a-values' of the B vitamins may predict vitamin status better than the concentrations of the vitamins in blood or the activities of the corresponding enzymes. The variability of the parameters of vitamin B status over the day (CV 3-11 per cent) suggests that the values of these parameters depend on the time of the day at which samples are taken.","author":[{"dropping-particle":"","family":"Dokkum","given":"W","non-dropping-particle":"van","parse-names":false,"suffix":""},{"dropping-particle":"","family":"Schrijver","given":"J","non-dropping-particle":"","parse-names":false,"suffix":""},{"dropping-particle":"","family":"Wesstra","given":"J A","non-dropping-particle":"","parse-names":false,"suffix":""}],"container-title":"European journal of clinical nutrition","id":"ITEM-1","issue":"9","issued":{"date-parts":[["1990","9"]]},"language":"eng","page":"665-674","publisher-place":"England","title":"Variability in man of the levels of some indices of nutritional status over a 60-d  period on a constant diet.","type":"article-journal","volume":"44"},"uris":["http://www.mendeley.com/documents/?uuid=00dc4856-6115-4996-bd02-37035513b58d"]}],"mendeley":{"formattedCitation":"&lt;sup&gt;28&lt;/sup&gt;","plainTextFormattedCitation":"28","previouslyFormattedCitation":"&lt;sup&gt;28&lt;/sup&gt;"},"properties":{"noteIndex":0},"schema":"https://github.com/citation-style-language/schema/raw/master/csl-citation.json"}</w:instrText>
      </w:r>
      <w:r w:rsidR="00241EED" w:rsidRPr="00241EED">
        <w:rPr>
          <w:rFonts w:ascii="Times New Roman" w:hAnsi="Times New Roman" w:cs="Times New Roman"/>
          <w:sz w:val="24"/>
          <w:szCs w:val="24"/>
        </w:rPr>
        <w:fldChar w:fldCharType="separate"/>
      </w:r>
      <w:r w:rsidR="00016D44" w:rsidRPr="00016D44">
        <w:rPr>
          <w:rFonts w:ascii="Times New Roman" w:hAnsi="Times New Roman" w:cs="Times New Roman"/>
          <w:noProof/>
          <w:sz w:val="24"/>
          <w:szCs w:val="24"/>
          <w:vertAlign w:val="superscript"/>
        </w:rPr>
        <w:t>28</w:t>
      </w:r>
      <w:r w:rsidR="00241EED" w:rsidRPr="00241EED">
        <w:rPr>
          <w:rFonts w:ascii="Times New Roman" w:hAnsi="Times New Roman" w:cs="Times New Roman"/>
          <w:sz w:val="24"/>
          <w:szCs w:val="24"/>
        </w:rPr>
        <w:fldChar w:fldCharType="end"/>
      </w:r>
    </w:p>
    <w:p w14:paraId="65E7B1B2" w14:textId="77777777" w:rsidR="00241EED" w:rsidRPr="006C26FC" w:rsidRDefault="00241EED" w:rsidP="006C26FC">
      <w:pPr>
        <w:spacing w:line="276" w:lineRule="auto"/>
        <w:rPr>
          <w:rFonts w:ascii="Times New Roman" w:hAnsi="Times New Roman" w:cs="Times New Roman"/>
          <w:i/>
          <w:sz w:val="24"/>
          <w:szCs w:val="24"/>
        </w:rPr>
      </w:pPr>
      <w:r w:rsidRPr="006C26FC">
        <w:rPr>
          <w:rFonts w:ascii="Times New Roman" w:hAnsi="Times New Roman" w:cs="Times New Roman"/>
          <w:i/>
          <w:sz w:val="24"/>
          <w:szCs w:val="24"/>
        </w:rPr>
        <w:t xml:space="preserve">Between-individual </w:t>
      </w:r>
    </w:p>
    <w:p w14:paraId="0498E4E4" w14:textId="39716604" w:rsidR="00946F4D" w:rsidRPr="00DC575C" w:rsidRDefault="00946F4D" w:rsidP="006C26FC">
      <w:pPr>
        <w:spacing w:line="276" w:lineRule="auto"/>
        <w:rPr>
          <w:rFonts w:ascii="Times New Roman" w:hAnsi="Times New Roman" w:cs="Times New Roman"/>
          <w:sz w:val="24"/>
          <w:szCs w:val="24"/>
        </w:rPr>
      </w:pPr>
      <w:r>
        <w:rPr>
          <w:rFonts w:ascii="Times New Roman" w:hAnsi="Times New Roman" w:cs="Times New Roman"/>
          <w:sz w:val="24"/>
          <w:szCs w:val="24"/>
        </w:rPr>
        <w:t>ETKAC data from the UK National Diet and Nutrition Survey</w:t>
      </w:r>
      <w:r w:rsidR="00B02DF2">
        <w:rPr>
          <w:rFonts w:ascii="Times New Roman" w:hAnsi="Times New Roman" w:cs="Times New Roman"/>
          <w:sz w:val="24"/>
          <w:szCs w:val="24"/>
        </w:rPr>
        <w:t xml:space="preserve"> </w:t>
      </w:r>
      <w:r w:rsidR="00A90025">
        <w:rPr>
          <w:rFonts w:ascii="Times New Roman" w:hAnsi="Times New Roman" w:cs="Times New Roman"/>
          <w:sz w:val="24"/>
          <w:szCs w:val="24"/>
        </w:rPr>
        <w:t xml:space="preserve">(NDNS) Rolling Programme </w:t>
      </w:r>
      <w:r w:rsidR="00B02DF2">
        <w:rPr>
          <w:rFonts w:ascii="Times New Roman" w:hAnsi="Times New Roman" w:cs="Times New Roman"/>
          <w:sz w:val="24"/>
          <w:szCs w:val="24"/>
        </w:rPr>
        <w:t>(Years 7  - 8 (2014 – 2016)</w:t>
      </w:r>
      <w:r>
        <w:rPr>
          <w:rFonts w:ascii="Times New Roman" w:hAnsi="Times New Roman" w:cs="Times New Roman"/>
          <w:sz w:val="24"/>
          <w:szCs w:val="24"/>
        </w:rPr>
        <w:fldChar w:fldCharType="begin" w:fldLock="1"/>
      </w:r>
      <w:r w:rsidR="00E57474">
        <w:rPr>
          <w:rFonts w:ascii="Times New Roman" w:hAnsi="Times New Roman" w:cs="Times New Roman"/>
          <w:sz w:val="24"/>
          <w:szCs w:val="24"/>
        </w:rPr>
        <w:instrText>ADDIN CSL_CITATION {"citationItems":[{"id":"ITEM-1","itemData":{"author":[{"dropping-particle":"","family":"Public Health England","given":"","non-dropping-particle":"","parse-names":false,"suffix":""}],"id":"ITEM-1","issued":{"date-parts":[["2018"]]},"title":"National Diet and Nutrition Survey. Results from Years 7 and 8 (combined) of the Rolling Programme (2014/15 to 2015/16)","type":"report"},"uris":["http://www.mendeley.com/documents/?uuid=07422465-7d94-43bb-8b0e-b4c867e680b4"]}],"mendeley":{"formattedCitation":"&lt;sup&gt;29&lt;/sup&gt;","plainTextFormattedCitation":"29","previouslyFormattedCitation":"&lt;sup&gt;29&lt;/sup&gt;"},"properties":{"noteIndex":0},"schema":"https://github.com/citation-style-language/schema/raw/master/csl-citation.json"}</w:instrText>
      </w:r>
      <w:r>
        <w:rPr>
          <w:rFonts w:ascii="Times New Roman" w:hAnsi="Times New Roman" w:cs="Times New Roman"/>
          <w:sz w:val="24"/>
          <w:szCs w:val="24"/>
        </w:rPr>
        <w:fldChar w:fldCharType="separate"/>
      </w:r>
      <w:r w:rsidR="00016D44" w:rsidRPr="00016D44">
        <w:rPr>
          <w:rFonts w:ascii="Times New Roman" w:hAnsi="Times New Roman" w:cs="Times New Roman"/>
          <w:noProof/>
          <w:sz w:val="24"/>
          <w:szCs w:val="24"/>
          <w:vertAlign w:val="superscript"/>
        </w:rPr>
        <w:t>29</w:t>
      </w:r>
      <w:r>
        <w:rPr>
          <w:rFonts w:ascii="Times New Roman" w:hAnsi="Times New Roman" w:cs="Times New Roman"/>
          <w:sz w:val="24"/>
          <w:szCs w:val="24"/>
        </w:rPr>
        <w:fldChar w:fldCharType="end"/>
      </w:r>
      <w:r w:rsidR="00B02DF2">
        <w:rPr>
          <w:rFonts w:ascii="Times New Roman" w:hAnsi="Times New Roman" w:cs="Times New Roman"/>
          <w:sz w:val="24"/>
          <w:szCs w:val="24"/>
        </w:rPr>
        <w:t xml:space="preserve"> are</w:t>
      </w:r>
      <w:r>
        <w:rPr>
          <w:rFonts w:ascii="Times New Roman" w:hAnsi="Times New Roman" w:cs="Times New Roman"/>
          <w:sz w:val="24"/>
          <w:szCs w:val="24"/>
        </w:rPr>
        <w:t xml:space="preserve"> presented </w:t>
      </w:r>
      <w:r w:rsidRPr="00DC575C">
        <w:rPr>
          <w:rFonts w:ascii="Times New Roman" w:hAnsi="Times New Roman" w:cs="Times New Roman"/>
          <w:sz w:val="24"/>
          <w:szCs w:val="24"/>
        </w:rPr>
        <w:t xml:space="preserve">in </w:t>
      </w:r>
      <w:r w:rsidRPr="00DC575C">
        <w:rPr>
          <w:rFonts w:ascii="Times New Roman" w:hAnsi="Times New Roman" w:cs="Times New Roman"/>
          <w:b/>
          <w:sz w:val="24"/>
          <w:szCs w:val="24"/>
        </w:rPr>
        <w:t>T</w:t>
      </w:r>
      <w:r w:rsidR="00B02DF2" w:rsidRPr="00DC575C">
        <w:rPr>
          <w:rFonts w:ascii="Times New Roman" w:hAnsi="Times New Roman" w:cs="Times New Roman"/>
          <w:b/>
          <w:sz w:val="24"/>
          <w:szCs w:val="24"/>
        </w:rPr>
        <w:t>able 1</w:t>
      </w:r>
      <w:r w:rsidR="00B02DF2" w:rsidRPr="00DC575C">
        <w:rPr>
          <w:rFonts w:ascii="Times New Roman" w:hAnsi="Times New Roman" w:cs="Times New Roman"/>
          <w:sz w:val="24"/>
          <w:szCs w:val="24"/>
        </w:rPr>
        <w:t xml:space="preserve"> and </w:t>
      </w:r>
      <w:r w:rsidR="00533AD8" w:rsidRPr="00DC575C">
        <w:rPr>
          <w:rFonts w:ascii="Times New Roman" w:hAnsi="Times New Roman" w:cs="Times New Roman"/>
          <w:sz w:val="24"/>
          <w:szCs w:val="24"/>
        </w:rPr>
        <w:t>show</w:t>
      </w:r>
      <w:r w:rsidRPr="00DC575C">
        <w:rPr>
          <w:rFonts w:ascii="Times New Roman" w:hAnsi="Times New Roman" w:cs="Times New Roman"/>
          <w:sz w:val="24"/>
          <w:szCs w:val="24"/>
        </w:rPr>
        <w:t xml:space="preserve"> the range of values in a largely th</w:t>
      </w:r>
      <w:r w:rsidR="00533AD8" w:rsidRPr="00DC575C">
        <w:rPr>
          <w:rFonts w:ascii="Times New Roman" w:hAnsi="Times New Roman" w:cs="Times New Roman"/>
          <w:sz w:val="24"/>
          <w:szCs w:val="24"/>
        </w:rPr>
        <w:t>iamine-replete population. B</w:t>
      </w:r>
      <w:r w:rsidR="006C26FC" w:rsidRPr="00DC575C">
        <w:rPr>
          <w:rFonts w:ascii="Times New Roman" w:hAnsi="Times New Roman" w:cs="Times New Roman"/>
          <w:sz w:val="24"/>
          <w:szCs w:val="24"/>
        </w:rPr>
        <w:t>etween-</w:t>
      </w:r>
      <w:r w:rsidRPr="00DC575C">
        <w:rPr>
          <w:rFonts w:ascii="Times New Roman" w:hAnsi="Times New Roman" w:cs="Times New Roman"/>
          <w:sz w:val="24"/>
          <w:szCs w:val="24"/>
        </w:rPr>
        <w:t xml:space="preserve">individual CV is around 5%. </w:t>
      </w:r>
      <w:r w:rsidR="00541566">
        <w:rPr>
          <w:rFonts w:ascii="Times New Roman" w:hAnsi="Times New Roman" w:cs="Times New Roman"/>
          <w:sz w:val="24"/>
          <w:szCs w:val="24"/>
        </w:rPr>
        <w:t xml:space="preserve">The </w:t>
      </w:r>
      <w:r w:rsidR="0042481B">
        <w:rPr>
          <w:rFonts w:ascii="Times New Roman" w:hAnsi="Times New Roman" w:cs="Times New Roman"/>
          <w:sz w:val="24"/>
          <w:szCs w:val="24"/>
        </w:rPr>
        <w:t>2.5</w:t>
      </w:r>
      <w:r w:rsidR="0042481B" w:rsidRPr="0042481B">
        <w:rPr>
          <w:rFonts w:ascii="Times New Roman" w:hAnsi="Times New Roman" w:cs="Times New Roman"/>
          <w:sz w:val="24"/>
          <w:szCs w:val="24"/>
          <w:vertAlign w:val="superscript"/>
        </w:rPr>
        <w:t>th</w:t>
      </w:r>
      <w:r w:rsidR="0042481B">
        <w:rPr>
          <w:rFonts w:ascii="Times New Roman" w:hAnsi="Times New Roman" w:cs="Times New Roman"/>
          <w:sz w:val="24"/>
          <w:szCs w:val="24"/>
        </w:rPr>
        <w:t xml:space="preserve"> – 97.5</w:t>
      </w:r>
      <w:r w:rsidR="0042481B" w:rsidRPr="0042481B">
        <w:rPr>
          <w:rFonts w:ascii="Times New Roman" w:hAnsi="Times New Roman" w:cs="Times New Roman"/>
          <w:sz w:val="24"/>
          <w:szCs w:val="24"/>
          <w:vertAlign w:val="superscript"/>
        </w:rPr>
        <w:t>th</w:t>
      </w:r>
      <w:r w:rsidR="00AD33C1">
        <w:rPr>
          <w:rFonts w:ascii="Times New Roman" w:hAnsi="Times New Roman" w:cs="Times New Roman"/>
          <w:sz w:val="24"/>
          <w:szCs w:val="24"/>
          <w:vertAlign w:val="superscript"/>
        </w:rPr>
        <w:t xml:space="preserve"> </w:t>
      </w:r>
      <w:r w:rsidR="00AD33C1">
        <w:rPr>
          <w:rFonts w:ascii="Times New Roman" w:hAnsi="Times New Roman" w:cs="Times New Roman"/>
          <w:sz w:val="24"/>
          <w:szCs w:val="24"/>
        </w:rPr>
        <w:t>percentile</w:t>
      </w:r>
      <w:r w:rsidR="0042481B">
        <w:rPr>
          <w:rFonts w:ascii="Times New Roman" w:hAnsi="Times New Roman" w:cs="Times New Roman"/>
          <w:sz w:val="24"/>
          <w:szCs w:val="24"/>
        </w:rPr>
        <w:t xml:space="preserve"> </w:t>
      </w:r>
      <w:r w:rsidR="00541566">
        <w:rPr>
          <w:rFonts w:ascii="Times New Roman" w:hAnsi="Times New Roman" w:cs="Times New Roman"/>
          <w:sz w:val="24"/>
          <w:szCs w:val="24"/>
        </w:rPr>
        <w:t>range in the UK population based on the NDNS Rolling Programme data for Years 1 – 8, using the ETKAC method described herein, is 1.01 to 1.21.</w:t>
      </w:r>
    </w:p>
    <w:p w14:paraId="1A1F17FE" w14:textId="77777777" w:rsidR="00851B2E" w:rsidRPr="00CB3ECF" w:rsidRDefault="00C867E5" w:rsidP="00DA3FAD">
      <w:pPr>
        <w:pStyle w:val="ListParagraph"/>
        <w:numPr>
          <w:ilvl w:val="0"/>
          <w:numId w:val="30"/>
        </w:numPr>
        <w:spacing w:line="276" w:lineRule="auto"/>
        <w:ind w:left="714" w:hanging="357"/>
        <w:contextualSpacing w:val="0"/>
        <w:rPr>
          <w:rFonts w:ascii="Times New Roman" w:hAnsi="Times New Roman" w:cs="Times New Roman"/>
          <w:b/>
          <w:sz w:val="24"/>
          <w:szCs w:val="24"/>
        </w:rPr>
      </w:pPr>
      <w:r>
        <w:rPr>
          <w:rFonts w:ascii="Times New Roman" w:hAnsi="Times New Roman" w:cs="Times New Roman"/>
          <w:b/>
          <w:sz w:val="24"/>
          <w:szCs w:val="24"/>
        </w:rPr>
        <w:t xml:space="preserve">Limitations </w:t>
      </w:r>
      <w:r w:rsidR="00E24F64">
        <w:rPr>
          <w:rFonts w:ascii="Times New Roman" w:hAnsi="Times New Roman" w:cs="Times New Roman"/>
          <w:b/>
          <w:sz w:val="24"/>
          <w:szCs w:val="24"/>
        </w:rPr>
        <w:t xml:space="preserve">and </w:t>
      </w:r>
      <w:r w:rsidR="001B721B">
        <w:rPr>
          <w:rFonts w:ascii="Times New Roman" w:hAnsi="Times New Roman" w:cs="Times New Roman"/>
          <w:b/>
          <w:sz w:val="24"/>
          <w:szCs w:val="24"/>
        </w:rPr>
        <w:t>o</w:t>
      </w:r>
      <w:r w:rsidR="00851B2E" w:rsidRPr="00CB3ECF">
        <w:rPr>
          <w:rFonts w:ascii="Times New Roman" w:hAnsi="Times New Roman" w:cs="Times New Roman"/>
          <w:b/>
          <w:sz w:val="24"/>
          <w:szCs w:val="24"/>
        </w:rPr>
        <w:t>ther factors</w:t>
      </w:r>
    </w:p>
    <w:p w14:paraId="35E825A5" w14:textId="45D0D3D1" w:rsidR="00851B2E" w:rsidRDefault="00E5436E" w:rsidP="006C26FC">
      <w:pPr>
        <w:spacing w:line="276" w:lineRule="auto"/>
        <w:rPr>
          <w:rFonts w:ascii="Times New Roman" w:hAnsi="Times New Roman" w:cs="Times New Roman"/>
          <w:sz w:val="24"/>
          <w:szCs w:val="24"/>
        </w:rPr>
      </w:pPr>
      <w:r>
        <w:rPr>
          <w:rFonts w:ascii="Times New Roman" w:hAnsi="Times New Roman" w:cs="Times New Roman"/>
          <w:sz w:val="24"/>
          <w:szCs w:val="24"/>
        </w:rPr>
        <w:t>G</w:t>
      </w:r>
      <w:r w:rsidR="00851B2E" w:rsidRPr="00CB3ECF">
        <w:rPr>
          <w:rFonts w:ascii="Times New Roman" w:hAnsi="Times New Roman" w:cs="Times New Roman"/>
          <w:sz w:val="24"/>
          <w:szCs w:val="24"/>
        </w:rPr>
        <w:t xml:space="preserve">enetic differences leading to different </w:t>
      </w:r>
      <w:r w:rsidR="004941BF" w:rsidRPr="00CB3ECF">
        <w:rPr>
          <w:rFonts w:ascii="Times New Roman" w:hAnsi="Times New Roman" w:cs="Times New Roman"/>
          <w:sz w:val="24"/>
          <w:szCs w:val="24"/>
        </w:rPr>
        <w:t>transketo</w:t>
      </w:r>
      <w:r w:rsidR="004941BF">
        <w:rPr>
          <w:rFonts w:ascii="Times New Roman" w:hAnsi="Times New Roman" w:cs="Times New Roman"/>
          <w:sz w:val="24"/>
          <w:szCs w:val="24"/>
        </w:rPr>
        <w:t>lase</w:t>
      </w:r>
      <w:r w:rsidR="004941BF" w:rsidRPr="00CB3ECF">
        <w:rPr>
          <w:rFonts w:ascii="Times New Roman" w:hAnsi="Times New Roman" w:cs="Times New Roman"/>
          <w:sz w:val="24"/>
          <w:szCs w:val="24"/>
        </w:rPr>
        <w:t xml:space="preserve"> </w:t>
      </w:r>
      <w:r w:rsidR="00851B2E" w:rsidRPr="00CB3ECF">
        <w:rPr>
          <w:rFonts w:ascii="Times New Roman" w:hAnsi="Times New Roman" w:cs="Times New Roman"/>
          <w:sz w:val="24"/>
          <w:szCs w:val="24"/>
        </w:rPr>
        <w:t xml:space="preserve">isoforms </w:t>
      </w:r>
      <w:r w:rsidR="004941BF">
        <w:rPr>
          <w:rFonts w:ascii="Times New Roman" w:hAnsi="Times New Roman" w:cs="Times New Roman"/>
          <w:sz w:val="24"/>
          <w:szCs w:val="24"/>
        </w:rPr>
        <w:t>that may</w:t>
      </w:r>
      <w:r w:rsidR="00E41587">
        <w:rPr>
          <w:rFonts w:ascii="Times New Roman" w:hAnsi="Times New Roman" w:cs="Times New Roman"/>
          <w:sz w:val="24"/>
          <w:szCs w:val="24"/>
        </w:rPr>
        <w:t xml:space="preserve"> have different</w:t>
      </w:r>
      <w:r>
        <w:rPr>
          <w:rFonts w:ascii="Times New Roman" w:hAnsi="Times New Roman" w:cs="Times New Roman"/>
          <w:sz w:val="24"/>
          <w:szCs w:val="24"/>
        </w:rPr>
        <w:t xml:space="preserve"> activity or</w:t>
      </w:r>
      <w:r w:rsidR="00851B2E" w:rsidRPr="00CB3ECF">
        <w:rPr>
          <w:rFonts w:ascii="Times New Roman" w:hAnsi="Times New Roman" w:cs="Times New Roman"/>
          <w:sz w:val="24"/>
          <w:szCs w:val="24"/>
        </w:rPr>
        <w:t xml:space="preserve"> stability</w:t>
      </w:r>
      <w:r w:rsidR="004941BF">
        <w:rPr>
          <w:rFonts w:ascii="Times New Roman" w:hAnsi="Times New Roman" w:cs="Times New Roman"/>
          <w:sz w:val="24"/>
          <w:szCs w:val="24"/>
        </w:rPr>
        <w:t>,</w:t>
      </w:r>
      <w:r w:rsidR="00851B2E" w:rsidRPr="00CB3ECF">
        <w:rPr>
          <w:rFonts w:ascii="Times New Roman" w:hAnsi="Times New Roman" w:cs="Times New Roman"/>
          <w:sz w:val="24"/>
          <w:szCs w:val="24"/>
        </w:rPr>
        <w:fldChar w:fldCharType="begin" w:fldLock="1"/>
      </w:r>
      <w:r w:rsidR="00E57474">
        <w:rPr>
          <w:rFonts w:ascii="Times New Roman" w:hAnsi="Times New Roman" w:cs="Times New Roman"/>
          <w:sz w:val="24"/>
          <w:szCs w:val="24"/>
        </w:rPr>
        <w:instrText>ADDIN CSL_CITATION {"citationItems":[{"id":"ITEM-1","itemData":{"DOI":"10.1016/0009-8981(83)90309-1","ISSN":"0009-8981 (Print)","PMID":"6191889","abstract":"Analytical isoelectric focusing and a stain for transketolase have been applied to  partially purified samples of human erythrocyte hemolysates and have detected individual species of transketolase having pI values of 6.6, 7.3, 7.5, 7.8, 8.1, 8.2, 8.4 and 9.2. Six different patterns of these species were detected in 25 healthy subjects. The species of pI 7.5, 7.8 and 8.1 were common to all six patterns. Species isolated by electrofocusing could be rerun in the same system with identical pI value. The addition of thiamin diphosphate to the staining mixture darkened some but not all bands of transketolase activity. Thus human erythrocyte transketolase is heterogeneous and appears to share with human fibroblast transketolase heterogeneity for affinity of the cofactor. This heterogeneity might need recognition when thiamin nutritional sufficiency is assessed by the 'thiamin diphosphate effect' on erythrocyte transketolase.","author":[{"dropping-particle":"","family":"Kaczmarek","given":"M J","non-dropping-particle":"","parse-names":false,"suffix":""},{"dropping-particle":"","family":"Nixon","given":"P F","non-dropping-particle":"","parse-names":false,"suffix":""}],"container-title":"Clinica chimica acta; international journal of clinical chemistry","id":"ITEM-1","issue":"3","issued":{"date-parts":[["1983","6"]]},"language":"eng","page":"349-356","publisher-place":"Netherlands","title":"Variants of transketolase from human erythrocytes.","type":"article-journal","volume":"130"},"uris":["http://www.mendeley.com/documents/?uuid=970e31b7-6553-4df6-9d49-cff7c9f716d8"]}],"mendeley":{"formattedCitation":"&lt;sup&gt;30&lt;/sup&gt;","plainTextFormattedCitation":"30","previouslyFormattedCitation":"&lt;sup&gt;30&lt;/sup&gt;"},"properties":{"noteIndex":0},"schema":"https://github.com/citation-style-language/schema/raw/master/csl-citation.json"}</w:instrText>
      </w:r>
      <w:r w:rsidR="00851B2E" w:rsidRPr="00CB3ECF">
        <w:rPr>
          <w:rFonts w:ascii="Times New Roman" w:hAnsi="Times New Roman" w:cs="Times New Roman"/>
          <w:sz w:val="24"/>
          <w:szCs w:val="24"/>
        </w:rPr>
        <w:fldChar w:fldCharType="separate"/>
      </w:r>
      <w:r w:rsidR="00016D44" w:rsidRPr="00016D44">
        <w:rPr>
          <w:rFonts w:ascii="Times New Roman" w:hAnsi="Times New Roman" w:cs="Times New Roman"/>
          <w:noProof/>
          <w:sz w:val="24"/>
          <w:szCs w:val="24"/>
          <w:vertAlign w:val="superscript"/>
        </w:rPr>
        <w:t>30</w:t>
      </w:r>
      <w:r w:rsidR="00851B2E" w:rsidRPr="00CB3ECF">
        <w:rPr>
          <w:rFonts w:ascii="Times New Roman" w:hAnsi="Times New Roman" w:cs="Times New Roman"/>
          <w:sz w:val="24"/>
          <w:szCs w:val="24"/>
        </w:rPr>
        <w:fldChar w:fldCharType="end"/>
      </w:r>
      <w:r>
        <w:rPr>
          <w:rFonts w:ascii="Times New Roman" w:hAnsi="Times New Roman" w:cs="Times New Roman"/>
          <w:sz w:val="24"/>
          <w:szCs w:val="24"/>
        </w:rPr>
        <w:t xml:space="preserve"> </w:t>
      </w:r>
      <w:r w:rsidR="004941BF">
        <w:rPr>
          <w:rFonts w:ascii="Times New Roman" w:hAnsi="Times New Roman" w:cs="Times New Roman"/>
          <w:sz w:val="24"/>
          <w:szCs w:val="24"/>
        </w:rPr>
        <w:t>or</w:t>
      </w:r>
      <w:r>
        <w:rPr>
          <w:rFonts w:ascii="Times New Roman" w:hAnsi="Times New Roman" w:cs="Times New Roman"/>
          <w:sz w:val="24"/>
          <w:szCs w:val="24"/>
        </w:rPr>
        <w:t xml:space="preserve"> be associated with the manifestation of thiamine deficiency in Wenicke-Korsakoff syndrome</w:t>
      </w:r>
      <w:r w:rsidR="004941BF">
        <w:rPr>
          <w:rFonts w:ascii="Times New Roman" w:hAnsi="Times New Roman" w:cs="Times New Roman"/>
          <w:sz w:val="24"/>
          <w:szCs w:val="24"/>
        </w:rPr>
        <w:t>, have been suggested.</w:t>
      </w:r>
      <w:r>
        <w:rPr>
          <w:rFonts w:ascii="Times New Roman" w:hAnsi="Times New Roman" w:cs="Times New Roman"/>
          <w:sz w:val="24"/>
          <w:szCs w:val="24"/>
        </w:rPr>
        <w:fldChar w:fldCharType="begin" w:fldLock="1"/>
      </w:r>
      <w:r w:rsidR="00E57474">
        <w:rPr>
          <w:rFonts w:ascii="Times New Roman" w:hAnsi="Times New Roman" w:cs="Times New Roman"/>
          <w:sz w:val="24"/>
          <w:szCs w:val="24"/>
        </w:rPr>
        <w:instrText>ADDIN CSL_CITATION {"citationItems":[{"id":"ITEM-1","itemData":{"DOI":"10.1111/j.1365-2362.1984.tb01181.x","ISSN":"0014-2972 (Print)","PMID":"6434322","abstract":"Two techniques were used to seek variants of human erythrocyte transketolase and to  test for any association of the Wernicke-Korsakoff syndrome, a thiamin-deficiency disease, with a particular variant of this thiamin-dependent enzyme. Apparent Km values for the cofactor thiamin diphosphate were similar for patients and controls. However, isoelectric focussing separated erythrocyte transketolase into different isoenzymes characterized by pI values in the range 6.6-9.2. Six distinct patterns of isoenzymes were found in thirty-six healthy control subjects. The isoenzyme pattern for thirty-nine out of forty-two patients suffering from the Wernicke-Korsakoff syndrome was identical to a pattern found in only eight of thirty-six control subjects, a highly significant association (P less than 0.001). This association suggests that a variant transketolase and thiamin deficiency together contribute to the pathogenesis of the brain damage of the Wernicke-Korsakoff syndrome by some mechanism independent of apparent Km values for thiamin diphosphate.","author":[{"dropping-particle":"","family":"Nixon","given":"P F","non-dropping-particle":"","parse-names":false,"suffix":""},{"dropping-particle":"","family":"Kaczmarek","given":"M J","non-dropping-particle":"","parse-names":false,"suffix":""},{"dropping-particle":"","family":"Tate","given":"J","non-dropping-particle":"","parse-names":false,"suffix":""},{"dropping-particle":"","family":"Kerr","given":"R A","non-dropping-particle":"","parse-names":false,"suffix":""},{"dropping-particle":"","family":"Price","given":"J","non-dropping-particle":"","parse-names":false,"suffix":""}],"container-title":"European journal of clinical investigation","id":"ITEM-1","issue":"4","issued":{"date-parts":[["1984","8"]]},"language":"eng","page":"278-281","publisher-place":"England","title":"An erythrocyte transketolase isoenzyme pattern associated with the  Wernicke-Korsakoff syndrome.","type":"article-journal","volume":"14"},"uris":["http://www.mendeley.com/documents/?uuid=518e12d9-eb7b-4d84-8daa-48e2d0ea017b"]},{"id":"ITEM-2","itemData":{"DOI":"10.1016/0009-8981(83)90309-1","ISSN":"0009-8981 (Print)","PMID":"6191889","abstract":"Analytical isoelectric focusing and a stain for transketolase have been applied to  partially purified samples of human erythrocyte hemolysates and have detected individual species of transketolase having pI values of 6.6, 7.3, 7.5, 7.8, 8.1, 8.2, 8.4 and 9.2. Six different patterns of these species were detected in 25 healthy subjects. The species of pI 7.5, 7.8 and 8.1 were common to all six patterns. Species isolated by electrofocusing could be rerun in the same system with identical pI value. The addition of thiamin diphosphate to the staining mixture darkened some but not all bands of transketolase activity. Thus human erythrocyte transketolase is heterogeneous and appears to share with human fibroblast transketolase heterogeneity for affinity of the cofactor. This heterogeneity might need recognition when thiamin nutritional sufficiency is assessed by the 'thiamin diphosphate effect' on erythrocyte transketolase.","author":[{"dropping-particle":"","family":"Kaczmarek","given":"M J","non-dropping-particle":"","parse-names":false,"suffix":""},{"dropping-particle":"","family":"Nixon","given":"P F","non-dropping-particle":"","parse-names":false,"suffix":""}],"container-title":"Clinica chimica acta; international journal of clinical chemistry","id":"ITEM-2","issue":"3","issued":{"date-parts":[["1983","6"]]},"language":"eng","page":"349-356","publisher-place":"Netherlands","title":"Variants of transketolase from human erythrocytes.","type":"article-journal","volume":"130"},"uris":["http://www.mendeley.com/documents/?uuid=970e31b7-6553-4df6-9d49-cff7c9f716d8"]}],"mendeley":{"formattedCitation":"&lt;sup&gt;30,31&lt;/sup&gt;","plainTextFormattedCitation":"30,31","previouslyFormattedCitation":"&lt;sup&gt;30,31&lt;/sup&gt;"},"properties":{"noteIndex":0},"schema":"https://github.com/citation-style-language/schema/raw/master/csl-citation.json"}</w:instrText>
      </w:r>
      <w:r>
        <w:rPr>
          <w:rFonts w:ascii="Times New Roman" w:hAnsi="Times New Roman" w:cs="Times New Roman"/>
          <w:sz w:val="24"/>
          <w:szCs w:val="24"/>
        </w:rPr>
        <w:fldChar w:fldCharType="separate"/>
      </w:r>
      <w:r w:rsidR="00016D44" w:rsidRPr="00016D44">
        <w:rPr>
          <w:rFonts w:ascii="Times New Roman" w:hAnsi="Times New Roman" w:cs="Times New Roman"/>
          <w:noProof/>
          <w:sz w:val="24"/>
          <w:szCs w:val="24"/>
          <w:vertAlign w:val="superscript"/>
        </w:rPr>
        <w:t>30,31</w:t>
      </w:r>
      <w:r>
        <w:rPr>
          <w:rFonts w:ascii="Times New Roman" w:hAnsi="Times New Roman" w:cs="Times New Roman"/>
          <w:sz w:val="24"/>
          <w:szCs w:val="24"/>
        </w:rPr>
        <w:fldChar w:fldCharType="end"/>
      </w:r>
      <w:r>
        <w:rPr>
          <w:rFonts w:ascii="Times New Roman" w:hAnsi="Times New Roman" w:cs="Times New Roman"/>
          <w:sz w:val="24"/>
          <w:szCs w:val="24"/>
        </w:rPr>
        <w:t xml:space="preserve"> However, </w:t>
      </w:r>
      <w:r w:rsidR="00851B2E" w:rsidRPr="00CB3ECF">
        <w:rPr>
          <w:rFonts w:ascii="Times New Roman" w:hAnsi="Times New Roman" w:cs="Times New Roman"/>
          <w:sz w:val="24"/>
          <w:szCs w:val="24"/>
        </w:rPr>
        <w:t>other studies have found no evidence for</w:t>
      </w:r>
      <w:r>
        <w:rPr>
          <w:rFonts w:ascii="Times New Roman" w:hAnsi="Times New Roman" w:cs="Times New Roman"/>
          <w:sz w:val="24"/>
          <w:szCs w:val="24"/>
        </w:rPr>
        <w:t xml:space="preserve"> iso</w:t>
      </w:r>
      <w:r w:rsidR="004941BF">
        <w:rPr>
          <w:rFonts w:ascii="Times New Roman" w:hAnsi="Times New Roman" w:cs="Times New Roman"/>
          <w:sz w:val="24"/>
          <w:szCs w:val="24"/>
        </w:rPr>
        <w:t xml:space="preserve">forms </w:t>
      </w:r>
      <w:r>
        <w:rPr>
          <w:rFonts w:ascii="Times New Roman" w:hAnsi="Times New Roman" w:cs="Times New Roman"/>
          <w:sz w:val="24"/>
          <w:szCs w:val="24"/>
        </w:rPr>
        <w:t xml:space="preserve">or disease associations and suggest earlier observations </w:t>
      </w:r>
      <w:r w:rsidR="00B71820">
        <w:rPr>
          <w:rFonts w:ascii="Times New Roman" w:hAnsi="Times New Roman" w:cs="Times New Roman"/>
          <w:sz w:val="24"/>
          <w:szCs w:val="24"/>
        </w:rPr>
        <w:t>were</w:t>
      </w:r>
      <w:r>
        <w:rPr>
          <w:rFonts w:ascii="Times New Roman" w:hAnsi="Times New Roman" w:cs="Times New Roman"/>
          <w:sz w:val="24"/>
          <w:szCs w:val="24"/>
        </w:rPr>
        <w:t xml:space="preserve"> due to </w:t>
      </w:r>
      <w:r w:rsidR="004941BF">
        <w:rPr>
          <w:rFonts w:ascii="Times New Roman" w:hAnsi="Times New Roman" w:cs="Times New Roman"/>
          <w:sz w:val="24"/>
          <w:szCs w:val="24"/>
        </w:rPr>
        <w:t>the methodologies</w:t>
      </w:r>
      <w:r>
        <w:rPr>
          <w:rFonts w:ascii="Times New Roman" w:hAnsi="Times New Roman" w:cs="Times New Roman"/>
          <w:sz w:val="24"/>
          <w:szCs w:val="24"/>
        </w:rPr>
        <w:t xml:space="preserve"> used</w:t>
      </w:r>
      <w:r w:rsidR="006C26FC">
        <w:rPr>
          <w:rFonts w:ascii="Times New Roman" w:hAnsi="Times New Roman" w:cs="Times New Roman"/>
          <w:sz w:val="24"/>
          <w:szCs w:val="24"/>
        </w:rPr>
        <w:t>.</w:t>
      </w:r>
      <w:r w:rsidR="00851B2E" w:rsidRPr="00CB3ECF">
        <w:rPr>
          <w:rFonts w:ascii="Times New Roman" w:hAnsi="Times New Roman" w:cs="Times New Roman"/>
          <w:sz w:val="24"/>
          <w:szCs w:val="24"/>
        </w:rPr>
        <w:fldChar w:fldCharType="begin" w:fldLock="1"/>
      </w:r>
      <w:r w:rsidR="00E57474">
        <w:rPr>
          <w:rFonts w:ascii="Times New Roman" w:hAnsi="Times New Roman" w:cs="Times New Roman"/>
          <w:sz w:val="24"/>
          <w:szCs w:val="24"/>
        </w:rPr>
        <w:instrText>ADDIN CSL_CITATION {"citationItems":[{"id":"ITEM-1","itemData":{"DOI":"10.1016/0009-8981(87)90453-0","ISSN":"0009-8981 (Print)","PMID":"3829425","abstract":"Using isoelectric focusing of human erythrocyte transketolase, the isoenzyme pattern  described recently (Kaczmarek and Nixon, 1983) was reexamined. Seven bands having pI values of 7.4-8.4 were common to the central part of the transketolase isoenzyme pattern in 63 healthy subjects investigated and were definitely reproduced, whereas four additional marginal bands (pI values of 7.2, 7.3, 8.6 and 8.8) were found with varying intensities in part of the samples and could not always be reproduced. We conclude that the method used does not permit the distinction of transketolase variants, that would allow to postulate a genetic polymorphism, based only on variation of the marginal bands of the pattern.","author":[{"dropping-particle":"","family":"Kaufmann","given":"A","non-dropping-particle":"","parse-names":false,"suffix":""},{"dropping-particle":"","family":"Uhlhaas","given":"S","non-dropping-particle":"","parse-names":false,"suffix":""},{"dropping-particle":"","family":"Friedl","given":"W","non-dropping-particle":"","parse-names":false,"suffix":""},{"dropping-particle":"","family":"Propping","given":"P","non-dropping-particle":"","parse-names":false,"suffix":""}],"container-title":"Clinica chimica acta; international journal of clinical chemistry","id":"ITEM-1","issue":"2","issued":{"date-parts":[["1987","1"]]},"language":"eng","page":"215-219","publisher-place":"Netherlands","title":"Human erythrocyte transketolase: no evidence for variants.","type":"article-journal","volume":"162"},"uris":["http://www.mendeley.com/documents/?uuid=e2b8bc96-5c95-4d2a-a093-c4271f3cb2c9"]},{"id":"ITEM-2","itemData":{"DOI":"10.1016/0003-2697(87)90616-6","ISSN":"0003-2697 (Print)","PMID":"3565758","abstract":"Human erythrocyte transketolase could be resolved from thiamin diphosphate (TDP) by  acidification of the ammonium sulfate precipitate to pH 3.5, but not by other tested procedures. Resolution was 98% by chemical measurement of residual thiamin and 95% by residual enzyme activity. Reconstitution of the resolved preparation by incubation with TDP was dependent upon TDP concentration, duration, temperature, and the presence of dithiothreitol. At low TDP concentrations, 1 h was required for maximum activation; kinetic analysis then yielded an apparent Km value for TDP of 65 nM (SD 14 nM) from 100 erythrocyte lysates and similar values for reconstituted resolved preparations previously purified 400-fold and 10,000-fold. Velocity data obtained by transketolase assays in which the TDP was added to resolved preparations simultaneously with substrates yielded an apparent Km value for TDP of 2.3 microM (SD 1.6 microM) from 114 erythrocyte lysates and similar values for purified preparations. The recovery of activity following resolution and reconstitution ranged from 21 to 60% from lysates and 38 to 70% from purified preparations. Residual ammonium sulfate up to 4.9 mM decreased the apparent Km value for TDP, while a concentration of 11.3 mM increased the value in a manner competitive with TDP and with an apparent Ki value of 2.3 mM. The spectrophotometric assay of transketolase activity was greatly affected by storage of frozen solutions of the substrate ribose 5-phosphate.","author":[{"dropping-particle":"","family":"Tate","given":"J R","non-dropping-particle":"","parse-names":false,"suffix":""},{"dropping-particle":"","family":"Nixon","given":"P F","non-dropping-particle":"","parse-names":false,"suffix":""}],"container-title":"Analytical biochemistry","id":"ITEM-2","issue":"1","issued":{"date-parts":[["1987","1"]]},"language":"eng","page":"78-87","publisher-place":"United States","title":"Measurement of Michaelis constant for human erythrocyte transketolase and thiamin  diphosphate.","type":"article-journal","volume":"160"},"uris":["http://www.mendeley.com/documents/?uuid=da47803b-a8f8-4766-9b4b-6d1f0ecc780f"]},{"id":"ITEM-3","itemData":{"DOI":"10.1007/BF01991782","ISSN":"0885-7490 (Print)","PMID":"7596328","abstract":"Thiamine deficiency, a frequent complication of alcoholism, plays an important role  in the pathogenesis of the Wernicke-Korsakoff syndrome [WKS]. Previous work by a number of investigators has implicated the thiamine-utilizing enzyme transketolase [Tk] as being involved mechanistically in the genetic predisposition to WKS. In particular, Tk derived from fibroblasts has been found to have an increased Km app for its cofactor thiamine pyrophosphate [TPP] and/or exist in different isoelectric forms in alcoholic patients with WKS as compared with unaffected individuals. We have demonstrated that these differences are not due to different Tk alleles, tissue-specific Tk isozymes, or differential mRNA splicing. These findings point to other mechanisms to explain the biochemical Tk variants, such as differences in assembly of the functional holoenzyme or differences in modification of the primary translation product. Tk assembly or modification, once biochemically characterized, may be found to be subject to genetic variation.","author":[{"dropping-particle":"","family":"Martin","given":"P R","non-dropping-particle":"","parse-names":false,"suffix":""},{"dropping-particle":"","family":"McCool","given":"B A","non-dropping-particle":"","parse-names":false,"suffix":""},{"dropping-particle":"","family":"Singleton","given":"C K","non-dropping-particle":"","parse-names":false,"suffix":""}],"container-title":"Metabolic brain disease","id":"ITEM-3","issue":"1","issued":{"date-parts":[["1995","3"]]},"language":"eng","page":"45-55","publisher-place":"United States","title":"Molecular genetics of transketolase in the pathogenesis of the Wernicke-Korsakoff  syndrome.","type":"article-journal","volume":"10"},"uris":["http://www.mendeley.com/documents/?uuid=89bb07ab-83b3-4922-8c2a-02b17923c431"]},{"id":"ITEM-4","itemData":{"DOI":"10.1016/0022-510x(91)90199-h","ISSN":"0022-510X (Print)","PMID":"1779244","abstract":"Transketolase isoenzyme patterns of Wernicke-Korsakoff patients, relatives,  alcoholics and controls, obtained by isoelectric focusing of purified erythrocyte transketolase, were all identical. After a series of investigations published by several authors little evidence remains to support the hypothesis of an inborn transketolase abnormality in Wernicke-Korsakoff patients.","author":[{"dropping-particle":"","family":"Blansjaar","given":"B A","non-dropping-particle":"","parse-names":false,"suffix":""},{"dropping-particle":"","family":"Zwang","given":"R","non-dropping-particle":"","parse-names":false,"suffix":""},{"dropping-particle":"","family":"Blijenberg","given":"B G","non-dropping-particle":"","parse-names":false,"suffix":""}],"container-title":"Journal of the neurological sciences","id":"ITEM-4","issue":"1","issued":{"date-parts":[["1991","11"]]},"language":"eng","page":"88-90","publisher-place":"Netherlands","title":"No transketolase abnormalities in Wernicke-Korsakoff patients.","type":"article-journal","volume":"106"},"uris":["http://www.mendeley.com/documents/?uuid=f12be566-ebf2-4f6f-b5a5-d57f20a06864"]},{"id":"ITEM-5","itemData":{"DOI":"10.1016/j.bbapap.2014.06.003","ISSN":"0006-3002 (Print)","PMID":"24929114","abstract":"Studies of thiamine diphosphate-dependent enzymes appear to have commenced in 1937,  with the isolation of the coenzyme of yeast pyruvate decarboxylase, which was demonstrated to be a diphosphoric ester of thiamine. For quite a long time, these studies were largely focused on enzymes decarboxylating α-keto acids, such as pyruvate decarboxylase and pyruvate dehydrogenase complexes. Transketolase, discovered independently by Racker and Horecker in 1953 (and named by Racker) [1], did not receive much attention until 1992, when crystal X-ray structure analysis of the enzyme from Saccharomyces cerevisiae was performed [2]. These data, together with the results of site-directed mutagenesis, made it possible to understand in detail the mechanism of thiamine diphosphate-dependent catalysis. Some progress was also made in studies of the functional properties of transketolase. The last review on transketolase, which was fairly complete, appeared in 1998 [3]. Therefore, the publication of this paper should not seem premature.","author":[{"dropping-particle":"","family":"Kochetov","given":"German A","non-dropping-particle":"","parse-names":false,"suffix":""},{"dropping-particle":"","family":"Solovjeva","given":"Olga N","non-dropping-particle":"","parse-names":false,"suffix":""}],"container-title":"Biochimica et biophysica acta","id":"ITEM-5","issue":"9","issued":{"date-parts":[["2014","9"]]},"language":"eng","page":"1608-1618","publisher-place":"Netherlands","title":"Structure and functioning mechanism of transketolase.","type":"article-journal","volume":"1844"},"uris":["http://www.mendeley.com/documents/?uuid=71a2e7f7-6525-4f38-a51f-619dd0c1e0a5"]}],"mendeley":{"formattedCitation":"&lt;sup&gt;32–36&lt;/sup&gt;","plainTextFormattedCitation":"32–36","previouslyFormattedCitation":"&lt;sup&gt;32–36&lt;/sup&gt;"},"properties":{"noteIndex":0},"schema":"https://github.com/citation-style-language/schema/raw/master/csl-citation.json"}</w:instrText>
      </w:r>
      <w:r w:rsidR="00851B2E" w:rsidRPr="00CB3ECF">
        <w:rPr>
          <w:rFonts w:ascii="Times New Roman" w:hAnsi="Times New Roman" w:cs="Times New Roman"/>
          <w:sz w:val="24"/>
          <w:szCs w:val="24"/>
        </w:rPr>
        <w:fldChar w:fldCharType="separate"/>
      </w:r>
      <w:r w:rsidR="00016D44" w:rsidRPr="00016D44">
        <w:rPr>
          <w:rFonts w:ascii="Times New Roman" w:hAnsi="Times New Roman" w:cs="Times New Roman"/>
          <w:noProof/>
          <w:sz w:val="24"/>
          <w:szCs w:val="24"/>
          <w:vertAlign w:val="superscript"/>
        </w:rPr>
        <w:t>32–36</w:t>
      </w:r>
      <w:r w:rsidR="00851B2E" w:rsidRPr="00CB3ECF">
        <w:rPr>
          <w:rFonts w:ascii="Times New Roman" w:hAnsi="Times New Roman" w:cs="Times New Roman"/>
          <w:sz w:val="24"/>
          <w:szCs w:val="24"/>
        </w:rPr>
        <w:fldChar w:fldCharType="end"/>
      </w:r>
    </w:p>
    <w:p w14:paraId="25F8F187" w14:textId="3CFD0C73" w:rsidR="00C867E5" w:rsidRPr="00CB3ECF" w:rsidRDefault="00923487" w:rsidP="006C26FC">
      <w:pPr>
        <w:spacing w:line="276" w:lineRule="auto"/>
        <w:rPr>
          <w:rFonts w:ascii="Times New Roman" w:hAnsi="Times New Roman" w:cs="Times New Roman"/>
          <w:b/>
          <w:sz w:val="24"/>
          <w:szCs w:val="24"/>
        </w:rPr>
      </w:pPr>
      <w:r w:rsidRPr="00E57474">
        <w:rPr>
          <w:rFonts w:ascii="Times New Roman" w:hAnsi="Times New Roman" w:cs="Times New Roman"/>
          <w:sz w:val="24"/>
          <w:szCs w:val="24"/>
        </w:rPr>
        <w:t>A</w:t>
      </w:r>
      <w:r w:rsidR="00C07D96" w:rsidRPr="00E57474">
        <w:rPr>
          <w:rFonts w:ascii="Times New Roman" w:hAnsi="Times New Roman" w:cs="Times New Roman"/>
          <w:sz w:val="24"/>
          <w:szCs w:val="24"/>
        </w:rPr>
        <w:t xml:space="preserve"> venous whole blood </w:t>
      </w:r>
      <w:r w:rsidRPr="00E57474">
        <w:rPr>
          <w:rFonts w:ascii="Times New Roman" w:hAnsi="Times New Roman" w:cs="Times New Roman"/>
          <w:sz w:val="24"/>
          <w:szCs w:val="24"/>
        </w:rPr>
        <w:t xml:space="preserve">sample </w:t>
      </w:r>
      <w:r w:rsidR="00C07D96" w:rsidRPr="00E57474">
        <w:rPr>
          <w:rFonts w:ascii="Times New Roman" w:hAnsi="Times New Roman" w:cs="Times New Roman"/>
          <w:sz w:val="24"/>
          <w:szCs w:val="24"/>
        </w:rPr>
        <w:t>is required for the determination of E</w:t>
      </w:r>
      <w:r w:rsidR="00000812" w:rsidRPr="00E57474">
        <w:rPr>
          <w:rFonts w:ascii="Times New Roman" w:hAnsi="Times New Roman" w:cs="Times New Roman"/>
          <w:sz w:val="24"/>
          <w:szCs w:val="24"/>
        </w:rPr>
        <w:t>TKAC</w:t>
      </w:r>
      <w:r w:rsidRPr="00E57474">
        <w:rPr>
          <w:rFonts w:ascii="Times New Roman" w:hAnsi="Times New Roman" w:cs="Times New Roman"/>
          <w:sz w:val="24"/>
          <w:szCs w:val="24"/>
        </w:rPr>
        <w:t xml:space="preserve"> </w:t>
      </w:r>
      <w:r w:rsidR="00E329AA" w:rsidRPr="00DE1381">
        <w:rPr>
          <w:rFonts w:ascii="Times New Roman" w:hAnsi="Times New Roman" w:cs="Times New Roman"/>
          <w:sz w:val="24"/>
          <w:szCs w:val="24"/>
        </w:rPr>
        <w:t>(and whole blood ThDP). Whilst a venous blood sample is a common sample type, collection and processing of blood samples in field-</w:t>
      </w:r>
      <w:r w:rsidR="007D7106">
        <w:rPr>
          <w:rFonts w:ascii="Times New Roman" w:hAnsi="Times New Roman" w:cs="Times New Roman"/>
          <w:sz w:val="24"/>
          <w:szCs w:val="24"/>
        </w:rPr>
        <w:t xml:space="preserve"> or limited resource-</w:t>
      </w:r>
      <w:r w:rsidR="00E329AA" w:rsidRPr="00DE1381">
        <w:rPr>
          <w:rFonts w:ascii="Times New Roman" w:hAnsi="Times New Roman" w:cs="Times New Roman"/>
          <w:sz w:val="24"/>
          <w:szCs w:val="24"/>
        </w:rPr>
        <w:t>settings presents a number of challenges including laboratory infrastructure for washing of erythrocytes and cold storage. Ca</w:t>
      </w:r>
      <w:r w:rsidRPr="00DE1381">
        <w:rPr>
          <w:rFonts w:ascii="Times New Roman" w:hAnsi="Times New Roman" w:cs="Times New Roman"/>
          <w:sz w:val="24"/>
          <w:szCs w:val="24"/>
        </w:rPr>
        <w:t xml:space="preserve">pillary blood </w:t>
      </w:r>
      <w:r w:rsidR="00E329AA" w:rsidRPr="00DE1381">
        <w:rPr>
          <w:rFonts w:ascii="Times New Roman" w:hAnsi="Times New Roman" w:cs="Times New Roman"/>
          <w:sz w:val="24"/>
          <w:szCs w:val="24"/>
        </w:rPr>
        <w:t xml:space="preserve">sampling and dried blood spots </w:t>
      </w:r>
      <w:r w:rsidR="00E57474" w:rsidRPr="00DE1381">
        <w:rPr>
          <w:rFonts w:ascii="Times New Roman" w:hAnsi="Times New Roman" w:cs="Times New Roman"/>
          <w:sz w:val="24"/>
          <w:szCs w:val="24"/>
        </w:rPr>
        <w:t xml:space="preserve">(DBS) </w:t>
      </w:r>
      <w:r w:rsidR="00E329AA" w:rsidRPr="00DE1381">
        <w:rPr>
          <w:rFonts w:ascii="Times New Roman" w:hAnsi="Times New Roman" w:cs="Times New Roman"/>
          <w:sz w:val="24"/>
          <w:szCs w:val="24"/>
        </w:rPr>
        <w:t xml:space="preserve">provide a more </w:t>
      </w:r>
      <w:r w:rsidR="00E57474" w:rsidRPr="00DE1381">
        <w:rPr>
          <w:rFonts w:ascii="Times New Roman" w:hAnsi="Times New Roman" w:cs="Times New Roman"/>
          <w:sz w:val="24"/>
          <w:szCs w:val="24"/>
        </w:rPr>
        <w:t>convenient</w:t>
      </w:r>
      <w:r w:rsidR="00E329AA" w:rsidRPr="00DE1381">
        <w:rPr>
          <w:rFonts w:ascii="Times New Roman" w:hAnsi="Times New Roman" w:cs="Times New Roman"/>
          <w:sz w:val="24"/>
          <w:szCs w:val="24"/>
        </w:rPr>
        <w:t xml:space="preserve"> sample</w:t>
      </w:r>
      <w:r w:rsidR="00E57474" w:rsidRPr="00DE1381">
        <w:rPr>
          <w:rFonts w:ascii="Times New Roman" w:hAnsi="Times New Roman" w:cs="Times New Roman"/>
          <w:sz w:val="24"/>
          <w:szCs w:val="24"/>
        </w:rPr>
        <w:t>. Recently, Hu</w:t>
      </w:r>
      <w:r w:rsidR="00E329AA" w:rsidRPr="00DE1381">
        <w:rPr>
          <w:rFonts w:ascii="Times New Roman" w:hAnsi="Times New Roman" w:cs="Times New Roman"/>
          <w:sz w:val="24"/>
          <w:szCs w:val="24"/>
        </w:rPr>
        <w:t>ang et al</w:t>
      </w:r>
      <w:r w:rsidR="00E57474" w:rsidRPr="00DE1381">
        <w:rPr>
          <w:rFonts w:ascii="Times New Roman" w:hAnsi="Times New Roman" w:cs="Times New Roman"/>
          <w:sz w:val="24"/>
          <w:szCs w:val="24"/>
        </w:rPr>
        <w:t>.</w:t>
      </w:r>
      <w:r w:rsidR="007D7106">
        <w:rPr>
          <w:rFonts w:ascii="Times New Roman" w:hAnsi="Times New Roman" w:cs="Times New Roman"/>
          <w:sz w:val="24"/>
          <w:szCs w:val="24"/>
        </w:rPr>
        <w:t xml:space="preserve"> </w:t>
      </w:r>
      <w:r w:rsidR="00E57474" w:rsidRPr="00DE1381">
        <w:rPr>
          <w:rFonts w:ascii="Times New Roman" w:hAnsi="Times New Roman" w:cs="Times New Roman"/>
          <w:sz w:val="24"/>
          <w:szCs w:val="24"/>
        </w:rPr>
        <w:t>described a DBS method for ThDP which showed a high degree of correlation with whole blood results (r 0.964; p &lt; 0.0001)</w:t>
      </w:r>
      <w:r w:rsidR="00E329AA" w:rsidRPr="00DE1381">
        <w:rPr>
          <w:rFonts w:ascii="Times New Roman" w:hAnsi="Times New Roman" w:cs="Times New Roman"/>
          <w:sz w:val="24"/>
          <w:szCs w:val="24"/>
        </w:rPr>
        <w:t xml:space="preserve"> </w:t>
      </w:r>
      <w:r w:rsidR="00E57474" w:rsidRPr="00DE1381">
        <w:rPr>
          <w:rFonts w:ascii="Times New Roman" w:hAnsi="Times New Roman" w:cs="Times New Roman"/>
          <w:sz w:val="24"/>
          <w:szCs w:val="24"/>
        </w:rPr>
        <w:t>although ThDP on DBS was not stable at room temperature</w:t>
      </w:r>
      <w:r w:rsidRPr="00DE1381">
        <w:rPr>
          <w:rFonts w:ascii="Times New Roman" w:hAnsi="Times New Roman" w:cs="Times New Roman"/>
          <w:sz w:val="24"/>
          <w:szCs w:val="24"/>
        </w:rPr>
        <w:t>.</w:t>
      </w:r>
      <w:r w:rsidR="00E57474">
        <w:rPr>
          <w:rFonts w:ascii="Times New Roman" w:hAnsi="Times New Roman" w:cs="Times New Roman"/>
          <w:sz w:val="24"/>
          <w:szCs w:val="24"/>
        </w:rPr>
        <w:fldChar w:fldCharType="begin" w:fldLock="1"/>
      </w:r>
      <w:r w:rsidR="008D36B1">
        <w:rPr>
          <w:rFonts w:ascii="Times New Roman" w:hAnsi="Times New Roman" w:cs="Times New Roman"/>
          <w:sz w:val="24"/>
          <w:szCs w:val="24"/>
        </w:rPr>
        <w:instrText>ADDIN CSL_CITATION {"citationItems":[{"id":"ITEM-1","itemData":{"DOI":"https://doi.org/10.1016/j.cca.2020.06.011","ISSN":"0009-8981","abstract":"Background A reliable and robust method with minimum sample collection requirement for thiamine assay is needed in clinical and research settings. Methods A simple and robust assay for three vitamers (thiamine, Th; thiamine monophosphate, TMP; and thiamine diphosphate, TDP) using a 6.35-mm dried blood spot (DBS) disc was developed, validated and applied. Results We were able to quantify accurately thiamine status covering all major vitamers Th, TMP and TDP with acceptable recovery (90%–114%), limit of quantification (TDP: 3.0 nM, TMP and Th: 1.5 nM), linearity (TDP: LOQ 400 nM, TMP and Th: LOQ 50 nM, all R2 &gt; 0.99), imprecision (coefficient variation &lt; 4.3% for TDP, &lt;10.0% for TMP and &lt; 12.6% for Th) and stability at −20 °C for up to 42 days. By recruiting 20 healthy participants, we cross compared finger capillary DBS with venous whole blood and venous blood pre-spotted on filter papers. The results demonstrated minimum bias between methods. A preliminary dosing study showed the method had excellent sensitivity after a single dose of supplemental thiamine. Conclusions We have developed and clinically validated a simple, robust, accurate and sensitive assay for the analysis of thiamine status in DBS, suitable for large-scale population studies.","author":[{"dropping-particle":"","family":"Huang","given":"Yichao","non-dropping-particle":"","parse-names":false,"suffix":""},{"dropping-particle":"","family":"Gibson","given":"Robert A","non-dropping-particle":"","parse-names":false,"suffix":""},{"dropping-particle":"","family":"Green","given":"Timothy J","non-dropping-particle":"","parse-names":false,"suffix":""}],"container-title":"Clinica Chimica Acta","id":"ITEM-1","issued":{"date-parts":[["2020"]]},"page":"52-59","title":"Measuring thiamine status in dried blood spots","type":"article-journal","volume":"509"},"uris":["http://www.mendeley.com/documents/?uuid=c140f294-f824-400c-a04b-a1e523054565"]}],"mendeley":{"formattedCitation":"&lt;sup&gt;37&lt;/sup&gt;","plainTextFormattedCitation":"37","previouslyFormattedCitation":"&lt;sup&gt;37&lt;/sup&gt;"},"properties":{"noteIndex":0},"schema":"https://github.com/citation-style-language/schema/raw/master/csl-citation.json"}</w:instrText>
      </w:r>
      <w:r w:rsidR="00E57474">
        <w:rPr>
          <w:rFonts w:ascii="Times New Roman" w:hAnsi="Times New Roman" w:cs="Times New Roman"/>
          <w:sz w:val="24"/>
          <w:szCs w:val="24"/>
        </w:rPr>
        <w:fldChar w:fldCharType="separate"/>
      </w:r>
      <w:r w:rsidR="00E57474" w:rsidRPr="00E57474">
        <w:rPr>
          <w:rFonts w:ascii="Times New Roman" w:hAnsi="Times New Roman" w:cs="Times New Roman"/>
          <w:noProof/>
          <w:sz w:val="24"/>
          <w:szCs w:val="24"/>
          <w:vertAlign w:val="superscript"/>
        </w:rPr>
        <w:t>37</w:t>
      </w:r>
      <w:r w:rsidR="00E57474">
        <w:rPr>
          <w:rFonts w:ascii="Times New Roman" w:hAnsi="Times New Roman" w:cs="Times New Roman"/>
          <w:sz w:val="24"/>
          <w:szCs w:val="24"/>
        </w:rPr>
        <w:fldChar w:fldCharType="end"/>
      </w:r>
      <w:r w:rsidR="00C07D96" w:rsidRPr="00DE1381">
        <w:rPr>
          <w:rFonts w:ascii="Times New Roman" w:hAnsi="Times New Roman" w:cs="Times New Roman"/>
          <w:sz w:val="24"/>
          <w:szCs w:val="24"/>
        </w:rPr>
        <w:t xml:space="preserve"> </w:t>
      </w:r>
      <w:r w:rsidR="00E57474" w:rsidRPr="00DE1381">
        <w:rPr>
          <w:rFonts w:ascii="Times New Roman" w:hAnsi="Times New Roman" w:cs="Times New Roman"/>
          <w:sz w:val="24"/>
          <w:szCs w:val="24"/>
        </w:rPr>
        <w:t xml:space="preserve">Further work is required to determine the feasibility of measuring ETKAC in whole blood as either venous sample </w:t>
      </w:r>
      <w:r w:rsidR="00DE1381">
        <w:rPr>
          <w:rFonts w:ascii="Times New Roman" w:hAnsi="Times New Roman" w:cs="Times New Roman"/>
          <w:sz w:val="24"/>
          <w:szCs w:val="24"/>
        </w:rPr>
        <w:t>or</w:t>
      </w:r>
      <w:r w:rsidR="00E57474" w:rsidRPr="00DE1381">
        <w:rPr>
          <w:rFonts w:ascii="Times New Roman" w:hAnsi="Times New Roman" w:cs="Times New Roman"/>
          <w:sz w:val="24"/>
          <w:szCs w:val="24"/>
        </w:rPr>
        <w:t xml:space="preserve"> DBS.</w:t>
      </w:r>
      <w:r w:rsidR="00C07D96" w:rsidRPr="00DE1381">
        <w:rPr>
          <w:rFonts w:ascii="Times New Roman" w:hAnsi="Times New Roman" w:cs="Times New Roman"/>
          <w:sz w:val="24"/>
          <w:szCs w:val="24"/>
        </w:rPr>
        <w:t xml:space="preserve"> </w:t>
      </w:r>
    </w:p>
    <w:p w14:paraId="4368A801" w14:textId="1B25F13C" w:rsidR="003D45E4" w:rsidRDefault="003D45E4" w:rsidP="006C26FC">
      <w:pPr>
        <w:spacing w:line="276" w:lineRule="auto"/>
        <w:rPr>
          <w:rFonts w:ascii="Times New Roman" w:hAnsi="Times New Roman" w:cs="Times New Roman"/>
          <w:sz w:val="24"/>
          <w:szCs w:val="24"/>
        </w:rPr>
      </w:pPr>
      <w:r>
        <w:rPr>
          <w:rFonts w:ascii="Times New Roman" w:hAnsi="Times New Roman" w:cs="Times New Roman"/>
          <w:sz w:val="24"/>
          <w:szCs w:val="24"/>
        </w:rPr>
        <w:t xml:space="preserve">The impact of </w:t>
      </w:r>
      <w:r w:rsidR="001D61F0">
        <w:rPr>
          <w:rFonts w:ascii="Times New Roman" w:hAnsi="Times New Roman" w:cs="Times New Roman"/>
          <w:sz w:val="24"/>
          <w:szCs w:val="24"/>
        </w:rPr>
        <w:t xml:space="preserve">clinically observed thiamine deficiency, </w:t>
      </w:r>
      <w:r>
        <w:rPr>
          <w:rFonts w:ascii="Times New Roman" w:hAnsi="Times New Roman" w:cs="Times New Roman"/>
          <w:sz w:val="24"/>
          <w:szCs w:val="24"/>
        </w:rPr>
        <w:t>ThDP concentrati</w:t>
      </w:r>
      <w:r w:rsidR="001D61F0">
        <w:rPr>
          <w:rFonts w:ascii="Times New Roman" w:hAnsi="Times New Roman" w:cs="Times New Roman"/>
          <w:sz w:val="24"/>
          <w:szCs w:val="24"/>
        </w:rPr>
        <w:t xml:space="preserve">on, their </w:t>
      </w:r>
      <w:r>
        <w:rPr>
          <w:rFonts w:ascii="Times New Roman" w:hAnsi="Times New Roman" w:cs="Times New Roman"/>
          <w:sz w:val="24"/>
          <w:szCs w:val="24"/>
        </w:rPr>
        <w:t xml:space="preserve">effect </w:t>
      </w:r>
      <w:r w:rsidR="001D61F0">
        <w:rPr>
          <w:rFonts w:ascii="Times New Roman" w:hAnsi="Times New Roman" w:cs="Times New Roman"/>
          <w:sz w:val="24"/>
          <w:szCs w:val="24"/>
        </w:rPr>
        <w:t xml:space="preserve">on </w:t>
      </w:r>
      <w:r w:rsidR="005E0876">
        <w:rPr>
          <w:rFonts w:ascii="Times New Roman" w:hAnsi="Times New Roman" w:cs="Times New Roman"/>
          <w:sz w:val="24"/>
          <w:szCs w:val="24"/>
        </w:rPr>
        <w:t>transketolase</w:t>
      </w:r>
      <w:r w:rsidR="001D61F0">
        <w:rPr>
          <w:rFonts w:ascii="Times New Roman" w:hAnsi="Times New Roman" w:cs="Times New Roman"/>
          <w:sz w:val="24"/>
          <w:szCs w:val="24"/>
        </w:rPr>
        <w:t xml:space="preserve"> enzyme and consequences for interpretation of </w:t>
      </w:r>
      <w:r w:rsidR="005E0876">
        <w:rPr>
          <w:rFonts w:ascii="Times New Roman" w:hAnsi="Times New Roman" w:cs="Times New Roman"/>
          <w:sz w:val="24"/>
          <w:szCs w:val="24"/>
        </w:rPr>
        <w:t>transketolase</w:t>
      </w:r>
      <w:r w:rsidR="001D61F0">
        <w:rPr>
          <w:rFonts w:ascii="Times New Roman" w:hAnsi="Times New Roman" w:cs="Times New Roman"/>
          <w:sz w:val="24"/>
          <w:szCs w:val="24"/>
        </w:rPr>
        <w:t xml:space="preserve"> activity have been a topic of discussion for many years</w:t>
      </w:r>
      <w:r w:rsidR="006C26FC">
        <w:rPr>
          <w:rFonts w:ascii="Times New Roman" w:hAnsi="Times New Roman" w:cs="Times New Roman"/>
          <w:sz w:val="24"/>
          <w:szCs w:val="24"/>
        </w:rPr>
        <w:t>.</w:t>
      </w:r>
      <w:r w:rsidR="00DA02C6">
        <w:rPr>
          <w:rFonts w:ascii="Times New Roman" w:hAnsi="Times New Roman" w:cs="Times New Roman"/>
          <w:sz w:val="24"/>
          <w:szCs w:val="24"/>
        </w:rPr>
        <w:fldChar w:fldCharType="begin" w:fldLock="1"/>
      </w:r>
      <w:r w:rsidR="008D36B1">
        <w:rPr>
          <w:rFonts w:ascii="Times New Roman" w:hAnsi="Times New Roman" w:cs="Times New Roman"/>
          <w:sz w:val="24"/>
          <w:szCs w:val="24"/>
        </w:rPr>
        <w:instrText>ADDIN CSL_CITATION {"citationItems":[{"id":"ITEM-1","itemData":{"DOI":"10.1056/NEJM196209202671204","ISSN":"1533-4406 (Electronic)","PMID":"13887848","author":[{"dropping-particle":"","family":"DREYFUS","given":"P M","non-dropping-particle":"","parse-names":false,"suffix":""}],"container-title":"The New England journal of medicine","id":"ITEM-1","issued":{"date-parts":[["1962","9"]]},"language":"eng","page":"596-598","publisher-place":"United States","title":"Clinical application of blood transketolase determinations.","type":"article-journal","volume":"267"},"uris":["http://www.mendeley.com/documents/?uuid=ec803199-ff47-4949-b920-80e0316826c3"]},{"id":"ITEM-2","itemData":{"DOI":"10.1111/j.1445-5994.1977.tb03368.x","ISSN":"0004-8291 (Print)","PMID":"272167","author":[{"dropping-particle":"","family":"Wood","given":"B","non-dropping-particle":"","parse-names":false,"suffix":""},{"dropping-particle":"","family":"Breen","given":"K J","non-dropping-particle":"","parse-names":false,"suffix":""},{"dropping-particle":"","family":"Penington","given":"D G","non-dropping-particle":"","parse-names":false,"suffix":""}],"container-title":"Australian and New Zealand journal of medicine","id":"ITEM-2","issue":"5","issued":{"date-parts":[["1977","10"]]},"language":"eng","page":"475-484","publisher-place":"Australia","title":"Thiamine status in alcoholism.","type":"article-journal","volume":"7"},"uris":["http://www.mendeley.com/documents/?uuid=9282b0f0-b7ee-4b1d-8963-1c6ed395fa80"]}],"mendeley":{"formattedCitation":"&lt;sup&gt;17,38&lt;/sup&gt;","plainTextFormattedCitation":"17,38","previouslyFormattedCitation":"&lt;sup&gt;17,40&lt;/sup&gt;"},"properties":{"noteIndex":0},"schema":"https://github.com/citation-style-language/schema/raw/master/csl-citation.json"}</w:instrText>
      </w:r>
      <w:r w:rsidR="00DA02C6">
        <w:rPr>
          <w:rFonts w:ascii="Times New Roman" w:hAnsi="Times New Roman" w:cs="Times New Roman"/>
          <w:sz w:val="24"/>
          <w:szCs w:val="24"/>
        </w:rPr>
        <w:fldChar w:fldCharType="separate"/>
      </w:r>
      <w:r w:rsidR="008D36B1" w:rsidRPr="008D36B1">
        <w:rPr>
          <w:rFonts w:ascii="Times New Roman" w:hAnsi="Times New Roman" w:cs="Times New Roman"/>
          <w:noProof/>
          <w:sz w:val="24"/>
          <w:szCs w:val="24"/>
          <w:vertAlign w:val="superscript"/>
        </w:rPr>
        <w:t>17,38</w:t>
      </w:r>
      <w:r w:rsidR="00DA02C6">
        <w:rPr>
          <w:rFonts w:ascii="Times New Roman" w:hAnsi="Times New Roman" w:cs="Times New Roman"/>
          <w:sz w:val="24"/>
          <w:szCs w:val="24"/>
        </w:rPr>
        <w:fldChar w:fldCharType="end"/>
      </w:r>
      <w:r w:rsidR="006C26FC">
        <w:rPr>
          <w:rFonts w:ascii="Times New Roman" w:hAnsi="Times New Roman" w:cs="Times New Roman"/>
          <w:sz w:val="24"/>
          <w:szCs w:val="24"/>
        </w:rPr>
        <w:t xml:space="preserve"> </w:t>
      </w:r>
      <w:r w:rsidR="001D61F0">
        <w:rPr>
          <w:rFonts w:ascii="Times New Roman" w:hAnsi="Times New Roman" w:cs="Times New Roman"/>
          <w:sz w:val="24"/>
          <w:szCs w:val="24"/>
        </w:rPr>
        <w:t>It has been suggested that liver disease may directly affect apo</w:t>
      </w:r>
      <w:r w:rsidR="006C26FC">
        <w:rPr>
          <w:rFonts w:ascii="Times New Roman" w:hAnsi="Times New Roman" w:cs="Times New Roman"/>
          <w:sz w:val="24"/>
          <w:szCs w:val="24"/>
        </w:rPr>
        <w:t>-</w:t>
      </w:r>
      <w:r w:rsidR="001D61F0">
        <w:rPr>
          <w:rFonts w:ascii="Times New Roman" w:hAnsi="Times New Roman" w:cs="Times New Roman"/>
          <w:sz w:val="24"/>
          <w:szCs w:val="24"/>
        </w:rPr>
        <w:t>transketolase concentration causing apparently normal ETKAC in the presence of clinical symptoms of thiamine deficiency.  However, other studies posit that the decrease in apo</w:t>
      </w:r>
      <w:r w:rsidR="006C26FC">
        <w:rPr>
          <w:rFonts w:ascii="Times New Roman" w:hAnsi="Times New Roman" w:cs="Times New Roman"/>
          <w:sz w:val="24"/>
          <w:szCs w:val="24"/>
        </w:rPr>
        <w:t>-</w:t>
      </w:r>
      <w:r w:rsidR="001D61F0">
        <w:rPr>
          <w:rFonts w:ascii="Times New Roman" w:hAnsi="Times New Roman" w:cs="Times New Roman"/>
          <w:sz w:val="24"/>
          <w:szCs w:val="24"/>
        </w:rPr>
        <w:t>transketolase is a response to thiamine deficiency</w:t>
      </w:r>
      <w:r w:rsidR="006C26FC">
        <w:rPr>
          <w:rFonts w:ascii="Times New Roman" w:hAnsi="Times New Roman" w:cs="Times New Roman"/>
          <w:sz w:val="24"/>
          <w:szCs w:val="24"/>
        </w:rPr>
        <w:t>.</w:t>
      </w:r>
      <w:r w:rsidR="001D61F0">
        <w:rPr>
          <w:rFonts w:ascii="Times New Roman" w:hAnsi="Times New Roman" w:cs="Times New Roman"/>
          <w:sz w:val="24"/>
          <w:szCs w:val="24"/>
        </w:rPr>
        <w:t xml:space="preserve"> </w:t>
      </w:r>
      <w:r w:rsidR="001D61F0">
        <w:rPr>
          <w:rFonts w:ascii="Times New Roman" w:hAnsi="Times New Roman" w:cs="Times New Roman"/>
          <w:sz w:val="24"/>
          <w:szCs w:val="24"/>
        </w:rPr>
        <w:fldChar w:fldCharType="begin" w:fldLock="1"/>
      </w:r>
      <w:r w:rsidR="008D36B1">
        <w:rPr>
          <w:rFonts w:ascii="Times New Roman" w:hAnsi="Times New Roman" w:cs="Times New Roman"/>
          <w:sz w:val="24"/>
          <w:szCs w:val="24"/>
        </w:rPr>
        <w:instrText>ADDIN CSL_CITATION {"citationItems":[{"id":"ITEM-1","itemData":{"DOI":"10.1056/NEJM196209202671204","ISSN":"1533-4406 (Electronic)","PMID":"13887848","author":[{"dropping-particle":"","family":"DREYFUS","given":"P M","non-dropping-particle":"","parse-names":false,"suffix":""}],"container-title":"The New England journal of medicine","id":"ITEM-1","issued":{"date-parts":[["1962","9"]]},"language":"eng","page":"596-598","publisher-place":"United States","title":"Clinical application of blood transketolase determinations.","type":"article-journal","volume":"267"},"uris":["http://www.mendeley.com/documents/?uuid=ec803199-ff47-4949-b920-80e0316826c3"]},{"id":"ITEM-2","itemData":{"DOI":"10.1111/j.1445-5994.1977.tb03368.x","ISSN":"0004-8291 (Print)","PMID":"272167","author":[{"dropping-particle":"","family":"Wood","given":"B","non-dropping-particle":"","parse-names":false,"suffix":""},{"dropping-particle":"","family":"Breen","given":"K J","non-dropping-particle":"","parse-names":false,"suffix":""},{"dropping-particle":"","family":"Penington","given":"D G","non-dropping-particle":"","parse-names":false,"suffix":""}],"container-title":"Australian and New Zealand journal of medicine","id":"ITEM-2","issue":"5","issued":{"date-parts":[["1977","10"]]},"language":"eng","page":"475-484","publisher-place":"Australia","title":"Thiamine status in alcoholism.","type":"article-journal","volume":"7"},"uris":["http://www.mendeley.com/documents/?uuid=9282b0f0-b7ee-4b1d-8963-1c6ed395fa80"]}],"mendeley":{"formattedCitation":"&lt;sup&gt;17,38&lt;/sup&gt;","plainTextFormattedCitation":"17,38","previouslyFormattedCitation":"&lt;sup&gt;17,40&lt;/sup&gt;"},"properties":{"noteIndex":0},"schema":"https://github.com/citation-style-language/schema/raw/master/csl-citation.json"}</w:instrText>
      </w:r>
      <w:r w:rsidR="001D61F0">
        <w:rPr>
          <w:rFonts w:ascii="Times New Roman" w:hAnsi="Times New Roman" w:cs="Times New Roman"/>
          <w:sz w:val="24"/>
          <w:szCs w:val="24"/>
        </w:rPr>
        <w:fldChar w:fldCharType="separate"/>
      </w:r>
      <w:r w:rsidR="008D36B1" w:rsidRPr="008D36B1">
        <w:rPr>
          <w:rFonts w:ascii="Times New Roman" w:hAnsi="Times New Roman" w:cs="Times New Roman"/>
          <w:noProof/>
          <w:sz w:val="24"/>
          <w:szCs w:val="24"/>
          <w:vertAlign w:val="superscript"/>
        </w:rPr>
        <w:t>17,38</w:t>
      </w:r>
      <w:r w:rsidR="001D61F0">
        <w:rPr>
          <w:rFonts w:ascii="Times New Roman" w:hAnsi="Times New Roman" w:cs="Times New Roman"/>
          <w:sz w:val="24"/>
          <w:szCs w:val="24"/>
        </w:rPr>
        <w:fldChar w:fldCharType="end"/>
      </w:r>
      <w:r w:rsidR="001D61F0">
        <w:rPr>
          <w:rFonts w:ascii="Times New Roman" w:hAnsi="Times New Roman" w:cs="Times New Roman"/>
          <w:sz w:val="24"/>
          <w:szCs w:val="24"/>
        </w:rPr>
        <w:t xml:space="preserve"> Either way, chronic thiamine deficiency may cause loss of apo</w:t>
      </w:r>
      <w:r w:rsidR="006C26FC">
        <w:rPr>
          <w:rFonts w:ascii="Times New Roman" w:hAnsi="Times New Roman" w:cs="Times New Roman"/>
          <w:sz w:val="24"/>
          <w:szCs w:val="24"/>
        </w:rPr>
        <w:t>-</w:t>
      </w:r>
      <w:r w:rsidR="001D61F0">
        <w:rPr>
          <w:rFonts w:ascii="Times New Roman" w:hAnsi="Times New Roman" w:cs="Times New Roman"/>
          <w:sz w:val="24"/>
          <w:szCs w:val="24"/>
        </w:rPr>
        <w:t xml:space="preserve">transketolase and evidence suggests this is due to an effect on synthesis rather than catabolism of transketolase. </w:t>
      </w:r>
      <w:r w:rsidR="001D61F0">
        <w:rPr>
          <w:rFonts w:ascii="Times New Roman" w:hAnsi="Times New Roman" w:cs="Times New Roman"/>
          <w:sz w:val="24"/>
          <w:szCs w:val="24"/>
        </w:rPr>
        <w:fldChar w:fldCharType="begin" w:fldLock="1"/>
      </w:r>
      <w:r w:rsidR="008D36B1">
        <w:rPr>
          <w:rFonts w:ascii="Times New Roman" w:hAnsi="Times New Roman" w:cs="Times New Roman"/>
          <w:sz w:val="24"/>
          <w:szCs w:val="24"/>
        </w:rPr>
        <w:instrText>ADDIN CSL_CITATION {"citationItems":[{"id":"ITEM-1","itemData":{"DOI":"10.1093/jn/126.7.1791","ISSN":"0022-3166 (Print)","PMID":"8683340","abstract":"The most common of the severe complications of thiamine deficiency are beriberi and  Wernicke-Korsakoff syndrome. To help clarify the biochemical basis for these disorders, a cell culture system has been established in which pyrithiamine, a potent thiamine transport inhibitor, was used to mimic different degrees of thiamine deficiency within human lymphoblasts. Activities of both transketolase and alpha-ketoglutarate dehydrogenase (alpha-KGDH) decreased at the same rate and to roughly the same levels in response to thiamine deficiency within a given cell line. However, variation in sensitivity to thiamine deficiency, as judged by the relative percentage of loss of enzymatic activities, was found when different cell lines were compared. When exogenous thiamine pyrophosphate was added to the activity assays, differences between transketolase and alpha-KGDH became readily apparent. Only 25% of the lost transketolase activity was present as apo-enzyme, whereas 70% of the lost alpha-KGDH activity was present in the apo-enzyme form. For transketolase, the non-recoverable activity was due mainly to a decrease in the synthesis rate of the protein during thiamine deficiency, suggesting that thiamine has a direct effect on the expression of the transketolase gene and/or protein.","author":[{"dropping-particle":"","family":"Pekovich","given":"S R","non-dropping-particle":"","parse-names":false,"suffix":""},{"dropping-particle":"","family":"Martin","given":"P R","non-dropping-particle":"","parse-names":false,"suffix":""},{"dropping-particle":"","family":"Singleton","given":"C K","non-dropping-particle":"","parse-names":false,"suffix":""}],"container-title":"The Journal of nutrition","id":"ITEM-1","issue":"7","issued":{"date-parts":[["1996","7"]]},"language":"eng","page":"1791-1798","publisher-place":"United States","title":"Thiamine pyrophosphate-requiring enzymes are altered during pyrithiamine-induced  thiamine deficiency in cultured human lymphoblasts.","type":"article-journal","volume":"126"},"uris":["http://www.mendeley.com/documents/?uuid=14468e5b-eb6f-442d-a1bf-abb118fdb3a8"]}],"mendeley":{"formattedCitation":"&lt;sup&gt;39&lt;/sup&gt;","plainTextFormattedCitation":"39","previouslyFormattedCitation":"&lt;sup&gt;38&lt;/sup&gt;"},"properties":{"noteIndex":0},"schema":"https://github.com/citation-style-language/schema/raw/master/csl-citation.json"}</w:instrText>
      </w:r>
      <w:r w:rsidR="001D61F0">
        <w:rPr>
          <w:rFonts w:ascii="Times New Roman" w:hAnsi="Times New Roman" w:cs="Times New Roman"/>
          <w:sz w:val="24"/>
          <w:szCs w:val="24"/>
        </w:rPr>
        <w:fldChar w:fldCharType="separate"/>
      </w:r>
      <w:r w:rsidR="008D36B1" w:rsidRPr="008D36B1">
        <w:rPr>
          <w:rFonts w:ascii="Times New Roman" w:hAnsi="Times New Roman" w:cs="Times New Roman"/>
          <w:noProof/>
          <w:sz w:val="24"/>
          <w:szCs w:val="24"/>
          <w:vertAlign w:val="superscript"/>
        </w:rPr>
        <w:t>39</w:t>
      </w:r>
      <w:r w:rsidR="001D61F0">
        <w:rPr>
          <w:rFonts w:ascii="Times New Roman" w:hAnsi="Times New Roman" w:cs="Times New Roman"/>
          <w:sz w:val="24"/>
          <w:szCs w:val="24"/>
        </w:rPr>
        <w:fldChar w:fldCharType="end"/>
      </w:r>
      <w:r w:rsidR="001D61F0">
        <w:rPr>
          <w:rFonts w:ascii="Times New Roman" w:hAnsi="Times New Roman" w:cs="Times New Roman"/>
          <w:sz w:val="24"/>
          <w:szCs w:val="24"/>
        </w:rPr>
        <w:t xml:space="preserve">  The impact of this effect on interpretation of the EKTAC is however uncertain. Price </w:t>
      </w:r>
      <w:r w:rsidR="001D61F0" w:rsidRPr="006C26FC">
        <w:rPr>
          <w:rFonts w:ascii="Times New Roman" w:hAnsi="Times New Roman" w:cs="Times New Roman"/>
          <w:i/>
          <w:sz w:val="24"/>
          <w:szCs w:val="24"/>
        </w:rPr>
        <w:t>et al</w:t>
      </w:r>
      <w:r w:rsidR="001D61F0">
        <w:rPr>
          <w:rFonts w:ascii="Times New Roman" w:hAnsi="Times New Roman" w:cs="Times New Roman"/>
          <w:sz w:val="24"/>
          <w:szCs w:val="24"/>
        </w:rPr>
        <w:t xml:space="preserve">., observed a lower activation after </w:t>
      </w:r>
      <w:r w:rsidR="001D61F0" w:rsidRPr="006C26FC">
        <w:rPr>
          <w:rFonts w:ascii="Times New Roman" w:hAnsi="Times New Roman" w:cs="Times New Roman"/>
          <w:i/>
          <w:sz w:val="24"/>
          <w:szCs w:val="24"/>
        </w:rPr>
        <w:t>in vitro</w:t>
      </w:r>
      <w:r w:rsidR="001D61F0">
        <w:rPr>
          <w:rFonts w:ascii="Times New Roman" w:hAnsi="Times New Roman" w:cs="Times New Roman"/>
          <w:sz w:val="24"/>
          <w:szCs w:val="24"/>
        </w:rPr>
        <w:t xml:space="preserve"> stimulation of ETK compared with </w:t>
      </w:r>
      <w:r w:rsidR="001D61F0" w:rsidRPr="006C26FC">
        <w:rPr>
          <w:rFonts w:ascii="Times New Roman" w:hAnsi="Times New Roman" w:cs="Times New Roman"/>
          <w:i/>
          <w:sz w:val="24"/>
          <w:szCs w:val="24"/>
        </w:rPr>
        <w:t>in vivo</w:t>
      </w:r>
      <w:r w:rsidR="001D61F0">
        <w:rPr>
          <w:rFonts w:ascii="Times New Roman" w:hAnsi="Times New Roman" w:cs="Times New Roman"/>
          <w:sz w:val="24"/>
          <w:szCs w:val="24"/>
        </w:rPr>
        <w:t xml:space="preserve"> activity following thiamine supplementation that may be related to irreversible inactivation of the enzyme in vitro</w:t>
      </w:r>
      <w:r w:rsidR="006C26FC">
        <w:rPr>
          <w:rFonts w:ascii="Times New Roman" w:hAnsi="Times New Roman" w:cs="Times New Roman"/>
          <w:sz w:val="24"/>
          <w:szCs w:val="24"/>
        </w:rPr>
        <w:t>.</w:t>
      </w:r>
      <w:r w:rsidR="001D61F0">
        <w:rPr>
          <w:rFonts w:ascii="Times New Roman" w:hAnsi="Times New Roman" w:cs="Times New Roman"/>
          <w:sz w:val="24"/>
          <w:szCs w:val="24"/>
        </w:rPr>
        <w:t xml:space="preserve"> </w:t>
      </w:r>
      <w:r w:rsidR="001D61F0">
        <w:rPr>
          <w:rFonts w:ascii="Times New Roman" w:hAnsi="Times New Roman" w:cs="Times New Roman"/>
          <w:sz w:val="24"/>
          <w:szCs w:val="24"/>
        </w:rPr>
        <w:fldChar w:fldCharType="begin" w:fldLock="1"/>
      </w:r>
      <w:r w:rsidR="008D36B1">
        <w:rPr>
          <w:rFonts w:ascii="Times New Roman" w:hAnsi="Times New Roman" w:cs="Times New Roman"/>
          <w:sz w:val="24"/>
          <w:szCs w:val="24"/>
        </w:rPr>
        <w:instrText>ADDIN CSL_CITATION {"citationItems":[{"id":"ITEM-1","itemData":{"DOI":"10.1016/0009-8981(91)90253-9","ISSN":"0009-8981 (Print)","PMID":"1807869","abstract":"In 60 thiamine deficient patients, the mean erythrocyte transketolase activity after  activation by thiamine diphosphate cofactor in vitro, representing the apparent sum of holoenzyme and apoenzyme activities, was 0.609 (SD 0.166) U/g Hb before thiamine therapy and rose to 0.772 (SD 0.152) U/g Hb immediately after the administration of thiamine to the patients. The difference between these values, 0.163 (SD 0.130) U/g, is the mean activity of transketolase protein which can be activated by thiamine in vivo but not by thiamine diphosphate in vitro. This difference correlated with low initial erythrocyte transketolase activity in these patients, but not with their alcohol intake, liver function or diagnoses.","author":[{"dropping-particle":"","family":"Price","given":"J","non-dropping-particle":"","parse-names":false,"suffix":""},{"dropping-particle":"","family":"Clague","given":"A E","non-dropping-particle":"","parse-names":false,"suffix":""},{"dropping-particle":"","family":"Kerr","given":"R A","non-dropping-particle":"","parse-names":false,"suffix":""},{"dropping-particle":"","family":"Nixon","given":"P F","non-dropping-particle":"","parse-names":false,"suffix":""}],"container-title":"Clinica chimica acta; international journal of clinical chemistry","id":"ITEM-1","issue":"1-2","issued":{"date-parts":[["1991","10"]]},"language":"eng","page":"39-45","publisher-place":"Netherlands","title":"In thiamine deficiency, activation of erythrocyte transketolase by thiamine in vivo  exceeds activation by cofactor in vitro.","type":"article-journal","volume":"202"},"uris":["http://www.mendeley.com/documents/?uuid=8667d072-d373-474f-bb51-3ca843ac8f37"]}],"mendeley":{"formattedCitation":"&lt;sup&gt;40&lt;/sup&gt;","plainTextFormattedCitation":"40","previouslyFormattedCitation":"&lt;sup&gt;41&lt;/sup&gt;"},"properties":{"noteIndex":0},"schema":"https://github.com/citation-style-language/schema/raw/master/csl-citation.json"}</w:instrText>
      </w:r>
      <w:r w:rsidR="001D61F0">
        <w:rPr>
          <w:rFonts w:ascii="Times New Roman" w:hAnsi="Times New Roman" w:cs="Times New Roman"/>
          <w:sz w:val="24"/>
          <w:szCs w:val="24"/>
        </w:rPr>
        <w:fldChar w:fldCharType="separate"/>
      </w:r>
      <w:r w:rsidR="008D36B1" w:rsidRPr="008D36B1">
        <w:rPr>
          <w:rFonts w:ascii="Times New Roman" w:hAnsi="Times New Roman" w:cs="Times New Roman"/>
          <w:noProof/>
          <w:sz w:val="24"/>
          <w:szCs w:val="24"/>
          <w:vertAlign w:val="superscript"/>
        </w:rPr>
        <w:t>40</w:t>
      </w:r>
      <w:r w:rsidR="001D61F0">
        <w:rPr>
          <w:rFonts w:ascii="Times New Roman" w:hAnsi="Times New Roman" w:cs="Times New Roman"/>
          <w:sz w:val="24"/>
          <w:szCs w:val="24"/>
        </w:rPr>
        <w:fldChar w:fldCharType="end"/>
      </w:r>
      <w:r w:rsidR="001D61F0">
        <w:rPr>
          <w:rFonts w:ascii="Times New Roman" w:hAnsi="Times New Roman" w:cs="Times New Roman"/>
          <w:sz w:val="24"/>
          <w:szCs w:val="24"/>
        </w:rPr>
        <w:t xml:space="preserve"> Thus,</w:t>
      </w:r>
      <w:r w:rsidR="00DA02C6">
        <w:rPr>
          <w:rFonts w:ascii="Times New Roman" w:hAnsi="Times New Roman" w:cs="Times New Roman"/>
          <w:sz w:val="24"/>
          <w:szCs w:val="24"/>
        </w:rPr>
        <w:t xml:space="preserve"> observations </w:t>
      </w:r>
      <w:r w:rsidR="00DA02C6" w:rsidRPr="006C26FC">
        <w:rPr>
          <w:rFonts w:ascii="Times New Roman" w:hAnsi="Times New Roman" w:cs="Times New Roman"/>
          <w:i/>
          <w:sz w:val="24"/>
          <w:szCs w:val="24"/>
        </w:rPr>
        <w:t>in vitro</w:t>
      </w:r>
      <w:r w:rsidR="00DA02C6">
        <w:rPr>
          <w:rFonts w:ascii="Times New Roman" w:hAnsi="Times New Roman" w:cs="Times New Roman"/>
          <w:sz w:val="24"/>
          <w:szCs w:val="24"/>
        </w:rPr>
        <w:t xml:space="preserve"> may not</w:t>
      </w:r>
      <w:r w:rsidR="001D61F0">
        <w:rPr>
          <w:rFonts w:ascii="Times New Roman" w:hAnsi="Times New Roman" w:cs="Times New Roman"/>
          <w:sz w:val="24"/>
          <w:szCs w:val="24"/>
        </w:rPr>
        <w:t xml:space="preserve"> represent the </w:t>
      </w:r>
      <w:r w:rsidR="001D61F0" w:rsidRPr="006C26FC">
        <w:rPr>
          <w:rFonts w:ascii="Times New Roman" w:hAnsi="Times New Roman" w:cs="Times New Roman"/>
          <w:i/>
          <w:sz w:val="24"/>
          <w:szCs w:val="24"/>
        </w:rPr>
        <w:t>in vivo</w:t>
      </w:r>
      <w:r w:rsidR="005E0876">
        <w:rPr>
          <w:rFonts w:ascii="Times New Roman" w:hAnsi="Times New Roman" w:cs="Times New Roman"/>
          <w:sz w:val="24"/>
          <w:szCs w:val="24"/>
        </w:rPr>
        <w:t xml:space="preserve"> situation.  </w:t>
      </w:r>
      <w:r w:rsidR="001D61F0">
        <w:rPr>
          <w:rFonts w:ascii="Times New Roman" w:hAnsi="Times New Roman" w:cs="Times New Roman"/>
          <w:sz w:val="24"/>
          <w:szCs w:val="24"/>
        </w:rPr>
        <w:t xml:space="preserve">Clinical conditions, e.g. certain anaemias or diseases that affect </w:t>
      </w:r>
      <w:r w:rsidR="005E0876">
        <w:rPr>
          <w:rFonts w:ascii="Times New Roman" w:hAnsi="Times New Roman" w:cs="Times New Roman"/>
          <w:sz w:val="24"/>
          <w:szCs w:val="24"/>
        </w:rPr>
        <w:t>erythrocyte</w:t>
      </w:r>
      <w:r w:rsidR="001D61F0">
        <w:rPr>
          <w:rFonts w:ascii="Times New Roman" w:hAnsi="Times New Roman" w:cs="Times New Roman"/>
          <w:sz w:val="24"/>
          <w:szCs w:val="24"/>
        </w:rPr>
        <w:t xml:space="preserve"> cell survival time and the age distribution, may also affect interpretation of ETKAC. </w:t>
      </w:r>
      <w:r w:rsidR="0054119E">
        <w:rPr>
          <w:rFonts w:ascii="Times New Roman" w:hAnsi="Times New Roman" w:cs="Times New Roman"/>
          <w:sz w:val="24"/>
          <w:szCs w:val="24"/>
        </w:rPr>
        <w:t xml:space="preserve">Holo-transketolase enzyme concentration </w:t>
      </w:r>
      <w:r w:rsidR="001D61F0">
        <w:rPr>
          <w:rFonts w:ascii="Times New Roman" w:hAnsi="Times New Roman" w:cs="Times New Roman"/>
          <w:sz w:val="24"/>
          <w:szCs w:val="24"/>
        </w:rPr>
        <w:t xml:space="preserve">is lower in older than younger </w:t>
      </w:r>
      <w:r w:rsidR="005E0876">
        <w:rPr>
          <w:rFonts w:ascii="Times New Roman" w:hAnsi="Times New Roman" w:cs="Times New Roman"/>
          <w:sz w:val="24"/>
          <w:szCs w:val="24"/>
        </w:rPr>
        <w:t>erythrocytes</w:t>
      </w:r>
      <w:r w:rsidR="001D61F0">
        <w:rPr>
          <w:rFonts w:ascii="Times New Roman" w:hAnsi="Times New Roman" w:cs="Times New Roman"/>
          <w:sz w:val="24"/>
          <w:szCs w:val="24"/>
        </w:rPr>
        <w:t xml:space="preserve"> </w:t>
      </w:r>
      <w:r w:rsidR="0054119E">
        <w:rPr>
          <w:rFonts w:ascii="Times New Roman" w:hAnsi="Times New Roman" w:cs="Times New Roman"/>
          <w:sz w:val="24"/>
          <w:szCs w:val="24"/>
        </w:rPr>
        <w:fldChar w:fldCharType="begin" w:fldLock="1"/>
      </w:r>
      <w:r w:rsidR="008D36B1">
        <w:rPr>
          <w:rFonts w:ascii="Times New Roman" w:hAnsi="Times New Roman" w:cs="Times New Roman"/>
          <w:sz w:val="24"/>
          <w:szCs w:val="24"/>
        </w:rPr>
        <w:instrText>ADDIN CSL_CITATION {"citationItems":[{"id":"ITEM-1","itemData":{"DOI":"10.1016/s0009-9120(79)80132-0","ISSN":"0009-9120 (Print)","PMID":"535163","author":[{"dropping-particle":"","family":"Spooner","given":"R J","non-dropping-particle":"","parse-names":false,"suffix":""},{"dropping-particle":"","family":"Percy","given":"R A","non-dropping-particle":"","parse-names":false,"suffix":""},{"dropping-particle":"","family":"Rumley","given":"A G","non-dropping-particle":"","parse-names":false,"suffix":""}],"container-title":"Clinical biochemistry","id":"ITEM-1","issue":"6","issued":{"date-parts":[["1979","12"]]},"language":"eng","page":"289-290","publisher-place":"United States","title":"The effect of erythrocyte ageing on some vitamin and mineral dependent enzymes.","type":"article-journal","volume":"12"},"uris":["http://www.mendeley.com/documents/?uuid=4d3f3cc7-35f1-4d71-a07a-afb1e9fbcfa2"]}],"mendeley":{"formattedCitation":"&lt;sup&gt;41&lt;/sup&gt;","plainTextFormattedCitation":"41","previouslyFormattedCitation":"&lt;sup&gt;42&lt;/sup&gt;"},"properties":{"noteIndex":0},"schema":"https://github.com/citation-style-language/schema/raw/master/csl-citation.json"}</w:instrText>
      </w:r>
      <w:r w:rsidR="0054119E">
        <w:rPr>
          <w:rFonts w:ascii="Times New Roman" w:hAnsi="Times New Roman" w:cs="Times New Roman"/>
          <w:sz w:val="24"/>
          <w:szCs w:val="24"/>
        </w:rPr>
        <w:fldChar w:fldCharType="separate"/>
      </w:r>
      <w:r w:rsidR="008D36B1" w:rsidRPr="008D36B1">
        <w:rPr>
          <w:rFonts w:ascii="Times New Roman" w:hAnsi="Times New Roman" w:cs="Times New Roman"/>
          <w:noProof/>
          <w:sz w:val="24"/>
          <w:szCs w:val="24"/>
          <w:vertAlign w:val="superscript"/>
        </w:rPr>
        <w:t>41</w:t>
      </w:r>
      <w:r w:rsidR="0054119E">
        <w:rPr>
          <w:rFonts w:ascii="Times New Roman" w:hAnsi="Times New Roman" w:cs="Times New Roman"/>
          <w:sz w:val="24"/>
          <w:szCs w:val="24"/>
        </w:rPr>
        <w:fldChar w:fldCharType="end"/>
      </w:r>
      <w:r w:rsidR="001D61F0">
        <w:rPr>
          <w:rFonts w:ascii="Times New Roman" w:hAnsi="Times New Roman" w:cs="Times New Roman"/>
          <w:sz w:val="24"/>
          <w:szCs w:val="24"/>
        </w:rPr>
        <w:t xml:space="preserve"> and as </w:t>
      </w:r>
      <w:r w:rsidR="007243EA">
        <w:rPr>
          <w:rFonts w:ascii="Times New Roman" w:hAnsi="Times New Roman" w:cs="Times New Roman"/>
          <w:sz w:val="24"/>
          <w:szCs w:val="24"/>
        </w:rPr>
        <w:t xml:space="preserve">holo-transketolase decreases there is </w:t>
      </w:r>
      <w:r w:rsidR="00DA02C6">
        <w:rPr>
          <w:rFonts w:ascii="Times New Roman" w:hAnsi="Times New Roman" w:cs="Times New Roman"/>
          <w:sz w:val="24"/>
          <w:szCs w:val="24"/>
        </w:rPr>
        <w:t xml:space="preserve">a consequent </w:t>
      </w:r>
      <w:r w:rsidR="008D6DC6">
        <w:rPr>
          <w:rFonts w:ascii="Times New Roman" w:hAnsi="Times New Roman" w:cs="Times New Roman"/>
          <w:sz w:val="24"/>
          <w:szCs w:val="24"/>
        </w:rPr>
        <w:t>increase in the ETKAC.</w:t>
      </w:r>
      <w:r w:rsidR="0054119E">
        <w:rPr>
          <w:rFonts w:ascii="Times New Roman" w:hAnsi="Times New Roman" w:cs="Times New Roman"/>
          <w:sz w:val="24"/>
          <w:szCs w:val="24"/>
        </w:rPr>
        <w:fldChar w:fldCharType="begin" w:fldLock="1"/>
      </w:r>
      <w:r w:rsidR="008D36B1">
        <w:rPr>
          <w:rFonts w:ascii="Times New Roman" w:hAnsi="Times New Roman" w:cs="Times New Roman"/>
          <w:sz w:val="24"/>
          <w:szCs w:val="24"/>
        </w:rPr>
        <w:instrText>ADDIN CSL_CITATION {"citationItems":[{"id":"ITEM-1","itemData":{"DOI":"10.1177/000456328502200417","ISSN":"0004-5632 (Print)","PMID":"4037670","abstract":"Whole blood and washed erythrocytes from nutritionally normal and abnormal elderly  patients were stored at room temperature, 4 degrees C and -20 degrees C for up to 14 days. In both groups, and under all storage conditions, the erythrocyte transketolase (ETK) activity and the thiamine pyrophosphate (TPP) effect decreased with time of storage. The ETK activity for specimens stored at -20 degrees C decreased significantly by day 14 (P less than 0.05). The TPP effect in specimens stored at -20 degrees C decreased significantly in the nutritionally abnormal group at 4 days (P less than 0.05) and in the nutritionally normal group by day 14 (P less than 0.05). These significant changes in ETK activity and TPP effect with storage can lead to misleading interpretation of thiamine nutritional status.","author":[{"dropping-particle":"","family":"Puxty","given":"J A","non-dropping-particle":"","parse-names":false,"suffix":""},{"dropping-particle":"","family":"Haskew","given":"A E","non-dropping-particle":"","parse-names":false,"suffix":""},{"dropping-particle":"","family":"Ratcliffe","given":"J G","non-dropping-particle":"","parse-names":false,"suffix":""},{"dropping-particle":"","family":"McMurray","given":"J","non-dropping-particle":"","parse-names":false,"suffix":""}],"container-title":"Annals of clinical biochemistry","id":"ITEM-1","issued":{"date-parts":[["1985","7"]]},"language":"eng","page":"423-427","publisher-place":"England","title":"Changes in erythrocyte transketolase activity and the thiamine pyrophosphate effect  during storage of blood.","type":"article-journal","volume":"22 ( Pt 4)"},"uris":["http://www.mendeley.com/documents/?uuid=b04cfe1f-8f85-4c40-a5f6-c9fe773f55e8"]},{"id":"ITEM-2","itemData":{"DOI":"10.1016/s0009-9120(79)80132-0","ISSN":"0009-9120 (Print)","PMID":"535163","author":[{"dropping-particle":"","family":"Spooner","given":"R J","non-dropping-particle":"","parse-names":false,"suffix":""},{"dropping-particle":"","family":"Percy","given":"R A","non-dropping-particle":"","parse-names":false,"suffix":""},{"dropping-particle":"","family":"Rumley","given":"A G","non-dropping-particle":"","parse-names":false,"suffix":""}],"container-title":"Clinical biochemistry","id":"ITEM-2","issue":"6","issued":{"date-parts":[["1979","12"]]},"language":"eng","page":"289-290","publisher-place":"United States","title":"The effect of erythrocyte ageing on some vitamin and mineral dependent enzymes.","type":"article-journal","volume":"12"},"uris":["http://www.mendeley.com/documents/?uuid=4d3f3cc7-35f1-4d71-a07a-afb1e9fbcfa2"]}],"mendeley":{"formattedCitation":"&lt;sup&gt;26,41&lt;/sup&gt;","plainTextFormattedCitation":"26,41","previouslyFormattedCitation":"&lt;sup&gt;26,42&lt;/sup&gt;"},"properties":{"noteIndex":0},"schema":"https://github.com/citation-style-language/schema/raw/master/csl-citation.json"}</w:instrText>
      </w:r>
      <w:r w:rsidR="0054119E">
        <w:rPr>
          <w:rFonts w:ascii="Times New Roman" w:hAnsi="Times New Roman" w:cs="Times New Roman"/>
          <w:sz w:val="24"/>
          <w:szCs w:val="24"/>
        </w:rPr>
        <w:fldChar w:fldCharType="separate"/>
      </w:r>
      <w:r w:rsidR="008D36B1" w:rsidRPr="008D36B1">
        <w:rPr>
          <w:rFonts w:ascii="Times New Roman" w:hAnsi="Times New Roman" w:cs="Times New Roman"/>
          <w:noProof/>
          <w:sz w:val="24"/>
          <w:szCs w:val="24"/>
          <w:vertAlign w:val="superscript"/>
        </w:rPr>
        <w:t>26,41</w:t>
      </w:r>
      <w:r w:rsidR="0054119E">
        <w:rPr>
          <w:rFonts w:ascii="Times New Roman" w:hAnsi="Times New Roman" w:cs="Times New Roman"/>
          <w:sz w:val="24"/>
          <w:szCs w:val="24"/>
        </w:rPr>
        <w:fldChar w:fldCharType="end"/>
      </w:r>
      <w:r w:rsidR="0054119E">
        <w:rPr>
          <w:rFonts w:ascii="Times New Roman" w:hAnsi="Times New Roman" w:cs="Times New Roman"/>
          <w:sz w:val="24"/>
          <w:szCs w:val="24"/>
        </w:rPr>
        <w:t xml:space="preserve"> </w:t>
      </w:r>
      <w:r w:rsidR="00F17880">
        <w:rPr>
          <w:rFonts w:ascii="Times New Roman" w:hAnsi="Times New Roman" w:cs="Times New Roman"/>
          <w:sz w:val="24"/>
          <w:szCs w:val="24"/>
        </w:rPr>
        <w:t xml:space="preserve"> </w:t>
      </w:r>
    </w:p>
    <w:p w14:paraId="21020F66" w14:textId="77777777" w:rsidR="00FB7720" w:rsidRDefault="00FB7720" w:rsidP="00DA3FAD">
      <w:pPr>
        <w:pStyle w:val="ListParagraph"/>
        <w:numPr>
          <w:ilvl w:val="0"/>
          <w:numId w:val="30"/>
        </w:numPr>
        <w:spacing w:line="276" w:lineRule="auto"/>
        <w:ind w:left="714" w:hanging="357"/>
        <w:contextualSpacing w:val="0"/>
        <w:rPr>
          <w:rFonts w:ascii="Times New Roman" w:hAnsi="Times New Roman" w:cs="Times New Roman"/>
          <w:b/>
          <w:sz w:val="24"/>
          <w:szCs w:val="24"/>
        </w:rPr>
      </w:pPr>
      <w:r w:rsidRPr="001619D1">
        <w:rPr>
          <w:rFonts w:ascii="Times New Roman" w:hAnsi="Times New Roman" w:cs="Times New Roman"/>
          <w:b/>
          <w:sz w:val="24"/>
          <w:szCs w:val="24"/>
        </w:rPr>
        <w:lastRenderedPageBreak/>
        <w:t>Conclusions</w:t>
      </w:r>
    </w:p>
    <w:p w14:paraId="67157825" w14:textId="5DD0B151" w:rsidR="00FB7720" w:rsidRPr="007B5CE3" w:rsidRDefault="00FB7720" w:rsidP="006C26FC">
      <w:pPr>
        <w:spacing w:line="276" w:lineRule="auto"/>
        <w:rPr>
          <w:rFonts w:ascii="Times New Roman" w:hAnsi="Times New Roman" w:cs="Times New Roman"/>
          <w:sz w:val="24"/>
          <w:szCs w:val="24"/>
        </w:rPr>
      </w:pPr>
      <w:r w:rsidRPr="007B5CE3">
        <w:rPr>
          <w:rFonts w:ascii="Times New Roman" w:hAnsi="Times New Roman" w:cs="Times New Roman"/>
          <w:sz w:val="24"/>
          <w:szCs w:val="24"/>
        </w:rPr>
        <w:t xml:space="preserve">The </w:t>
      </w:r>
      <w:r w:rsidR="008D6DC6">
        <w:rPr>
          <w:rFonts w:ascii="Times New Roman" w:hAnsi="Times New Roman" w:cs="Times New Roman"/>
          <w:sz w:val="24"/>
          <w:szCs w:val="24"/>
        </w:rPr>
        <w:t>ETKAC assay</w:t>
      </w:r>
      <w:r>
        <w:rPr>
          <w:rFonts w:ascii="Times New Roman" w:hAnsi="Times New Roman" w:cs="Times New Roman"/>
          <w:sz w:val="24"/>
          <w:szCs w:val="24"/>
        </w:rPr>
        <w:t xml:space="preserve"> provides an indirect, </w:t>
      </w:r>
      <w:r w:rsidRPr="007B5CE3">
        <w:rPr>
          <w:rFonts w:ascii="Times New Roman" w:hAnsi="Times New Roman" w:cs="Times New Roman"/>
          <w:sz w:val="24"/>
          <w:szCs w:val="24"/>
        </w:rPr>
        <w:t>functio</w:t>
      </w:r>
      <w:r>
        <w:rPr>
          <w:rFonts w:ascii="Times New Roman" w:hAnsi="Times New Roman" w:cs="Times New Roman"/>
          <w:sz w:val="24"/>
          <w:szCs w:val="24"/>
        </w:rPr>
        <w:t xml:space="preserve">nal measure of thiamine status. </w:t>
      </w:r>
      <w:r w:rsidRPr="007B5CE3">
        <w:rPr>
          <w:rFonts w:ascii="Times New Roman" w:hAnsi="Times New Roman" w:cs="Times New Roman"/>
          <w:sz w:val="24"/>
          <w:szCs w:val="24"/>
        </w:rPr>
        <w:t>Perceived limitations of the assay include relatively poor precis</w:t>
      </w:r>
      <w:r>
        <w:rPr>
          <w:rFonts w:ascii="Times New Roman" w:hAnsi="Times New Roman" w:cs="Times New Roman"/>
          <w:sz w:val="24"/>
          <w:szCs w:val="24"/>
        </w:rPr>
        <w:t>ion, lack of standardi</w:t>
      </w:r>
      <w:r w:rsidR="005E0876">
        <w:rPr>
          <w:rFonts w:ascii="Times New Roman" w:hAnsi="Times New Roman" w:cs="Times New Roman"/>
          <w:sz w:val="24"/>
          <w:szCs w:val="24"/>
        </w:rPr>
        <w:t>z</w:t>
      </w:r>
      <w:r>
        <w:rPr>
          <w:rFonts w:ascii="Times New Roman" w:hAnsi="Times New Roman" w:cs="Times New Roman"/>
          <w:sz w:val="24"/>
          <w:szCs w:val="24"/>
        </w:rPr>
        <w:t>ation,</w:t>
      </w:r>
      <w:r w:rsidRPr="007B5CE3">
        <w:rPr>
          <w:rFonts w:ascii="Times New Roman" w:hAnsi="Times New Roman" w:cs="Times New Roman"/>
          <w:sz w:val="24"/>
          <w:szCs w:val="24"/>
        </w:rPr>
        <w:t xml:space="preserve"> instability of the </w:t>
      </w:r>
      <w:r w:rsidR="005E0876">
        <w:rPr>
          <w:rFonts w:ascii="Times New Roman" w:hAnsi="Times New Roman" w:cs="Times New Roman"/>
          <w:sz w:val="24"/>
          <w:szCs w:val="24"/>
        </w:rPr>
        <w:t>transketolase</w:t>
      </w:r>
      <w:r w:rsidRPr="007B5CE3">
        <w:rPr>
          <w:rFonts w:ascii="Times New Roman" w:hAnsi="Times New Roman" w:cs="Times New Roman"/>
          <w:sz w:val="24"/>
          <w:szCs w:val="24"/>
        </w:rPr>
        <w:t xml:space="preserve"> enzyme</w:t>
      </w:r>
      <w:r>
        <w:rPr>
          <w:rFonts w:ascii="Times New Roman" w:hAnsi="Times New Roman" w:cs="Times New Roman"/>
          <w:sz w:val="24"/>
          <w:szCs w:val="24"/>
        </w:rPr>
        <w:t xml:space="preserve"> and lack of consensus over cut-offs for deficiency</w:t>
      </w:r>
      <w:r w:rsidR="005E0876">
        <w:rPr>
          <w:rFonts w:ascii="Times New Roman" w:hAnsi="Times New Roman" w:cs="Times New Roman"/>
          <w:sz w:val="24"/>
          <w:szCs w:val="24"/>
        </w:rPr>
        <w:t>.</w:t>
      </w:r>
      <w:r w:rsidRPr="007B5CE3">
        <w:rPr>
          <w:rFonts w:ascii="Times New Roman" w:hAnsi="Times New Roman" w:cs="Times New Roman"/>
          <w:sz w:val="24"/>
          <w:szCs w:val="24"/>
        </w:rPr>
        <w:fldChar w:fldCharType="begin" w:fldLock="1"/>
      </w:r>
      <w:r w:rsidR="008D36B1">
        <w:rPr>
          <w:rFonts w:ascii="Times New Roman" w:hAnsi="Times New Roman" w:cs="Times New Roman"/>
          <w:sz w:val="24"/>
          <w:szCs w:val="24"/>
        </w:rPr>
        <w:instrText>ADDIN CSL_CITATION {"citationItems":[{"id":"ITEM-1","itemData":{"ISSN":"0009-9147 (Print)","PMID":"10794754","abstract":"BACKGROUND: The concentration of thiamin diphosphate (TDP) in erythrocytes is a  useful index of thiamin status. We describe an HPLC method for TDP and its results in patients at risk of thiamin deficiency. METHODS: We used reversed-phase HPLC with postcolumn derivatization with alkaline potassium ferricyanide and fluorescence detection. Samples were deproteinized and injected directly onto a C(18) column. TDP concentrations in erythrocytes were compared with those in whole blood. Reference intervals for erythrocyte TDP (n = 147; 79 males and 68 females; mean age, 54 years) and whole blood TDP (n = 124; 68 males and 56 females; mean age, 54 years) were determined in an apparently healthy population. We compared erythrocyte TDP with results of the erythrocyte transketolase activation test in 63 patients who were considered at risk of thiamin deficiency. RESULTS: The method was linear to at least 200 microgram/L. The between-run CV was &lt;8%. The lower limit of quantification for both whole blood and packed erythrocytes was 300 pg on column with a detection limit of 130 pg on column. Recovery of TDP from blood samples was &gt;90%. TDP in erythrocytes correlated strongly with that in whole blood (r = 0.97). Reference intervals for erythrocyte and whole blood TDP were 280-590 ng/g hemoglobin and 275-675 ng/g hemoglobin, respectively. Of the 63 patients suspected of thiamin deficiency, 46 were normal by both TDP and activation tests, 13 were deficient by both tests, 1 was deficient by the activation test but had normal erythrocyte TDP concentrations, and 4 were normal by the activation test but had low TDP. CONCLUSIONS: The HPLC method is precise and yields results similar to the erythrocyte activation assay.","author":[{"dropping-particle":"","family":"Talwar","given":"D","non-dropping-particle":"","parse-names":false,"suffix":""},{"dropping-particle":"","family":"Davidson","given":"H","non-dropping-particle":"","parse-names":false,"suffix":""},{"dropping-particle":"","family":"Cooney","given":"J","non-dropping-particle":"","parse-names":false,"suffix":""},{"dropping-particle":"","family":"St JO'Reilly","given":"D","non-dropping-particle":"","parse-names":false,"suffix":""}],"container-title":"Clinical chemistry","id":"ITEM-1","issue":"5","issued":{"date-parts":[["2000","5"]]},"language":"eng","page":"704-710","publisher-place":"England","title":"Vitamin B(1) status assessed by direct measurement of thiamin pyrophosphate in  erythrocytes or whole blood by HPLC: comparison with erythrocyte transketolase activation assay.","type":"article-journal","volume":"46"},"uris":["http://www.mendeley.com/documents/?uuid=ca995e7d-8fde-435a-9334-9e96c8ba8d1e"]}],"mendeley":{"formattedCitation":"&lt;sup&gt;42&lt;/sup&gt;","plainTextFormattedCitation":"42","previouslyFormattedCitation":"&lt;sup&gt;43&lt;/sup&gt;"},"properties":{"noteIndex":0},"schema":"https://github.com/citation-style-language/schema/raw/master/csl-citation.json"}</w:instrText>
      </w:r>
      <w:r w:rsidRPr="007B5CE3">
        <w:rPr>
          <w:rFonts w:ascii="Times New Roman" w:hAnsi="Times New Roman" w:cs="Times New Roman"/>
          <w:sz w:val="24"/>
          <w:szCs w:val="24"/>
        </w:rPr>
        <w:fldChar w:fldCharType="separate"/>
      </w:r>
      <w:r w:rsidR="008D36B1" w:rsidRPr="008D36B1">
        <w:rPr>
          <w:rFonts w:ascii="Times New Roman" w:hAnsi="Times New Roman" w:cs="Times New Roman"/>
          <w:noProof/>
          <w:sz w:val="24"/>
          <w:szCs w:val="24"/>
          <w:vertAlign w:val="superscript"/>
        </w:rPr>
        <w:t>42</w:t>
      </w:r>
      <w:r w:rsidRPr="007B5CE3">
        <w:rPr>
          <w:rFonts w:ascii="Times New Roman" w:hAnsi="Times New Roman" w:cs="Times New Roman"/>
          <w:sz w:val="24"/>
          <w:szCs w:val="24"/>
        </w:rPr>
        <w:fldChar w:fldCharType="end"/>
      </w:r>
      <w:r w:rsidRPr="007B5CE3">
        <w:rPr>
          <w:rFonts w:ascii="Times New Roman" w:hAnsi="Times New Roman" w:cs="Times New Roman"/>
          <w:sz w:val="24"/>
          <w:szCs w:val="24"/>
        </w:rPr>
        <w:t xml:space="preserve"> However, t</w:t>
      </w:r>
      <w:r>
        <w:rPr>
          <w:rFonts w:ascii="Times New Roman" w:hAnsi="Times New Roman" w:cs="Times New Roman"/>
          <w:sz w:val="24"/>
          <w:szCs w:val="24"/>
        </w:rPr>
        <w:t xml:space="preserve">hese limitations </w:t>
      </w:r>
      <w:r w:rsidR="009F4CFA">
        <w:rPr>
          <w:rFonts w:ascii="Times New Roman" w:hAnsi="Times New Roman" w:cs="Times New Roman"/>
          <w:sz w:val="24"/>
          <w:szCs w:val="24"/>
        </w:rPr>
        <w:t>equally apply</w:t>
      </w:r>
      <w:r w:rsidRPr="007B5CE3">
        <w:rPr>
          <w:rFonts w:ascii="Times New Roman" w:hAnsi="Times New Roman" w:cs="Times New Roman"/>
          <w:sz w:val="24"/>
          <w:szCs w:val="24"/>
        </w:rPr>
        <w:t xml:space="preserve"> to </w:t>
      </w:r>
      <w:r>
        <w:rPr>
          <w:rFonts w:ascii="Times New Roman" w:hAnsi="Times New Roman" w:cs="Times New Roman"/>
          <w:sz w:val="24"/>
          <w:szCs w:val="24"/>
        </w:rPr>
        <w:t>other</w:t>
      </w:r>
      <w:r w:rsidRPr="007B5CE3">
        <w:rPr>
          <w:rFonts w:ascii="Times New Roman" w:hAnsi="Times New Roman" w:cs="Times New Roman"/>
          <w:sz w:val="24"/>
          <w:szCs w:val="24"/>
        </w:rPr>
        <w:t xml:space="preserve"> assays of thiamine status</w:t>
      </w:r>
      <w:r>
        <w:rPr>
          <w:rFonts w:ascii="Times New Roman" w:hAnsi="Times New Roman" w:cs="Times New Roman"/>
          <w:sz w:val="24"/>
          <w:szCs w:val="24"/>
        </w:rPr>
        <w:t>, such as whole blood ThDP. ETKAC has advantages over methods for the direct measurement of ThDP</w:t>
      </w:r>
      <w:r w:rsidR="009F4CFA">
        <w:rPr>
          <w:rFonts w:ascii="Times New Roman" w:hAnsi="Times New Roman" w:cs="Times New Roman"/>
          <w:sz w:val="24"/>
          <w:szCs w:val="24"/>
        </w:rPr>
        <w:t>,</w:t>
      </w:r>
      <w:r>
        <w:rPr>
          <w:rFonts w:ascii="Times New Roman" w:hAnsi="Times New Roman" w:cs="Times New Roman"/>
          <w:sz w:val="24"/>
          <w:szCs w:val="24"/>
        </w:rPr>
        <w:t xml:space="preserve"> including the relative ease and requirement for less speciali</w:t>
      </w:r>
      <w:r w:rsidR="005E0876">
        <w:rPr>
          <w:rFonts w:ascii="Times New Roman" w:hAnsi="Times New Roman" w:cs="Times New Roman"/>
          <w:sz w:val="24"/>
          <w:szCs w:val="24"/>
        </w:rPr>
        <w:t>z</w:t>
      </w:r>
      <w:r>
        <w:rPr>
          <w:rFonts w:ascii="Times New Roman" w:hAnsi="Times New Roman" w:cs="Times New Roman"/>
          <w:sz w:val="24"/>
          <w:szCs w:val="24"/>
        </w:rPr>
        <w:t>ed equipment</w:t>
      </w:r>
      <w:r w:rsidR="003C2000">
        <w:rPr>
          <w:rFonts w:ascii="Times New Roman" w:hAnsi="Times New Roman" w:cs="Times New Roman"/>
          <w:sz w:val="24"/>
          <w:szCs w:val="24"/>
        </w:rPr>
        <w:t xml:space="preserve"> making the assay potentially more affordable and sustainable</w:t>
      </w:r>
      <w:r w:rsidR="009F4CFA">
        <w:rPr>
          <w:rFonts w:ascii="Times New Roman" w:hAnsi="Times New Roman" w:cs="Times New Roman"/>
          <w:sz w:val="24"/>
          <w:szCs w:val="24"/>
        </w:rPr>
        <w:t>.</w:t>
      </w:r>
      <w:r>
        <w:rPr>
          <w:rFonts w:ascii="Times New Roman" w:hAnsi="Times New Roman" w:cs="Times New Roman"/>
          <w:sz w:val="24"/>
          <w:szCs w:val="24"/>
        </w:rPr>
        <w:t xml:space="preserve"> </w:t>
      </w:r>
      <w:r w:rsidR="003C2000">
        <w:rPr>
          <w:rFonts w:ascii="Times New Roman" w:hAnsi="Times New Roman" w:cs="Times New Roman"/>
          <w:sz w:val="24"/>
          <w:szCs w:val="24"/>
        </w:rPr>
        <w:t xml:space="preserve">Furthermore, </w:t>
      </w:r>
      <w:r w:rsidR="009F4CFA">
        <w:rPr>
          <w:rFonts w:ascii="Times New Roman" w:hAnsi="Times New Roman" w:cs="Times New Roman"/>
          <w:sz w:val="24"/>
          <w:szCs w:val="24"/>
        </w:rPr>
        <w:t xml:space="preserve">ETKAC </w:t>
      </w:r>
      <w:r>
        <w:rPr>
          <w:rFonts w:ascii="Times New Roman" w:hAnsi="Times New Roman" w:cs="Times New Roman"/>
          <w:sz w:val="24"/>
          <w:szCs w:val="24"/>
        </w:rPr>
        <w:t>provides a potentially better marker of long-term thiamine status that is less affected than ThDP by ac</w:t>
      </w:r>
      <w:r w:rsidR="005E0876">
        <w:rPr>
          <w:rFonts w:ascii="Times New Roman" w:hAnsi="Times New Roman" w:cs="Times New Roman"/>
          <w:sz w:val="24"/>
          <w:szCs w:val="24"/>
        </w:rPr>
        <w:t>ute changes in thiamine intake.</w:t>
      </w:r>
      <w:r>
        <w:rPr>
          <w:rFonts w:ascii="Times New Roman" w:hAnsi="Times New Roman" w:cs="Times New Roman"/>
          <w:sz w:val="24"/>
          <w:szCs w:val="24"/>
        </w:rPr>
        <w:fldChar w:fldCharType="begin" w:fldLock="1"/>
      </w:r>
      <w:r w:rsidR="008D36B1">
        <w:rPr>
          <w:rFonts w:ascii="Times New Roman" w:hAnsi="Times New Roman" w:cs="Times New Roman"/>
          <w:sz w:val="24"/>
          <w:szCs w:val="24"/>
        </w:rPr>
        <w:instrText>ADDIN CSL_CITATION {"citationItems":[{"id":"ITEM-1","itemData":{"ISSN":"0009-9147 (Print)","PMID":"11067837","author":[{"dropping-particle":"","family":"Howard","given":"J M","non-dropping-particle":"","parse-names":false,"suffix":""}],"container-title":"Clinical chemistry","id":"ITEM-1","issue":"11","issued":{"date-parts":[["2000","11"]]},"language":"eng","page":"1867-1868","publisher-place":"England","title":"Assessment of vitamin B(1) status.","type":"article","volume":"46"},"uris":["http://www.mendeley.com/documents/?uuid=47edd085-045f-4fba-beae-dbf4a6927594"]}],"mendeley":{"formattedCitation":"&lt;sup&gt;43&lt;/sup&gt;","plainTextFormattedCitation":"43","previouslyFormattedCitation":"&lt;sup&gt;44&lt;/sup&gt;"},"properties":{"noteIndex":0},"schema":"https://github.com/citation-style-language/schema/raw/master/csl-citation.json"}</w:instrText>
      </w:r>
      <w:r>
        <w:rPr>
          <w:rFonts w:ascii="Times New Roman" w:hAnsi="Times New Roman" w:cs="Times New Roman"/>
          <w:sz w:val="24"/>
          <w:szCs w:val="24"/>
        </w:rPr>
        <w:fldChar w:fldCharType="separate"/>
      </w:r>
      <w:r w:rsidR="008D36B1" w:rsidRPr="008D36B1">
        <w:rPr>
          <w:rFonts w:ascii="Times New Roman" w:hAnsi="Times New Roman" w:cs="Times New Roman"/>
          <w:noProof/>
          <w:sz w:val="24"/>
          <w:szCs w:val="24"/>
          <w:vertAlign w:val="superscript"/>
        </w:rPr>
        <w:t>43</w:t>
      </w:r>
      <w:r>
        <w:rPr>
          <w:rFonts w:ascii="Times New Roman" w:hAnsi="Times New Roman" w:cs="Times New Roman"/>
          <w:sz w:val="24"/>
          <w:szCs w:val="24"/>
        </w:rPr>
        <w:fldChar w:fldCharType="end"/>
      </w:r>
    </w:p>
    <w:p w14:paraId="3DAF1735" w14:textId="1513A810" w:rsidR="00CD28F4" w:rsidRPr="007B5CE3" w:rsidRDefault="00CD28F4" w:rsidP="006C26FC">
      <w:pPr>
        <w:spacing w:line="276" w:lineRule="auto"/>
        <w:rPr>
          <w:rFonts w:ascii="Times New Roman" w:hAnsi="Times New Roman" w:cs="Times New Roman"/>
          <w:sz w:val="24"/>
          <w:szCs w:val="24"/>
        </w:rPr>
      </w:pPr>
      <w:r w:rsidRPr="007B5CE3">
        <w:rPr>
          <w:rFonts w:ascii="Times New Roman" w:hAnsi="Times New Roman" w:cs="Times New Roman"/>
          <w:sz w:val="24"/>
          <w:szCs w:val="24"/>
        </w:rPr>
        <w:t>In this manuscript, we provide a detailed p</w:t>
      </w:r>
      <w:r w:rsidR="003F257E">
        <w:rPr>
          <w:rFonts w:ascii="Times New Roman" w:hAnsi="Times New Roman" w:cs="Times New Roman"/>
          <w:sz w:val="24"/>
          <w:szCs w:val="24"/>
        </w:rPr>
        <w:t xml:space="preserve">rotocol for the measurement of ETK </w:t>
      </w:r>
      <w:r w:rsidRPr="007B5CE3">
        <w:rPr>
          <w:rFonts w:ascii="Times New Roman" w:hAnsi="Times New Roman" w:cs="Times New Roman"/>
          <w:sz w:val="24"/>
          <w:szCs w:val="24"/>
        </w:rPr>
        <w:t xml:space="preserve">activity that </w:t>
      </w:r>
      <w:r w:rsidR="009F4CFA">
        <w:rPr>
          <w:rFonts w:ascii="Times New Roman" w:hAnsi="Times New Roman" w:cs="Times New Roman"/>
          <w:sz w:val="24"/>
          <w:szCs w:val="24"/>
        </w:rPr>
        <w:t xml:space="preserve">can be used as </w:t>
      </w:r>
      <w:r w:rsidRPr="007B5CE3">
        <w:rPr>
          <w:rFonts w:ascii="Times New Roman" w:hAnsi="Times New Roman" w:cs="Times New Roman"/>
          <w:sz w:val="24"/>
          <w:szCs w:val="24"/>
        </w:rPr>
        <w:t xml:space="preserve">a foundation </w:t>
      </w:r>
      <w:r w:rsidR="009F4CFA">
        <w:rPr>
          <w:rFonts w:ascii="Times New Roman" w:hAnsi="Times New Roman" w:cs="Times New Roman"/>
          <w:sz w:val="24"/>
          <w:szCs w:val="24"/>
        </w:rPr>
        <w:t>for</w:t>
      </w:r>
      <w:r>
        <w:rPr>
          <w:rFonts w:ascii="Times New Roman" w:hAnsi="Times New Roman" w:cs="Times New Roman"/>
          <w:sz w:val="24"/>
          <w:szCs w:val="24"/>
        </w:rPr>
        <w:t xml:space="preserve"> assay </w:t>
      </w:r>
      <w:r w:rsidR="00517204">
        <w:rPr>
          <w:rFonts w:ascii="Times New Roman" w:hAnsi="Times New Roman" w:cs="Times New Roman"/>
          <w:sz w:val="24"/>
          <w:szCs w:val="24"/>
        </w:rPr>
        <w:t>harmonization</w:t>
      </w:r>
      <w:r>
        <w:rPr>
          <w:rFonts w:ascii="Times New Roman" w:hAnsi="Times New Roman" w:cs="Times New Roman"/>
          <w:sz w:val="24"/>
          <w:szCs w:val="24"/>
        </w:rPr>
        <w:t xml:space="preserve">. </w:t>
      </w:r>
      <w:r w:rsidRPr="007B5CE3">
        <w:rPr>
          <w:rFonts w:ascii="Times New Roman" w:hAnsi="Times New Roman" w:cs="Times New Roman"/>
          <w:sz w:val="24"/>
          <w:szCs w:val="24"/>
        </w:rPr>
        <w:t>There is a</w:t>
      </w:r>
      <w:r w:rsidR="003C2000">
        <w:rPr>
          <w:rFonts w:ascii="Times New Roman" w:hAnsi="Times New Roman" w:cs="Times New Roman"/>
          <w:sz w:val="24"/>
          <w:szCs w:val="24"/>
        </w:rPr>
        <w:t>lso a</w:t>
      </w:r>
      <w:r w:rsidRPr="007B5CE3">
        <w:rPr>
          <w:rFonts w:ascii="Times New Roman" w:hAnsi="Times New Roman" w:cs="Times New Roman"/>
          <w:sz w:val="24"/>
          <w:szCs w:val="24"/>
        </w:rPr>
        <w:t xml:space="preserve"> </w:t>
      </w:r>
      <w:r>
        <w:rPr>
          <w:rFonts w:ascii="Times New Roman" w:hAnsi="Times New Roman" w:cs="Times New Roman"/>
          <w:sz w:val="24"/>
          <w:szCs w:val="24"/>
        </w:rPr>
        <w:t>need to develop a</w:t>
      </w:r>
      <w:r w:rsidR="003C2000">
        <w:rPr>
          <w:rFonts w:ascii="Times New Roman" w:hAnsi="Times New Roman" w:cs="Times New Roman"/>
          <w:sz w:val="24"/>
          <w:szCs w:val="24"/>
        </w:rPr>
        <w:t>n external</w:t>
      </w:r>
      <w:r>
        <w:rPr>
          <w:rFonts w:ascii="Times New Roman" w:hAnsi="Times New Roman" w:cs="Times New Roman"/>
          <w:sz w:val="24"/>
          <w:szCs w:val="24"/>
        </w:rPr>
        <w:t xml:space="preserve"> quality assurance scheme </w:t>
      </w:r>
      <w:r w:rsidR="003C2000">
        <w:rPr>
          <w:rFonts w:ascii="Times New Roman" w:hAnsi="Times New Roman" w:cs="Times New Roman"/>
          <w:sz w:val="24"/>
          <w:szCs w:val="24"/>
        </w:rPr>
        <w:t>to provide for the independent</w:t>
      </w:r>
      <w:r w:rsidR="009F4CFA">
        <w:rPr>
          <w:rFonts w:ascii="Times New Roman" w:hAnsi="Times New Roman" w:cs="Times New Roman"/>
          <w:sz w:val="24"/>
          <w:szCs w:val="24"/>
        </w:rPr>
        <w:t xml:space="preserve"> </w:t>
      </w:r>
      <w:r>
        <w:rPr>
          <w:rFonts w:ascii="Times New Roman" w:hAnsi="Times New Roman" w:cs="Times New Roman"/>
          <w:sz w:val="24"/>
          <w:szCs w:val="24"/>
        </w:rPr>
        <w:t>monitor</w:t>
      </w:r>
      <w:r w:rsidR="009F4CFA">
        <w:rPr>
          <w:rFonts w:ascii="Times New Roman" w:hAnsi="Times New Roman" w:cs="Times New Roman"/>
          <w:sz w:val="24"/>
          <w:szCs w:val="24"/>
        </w:rPr>
        <w:t>ing</w:t>
      </w:r>
      <w:r>
        <w:rPr>
          <w:rFonts w:ascii="Times New Roman" w:hAnsi="Times New Roman" w:cs="Times New Roman"/>
          <w:sz w:val="24"/>
          <w:szCs w:val="24"/>
        </w:rPr>
        <w:t xml:space="preserve"> and</w:t>
      </w:r>
      <w:r w:rsidR="009F4CFA">
        <w:rPr>
          <w:rFonts w:ascii="Times New Roman" w:hAnsi="Times New Roman" w:cs="Times New Roman"/>
          <w:sz w:val="24"/>
          <w:szCs w:val="24"/>
        </w:rPr>
        <w:t xml:space="preserve"> </w:t>
      </w:r>
      <w:r>
        <w:rPr>
          <w:rFonts w:ascii="Times New Roman" w:hAnsi="Times New Roman" w:cs="Times New Roman"/>
          <w:sz w:val="24"/>
          <w:szCs w:val="24"/>
        </w:rPr>
        <w:t>assess</w:t>
      </w:r>
      <w:r w:rsidR="009F4CFA">
        <w:rPr>
          <w:rFonts w:ascii="Times New Roman" w:hAnsi="Times New Roman" w:cs="Times New Roman"/>
          <w:sz w:val="24"/>
          <w:szCs w:val="24"/>
        </w:rPr>
        <w:t>ment of laboratory</w:t>
      </w:r>
      <w:r>
        <w:rPr>
          <w:rFonts w:ascii="Times New Roman" w:hAnsi="Times New Roman" w:cs="Times New Roman"/>
          <w:sz w:val="24"/>
          <w:szCs w:val="24"/>
        </w:rPr>
        <w:t xml:space="preserve"> performance. The establishment of a </w:t>
      </w:r>
      <w:r w:rsidR="000D0135">
        <w:rPr>
          <w:rFonts w:ascii="Times New Roman" w:hAnsi="Times New Roman" w:cs="Times New Roman"/>
          <w:sz w:val="24"/>
          <w:szCs w:val="24"/>
        </w:rPr>
        <w:t>network</w:t>
      </w:r>
      <w:r>
        <w:rPr>
          <w:rFonts w:ascii="Times New Roman" w:hAnsi="Times New Roman" w:cs="Times New Roman"/>
          <w:sz w:val="24"/>
          <w:szCs w:val="24"/>
        </w:rPr>
        <w:t xml:space="preserve"> of </w:t>
      </w:r>
      <w:r w:rsidR="000D0135">
        <w:rPr>
          <w:rFonts w:ascii="Times New Roman" w:hAnsi="Times New Roman" w:cs="Times New Roman"/>
          <w:sz w:val="24"/>
          <w:szCs w:val="24"/>
        </w:rPr>
        <w:t xml:space="preserve">international </w:t>
      </w:r>
      <w:r>
        <w:rPr>
          <w:rFonts w:ascii="Times New Roman" w:hAnsi="Times New Roman" w:cs="Times New Roman"/>
          <w:sz w:val="24"/>
          <w:szCs w:val="24"/>
        </w:rPr>
        <w:t>laboratories willing to share samples for an inter-laboratory comparison could provide a first step</w:t>
      </w:r>
      <w:r w:rsidR="000D0135">
        <w:rPr>
          <w:rFonts w:ascii="Times New Roman" w:hAnsi="Times New Roman" w:cs="Times New Roman"/>
          <w:sz w:val="24"/>
          <w:szCs w:val="24"/>
        </w:rPr>
        <w:t xml:space="preserve"> in the development of an EQA scheme</w:t>
      </w:r>
      <w:r>
        <w:rPr>
          <w:rFonts w:ascii="Times New Roman" w:hAnsi="Times New Roman" w:cs="Times New Roman"/>
          <w:sz w:val="24"/>
          <w:szCs w:val="24"/>
        </w:rPr>
        <w:t xml:space="preserve">. </w:t>
      </w:r>
      <w:r w:rsidR="008A7BF9">
        <w:rPr>
          <w:rFonts w:ascii="Times New Roman" w:hAnsi="Times New Roman" w:cs="Times New Roman"/>
          <w:sz w:val="24"/>
          <w:szCs w:val="24"/>
        </w:rPr>
        <w:t>The difficulty of obtaining blood samples in sufficient volume from thiamine-deficient individuals results in a lack of quality control materials that include the thiamine-</w:t>
      </w:r>
      <w:r w:rsidR="00C7707F">
        <w:rPr>
          <w:rFonts w:ascii="Times New Roman" w:hAnsi="Times New Roman" w:cs="Times New Roman"/>
          <w:sz w:val="24"/>
          <w:szCs w:val="24"/>
        </w:rPr>
        <w:t>deficient</w:t>
      </w:r>
      <w:r w:rsidR="008A7BF9">
        <w:rPr>
          <w:rFonts w:ascii="Times New Roman" w:hAnsi="Times New Roman" w:cs="Times New Roman"/>
          <w:sz w:val="24"/>
          <w:szCs w:val="24"/>
        </w:rPr>
        <w:t xml:space="preserve"> range. Therefore, t</w:t>
      </w:r>
      <w:r>
        <w:rPr>
          <w:rFonts w:ascii="Times New Roman" w:hAnsi="Times New Roman" w:cs="Times New Roman"/>
          <w:sz w:val="24"/>
          <w:szCs w:val="24"/>
        </w:rPr>
        <w:t>here is a need to develop quality control and reference materials with consensus values spanning both sufficiency and deficiency</w:t>
      </w:r>
      <w:r w:rsidR="009F4CFA">
        <w:rPr>
          <w:rFonts w:ascii="Times New Roman" w:hAnsi="Times New Roman" w:cs="Times New Roman"/>
          <w:sz w:val="24"/>
          <w:szCs w:val="24"/>
        </w:rPr>
        <w:t>,</w:t>
      </w:r>
      <w:r>
        <w:rPr>
          <w:rFonts w:ascii="Times New Roman" w:hAnsi="Times New Roman" w:cs="Times New Roman"/>
          <w:sz w:val="24"/>
          <w:szCs w:val="24"/>
        </w:rPr>
        <w:t xml:space="preserve"> which can be supplied to labor</w:t>
      </w:r>
      <w:r w:rsidR="000D0135">
        <w:rPr>
          <w:rFonts w:ascii="Times New Roman" w:hAnsi="Times New Roman" w:cs="Times New Roman"/>
          <w:sz w:val="24"/>
          <w:szCs w:val="24"/>
        </w:rPr>
        <w:t xml:space="preserve">atories in order to monitor, </w:t>
      </w:r>
      <w:r>
        <w:rPr>
          <w:rFonts w:ascii="Times New Roman" w:hAnsi="Times New Roman" w:cs="Times New Roman"/>
          <w:sz w:val="24"/>
          <w:szCs w:val="24"/>
        </w:rPr>
        <w:t xml:space="preserve">understand </w:t>
      </w:r>
      <w:r w:rsidR="000D0135">
        <w:rPr>
          <w:rFonts w:ascii="Times New Roman" w:hAnsi="Times New Roman" w:cs="Times New Roman"/>
          <w:sz w:val="24"/>
          <w:szCs w:val="24"/>
        </w:rPr>
        <w:t xml:space="preserve">and standardise </w:t>
      </w:r>
      <w:r w:rsidR="005E0876">
        <w:rPr>
          <w:rFonts w:ascii="Times New Roman" w:hAnsi="Times New Roman" w:cs="Times New Roman"/>
          <w:sz w:val="24"/>
          <w:szCs w:val="24"/>
        </w:rPr>
        <w:t>assay performance</w:t>
      </w:r>
      <w:r>
        <w:rPr>
          <w:rFonts w:ascii="Times New Roman" w:hAnsi="Times New Roman" w:cs="Times New Roman"/>
          <w:sz w:val="24"/>
          <w:szCs w:val="24"/>
        </w:rPr>
        <w:t xml:space="preserve">. </w:t>
      </w:r>
    </w:p>
    <w:p w14:paraId="011A1816" w14:textId="7D6C13FD" w:rsidR="00CD28F4" w:rsidRDefault="00CD28F4" w:rsidP="006C26FC">
      <w:pPr>
        <w:spacing w:line="276" w:lineRule="auto"/>
        <w:rPr>
          <w:rFonts w:ascii="Times New Roman" w:hAnsi="Times New Roman" w:cs="Times New Roman"/>
          <w:sz w:val="24"/>
          <w:szCs w:val="24"/>
        </w:rPr>
      </w:pPr>
      <w:r>
        <w:rPr>
          <w:rFonts w:ascii="Times New Roman" w:hAnsi="Times New Roman" w:cs="Times New Roman"/>
          <w:sz w:val="24"/>
          <w:szCs w:val="24"/>
        </w:rPr>
        <w:t xml:space="preserve">Improvements in </w:t>
      </w:r>
      <w:r w:rsidR="00517204">
        <w:rPr>
          <w:rFonts w:ascii="Times New Roman" w:hAnsi="Times New Roman" w:cs="Times New Roman"/>
          <w:sz w:val="24"/>
          <w:szCs w:val="24"/>
        </w:rPr>
        <w:t>harmonization</w:t>
      </w:r>
      <w:r>
        <w:rPr>
          <w:rFonts w:ascii="Times New Roman" w:hAnsi="Times New Roman" w:cs="Times New Roman"/>
          <w:sz w:val="24"/>
          <w:szCs w:val="24"/>
        </w:rPr>
        <w:t xml:space="preserve"> </w:t>
      </w:r>
      <w:r w:rsidR="000D0135">
        <w:rPr>
          <w:rFonts w:ascii="Times New Roman" w:hAnsi="Times New Roman" w:cs="Times New Roman"/>
          <w:sz w:val="24"/>
          <w:szCs w:val="24"/>
        </w:rPr>
        <w:t>will also provide opportunity</w:t>
      </w:r>
      <w:r>
        <w:rPr>
          <w:rFonts w:ascii="Times New Roman" w:hAnsi="Times New Roman" w:cs="Times New Roman"/>
          <w:sz w:val="24"/>
          <w:szCs w:val="24"/>
        </w:rPr>
        <w:t xml:space="preserve"> for investigating outstanding questions related to thiamine physiology and EKTAC assays</w:t>
      </w:r>
      <w:r w:rsidR="005E0876">
        <w:rPr>
          <w:rFonts w:ascii="Times New Roman" w:hAnsi="Times New Roman" w:cs="Times New Roman"/>
          <w:sz w:val="24"/>
          <w:szCs w:val="24"/>
        </w:rPr>
        <w:t>,</w:t>
      </w:r>
      <w:r>
        <w:rPr>
          <w:rFonts w:ascii="Times New Roman" w:hAnsi="Times New Roman" w:cs="Times New Roman"/>
          <w:sz w:val="24"/>
          <w:szCs w:val="24"/>
        </w:rPr>
        <w:t xml:space="preserve"> including the establishment of cut-offs for deficiency, characterising agreement with other markers of thiamine status (e.g. ThDP) and to better understand conditions where interpretation of ETKAC may be confounded. </w:t>
      </w:r>
    </w:p>
    <w:p w14:paraId="26D71AA0" w14:textId="77777777" w:rsidR="005243A0" w:rsidRPr="003F257E" w:rsidRDefault="005243A0" w:rsidP="005243A0">
      <w:pPr>
        <w:spacing w:line="276" w:lineRule="auto"/>
        <w:rPr>
          <w:rFonts w:ascii="Times New Roman" w:hAnsi="Times New Roman" w:cs="Times New Roman"/>
          <w:b/>
          <w:sz w:val="24"/>
          <w:szCs w:val="24"/>
        </w:rPr>
      </w:pPr>
      <w:r w:rsidRPr="003F257E">
        <w:rPr>
          <w:rFonts w:ascii="Times New Roman" w:hAnsi="Times New Roman" w:cs="Times New Roman"/>
          <w:b/>
          <w:sz w:val="24"/>
          <w:szCs w:val="24"/>
        </w:rPr>
        <w:t>Acknowledgements</w:t>
      </w:r>
    </w:p>
    <w:p w14:paraId="6DB0F1B2" w14:textId="6FF35481" w:rsidR="00264AC9" w:rsidRDefault="00264AC9" w:rsidP="00054D8C">
      <w:pPr>
        <w:pStyle w:val="CommentText"/>
        <w:rPr>
          <w:rFonts w:ascii="Times New Roman" w:hAnsi="Times New Roman" w:cs="Times New Roman"/>
          <w:sz w:val="24"/>
          <w:szCs w:val="24"/>
        </w:rPr>
      </w:pPr>
      <w:r w:rsidRPr="003F257E">
        <w:rPr>
          <w:rFonts w:ascii="Times New Roman" w:hAnsi="Times New Roman" w:cs="Times New Roman"/>
          <w:sz w:val="24"/>
          <w:szCs w:val="24"/>
        </w:rPr>
        <w:t>KSJ and D</w:t>
      </w:r>
      <w:r w:rsidR="000C3448">
        <w:rPr>
          <w:rFonts w:ascii="Times New Roman" w:hAnsi="Times New Roman" w:cs="Times New Roman"/>
          <w:sz w:val="24"/>
          <w:szCs w:val="24"/>
        </w:rPr>
        <w:t>A</w:t>
      </w:r>
      <w:r w:rsidRPr="003F257E">
        <w:rPr>
          <w:rFonts w:ascii="Times New Roman" w:hAnsi="Times New Roman" w:cs="Times New Roman"/>
          <w:sz w:val="24"/>
          <w:szCs w:val="24"/>
        </w:rPr>
        <w:t>P wrote the manuscript; L</w:t>
      </w:r>
      <w:r w:rsidR="00517204">
        <w:rPr>
          <w:rFonts w:ascii="Times New Roman" w:hAnsi="Times New Roman" w:cs="Times New Roman"/>
          <w:sz w:val="24"/>
          <w:szCs w:val="24"/>
        </w:rPr>
        <w:t>J</w:t>
      </w:r>
      <w:r w:rsidRPr="003F257E">
        <w:rPr>
          <w:rFonts w:ascii="Times New Roman" w:hAnsi="Times New Roman" w:cs="Times New Roman"/>
          <w:sz w:val="24"/>
          <w:szCs w:val="24"/>
        </w:rPr>
        <w:t>C designed the assay</w:t>
      </w:r>
      <w:r w:rsidR="000D0135">
        <w:rPr>
          <w:rFonts w:ascii="Times New Roman" w:hAnsi="Times New Roman" w:cs="Times New Roman"/>
          <w:sz w:val="24"/>
          <w:szCs w:val="24"/>
        </w:rPr>
        <w:t xml:space="preserve"> whilst at MRC EWL (</w:t>
      </w:r>
      <w:r w:rsidR="000D0135" w:rsidRPr="000D0135">
        <w:rPr>
          <w:rFonts w:ascii="Times New Roman" w:hAnsi="Times New Roman" w:cs="Times New Roman"/>
          <w:sz w:val="24"/>
          <w:szCs w:val="24"/>
        </w:rPr>
        <w:t>UK Medical Research Council programme U105960384)</w:t>
      </w:r>
      <w:r w:rsidRPr="003F257E">
        <w:rPr>
          <w:rFonts w:ascii="Times New Roman" w:hAnsi="Times New Roman" w:cs="Times New Roman"/>
          <w:sz w:val="24"/>
          <w:szCs w:val="24"/>
        </w:rPr>
        <w:t>; L</w:t>
      </w:r>
      <w:r w:rsidR="00517204">
        <w:rPr>
          <w:rFonts w:ascii="Times New Roman" w:hAnsi="Times New Roman" w:cs="Times New Roman"/>
          <w:sz w:val="24"/>
          <w:szCs w:val="24"/>
        </w:rPr>
        <w:t>J</w:t>
      </w:r>
      <w:r w:rsidRPr="003F257E">
        <w:rPr>
          <w:rFonts w:ascii="Times New Roman" w:hAnsi="Times New Roman" w:cs="Times New Roman"/>
          <w:sz w:val="24"/>
          <w:szCs w:val="24"/>
        </w:rPr>
        <w:t>C and D</w:t>
      </w:r>
      <w:r w:rsidR="000C3448">
        <w:rPr>
          <w:rFonts w:ascii="Times New Roman" w:hAnsi="Times New Roman" w:cs="Times New Roman"/>
          <w:sz w:val="24"/>
          <w:szCs w:val="24"/>
        </w:rPr>
        <w:t>A</w:t>
      </w:r>
      <w:r w:rsidRPr="003F257E">
        <w:rPr>
          <w:rFonts w:ascii="Times New Roman" w:hAnsi="Times New Roman" w:cs="Times New Roman"/>
          <w:sz w:val="24"/>
          <w:szCs w:val="24"/>
        </w:rPr>
        <w:t>P performed the experiments; KSJ, D</w:t>
      </w:r>
      <w:r w:rsidR="000C3448">
        <w:rPr>
          <w:rFonts w:ascii="Times New Roman" w:hAnsi="Times New Roman" w:cs="Times New Roman"/>
          <w:sz w:val="24"/>
          <w:szCs w:val="24"/>
        </w:rPr>
        <w:t>A</w:t>
      </w:r>
      <w:r w:rsidRPr="003F257E">
        <w:rPr>
          <w:rFonts w:ascii="Times New Roman" w:hAnsi="Times New Roman" w:cs="Times New Roman"/>
          <w:sz w:val="24"/>
          <w:szCs w:val="24"/>
        </w:rPr>
        <w:t>P, L</w:t>
      </w:r>
      <w:r w:rsidR="00517204">
        <w:rPr>
          <w:rFonts w:ascii="Times New Roman" w:hAnsi="Times New Roman" w:cs="Times New Roman"/>
          <w:sz w:val="24"/>
          <w:szCs w:val="24"/>
        </w:rPr>
        <w:t>J</w:t>
      </w:r>
      <w:r w:rsidRPr="003F257E">
        <w:rPr>
          <w:rFonts w:ascii="Times New Roman" w:hAnsi="Times New Roman" w:cs="Times New Roman"/>
          <w:sz w:val="24"/>
          <w:szCs w:val="24"/>
        </w:rPr>
        <w:t>C and AK reviewed and approved the manuscript and accept re</w:t>
      </w:r>
      <w:r w:rsidR="00054D8C">
        <w:rPr>
          <w:rFonts w:ascii="Times New Roman" w:hAnsi="Times New Roman" w:cs="Times New Roman"/>
          <w:sz w:val="24"/>
          <w:szCs w:val="24"/>
        </w:rPr>
        <w:t xml:space="preserve">sponsibility for the contents. </w:t>
      </w:r>
    </w:p>
    <w:p w14:paraId="48E21C06" w14:textId="2E233A8A" w:rsidR="00863C74" w:rsidRDefault="005243A0" w:rsidP="005243A0">
      <w:pPr>
        <w:spacing w:line="276" w:lineRule="auto"/>
        <w:rPr>
          <w:rFonts w:ascii="Times New Roman" w:hAnsi="Times New Roman" w:cs="Times New Roman"/>
          <w:sz w:val="24"/>
          <w:szCs w:val="24"/>
        </w:rPr>
      </w:pPr>
      <w:r w:rsidRPr="003F257E">
        <w:rPr>
          <w:rFonts w:ascii="Times New Roman" w:hAnsi="Times New Roman" w:cs="Times New Roman"/>
          <w:sz w:val="24"/>
          <w:szCs w:val="24"/>
        </w:rPr>
        <w:t>KSJ, D</w:t>
      </w:r>
      <w:r w:rsidR="000C3448">
        <w:rPr>
          <w:rFonts w:ascii="Times New Roman" w:hAnsi="Times New Roman" w:cs="Times New Roman"/>
          <w:sz w:val="24"/>
          <w:szCs w:val="24"/>
        </w:rPr>
        <w:t>A</w:t>
      </w:r>
      <w:r w:rsidRPr="003F257E">
        <w:rPr>
          <w:rFonts w:ascii="Times New Roman" w:hAnsi="Times New Roman" w:cs="Times New Roman"/>
          <w:sz w:val="24"/>
          <w:szCs w:val="24"/>
        </w:rPr>
        <w:t>P and AK are supported by the National Institute for Health Research (NIHR) Cambridge Biomedical Research Centre (IS-BRC-1215- 20014). The NIHR Cambridge Biomedical Research Centre is a partnership between Cambridge University Hospitals NHS Foundation Trust and the University of Cambridge, funded by the NIHR. The views expressed are those of the authors and not necessarily those of the NHS, the NIHR or the Department of Health and Social Care.</w:t>
      </w:r>
      <w:r w:rsidR="00A27AB7">
        <w:rPr>
          <w:rFonts w:ascii="Times New Roman" w:hAnsi="Times New Roman" w:cs="Times New Roman"/>
          <w:sz w:val="24"/>
          <w:szCs w:val="24"/>
        </w:rPr>
        <w:t xml:space="preserve"> </w:t>
      </w:r>
      <w:r w:rsidR="00517204">
        <w:rPr>
          <w:rFonts w:ascii="Times New Roman" w:hAnsi="Times New Roman" w:cs="Times New Roman"/>
          <w:sz w:val="24"/>
          <w:szCs w:val="24"/>
        </w:rPr>
        <w:t xml:space="preserve">LJC </w:t>
      </w:r>
      <w:r w:rsidR="000D0135">
        <w:rPr>
          <w:rFonts w:ascii="Times New Roman" w:hAnsi="Times New Roman" w:cs="Times New Roman"/>
          <w:sz w:val="24"/>
          <w:szCs w:val="24"/>
        </w:rPr>
        <w:t>has an advisory role at the NIHR BRC Nutritional Biomarker Laboratory</w:t>
      </w:r>
      <w:r w:rsidR="00517204">
        <w:rPr>
          <w:rFonts w:ascii="Times New Roman" w:hAnsi="Times New Roman" w:cs="Times New Roman"/>
          <w:sz w:val="24"/>
          <w:szCs w:val="24"/>
        </w:rPr>
        <w:t xml:space="preserve">. </w:t>
      </w:r>
    </w:p>
    <w:p w14:paraId="1EB28C2B" w14:textId="71E4B720" w:rsidR="005243A0" w:rsidRPr="003F257E" w:rsidRDefault="00863C74" w:rsidP="005243A0">
      <w:pPr>
        <w:spacing w:line="276" w:lineRule="auto"/>
        <w:rPr>
          <w:rFonts w:ascii="Times New Roman" w:hAnsi="Times New Roman" w:cs="Times New Roman"/>
          <w:sz w:val="24"/>
          <w:szCs w:val="24"/>
        </w:rPr>
      </w:pPr>
      <w:r>
        <w:rPr>
          <w:rFonts w:ascii="Times New Roman" w:hAnsi="Times New Roman" w:cs="Times New Roman"/>
          <w:sz w:val="24"/>
          <w:szCs w:val="24"/>
        </w:rPr>
        <w:t xml:space="preserve">We thank Tabasum Tabasum </w:t>
      </w:r>
      <w:r w:rsidR="000D0135">
        <w:rPr>
          <w:rFonts w:ascii="Times New Roman" w:hAnsi="Times New Roman" w:cs="Times New Roman"/>
          <w:sz w:val="24"/>
          <w:szCs w:val="24"/>
        </w:rPr>
        <w:t xml:space="preserve">(NIHR BRC Nutritional Biomarker Laboratory) </w:t>
      </w:r>
      <w:r>
        <w:rPr>
          <w:rFonts w:ascii="Times New Roman" w:hAnsi="Times New Roman" w:cs="Times New Roman"/>
          <w:sz w:val="24"/>
          <w:szCs w:val="24"/>
        </w:rPr>
        <w:t xml:space="preserve">who performed the sample stability assays and Dave Collins </w:t>
      </w:r>
      <w:r w:rsidR="000D0135">
        <w:rPr>
          <w:rFonts w:ascii="Times New Roman" w:hAnsi="Times New Roman" w:cs="Times New Roman"/>
          <w:sz w:val="24"/>
          <w:szCs w:val="24"/>
        </w:rPr>
        <w:t xml:space="preserve">(NIHR BRC Dietary Assessment, Anthropometry and Physical Activity Platform, MRC Epidemiology Unit, University of </w:t>
      </w:r>
      <w:r w:rsidR="000D0135">
        <w:rPr>
          <w:rFonts w:ascii="Times New Roman" w:hAnsi="Times New Roman" w:cs="Times New Roman"/>
          <w:sz w:val="24"/>
          <w:szCs w:val="24"/>
        </w:rPr>
        <w:lastRenderedPageBreak/>
        <w:t xml:space="preserve">Cambridge) </w:t>
      </w:r>
      <w:r>
        <w:rPr>
          <w:rFonts w:ascii="Times New Roman" w:hAnsi="Times New Roman" w:cs="Times New Roman"/>
          <w:sz w:val="24"/>
          <w:szCs w:val="24"/>
        </w:rPr>
        <w:t xml:space="preserve">for providing NDNS data. </w:t>
      </w:r>
      <w:r w:rsidR="00517204">
        <w:rPr>
          <w:rFonts w:ascii="Times New Roman" w:hAnsi="Times New Roman" w:cs="Times New Roman"/>
          <w:sz w:val="24"/>
          <w:szCs w:val="24"/>
        </w:rPr>
        <w:t>Some of the experimental work was performed at the MRC Elsie Widdowson Laboratory</w:t>
      </w:r>
      <w:r>
        <w:rPr>
          <w:rFonts w:ascii="Times New Roman" w:hAnsi="Times New Roman" w:cs="Times New Roman"/>
          <w:sz w:val="24"/>
          <w:szCs w:val="24"/>
        </w:rPr>
        <w:t>, Cambridge, UK</w:t>
      </w:r>
      <w:r w:rsidR="00517204">
        <w:rPr>
          <w:rFonts w:ascii="Times New Roman" w:hAnsi="Times New Roman" w:cs="Times New Roman"/>
          <w:sz w:val="24"/>
          <w:szCs w:val="24"/>
        </w:rPr>
        <w:t xml:space="preserve"> </w:t>
      </w:r>
      <w:r>
        <w:rPr>
          <w:rFonts w:ascii="Times New Roman" w:hAnsi="Times New Roman" w:cs="Times New Roman"/>
          <w:sz w:val="24"/>
          <w:szCs w:val="24"/>
        </w:rPr>
        <w:t xml:space="preserve">which closed in December 2018. </w:t>
      </w:r>
    </w:p>
    <w:p w14:paraId="5705E0AB" w14:textId="77777777" w:rsidR="00A0475E" w:rsidRDefault="00A0475E">
      <w:pPr>
        <w:rPr>
          <w:rFonts w:ascii="Times New Roman" w:hAnsi="Times New Roman" w:cs="Times New Roman"/>
          <w:b/>
          <w:bCs/>
          <w:sz w:val="24"/>
          <w:szCs w:val="24"/>
        </w:rPr>
      </w:pPr>
      <w:r>
        <w:rPr>
          <w:rFonts w:ascii="Times New Roman" w:hAnsi="Times New Roman" w:cs="Times New Roman"/>
          <w:b/>
          <w:bCs/>
          <w:sz w:val="24"/>
          <w:szCs w:val="24"/>
        </w:rPr>
        <w:t>Competing Interests</w:t>
      </w:r>
    </w:p>
    <w:p w14:paraId="57F4D42A" w14:textId="0755481D" w:rsidR="003F257E" w:rsidRPr="00A0475E" w:rsidRDefault="00A0475E">
      <w:pPr>
        <w:rPr>
          <w:rFonts w:ascii="Times New Roman" w:hAnsi="Times New Roman" w:cs="Times New Roman"/>
          <w:bCs/>
          <w:sz w:val="24"/>
          <w:szCs w:val="24"/>
        </w:rPr>
      </w:pPr>
      <w:r w:rsidRPr="00A0475E">
        <w:rPr>
          <w:rFonts w:ascii="Times New Roman" w:hAnsi="Times New Roman" w:cs="Times New Roman"/>
          <w:bCs/>
          <w:sz w:val="24"/>
          <w:szCs w:val="24"/>
        </w:rPr>
        <w:t xml:space="preserve">The authors have no competing interests to declare. </w:t>
      </w:r>
      <w:r w:rsidR="003F257E" w:rsidRPr="00A0475E">
        <w:rPr>
          <w:rFonts w:ascii="Times New Roman" w:hAnsi="Times New Roman" w:cs="Times New Roman"/>
          <w:bCs/>
          <w:sz w:val="24"/>
          <w:szCs w:val="24"/>
        </w:rPr>
        <w:br w:type="page"/>
      </w:r>
    </w:p>
    <w:p w14:paraId="667C2F9D" w14:textId="77777777" w:rsidR="00FB7720" w:rsidRPr="003F257E" w:rsidRDefault="00FB7720" w:rsidP="003F257E">
      <w:pPr>
        <w:spacing w:line="276" w:lineRule="auto"/>
        <w:rPr>
          <w:rFonts w:ascii="Times New Roman" w:hAnsi="Times New Roman" w:cs="Times New Roman"/>
          <w:b/>
          <w:bCs/>
          <w:sz w:val="24"/>
          <w:szCs w:val="24"/>
        </w:rPr>
      </w:pPr>
      <w:r w:rsidRPr="003F257E">
        <w:rPr>
          <w:rFonts w:ascii="Times New Roman" w:hAnsi="Times New Roman" w:cs="Times New Roman"/>
          <w:b/>
          <w:bCs/>
          <w:sz w:val="24"/>
          <w:szCs w:val="24"/>
        </w:rPr>
        <w:lastRenderedPageBreak/>
        <w:t>Protocol for processing of whole blo</w:t>
      </w:r>
      <w:r w:rsidR="003F257E">
        <w:rPr>
          <w:rFonts w:ascii="Times New Roman" w:hAnsi="Times New Roman" w:cs="Times New Roman"/>
          <w:b/>
          <w:bCs/>
          <w:sz w:val="24"/>
          <w:szCs w:val="24"/>
        </w:rPr>
        <w:t xml:space="preserve">od samples required to produce </w:t>
      </w:r>
      <w:r w:rsidRPr="003F257E">
        <w:rPr>
          <w:rFonts w:ascii="Times New Roman" w:hAnsi="Times New Roman" w:cs="Times New Roman"/>
          <w:b/>
          <w:bCs/>
          <w:sz w:val="24"/>
          <w:szCs w:val="24"/>
        </w:rPr>
        <w:t xml:space="preserve">washed </w:t>
      </w:r>
      <w:r w:rsidR="003F257E">
        <w:rPr>
          <w:rFonts w:ascii="Times New Roman" w:hAnsi="Times New Roman" w:cs="Times New Roman"/>
          <w:b/>
          <w:bCs/>
          <w:sz w:val="24"/>
          <w:szCs w:val="24"/>
        </w:rPr>
        <w:t>erythrocyte</w:t>
      </w:r>
      <w:r w:rsidRPr="003F257E">
        <w:rPr>
          <w:rFonts w:ascii="Times New Roman" w:hAnsi="Times New Roman" w:cs="Times New Roman"/>
          <w:b/>
          <w:bCs/>
          <w:sz w:val="24"/>
          <w:szCs w:val="24"/>
        </w:rPr>
        <w:t xml:space="preserve"> specimens for the </w:t>
      </w:r>
      <w:r w:rsidR="003F257E" w:rsidRPr="003F257E">
        <w:rPr>
          <w:rFonts w:ascii="Times New Roman" w:hAnsi="Times New Roman" w:cs="Times New Roman"/>
          <w:b/>
          <w:bCs/>
          <w:sz w:val="24"/>
          <w:szCs w:val="24"/>
        </w:rPr>
        <w:t xml:space="preserve">erythrocyte transketolase activity coefficient </w:t>
      </w:r>
      <w:r w:rsidR="003F257E">
        <w:rPr>
          <w:rFonts w:ascii="Times New Roman" w:hAnsi="Times New Roman" w:cs="Times New Roman"/>
          <w:b/>
          <w:bCs/>
          <w:sz w:val="24"/>
          <w:szCs w:val="24"/>
        </w:rPr>
        <w:t>(</w:t>
      </w:r>
      <w:r w:rsidRPr="003F257E">
        <w:rPr>
          <w:rFonts w:ascii="Times New Roman" w:hAnsi="Times New Roman" w:cs="Times New Roman"/>
          <w:b/>
          <w:bCs/>
          <w:sz w:val="24"/>
          <w:szCs w:val="24"/>
        </w:rPr>
        <w:t>ETKAC</w:t>
      </w:r>
      <w:r w:rsidR="003F257E">
        <w:rPr>
          <w:rFonts w:ascii="Times New Roman" w:hAnsi="Times New Roman" w:cs="Times New Roman"/>
          <w:b/>
          <w:bCs/>
          <w:sz w:val="24"/>
          <w:szCs w:val="24"/>
        </w:rPr>
        <w:t>)</w:t>
      </w:r>
      <w:r w:rsidRPr="003F257E">
        <w:rPr>
          <w:rFonts w:ascii="Times New Roman" w:hAnsi="Times New Roman" w:cs="Times New Roman"/>
          <w:b/>
          <w:bCs/>
          <w:sz w:val="24"/>
          <w:szCs w:val="24"/>
        </w:rPr>
        <w:t xml:space="preserve"> assay</w:t>
      </w:r>
    </w:p>
    <w:p w14:paraId="453B8A81" w14:textId="77777777" w:rsidR="00FB7720" w:rsidRPr="003F257E" w:rsidRDefault="00FB7720" w:rsidP="003F257E">
      <w:pPr>
        <w:pStyle w:val="ListContinue"/>
        <w:spacing w:line="276" w:lineRule="auto"/>
        <w:rPr>
          <w:rFonts w:ascii="Times New Roman" w:hAnsi="Times New Roman"/>
          <w:b/>
          <w:bCs/>
          <w:szCs w:val="24"/>
        </w:rPr>
      </w:pPr>
      <w:r w:rsidRPr="003F257E">
        <w:rPr>
          <w:rFonts w:ascii="Times New Roman" w:hAnsi="Times New Roman"/>
          <w:b/>
          <w:bCs/>
          <w:szCs w:val="24"/>
        </w:rPr>
        <w:t>Materials</w:t>
      </w:r>
    </w:p>
    <w:p w14:paraId="013FD2BC" w14:textId="05DCFE6F" w:rsidR="00FB7720" w:rsidRPr="004E1290" w:rsidRDefault="00FB7720" w:rsidP="004E1290">
      <w:pPr>
        <w:pStyle w:val="ListContinue"/>
        <w:numPr>
          <w:ilvl w:val="0"/>
          <w:numId w:val="11"/>
        </w:numPr>
        <w:spacing w:after="0" w:line="276" w:lineRule="auto"/>
        <w:ind w:left="567" w:hanging="425"/>
        <w:rPr>
          <w:rFonts w:ascii="Times New Roman" w:hAnsi="Times New Roman"/>
          <w:bCs/>
          <w:szCs w:val="24"/>
        </w:rPr>
      </w:pPr>
      <w:r w:rsidRPr="003F257E">
        <w:rPr>
          <w:rFonts w:ascii="Times New Roman" w:hAnsi="Times New Roman"/>
          <w:bCs/>
          <w:szCs w:val="24"/>
        </w:rPr>
        <w:t xml:space="preserve">Refrigerated centrifuge with shielded rotor (see </w:t>
      </w:r>
      <w:r w:rsidRPr="003F257E">
        <w:rPr>
          <w:rFonts w:ascii="Times New Roman" w:hAnsi="Times New Roman"/>
          <w:b/>
          <w:bCs/>
          <w:szCs w:val="24"/>
        </w:rPr>
        <w:t xml:space="preserve">note </w:t>
      </w:r>
      <w:r w:rsidR="003F257E">
        <w:rPr>
          <w:rFonts w:ascii="Times New Roman" w:hAnsi="Times New Roman"/>
          <w:b/>
          <w:bCs/>
          <w:szCs w:val="24"/>
        </w:rPr>
        <w:t>1</w:t>
      </w:r>
      <w:r w:rsidRPr="003F257E">
        <w:rPr>
          <w:rFonts w:ascii="Times New Roman" w:hAnsi="Times New Roman"/>
          <w:bCs/>
          <w:szCs w:val="24"/>
        </w:rPr>
        <w:t>)</w:t>
      </w:r>
    </w:p>
    <w:p w14:paraId="4F3B1A03" w14:textId="77777777" w:rsidR="004D4DD4" w:rsidRPr="004D4DD4" w:rsidRDefault="004D4DD4" w:rsidP="004E1290">
      <w:pPr>
        <w:pStyle w:val="Heading1"/>
        <w:numPr>
          <w:ilvl w:val="0"/>
          <w:numId w:val="17"/>
        </w:numPr>
        <w:spacing w:before="0" w:line="276" w:lineRule="auto"/>
        <w:ind w:left="567" w:hanging="425"/>
        <w:rPr>
          <w:rFonts w:eastAsia="Calibri"/>
          <w:szCs w:val="24"/>
        </w:rPr>
      </w:pPr>
      <w:r w:rsidRPr="004D4DD4">
        <w:rPr>
          <w:szCs w:val="24"/>
          <w:lang w:eastAsia="en-GB"/>
        </w:rPr>
        <w:t>Source of deionised water</w:t>
      </w:r>
    </w:p>
    <w:p w14:paraId="2961B4A1" w14:textId="46D1ED0C" w:rsidR="00FB7720" w:rsidRPr="003F257E" w:rsidRDefault="00FB7720" w:rsidP="004E1290">
      <w:pPr>
        <w:pStyle w:val="ListContinue"/>
        <w:numPr>
          <w:ilvl w:val="0"/>
          <w:numId w:val="11"/>
        </w:numPr>
        <w:spacing w:after="0" w:line="276" w:lineRule="auto"/>
        <w:ind w:left="567" w:hanging="425"/>
        <w:jc w:val="both"/>
        <w:rPr>
          <w:rFonts w:ascii="Times New Roman" w:hAnsi="Times New Roman"/>
          <w:szCs w:val="24"/>
        </w:rPr>
      </w:pPr>
      <w:r w:rsidRPr="003F257E">
        <w:rPr>
          <w:rFonts w:ascii="Times New Roman" w:hAnsi="Times New Roman"/>
          <w:bCs/>
          <w:szCs w:val="24"/>
        </w:rPr>
        <w:t xml:space="preserve">Saline. </w:t>
      </w:r>
      <w:r w:rsidRPr="003F257E">
        <w:rPr>
          <w:rFonts w:ascii="Times New Roman" w:hAnsi="Times New Roman"/>
          <w:szCs w:val="24"/>
        </w:rPr>
        <w:t>Approximately 30</w:t>
      </w:r>
      <w:r w:rsidR="009F4CFA">
        <w:rPr>
          <w:rFonts w:ascii="Times New Roman" w:hAnsi="Times New Roman"/>
          <w:szCs w:val="24"/>
        </w:rPr>
        <w:t> </w:t>
      </w:r>
      <w:r w:rsidRPr="003F257E">
        <w:rPr>
          <w:rFonts w:ascii="Times New Roman" w:hAnsi="Times New Roman"/>
          <w:szCs w:val="24"/>
        </w:rPr>
        <w:t xml:space="preserve">ml of a 0.9% saline solution is required per participant for </w:t>
      </w:r>
      <w:r w:rsidR="003F257E" w:rsidRPr="003F257E">
        <w:rPr>
          <w:rFonts w:ascii="Times New Roman" w:hAnsi="Times New Roman"/>
          <w:bCs/>
          <w:szCs w:val="24"/>
        </w:rPr>
        <w:t>erythrocyte</w:t>
      </w:r>
      <w:r w:rsidR="003F257E" w:rsidRPr="003F257E">
        <w:rPr>
          <w:rFonts w:ascii="Times New Roman" w:hAnsi="Times New Roman"/>
          <w:szCs w:val="24"/>
        </w:rPr>
        <w:t xml:space="preserve"> </w:t>
      </w:r>
      <w:r w:rsidRPr="003F257E">
        <w:rPr>
          <w:rFonts w:ascii="Times New Roman" w:hAnsi="Times New Roman"/>
          <w:szCs w:val="24"/>
        </w:rPr>
        <w:t>w</w:t>
      </w:r>
      <w:r w:rsidR="003F257E">
        <w:rPr>
          <w:rFonts w:ascii="Times New Roman" w:hAnsi="Times New Roman"/>
          <w:szCs w:val="24"/>
        </w:rPr>
        <w:t>ashing</w:t>
      </w:r>
    </w:p>
    <w:p w14:paraId="245B43E1" w14:textId="77777777" w:rsidR="00FB7720" w:rsidRPr="003F257E" w:rsidRDefault="00FB7720" w:rsidP="004E1290">
      <w:pPr>
        <w:pStyle w:val="ListContinue"/>
        <w:numPr>
          <w:ilvl w:val="0"/>
          <w:numId w:val="11"/>
        </w:numPr>
        <w:spacing w:after="0" w:line="276" w:lineRule="auto"/>
        <w:ind w:left="567" w:hanging="425"/>
        <w:rPr>
          <w:rFonts w:ascii="Times New Roman" w:hAnsi="Times New Roman"/>
          <w:bCs/>
          <w:szCs w:val="24"/>
        </w:rPr>
      </w:pPr>
      <w:r w:rsidRPr="003F257E">
        <w:rPr>
          <w:rFonts w:ascii="Times New Roman" w:hAnsi="Times New Roman"/>
          <w:bCs/>
          <w:szCs w:val="24"/>
        </w:rPr>
        <w:t>Pastettes</w:t>
      </w:r>
    </w:p>
    <w:p w14:paraId="5C47DBD7" w14:textId="77777777" w:rsidR="00FB7720" w:rsidRPr="003F257E" w:rsidRDefault="00FB7720" w:rsidP="004E1290">
      <w:pPr>
        <w:pStyle w:val="ListContinue"/>
        <w:numPr>
          <w:ilvl w:val="0"/>
          <w:numId w:val="12"/>
        </w:numPr>
        <w:spacing w:after="0" w:line="276" w:lineRule="auto"/>
        <w:ind w:left="567" w:hanging="425"/>
        <w:rPr>
          <w:rFonts w:ascii="Times New Roman" w:hAnsi="Times New Roman"/>
          <w:bCs/>
          <w:szCs w:val="24"/>
        </w:rPr>
      </w:pPr>
      <w:r w:rsidRPr="003F257E">
        <w:rPr>
          <w:rFonts w:ascii="Times New Roman" w:hAnsi="Times New Roman"/>
          <w:bCs/>
          <w:szCs w:val="24"/>
        </w:rPr>
        <w:t xml:space="preserve">Freezer (not self-defrosting) (see </w:t>
      </w:r>
      <w:r w:rsidRPr="003F257E">
        <w:rPr>
          <w:rFonts w:ascii="Times New Roman" w:hAnsi="Times New Roman"/>
          <w:b/>
          <w:bCs/>
          <w:szCs w:val="24"/>
        </w:rPr>
        <w:t xml:space="preserve">note </w:t>
      </w:r>
      <w:r w:rsidR="003F257E">
        <w:rPr>
          <w:rFonts w:ascii="Times New Roman" w:hAnsi="Times New Roman"/>
          <w:b/>
          <w:bCs/>
          <w:szCs w:val="24"/>
        </w:rPr>
        <w:t>2</w:t>
      </w:r>
      <w:r w:rsidRPr="003F257E">
        <w:rPr>
          <w:rFonts w:ascii="Times New Roman" w:hAnsi="Times New Roman"/>
          <w:bCs/>
          <w:szCs w:val="24"/>
        </w:rPr>
        <w:t>)</w:t>
      </w:r>
    </w:p>
    <w:p w14:paraId="42972405" w14:textId="6E99800B" w:rsidR="00FB7720" w:rsidRPr="003F257E" w:rsidRDefault="00FB7720" w:rsidP="003F257E">
      <w:pPr>
        <w:pStyle w:val="ListContinue"/>
        <w:spacing w:line="276" w:lineRule="auto"/>
        <w:rPr>
          <w:rFonts w:ascii="Times New Roman" w:hAnsi="Times New Roman"/>
          <w:b/>
          <w:bCs/>
          <w:szCs w:val="24"/>
        </w:rPr>
      </w:pPr>
    </w:p>
    <w:p w14:paraId="3B4DB6CC" w14:textId="77777777" w:rsidR="00FB7720" w:rsidRPr="003F257E" w:rsidRDefault="003F257E" w:rsidP="003F257E">
      <w:pPr>
        <w:pStyle w:val="ListContinue"/>
        <w:spacing w:line="276" w:lineRule="auto"/>
        <w:rPr>
          <w:rFonts w:ascii="Times New Roman" w:hAnsi="Times New Roman"/>
          <w:b/>
          <w:bCs/>
          <w:szCs w:val="24"/>
        </w:rPr>
      </w:pPr>
      <w:r>
        <w:rPr>
          <w:rFonts w:ascii="Times New Roman" w:hAnsi="Times New Roman"/>
          <w:b/>
          <w:bCs/>
          <w:szCs w:val="24"/>
        </w:rPr>
        <w:t>Sample processing procedure</w:t>
      </w:r>
    </w:p>
    <w:p w14:paraId="2F6A87ED" w14:textId="13E81A8C" w:rsidR="00FB7720" w:rsidRPr="003F257E" w:rsidRDefault="00FB7720" w:rsidP="003F257E">
      <w:pPr>
        <w:pStyle w:val="ListContinue"/>
        <w:numPr>
          <w:ilvl w:val="3"/>
          <w:numId w:val="10"/>
        </w:numPr>
        <w:spacing w:line="276" w:lineRule="auto"/>
        <w:ind w:left="567" w:hanging="567"/>
        <w:rPr>
          <w:rFonts w:ascii="Times New Roman" w:hAnsi="Times New Roman"/>
          <w:bCs/>
          <w:szCs w:val="24"/>
        </w:rPr>
      </w:pPr>
      <w:r w:rsidRPr="003F257E">
        <w:rPr>
          <w:rFonts w:ascii="Times New Roman" w:hAnsi="Times New Roman"/>
          <w:szCs w:val="24"/>
        </w:rPr>
        <w:t>Pre-chill centrifuge to 4</w:t>
      </w:r>
      <w:r w:rsidR="009F4CFA">
        <w:rPr>
          <w:rFonts w:ascii="Times New Roman" w:hAnsi="Times New Roman"/>
          <w:szCs w:val="24"/>
        </w:rPr>
        <w:t> </w:t>
      </w:r>
      <w:r w:rsidR="008D6DC6" w:rsidRPr="003F257E">
        <w:rPr>
          <w:rFonts w:ascii="Times New Roman" w:hAnsi="Times New Roman"/>
          <w:bCs/>
          <w:szCs w:val="24"/>
        </w:rPr>
        <w:t>°</w:t>
      </w:r>
      <w:r w:rsidRPr="003F257E">
        <w:rPr>
          <w:rFonts w:ascii="Times New Roman" w:hAnsi="Times New Roman"/>
          <w:szCs w:val="24"/>
        </w:rPr>
        <w:t xml:space="preserve">C </w:t>
      </w:r>
    </w:p>
    <w:p w14:paraId="24ED6471" w14:textId="77777777" w:rsidR="00FB7720" w:rsidRPr="003F257E" w:rsidRDefault="00FB7720" w:rsidP="003F257E">
      <w:pPr>
        <w:pStyle w:val="ListContinue"/>
        <w:numPr>
          <w:ilvl w:val="3"/>
          <w:numId w:val="10"/>
        </w:numPr>
        <w:spacing w:line="276" w:lineRule="auto"/>
        <w:ind w:left="567" w:hanging="567"/>
        <w:rPr>
          <w:rFonts w:ascii="Times New Roman" w:hAnsi="Times New Roman"/>
          <w:bCs/>
          <w:szCs w:val="24"/>
        </w:rPr>
      </w:pPr>
      <w:r w:rsidRPr="003F257E">
        <w:rPr>
          <w:rFonts w:ascii="Times New Roman" w:hAnsi="Times New Roman"/>
          <w:szCs w:val="24"/>
        </w:rPr>
        <w:t xml:space="preserve">Mix all blood </w:t>
      </w:r>
      <w:r w:rsidR="003F257E">
        <w:rPr>
          <w:rFonts w:ascii="Times New Roman" w:hAnsi="Times New Roman"/>
          <w:szCs w:val="24"/>
        </w:rPr>
        <w:t>containers</w:t>
      </w:r>
      <w:r w:rsidRPr="003F257E">
        <w:rPr>
          <w:rFonts w:ascii="Times New Roman" w:hAnsi="Times New Roman"/>
          <w:szCs w:val="24"/>
        </w:rPr>
        <w:t xml:space="preserve"> by inverting slowly 10 times</w:t>
      </w:r>
    </w:p>
    <w:p w14:paraId="4233189E" w14:textId="5D5C5555" w:rsidR="00FB7720" w:rsidRPr="003F257E" w:rsidRDefault="00FB7720" w:rsidP="003F257E">
      <w:pPr>
        <w:pStyle w:val="ListContinue"/>
        <w:numPr>
          <w:ilvl w:val="3"/>
          <w:numId w:val="10"/>
        </w:numPr>
        <w:spacing w:line="276" w:lineRule="auto"/>
        <w:ind w:left="567" w:hanging="567"/>
        <w:rPr>
          <w:rFonts w:ascii="Times New Roman" w:hAnsi="Times New Roman"/>
          <w:b/>
          <w:bCs/>
          <w:szCs w:val="24"/>
        </w:rPr>
      </w:pPr>
      <w:r w:rsidRPr="003F257E">
        <w:rPr>
          <w:rFonts w:ascii="Times New Roman" w:hAnsi="Times New Roman"/>
          <w:szCs w:val="24"/>
        </w:rPr>
        <w:t>Centrifuge the tubes at 4</w:t>
      </w:r>
      <w:r w:rsidR="009F4CFA">
        <w:rPr>
          <w:rFonts w:ascii="Times New Roman" w:hAnsi="Times New Roman"/>
          <w:szCs w:val="24"/>
        </w:rPr>
        <w:t> </w:t>
      </w:r>
      <w:r w:rsidR="008D6DC6" w:rsidRPr="003F257E">
        <w:rPr>
          <w:rFonts w:ascii="Times New Roman" w:hAnsi="Times New Roman"/>
          <w:bCs/>
          <w:szCs w:val="24"/>
        </w:rPr>
        <w:t>°</w:t>
      </w:r>
      <w:r w:rsidRPr="003F257E">
        <w:rPr>
          <w:rFonts w:ascii="Times New Roman" w:hAnsi="Times New Roman"/>
          <w:szCs w:val="24"/>
        </w:rPr>
        <w:t>C according to manufacturer’s instructions or local protocols for collection of plasma</w:t>
      </w:r>
    </w:p>
    <w:p w14:paraId="3D444FDF" w14:textId="77777777" w:rsidR="00FB7720" w:rsidRPr="003F257E" w:rsidRDefault="00FB7720" w:rsidP="003F257E">
      <w:pPr>
        <w:pStyle w:val="ListContinue"/>
        <w:numPr>
          <w:ilvl w:val="3"/>
          <w:numId w:val="10"/>
        </w:numPr>
        <w:spacing w:line="276" w:lineRule="auto"/>
        <w:ind w:left="567" w:hanging="567"/>
        <w:rPr>
          <w:rFonts w:ascii="Times New Roman" w:hAnsi="Times New Roman"/>
          <w:b/>
          <w:bCs/>
          <w:szCs w:val="24"/>
        </w:rPr>
      </w:pPr>
      <w:r w:rsidRPr="003F257E">
        <w:rPr>
          <w:rFonts w:ascii="Times New Roman" w:hAnsi="Times New Roman"/>
          <w:szCs w:val="24"/>
        </w:rPr>
        <w:t xml:space="preserve">Remove the plasma </w:t>
      </w:r>
      <w:r w:rsidR="003F257E">
        <w:rPr>
          <w:rFonts w:ascii="Times New Roman" w:hAnsi="Times New Roman"/>
          <w:szCs w:val="24"/>
        </w:rPr>
        <w:t>according to local protocols</w:t>
      </w:r>
    </w:p>
    <w:p w14:paraId="00B8FC20" w14:textId="77777777" w:rsidR="00FB7720" w:rsidRPr="003F257E" w:rsidRDefault="00FB7720" w:rsidP="003F257E">
      <w:pPr>
        <w:pStyle w:val="ListContinue"/>
        <w:numPr>
          <w:ilvl w:val="3"/>
          <w:numId w:val="10"/>
        </w:numPr>
        <w:spacing w:line="276" w:lineRule="auto"/>
        <w:ind w:left="567" w:hanging="567"/>
        <w:rPr>
          <w:rFonts w:ascii="Times New Roman" w:hAnsi="Times New Roman"/>
          <w:b/>
          <w:bCs/>
          <w:szCs w:val="24"/>
        </w:rPr>
      </w:pPr>
      <w:r w:rsidRPr="003F257E">
        <w:rPr>
          <w:rFonts w:ascii="Times New Roman" w:hAnsi="Times New Roman"/>
          <w:szCs w:val="24"/>
        </w:rPr>
        <w:t xml:space="preserve">Remove buffy coat top layer from the tube using a </w:t>
      </w:r>
      <w:r w:rsidR="003F257E">
        <w:rPr>
          <w:rFonts w:ascii="Times New Roman" w:hAnsi="Times New Roman"/>
          <w:szCs w:val="24"/>
        </w:rPr>
        <w:t>P</w:t>
      </w:r>
      <w:r w:rsidRPr="003F257E">
        <w:rPr>
          <w:rFonts w:ascii="Times New Roman" w:hAnsi="Times New Roman"/>
          <w:szCs w:val="24"/>
        </w:rPr>
        <w:t>astette</w:t>
      </w:r>
    </w:p>
    <w:p w14:paraId="53AD107F" w14:textId="77777777" w:rsidR="00FB7720" w:rsidRPr="003F257E" w:rsidRDefault="00FB7720" w:rsidP="003F257E">
      <w:pPr>
        <w:pStyle w:val="ListContinue"/>
        <w:numPr>
          <w:ilvl w:val="3"/>
          <w:numId w:val="10"/>
        </w:numPr>
        <w:spacing w:line="276" w:lineRule="auto"/>
        <w:ind w:left="567" w:hanging="567"/>
        <w:rPr>
          <w:rFonts w:ascii="Times New Roman" w:hAnsi="Times New Roman"/>
          <w:b/>
          <w:bCs/>
          <w:szCs w:val="24"/>
        </w:rPr>
      </w:pPr>
      <w:r w:rsidRPr="003F257E">
        <w:rPr>
          <w:rFonts w:ascii="Times New Roman" w:hAnsi="Times New Roman"/>
          <w:szCs w:val="24"/>
        </w:rPr>
        <w:t xml:space="preserve">Re-suspend the </w:t>
      </w:r>
      <w:r w:rsidR="003F257E" w:rsidRPr="003F257E">
        <w:rPr>
          <w:rFonts w:ascii="Times New Roman" w:hAnsi="Times New Roman"/>
          <w:bCs/>
          <w:szCs w:val="24"/>
        </w:rPr>
        <w:t>erythrocyte</w:t>
      </w:r>
      <w:r w:rsidR="003F257E">
        <w:rPr>
          <w:rFonts w:ascii="Times New Roman" w:hAnsi="Times New Roman"/>
          <w:bCs/>
          <w:szCs w:val="24"/>
        </w:rPr>
        <w:t>s</w:t>
      </w:r>
      <w:r w:rsidR="003F257E" w:rsidRPr="003F257E">
        <w:rPr>
          <w:rFonts w:ascii="Times New Roman" w:hAnsi="Times New Roman"/>
          <w:szCs w:val="24"/>
        </w:rPr>
        <w:t xml:space="preserve"> </w:t>
      </w:r>
      <w:r w:rsidRPr="003F257E">
        <w:rPr>
          <w:rFonts w:ascii="Times New Roman" w:hAnsi="Times New Roman"/>
          <w:szCs w:val="24"/>
        </w:rPr>
        <w:t xml:space="preserve">in normal saline (0.9% w/v NaCl solution) with approximately 2 times the volume of the </w:t>
      </w:r>
      <w:r w:rsidR="003F257E" w:rsidRPr="003F257E">
        <w:rPr>
          <w:rFonts w:ascii="Times New Roman" w:hAnsi="Times New Roman"/>
          <w:bCs/>
          <w:szCs w:val="24"/>
        </w:rPr>
        <w:t>erythrocyte</w:t>
      </w:r>
      <w:r w:rsidR="003F257E">
        <w:rPr>
          <w:rFonts w:ascii="Times New Roman" w:hAnsi="Times New Roman"/>
          <w:bCs/>
          <w:szCs w:val="24"/>
        </w:rPr>
        <w:t>s</w:t>
      </w:r>
      <w:r w:rsidRPr="003F257E">
        <w:rPr>
          <w:rFonts w:ascii="Times New Roman" w:hAnsi="Times New Roman"/>
          <w:szCs w:val="24"/>
        </w:rPr>
        <w:t xml:space="preserve">. </w:t>
      </w:r>
      <w:r w:rsidR="003F257E">
        <w:rPr>
          <w:rFonts w:ascii="Times New Roman" w:hAnsi="Times New Roman"/>
          <w:szCs w:val="24"/>
        </w:rPr>
        <w:t>Gently</w:t>
      </w:r>
      <w:r w:rsidRPr="003F257E">
        <w:rPr>
          <w:rFonts w:ascii="Times New Roman" w:hAnsi="Times New Roman"/>
          <w:szCs w:val="24"/>
        </w:rPr>
        <w:t xml:space="preserve"> invert the tub</w:t>
      </w:r>
      <w:r w:rsidR="003F257E">
        <w:rPr>
          <w:rFonts w:ascii="Times New Roman" w:hAnsi="Times New Roman"/>
          <w:szCs w:val="24"/>
        </w:rPr>
        <w:t>e 10 times to mix</w:t>
      </w:r>
    </w:p>
    <w:p w14:paraId="315EACCF" w14:textId="15ED34F6" w:rsidR="00FB7720" w:rsidRPr="003F257E" w:rsidRDefault="00FB7720" w:rsidP="003F257E">
      <w:pPr>
        <w:pStyle w:val="ListContinue"/>
        <w:numPr>
          <w:ilvl w:val="3"/>
          <w:numId w:val="10"/>
        </w:numPr>
        <w:spacing w:line="276" w:lineRule="auto"/>
        <w:ind w:left="567" w:hanging="567"/>
        <w:rPr>
          <w:rFonts w:ascii="Times New Roman" w:hAnsi="Times New Roman"/>
          <w:b/>
          <w:bCs/>
          <w:szCs w:val="24"/>
        </w:rPr>
      </w:pPr>
      <w:r w:rsidRPr="003F257E">
        <w:rPr>
          <w:rFonts w:ascii="Times New Roman" w:hAnsi="Times New Roman"/>
          <w:szCs w:val="24"/>
        </w:rPr>
        <w:t>Centrifuge the tubes at 4</w:t>
      </w:r>
      <w:r w:rsidR="009F4CFA">
        <w:rPr>
          <w:rFonts w:ascii="Times New Roman" w:hAnsi="Times New Roman"/>
          <w:szCs w:val="24"/>
        </w:rPr>
        <w:t> </w:t>
      </w:r>
      <w:r w:rsidR="008D6DC6" w:rsidRPr="008D6DC6">
        <w:rPr>
          <w:rFonts w:ascii="Times New Roman" w:hAnsi="Times New Roman"/>
          <w:szCs w:val="24"/>
        </w:rPr>
        <w:t>°</w:t>
      </w:r>
      <w:r w:rsidRPr="003F257E">
        <w:rPr>
          <w:rFonts w:ascii="Times New Roman" w:hAnsi="Times New Roman"/>
          <w:szCs w:val="24"/>
        </w:rPr>
        <w:t>C and 2000</w:t>
      </w:r>
      <w:r w:rsidR="009F4CFA">
        <w:rPr>
          <w:rFonts w:ascii="Times New Roman" w:hAnsi="Times New Roman"/>
          <w:szCs w:val="24"/>
        </w:rPr>
        <w:t> </w:t>
      </w:r>
      <w:r w:rsidRPr="003F257E">
        <w:rPr>
          <w:rFonts w:ascii="Times New Roman" w:hAnsi="Times New Roman"/>
          <w:i/>
          <w:szCs w:val="24"/>
        </w:rPr>
        <w:t>g</w:t>
      </w:r>
      <w:r w:rsidRPr="003F257E">
        <w:rPr>
          <w:rFonts w:ascii="Times New Roman" w:hAnsi="Times New Roman"/>
          <w:szCs w:val="24"/>
        </w:rPr>
        <w:t xml:space="preserve"> for 10 min</w:t>
      </w:r>
      <w:r w:rsidR="003F257E">
        <w:rPr>
          <w:rFonts w:ascii="Times New Roman" w:hAnsi="Times New Roman"/>
          <w:szCs w:val="24"/>
        </w:rPr>
        <w:t>utes</w:t>
      </w:r>
      <w:r w:rsidRPr="003F257E">
        <w:rPr>
          <w:rFonts w:ascii="Times New Roman" w:hAnsi="Times New Roman"/>
          <w:szCs w:val="24"/>
        </w:rPr>
        <w:t xml:space="preserve"> and discard the supernatant</w:t>
      </w:r>
    </w:p>
    <w:p w14:paraId="181849E2" w14:textId="77777777" w:rsidR="00FB7720" w:rsidRPr="003F257E" w:rsidRDefault="00FB7720" w:rsidP="003F257E">
      <w:pPr>
        <w:pStyle w:val="ListContinue"/>
        <w:numPr>
          <w:ilvl w:val="3"/>
          <w:numId w:val="10"/>
        </w:numPr>
        <w:spacing w:line="276" w:lineRule="auto"/>
        <w:ind w:left="567" w:hanging="567"/>
        <w:rPr>
          <w:rFonts w:ascii="Times New Roman" w:hAnsi="Times New Roman"/>
          <w:b/>
          <w:bCs/>
          <w:szCs w:val="24"/>
        </w:rPr>
      </w:pPr>
      <w:r w:rsidRPr="003F257E">
        <w:rPr>
          <w:rFonts w:ascii="Times New Roman" w:hAnsi="Times New Roman"/>
          <w:szCs w:val="24"/>
        </w:rPr>
        <w:t xml:space="preserve">Repeat steps 6 and 7 twice for a total of 3 washes or until the supernatant is clear </w:t>
      </w:r>
    </w:p>
    <w:p w14:paraId="76D71DEB" w14:textId="77777777" w:rsidR="00FB7720" w:rsidRPr="003F257E" w:rsidRDefault="00FB7720" w:rsidP="003F257E">
      <w:pPr>
        <w:pStyle w:val="ListContinue"/>
        <w:numPr>
          <w:ilvl w:val="3"/>
          <w:numId w:val="10"/>
        </w:numPr>
        <w:spacing w:line="276" w:lineRule="auto"/>
        <w:ind w:left="567" w:hanging="567"/>
        <w:rPr>
          <w:rFonts w:ascii="Times New Roman" w:hAnsi="Times New Roman"/>
          <w:b/>
          <w:bCs/>
          <w:szCs w:val="24"/>
        </w:rPr>
      </w:pPr>
      <w:r w:rsidRPr="003F257E">
        <w:rPr>
          <w:rFonts w:ascii="Times New Roman" w:hAnsi="Times New Roman"/>
          <w:szCs w:val="24"/>
        </w:rPr>
        <w:t xml:space="preserve">Completely remove the supernatant </w:t>
      </w:r>
    </w:p>
    <w:p w14:paraId="35A3B0C4" w14:textId="17CD82BF" w:rsidR="00FB7720" w:rsidRPr="003F257E" w:rsidRDefault="00FB7720" w:rsidP="003F257E">
      <w:pPr>
        <w:pStyle w:val="ListContinue"/>
        <w:numPr>
          <w:ilvl w:val="3"/>
          <w:numId w:val="10"/>
        </w:numPr>
        <w:spacing w:line="276" w:lineRule="auto"/>
        <w:ind w:left="567" w:hanging="567"/>
        <w:rPr>
          <w:rFonts w:ascii="Times New Roman" w:hAnsi="Times New Roman"/>
          <w:szCs w:val="24"/>
        </w:rPr>
      </w:pPr>
      <w:r w:rsidRPr="003F257E">
        <w:rPr>
          <w:rFonts w:ascii="Times New Roman" w:hAnsi="Times New Roman"/>
          <w:szCs w:val="24"/>
        </w:rPr>
        <w:t xml:space="preserve">Washed </w:t>
      </w:r>
      <w:r w:rsidR="003F257E" w:rsidRPr="003F257E">
        <w:rPr>
          <w:rFonts w:ascii="Times New Roman" w:hAnsi="Times New Roman"/>
          <w:bCs/>
          <w:szCs w:val="24"/>
        </w:rPr>
        <w:t>erythrocyte</w:t>
      </w:r>
      <w:r w:rsidR="003F257E">
        <w:rPr>
          <w:rFonts w:ascii="Times New Roman" w:hAnsi="Times New Roman"/>
          <w:bCs/>
          <w:szCs w:val="24"/>
        </w:rPr>
        <w:t>s</w:t>
      </w:r>
      <w:r w:rsidRPr="003F257E">
        <w:rPr>
          <w:rFonts w:ascii="Times New Roman" w:hAnsi="Times New Roman"/>
          <w:szCs w:val="24"/>
        </w:rPr>
        <w:t xml:space="preserve"> should be stored at -</w:t>
      </w:r>
      <w:r w:rsidR="003F257E">
        <w:rPr>
          <w:rFonts w:ascii="Times New Roman" w:hAnsi="Times New Roman"/>
          <w:szCs w:val="24"/>
        </w:rPr>
        <w:t>7</w:t>
      </w:r>
      <w:r w:rsidRPr="003F257E">
        <w:rPr>
          <w:rFonts w:ascii="Times New Roman" w:hAnsi="Times New Roman"/>
          <w:szCs w:val="24"/>
        </w:rPr>
        <w:t>0</w:t>
      </w:r>
      <w:r w:rsidR="009F4CFA">
        <w:rPr>
          <w:rFonts w:ascii="Times New Roman" w:hAnsi="Times New Roman"/>
          <w:szCs w:val="24"/>
        </w:rPr>
        <w:t> </w:t>
      </w:r>
      <w:r w:rsidR="00A27AB7" w:rsidRPr="003F257E">
        <w:rPr>
          <w:rFonts w:ascii="Times New Roman" w:hAnsi="Times New Roman"/>
          <w:bCs/>
          <w:szCs w:val="24"/>
        </w:rPr>
        <w:t>°C</w:t>
      </w:r>
    </w:p>
    <w:p w14:paraId="419579CD" w14:textId="77777777" w:rsidR="00E35435" w:rsidRDefault="00E35435">
      <w:pPr>
        <w:rPr>
          <w:rFonts w:ascii="Times New Roman" w:hAnsi="Times New Roman" w:cs="Times New Roman"/>
          <w:sz w:val="24"/>
          <w:szCs w:val="24"/>
        </w:rPr>
      </w:pPr>
      <w:bookmarkStart w:id="2" w:name="_Toc534280428"/>
      <w:bookmarkStart w:id="3" w:name="_Toc12882104"/>
    </w:p>
    <w:p w14:paraId="55B29CC3" w14:textId="1859A180" w:rsidR="004E1290" w:rsidRDefault="004E1290">
      <w:pPr>
        <w:rPr>
          <w:rFonts w:ascii="Times New Roman" w:hAnsi="Times New Roman" w:cs="Times New Roman"/>
          <w:b/>
          <w:bCs/>
          <w:sz w:val="24"/>
          <w:szCs w:val="24"/>
        </w:rPr>
      </w:pPr>
      <w:r>
        <w:rPr>
          <w:rFonts w:ascii="Times New Roman" w:hAnsi="Times New Roman" w:cs="Times New Roman"/>
          <w:b/>
          <w:bCs/>
          <w:sz w:val="24"/>
          <w:szCs w:val="24"/>
        </w:rPr>
        <w:t>Notes for processing whole blood samples</w:t>
      </w:r>
    </w:p>
    <w:p w14:paraId="62101F50" w14:textId="77777777" w:rsidR="004E1290" w:rsidRDefault="004E1290">
      <w:pPr>
        <w:rPr>
          <w:rFonts w:ascii="Times New Roman" w:hAnsi="Times New Roman"/>
          <w:bCs/>
          <w:szCs w:val="24"/>
        </w:rPr>
      </w:pPr>
      <w:r w:rsidRPr="003F257E">
        <w:rPr>
          <w:rFonts w:ascii="Times New Roman" w:hAnsi="Times New Roman"/>
          <w:b/>
          <w:bCs/>
          <w:szCs w:val="24"/>
        </w:rPr>
        <w:t xml:space="preserve">Note </w:t>
      </w:r>
      <w:r>
        <w:rPr>
          <w:rFonts w:ascii="Times New Roman" w:hAnsi="Times New Roman"/>
          <w:b/>
          <w:bCs/>
          <w:szCs w:val="24"/>
        </w:rPr>
        <w:t>1</w:t>
      </w:r>
      <w:r w:rsidRPr="003F257E">
        <w:rPr>
          <w:rFonts w:ascii="Times New Roman" w:hAnsi="Times New Roman"/>
          <w:b/>
          <w:bCs/>
          <w:szCs w:val="24"/>
        </w:rPr>
        <w:t xml:space="preserve">. </w:t>
      </w:r>
      <w:r w:rsidRPr="003F257E">
        <w:rPr>
          <w:rFonts w:ascii="Times New Roman" w:hAnsi="Times New Roman"/>
          <w:bCs/>
          <w:szCs w:val="24"/>
        </w:rPr>
        <w:t>If a refrigerate</w:t>
      </w:r>
      <w:r>
        <w:rPr>
          <w:rFonts w:ascii="Times New Roman" w:hAnsi="Times New Roman"/>
          <w:bCs/>
          <w:szCs w:val="24"/>
        </w:rPr>
        <w:t>d</w:t>
      </w:r>
      <w:r w:rsidRPr="003F257E">
        <w:rPr>
          <w:rFonts w:ascii="Times New Roman" w:hAnsi="Times New Roman"/>
          <w:bCs/>
          <w:szCs w:val="24"/>
        </w:rPr>
        <w:t xml:space="preserve"> centrifuge is not available then pre-cooling of centrifuge buckets and blocks at +4</w:t>
      </w:r>
      <w:r>
        <w:rPr>
          <w:rFonts w:ascii="Times New Roman" w:hAnsi="Times New Roman"/>
          <w:bCs/>
          <w:szCs w:val="24"/>
        </w:rPr>
        <w:t> </w:t>
      </w:r>
      <w:r>
        <w:rPr>
          <w:rFonts w:ascii="Times New Roman" w:hAnsi="Times New Roman"/>
          <w:szCs w:val="24"/>
        </w:rPr>
        <w:t>°</w:t>
      </w:r>
      <w:r w:rsidRPr="003F257E">
        <w:rPr>
          <w:rFonts w:ascii="Times New Roman" w:hAnsi="Times New Roman"/>
          <w:bCs/>
          <w:szCs w:val="24"/>
        </w:rPr>
        <w:t xml:space="preserve">C is recommended. </w:t>
      </w:r>
    </w:p>
    <w:p w14:paraId="6BBD6612" w14:textId="55F122E7" w:rsidR="004E1290" w:rsidRPr="003F257E" w:rsidRDefault="004E1290" w:rsidP="004E1290">
      <w:pPr>
        <w:pStyle w:val="ListContinue"/>
        <w:spacing w:after="0" w:line="276" w:lineRule="auto"/>
        <w:jc w:val="both"/>
        <w:rPr>
          <w:rFonts w:ascii="Times New Roman" w:hAnsi="Times New Roman"/>
          <w:b/>
          <w:bCs/>
          <w:szCs w:val="24"/>
        </w:rPr>
      </w:pPr>
      <w:r w:rsidRPr="003F257E">
        <w:rPr>
          <w:rFonts w:ascii="Times New Roman" w:hAnsi="Times New Roman"/>
          <w:b/>
          <w:szCs w:val="24"/>
        </w:rPr>
        <w:t xml:space="preserve">Note </w:t>
      </w:r>
      <w:r>
        <w:rPr>
          <w:rFonts w:ascii="Times New Roman" w:hAnsi="Times New Roman"/>
          <w:b/>
          <w:szCs w:val="24"/>
        </w:rPr>
        <w:t>2</w:t>
      </w:r>
      <w:r w:rsidRPr="003F257E">
        <w:rPr>
          <w:rFonts w:ascii="Times New Roman" w:hAnsi="Times New Roman"/>
          <w:szCs w:val="24"/>
        </w:rPr>
        <w:t xml:space="preserve">. Washed </w:t>
      </w:r>
      <w:r w:rsidRPr="003F257E">
        <w:rPr>
          <w:rFonts w:ascii="Times New Roman" w:hAnsi="Times New Roman"/>
          <w:bCs/>
          <w:szCs w:val="24"/>
        </w:rPr>
        <w:t>erythrocyte</w:t>
      </w:r>
      <w:r w:rsidRPr="003F257E">
        <w:rPr>
          <w:rFonts w:ascii="Times New Roman" w:hAnsi="Times New Roman"/>
          <w:szCs w:val="24"/>
        </w:rPr>
        <w:t xml:space="preserve"> samples should be frozen </w:t>
      </w:r>
      <w:r w:rsidR="00E35435">
        <w:rPr>
          <w:rFonts w:ascii="Times New Roman" w:hAnsi="Times New Roman"/>
          <w:bCs/>
          <w:szCs w:val="24"/>
        </w:rPr>
        <w:t>at -</w:t>
      </w:r>
      <w:r>
        <w:rPr>
          <w:rFonts w:ascii="Times New Roman" w:hAnsi="Times New Roman"/>
          <w:bCs/>
          <w:szCs w:val="24"/>
        </w:rPr>
        <w:t>7</w:t>
      </w:r>
      <w:r w:rsidRPr="003F257E">
        <w:rPr>
          <w:rFonts w:ascii="Times New Roman" w:hAnsi="Times New Roman"/>
          <w:bCs/>
          <w:szCs w:val="24"/>
        </w:rPr>
        <w:t>0</w:t>
      </w:r>
      <w:r>
        <w:rPr>
          <w:rFonts w:ascii="Times New Roman" w:hAnsi="Times New Roman"/>
          <w:bCs/>
          <w:szCs w:val="24"/>
        </w:rPr>
        <w:t> </w:t>
      </w:r>
      <w:r w:rsidRPr="003F257E">
        <w:rPr>
          <w:rFonts w:ascii="Times New Roman" w:hAnsi="Times New Roman"/>
          <w:bCs/>
          <w:szCs w:val="24"/>
        </w:rPr>
        <w:t>°C</w:t>
      </w:r>
      <w:r w:rsidRPr="003F257E">
        <w:rPr>
          <w:rFonts w:ascii="Times New Roman" w:hAnsi="Times New Roman"/>
          <w:szCs w:val="24"/>
        </w:rPr>
        <w:t xml:space="preserve">. Where this is not possible, samples should be stored </w:t>
      </w:r>
      <w:r w:rsidRPr="003F257E">
        <w:rPr>
          <w:rFonts w:ascii="Times New Roman" w:hAnsi="Times New Roman"/>
          <w:bCs/>
          <w:szCs w:val="24"/>
        </w:rPr>
        <w:t>at max</w:t>
      </w:r>
      <w:r>
        <w:rPr>
          <w:rFonts w:ascii="Times New Roman" w:hAnsi="Times New Roman"/>
          <w:bCs/>
          <w:szCs w:val="24"/>
        </w:rPr>
        <w:t>imum</w:t>
      </w:r>
      <w:r w:rsidR="00E35435">
        <w:rPr>
          <w:rFonts w:ascii="Times New Roman" w:hAnsi="Times New Roman"/>
          <w:bCs/>
          <w:szCs w:val="24"/>
        </w:rPr>
        <w:t xml:space="preserve"> -</w:t>
      </w:r>
      <w:r w:rsidRPr="003F257E">
        <w:rPr>
          <w:rFonts w:ascii="Times New Roman" w:hAnsi="Times New Roman"/>
          <w:bCs/>
          <w:szCs w:val="24"/>
        </w:rPr>
        <w:t>20</w:t>
      </w:r>
      <w:r>
        <w:rPr>
          <w:rFonts w:ascii="Times New Roman" w:hAnsi="Times New Roman"/>
          <w:bCs/>
          <w:szCs w:val="24"/>
        </w:rPr>
        <w:t> </w:t>
      </w:r>
      <w:r>
        <w:rPr>
          <w:rFonts w:ascii="Times New Roman" w:hAnsi="Times New Roman"/>
          <w:szCs w:val="24"/>
        </w:rPr>
        <w:t>°</w:t>
      </w:r>
      <w:r w:rsidRPr="003F257E">
        <w:rPr>
          <w:rFonts w:ascii="Times New Roman" w:hAnsi="Times New Roman"/>
          <w:bCs/>
          <w:szCs w:val="24"/>
        </w:rPr>
        <w:t>C</w:t>
      </w:r>
      <w:r>
        <w:rPr>
          <w:rFonts w:ascii="Times New Roman" w:hAnsi="Times New Roman"/>
          <w:bCs/>
          <w:szCs w:val="24"/>
        </w:rPr>
        <w:t xml:space="preserve"> and transferred to -70 </w:t>
      </w:r>
      <w:r w:rsidRPr="003F257E">
        <w:rPr>
          <w:rFonts w:ascii="Times New Roman" w:hAnsi="Times New Roman"/>
          <w:bCs/>
          <w:szCs w:val="24"/>
        </w:rPr>
        <w:t>°C</w:t>
      </w:r>
      <w:r>
        <w:rPr>
          <w:rFonts w:ascii="Times New Roman" w:hAnsi="Times New Roman"/>
          <w:bCs/>
          <w:szCs w:val="24"/>
        </w:rPr>
        <w:t xml:space="preserve"> or below as soon as possible</w:t>
      </w:r>
      <w:r w:rsidRPr="003F257E">
        <w:rPr>
          <w:rFonts w:ascii="Times New Roman" w:hAnsi="Times New Roman"/>
          <w:bCs/>
          <w:szCs w:val="24"/>
        </w:rPr>
        <w:t>.</w:t>
      </w:r>
    </w:p>
    <w:p w14:paraId="0137005E" w14:textId="4E63B47E" w:rsidR="003F257E" w:rsidRDefault="003F257E">
      <w:pPr>
        <w:rPr>
          <w:rFonts w:ascii="Times New Roman" w:hAnsi="Times New Roman" w:cs="Times New Roman"/>
          <w:b/>
          <w:bCs/>
          <w:sz w:val="24"/>
          <w:szCs w:val="24"/>
        </w:rPr>
      </w:pPr>
      <w:r>
        <w:rPr>
          <w:rFonts w:ascii="Times New Roman" w:hAnsi="Times New Roman" w:cs="Times New Roman"/>
          <w:b/>
          <w:bCs/>
          <w:sz w:val="24"/>
          <w:szCs w:val="24"/>
        </w:rPr>
        <w:br w:type="page"/>
      </w:r>
    </w:p>
    <w:p w14:paraId="3615BBB0" w14:textId="77777777" w:rsidR="00FB7720" w:rsidRPr="003F257E" w:rsidRDefault="00FB7720" w:rsidP="006508DC">
      <w:pPr>
        <w:spacing w:line="276" w:lineRule="auto"/>
        <w:rPr>
          <w:rFonts w:ascii="Times New Roman" w:hAnsi="Times New Roman" w:cs="Times New Roman"/>
          <w:b/>
          <w:bCs/>
          <w:sz w:val="24"/>
          <w:szCs w:val="24"/>
        </w:rPr>
      </w:pPr>
      <w:r w:rsidRPr="003F257E">
        <w:rPr>
          <w:rFonts w:ascii="Times New Roman" w:hAnsi="Times New Roman" w:cs="Times New Roman"/>
          <w:b/>
          <w:bCs/>
          <w:sz w:val="24"/>
          <w:szCs w:val="24"/>
        </w:rPr>
        <w:lastRenderedPageBreak/>
        <w:t xml:space="preserve">Protocol </w:t>
      </w:r>
      <w:r w:rsidR="003F257E">
        <w:rPr>
          <w:rFonts w:ascii="Times New Roman" w:hAnsi="Times New Roman" w:cs="Times New Roman"/>
          <w:b/>
          <w:bCs/>
          <w:sz w:val="24"/>
          <w:szCs w:val="24"/>
        </w:rPr>
        <w:t xml:space="preserve">for the measurement of </w:t>
      </w:r>
      <w:r w:rsidR="003F257E" w:rsidRPr="003F257E">
        <w:rPr>
          <w:rFonts w:ascii="Times New Roman" w:hAnsi="Times New Roman" w:cs="Times New Roman"/>
          <w:b/>
          <w:bCs/>
          <w:sz w:val="24"/>
          <w:szCs w:val="24"/>
        </w:rPr>
        <w:t>erythrocyte transketolase activity coefficient</w:t>
      </w:r>
      <w:r w:rsidR="003F257E">
        <w:rPr>
          <w:rFonts w:ascii="Times New Roman" w:hAnsi="Times New Roman" w:cs="Times New Roman"/>
          <w:b/>
          <w:bCs/>
          <w:sz w:val="24"/>
          <w:szCs w:val="24"/>
        </w:rPr>
        <w:t xml:space="preserve"> (ETKAC)</w:t>
      </w:r>
    </w:p>
    <w:bookmarkEnd w:id="2"/>
    <w:bookmarkEnd w:id="3"/>
    <w:p w14:paraId="7ACE28D9" w14:textId="77777777" w:rsidR="00FB7720" w:rsidRPr="003F257E" w:rsidRDefault="00FB7720" w:rsidP="006508DC">
      <w:pPr>
        <w:spacing w:line="276" w:lineRule="auto"/>
        <w:rPr>
          <w:rFonts w:ascii="Times New Roman" w:hAnsi="Times New Roman" w:cs="Times New Roman"/>
          <w:b/>
          <w:bCs/>
          <w:sz w:val="24"/>
          <w:szCs w:val="24"/>
        </w:rPr>
      </w:pPr>
      <w:r w:rsidRPr="003F257E">
        <w:rPr>
          <w:rFonts w:ascii="Times New Roman" w:hAnsi="Times New Roman" w:cs="Times New Roman"/>
          <w:b/>
          <w:bCs/>
          <w:sz w:val="24"/>
          <w:szCs w:val="24"/>
        </w:rPr>
        <w:t>Materials</w:t>
      </w:r>
    </w:p>
    <w:p w14:paraId="5202174C" w14:textId="77777777" w:rsidR="00FB7720" w:rsidRPr="003F257E" w:rsidRDefault="00FB7720" w:rsidP="006508DC">
      <w:pPr>
        <w:spacing w:line="276" w:lineRule="auto"/>
        <w:rPr>
          <w:rFonts w:ascii="Times New Roman" w:hAnsi="Times New Roman" w:cs="Times New Roman"/>
          <w:b/>
          <w:sz w:val="24"/>
          <w:szCs w:val="24"/>
        </w:rPr>
      </w:pPr>
      <w:r w:rsidRPr="003F257E">
        <w:rPr>
          <w:rFonts w:ascii="Times New Roman" w:hAnsi="Times New Roman" w:cs="Times New Roman"/>
          <w:b/>
          <w:sz w:val="24"/>
          <w:szCs w:val="24"/>
        </w:rPr>
        <w:t>Equipment</w:t>
      </w:r>
    </w:p>
    <w:p w14:paraId="189CB869" w14:textId="0045A8F8" w:rsidR="00AC6996" w:rsidRPr="00A27AB7" w:rsidRDefault="00AC6996" w:rsidP="006508DC">
      <w:pPr>
        <w:pStyle w:val="ListParagraph"/>
        <w:numPr>
          <w:ilvl w:val="0"/>
          <w:numId w:val="12"/>
        </w:numPr>
        <w:spacing w:after="330" w:line="276" w:lineRule="auto"/>
        <w:rPr>
          <w:rFonts w:ascii="Times New Roman" w:hAnsi="Times New Roman" w:cs="Times New Roman"/>
          <w:bCs/>
          <w:color w:val="333333"/>
          <w:sz w:val="24"/>
          <w:szCs w:val="24"/>
          <w:lang w:eastAsia="en-GB"/>
        </w:rPr>
      </w:pPr>
      <w:r>
        <w:rPr>
          <w:rFonts w:ascii="Times New Roman" w:hAnsi="Times New Roman" w:cs="Times New Roman"/>
          <w:bCs/>
          <w:color w:val="333333"/>
          <w:sz w:val="24"/>
          <w:szCs w:val="24"/>
          <w:lang w:eastAsia="en-GB"/>
        </w:rPr>
        <w:t>Incubator cabinet set at 37</w:t>
      </w:r>
      <w:r w:rsidR="009F4CFA">
        <w:rPr>
          <w:rFonts w:ascii="Times New Roman" w:hAnsi="Times New Roman" w:cs="Times New Roman"/>
          <w:bCs/>
          <w:color w:val="333333"/>
          <w:sz w:val="24"/>
          <w:szCs w:val="24"/>
          <w:lang w:eastAsia="en-GB"/>
        </w:rPr>
        <w:t> </w:t>
      </w:r>
      <w:r w:rsidR="007B0BE0">
        <w:rPr>
          <w:rFonts w:ascii="Times New Roman" w:hAnsi="Times New Roman" w:cs="Times New Roman"/>
          <w:bCs/>
          <w:szCs w:val="24"/>
        </w:rPr>
        <w:t>°</w:t>
      </w:r>
      <w:r w:rsidR="00A27AB7" w:rsidRPr="003F257E">
        <w:rPr>
          <w:rFonts w:ascii="Times New Roman" w:hAnsi="Times New Roman"/>
          <w:bCs/>
          <w:szCs w:val="24"/>
        </w:rPr>
        <w:t>C</w:t>
      </w:r>
    </w:p>
    <w:p w14:paraId="3544B23A" w14:textId="2C40CB45" w:rsidR="00FB7720" w:rsidRPr="003F257E" w:rsidRDefault="00FB7720" w:rsidP="006508DC">
      <w:pPr>
        <w:pStyle w:val="ListParagraph"/>
        <w:numPr>
          <w:ilvl w:val="0"/>
          <w:numId w:val="16"/>
        </w:numPr>
        <w:spacing w:after="330" w:line="276" w:lineRule="auto"/>
        <w:rPr>
          <w:rFonts w:ascii="Times New Roman" w:hAnsi="Times New Roman" w:cs="Times New Roman"/>
          <w:bCs/>
          <w:color w:val="333333"/>
          <w:sz w:val="24"/>
          <w:szCs w:val="24"/>
          <w:lang w:eastAsia="en-GB"/>
        </w:rPr>
      </w:pPr>
      <w:r w:rsidRPr="003F257E">
        <w:rPr>
          <w:rFonts w:ascii="Times New Roman" w:hAnsi="Times New Roman" w:cs="Times New Roman"/>
          <w:bCs/>
          <w:sz w:val="24"/>
          <w:szCs w:val="24"/>
        </w:rPr>
        <w:t>Thermo Multiskan FC plate reader with incubator</w:t>
      </w:r>
      <w:r w:rsidRPr="003F257E">
        <w:rPr>
          <w:rFonts w:ascii="Times New Roman" w:hAnsi="Times New Roman" w:cs="Times New Roman"/>
          <w:bCs/>
          <w:color w:val="333333"/>
          <w:sz w:val="24"/>
          <w:szCs w:val="24"/>
          <w:lang w:eastAsia="en-GB"/>
        </w:rPr>
        <w:t xml:space="preserve"> </w:t>
      </w:r>
      <w:r w:rsidR="004D4DD4">
        <w:rPr>
          <w:rFonts w:ascii="Times New Roman" w:hAnsi="Times New Roman" w:cs="Times New Roman"/>
          <w:bCs/>
          <w:color w:val="333333"/>
          <w:sz w:val="24"/>
          <w:szCs w:val="24"/>
          <w:lang w:eastAsia="en-GB"/>
        </w:rPr>
        <w:t>and</w:t>
      </w:r>
      <w:r w:rsidRPr="003F257E">
        <w:rPr>
          <w:rFonts w:ascii="Times New Roman" w:hAnsi="Times New Roman" w:cs="Times New Roman"/>
          <w:bCs/>
          <w:color w:val="333333"/>
          <w:sz w:val="24"/>
          <w:szCs w:val="24"/>
          <w:lang w:eastAsia="en-GB"/>
        </w:rPr>
        <w:t xml:space="preserve"> 340</w:t>
      </w:r>
      <w:r w:rsidR="009F4CFA">
        <w:rPr>
          <w:rFonts w:ascii="Times New Roman" w:hAnsi="Times New Roman" w:cs="Times New Roman"/>
          <w:bCs/>
          <w:color w:val="333333"/>
          <w:sz w:val="24"/>
          <w:szCs w:val="24"/>
          <w:lang w:eastAsia="en-GB"/>
        </w:rPr>
        <w:t> </w:t>
      </w:r>
      <w:r w:rsidRPr="003F257E">
        <w:rPr>
          <w:rFonts w:ascii="Times New Roman" w:hAnsi="Times New Roman" w:cs="Times New Roman"/>
          <w:bCs/>
          <w:color w:val="333333"/>
          <w:sz w:val="24"/>
          <w:szCs w:val="24"/>
          <w:lang w:eastAsia="en-GB"/>
        </w:rPr>
        <w:t>nm filter</w:t>
      </w:r>
      <w:r w:rsidRPr="003F257E">
        <w:rPr>
          <w:rFonts w:ascii="Times New Roman" w:hAnsi="Times New Roman" w:cs="Times New Roman"/>
          <w:bCs/>
          <w:sz w:val="24"/>
          <w:szCs w:val="24"/>
        </w:rPr>
        <w:t xml:space="preserve"> (Thermo Fisher Scientific, UK. Catalogue Number: </w:t>
      </w:r>
      <w:r w:rsidRPr="003F257E">
        <w:rPr>
          <w:rFonts w:ascii="Times New Roman" w:hAnsi="Times New Roman" w:cs="Times New Roman"/>
          <w:bCs/>
          <w:color w:val="333333"/>
          <w:sz w:val="24"/>
          <w:szCs w:val="24"/>
          <w:lang w:eastAsia="en-GB"/>
        </w:rPr>
        <w:t xml:space="preserve">51119100) (see </w:t>
      </w:r>
      <w:r w:rsidRPr="003F257E">
        <w:rPr>
          <w:rFonts w:ascii="Times New Roman" w:hAnsi="Times New Roman" w:cs="Times New Roman"/>
          <w:b/>
          <w:bCs/>
          <w:color w:val="333333"/>
          <w:sz w:val="24"/>
          <w:szCs w:val="24"/>
          <w:lang w:eastAsia="en-GB"/>
        </w:rPr>
        <w:t xml:space="preserve">note </w:t>
      </w:r>
      <w:r w:rsidR="004E1290">
        <w:rPr>
          <w:rFonts w:ascii="Times New Roman" w:hAnsi="Times New Roman" w:cs="Times New Roman"/>
          <w:b/>
          <w:bCs/>
          <w:color w:val="333333"/>
          <w:sz w:val="24"/>
          <w:szCs w:val="24"/>
          <w:lang w:eastAsia="en-GB"/>
        </w:rPr>
        <w:t>1</w:t>
      </w:r>
      <w:r w:rsidR="00A27AB7">
        <w:rPr>
          <w:rFonts w:ascii="Times New Roman" w:hAnsi="Times New Roman" w:cs="Times New Roman"/>
          <w:bCs/>
          <w:color w:val="333333"/>
          <w:sz w:val="24"/>
          <w:szCs w:val="24"/>
          <w:lang w:eastAsia="en-GB"/>
        </w:rPr>
        <w:t>)</w:t>
      </w:r>
      <w:r w:rsidR="006740BC">
        <w:rPr>
          <w:rFonts w:ascii="Times New Roman" w:hAnsi="Times New Roman" w:cs="Times New Roman"/>
          <w:bCs/>
          <w:color w:val="333333"/>
          <w:sz w:val="24"/>
          <w:szCs w:val="24"/>
          <w:lang w:eastAsia="en-GB"/>
        </w:rPr>
        <w:t>, programm</w:t>
      </w:r>
      <w:r w:rsidR="00A27AB7">
        <w:rPr>
          <w:rFonts w:ascii="Times New Roman" w:hAnsi="Times New Roman" w:cs="Times New Roman"/>
          <w:bCs/>
          <w:color w:val="333333"/>
          <w:sz w:val="24"/>
          <w:szCs w:val="24"/>
          <w:lang w:eastAsia="en-GB"/>
        </w:rPr>
        <w:t>ed appropriately for this assay</w:t>
      </w:r>
    </w:p>
    <w:p w14:paraId="277618F7" w14:textId="113E7E84" w:rsidR="00FB7720" w:rsidRPr="003F257E" w:rsidRDefault="00FB7720" w:rsidP="006508DC">
      <w:pPr>
        <w:pStyle w:val="ListParagraph"/>
        <w:numPr>
          <w:ilvl w:val="0"/>
          <w:numId w:val="16"/>
        </w:numPr>
        <w:spacing w:after="330" w:line="276" w:lineRule="auto"/>
        <w:rPr>
          <w:rFonts w:ascii="Times New Roman" w:hAnsi="Times New Roman" w:cs="Times New Roman"/>
          <w:bCs/>
          <w:sz w:val="24"/>
          <w:szCs w:val="24"/>
        </w:rPr>
      </w:pPr>
      <w:r w:rsidRPr="003F257E">
        <w:rPr>
          <w:rFonts w:ascii="Times New Roman" w:hAnsi="Times New Roman" w:cs="Times New Roman"/>
          <w:bCs/>
          <w:sz w:val="24"/>
          <w:szCs w:val="24"/>
        </w:rPr>
        <w:t>Single channel pipettes, suitable for delivering 50</w:t>
      </w:r>
      <w:r w:rsidR="009F4CFA">
        <w:rPr>
          <w:rFonts w:ascii="Times New Roman" w:hAnsi="Times New Roman" w:cs="Times New Roman"/>
          <w:bCs/>
          <w:sz w:val="24"/>
          <w:szCs w:val="24"/>
        </w:rPr>
        <w:t> </w:t>
      </w:r>
      <w:r w:rsidRPr="003F257E">
        <w:rPr>
          <w:rFonts w:ascii="Times New Roman" w:hAnsi="Times New Roman" w:cs="Times New Roman"/>
          <w:bCs/>
          <w:sz w:val="24"/>
          <w:szCs w:val="24"/>
        </w:rPr>
        <w:t xml:space="preserve">µl and </w:t>
      </w:r>
      <w:r w:rsidR="009F4CFA" w:rsidRPr="003F257E">
        <w:rPr>
          <w:rFonts w:ascii="Times New Roman" w:hAnsi="Times New Roman" w:cs="Times New Roman"/>
          <w:bCs/>
          <w:sz w:val="24"/>
          <w:szCs w:val="24"/>
        </w:rPr>
        <w:t>30</w:t>
      </w:r>
      <w:r w:rsidR="009F4CFA">
        <w:rPr>
          <w:rFonts w:ascii="Times New Roman" w:hAnsi="Times New Roman" w:cs="Times New Roman"/>
          <w:bCs/>
          <w:sz w:val="24"/>
          <w:szCs w:val="24"/>
        </w:rPr>
        <w:t> </w:t>
      </w:r>
      <w:r w:rsidRPr="003F257E">
        <w:rPr>
          <w:rFonts w:ascii="Times New Roman" w:hAnsi="Times New Roman" w:cs="Times New Roman"/>
          <w:bCs/>
          <w:sz w:val="24"/>
          <w:szCs w:val="24"/>
        </w:rPr>
        <w:t xml:space="preserve">µl </w:t>
      </w:r>
      <w:r w:rsidR="004D4DD4">
        <w:rPr>
          <w:rFonts w:ascii="Times New Roman" w:hAnsi="Times New Roman" w:cs="Times New Roman"/>
          <w:bCs/>
          <w:sz w:val="24"/>
          <w:szCs w:val="24"/>
        </w:rPr>
        <w:t xml:space="preserve">with correct tips </w:t>
      </w:r>
      <w:r w:rsidRPr="003F257E">
        <w:rPr>
          <w:rFonts w:ascii="Times New Roman" w:hAnsi="Times New Roman" w:cs="Times New Roman"/>
          <w:bCs/>
          <w:sz w:val="24"/>
          <w:szCs w:val="24"/>
        </w:rPr>
        <w:t xml:space="preserve">(see </w:t>
      </w:r>
      <w:r w:rsidRPr="003F257E">
        <w:rPr>
          <w:rFonts w:ascii="Times New Roman" w:hAnsi="Times New Roman" w:cs="Times New Roman"/>
          <w:b/>
          <w:bCs/>
          <w:sz w:val="24"/>
          <w:szCs w:val="24"/>
        </w:rPr>
        <w:t xml:space="preserve">note </w:t>
      </w:r>
      <w:r w:rsidR="004E1290">
        <w:rPr>
          <w:rFonts w:ascii="Times New Roman" w:hAnsi="Times New Roman" w:cs="Times New Roman"/>
          <w:b/>
          <w:bCs/>
          <w:sz w:val="24"/>
          <w:szCs w:val="24"/>
        </w:rPr>
        <w:t>2</w:t>
      </w:r>
      <w:r w:rsidRPr="003F257E">
        <w:rPr>
          <w:rFonts w:ascii="Times New Roman" w:hAnsi="Times New Roman" w:cs="Times New Roman"/>
          <w:bCs/>
          <w:sz w:val="24"/>
          <w:szCs w:val="24"/>
        </w:rPr>
        <w:t>)</w:t>
      </w:r>
    </w:p>
    <w:p w14:paraId="78A8708D" w14:textId="65073254" w:rsidR="00FB7720" w:rsidRPr="003F257E" w:rsidRDefault="00FB7720" w:rsidP="006508DC">
      <w:pPr>
        <w:pStyle w:val="ListParagraph"/>
        <w:numPr>
          <w:ilvl w:val="0"/>
          <w:numId w:val="16"/>
        </w:numPr>
        <w:spacing w:after="330" w:line="276" w:lineRule="auto"/>
        <w:rPr>
          <w:rFonts w:ascii="Times New Roman" w:hAnsi="Times New Roman" w:cs="Times New Roman"/>
          <w:bCs/>
          <w:sz w:val="24"/>
          <w:szCs w:val="24"/>
        </w:rPr>
      </w:pPr>
      <w:r w:rsidRPr="003F257E">
        <w:rPr>
          <w:rFonts w:ascii="Times New Roman" w:hAnsi="Times New Roman" w:cs="Times New Roman"/>
          <w:bCs/>
          <w:sz w:val="24"/>
          <w:szCs w:val="24"/>
        </w:rPr>
        <w:t xml:space="preserve">Multichannel pipettes suitable for delivering </w:t>
      </w:r>
      <w:r w:rsidR="009F4CFA" w:rsidRPr="003F257E">
        <w:rPr>
          <w:rFonts w:ascii="Times New Roman" w:hAnsi="Times New Roman" w:cs="Times New Roman"/>
          <w:bCs/>
          <w:sz w:val="24"/>
          <w:szCs w:val="24"/>
        </w:rPr>
        <w:t>15</w:t>
      </w:r>
      <w:r w:rsidR="009F4CFA">
        <w:rPr>
          <w:rFonts w:ascii="Times New Roman" w:hAnsi="Times New Roman" w:cs="Times New Roman"/>
          <w:bCs/>
          <w:sz w:val="24"/>
          <w:szCs w:val="24"/>
        </w:rPr>
        <w:t> </w:t>
      </w:r>
      <w:r w:rsidRPr="003F257E">
        <w:rPr>
          <w:rFonts w:ascii="Times New Roman" w:hAnsi="Times New Roman" w:cs="Times New Roman"/>
          <w:bCs/>
          <w:sz w:val="24"/>
          <w:szCs w:val="24"/>
        </w:rPr>
        <w:t xml:space="preserve">µl, </w:t>
      </w:r>
      <w:r w:rsidR="00E2382E" w:rsidRPr="003F257E">
        <w:rPr>
          <w:rFonts w:ascii="Times New Roman" w:hAnsi="Times New Roman" w:cs="Times New Roman"/>
          <w:bCs/>
          <w:sz w:val="24"/>
          <w:szCs w:val="24"/>
        </w:rPr>
        <w:t>200</w:t>
      </w:r>
      <w:r w:rsidR="00E2382E">
        <w:rPr>
          <w:rFonts w:ascii="Times New Roman" w:hAnsi="Times New Roman" w:cs="Times New Roman"/>
          <w:bCs/>
          <w:sz w:val="24"/>
          <w:szCs w:val="24"/>
        </w:rPr>
        <w:t> </w:t>
      </w:r>
      <w:r w:rsidRPr="003F257E">
        <w:rPr>
          <w:rFonts w:ascii="Times New Roman" w:hAnsi="Times New Roman" w:cs="Times New Roman"/>
          <w:bCs/>
          <w:sz w:val="24"/>
          <w:szCs w:val="24"/>
        </w:rPr>
        <w:t xml:space="preserve">µl and </w:t>
      </w:r>
      <w:r w:rsidR="00E2382E" w:rsidRPr="003F257E">
        <w:rPr>
          <w:rFonts w:ascii="Times New Roman" w:hAnsi="Times New Roman" w:cs="Times New Roman"/>
          <w:bCs/>
          <w:sz w:val="24"/>
          <w:szCs w:val="24"/>
        </w:rPr>
        <w:t>500</w:t>
      </w:r>
      <w:r w:rsidR="00E2382E">
        <w:rPr>
          <w:rFonts w:ascii="Times New Roman" w:hAnsi="Times New Roman" w:cs="Times New Roman"/>
          <w:bCs/>
          <w:sz w:val="24"/>
          <w:szCs w:val="24"/>
        </w:rPr>
        <w:t> </w:t>
      </w:r>
      <w:r w:rsidRPr="003F257E">
        <w:rPr>
          <w:rFonts w:ascii="Times New Roman" w:hAnsi="Times New Roman" w:cs="Times New Roman"/>
          <w:bCs/>
          <w:sz w:val="24"/>
          <w:szCs w:val="24"/>
        </w:rPr>
        <w:t xml:space="preserve">µl with correct tips (see </w:t>
      </w:r>
      <w:r w:rsidRPr="003F257E">
        <w:rPr>
          <w:rFonts w:ascii="Times New Roman" w:hAnsi="Times New Roman" w:cs="Times New Roman"/>
          <w:b/>
          <w:bCs/>
          <w:sz w:val="24"/>
          <w:szCs w:val="24"/>
        </w:rPr>
        <w:t xml:space="preserve">note </w:t>
      </w:r>
      <w:r w:rsidR="004E1290">
        <w:rPr>
          <w:rFonts w:ascii="Times New Roman" w:hAnsi="Times New Roman" w:cs="Times New Roman"/>
          <w:b/>
          <w:bCs/>
          <w:sz w:val="24"/>
          <w:szCs w:val="24"/>
        </w:rPr>
        <w:t>2</w:t>
      </w:r>
      <w:r w:rsidRPr="003F257E">
        <w:rPr>
          <w:rFonts w:ascii="Times New Roman" w:hAnsi="Times New Roman" w:cs="Times New Roman"/>
          <w:bCs/>
          <w:sz w:val="24"/>
          <w:szCs w:val="24"/>
        </w:rPr>
        <w:t>)</w:t>
      </w:r>
    </w:p>
    <w:p w14:paraId="70F2D398" w14:textId="77777777" w:rsidR="00FB7720" w:rsidRPr="003F257E" w:rsidRDefault="00FB7720" w:rsidP="006508DC">
      <w:pPr>
        <w:pStyle w:val="ListParagraph"/>
        <w:numPr>
          <w:ilvl w:val="0"/>
          <w:numId w:val="16"/>
        </w:numPr>
        <w:spacing w:after="330" w:line="276" w:lineRule="auto"/>
        <w:rPr>
          <w:rFonts w:ascii="Times New Roman" w:hAnsi="Times New Roman" w:cs="Times New Roman"/>
          <w:bCs/>
          <w:sz w:val="24"/>
          <w:szCs w:val="24"/>
        </w:rPr>
      </w:pPr>
      <w:r w:rsidRPr="003F257E">
        <w:rPr>
          <w:rFonts w:ascii="Times New Roman" w:hAnsi="Times New Roman" w:cs="Times New Roman"/>
          <w:bCs/>
          <w:sz w:val="24"/>
          <w:szCs w:val="24"/>
        </w:rPr>
        <w:t>Refrigerated centrifuge with shielded rotor</w:t>
      </w:r>
    </w:p>
    <w:p w14:paraId="2EAC7085" w14:textId="77777777" w:rsidR="00FB7720" w:rsidRPr="003F257E" w:rsidRDefault="00FB7720" w:rsidP="006508DC">
      <w:pPr>
        <w:pStyle w:val="ListParagraph"/>
        <w:numPr>
          <w:ilvl w:val="0"/>
          <w:numId w:val="16"/>
        </w:numPr>
        <w:spacing w:after="330" w:line="276" w:lineRule="auto"/>
        <w:rPr>
          <w:rFonts w:ascii="Times New Roman" w:hAnsi="Times New Roman" w:cs="Times New Roman"/>
          <w:bCs/>
          <w:sz w:val="24"/>
          <w:szCs w:val="24"/>
        </w:rPr>
      </w:pPr>
      <w:r w:rsidRPr="003F257E">
        <w:rPr>
          <w:rFonts w:ascii="Times New Roman" w:hAnsi="Times New Roman" w:cs="Times New Roman"/>
          <w:bCs/>
          <w:sz w:val="24"/>
          <w:szCs w:val="24"/>
        </w:rPr>
        <w:t>pH meter</w:t>
      </w:r>
    </w:p>
    <w:p w14:paraId="2865735D" w14:textId="77777777" w:rsidR="00FB7720" w:rsidRPr="003F257E" w:rsidRDefault="00FB7720" w:rsidP="006508DC">
      <w:pPr>
        <w:pStyle w:val="ListParagraph"/>
        <w:numPr>
          <w:ilvl w:val="0"/>
          <w:numId w:val="16"/>
        </w:numPr>
        <w:spacing w:after="330" w:line="276" w:lineRule="auto"/>
        <w:rPr>
          <w:rFonts w:ascii="Times New Roman" w:hAnsi="Times New Roman" w:cs="Times New Roman"/>
          <w:bCs/>
          <w:sz w:val="24"/>
          <w:szCs w:val="24"/>
        </w:rPr>
      </w:pPr>
      <w:r w:rsidRPr="003F257E">
        <w:rPr>
          <w:rFonts w:ascii="Times New Roman" w:hAnsi="Times New Roman" w:cs="Times New Roman"/>
          <w:bCs/>
          <w:sz w:val="24"/>
          <w:szCs w:val="24"/>
        </w:rPr>
        <w:t>Orbital plate shaker with speed control</w:t>
      </w:r>
    </w:p>
    <w:p w14:paraId="5707707B" w14:textId="70FCA791" w:rsidR="00FB7720" w:rsidRPr="003F257E" w:rsidRDefault="00863C74" w:rsidP="006508DC">
      <w:pPr>
        <w:pStyle w:val="ListParagraph"/>
        <w:numPr>
          <w:ilvl w:val="0"/>
          <w:numId w:val="16"/>
        </w:numPr>
        <w:spacing w:after="330" w:line="276" w:lineRule="auto"/>
        <w:rPr>
          <w:rFonts w:ascii="Times New Roman" w:hAnsi="Times New Roman" w:cs="Times New Roman"/>
          <w:bCs/>
          <w:sz w:val="24"/>
          <w:szCs w:val="24"/>
        </w:rPr>
      </w:pPr>
      <w:r>
        <w:rPr>
          <w:rFonts w:ascii="Times New Roman" w:hAnsi="Times New Roman" w:cs="Times New Roman"/>
          <w:bCs/>
          <w:sz w:val="24"/>
          <w:szCs w:val="24"/>
        </w:rPr>
        <w:t>Glassware: 500 ml &amp; 1 l graduated glass bottles, 1 l</w:t>
      </w:r>
      <w:r w:rsidR="00FB7720" w:rsidRPr="003F257E">
        <w:rPr>
          <w:rFonts w:ascii="Times New Roman" w:hAnsi="Times New Roman" w:cs="Times New Roman"/>
          <w:bCs/>
          <w:sz w:val="24"/>
          <w:szCs w:val="24"/>
        </w:rPr>
        <w:t xml:space="preserve"> glass measuring cylinder</w:t>
      </w:r>
    </w:p>
    <w:p w14:paraId="5372F347" w14:textId="77777777" w:rsidR="00FB7720" w:rsidRPr="003F257E" w:rsidRDefault="00FB7720" w:rsidP="006508DC">
      <w:pPr>
        <w:pStyle w:val="Heading1"/>
        <w:keepNext w:val="0"/>
        <w:spacing w:line="276" w:lineRule="auto"/>
        <w:ind w:left="0"/>
        <w:rPr>
          <w:b/>
          <w:bCs/>
          <w:szCs w:val="24"/>
        </w:rPr>
      </w:pPr>
      <w:r w:rsidRPr="003F257E">
        <w:rPr>
          <w:b/>
          <w:bCs/>
          <w:szCs w:val="24"/>
        </w:rPr>
        <w:t>Consumables</w:t>
      </w:r>
    </w:p>
    <w:p w14:paraId="7BEBC767" w14:textId="77777777" w:rsidR="00FB7720" w:rsidRPr="003F257E" w:rsidRDefault="00FB7720" w:rsidP="006508DC">
      <w:pPr>
        <w:pStyle w:val="Heading1"/>
        <w:keepNext w:val="0"/>
        <w:numPr>
          <w:ilvl w:val="0"/>
          <w:numId w:val="17"/>
        </w:numPr>
        <w:spacing w:before="0" w:line="276" w:lineRule="auto"/>
        <w:ind w:left="709" w:hanging="283"/>
        <w:rPr>
          <w:rFonts w:eastAsia="Calibri"/>
          <w:bCs/>
          <w:szCs w:val="24"/>
        </w:rPr>
      </w:pPr>
      <w:r w:rsidRPr="003F257E">
        <w:rPr>
          <w:rFonts w:eastAsia="Calibri"/>
          <w:bCs/>
          <w:szCs w:val="24"/>
        </w:rPr>
        <w:t xml:space="preserve">50 ml Falcon tubes (Corning Optical Communications, Flintshire, UK Catalogue Number: </w:t>
      </w:r>
      <w:r w:rsidRPr="003F257E">
        <w:rPr>
          <w:color w:val="4D4D4D"/>
          <w:szCs w:val="24"/>
          <w:shd w:val="clear" w:color="auto" w:fill="FFFFFF"/>
        </w:rPr>
        <w:t>CLS430829</w:t>
      </w:r>
      <w:r w:rsidRPr="003F257E">
        <w:rPr>
          <w:rFonts w:eastAsia="Calibri"/>
          <w:bCs/>
          <w:szCs w:val="24"/>
        </w:rPr>
        <w:t>)</w:t>
      </w:r>
      <w:r w:rsidR="004D4DD4">
        <w:rPr>
          <w:rFonts w:eastAsia="Calibri"/>
          <w:bCs/>
          <w:szCs w:val="24"/>
        </w:rPr>
        <w:t>, or equivalent</w:t>
      </w:r>
    </w:p>
    <w:p w14:paraId="166E2D03" w14:textId="20E05423" w:rsidR="00C27BAB" w:rsidRDefault="00863C74" w:rsidP="006508DC">
      <w:pPr>
        <w:pStyle w:val="Heading1"/>
        <w:keepNext w:val="0"/>
        <w:numPr>
          <w:ilvl w:val="0"/>
          <w:numId w:val="17"/>
        </w:numPr>
        <w:spacing w:before="0" w:line="276" w:lineRule="auto"/>
        <w:ind w:left="709" w:hanging="283"/>
        <w:rPr>
          <w:rFonts w:eastAsia="Calibri"/>
          <w:bCs/>
          <w:szCs w:val="24"/>
        </w:rPr>
      </w:pPr>
      <w:r>
        <w:rPr>
          <w:rFonts w:eastAsia="Calibri"/>
          <w:bCs/>
          <w:szCs w:val="24"/>
        </w:rPr>
        <w:t>1</w:t>
      </w:r>
      <w:r w:rsidR="002B469C">
        <w:rPr>
          <w:rFonts w:eastAsia="Calibri"/>
          <w:bCs/>
          <w:szCs w:val="24"/>
        </w:rPr>
        <w:t xml:space="preserve"> or 2</w:t>
      </w:r>
      <w:r>
        <w:rPr>
          <w:rFonts w:eastAsia="Calibri"/>
          <w:bCs/>
          <w:szCs w:val="24"/>
        </w:rPr>
        <w:t xml:space="preserve"> ml </w:t>
      </w:r>
      <w:r w:rsidR="00FB7720" w:rsidRPr="003F257E">
        <w:rPr>
          <w:rFonts w:eastAsia="Calibri"/>
          <w:bCs/>
          <w:szCs w:val="24"/>
        </w:rPr>
        <w:t>Pastettes</w:t>
      </w:r>
    </w:p>
    <w:p w14:paraId="427D8546" w14:textId="1BC189FC" w:rsidR="00C27BAB" w:rsidRPr="00C27BAB" w:rsidRDefault="00C27BAB" w:rsidP="006508DC">
      <w:pPr>
        <w:pStyle w:val="Heading1"/>
        <w:keepNext w:val="0"/>
        <w:numPr>
          <w:ilvl w:val="0"/>
          <w:numId w:val="17"/>
        </w:numPr>
        <w:spacing w:before="0" w:line="276" w:lineRule="auto"/>
        <w:ind w:left="709" w:hanging="283"/>
        <w:rPr>
          <w:rFonts w:eastAsia="Calibri"/>
          <w:bCs/>
          <w:szCs w:val="24"/>
        </w:rPr>
      </w:pPr>
      <w:r>
        <w:t>Troughs for multichannel pipettes</w:t>
      </w:r>
    </w:p>
    <w:p w14:paraId="0128D81A" w14:textId="31BD9194" w:rsidR="00FB7720" w:rsidRPr="003F257E" w:rsidRDefault="00FB7720" w:rsidP="006508DC">
      <w:pPr>
        <w:pStyle w:val="Heading1"/>
        <w:keepNext w:val="0"/>
        <w:numPr>
          <w:ilvl w:val="0"/>
          <w:numId w:val="17"/>
        </w:numPr>
        <w:spacing w:before="0" w:line="276" w:lineRule="auto"/>
        <w:ind w:left="709" w:hanging="283"/>
        <w:rPr>
          <w:rFonts w:eastAsia="Calibri"/>
          <w:bCs/>
          <w:szCs w:val="24"/>
        </w:rPr>
      </w:pPr>
      <w:r w:rsidRPr="003F257E">
        <w:rPr>
          <w:rFonts w:eastAsia="Calibri"/>
          <w:bCs/>
          <w:szCs w:val="24"/>
        </w:rPr>
        <w:t xml:space="preserve">Greiner UVstar 96-well plates (Greiner Bio-One Ltd, Gloucestershire, UK. Catalogue Number: 655801), or equivalent (must be </w:t>
      </w:r>
      <w:r w:rsidR="00C27BAB">
        <w:rPr>
          <w:rFonts w:eastAsia="Calibri"/>
          <w:bCs/>
          <w:szCs w:val="24"/>
        </w:rPr>
        <w:t xml:space="preserve">flat-bottomed and </w:t>
      </w:r>
      <w:r w:rsidRPr="003F257E">
        <w:rPr>
          <w:rFonts w:eastAsia="Calibri"/>
          <w:bCs/>
          <w:szCs w:val="24"/>
        </w:rPr>
        <w:t>UV transparent at 340 nm)</w:t>
      </w:r>
    </w:p>
    <w:p w14:paraId="16F71A24" w14:textId="77777777" w:rsidR="00FB7720" w:rsidRPr="003F257E" w:rsidRDefault="00FB7720" w:rsidP="006508DC">
      <w:pPr>
        <w:pStyle w:val="Heading1"/>
        <w:keepNext w:val="0"/>
        <w:numPr>
          <w:ilvl w:val="0"/>
          <w:numId w:val="17"/>
        </w:numPr>
        <w:spacing w:before="0" w:line="276" w:lineRule="auto"/>
        <w:ind w:left="709" w:hanging="283"/>
        <w:rPr>
          <w:rFonts w:eastAsia="Calibri"/>
          <w:bCs/>
          <w:szCs w:val="24"/>
        </w:rPr>
      </w:pPr>
      <w:r w:rsidRPr="003F257E">
        <w:rPr>
          <w:rFonts w:eastAsia="Calibri"/>
          <w:bCs/>
          <w:szCs w:val="24"/>
        </w:rPr>
        <w:t xml:space="preserve">Screw-cap 2 ml Sarstedt tubes (Satstedt Ltd., Leicester, UK Catalogue Number: 72.730.406 ) </w:t>
      </w:r>
      <w:r w:rsidR="004D4DD4">
        <w:rPr>
          <w:rFonts w:eastAsia="Calibri"/>
          <w:bCs/>
          <w:szCs w:val="24"/>
        </w:rPr>
        <w:t>or equivalent</w:t>
      </w:r>
    </w:p>
    <w:p w14:paraId="20B28F81" w14:textId="77777777" w:rsidR="004D4DD4" w:rsidRDefault="00FB7720" w:rsidP="006508DC">
      <w:pPr>
        <w:pStyle w:val="Heading1"/>
        <w:keepNext w:val="0"/>
        <w:numPr>
          <w:ilvl w:val="0"/>
          <w:numId w:val="17"/>
        </w:numPr>
        <w:spacing w:before="0" w:line="276" w:lineRule="auto"/>
        <w:ind w:left="709" w:hanging="283"/>
        <w:rPr>
          <w:rFonts w:eastAsia="Calibri"/>
          <w:szCs w:val="24"/>
        </w:rPr>
      </w:pPr>
      <w:r w:rsidRPr="003F257E">
        <w:rPr>
          <w:rFonts w:eastAsia="Calibri"/>
          <w:szCs w:val="24"/>
        </w:rPr>
        <w:t>Self-adhesive plate sealers</w:t>
      </w:r>
    </w:p>
    <w:p w14:paraId="7B3910BF" w14:textId="3291375F" w:rsidR="004D4DD4" w:rsidRPr="006508DC" w:rsidRDefault="004D4DD4" w:rsidP="006508DC">
      <w:pPr>
        <w:pStyle w:val="Heading1"/>
        <w:keepNext w:val="0"/>
        <w:numPr>
          <w:ilvl w:val="0"/>
          <w:numId w:val="17"/>
        </w:numPr>
        <w:spacing w:before="0" w:line="276" w:lineRule="auto"/>
        <w:ind w:left="709" w:hanging="283"/>
        <w:rPr>
          <w:rFonts w:eastAsia="Calibri"/>
          <w:szCs w:val="24"/>
        </w:rPr>
      </w:pPr>
      <w:r w:rsidRPr="004D4DD4">
        <w:rPr>
          <w:szCs w:val="24"/>
          <w:lang w:eastAsia="en-GB"/>
        </w:rPr>
        <w:t>Source of deionised water</w:t>
      </w:r>
      <w:r w:rsidR="00771A94">
        <w:rPr>
          <w:szCs w:val="24"/>
          <w:lang w:eastAsia="en-GB"/>
        </w:rPr>
        <w:t xml:space="preserve"> (</w:t>
      </w:r>
      <w:r w:rsidR="002B469C">
        <w:rPr>
          <w:szCs w:val="24"/>
          <w:lang w:eastAsia="en-GB"/>
        </w:rPr>
        <w:t xml:space="preserve">recommended </w:t>
      </w:r>
      <w:r w:rsidR="00771A94">
        <w:rPr>
          <w:szCs w:val="24"/>
          <w:lang w:eastAsia="en-GB"/>
        </w:rPr>
        <w:t>resistivity of &gt; 18.2 MΩ.cm)</w:t>
      </w:r>
    </w:p>
    <w:p w14:paraId="7045119B" w14:textId="3251A872" w:rsidR="00FB7720" w:rsidRPr="003F257E" w:rsidRDefault="00FB7720" w:rsidP="006508DC">
      <w:pPr>
        <w:pStyle w:val="Heading1"/>
        <w:keepNext w:val="0"/>
        <w:spacing w:after="160" w:line="276" w:lineRule="auto"/>
        <w:ind w:left="0" w:firstLine="360"/>
        <w:rPr>
          <w:b/>
          <w:bCs/>
          <w:szCs w:val="24"/>
        </w:rPr>
      </w:pPr>
      <w:r w:rsidRPr="003F257E">
        <w:rPr>
          <w:b/>
          <w:bCs/>
          <w:szCs w:val="24"/>
        </w:rPr>
        <w:t>Method</w:t>
      </w:r>
    </w:p>
    <w:p w14:paraId="24C15561" w14:textId="423CB1DE" w:rsidR="00FB7720" w:rsidRPr="003F257E" w:rsidRDefault="00FB7720" w:rsidP="006508DC">
      <w:pPr>
        <w:pStyle w:val="Heading1"/>
        <w:keepNext w:val="0"/>
        <w:numPr>
          <w:ilvl w:val="0"/>
          <w:numId w:val="27"/>
        </w:numPr>
        <w:spacing w:before="0" w:after="160" w:line="276" w:lineRule="auto"/>
        <w:rPr>
          <w:b/>
          <w:bCs/>
          <w:szCs w:val="24"/>
        </w:rPr>
      </w:pPr>
      <w:r w:rsidRPr="003F257E">
        <w:rPr>
          <w:b/>
          <w:bCs/>
          <w:szCs w:val="24"/>
        </w:rPr>
        <w:t>Reagent preparation</w:t>
      </w:r>
      <w:r w:rsidR="008A7BF9">
        <w:rPr>
          <w:b/>
          <w:bCs/>
          <w:szCs w:val="24"/>
        </w:rPr>
        <w:t xml:space="preserve"> (Table P1)</w:t>
      </w:r>
    </w:p>
    <w:p w14:paraId="27F53DA3" w14:textId="43C4A5E9" w:rsidR="00FB7720" w:rsidRPr="003F257E" w:rsidRDefault="00FB7720" w:rsidP="006508DC">
      <w:pPr>
        <w:pStyle w:val="Heading1"/>
        <w:keepNext w:val="0"/>
        <w:numPr>
          <w:ilvl w:val="1"/>
          <w:numId w:val="27"/>
        </w:numPr>
        <w:spacing w:before="0" w:after="160" w:line="276" w:lineRule="auto"/>
        <w:ind w:left="851" w:hanging="567"/>
        <w:rPr>
          <w:b/>
          <w:bCs/>
          <w:szCs w:val="24"/>
        </w:rPr>
      </w:pPr>
      <w:r w:rsidRPr="003F257E">
        <w:rPr>
          <w:b/>
          <w:bCs/>
          <w:szCs w:val="24"/>
        </w:rPr>
        <w:t>2M Hydrochloric Acid</w:t>
      </w:r>
    </w:p>
    <w:p w14:paraId="064A5010" w14:textId="1B5624C1" w:rsidR="00FB7720" w:rsidRDefault="00FB7720" w:rsidP="006508DC">
      <w:pPr>
        <w:pStyle w:val="Heading1"/>
        <w:keepNext w:val="0"/>
        <w:spacing w:before="0" w:after="160" w:line="276" w:lineRule="auto"/>
        <w:rPr>
          <w:szCs w:val="24"/>
        </w:rPr>
      </w:pPr>
      <w:r w:rsidRPr="003F257E">
        <w:rPr>
          <w:szCs w:val="24"/>
        </w:rPr>
        <w:t>Add 417 ml deionised water</w:t>
      </w:r>
      <w:r w:rsidR="00AB7FC3">
        <w:rPr>
          <w:szCs w:val="24"/>
        </w:rPr>
        <w:t xml:space="preserve"> to a gradated glass container</w:t>
      </w:r>
      <w:r w:rsidR="00AB7FC3">
        <w:rPr>
          <w:szCs w:val="24"/>
        </w:rPr>
        <w:br/>
      </w:r>
      <w:r w:rsidRPr="003F257E">
        <w:rPr>
          <w:szCs w:val="24"/>
        </w:rPr>
        <w:t>In a fume cupboard, make up to 500</w:t>
      </w:r>
      <w:r w:rsidR="00E2382E">
        <w:rPr>
          <w:szCs w:val="24"/>
        </w:rPr>
        <w:t> </w:t>
      </w:r>
      <w:r w:rsidR="00AB7FC3">
        <w:rPr>
          <w:szCs w:val="24"/>
        </w:rPr>
        <w:t>ml with 37% hydrochloric acid</w:t>
      </w:r>
      <w:r w:rsidR="00AB7FC3">
        <w:rPr>
          <w:szCs w:val="24"/>
        </w:rPr>
        <w:br/>
        <w:t>Store at room temperature</w:t>
      </w:r>
    </w:p>
    <w:p w14:paraId="52CCC80B" w14:textId="3FE37C2C" w:rsidR="006508DC" w:rsidRDefault="006508DC" w:rsidP="006508DC"/>
    <w:p w14:paraId="151F72E3" w14:textId="77777777" w:rsidR="006508DC" w:rsidRPr="006508DC" w:rsidRDefault="006508DC" w:rsidP="006508DC"/>
    <w:p w14:paraId="6BEE31FA" w14:textId="77777777" w:rsidR="00FB7720" w:rsidRPr="003F257E" w:rsidRDefault="00FB7720" w:rsidP="006508DC">
      <w:pPr>
        <w:pStyle w:val="Heading1"/>
        <w:keepNext w:val="0"/>
        <w:numPr>
          <w:ilvl w:val="1"/>
          <w:numId w:val="27"/>
        </w:numPr>
        <w:spacing w:before="0" w:after="160" w:line="276" w:lineRule="auto"/>
        <w:ind w:left="851" w:hanging="567"/>
        <w:rPr>
          <w:b/>
          <w:bCs/>
          <w:szCs w:val="24"/>
        </w:rPr>
      </w:pPr>
      <w:r w:rsidRPr="003F257E">
        <w:rPr>
          <w:b/>
          <w:bCs/>
          <w:szCs w:val="24"/>
        </w:rPr>
        <w:lastRenderedPageBreak/>
        <w:t>Tris buffer</w:t>
      </w:r>
    </w:p>
    <w:p w14:paraId="2C003E8E" w14:textId="21C0E7C0" w:rsidR="00E95623" w:rsidRDefault="00FB7720" w:rsidP="006508DC">
      <w:pPr>
        <w:pStyle w:val="Heading1"/>
        <w:keepNext w:val="0"/>
        <w:spacing w:before="0" w:after="160" w:line="276" w:lineRule="auto"/>
        <w:rPr>
          <w:szCs w:val="24"/>
        </w:rPr>
      </w:pPr>
      <w:r w:rsidRPr="003F257E">
        <w:rPr>
          <w:szCs w:val="24"/>
        </w:rPr>
        <w:t>Dissolve 12.1 g Trizma base in 700</w:t>
      </w:r>
      <w:r w:rsidR="00BD69B1">
        <w:rPr>
          <w:szCs w:val="24"/>
        </w:rPr>
        <w:t xml:space="preserve"> </w:t>
      </w:r>
      <w:r w:rsidRPr="003F257E">
        <w:rPr>
          <w:szCs w:val="24"/>
        </w:rPr>
        <w:t>-</w:t>
      </w:r>
      <w:r w:rsidR="00BD69B1">
        <w:rPr>
          <w:szCs w:val="24"/>
        </w:rPr>
        <w:t xml:space="preserve"> </w:t>
      </w:r>
      <w:r w:rsidRPr="003F257E">
        <w:rPr>
          <w:szCs w:val="24"/>
        </w:rPr>
        <w:t>800 ml deionised water. Buffer to pH 7.6 with 2M hydrochloric acid; make u</w:t>
      </w:r>
      <w:r w:rsidR="00863C74">
        <w:rPr>
          <w:szCs w:val="24"/>
        </w:rPr>
        <w:t>p to 1 l</w:t>
      </w:r>
      <w:r w:rsidR="00AB7FC3">
        <w:rPr>
          <w:szCs w:val="24"/>
        </w:rPr>
        <w:t>, mix by inversion</w:t>
      </w:r>
      <w:r w:rsidR="00AB7FC3">
        <w:rPr>
          <w:szCs w:val="24"/>
        </w:rPr>
        <w:br/>
      </w:r>
      <w:r w:rsidRPr="003F257E">
        <w:rPr>
          <w:szCs w:val="24"/>
        </w:rPr>
        <w:t>St</w:t>
      </w:r>
      <w:r w:rsidR="00AB7FC3">
        <w:rPr>
          <w:szCs w:val="24"/>
        </w:rPr>
        <w:t>ore at +4</w:t>
      </w:r>
      <w:r w:rsidR="00E2382E">
        <w:rPr>
          <w:szCs w:val="24"/>
        </w:rPr>
        <w:t> </w:t>
      </w:r>
      <w:r w:rsidR="00AB7FC3">
        <w:rPr>
          <w:szCs w:val="24"/>
        </w:rPr>
        <w:t>°C for up to one month</w:t>
      </w:r>
    </w:p>
    <w:p w14:paraId="206C9572" w14:textId="71A4173A" w:rsidR="00FB7720" w:rsidRPr="007B0BE0" w:rsidRDefault="00FB7720" w:rsidP="006508DC">
      <w:pPr>
        <w:pStyle w:val="Heading1"/>
        <w:keepNext w:val="0"/>
        <w:numPr>
          <w:ilvl w:val="1"/>
          <w:numId w:val="27"/>
        </w:numPr>
        <w:spacing w:before="0" w:after="160" w:line="276" w:lineRule="auto"/>
        <w:ind w:left="851" w:hanging="567"/>
        <w:rPr>
          <w:b/>
          <w:bCs/>
          <w:szCs w:val="24"/>
        </w:rPr>
      </w:pPr>
      <w:r w:rsidRPr="003F257E">
        <w:rPr>
          <w:b/>
          <w:bCs/>
          <w:szCs w:val="24"/>
        </w:rPr>
        <w:t>10% Tween 20</w:t>
      </w:r>
      <w:r w:rsidR="0013298C">
        <w:rPr>
          <w:b/>
          <w:bCs/>
          <w:szCs w:val="24"/>
        </w:rPr>
        <w:t xml:space="preserve"> (</w:t>
      </w:r>
      <w:r w:rsidR="007B0BE0" w:rsidRPr="007B0BE0">
        <w:rPr>
          <w:b/>
          <w:bCs/>
          <w:szCs w:val="24"/>
        </w:rPr>
        <w:t>see</w:t>
      </w:r>
      <w:r w:rsidR="007B0BE0">
        <w:rPr>
          <w:b/>
          <w:bCs/>
          <w:szCs w:val="24"/>
        </w:rPr>
        <w:t xml:space="preserve"> n</w:t>
      </w:r>
      <w:r w:rsidR="0013298C">
        <w:rPr>
          <w:b/>
          <w:bCs/>
          <w:szCs w:val="24"/>
        </w:rPr>
        <w:t xml:space="preserve">ote </w:t>
      </w:r>
      <w:r w:rsidR="004E1290">
        <w:rPr>
          <w:b/>
          <w:bCs/>
          <w:szCs w:val="24"/>
        </w:rPr>
        <w:t>3</w:t>
      </w:r>
      <w:r w:rsidR="0013298C">
        <w:rPr>
          <w:b/>
          <w:bCs/>
          <w:szCs w:val="24"/>
        </w:rPr>
        <w:t>)</w:t>
      </w:r>
    </w:p>
    <w:p w14:paraId="00ADF150" w14:textId="1B1F8BA3" w:rsidR="00AB7FC3" w:rsidRPr="003F257E" w:rsidRDefault="00FB7720" w:rsidP="006508DC">
      <w:pPr>
        <w:pStyle w:val="Heading1"/>
        <w:keepNext w:val="0"/>
        <w:spacing w:before="0" w:after="160" w:line="276" w:lineRule="auto"/>
        <w:rPr>
          <w:szCs w:val="24"/>
        </w:rPr>
      </w:pPr>
      <w:r w:rsidRPr="003F257E">
        <w:rPr>
          <w:szCs w:val="24"/>
        </w:rPr>
        <w:t>Measure 9 ml deionis</w:t>
      </w:r>
      <w:r w:rsidR="00AB7FC3">
        <w:rPr>
          <w:szCs w:val="24"/>
        </w:rPr>
        <w:t>ed water into a graduated tube</w:t>
      </w:r>
      <w:r w:rsidR="00AB7FC3">
        <w:rPr>
          <w:szCs w:val="24"/>
        </w:rPr>
        <w:br/>
      </w:r>
      <w:r w:rsidRPr="003F257E">
        <w:rPr>
          <w:szCs w:val="24"/>
        </w:rPr>
        <w:t xml:space="preserve">Add 1 ml Tween 20 below the meniscus using a Pastette, using the water meniscus and graduations to determine the volume (see </w:t>
      </w:r>
      <w:r w:rsidR="007B0BE0">
        <w:rPr>
          <w:b/>
          <w:szCs w:val="24"/>
        </w:rPr>
        <w:t>n</w:t>
      </w:r>
      <w:r w:rsidRPr="003F257E">
        <w:rPr>
          <w:b/>
          <w:szCs w:val="24"/>
        </w:rPr>
        <w:t xml:space="preserve">ote </w:t>
      </w:r>
      <w:r w:rsidR="004E1290">
        <w:rPr>
          <w:b/>
          <w:szCs w:val="24"/>
        </w:rPr>
        <w:t>4</w:t>
      </w:r>
      <w:r w:rsidR="00AB7FC3">
        <w:rPr>
          <w:szCs w:val="24"/>
        </w:rPr>
        <w:t>)</w:t>
      </w:r>
      <w:r w:rsidR="00AB7FC3">
        <w:rPr>
          <w:szCs w:val="24"/>
        </w:rPr>
        <w:br/>
      </w:r>
      <w:r w:rsidR="00AB7FC3" w:rsidRPr="003F257E">
        <w:rPr>
          <w:szCs w:val="24"/>
        </w:rPr>
        <w:t>Cap</w:t>
      </w:r>
      <w:r w:rsidR="00AB7FC3">
        <w:rPr>
          <w:szCs w:val="24"/>
        </w:rPr>
        <w:t xml:space="preserve"> the tube and mix by inversion</w:t>
      </w:r>
      <w:r w:rsidR="00AB7FC3">
        <w:rPr>
          <w:szCs w:val="24"/>
        </w:rPr>
        <w:br/>
      </w:r>
      <w:r w:rsidR="00AB7FC3" w:rsidRPr="003F257E">
        <w:rPr>
          <w:szCs w:val="24"/>
        </w:rPr>
        <w:t>S</w:t>
      </w:r>
      <w:r w:rsidR="00AB7FC3">
        <w:rPr>
          <w:szCs w:val="24"/>
        </w:rPr>
        <w:t>tore at +4</w:t>
      </w:r>
      <w:r w:rsidR="00E2382E">
        <w:rPr>
          <w:szCs w:val="24"/>
        </w:rPr>
        <w:t> </w:t>
      </w:r>
      <w:r w:rsidR="00AB7FC3">
        <w:rPr>
          <w:szCs w:val="24"/>
        </w:rPr>
        <w:t>°C for up to 6 months</w:t>
      </w:r>
    </w:p>
    <w:p w14:paraId="5E657811" w14:textId="77777777" w:rsidR="00FB7720" w:rsidRPr="003F257E" w:rsidRDefault="00FB7720" w:rsidP="006508DC">
      <w:pPr>
        <w:pStyle w:val="Heading1"/>
        <w:keepNext w:val="0"/>
        <w:numPr>
          <w:ilvl w:val="1"/>
          <w:numId w:val="27"/>
        </w:numPr>
        <w:spacing w:before="0" w:after="160" w:line="276" w:lineRule="auto"/>
        <w:ind w:left="851" w:hanging="567"/>
        <w:rPr>
          <w:b/>
          <w:bCs/>
          <w:szCs w:val="24"/>
        </w:rPr>
      </w:pPr>
      <w:r w:rsidRPr="003F257E">
        <w:rPr>
          <w:b/>
          <w:bCs/>
          <w:szCs w:val="24"/>
        </w:rPr>
        <w:t>1% Tween 20</w:t>
      </w:r>
    </w:p>
    <w:p w14:paraId="75BBFCA0" w14:textId="2677B582" w:rsidR="00FB7720" w:rsidRPr="003F257E" w:rsidRDefault="00FB7720" w:rsidP="006508DC">
      <w:pPr>
        <w:pStyle w:val="Heading1"/>
        <w:keepNext w:val="0"/>
        <w:spacing w:before="0" w:after="160" w:line="276" w:lineRule="auto"/>
        <w:rPr>
          <w:szCs w:val="24"/>
        </w:rPr>
      </w:pPr>
      <w:r w:rsidRPr="003F257E">
        <w:rPr>
          <w:szCs w:val="24"/>
        </w:rPr>
        <w:t xml:space="preserve">Add 1 ml of 10% Tween 20 into a graduated tube using a pipette </w:t>
      </w:r>
      <w:r w:rsidR="00AB7FC3">
        <w:rPr>
          <w:szCs w:val="24"/>
        </w:rPr>
        <w:br/>
      </w:r>
      <w:r w:rsidRPr="003F257E">
        <w:rPr>
          <w:szCs w:val="24"/>
        </w:rPr>
        <w:t>Make up</w:t>
      </w:r>
      <w:r w:rsidR="00AB7FC3">
        <w:rPr>
          <w:szCs w:val="24"/>
        </w:rPr>
        <w:t xml:space="preserve"> to 10 ml with deionised water</w:t>
      </w:r>
      <w:r w:rsidR="00AB7FC3">
        <w:rPr>
          <w:szCs w:val="24"/>
        </w:rPr>
        <w:br/>
      </w:r>
      <w:r w:rsidRPr="003F257E">
        <w:rPr>
          <w:szCs w:val="24"/>
        </w:rPr>
        <w:t>Cap</w:t>
      </w:r>
      <w:r w:rsidR="00AB7FC3">
        <w:rPr>
          <w:szCs w:val="24"/>
        </w:rPr>
        <w:t xml:space="preserve"> the tube and mix by inversion</w:t>
      </w:r>
      <w:r w:rsidR="00AB7FC3">
        <w:rPr>
          <w:szCs w:val="24"/>
        </w:rPr>
        <w:br/>
      </w:r>
      <w:r w:rsidRPr="003F257E">
        <w:rPr>
          <w:szCs w:val="24"/>
        </w:rPr>
        <w:t>St</w:t>
      </w:r>
      <w:r w:rsidR="00AB7FC3">
        <w:rPr>
          <w:szCs w:val="24"/>
        </w:rPr>
        <w:t xml:space="preserve">ore </w:t>
      </w:r>
      <w:r w:rsidR="007B0BE0">
        <w:rPr>
          <w:szCs w:val="24"/>
        </w:rPr>
        <w:t>at +</w:t>
      </w:r>
      <w:r w:rsidR="00AB7FC3">
        <w:rPr>
          <w:szCs w:val="24"/>
        </w:rPr>
        <w:t>4</w:t>
      </w:r>
      <w:r w:rsidR="00E2382E">
        <w:rPr>
          <w:szCs w:val="24"/>
        </w:rPr>
        <w:t> </w:t>
      </w:r>
      <w:r w:rsidR="00AB7FC3">
        <w:rPr>
          <w:szCs w:val="24"/>
        </w:rPr>
        <w:t>°C for up to 6 months</w:t>
      </w:r>
    </w:p>
    <w:p w14:paraId="47D7838E" w14:textId="5E96FB53" w:rsidR="00FB7720" w:rsidRPr="003F257E" w:rsidRDefault="00FB7720" w:rsidP="006508DC">
      <w:pPr>
        <w:pStyle w:val="Heading1"/>
        <w:keepNext w:val="0"/>
        <w:numPr>
          <w:ilvl w:val="1"/>
          <w:numId w:val="27"/>
        </w:numPr>
        <w:spacing w:before="0" w:after="160" w:line="276" w:lineRule="auto"/>
        <w:ind w:left="851" w:hanging="567"/>
        <w:rPr>
          <w:b/>
          <w:bCs/>
          <w:szCs w:val="24"/>
        </w:rPr>
      </w:pPr>
      <w:r w:rsidRPr="003F257E">
        <w:rPr>
          <w:b/>
          <w:bCs/>
          <w:szCs w:val="24"/>
        </w:rPr>
        <w:t>Thiamin</w:t>
      </w:r>
      <w:r w:rsidR="0013298C">
        <w:rPr>
          <w:b/>
          <w:bCs/>
          <w:szCs w:val="24"/>
        </w:rPr>
        <w:t>e</w:t>
      </w:r>
      <w:r w:rsidRPr="003F257E">
        <w:rPr>
          <w:b/>
          <w:bCs/>
          <w:szCs w:val="24"/>
        </w:rPr>
        <w:t xml:space="preserve"> pyrophosphate (TPP)</w:t>
      </w:r>
      <w:r w:rsidR="00AB7FC3">
        <w:rPr>
          <w:b/>
          <w:bCs/>
          <w:szCs w:val="24"/>
        </w:rPr>
        <w:t xml:space="preserve"> (thiamine diphosphate, ThDP)</w:t>
      </w:r>
    </w:p>
    <w:p w14:paraId="31DEBB20" w14:textId="26CDB2D8" w:rsidR="00FB7720" w:rsidRPr="003F257E" w:rsidRDefault="00FB7720" w:rsidP="006508DC">
      <w:pPr>
        <w:pStyle w:val="Heading1"/>
        <w:keepNext w:val="0"/>
        <w:spacing w:before="0" w:after="160" w:line="276" w:lineRule="auto"/>
        <w:ind w:left="357"/>
        <w:rPr>
          <w:szCs w:val="24"/>
        </w:rPr>
      </w:pPr>
      <w:r w:rsidRPr="003F257E">
        <w:rPr>
          <w:szCs w:val="24"/>
        </w:rPr>
        <w:t>Prepare a solution of 3.6 mg/ml TPP in Tris buffer. 1 ml is needed per plate, approximately 0.2 – 0.5 m</w:t>
      </w:r>
      <w:r w:rsidR="00AB7FC3">
        <w:rPr>
          <w:szCs w:val="24"/>
        </w:rPr>
        <w:t>l pipetting excess recommended</w:t>
      </w:r>
      <w:r w:rsidR="00AB7FC3">
        <w:rPr>
          <w:szCs w:val="24"/>
        </w:rPr>
        <w:br/>
      </w:r>
      <w:r w:rsidRPr="003F257E">
        <w:rPr>
          <w:szCs w:val="24"/>
        </w:rPr>
        <w:t xml:space="preserve">Weigh between 4.5 and 5.5 mg of TPP and calculate the </w:t>
      </w:r>
      <w:r w:rsidR="00AB7FC3">
        <w:rPr>
          <w:szCs w:val="24"/>
        </w:rPr>
        <w:t>volume of Tris buffer required; f</w:t>
      </w:r>
      <w:r w:rsidRPr="003F257E">
        <w:rPr>
          <w:szCs w:val="24"/>
        </w:rPr>
        <w:t>or e</w:t>
      </w:r>
      <w:r w:rsidR="00AB7FC3">
        <w:rPr>
          <w:szCs w:val="24"/>
        </w:rPr>
        <w:t>xample: 5 mg TPP / 1.39 ml Tris buffer</w:t>
      </w:r>
      <w:r w:rsidR="00AB7FC3">
        <w:rPr>
          <w:szCs w:val="24"/>
        </w:rPr>
        <w:br/>
        <w:t>Prepare on day of analysis</w:t>
      </w:r>
      <w:r w:rsidR="00AB7FC3">
        <w:rPr>
          <w:szCs w:val="24"/>
        </w:rPr>
        <w:br/>
        <w:t>Store at +4</w:t>
      </w:r>
      <w:r w:rsidR="00E2382E">
        <w:rPr>
          <w:szCs w:val="24"/>
        </w:rPr>
        <w:t> </w:t>
      </w:r>
      <w:r w:rsidR="00AB7FC3">
        <w:rPr>
          <w:szCs w:val="24"/>
        </w:rPr>
        <w:t>°C</w:t>
      </w:r>
    </w:p>
    <w:p w14:paraId="48BD7A9D" w14:textId="77777777" w:rsidR="00FB7720" w:rsidRPr="003F257E" w:rsidRDefault="00FB7720" w:rsidP="006508DC">
      <w:pPr>
        <w:pStyle w:val="Heading1"/>
        <w:keepNext w:val="0"/>
        <w:numPr>
          <w:ilvl w:val="1"/>
          <w:numId w:val="27"/>
        </w:numPr>
        <w:spacing w:before="0" w:after="160" w:line="276" w:lineRule="auto"/>
        <w:ind w:left="851" w:hanging="567"/>
        <w:rPr>
          <w:b/>
          <w:bCs/>
          <w:szCs w:val="24"/>
        </w:rPr>
      </w:pPr>
      <w:r w:rsidRPr="003F257E">
        <w:rPr>
          <w:b/>
          <w:bCs/>
          <w:szCs w:val="24"/>
        </w:rPr>
        <w:t>Ribose-5-phosphate (R5P)</w:t>
      </w:r>
    </w:p>
    <w:p w14:paraId="2815B786" w14:textId="61BDF99B" w:rsidR="00FB7720" w:rsidRDefault="00FB7720" w:rsidP="006508DC">
      <w:pPr>
        <w:pStyle w:val="Heading1"/>
        <w:keepNext w:val="0"/>
        <w:spacing w:before="0" w:after="160" w:line="276" w:lineRule="auto"/>
        <w:ind w:left="357"/>
        <w:rPr>
          <w:szCs w:val="24"/>
        </w:rPr>
      </w:pPr>
      <w:r w:rsidRPr="003F257E">
        <w:rPr>
          <w:szCs w:val="24"/>
        </w:rPr>
        <w:t>Prepare a solution o</w:t>
      </w:r>
      <w:r w:rsidR="00AB7FC3">
        <w:rPr>
          <w:szCs w:val="24"/>
        </w:rPr>
        <w:t>f 82.5 mg/ml R5P in Tris buffer</w:t>
      </w:r>
      <w:r w:rsidR="00AB7FC3">
        <w:rPr>
          <w:szCs w:val="24"/>
        </w:rPr>
        <w:br/>
      </w:r>
      <w:r w:rsidRPr="003F257E">
        <w:rPr>
          <w:szCs w:val="24"/>
        </w:rPr>
        <w:t xml:space="preserve">1 ml is needed per plate, approximately 0.2 – 0.5 ml pipetting excess </w:t>
      </w:r>
      <w:r w:rsidR="00AB7FC3">
        <w:rPr>
          <w:szCs w:val="24"/>
        </w:rPr>
        <w:t>recommended</w:t>
      </w:r>
      <w:r w:rsidR="00AB7FC3">
        <w:rPr>
          <w:szCs w:val="24"/>
        </w:rPr>
        <w:br/>
      </w:r>
      <w:r w:rsidRPr="003F257E">
        <w:rPr>
          <w:szCs w:val="24"/>
        </w:rPr>
        <w:t>Weigh between 100 and 120 mg of R</w:t>
      </w:r>
      <w:r w:rsidR="00AB7FC3">
        <w:rPr>
          <w:szCs w:val="24"/>
        </w:rPr>
        <w:t>5P and calculate the volume of Tris buffer required; f</w:t>
      </w:r>
      <w:r w:rsidRPr="003F257E">
        <w:rPr>
          <w:szCs w:val="24"/>
        </w:rPr>
        <w:t>or examp</w:t>
      </w:r>
      <w:r w:rsidR="00AB7FC3">
        <w:rPr>
          <w:szCs w:val="24"/>
        </w:rPr>
        <w:t>le: 100 mg R5P / 1.21 ml Tris buffer</w:t>
      </w:r>
      <w:r w:rsidR="00AB7FC3">
        <w:rPr>
          <w:szCs w:val="24"/>
        </w:rPr>
        <w:br/>
        <w:t>Prepare on day of analysis</w:t>
      </w:r>
      <w:r w:rsidR="00AB7FC3">
        <w:rPr>
          <w:szCs w:val="24"/>
        </w:rPr>
        <w:br/>
        <w:t>Store at +4</w:t>
      </w:r>
      <w:r w:rsidR="00E95623">
        <w:rPr>
          <w:szCs w:val="24"/>
        </w:rPr>
        <w:t xml:space="preserve"> </w:t>
      </w:r>
      <w:r w:rsidR="00AB7FC3">
        <w:rPr>
          <w:szCs w:val="24"/>
        </w:rPr>
        <w:t>°C</w:t>
      </w:r>
    </w:p>
    <w:p w14:paraId="642E4507" w14:textId="77777777" w:rsidR="00FB7720" w:rsidRPr="003F257E" w:rsidRDefault="00FB7720" w:rsidP="006508DC">
      <w:pPr>
        <w:pStyle w:val="Heading1"/>
        <w:keepNext w:val="0"/>
        <w:numPr>
          <w:ilvl w:val="1"/>
          <w:numId w:val="27"/>
        </w:numPr>
        <w:spacing w:before="0" w:after="160" w:line="276" w:lineRule="auto"/>
        <w:ind w:left="851" w:hanging="567"/>
        <w:rPr>
          <w:b/>
          <w:bCs/>
          <w:szCs w:val="24"/>
        </w:rPr>
      </w:pPr>
      <w:r w:rsidRPr="003F257E">
        <w:rPr>
          <w:b/>
          <w:bCs/>
          <w:szCs w:val="24"/>
        </w:rPr>
        <w:t xml:space="preserve">Nicotinamide adenine dinucleotide (NADH) </w:t>
      </w:r>
    </w:p>
    <w:p w14:paraId="74AE09B2" w14:textId="35300E27" w:rsidR="00E95623" w:rsidRDefault="00FB7720" w:rsidP="006508DC">
      <w:pPr>
        <w:pStyle w:val="Heading1"/>
        <w:keepNext w:val="0"/>
        <w:spacing w:before="0" w:after="160" w:line="276" w:lineRule="auto"/>
        <w:rPr>
          <w:szCs w:val="24"/>
        </w:rPr>
      </w:pPr>
      <w:r w:rsidRPr="003F257E">
        <w:rPr>
          <w:szCs w:val="24"/>
        </w:rPr>
        <w:t xml:space="preserve">Prepare a solution of 3.75 mg/ml NADH in Tris buffer </w:t>
      </w:r>
      <w:r w:rsidR="005243A0">
        <w:rPr>
          <w:szCs w:val="24"/>
        </w:rPr>
        <w:br/>
      </w:r>
      <w:r w:rsidRPr="003F257E">
        <w:rPr>
          <w:szCs w:val="24"/>
        </w:rPr>
        <w:t xml:space="preserve">1 ml is needed per plate, approximately 0.2 – 0.5 </w:t>
      </w:r>
      <w:r w:rsidR="005243A0">
        <w:rPr>
          <w:szCs w:val="24"/>
        </w:rPr>
        <w:t>ml pipetting excess recommended</w:t>
      </w:r>
      <w:r w:rsidR="005243A0">
        <w:rPr>
          <w:szCs w:val="24"/>
        </w:rPr>
        <w:br/>
      </w:r>
      <w:r w:rsidRPr="003F257E">
        <w:rPr>
          <w:szCs w:val="24"/>
        </w:rPr>
        <w:t xml:space="preserve">Weigh between 4.5 and 6 mg of NADH and calculate the </w:t>
      </w:r>
      <w:r w:rsidR="004E1290">
        <w:rPr>
          <w:szCs w:val="24"/>
        </w:rPr>
        <w:t>volume of T</w:t>
      </w:r>
      <w:r w:rsidR="005243A0">
        <w:rPr>
          <w:szCs w:val="24"/>
        </w:rPr>
        <w:t>ris buffer required; for example: 5 mg NADH / 1.33 ml Tris buffer</w:t>
      </w:r>
      <w:r w:rsidR="005243A0">
        <w:rPr>
          <w:szCs w:val="24"/>
        </w:rPr>
        <w:br/>
        <w:t>Prepare on day of analysis</w:t>
      </w:r>
      <w:r w:rsidR="005243A0">
        <w:rPr>
          <w:szCs w:val="24"/>
        </w:rPr>
        <w:br/>
        <w:t>Store at +4</w:t>
      </w:r>
      <w:r w:rsidR="00E95623">
        <w:rPr>
          <w:szCs w:val="24"/>
        </w:rPr>
        <w:t xml:space="preserve"> </w:t>
      </w:r>
      <w:r w:rsidR="005243A0">
        <w:rPr>
          <w:szCs w:val="24"/>
        </w:rPr>
        <w:t>°C</w:t>
      </w:r>
    </w:p>
    <w:p w14:paraId="0F9BCDB4" w14:textId="77777777" w:rsidR="00E95623" w:rsidRDefault="00E95623" w:rsidP="006508DC">
      <w:pPr>
        <w:rPr>
          <w:rFonts w:ascii="Times New Roman" w:eastAsia="Times New Roman" w:hAnsi="Times New Roman" w:cs="Times New Roman"/>
          <w:sz w:val="24"/>
          <w:szCs w:val="24"/>
        </w:rPr>
      </w:pPr>
      <w:r>
        <w:rPr>
          <w:szCs w:val="24"/>
        </w:rPr>
        <w:br w:type="page"/>
      </w:r>
    </w:p>
    <w:p w14:paraId="53B6DB03" w14:textId="77777777" w:rsidR="00FB7720" w:rsidRPr="003F257E" w:rsidRDefault="00FB7720" w:rsidP="006508DC">
      <w:pPr>
        <w:pStyle w:val="Heading1"/>
        <w:keepNext w:val="0"/>
        <w:numPr>
          <w:ilvl w:val="1"/>
          <w:numId w:val="27"/>
        </w:numPr>
        <w:spacing w:before="0" w:after="160" w:line="276" w:lineRule="auto"/>
        <w:ind w:left="851" w:hanging="567"/>
        <w:rPr>
          <w:b/>
          <w:bCs/>
          <w:szCs w:val="24"/>
        </w:rPr>
      </w:pPr>
      <w:r w:rsidRPr="003F257E">
        <w:rPr>
          <w:b/>
          <w:bCs/>
          <w:szCs w:val="24"/>
        </w:rPr>
        <w:lastRenderedPageBreak/>
        <w:t>αGDH-TPI</w:t>
      </w:r>
    </w:p>
    <w:p w14:paraId="45A8DFCD" w14:textId="360D042B" w:rsidR="00FB7720" w:rsidRPr="003F257E" w:rsidRDefault="00FB7720" w:rsidP="006508DC">
      <w:pPr>
        <w:pStyle w:val="Heading1"/>
        <w:keepNext w:val="0"/>
        <w:spacing w:before="0" w:after="160" w:line="276" w:lineRule="auto"/>
        <w:rPr>
          <w:szCs w:val="24"/>
        </w:rPr>
      </w:pPr>
      <w:r w:rsidRPr="003F257E">
        <w:rPr>
          <w:szCs w:val="24"/>
        </w:rPr>
        <w:t>3</w:t>
      </w:r>
      <w:r w:rsidR="005243A0">
        <w:rPr>
          <w:szCs w:val="24"/>
        </w:rPr>
        <w:t>4 units required for each plate</w:t>
      </w:r>
      <w:r w:rsidR="005243A0">
        <w:rPr>
          <w:szCs w:val="24"/>
        </w:rPr>
        <w:br/>
      </w:r>
      <w:r w:rsidRPr="003F257E">
        <w:rPr>
          <w:szCs w:val="24"/>
        </w:rPr>
        <w:t>Units per bottle vary from lot-to-lot; calculate volume req</w:t>
      </w:r>
      <w:r w:rsidR="005243A0">
        <w:rPr>
          <w:szCs w:val="24"/>
        </w:rPr>
        <w:t>uired for each bottle of enzyme; for example, i</w:t>
      </w:r>
      <w:r w:rsidRPr="003F257E">
        <w:rPr>
          <w:szCs w:val="24"/>
        </w:rPr>
        <w:t>f the bottle contains 5000 U/4.8 ml, for 34 U</w:t>
      </w:r>
      <w:r w:rsidR="005243A0">
        <w:rPr>
          <w:szCs w:val="24"/>
        </w:rPr>
        <w:t xml:space="preserve"> use 32 µl (34 x 4.8/5000 = 32)</w:t>
      </w:r>
      <w:r w:rsidR="00090A27">
        <w:rPr>
          <w:szCs w:val="24"/>
        </w:rPr>
        <w:t>.</w:t>
      </w:r>
      <w:r w:rsidR="00090A27" w:rsidRPr="00090A27">
        <w:rPr>
          <w:szCs w:val="24"/>
        </w:rPr>
        <w:t xml:space="preserve"> </w:t>
      </w:r>
      <w:r w:rsidR="00090A27">
        <w:rPr>
          <w:szCs w:val="24"/>
        </w:rPr>
        <w:br/>
      </w:r>
      <w:r w:rsidR="00090A27" w:rsidRPr="003F257E">
        <w:rPr>
          <w:szCs w:val="24"/>
        </w:rPr>
        <w:t>Added directly to working reagent, as per i</w:t>
      </w:r>
      <w:r w:rsidR="00090A27">
        <w:rPr>
          <w:szCs w:val="24"/>
        </w:rPr>
        <w:t>nstructions, on day of analysis</w:t>
      </w:r>
      <w:r w:rsidR="00090A27">
        <w:rPr>
          <w:szCs w:val="24"/>
        </w:rPr>
        <w:br/>
        <w:t>Store at +4</w:t>
      </w:r>
      <w:r w:rsidR="008B4E2A">
        <w:rPr>
          <w:szCs w:val="24"/>
        </w:rPr>
        <w:t xml:space="preserve"> </w:t>
      </w:r>
      <w:r w:rsidR="00090A27">
        <w:rPr>
          <w:szCs w:val="24"/>
        </w:rPr>
        <w:t>°C</w:t>
      </w:r>
    </w:p>
    <w:p w14:paraId="7A9E9DA0" w14:textId="77777777" w:rsidR="00FB7720" w:rsidRPr="003F257E" w:rsidRDefault="00FB7720" w:rsidP="006508DC">
      <w:pPr>
        <w:pStyle w:val="Heading1"/>
        <w:keepNext w:val="0"/>
        <w:numPr>
          <w:ilvl w:val="1"/>
          <w:numId w:val="27"/>
        </w:numPr>
        <w:spacing w:before="0" w:after="160" w:line="276" w:lineRule="auto"/>
        <w:ind w:left="851" w:hanging="567"/>
        <w:rPr>
          <w:b/>
          <w:bCs/>
          <w:szCs w:val="24"/>
        </w:rPr>
      </w:pPr>
      <w:r w:rsidRPr="003F257E">
        <w:rPr>
          <w:b/>
          <w:bCs/>
          <w:szCs w:val="24"/>
        </w:rPr>
        <w:t>Working reagent</w:t>
      </w:r>
    </w:p>
    <w:p w14:paraId="77CBC29F" w14:textId="07402246" w:rsidR="00FB7720" w:rsidRPr="003F257E" w:rsidRDefault="00FB7720" w:rsidP="006508DC">
      <w:pPr>
        <w:pStyle w:val="Heading1"/>
        <w:keepNext w:val="0"/>
        <w:spacing w:before="0" w:after="160" w:line="276" w:lineRule="auto"/>
        <w:rPr>
          <w:szCs w:val="24"/>
        </w:rPr>
      </w:pPr>
      <w:r w:rsidRPr="003F257E">
        <w:rPr>
          <w:szCs w:val="24"/>
        </w:rPr>
        <w:t>Make up on day of analysis per plate du</w:t>
      </w:r>
      <w:r w:rsidR="005243A0">
        <w:rPr>
          <w:szCs w:val="24"/>
        </w:rPr>
        <w:t>ring 15-minute plate incubation</w:t>
      </w:r>
      <w:r w:rsidR="005243A0">
        <w:rPr>
          <w:szCs w:val="24"/>
        </w:rPr>
        <w:br/>
      </w:r>
      <w:r w:rsidRPr="003F257E">
        <w:rPr>
          <w:szCs w:val="24"/>
        </w:rPr>
        <w:t>Add the following to a 50 ml Falcon tube using a pipette:</w:t>
      </w:r>
    </w:p>
    <w:p w14:paraId="5EF64C8A" w14:textId="77777777" w:rsidR="00FB7720" w:rsidRPr="003F257E" w:rsidRDefault="00FB7720" w:rsidP="006508DC">
      <w:pPr>
        <w:pStyle w:val="Heading1"/>
        <w:keepNext w:val="0"/>
        <w:numPr>
          <w:ilvl w:val="0"/>
          <w:numId w:val="14"/>
        </w:numPr>
        <w:spacing w:before="0" w:after="160" w:line="276" w:lineRule="auto"/>
        <w:rPr>
          <w:szCs w:val="24"/>
        </w:rPr>
      </w:pPr>
      <w:r w:rsidRPr="003F257E">
        <w:rPr>
          <w:szCs w:val="24"/>
        </w:rPr>
        <w:t>20 ml Tris buffer</w:t>
      </w:r>
    </w:p>
    <w:p w14:paraId="29E330DC" w14:textId="77777777" w:rsidR="00FB7720" w:rsidRPr="003F257E" w:rsidRDefault="00FB7720" w:rsidP="006508DC">
      <w:pPr>
        <w:pStyle w:val="Heading1"/>
        <w:keepNext w:val="0"/>
        <w:numPr>
          <w:ilvl w:val="0"/>
          <w:numId w:val="14"/>
        </w:numPr>
        <w:spacing w:before="0" w:after="160" w:line="276" w:lineRule="auto"/>
        <w:rPr>
          <w:szCs w:val="24"/>
        </w:rPr>
      </w:pPr>
      <w:r w:rsidRPr="003F257E">
        <w:rPr>
          <w:szCs w:val="24"/>
        </w:rPr>
        <w:t>1 ml ribose-5-phosphate at 82.5 mg/ml</w:t>
      </w:r>
    </w:p>
    <w:p w14:paraId="0BD642E3" w14:textId="77777777" w:rsidR="00FB7720" w:rsidRPr="003F257E" w:rsidRDefault="00FB7720" w:rsidP="006508DC">
      <w:pPr>
        <w:pStyle w:val="Heading1"/>
        <w:keepNext w:val="0"/>
        <w:numPr>
          <w:ilvl w:val="0"/>
          <w:numId w:val="14"/>
        </w:numPr>
        <w:spacing w:before="0" w:after="160" w:line="276" w:lineRule="auto"/>
        <w:rPr>
          <w:szCs w:val="24"/>
        </w:rPr>
      </w:pPr>
      <w:r w:rsidRPr="003F257E">
        <w:rPr>
          <w:szCs w:val="24"/>
        </w:rPr>
        <w:t>1 ml NADH at 3.75 mg/ml</w:t>
      </w:r>
      <w:r w:rsidRPr="003F257E">
        <w:rPr>
          <w:szCs w:val="24"/>
        </w:rPr>
        <w:tab/>
      </w:r>
    </w:p>
    <w:p w14:paraId="35D0C593" w14:textId="77777777" w:rsidR="00FB7720" w:rsidRPr="003F257E" w:rsidRDefault="00FB7720" w:rsidP="006508DC">
      <w:pPr>
        <w:pStyle w:val="Heading1"/>
        <w:keepNext w:val="0"/>
        <w:numPr>
          <w:ilvl w:val="0"/>
          <w:numId w:val="14"/>
        </w:numPr>
        <w:spacing w:before="0" w:after="160" w:line="276" w:lineRule="auto"/>
        <w:rPr>
          <w:szCs w:val="24"/>
        </w:rPr>
      </w:pPr>
      <w:r w:rsidRPr="003F257E">
        <w:rPr>
          <w:szCs w:val="24"/>
        </w:rPr>
        <w:t>32 µl GDH-TPI (see above; depends on activity of purchased stock)</w:t>
      </w:r>
    </w:p>
    <w:p w14:paraId="25385A57" w14:textId="77777777" w:rsidR="00FB7720" w:rsidRPr="003F257E" w:rsidRDefault="00FB7720" w:rsidP="006508DC">
      <w:pPr>
        <w:pStyle w:val="Heading1"/>
        <w:keepNext w:val="0"/>
        <w:numPr>
          <w:ilvl w:val="0"/>
          <w:numId w:val="14"/>
        </w:numPr>
        <w:spacing w:before="0" w:after="160" w:line="276" w:lineRule="auto"/>
        <w:rPr>
          <w:szCs w:val="24"/>
        </w:rPr>
      </w:pPr>
      <w:r w:rsidRPr="003F257E">
        <w:rPr>
          <w:szCs w:val="24"/>
        </w:rPr>
        <w:t>80 µl 1% Tween-20</w:t>
      </w:r>
    </w:p>
    <w:p w14:paraId="4402126F" w14:textId="61D78E7E" w:rsidR="008B4E2A" w:rsidRDefault="005243A0" w:rsidP="006508DC">
      <w:pPr>
        <w:pStyle w:val="Heading1"/>
        <w:keepNext w:val="0"/>
        <w:spacing w:before="0" w:after="160" w:line="276" w:lineRule="auto"/>
        <w:rPr>
          <w:szCs w:val="24"/>
        </w:rPr>
      </w:pPr>
      <w:r>
        <w:rPr>
          <w:szCs w:val="24"/>
        </w:rPr>
        <w:t>Invert ten times to mix</w:t>
      </w:r>
      <w:r>
        <w:rPr>
          <w:szCs w:val="24"/>
        </w:rPr>
        <w:br/>
        <w:t>Store at +4</w:t>
      </w:r>
      <w:r w:rsidR="008B4E2A">
        <w:rPr>
          <w:szCs w:val="24"/>
        </w:rPr>
        <w:t xml:space="preserve"> </w:t>
      </w:r>
      <w:r>
        <w:rPr>
          <w:szCs w:val="24"/>
        </w:rPr>
        <w:t>°C until use</w:t>
      </w:r>
    </w:p>
    <w:p w14:paraId="0573764D" w14:textId="77777777" w:rsidR="007B0BE0" w:rsidRDefault="00FB7720" w:rsidP="006508DC">
      <w:pPr>
        <w:pStyle w:val="Heading1"/>
        <w:keepNext w:val="0"/>
        <w:numPr>
          <w:ilvl w:val="0"/>
          <w:numId w:val="27"/>
        </w:numPr>
        <w:spacing w:after="200" w:line="276" w:lineRule="auto"/>
        <w:rPr>
          <w:b/>
          <w:bCs/>
          <w:szCs w:val="24"/>
        </w:rPr>
      </w:pPr>
      <w:bookmarkStart w:id="4" w:name="_Toc534280430"/>
      <w:bookmarkStart w:id="5" w:name="_Toc12882106"/>
      <w:r w:rsidRPr="003F257E">
        <w:rPr>
          <w:b/>
          <w:bCs/>
          <w:szCs w:val="24"/>
        </w:rPr>
        <w:t>Procedure</w:t>
      </w:r>
      <w:bookmarkEnd w:id="4"/>
      <w:bookmarkEnd w:id="5"/>
    </w:p>
    <w:p w14:paraId="03E001BD" w14:textId="77777777" w:rsidR="00316C98" w:rsidRPr="00316C98" w:rsidRDefault="00FB7720" w:rsidP="006508DC">
      <w:pPr>
        <w:pStyle w:val="Heading1"/>
        <w:keepNext w:val="0"/>
        <w:spacing w:after="200" w:line="276" w:lineRule="auto"/>
        <w:ind w:left="0"/>
        <w:rPr>
          <w:b/>
          <w:bCs/>
          <w:szCs w:val="24"/>
        </w:rPr>
      </w:pPr>
      <w:r w:rsidRPr="007B0BE0">
        <w:rPr>
          <w:szCs w:val="24"/>
        </w:rPr>
        <w:t>20 samples plus 3 quality control (QC) samples can be analysed in duplicate o</w:t>
      </w:r>
      <w:r w:rsidR="0013298C" w:rsidRPr="007B0BE0">
        <w:rPr>
          <w:szCs w:val="24"/>
        </w:rPr>
        <w:t>n a 96-well micro</w:t>
      </w:r>
      <w:r w:rsidR="005243A0" w:rsidRPr="007B0BE0">
        <w:rPr>
          <w:szCs w:val="24"/>
        </w:rPr>
        <w:t>plate</w:t>
      </w:r>
    </w:p>
    <w:p w14:paraId="648BE2C2" w14:textId="33D4C03F" w:rsidR="00FB7720" w:rsidRPr="00316C98" w:rsidRDefault="00FB7720" w:rsidP="006508DC">
      <w:pPr>
        <w:pStyle w:val="Heading1"/>
        <w:keepNext w:val="0"/>
        <w:spacing w:after="200" w:line="276" w:lineRule="auto"/>
        <w:ind w:left="0"/>
        <w:rPr>
          <w:b/>
          <w:bCs/>
          <w:szCs w:val="24"/>
        </w:rPr>
      </w:pPr>
      <w:r w:rsidRPr="00316C98">
        <w:rPr>
          <w:szCs w:val="24"/>
        </w:rPr>
        <w:t>The identification numbers of the samples, QC and batch number should be recorded in a laboratory notebook, together with the mass of reagents as weighed, and incubation timings</w:t>
      </w:r>
    </w:p>
    <w:p w14:paraId="0AF2A19B" w14:textId="12449509" w:rsidR="00FB7720" w:rsidRPr="00316C98" w:rsidRDefault="005243A0" w:rsidP="006508DC">
      <w:pPr>
        <w:pStyle w:val="ListParagraph"/>
        <w:numPr>
          <w:ilvl w:val="1"/>
          <w:numId w:val="27"/>
        </w:numPr>
        <w:spacing w:after="200" w:line="276" w:lineRule="auto"/>
        <w:rPr>
          <w:rFonts w:ascii="Times New Roman" w:eastAsia="Times New Roman" w:hAnsi="Times New Roman" w:cs="Times New Roman"/>
          <w:b/>
          <w:bCs/>
          <w:sz w:val="24"/>
          <w:szCs w:val="24"/>
        </w:rPr>
      </w:pPr>
      <w:r w:rsidRPr="00316C98">
        <w:rPr>
          <w:rFonts w:ascii="Times New Roman" w:eastAsia="Times New Roman" w:hAnsi="Times New Roman" w:cs="Times New Roman"/>
          <w:b/>
          <w:bCs/>
          <w:sz w:val="24"/>
          <w:szCs w:val="24"/>
        </w:rPr>
        <w:t>Preparation of equipment</w:t>
      </w:r>
    </w:p>
    <w:p w14:paraId="25B7C7B3" w14:textId="33694000" w:rsidR="00FB7720" w:rsidRPr="003F257E" w:rsidRDefault="00FB7720" w:rsidP="006508DC">
      <w:pPr>
        <w:spacing w:after="200" w:line="276" w:lineRule="auto"/>
        <w:rPr>
          <w:rFonts w:ascii="Times New Roman" w:hAnsi="Times New Roman" w:cs="Times New Roman"/>
          <w:sz w:val="24"/>
          <w:szCs w:val="24"/>
        </w:rPr>
      </w:pPr>
      <w:r w:rsidRPr="003F257E">
        <w:rPr>
          <w:rFonts w:ascii="Times New Roman" w:hAnsi="Times New Roman" w:cs="Times New Roman"/>
          <w:sz w:val="24"/>
          <w:szCs w:val="24"/>
        </w:rPr>
        <w:t>The following steps must be taken to</w:t>
      </w:r>
      <w:r w:rsidR="005243A0">
        <w:rPr>
          <w:rFonts w:ascii="Times New Roman" w:hAnsi="Times New Roman" w:cs="Times New Roman"/>
          <w:sz w:val="24"/>
          <w:szCs w:val="24"/>
        </w:rPr>
        <w:t xml:space="preserve"> prepare equipment and reagents</w:t>
      </w:r>
    </w:p>
    <w:p w14:paraId="02C9D845" w14:textId="62BD9E4D" w:rsidR="00316C98" w:rsidRDefault="00FB7720" w:rsidP="006508DC">
      <w:pPr>
        <w:pStyle w:val="ListParagraph"/>
        <w:numPr>
          <w:ilvl w:val="2"/>
          <w:numId w:val="28"/>
        </w:numPr>
        <w:spacing w:after="200" w:line="276" w:lineRule="auto"/>
        <w:rPr>
          <w:rFonts w:ascii="Times New Roman" w:hAnsi="Times New Roman" w:cs="Times New Roman"/>
          <w:sz w:val="24"/>
          <w:szCs w:val="24"/>
        </w:rPr>
      </w:pPr>
      <w:r w:rsidRPr="003F257E">
        <w:rPr>
          <w:rFonts w:ascii="Times New Roman" w:hAnsi="Times New Roman" w:cs="Times New Roman"/>
          <w:sz w:val="24"/>
          <w:szCs w:val="24"/>
        </w:rPr>
        <w:t>Turn on the incubator and allow it to reach 37</w:t>
      </w:r>
      <w:r w:rsidR="00090A27">
        <w:rPr>
          <w:rFonts w:ascii="Times New Roman" w:hAnsi="Times New Roman" w:cs="Times New Roman"/>
          <w:sz w:val="24"/>
          <w:szCs w:val="24"/>
        </w:rPr>
        <w:t> </w:t>
      </w:r>
      <w:r w:rsidRPr="003F257E">
        <w:rPr>
          <w:rFonts w:ascii="Times New Roman" w:hAnsi="Times New Roman" w:cs="Times New Roman"/>
          <w:sz w:val="24"/>
          <w:szCs w:val="24"/>
        </w:rPr>
        <w:t>°C</w:t>
      </w:r>
      <w:r w:rsidR="007B0BE0">
        <w:rPr>
          <w:rFonts w:ascii="Times New Roman" w:hAnsi="Times New Roman" w:cs="Times New Roman"/>
          <w:sz w:val="24"/>
          <w:szCs w:val="24"/>
        </w:rPr>
        <w:t xml:space="preserve"> (see </w:t>
      </w:r>
      <w:r w:rsidR="007B0BE0" w:rsidRPr="007B0BE0">
        <w:rPr>
          <w:rFonts w:ascii="Times New Roman" w:hAnsi="Times New Roman" w:cs="Times New Roman"/>
          <w:b/>
          <w:sz w:val="24"/>
          <w:szCs w:val="24"/>
        </w:rPr>
        <w:t xml:space="preserve">note </w:t>
      </w:r>
      <w:r w:rsidR="004E1290">
        <w:rPr>
          <w:rFonts w:ascii="Times New Roman" w:hAnsi="Times New Roman" w:cs="Times New Roman"/>
          <w:b/>
          <w:sz w:val="24"/>
          <w:szCs w:val="24"/>
        </w:rPr>
        <w:t>5</w:t>
      </w:r>
      <w:r w:rsidR="007B0BE0">
        <w:rPr>
          <w:rFonts w:ascii="Times New Roman" w:hAnsi="Times New Roman" w:cs="Times New Roman"/>
          <w:sz w:val="24"/>
          <w:szCs w:val="24"/>
        </w:rPr>
        <w:t>)</w:t>
      </w:r>
    </w:p>
    <w:p w14:paraId="6D08D75A" w14:textId="6C83E382" w:rsidR="00316C98" w:rsidRDefault="00FB7720" w:rsidP="006508DC">
      <w:pPr>
        <w:pStyle w:val="ListParagraph"/>
        <w:numPr>
          <w:ilvl w:val="2"/>
          <w:numId w:val="28"/>
        </w:numPr>
        <w:spacing w:after="200" w:line="276" w:lineRule="auto"/>
        <w:rPr>
          <w:rFonts w:ascii="Times New Roman" w:hAnsi="Times New Roman" w:cs="Times New Roman"/>
          <w:sz w:val="24"/>
          <w:szCs w:val="24"/>
        </w:rPr>
      </w:pPr>
      <w:r w:rsidRPr="00316C98">
        <w:rPr>
          <w:rFonts w:ascii="Times New Roman" w:hAnsi="Times New Roman" w:cs="Times New Roman"/>
          <w:sz w:val="24"/>
          <w:szCs w:val="24"/>
        </w:rPr>
        <w:t>Turn on the refrigerated centrifuge and set it to cool to 4</w:t>
      </w:r>
      <w:r w:rsidR="00090A27">
        <w:rPr>
          <w:rFonts w:ascii="Times New Roman" w:hAnsi="Times New Roman" w:cs="Times New Roman"/>
          <w:sz w:val="24"/>
          <w:szCs w:val="24"/>
        </w:rPr>
        <w:t> </w:t>
      </w:r>
      <w:r w:rsidRPr="00316C98">
        <w:rPr>
          <w:rFonts w:ascii="Times New Roman" w:hAnsi="Times New Roman" w:cs="Times New Roman"/>
          <w:sz w:val="24"/>
          <w:szCs w:val="24"/>
        </w:rPr>
        <w:t>°C</w:t>
      </w:r>
    </w:p>
    <w:p w14:paraId="775C9830" w14:textId="007EFA88" w:rsidR="00316C98" w:rsidRDefault="00FB7720" w:rsidP="006508DC">
      <w:pPr>
        <w:pStyle w:val="ListParagraph"/>
        <w:numPr>
          <w:ilvl w:val="2"/>
          <w:numId w:val="28"/>
        </w:numPr>
        <w:spacing w:after="200" w:line="276" w:lineRule="auto"/>
        <w:ind w:left="981" w:hanging="624"/>
        <w:rPr>
          <w:rFonts w:ascii="Times New Roman" w:hAnsi="Times New Roman" w:cs="Times New Roman"/>
          <w:sz w:val="24"/>
          <w:szCs w:val="24"/>
        </w:rPr>
      </w:pPr>
      <w:r w:rsidRPr="00316C98">
        <w:rPr>
          <w:rFonts w:ascii="Times New Roman" w:hAnsi="Times New Roman" w:cs="Times New Roman"/>
          <w:sz w:val="24"/>
          <w:szCs w:val="24"/>
        </w:rPr>
        <w:t>Turn on the plate reader and associated computer. Set temperature to 37</w:t>
      </w:r>
      <w:r w:rsidR="00090A27">
        <w:rPr>
          <w:rFonts w:ascii="Times New Roman" w:hAnsi="Times New Roman" w:cs="Times New Roman"/>
          <w:sz w:val="24"/>
          <w:szCs w:val="24"/>
        </w:rPr>
        <w:t> </w:t>
      </w:r>
      <w:r w:rsidRPr="00316C98">
        <w:rPr>
          <w:rFonts w:ascii="Times New Roman" w:hAnsi="Times New Roman" w:cs="Times New Roman"/>
          <w:sz w:val="24"/>
          <w:szCs w:val="24"/>
        </w:rPr>
        <w:t>°C and allow at least 20 minutes for temperature to equilibrate</w:t>
      </w:r>
      <w:r w:rsidR="0013298C" w:rsidRPr="00316C98">
        <w:rPr>
          <w:rFonts w:ascii="Times New Roman" w:hAnsi="Times New Roman" w:cs="Times New Roman"/>
          <w:sz w:val="24"/>
          <w:szCs w:val="24"/>
        </w:rPr>
        <w:t xml:space="preserve"> (</w:t>
      </w:r>
      <w:r w:rsidR="007B0BE0" w:rsidRPr="00316C98">
        <w:rPr>
          <w:rFonts w:ascii="Times New Roman" w:hAnsi="Times New Roman" w:cs="Times New Roman"/>
          <w:sz w:val="24"/>
          <w:szCs w:val="24"/>
        </w:rPr>
        <w:t xml:space="preserve">see </w:t>
      </w:r>
      <w:r w:rsidR="0013298C" w:rsidRPr="00316C98">
        <w:rPr>
          <w:rFonts w:ascii="Times New Roman" w:hAnsi="Times New Roman" w:cs="Times New Roman"/>
          <w:b/>
          <w:sz w:val="24"/>
          <w:szCs w:val="24"/>
        </w:rPr>
        <w:t xml:space="preserve">note </w:t>
      </w:r>
      <w:r w:rsidR="004E1290">
        <w:rPr>
          <w:rFonts w:ascii="Times New Roman" w:hAnsi="Times New Roman" w:cs="Times New Roman"/>
          <w:b/>
          <w:sz w:val="24"/>
          <w:szCs w:val="24"/>
        </w:rPr>
        <w:t>6</w:t>
      </w:r>
      <w:r w:rsidR="0013298C" w:rsidRPr="00316C98">
        <w:rPr>
          <w:rFonts w:ascii="Times New Roman" w:hAnsi="Times New Roman" w:cs="Times New Roman"/>
          <w:sz w:val="24"/>
          <w:szCs w:val="24"/>
        </w:rPr>
        <w:t>)</w:t>
      </w:r>
    </w:p>
    <w:p w14:paraId="4C67353D" w14:textId="0BDB5B2A" w:rsidR="00316C98" w:rsidRDefault="00FB7720" w:rsidP="006508DC">
      <w:pPr>
        <w:pStyle w:val="ListParagraph"/>
        <w:numPr>
          <w:ilvl w:val="2"/>
          <w:numId w:val="28"/>
        </w:numPr>
        <w:spacing w:after="200" w:line="276" w:lineRule="auto"/>
        <w:ind w:left="981" w:hanging="624"/>
        <w:rPr>
          <w:rFonts w:ascii="Times New Roman" w:hAnsi="Times New Roman" w:cs="Times New Roman"/>
          <w:sz w:val="24"/>
          <w:szCs w:val="24"/>
        </w:rPr>
      </w:pPr>
      <w:r w:rsidRPr="00316C98">
        <w:rPr>
          <w:rFonts w:ascii="Times New Roman" w:hAnsi="Times New Roman" w:cs="Times New Roman"/>
          <w:sz w:val="24"/>
          <w:szCs w:val="24"/>
        </w:rPr>
        <w:t>Remove NADH, R5P and TPP from -20</w:t>
      </w:r>
      <w:r w:rsidR="00090A27">
        <w:rPr>
          <w:rFonts w:ascii="Times New Roman" w:hAnsi="Times New Roman" w:cs="Times New Roman"/>
          <w:sz w:val="24"/>
          <w:szCs w:val="24"/>
        </w:rPr>
        <w:t> </w:t>
      </w:r>
      <w:r w:rsidRPr="00316C98">
        <w:rPr>
          <w:rFonts w:ascii="Times New Roman" w:hAnsi="Times New Roman" w:cs="Times New Roman"/>
          <w:sz w:val="24"/>
          <w:szCs w:val="24"/>
        </w:rPr>
        <w:t>°C storage and allow to equilibrate to room temperature</w:t>
      </w:r>
    </w:p>
    <w:p w14:paraId="3664118F" w14:textId="31EF1124" w:rsidR="00316C98" w:rsidRDefault="00FB7720" w:rsidP="006508DC">
      <w:pPr>
        <w:pStyle w:val="ListParagraph"/>
        <w:numPr>
          <w:ilvl w:val="2"/>
          <w:numId w:val="28"/>
        </w:numPr>
        <w:spacing w:after="200" w:line="276" w:lineRule="auto"/>
        <w:ind w:left="981" w:hanging="624"/>
        <w:rPr>
          <w:rFonts w:ascii="Times New Roman" w:hAnsi="Times New Roman" w:cs="Times New Roman"/>
          <w:sz w:val="24"/>
          <w:szCs w:val="24"/>
        </w:rPr>
      </w:pPr>
      <w:r w:rsidRPr="00316C98">
        <w:rPr>
          <w:rFonts w:ascii="Times New Roman" w:hAnsi="Times New Roman" w:cs="Times New Roman"/>
          <w:sz w:val="24"/>
          <w:szCs w:val="24"/>
        </w:rPr>
        <w:t>Remove the controls and samples out from -</w:t>
      </w:r>
      <w:r w:rsidR="00BD69B1">
        <w:rPr>
          <w:rFonts w:ascii="Times New Roman" w:hAnsi="Times New Roman" w:cs="Times New Roman"/>
          <w:sz w:val="24"/>
          <w:szCs w:val="24"/>
        </w:rPr>
        <w:t>7</w:t>
      </w:r>
      <w:r w:rsidRPr="00316C98">
        <w:rPr>
          <w:rFonts w:ascii="Times New Roman" w:hAnsi="Times New Roman" w:cs="Times New Roman"/>
          <w:sz w:val="24"/>
          <w:szCs w:val="24"/>
        </w:rPr>
        <w:t>0</w:t>
      </w:r>
      <w:r w:rsidR="00090A27">
        <w:rPr>
          <w:rFonts w:ascii="Times New Roman" w:hAnsi="Times New Roman" w:cs="Times New Roman"/>
          <w:sz w:val="24"/>
          <w:szCs w:val="24"/>
        </w:rPr>
        <w:t> </w:t>
      </w:r>
      <w:r w:rsidRPr="00316C98">
        <w:rPr>
          <w:rFonts w:ascii="Times New Roman" w:hAnsi="Times New Roman" w:cs="Times New Roman"/>
          <w:sz w:val="24"/>
          <w:szCs w:val="24"/>
        </w:rPr>
        <w:t>°C storage and allow them to equilibrate to room temperature</w:t>
      </w:r>
    </w:p>
    <w:p w14:paraId="755B3D4E" w14:textId="551BB8E5" w:rsidR="00316C98" w:rsidRPr="00316C98" w:rsidRDefault="00FB7720" w:rsidP="006508DC">
      <w:pPr>
        <w:pStyle w:val="ListParagraph"/>
        <w:numPr>
          <w:ilvl w:val="2"/>
          <w:numId w:val="28"/>
        </w:numPr>
        <w:spacing w:after="200" w:line="276" w:lineRule="auto"/>
        <w:ind w:left="981" w:hanging="624"/>
        <w:contextualSpacing w:val="0"/>
        <w:rPr>
          <w:rFonts w:ascii="Times New Roman" w:hAnsi="Times New Roman" w:cs="Times New Roman"/>
          <w:sz w:val="24"/>
          <w:szCs w:val="24"/>
        </w:rPr>
      </w:pPr>
      <w:r w:rsidRPr="00316C98">
        <w:rPr>
          <w:rFonts w:ascii="Times New Roman" w:hAnsi="Times New Roman" w:cs="Times New Roman"/>
          <w:sz w:val="24"/>
          <w:szCs w:val="24"/>
        </w:rPr>
        <w:t>Label a corresponding Sarstedt 2 ml tube for each of the samples</w:t>
      </w:r>
    </w:p>
    <w:p w14:paraId="296975DA" w14:textId="77777777" w:rsidR="006508DC" w:rsidRDefault="006508DC" w:rsidP="006508DC">
      <w:pPr>
        <w:pStyle w:val="ListParagraph"/>
        <w:spacing w:before="240" w:after="200" w:line="276" w:lineRule="auto"/>
        <w:ind w:left="788"/>
        <w:contextualSpacing w:val="0"/>
        <w:rPr>
          <w:rFonts w:ascii="Times New Roman" w:hAnsi="Times New Roman" w:cs="Times New Roman"/>
          <w:b/>
          <w:bCs/>
          <w:sz w:val="24"/>
          <w:szCs w:val="24"/>
        </w:rPr>
      </w:pPr>
    </w:p>
    <w:p w14:paraId="59F77B6B" w14:textId="01639A87" w:rsidR="00316C98" w:rsidRPr="00316C98" w:rsidRDefault="00FB7720" w:rsidP="006508DC">
      <w:pPr>
        <w:pStyle w:val="ListParagraph"/>
        <w:numPr>
          <w:ilvl w:val="1"/>
          <w:numId w:val="28"/>
        </w:numPr>
        <w:spacing w:before="240" w:after="200" w:line="276" w:lineRule="auto"/>
        <w:ind w:left="788" w:hanging="431"/>
        <w:contextualSpacing w:val="0"/>
        <w:rPr>
          <w:rFonts w:ascii="Times New Roman" w:hAnsi="Times New Roman" w:cs="Times New Roman"/>
          <w:b/>
          <w:bCs/>
          <w:sz w:val="24"/>
          <w:szCs w:val="24"/>
        </w:rPr>
      </w:pPr>
      <w:r w:rsidRPr="00316C98">
        <w:rPr>
          <w:rFonts w:ascii="Times New Roman" w:hAnsi="Times New Roman" w:cs="Times New Roman"/>
          <w:b/>
          <w:bCs/>
          <w:sz w:val="24"/>
          <w:szCs w:val="24"/>
        </w:rPr>
        <w:lastRenderedPageBreak/>
        <w:t>Pre</w:t>
      </w:r>
      <w:r w:rsidR="005243A0" w:rsidRPr="00316C98">
        <w:rPr>
          <w:rFonts w:ascii="Times New Roman" w:hAnsi="Times New Roman" w:cs="Times New Roman"/>
          <w:b/>
          <w:bCs/>
          <w:sz w:val="24"/>
          <w:szCs w:val="24"/>
        </w:rPr>
        <w:t xml:space="preserve">paration of </w:t>
      </w:r>
      <w:r w:rsidR="00EE2882">
        <w:rPr>
          <w:rFonts w:ascii="Times New Roman" w:hAnsi="Times New Roman" w:cs="Times New Roman"/>
          <w:b/>
          <w:bCs/>
          <w:sz w:val="24"/>
          <w:szCs w:val="24"/>
        </w:rPr>
        <w:t>hemo</w:t>
      </w:r>
      <w:r w:rsidR="005243A0" w:rsidRPr="00316C98">
        <w:rPr>
          <w:rFonts w:ascii="Times New Roman" w:hAnsi="Times New Roman" w:cs="Times New Roman"/>
          <w:b/>
          <w:bCs/>
          <w:sz w:val="24"/>
          <w:szCs w:val="24"/>
        </w:rPr>
        <w:t>lysates</w:t>
      </w:r>
    </w:p>
    <w:p w14:paraId="67086BFA" w14:textId="4845BBC3" w:rsidR="00FB7720" w:rsidRPr="003F257E" w:rsidRDefault="00FB7720" w:rsidP="006508DC">
      <w:pPr>
        <w:pStyle w:val="ListParagraph"/>
        <w:numPr>
          <w:ilvl w:val="2"/>
          <w:numId w:val="28"/>
        </w:numPr>
        <w:spacing w:after="200" w:line="276" w:lineRule="auto"/>
        <w:ind w:left="981" w:hanging="624"/>
        <w:rPr>
          <w:rFonts w:ascii="Times New Roman" w:hAnsi="Times New Roman" w:cs="Times New Roman"/>
          <w:sz w:val="24"/>
          <w:szCs w:val="24"/>
        </w:rPr>
      </w:pPr>
      <w:r w:rsidRPr="003F257E">
        <w:rPr>
          <w:rFonts w:ascii="Times New Roman" w:hAnsi="Times New Roman" w:cs="Times New Roman"/>
          <w:sz w:val="24"/>
          <w:szCs w:val="24"/>
        </w:rPr>
        <w:t xml:space="preserve">Once the </w:t>
      </w:r>
      <w:r w:rsidR="007E7241">
        <w:rPr>
          <w:rFonts w:ascii="Times New Roman" w:hAnsi="Times New Roman" w:cs="Times New Roman"/>
          <w:sz w:val="24"/>
          <w:szCs w:val="24"/>
        </w:rPr>
        <w:t>erythrocyte</w:t>
      </w:r>
      <w:r w:rsidRPr="003F257E">
        <w:rPr>
          <w:rFonts w:ascii="Times New Roman" w:hAnsi="Times New Roman" w:cs="Times New Roman"/>
          <w:sz w:val="24"/>
          <w:szCs w:val="24"/>
        </w:rPr>
        <w:t xml:space="preserve"> samples are thawed, mix the samples thoroughly by inversion</w:t>
      </w:r>
    </w:p>
    <w:p w14:paraId="49233D25" w14:textId="2082E274" w:rsidR="00FB7720" w:rsidRPr="003F257E" w:rsidRDefault="00FB7720" w:rsidP="006508DC">
      <w:pPr>
        <w:pStyle w:val="ListParagraph"/>
        <w:numPr>
          <w:ilvl w:val="2"/>
          <w:numId w:val="28"/>
        </w:numPr>
        <w:spacing w:after="200" w:line="276" w:lineRule="auto"/>
        <w:ind w:left="981" w:hanging="624"/>
        <w:rPr>
          <w:rFonts w:ascii="Times New Roman" w:hAnsi="Times New Roman" w:cs="Times New Roman"/>
          <w:sz w:val="24"/>
          <w:szCs w:val="24"/>
        </w:rPr>
      </w:pPr>
      <w:r w:rsidRPr="003F257E">
        <w:rPr>
          <w:rFonts w:ascii="Times New Roman" w:hAnsi="Times New Roman" w:cs="Times New Roman"/>
          <w:sz w:val="24"/>
          <w:szCs w:val="24"/>
        </w:rPr>
        <w:t xml:space="preserve">To lyse the cells, mix 1 volume of washed erythrocytes with 2 volumes of deionised water (see </w:t>
      </w:r>
      <w:r w:rsidRPr="003F257E">
        <w:rPr>
          <w:rFonts w:ascii="Times New Roman" w:hAnsi="Times New Roman" w:cs="Times New Roman"/>
          <w:b/>
          <w:sz w:val="24"/>
          <w:szCs w:val="24"/>
        </w:rPr>
        <w:t xml:space="preserve">note </w:t>
      </w:r>
      <w:r w:rsidR="004E1290">
        <w:rPr>
          <w:rFonts w:ascii="Times New Roman" w:hAnsi="Times New Roman" w:cs="Times New Roman"/>
          <w:b/>
          <w:sz w:val="24"/>
          <w:szCs w:val="24"/>
        </w:rPr>
        <w:t>7</w:t>
      </w:r>
      <w:r w:rsidR="00BD69B1">
        <w:rPr>
          <w:rFonts w:ascii="Times New Roman" w:hAnsi="Times New Roman" w:cs="Times New Roman"/>
          <w:sz w:val="24"/>
          <w:szCs w:val="24"/>
        </w:rPr>
        <w:t xml:space="preserve">). </w:t>
      </w:r>
      <w:r w:rsidR="00EE2882">
        <w:rPr>
          <w:rFonts w:ascii="Times New Roman" w:hAnsi="Times New Roman" w:cs="Times New Roman"/>
          <w:sz w:val="24"/>
          <w:szCs w:val="24"/>
        </w:rPr>
        <w:t>Hemol</w:t>
      </w:r>
      <w:r w:rsidR="00BD69B1">
        <w:rPr>
          <w:rFonts w:ascii="Times New Roman" w:hAnsi="Times New Roman" w:cs="Times New Roman"/>
          <w:sz w:val="24"/>
          <w:szCs w:val="24"/>
        </w:rPr>
        <w:t>ysates may be stored at -7</w:t>
      </w:r>
      <w:r w:rsidRPr="003F257E">
        <w:rPr>
          <w:rFonts w:ascii="Times New Roman" w:hAnsi="Times New Roman" w:cs="Times New Roman"/>
          <w:sz w:val="24"/>
          <w:szCs w:val="24"/>
        </w:rPr>
        <w:t>0</w:t>
      </w:r>
      <w:r w:rsidR="00BD69B1">
        <w:rPr>
          <w:rFonts w:ascii="Times New Roman" w:hAnsi="Times New Roman" w:cs="Times New Roman"/>
          <w:sz w:val="24"/>
          <w:szCs w:val="24"/>
        </w:rPr>
        <w:t xml:space="preserve"> </w:t>
      </w:r>
      <w:r w:rsidRPr="003F257E">
        <w:rPr>
          <w:rFonts w:ascii="Times New Roman" w:hAnsi="Times New Roman" w:cs="Times New Roman"/>
          <w:sz w:val="24"/>
          <w:szCs w:val="24"/>
        </w:rPr>
        <w:t>°C prior to assay if required</w:t>
      </w:r>
    </w:p>
    <w:p w14:paraId="470C9666" w14:textId="456928B7" w:rsidR="00FB7720" w:rsidRPr="003F257E" w:rsidRDefault="00FB7720" w:rsidP="006508DC">
      <w:pPr>
        <w:pStyle w:val="ListParagraph"/>
        <w:numPr>
          <w:ilvl w:val="2"/>
          <w:numId w:val="28"/>
        </w:numPr>
        <w:spacing w:after="200" w:line="276" w:lineRule="auto"/>
        <w:ind w:left="981" w:hanging="624"/>
        <w:rPr>
          <w:rFonts w:ascii="Times New Roman" w:hAnsi="Times New Roman" w:cs="Times New Roman"/>
          <w:sz w:val="24"/>
          <w:szCs w:val="24"/>
        </w:rPr>
      </w:pPr>
      <w:r w:rsidRPr="003F257E">
        <w:rPr>
          <w:rFonts w:ascii="Times New Roman" w:hAnsi="Times New Roman" w:cs="Times New Roman"/>
          <w:sz w:val="24"/>
          <w:szCs w:val="24"/>
        </w:rPr>
        <w:t xml:space="preserve">Mix thoroughly and leave at room temperature for 10 minutes for lysis to occur (see </w:t>
      </w:r>
      <w:r w:rsidRPr="004E1290">
        <w:rPr>
          <w:rFonts w:ascii="Times New Roman" w:hAnsi="Times New Roman" w:cs="Times New Roman"/>
          <w:b/>
          <w:sz w:val="24"/>
          <w:szCs w:val="24"/>
        </w:rPr>
        <w:t xml:space="preserve">note </w:t>
      </w:r>
      <w:r w:rsidR="004E1290" w:rsidRPr="004E1290">
        <w:rPr>
          <w:rFonts w:ascii="Times New Roman" w:hAnsi="Times New Roman" w:cs="Times New Roman"/>
          <w:b/>
          <w:sz w:val="24"/>
          <w:szCs w:val="24"/>
        </w:rPr>
        <w:t>8</w:t>
      </w:r>
      <w:r w:rsidRPr="003F257E">
        <w:rPr>
          <w:rFonts w:ascii="Times New Roman" w:hAnsi="Times New Roman" w:cs="Times New Roman"/>
          <w:sz w:val="24"/>
          <w:szCs w:val="24"/>
        </w:rPr>
        <w:t>)</w:t>
      </w:r>
    </w:p>
    <w:p w14:paraId="4774E952" w14:textId="792DEFD6" w:rsidR="00FB7720" w:rsidRPr="005243A0" w:rsidRDefault="005243A0" w:rsidP="006508DC">
      <w:pPr>
        <w:pStyle w:val="ListParagraph"/>
        <w:numPr>
          <w:ilvl w:val="1"/>
          <w:numId w:val="28"/>
        </w:numPr>
        <w:spacing w:before="240" w:after="200" w:line="276" w:lineRule="auto"/>
        <w:ind w:left="788" w:hanging="431"/>
        <w:contextualSpacing w:val="0"/>
        <w:rPr>
          <w:rFonts w:ascii="Times New Roman" w:hAnsi="Times New Roman" w:cs="Times New Roman"/>
          <w:b/>
          <w:bCs/>
          <w:sz w:val="24"/>
          <w:szCs w:val="24"/>
        </w:rPr>
      </w:pPr>
      <w:r>
        <w:rPr>
          <w:rFonts w:ascii="Times New Roman" w:hAnsi="Times New Roman" w:cs="Times New Roman"/>
          <w:b/>
          <w:bCs/>
          <w:sz w:val="24"/>
          <w:szCs w:val="24"/>
        </w:rPr>
        <w:t>Analysis</w:t>
      </w:r>
    </w:p>
    <w:p w14:paraId="6B27B7C4" w14:textId="7D61334E" w:rsidR="00FB7720" w:rsidRPr="003F257E" w:rsidRDefault="00FB7720" w:rsidP="006508DC">
      <w:pPr>
        <w:pStyle w:val="ListParagraph"/>
        <w:numPr>
          <w:ilvl w:val="2"/>
          <w:numId w:val="28"/>
        </w:numPr>
        <w:spacing w:after="200" w:line="276" w:lineRule="auto"/>
        <w:ind w:left="981" w:hanging="624"/>
        <w:rPr>
          <w:rFonts w:ascii="Times New Roman" w:hAnsi="Times New Roman" w:cs="Times New Roman"/>
          <w:sz w:val="24"/>
          <w:szCs w:val="24"/>
        </w:rPr>
      </w:pPr>
      <w:r w:rsidRPr="003F257E">
        <w:rPr>
          <w:rFonts w:ascii="Times New Roman" w:hAnsi="Times New Roman" w:cs="Times New Roman"/>
          <w:sz w:val="24"/>
          <w:szCs w:val="24"/>
        </w:rPr>
        <w:t>Centrifuge the samples and controls in the refrigerated ce</w:t>
      </w:r>
      <w:r w:rsidR="007B0BE0">
        <w:rPr>
          <w:rFonts w:ascii="Times New Roman" w:hAnsi="Times New Roman" w:cs="Times New Roman"/>
          <w:sz w:val="24"/>
          <w:szCs w:val="24"/>
        </w:rPr>
        <w:t>ntrifuge for 10 minutes at 4000</w:t>
      </w:r>
      <w:r w:rsidR="00090A27">
        <w:rPr>
          <w:rFonts w:ascii="Times New Roman" w:hAnsi="Times New Roman" w:cs="Times New Roman"/>
          <w:sz w:val="24"/>
          <w:szCs w:val="24"/>
        </w:rPr>
        <w:t> </w:t>
      </w:r>
      <w:r w:rsidRPr="00316C98">
        <w:rPr>
          <w:rFonts w:ascii="Times New Roman" w:hAnsi="Times New Roman" w:cs="Times New Roman"/>
          <w:i/>
          <w:sz w:val="24"/>
          <w:szCs w:val="24"/>
        </w:rPr>
        <w:t>g</w:t>
      </w:r>
    </w:p>
    <w:p w14:paraId="6DC1D742" w14:textId="1973BAD2" w:rsidR="00FB7720" w:rsidRPr="003F257E" w:rsidRDefault="00FB7720" w:rsidP="006508DC">
      <w:pPr>
        <w:pStyle w:val="ListParagraph"/>
        <w:numPr>
          <w:ilvl w:val="2"/>
          <w:numId w:val="28"/>
        </w:numPr>
        <w:spacing w:after="200" w:line="276" w:lineRule="auto"/>
        <w:ind w:left="981" w:hanging="624"/>
        <w:rPr>
          <w:rFonts w:ascii="Times New Roman" w:hAnsi="Times New Roman" w:cs="Times New Roman"/>
          <w:sz w:val="24"/>
          <w:szCs w:val="24"/>
        </w:rPr>
      </w:pPr>
      <w:r w:rsidRPr="003F257E">
        <w:rPr>
          <w:rFonts w:ascii="Times New Roman" w:hAnsi="Times New Roman" w:cs="Times New Roman"/>
          <w:sz w:val="24"/>
          <w:szCs w:val="24"/>
        </w:rPr>
        <w:t xml:space="preserve">Produce ten-fold dilution of sample and control </w:t>
      </w:r>
      <w:r w:rsidR="00EE2882">
        <w:rPr>
          <w:rFonts w:ascii="Times New Roman" w:hAnsi="Times New Roman" w:cs="Times New Roman"/>
          <w:sz w:val="24"/>
          <w:szCs w:val="24"/>
        </w:rPr>
        <w:t>hemo</w:t>
      </w:r>
      <w:r w:rsidRPr="003F257E">
        <w:rPr>
          <w:rFonts w:ascii="Times New Roman" w:hAnsi="Times New Roman" w:cs="Times New Roman"/>
          <w:sz w:val="24"/>
          <w:szCs w:val="24"/>
        </w:rPr>
        <w:t>lysates with T</w:t>
      </w:r>
      <w:r w:rsidR="005243A0">
        <w:rPr>
          <w:rFonts w:ascii="Times New Roman" w:hAnsi="Times New Roman" w:cs="Times New Roman"/>
          <w:sz w:val="24"/>
          <w:szCs w:val="24"/>
        </w:rPr>
        <w:t>ris</w:t>
      </w:r>
      <w:r w:rsidRPr="003F257E">
        <w:rPr>
          <w:rFonts w:ascii="Times New Roman" w:hAnsi="Times New Roman" w:cs="Times New Roman"/>
          <w:sz w:val="24"/>
          <w:szCs w:val="24"/>
        </w:rPr>
        <w:t xml:space="preserve"> buffer; e.g. 50</w:t>
      </w:r>
      <w:r w:rsidR="00090A27">
        <w:rPr>
          <w:rFonts w:ascii="Times New Roman" w:hAnsi="Times New Roman" w:cs="Times New Roman"/>
          <w:sz w:val="24"/>
          <w:szCs w:val="24"/>
        </w:rPr>
        <w:t> </w:t>
      </w:r>
      <w:r w:rsidRPr="003F257E">
        <w:rPr>
          <w:rFonts w:ascii="Times New Roman" w:hAnsi="Times New Roman" w:cs="Times New Roman"/>
          <w:sz w:val="24"/>
          <w:szCs w:val="24"/>
        </w:rPr>
        <w:t>µl plus 450 µl Tris buffer in a 2 ml Sarsted</w:t>
      </w:r>
      <w:r w:rsidR="005243A0">
        <w:rPr>
          <w:rFonts w:ascii="Times New Roman" w:hAnsi="Times New Roman" w:cs="Times New Roman"/>
          <w:sz w:val="24"/>
          <w:szCs w:val="24"/>
        </w:rPr>
        <w:t>t tube. Invert ten times to mix</w:t>
      </w:r>
    </w:p>
    <w:p w14:paraId="1D215191" w14:textId="0A794A68" w:rsidR="008B4E2A" w:rsidRPr="006508DC" w:rsidRDefault="00FB7720" w:rsidP="006508DC">
      <w:pPr>
        <w:pStyle w:val="ListParagraph"/>
        <w:numPr>
          <w:ilvl w:val="2"/>
          <w:numId w:val="28"/>
        </w:numPr>
        <w:spacing w:after="200" w:line="276" w:lineRule="auto"/>
        <w:ind w:left="981" w:hanging="624"/>
        <w:rPr>
          <w:rFonts w:ascii="Times New Roman" w:hAnsi="Times New Roman" w:cs="Times New Roman"/>
          <w:sz w:val="24"/>
          <w:szCs w:val="24"/>
        </w:rPr>
      </w:pPr>
      <w:r w:rsidRPr="003F257E">
        <w:rPr>
          <w:rFonts w:ascii="Times New Roman" w:hAnsi="Times New Roman" w:cs="Times New Roman"/>
          <w:sz w:val="24"/>
          <w:szCs w:val="24"/>
        </w:rPr>
        <w:t xml:space="preserve">Pipette 30 µl quadruplicates of each sample and QC as per the plate map in </w:t>
      </w:r>
      <w:r w:rsidRPr="00E35435">
        <w:rPr>
          <w:rFonts w:ascii="Times New Roman" w:hAnsi="Times New Roman" w:cs="Times New Roman"/>
          <w:b/>
          <w:sz w:val="24"/>
          <w:szCs w:val="24"/>
        </w:rPr>
        <w:t xml:space="preserve">Figure </w:t>
      </w:r>
      <w:r w:rsidR="005243A0" w:rsidRPr="00E35435">
        <w:rPr>
          <w:rFonts w:ascii="Times New Roman" w:hAnsi="Times New Roman" w:cs="Times New Roman"/>
          <w:b/>
          <w:sz w:val="24"/>
          <w:szCs w:val="24"/>
        </w:rPr>
        <w:t>P1</w:t>
      </w:r>
      <w:r w:rsidRPr="00E35435">
        <w:rPr>
          <w:rFonts w:ascii="Times New Roman" w:hAnsi="Times New Roman" w:cs="Times New Roman"/>
          <w:sz w:val="24"/>
          <w:szCs w:val="24"/>
        </w:rPr>
        <w:t>. The</w:t>
      </w:r>
      <w:r w:rsidRPr="003F257E">
        <w:rPr>
          <w:rFonts w:ascii="Times New Roman" w:hAnsi="Times New Roman" w:cs="Times New Roman"/>
          <w:sz w:val="24"/>
          <w:szCs w:val="24"/>
        </w:rPr>
        <w:t xml:space="preserve"> QC samples should be assayed at the positions shown</w:t>
      </w:r>
      <w:r w:rsidR="006740BC">
        <w:rPr>
          <w:rFonts w:ascii="Times New Roman" w:hAnsi="Times New Roman" w:cs="Times New Roman"/>
          <w:sz w:val="24"/>
          <w:szCs w:val="24"/>
        </w:rPr>
        <w:t>, ensuring that the position of any individual QC is varied from assay to assay</w:t>
      </w:r>
      <w:r w:rsidRPr="003F257E">
        <w:rPr>
          <w:rFonts w:ascii="Times New Roman" w:hAnsi="Times New Roman" w:cs="Times New Roman"/>
          <w:sz w:val="24"/>
          <w:szCs w:val="24"/>
        </w:rPr>
        <w:t>.</w:t>
      </w:r>
      <w:r w:rsidR="006740BC">
        <w:rPr>
          <w:rFonts w:ascii="Times New Roman" w:hAnsi="Times New Roman" w:cs="Times New Roman"/>
          <w:sz w:val="24"/>
          <w:szCs w:val="24"/>
        </w:rPr>
        <w:t xml:space="preserve"> Assay buffer is used for the</w:t>
      </w:r>
      <w:r w:rsidR="00316C98">
        <w:rPr>
          <w:rFonts w:ascii="Times New Roman" w:hAnsi="Times New Roman" w:cs="Times New Roman"/>
          <w:sz w:val="24"/>
          <w:szCs w:val="24"/>
        </w:rPr>
        <w:t xml:space="preserve"> four blanks</w:t>
      </w:r>
    </w:p>
    <w:p w14:paraId="1754C6FF" w14:textId="77777777" w:rsidR="00FB7720" w:rsidRPr="003F257E" w:rsidRDefault="00FB7720" w:rsidP="006508DC">
      <w:pPr>
        <w:pStyle w:val="ListParagraph"/>
        <w:numPr>
          <w:ilvl w:val="2"/>
          <w:numId w:val="28"/>
        </w:numPr>
        <w:spacing w:after="200" w:line="276" w:lineRule="auto"/>
        <w:ind w:left="981" w:hanging="624"/>
        <w:rPr>
          <w:rFonts w:ascii="Times New Roman" w:hAnsi="Times New Roman" w:cs="Times New Roman"/>
          <w:sz w:val="24"/>
          <w:szCs w:val="24"/>
        </w:rPr>
      </w:pPr>
      <w:r w:rsidRPr="003F257E">
        <w:rPr>
          <w:rFonts w:ascii="Times New Roman" w:hAnsi="Times New Roman" w:cs="Times New Roman"/>
          <w:sz w:val="24"/>
          <w:szCs w:val="24"/>
        </w:rPr>
        <w:t xml:space="preserve">Add 15 µl Tris to rows A, B, E, F  (basal) and 15 µl TPP to rows C, D, G, H  (activated) using a multichannel pipette </w:t>
      </w:r>
    </w:p>
    <w:p w14:paraId="2A62D6EA" w14:textId="77777777" w:rsidR="00FB7720" w:rsidRPr="003F257E" w:rsidRDefault="00FB7720" w:rsidP="006508DC">
      <w:pPr>
        <w:pStyle w:val="ListParagraph"/>
        <w:numPr>
          <w:ilvl w:val="2"/>
          <w:numId w:val="28"/>
        </w:numPr>
        <w:spacing w:after="200" w:line="276" w:lineRule="auto"/>
        <w:ind w:left="981" w:hanging="624"/>
        <w:rPr>
          <w:rFonts w:ascii="Times New Roman" w:hAnsi="Times New Roman" w:cs="Times New Roman"/>
          <w:sz w:val="24"/>
          <w:szCs w:val="24"/>
        </w:rPr>
      </w:pPr>
      <w:r w:rsidRPr="003F257E">
        <w:rPr>
          <w:rFonts w:ascii="Times New Roman" w:hAnsi="Times New Roman" w:cs="Times New Roman"/>
          <w:sz w:val="24"/>
          <w:szCs w:val="24"/>
        </w:rPr>
        <w:t>Cover the plate with a self-adhesive sealer and mix the plate on the plate shaker at 600 RPM for 30 seconds</w:t>
      </w:r>
    </w:p>
    <w:p w14:paraId="2CDBA447" w14:textId="6A412591" w:rsidR="00FB7720" w:rsidRPr="003F257E" w:rsidRDefault="00FB7720" w:rsidP="006508DC">
      <w:pPr>
        <w:pStyle w:val="ListParagraph"/>
        <w:numPr>
          <w:ilvl w:val="2"/>
          <w:numId w:val="28"/>
        </w:numPr>
        <w:spacing w:after="200" w:line="276" w:lineRule="auto"/>
        <w:ind w:left="981" w:hanging="624"/>
        <w:rPr>
          <w:rFonts w:ascii="Times New Roman" w:hAnsi="Times New Roman" w:cs="Times New Roman"/>
          <w:sz w:val="24"/>
          <w:szCs w:val="24"/>
        </w:rPr>
      </w:pPr>
      <w:r w:rsidRPr="003F257E">
        <w:rPr>
          <w:rFonts w:ascii="Times New Roman" w:hAnsi="Times New Roman" w:cs="Times New Roman"/>
          <w:sz w:val="24"/>
          <w:szCs w:val="24"/>
        </w:rPr>
        <w:t>Carefully place the plate in the incubator at 37</w:t>
      </w:r>
      <w:r w:rsidR="00090A27">
        <w:rPr>
          <w:rFonts w:ascii="Times New Roman" w:hAnsi="Times New Roman" w:cs="Times New Roman"/>
          <w:sz w:val="24"/>
          <w:szCs w:val="24"/>
        </w:rPr>
        <w:t> </w:t>
      </w:r>
      <w:r w:rsidRPr="003F257E">
        <w:rPr>
          <w:rFonts w:ascii="Times New Roman" w:hAnsi="Times New Roman" w:cs="Times New Roman"/>
          <w:sz w:val="24"/>
          <w:szCs w:val="24"/>
        </w:rPr>
        <w:t>°C for 15 minutes</w:t>
      </w:r>
    </w:p>
    <w:p w14:paraId="013A0666" w14:textId="028D9F19" w:rsidR="00FB7720" w:rsidRPr="003F257E" w:rsidRDefault="00FB7720" w:rsidP="006508DC">
      <w:pPr>
        <w:pStyle w:val="ListParagraph"/>
        <w:numPr>
          <w:ilvl w:val="2"/>
          <w:numId w:val="28"/>
        </w:numPr>
        <w:spacing w:after="200" w:line="276" w:lineRule="auto"/>
        <w:ind w:left="981" w:hanging="624"/>
        <w:rPr>
          <w:rFonts w:ascii="Times New Roman" w:hAnsi="Times New Roman" w:cs="Times New Roman"/>
          <w:sz w:val="24"/>
          <w:szCs w:val="24"/>
        </w:rPr>
      </w:pPr>
      <w:r w:rsidRPr="003F257E">
        <w:rPr>
          <w:rFonts w:ascii="Times New Roman" w:hAnsi="Times New Roman" w:cs="Times New Roman"/>
          <w:sz w:val="24"/>
          <w:szCs w:val="24"/>
        </w:rPr>
        <w:t xml:space="preserve">Prepare working reagent </w:t>
      </w:r>
      <w:r w:rsidRPr="00316C98">
        <w:rPr>
          <w:rFonts w:ascii="Times New Roman" w:hAnsi="Times New Roman" w:cs="Times New Roman"/>
          <w:sz w:val="24"/>
          <w:szCs w:val="24"/>
        </w:rPr>
        <w:t xml:space="preserve">(see </w:t>
      </w:r>
      <w:r w:rsidR="00F17D31">
        <w:rPr>
          <w:rFonts w:ascii="Times New Roman" w:hAnsi="Times New Roman" w:cs="Times New Roman"/>
          <w:sz w:val="24"/>
          <w:szCs w:val="24"/>
        </w:rPr>
        <w:t>step 1.9</w:t>
      </w:r>
      <w:r w:rsidRPr="00316C98">
        <w:rPr>
          <w:rFonts w:ascii="Times New Roman" w:hAnsi="Times New Roman" w:cs="Times New Roman"/>
          <w:sz w:val="24"/>
          <w:szCs w:val="24"/>
        </w:rPr>
        <w:t>)</w:t>
      </w:r>
    </w:p>
    <w:p w14:paraId="2A1418ED" w14:textId="77777777" w:rsidR="00FB7720" w:rsidRPr="003F257E" w:rsidRDefault="00FB7720" w:rsidP="006508DC">
      <w:pPr>
        <w:pStyle w:val="ListParagraph"/>
        <w:numPr>
          <w:ilvl w:val="2"/>
          <w:numId w:val="28"/>
        </w:numPr>
        <w:spacing w:after="200" w:line="276" w:lineRule="auto"/>
        <w:ind w:left="981" w:hanging="624"/>
        <w:rPr>
          <w:rFonts w:ascii="Times New Roman" w:hAnsi="Times New Roman" w:cs="Times New Roman"/>
          <w:sz w:val="24"/>
          <w:szCs w:val="24"/>
        </w:rPr>
      </w:pPr>
      <w:r w:rsidRPr="003F257E">
        <w:rPr>
          <w:rFonts w:ascii="Times New Roman" w:hAnsi="Times New Roman" w:cs="Times New Roman"/>
          <w:sz w:val="24"/>
          <w:szCs w:val="24"/>
        </w:rPr>
        <w:t>Using a multichannel pipette, add 200 µl of working reagent per well</w:t>
      </w:r>
    </w:p>
    <w:p w14:paraId="600CF378" w14:textId="77777777" w:rsidR="00FB7720" w:rsidRDefault="00FB7720" w:rsidP="006508DC">
      <w:pPr>
        <w:pStyle w:val="ListParagraph"/>
        <w:numPr>
          <w:ilvl w:val="2"/>
          <w:numId w:val="28"/>
        </w:numPr>
        <w:spacing w:after="200" w:line="276" w:lineRule="auto"/>
        <w:ind w:left="981" w:hanging="624"/>
        <w:rPr>
          <w:rFonts w:ascii="Times New Roman" w:hAnsi="Times New Roman" w:cs="Times New Roman"/>
          <w:sz w:val="24"/>
          <w:szCs w:val="24"/>
        </w:rPr>
      </w:pPr>
      <w:r w:rsidRPr="003F257E">
        <w:rPr>
          <w:rFonts w:ascii="Times New Roman" w:hAnsi="Times New Roman" w:cs="Times New Roman"/>
          <w:sz w:val="24"/>
          <w:szCs w:val="24"/>
        </w:rPr>
        <w:t>Mix on the plate shaker at 600 RPM for 30 seconds (do not cover)</w:t>
      </w:r>
    </w:p>
    <w:p w14:paraId="1CE7D217" w14:textId="02792C37" w:rsidR="0066765D" w:rsidRPr="003F257E" w:rsidRDefault="0066765D" w:rsidP="006508DC">
      <w:pPr>
        <w:pStyle w:val="ListParagraph"/>
        <w:numPr>
          <w:ilvl w:val="2"/>
          <w:numId w:val="28"/>
        </w:numPr>
        <w:spacing w:after="200" w:line="276" w:lineRule="auto"/>
        <w:ind w:left="981" w:hanging="624"/>
        <w:rPr>
          <w:rFonts w:ascii="Times New Roman" w:hAnsi="Times New Roman" w:cs="Times New Roman"/>
          <w:sz w:val="24"/>
          <w:szCs w:val="24"/>
        </w:rPr>
      </w:pPr>
      <w:r>
        <w:rPr>
          <w:rFonts w:ascii="Times New Roman" w:hAnsi="Times New Roman" w:cs="Times New Roman"/>
          <w:sz w:val="24"/>
          <w:szCs w:val="24"/>
        </w:rPr>
        <w:t>Inspect wells for bubbles, if one is present it is advisable to burst i</w:t>
      </w:r>
      <w:r w:rsidR="0013298C">
        <w:rPr>
          <w:rFonts w:ascii="Times New Roman" w:hAnsi="Times New Roman" w:cs="Times New Roman"/>
          <w:sz w:val="24"/>
          <w:szCs w:val="24"/>
        </w:rPr>
        <w:t>t with a clean micropipette tip</w:t>
      </w:r>
    </w:p>
    <w:p w14:paraId="6BE530D9" w14:textId="6CD7446F" w:rsidR="00FB7720" w:rsidRPr="003F257E" w:rsidRDefault="00FB7720" w:rsidP="006508DC">
      <w:pPr>
        <w:pStyle w:val="ListParagraph"/>
        <w:numPr>
          <w:ilvl w:val="2"/>
          <w:numId w:val="28"/>
        </w:numPr>
        <w:spacing w:after="200" w:line="276" w:lineRule="auto"/>
        <w:ind w:left="981" w:hanging="624"/>
        <w:contextualSpacing w:val="0"/>
        <w:rPr>
          <w:rFonts w:ascii="Times New Roman" w:hAnsi="Times New Roman" w:cs="Times New Roman"/>
          <w:sz w:val="24"/>
          <w:szCs w:val="24"/>
        </w:rPr>
      </w:pPr>
      <w:r w:rsidRPr="003F257E">
        <w:rPr>
          <w:rFonts w:ascii="Times New Roman" w:hAnsi="Times New Roman" w:cs="Times New Roman"/>
          <w:sz w:val="24"/>
          <w:szCs w:val="24"/>
        </w:rPr>
        <w:t>Read each well of the plate at 340 nm 60 times at 1 minute intervals, with reader set to briefly shake the plate</w:t>
      </w:r>
      <w:r w:rsidR="00316C98">
        <w:rPr>
          <w:rFonts w:ascii="Times New Roman" w:hAnsi="Times New Roman" w:cs="Times New Roman"/>
          <w:sz w:val="24"/>
          <w:szCs w:val="24"/>
        </w:rPr>
        <w:t xml:space="preserve"> for 5 seconds before each read</w:t>
      </w:r>
    </w:p>
    <w:p w14:paraId="51E83B81" w14:textId="1F3A11C2" w:rsidR="00FB7720" w:rsidRPr="003F257E" w:rsidRDefault="00FB7720" w:rsidP="006508DC">
      <w:pPr>
        <w:pStyle w:val="ListParagraph"/>
        <w:numPr>
          <w:ilvl w:val="1"/>
          <w:numId w:val="28"/>
        </w:numPr>
        <w:spacing w:before="240" w:after="200" w:line="276" w:lineRule="auto"/>
        <w:ind w:left="788" w:hanging="431"/>
        <w:contextualSpacing w:val="0"/>
        <w:rPr>
          <w:rFonts w:ascii="Times New Roman" w:hAnsi="Times New Roman" w:cs="Times New Roman"/>
          <w:b/>
          <w:bCs/>
          <w:sz w:val="24"/>
          <w:szCs w:val="24"/>
        </w:rPr>
      </w:pPr>
      <w:r w:rsidRPr="003F257E">
        <w:rPr>
          <w:rFonts w:ascii="Times New Roman" w:hAnsi="Times New Roman" w:cs="Times New Roman"/>
          <w:b/>
          <w:bCs/>
          <w:sz w:val="24"/>
          <w:szCs w:val="24"/>
        </w:rPr>
        <w:t>Calculation of results</w:t>
      </w:r>
    </w:p>
    <w:p w14:paraId="0352C26C" w14:textId="096821A2" w:rsidR="00FB7720" w:rsidRPr="003F257E" w:rsidRDefault="00FB7720" w:rsidP="006508DC">
      <w:pPr>
        <w:spacing w:line="276" w:lineRule="auto"/>
        <w:rPr>
          <w:rFonts w:ascii="Times New Roman" w:hAnsi="Times New Roman" w:cs="Times New Roman"/>
          <w:sz w:val="24"/>
          <w:szCs w:val="24"/>
        </w:rPr>
      </w:pPr>
      <w:r w:rsidRPr="003F257E">
        <w:rPr>
          <w:rFonts w:ascii="Times New Roman" w:hAnsi="Times New Roman" w:cs="Times New Roman"/>
          <w:sz w:val="24"/>
          <w:szCs w:val="24"/>
        </w:rPr>
        <w:t xml:space="preserve">The first 40 readings, where the temperature of the plate </w:t>
      </w:r>
      <w:r w:rsidR="00732AC5">
        <w:rPr>
          <w:rFonts w:ascii="Times New Roman" w:hAnsi="Times New Roman" w:cs="Times New Roman"/>
          <w:sz w:val="24"/>
          <w:szCs w:val="24"/>
        </w:rPr>
        <w:t xml:space="preserve">equilibrates with </w:t>
      </w:r>
      <w:r w:rsidRPr="003F257E">
        <w:rPr>
          <w:rFonts w:ascii="Times New Roman" w:hAnsi="Times New Roman" w:cs="Times New Roman"/>
          <w:sz w:val="24"/>
          <w:szCs w:val="24"/>
        </w:rPr>
        <w:t>that of the reader, are not included in the calculations</w:t>
      </w:r>
      <w:r w:rsidR="005243A0">
        <w:rPr>
          <w:rFonts w:ascii="Times New Roman" w:hAnsi="Times New Roman" w:cs="Times New Roman"/>
          <w:sz w:val="24"/>
          <w:szCs w:val="24"/>
        </w:rPr>
        <w:t xml:space="preserve">. </w:t>
      </w:r>
    </w:p>
    <w:p w14:paraId="30E5299D" w14:textId="7D946E5C" w:rsidR="00FB7720" w:rsidRPr="00F17D31" w:rsidRDefault="00FB7720" w:rsidP="006508DC">
      <w:pPr>
        <w:pStyle w:val="ListParagraph"/>
        <w:numPr>
          <w:ilvl w:val="2"/>
          <w:numId w:val="28"/>
        </w:numPr>
        <w:spacing w:after="200" w:line="276" w:lineRule="auto"/>
        <w:ind w:left="981" w:hanging="624"/>
        <w:rPr>
          <w:rFonts w:ascii="Times New Roman" w:hAnsi="Times New Roman" w:cs="Times New Roman"/>
          <w:sz w:val="24"/>
          <w:szCs w:val="24"/>
        </w:rPr>
      </w:pPr>
      <w:r w:rsidRPr="00F17D31">
        <w:rPr>
          <w:rFonts w:ascii="Times New Roman" w:hAnsi="Times New Roman" w:cs="Times New Roman"/>
          <w:sz w:val="24"/>
          <w:szCs w:val="24"/>
        </w:rPr>
        <w:t>Calculate the Δ change in absorbance for each well, during the last 20 readings</w:t>
      </w:r>
    </w:p>
    <w:p w14:paraId="1D59679A" w14:textId="77D90C16" w:rsidR="006740BC" w:rsidRDefault="006740BC" w:rsidP="006508DC">
      <w:pPr>
        <w:spacing w:line="276" w:lineRule="auto"/>
        <w:rPr>
          <w:rFonts w:ascii="Times New Roman" w:eastAsia="Calibri" w:hAnsi="Times New Roman" w:cs="Times New Roman"/>
          <w:sz w:val="24"/>
          <w:szCs w:val="24"/>
        </w:rPr>
      </w:pPr>
      <w:r>
        <w:rPr>
          <w:rFonts w:ascii="Times New Roman" w:eastAsia="Calibri" w:hAnsi="Times New Roman" w:cs="Times New Roman"/>
          <w:sz w:val="24"/>
          <w:szCs w:val="24"/>
        </w:rPr>
        <w:t>The mean blank rate is calculated, and subtracted from every “basal” and “activated” rate. It is advisable to check the four estimates of “blank” and if one deviates significantly from the other three it should be discounted.</w:t>
      </w:r>
    </w:p>
    <w:p w14:paraId="04849A55" w14:textId="22D44914" w:rsidR="00FB7720" w:rsidRPr="003F257E" w:rsidRDefault="00FB7720" w:rsidP="006508DC">
      <w:pPr>
        <w:spacing w:line="276" w:lineRule="auto"/>
        <w:rPr>
          <w:rFonts w:ascii="Times New Roman" w:eastAsia="Calibri" w:hAnsi="Times New Roman" w:cs="Times New Roman"/>
          <w:sz w:val="24"/>
          <w:szCs w:val="24"/>
        </w:rPr>
      </w:pPr>
      <w:r w:rsidRPr="003F257E">
        <w:rPr>
          <w:rFonts w:ascii="Times New Roman" w:eastAsia="Calibri" w:hAnsi="Times New Roman" w:cs="Times New Roman"/>
          <w:sz w:val="24"/>
          <w:szCs w:val="24"/>
        </w:rPr>
        <w:t xml:space="preserve">In the assay each sample is measured in duplicate with addition of TPP (activated) and in duplicate without addition of TPP (basal). Duplicate measurements are required for each to allow interpretation of reproducibility of the pipetting of samples and reagents. Before the ETKAC can be calculated the imprecision of the activated and basal duplicates needs to be </w:t>
      </w:r>
      <w:r w:rsidRPr="003F257E">
        <w:rPr>
          <w:rFonts w:ascii="Times New Roman" w:eastAsia="Calibri" w:hAnsi="Times New Roman" w:cs="Times New Roman"/>
          <w:sz w:val="24"/>
          <w:szCs w:val="24"/>
        </w:rPr>
        <w:lastRenderedPageBreak/>
        <w:t>assessed; ETKAC should not be calculated if imprecision of duplicate measurements exceeds 10% for either the basal or activated measurement. To calculate imprecision of duplic</w:t>
      </w:r>
      <w:r w:rsidR="00E95623">
        <w:rPr>
          <w:rFonts w:ascii="Times New Roman" w:eastAsia="Calibri" w:hAnsi="Times New Roman" w:cs="Times New Roman"/>
          <w:sz w:val="24"/>
          <w:szCs w:val="24"/>
        </w:rPr>
        <w:t>ates use the following formula:</w:t>
      </w:r>
    </w:p>
    <w:p w14:paraId="108ADCF6" w14:textId="410D3F8D" w:rsidR="00FB7720" w:rsidRPr="003F257E" w:rsidRDefault="00FB7720" w:rsidP="006508DC">
      <w:pPr>
        <w:spacing w:line="276" w:lineRule="auto"/>
        <w:jc w:val="center"/>
        <w:rPr>
          <w:rFonts w:ascii="Times New Roman" w:eastAsia="Calibri" w:hAnsi="Times New Roman" w:cs="Times New Roman"/>
          <w:sz w:val="24"/>
          <w:szCs w:val="24"/>
        </w:rPr>
      </w:pPr>
      <w:r w:rsidRPr="003F257E">
        <w:rPr>
          <w:rFonts w:ascii="Times New Roman" w:eastAsia="Calibri" w:hAnsi="Times New Roman" w:cs="Times New Roman"/>
          <w:sz w:val="24"/>
          <w:szCs w:val="24"/>
        </w:rPr>
        <w:t>Δ change in absorbance duplicate 1 / Δ c</w:t>
      </w:r>
      <w:r w:rsidR="00E95623">
        <w:rPr>
          <w:rFonts w:ascii="Times New Roman" w:eastAsia="Calibri" w:hAnsi="Times New Roman" w:cs="Times New Roman"/>
          <w:sz w:val="24"/>
          <w:szCs w:val="24"/>
        </w:rPr>
        <w:t>hange in absorbance duplicate 2</w:t>
      </w:r>
    </w:p>
    <w:p w14:paraId="4CFF5AF9" w14:textId="750F468C" w:rsidR="005243A0" w:rsidRDefault="00FB7720" w:rsidP="006508DC">
      <w:pPr>
        <w:spacing w:line="276" w:lineRule="auto"/>
        <w:rPr>
          <w:rFonts w:ascii="Times New Roman" w:eastAsia="Calibri" w:hAnsi="Times New Roman" w:cs="Times New Roman"/>
          <w:sz w:val="24"/>
          <w:szCs w:val="24"/>
        </w:rPr>
      </w:pPr>
      <w:r w:rsidRPr="003F257E">
        <w:rPr>
          <w:rFonts w:ascii="Times New Roman" w:eastAsia="Calibri" w:hAnsi="Times New Roman" w:cs="Times New Roman"/>
          <w:sz w:val="24"/>
          <w:szCs w:val="24"/>
        </w:rPr>
        <w:t>A rat</w:t>
      </w:r>
      <w:r w:rsidR="005243A0">
        <w:rPr>
          <w:rFonts w:ascii="Times New Roman" w:eastAsia="Calibri" w:hAnsi="Times New Roman" w:cs="Times New Roman"/>
          <w:sz w:val="24"/>
          <w:szCs w:val="24"/>
        </w:rPr>
        <w:t xml:space="preserve">io of 0.9 – 1.1 is acceptable. </w:t>
      </w:r>
    </w:p>
    <w:p w14:paraId="1FEBAD67" w14:textId="46C870EA" w:rsidR="00FB7720" w:rsidRPr="00F17D31" w:rsidRDefault="005243A0" w:rsidP="006508DC">
      <w:pPr>
        <w:pStyle w:val="ListParagraph"/>
        <w:numPr>
          <w:ilvl w:val="2"/>
          <w:numId w:val="28"/>
        </w:numPr>
        <w:spacing w:after="200" w:line="276" w:lineRule="auto"/>
        <w:ind w:left="981" w:hanging="624"/>
        <w:rPr>
          <w:rFonts w:ascii="Times New Roman" w:hAnsi="Times New Roman" w:cs="Times New Roman"/>
          <w:sz w:val="24"/>
          <w:szCs w:val="24"/>
        </w:rPr>
      </w:pPr>
      <w:r w:rsidRPr="00F17D31">
        <w:rPr>
          <w:rFonts w:ascii="Times New Roman" w:hAnsi="Times New Roman" w:cs="Times New Roman"/>
          <w:sz w:val="24"/>
          <w:szCs w:val="24"/>
        </w:rPr>
        <w:t>C</w:t>
      </w:r>
      <w:r w:rsidR="00FB7720" w:rsidRPr="00F17D31">
        <w:rPr>
          <w:rFonts w:ascii="Times New Roman" w:hAnsi="Times New Roman" w:cs="Times New Roman"/>
          <w:sz w:val="24"/>
          <w:szCs w:val="24"/>
        </w:rPr>
        <w:t>alculate the mean of each activated and basal duplicate</w:t>
      </w:r>
      <w:r w:rsidR="006740BC" w:rsidRPr="00F17D31">
        <w:rPr>
          <w:rFonts w:ascii="Times New Roman" w:hAnsi="Times New Roman" w:cs="Times New Roman"/>
          <w:sz w:val="24"/>
          <w:szCs w:val="24"/>
        </w:rPr>
        <w:t xml:space="preserve"> pair</w:t>
      </w:r>
    </w:p>
    <w:p w14:paraId="1C0F0765" w14:textId="5F560F18" w:rsidR="00FB7720" w:rsidRPr="003F257E" w:rsidRDefault="00FB7720" w:rsidP="006508DC">
      <w:pPr>
        <w:spacing w:line="276" w:lineRule="auto"/>
        <w:rPr>
          <w:rFonts w:ascii="Times New Roman" w:eastAsia="Calibri" w:hAnsi="Times New Roman" w:cs="Times New Roman"/>
          <w:sz w:val="24"/>
          <w:szCs w:val="24"/>
        </w:rPr>
      </w:pPr>
      <w:r w:rsidRPr="003F257E">
        <w:rPr>
          <w:rFonts w:ascii="Times New Roman" w:hAnsi="Times New Roman" w:cs="Times New Roman"/>
          <w:sz w:val="24"/>
          <w:szCs w:val="24"/>
        </w:rPr>
        <w:t>For each sample, divide the mean of the activated duplicate wells by the mean of the basal duplicate wells to calculate the ETKAC</w:t>
      </w:r>
      <w:r w:rsidR="00BD69B1">
        <w:rPr>
          <w:rFonts w:ascii="Times New Roman" w:hAnsi="Times New Roman" w:cs="Times New Roman"/>
          <w:sz w:val="24"/>
          <w:szCs w:val="24"/>
        </w:rPr>
        <w:t>.</w:t>
      </w:r>
    </w:p>
    <w:p w14:paraId="079B6AC3" w14:textId="77777777" w:rsidR="00FB7720" w:rsidRPr="00F17D31" w:rsidRDefault="00FB7720" w:rsidP="006508DC">
      <w:pPr>
        <w:pStyle w:val="ListParagraph"/>
        <w:numPr>
          <w:ilvl w:val="1"/>
          <w:numId w:val="28"/>
        </w:numPr>
        <w:spacing w:before="240" w:after="200" w:line="276" w:lineRule="auto"/>
        <w:ind w:left="788" w:hanging="431"/>
        <w:contextualSpacing w:val="0"/>
        <w:rPr>
          <w:rFonts w:ascii="Times New Roman" w:hAnsi="Times New Roman" w:cs="Times New Roman"/>
          <w:b/>
          <w:bCs/>
          <w:sz w:val="24"/>
          <w:szCs w:val="24"/>
        </w:rPr>
      </w:pPr>
      <w:r w:rsidRPr="00F17D31">
        <w:rPr>
          <w:rFonts w:ascii="Times New Roman" w:hAnsi="Times New Roman" w:cs="Times New Roman"/>
          <w:b/>
          <w:bCs/>
          <w:sz w:val="24"/>
          <w:szCs w:val="24"/>
        </w:rPr>
        <w:t>Quality control procedures</w:t>
      </w:r>
    </w:p>
    <w:p w14:paraId="7EDA88A3" w14:textId="7FD2CA0E" w:rsidR="00FB7720" w:rsidRPr="003F257E" w:rsidRDefault="00FB7720" w:rsidP="006508DC">
      <w:pPr>
        <w:spacing w:line="276" w:lineRule="auto"/>
        <w:rPr>
          <w:rFonts w:ascii="Times New Roman" w:eastAsia="Calibri" w:hAnsi="Times New Roman" w:cs="Times New Roman"/>
          <w:sz w:val="24"/>
          <w:szCs w:val="24"/>
        </w:rPr>
      </w:pPr>
      <w:r w:rsidRPr="003F257E">
        <w:rPr>
          <w:rFonts w:ascii="Times New Roman" w:eastAsia="Calibri" w:hAnsi="Times New Roman" w:cs="Times New Roman"/>
          <w:sz w:val="24"/>
          <w:szCs w:val="24"/>
        </w:rPr>
        <w:t>It is recommended that the kinetic trace of the readings are checked for anomalies, such as spikes (which indicate</w:t>
      </w:r>
      <w:r w:rsidR="00A57513">
        <w:rPr>
          <w:rFonts w:ascii="Times New Roman" w:eastAsia="Calibri" w:hAnsi="Times New Roman" w:cs="Times New Roman"/>
          <w:sz w:val="24"/>
          <w:szCs w:val="24"/>
        </w:rPr>
        <w:t>s</w:t>
      </w:r>
      <w:r w:rsidRPr="003F257E">
        <w:rPr>
          <w:rFonts w:ascii="Times New Roman" w:eastAsia="Calibri" w:hAnsi="Times New Roman" w:cs="Times New Roman"/>
          <w:sz w:val="24"/>
          <w:szCs w:val="24"/>
        </w:rPr>
        <w:t xml:space="preserve"> a plate reader malfunction</w:t>
      </w:r>
      <w:r w:rsidR="00A57513">
        <w:rPr>
          <w:rFonts w:ascii="Times New Roman" w:eastAsia="Calibri" w:hAnsi="Times New Roman" w:cs="Times New Roman"/>
          <w:sz w:val="24"/>
          <w:szCs w:val="24"/>
        </w:rPr>
        <w:t>, a bubble</w:t>
      </w:r>
      <w:r w:rsidRPr="003F257E">
        <w:rPr>
          <w:rFonts w:ascii="Times New Roman" w:eastAsia="Calibri" w:hAnsi="Times New Roman" w:cs="Times New Roman"/>
          <w:sz w:val="24"/>
          <w:szCs w:val="24"/>
        </w:rPr>
        <w:t xml:space="preserve"> or electrical interference) or tapering of the reaction (which indicate</w:t>
      </w:r>
      <w:r w:rsidR="00A57513">
        <w:rPr>
          <w:rFonts w:ascii="Times New Roman" w:eastAsia="Calibri" w:hAnsi="Times New Roman" w:cs="Times New Roman"/>
          <w:sz w:val="24"/>
          <w:szCs w:val="24"/>
        </w:rPr>
        <w:t>s</w:t>
      </w:r>
      <w:r w:rsidRPr="003F257E">
        <w:rPr>
          <w:rFonts w:ascii="Times New Roman" w:eastAsia="Calibri" w:hAnsi="Times New Roman" w:cs="Times New Roman"/>
          <w:sz w:val="24"/>
          <w:szCs w:val="24"/>
        </w:rPr>
        <w:t xml:space="preserve"> insufficiency of reagents).</w:t>
      </w:r>
    </w:p>
    <w:p w14:paraId="643C434F" w14:textId="43E9DA5A" w:rsidR="00FB7720" w:rsidRPr="003F257E" w:rsidRDefault="00FB7720" w:rsidP="006508DC">
      <w:pPr>
        <w:spacing w:line="276" w:lineRule="auto"/>
        <w:rPr>
          <w:rFonts w:ascii="Times New Roman" w:eastAsia="Calibri" w:hAnsi="Times New Roman" w:cs="Times New Roman"/>
          <w:sz w:val="24"/>
          <w:szCs w:val="24"/>
        </w:rPr>
      </w:pPr>
      <w:r w:rsidRPr="003F257E">
        <w:rPr>
          <w:rFonts w:ascii="Times New Roman" w:eastAsia="Calibri" w:hAnsi="Times New Roman" w:cs="Times New Roman"/>
          <w:sz w:val="24"/>
          <w:szCs w:val="24"/>
        </w:rPr>
        <w:t xml:space="preserve">Samples with basal and/or activated duplicate ratios outside range of 0.9 - 1.1 should be rerun. If poor duplicate ratios </w:t>
      </w:r>
      <w:r w:rsidR="00BD69B1">
        <w:rPr>
          <w:rFonts w:ascii="Times New Roman" w:eastAsia="Calibri" w:hAnsi="Times New Roman" w:cs="Times New Roman"/>
          <w:sz w:val="24"/>
          <w:szCs w:val="24"/>
        </w:rPr>
        <w:t>occur</w:t>
      </w:r>
      <w:r w:rsidRPr="003F257E">
        <w:rPr>
          <w:rFonts w:ascii="Times New Roman" w:eastAsia="Calibri" w:hAnsi="Times New Roman" w:cs="Times New Roman"/>
          <w:sz w:val="24"/>
          <w:szCs w:val="24"/>
        </w:rPr>
        <w:t xml:space="preserve"> regular</w:t>
      </w:r>
      <w:r w:rsidR="00732AC5">
        <w:rPr>
          <w:rFonts w:ascii="Times New Roman" w:eastAsia="Calibri" w:hAnsi="Times New Roman" w:cs="Times New Roman"/>
          <w:sz w:val="24"/>
          <w:szCs w:val="24"/>
        </w:rPr>
        <w:t xml:space="preserve">ly, </w:t>
      </w:r>
      <w:r w:rsidRPr="003F257E">
        <w:rPr>
          <w:rFonts w:ascii="Times New Roman" w:eastAsia="Calibri" w:hAnsi="Times New Roman" w:cs="Times New Roman"/>
          <w:sz w:val="24"/>
          <w:szCs w:val="24"/>
        </w:rPr>
        <w:t>this</w:t>
      </w:r>
      <w:r w:rsidR="00732AC5">
        <w:rPr>
          <w:rFonts w:ascii="Times New Roman" w:eastAsia="Calibri" w:hAnsi="Times New Roman" w:cs="Times New Roman"/>
          <w:sz w:val="24"/>
          <w:szCs w:val="24"/>
        </w:rPr>
        <w:t xml:space="preserve"> can</w:t>
      </w:r>
      <w:r w:rsidRPr="003F257E">
        <w:rPr>
          <w:rFonts w:ascii="Times New Roman" w:eastAsia="Calibri" w:hAnsi="Times New Roman" w:cs="Times New Roman"/>
          <w:sz w:val="24"/>
          <w:szCs w:val="24"/>
        </w:rPr>
        <w:t xml:space="preserve"> be due to either a user error (e.g. poor pipetting technique) or mechanical error (e.g. plate reader malfunction).  </w:t>
      </w:r>
    </w:p>
    <w:p w14:paraId="78288EA8" w14:textId="77777777" w:rsidR="00FB7720" w:rsidRPr="005243A0" w:rsidRDefault="00FB7720" w:rsidP="006508DC">
      <w:pPr>
        <w:spacing w:line="276" w:lineRule="auto"/>
        <w:rPr>
          <w:rFonts w:ascii="Times New Roman" w:hAnsi="Times New Roman" w:cs="Times New Roman"/>
          <w:bCs/>
          <w:i/>
          <w:sz w:val="24"/>
          <w:szCs w:val="24"/>
        </w:rPr>
      </w:pPr>
      <w:r w:rsidRPr="005243A0">
        <w:rPr>
          <w:rFonts w:ascii="Times New Roman" w:hAnsi="Times New Roman" w:cs="Times New Roman"/>
          <w:bCs/>
          <w:i/>
          <w:sz w:val="24"/>
          <w:szCs w:val="24"/>
        </w:rPr>
        <w:t>Internal QC material</w:t>
      </w:r>
    </w:p>
    <w:p w14:paraId="5D7504C9" w14:textId="6D64A7EF" w:rsidR="00FB7720" w:rsidRPr="003F257E" w:rsidRDefault="00FB7720" w:rsidP="006508DC">
      <w:pPr>
        <w:spacing w:line="276" w:lineRule="auto"/>
        <w:rPr>
          <w:rFonts w:ascii="Times New Roman" w:hAnsi="Times New Roman" w:cs="Times New Roman"/>
          <w:sz w:val="24"/>
          <w:szCs w:val="24"/>
        </w:rPr>
      </w:pPr>
      <w:r w:rsidRPr="003F257E">
        <w:rPr>
          <w:rFonts w:ascii="Times New Roman" w:hAnsi="Times New Roman" w:cs="Times New Roman"/>
          <w:sz w:val="24"/>
          <w:szCs w:val="24"/>
        </w:rPr>
        <w:t>It is recommended that 3 separate internal control samples, as well as a reagent blank</w:t>
      </w:r>
      <w:r w:rsidRPr="003F257E">
        <w:rPr>
          <w:rFonts w:ascii="Times New Roman" w:hAnsi="Times New Roman" w:cs="Times New Roman"/>
          <w:b/>
          <w:bCs/>
          <w:sz w:val="24"/>
          <w:szCs w:val="24"/>
        </w:rPr>
        <w:t xml:space="preserve"> </w:t>
      </w:r>
      <w:r w:rsidRPr="003F257E">
        <w:rPr>
          <w:rFonts w:ascii="Times New Roman" w:hAnsi="Times New Roman" w:cs="Times New Roman"/>
          <w:sz w:val="24"/>
          <w:szCs w:val="24"/>
        </w:rPr>
        <w:t xml:space="preserve">are run with each batch. The mean ETKAC value </w:t>
      </w:r>
      <w:r w:rsidR="00732AC5">
        <w:rPr>
          <w:rFonts w:ascii="Times New Roman" w:hAnsi="Times New Roman" w:cs="Times New Roman"/>
          <w:sz w:val="24"/>
          <w:szCs w:val="24"/>
        </w:rPr>
        <w:t>and</w:t>
      </w:r>
      <w:r w:rsidRPr="003F257E">
        <w:rPr>
          <w:rFonts w:ascii="Times New Roman" w:hAnsi="Times New Roman" w:cs="Times New Roman"/>
          <w:sz w:val="24"/>
          <w:szCs w:val="24"/>
        </w:rPr>
        <w:t xml:space="preserve"> the delta change in absorbance</w:t>
      </w:r>
      <w:r w:rsidR="00732AC5">
        <w:rPr>
          <w:rFonts w:ascii="Times New Roman" w:hAnsi="Times New Roman" w:cs="Times New Roman"/>
          <w:sz w:val="24"/>
          <w:szCs w:val="24"/>
        </w:rPr>
        <w:t>,</w:t>
      </w:r>
      <w:r w:rsidRPr="003F257E">
        <w:rPr>
          <w:rFonts w:ascii="Times New Roman" w:hAnsi="Times New Roman" w:cs="Times New Roman"/>
          <w:sz w:val="24"/>
          <w:szCs w:val="24"/>
        </w:rPr>
        <w:t xml:space="preserve"> for both the activated and basal duplicates should be recorded for each level of QC and the reagent blank. The rolling mean, standard deviation and %CV should be calculated for each recorded parameter. After 10 batches have been run the mean +/- 2 standard deviations of ETKAC values can be used as acceptance limits. The other parameters can be used to aid in interpretation of “failed” batches. </w:t>
      </w:r>
    </w:p>
    <w:p w14:paraId="1ED4FE69" w14:textId="1D52AC57" w:rsidR="00FB7720" w:rsidRPr="003F257E" w:rsidRDefault="00FB7720" w:rsidP="006508DC">
      <w:pPr>
        <w:spacing w:line="276" w:lineRule="auto"/>
        <w:rPr>
          <w:rFonts w:ascii="Times New Roman" w:hAnsi="Times New Roman" w:cs="Times New Roman"/>
          <w:sz w:val="24"/>
          <w:szCs w:val="24"/>
        </w:rPr>
      </w:pPr>
      <w:r w:rsidRPr="003F257E">
        <w:rPr>
          <w:rFonts w:ascii="Times New Roman" w:hAnsi="Times New Roman" w:cs="Times New Roman"/>
          <w:sz w:val="24"/>
          <w:szCs w:val="24"/>
        </w:rPr>
        <w:t xml:space="preserve">To produce internal QC material, washed </w:t>
      </w:r>
      <w:r w:rsidR="007E7241">
        <w:rPr>
          <w:rFonts w:ascii="Times New Roman" w:hAnsi="Times New Roman" w:cs="Times New Roman"/>
          <w:sz w:val="24"/>
          <w:szCs w:val="24"/>
        </w:rPr>
        <w:t>erythrocytes</w:t>
      </w:r>
      <w:r w:rsidRPr="003F257E">
        <w:rPr>
          <w:rFonts w:ascii="Times New Roman" w:hAnsi="Times New Roman" w:cs="Times New Roman"/>
          <w:sz w:val="24"/>
          <w:szCs w:val="24"/>
        </w:rPr>
        <w:t xml:space="preserve"> from </w:t>
      </w:r>
      <w:r w:rsidR="0066765D">
        <w:rPr>
          <w:rFonts w:ascii="Times New Roman" w:hAnsi="Times New Roman" w:cs="Times New Roman"/>
          <w:sz w:val="24"/>
          <w:szCs w:val="24"/>
        </w:rPr>
        <w:t xml:space="preserve">single </w:t>
      </w:r>
      <w:r w:rsidRPr="003F257E">
        <w:rPr>
          <w:rFonts w:ascii="Times New Roman" w:hAnsi="Times New Roman" w:cs="Times New Roman"/>
          <w:sz w:val="24"/>
          <w:szCs w:val="24"/>
        </w:rPr>
        <w:t xml:space="preserve">donors should be lysed in bulk following the protocol above for preparation of </w:t>
      </w:r>
      <w:r w:rsidR="00EE2882">
        <w:rPr>
          <w:rFonts w:ascii="Times New Roman" w:hAnsi="Times New Roman" w:cs="Times New Roman"/>
          <w:sz w:val="24"/>
          <w:szCs w:val="24"/>
        </w:rPr>
        <w:t>hemo</w:t>
      </w:r>
      <w:r w:rsidRPr="003F257E">
        <w:rPr>
          <w:rFonts w:ascii="Times New Roman" w:hAnsi="Times New Roman" w:cs="Times New Roman"/>
          <w:sz w:val="24"/>
          <w:szCs w:val="24"/>
        </w:rPr>
        <w:t xml:space="preserve">lysates. The </w:t>
      </w:r>
      <w:r w:rsidR="00EE2882">
        <w:rPr>
          <w:rFonts w:ascii="Times New Roman" w:hAnsi="Times New Roman" w:cs="Times New Roman"/>
          <w:sz w:val="24"/>
          <w:szCs w:val="24"/>
        </w:rPr>
        <w:t>hemo</w:t>
      </w:r>
      <w:r w:rsidRPr="003F257E">
        <w:rPr>
          <w:rFonts w:ascii="Times New Roman" w:hAnsi="Times New Roman" w:cs="Times New Roman"/>
          <w:sz w:val="24"/>
          <w:szCs w:val="24"/>
        </w:rPr>
        <w:t>lysate should then be aliquoted and stored at -</w:t>
      </w:r>
      <w:r w:rsidR="00BD69B1">
        <w:rPr>
          <w:rFonts w:ascii="Times New Roman" w:hAnsi="Times New Roman" w:cs="Times New Roman"/>
          <w:sz w:val="24"/>
          <w:szCs w:val="24"/>
        </w:rPr>
        <w:t>7</w:t>
      </w:r>
      <w:r w:rsidRPr="003F257E">
        <w:rPr>
          <w:rFonts w:ascii="Times New Roman" w:hAnsi="Times New Roman" w:cs="Times New Roman"/>
          <w:sz w:val="24"/>
          <w:szCs w:val="24"/>
        </w:rPr>
        <w:t>0</w:t>
      </w:r>
      <w:r w:rsidR="00967256">
        <w:rPr>
          <w:rFonts w:ascii="Times New Roman" w:hAnsi="Times New Roman" w:cs="Times New Roman"/>
          <w:sz w:val="24"/>
          <w:szCs w:val="24"/>
        </w:rPr>
        <w:t> </w:t>
      </w:r>
      <w:r w:rsidRPr="003F257E">
        <w:rPr>
          <w:rFonts w:ascii="Times New Roman" w:hAnsi="Times New Roman" w:cs="Times New Roman"/>
          <w:sz w:val="24"/>
          <w:szCs w:val="24"/>
        </w:rPr>
        <w:t xml:space="preserve">°C for analysis with each batch. </w:t>
      </w:r>
      <w:r w:rsidR="0066765D">
        <w:rPr>
          <w:rFonts w:ascii="Times New Roman" w:hAnsi="Times New Roman" w:cs="Times New Roman"/>
          <w:sz w:val="24"/>
          <w:szCs w:val="24"/>
        </w:rPr>
        <w:t>It is important not to mix donations from different donors because clotting is likely to occur, as in a transfusion reaction.</w:t>
      </w:r>
    </w:p>
    <w:p w14:paraId="263E0935" w14:textId="56EA9716" w:rsidR="00FB7720" w:rsidRPr="003F257E" w:rsidRDefault="00FB7720" w:rsidP="006508DC">
      <w:pPr>
        <w:spacing w:line="276" w:lineRule="auto"/>
        <w:rPr>
          <w:rFonts w:ascii="Times New Roman" w:hAnsi="Times New Roman" w:cs="Times New Roman"/>
          <w:sz w:val="24"/>
          <w:szCs w:val="24"/>
        </w:rPr>
      </w:pPr>
      <w:r w:rsidRPr="003F257E">
        <w:rPr>
          <w:rFonts w:ascii="Times New Roman" w:hAnsi="Times New Roman" w:cs="Times New Roman"/>
          <w:sz w:val="24"/>
          <w:szCs w:val="24"/>
        </w:rPr>
        <w:t xml:space="preserve">QC </w:t>
      </w:r>
      <w:r w:rsidR="00811125">
        <w:rPr>
          <w:rFonts w:ascii="Times New Roman" w:hAnsi="Times New Roman" w:cs="Times New Roman"/>
          <w:sz w:val="24"/>
          <w:szCs w:val="24"/>
        </w:rPr>
        <w:t>‘</w:t>
      </w:r>
      <w:r w:rsidRPr="003F257E">
        <w:rPr>
          <w:rFonts w:ascii="Times New Roman" w:hAnsi="Times New Roman" w:cs="Times New Roman"/>
          <w:sz w:val="24"/>
          <w:szCs w:val="24"/>
        </w:rPr>
        <w:t>A</w:t>
      </w:r>
      <w:r w:rsidR="00811125">
        <w:rPr>
          <w:rFonts w:ascii="Times New Roman" w:hAnsi="Times New Roman" w:cs="Times New Roman"/>
          <w:sz w:val="24"/>
          <w:szCs w:val="24"/>
        </w:rPr>
        <w:t>’</w:t>
      </w:r>
      <w:r w:rsidR="007E7241">
        <w:rPr>
          <w:rFonts w:ascii="Times New Roman" w:hAnsi="Times New Roman" w:cs="Times New Roman"/>
          <w:sz w:val="24"/>
          <w:szCs w:val="24"/>
        </w:rPr>
        <w:t>:</w:t>
      </w:r>
      <w:r w:rsidRPr="003F257E">
        <w:rPr>
          <w:rFonts w:ascii="Times New Roman" w:hAnsi="Times New Roman" w:cs="Times New Roman"/>
          <w:sz w:val="24"/>
          <w:szCs w:val="24"/>
        </w:rPr>
        <w:t xml:space="preserve"> Ideally produced from blood drawn from a thiamine deficient donor. If it is not possible to identify a thiamine deficient donor, a donor with an ETKAC close to the cut-off should be selected. </w:t>
      </w:r>
    </w:p>
    <w:p w14:paraId="1070CD89" w14:textId="2BBDFCD2" w:rsidR="00FB7720" w:rsidRPr="003F257E" w:rsidRDefault="007E7241" w:rsidP="006508DC">
      <w:pPr>
        <w:spacing w:line="276" w:lineRule="auto"/>
        <w:rPr>
          <w:rFonts w:ascii="Times New Roman" w:hAnsi="Times New Roman" w:cs="Times New Roman"/>
          <w:sz w:val="24"/>
          <w:szCs w:val="24"/>
        </w:rPr>
      </w:pPr>
      <w:r>
        <w:rPr>
          <w:rFonts w:ascii="Times New Roman" w:hAnsi="Times New Roman" w:cs="Times New Roman"/>
          <w:sz w:val="24"/>
          <w:szCs w:val="24"/>
        </w:rPr>
        <w:t xml:space="preserve">QC </w:t>
      </w:r>
      <w:r w:rsidR="00811125">
        <w:rPr>
          <w:rFonts w:ascii="Times New Roman" w:hAnsi="Times New Roman" w:cs="Times New Roman"/>
          <w:sz w:val="24"/>
          <w:szCs w:val="24"/>
        </w:rPr>
        <w:t>‘</w:t>
      </w:r>
      <w:r>
        <w:rPr>
          <w:rFonts w:ascii="Times New Roman" w:hAnsi="Times New Roman" w:cs="Times New Roman"/>
          <w:sz w:val="24"/>
          <w:szCs w:val="24"/>
        </w:rPr>
        <w:t>B</w:t>
      </w:r>
      <w:r w:rsidR="00811125">
        <w:rPr>
          <w:rFonts w:ascii="Times New Roman" w:hAnsi="Times New Roman" w:cs="Times New Roman"/>
          <w:sz w:val="24"/>
          <w:szCs w:val="24"/>
        </w:rPr>
        <w:t>’</w:t>
      </w:r>
      <w:r>
        <w:rPr>
          <w:rFonts w:ascii="Times New Roman" w:hAnsi="Times New Roman" w:cs="Times New Roman"/>
          <w:sz w:val="24"/>
          <w:szCs w:val="24"/>
        </w:rPr>
        <w:t>:</w:t>
      </w:r>
      <w:r w:rsidR="00FB7720" w:rsidRPr="003F257E">
        <w:rPr>
          <w:rFonts w:ascii="Times New Roman" w:hAnsi="Times New Roman" w:cs="Times New Roman"/>
          <w:sz w:val="24"/>
          <w:szCs w:val="24"/>
        </w:rPr>
        <w:t xml:space="preserve"> Should be produced from blood drawn from a donor without thiamine deficiency</w:t>
      </w:r>
    </w:p>
    <w:p w14:paraId="7E61971E" w14:textId="6098C260" w:rsidR="00E95623" w:rsidRDefault="007E7241" w:rsidP="006508DC">
      <w:pPr>
        <w:spacing w:line="276" w:lineRule="auto"/>
        <w:rPr>
          <w:rFonts w:ascii="Times New Roman" w:hAnsi="Times New Roman" w:cs="Times New Roman"/>
          <w:sz w:val="24"/>
          <w:szCs w:val="24"/>
        </w:rPr>
      </w:pPr>
      <w:r>
        <w:rPr>
          <w:rFonts w:ascii="Times New Roman" w:hAnsi="Times New Roman" w:cs="Times New Roman"/>
          <w:sz w:val="24"/>
          <w:szCs w:val="24"/>
        </w:rPr>
        <w:t xml:space="preserve">QC </w:t>
      </w:r>
      <w:r w:rsidR="00811125">
        <w:rPr>
          <w:rFonts w:ascii="Times New Roman" w:hAnsi="Times New Roman" w:cs="Times New Roman"/>
          <w:sz w:val="24"/>
          <w:szCs w:val="24"/>
        </w:rPr>
        <w:t>‘</w:t>
      </w:r>
      <w:r>
        <w:rPr>
          <w:rFonts w:ascii="Times New Roman" w:hAnsi="Times New Roman" w:cs="Times New Roman"/>
          <w:sz w:val="24"/>
          <w:szCs w:val="24"/>
        </w:rPr>
        <w:t>C</w:t>
      </w:r>
      <w:r w:rsidR="00811125">
        <w:rPr>
          <w:rFonts w:ascii="Times New Roman" w:hAnsi="Times New Roman" w:cs="Times New Roman"/>
          <w:sz w:val="24"/>
          <w:szCs w:val="24"/>
        </w:rPr>
        <w:t>’</w:t>
      </w:r>
      <w:r>
        <w:rPr>
          <w:rFonts w:ascii="Times New Roman" w:hAnsi="Times New Roman" w:cs="Times New Roman"/>
          <w:sz w:val="24"/>
          <w:szCs w:val="24"/>
        </w:rPr>
        <w:t>:</w:t>
      </w:r>
      <w:r w:rsidR="00FB7720" w:rsidRPr="003F257E">
        <w:rPr>
          <w:rFonts w:ascii="Times New Roman" w:hAnsi="Times New Roman" w:cs="Times New Roman"/>
          <w:sz w:val="24"/>
          <w:szCs w:val="24"/>
        </w:rPr>
        <w:t xml:space="preserve"> “Low </w:t>
      </w:r>
      <w:r w:rsidR="0066765D">
        <w:rPr>
          <w:rFonts w:ascii="Times New Roman" w:hAnsi="Times New Roman" w:cs="Times New Roman"/>
          <w:sz w:val="24"/>
          <w:szCs w:val="24"/>
        </w:rPr>
        <w:t>Activity</w:t>
      </w:r>
      <w:r w:rsidR="00FB7720" w:rsidRPr="003F257E">
        <w:rPr>
          <w:rFonts w:ascii="Times New Roman" w:hAnsi="Times New Roman" w:cs="Times New Roman"/>
          <w:sz w:val="24"/>
          <w:szCs w:val="24"/>
        </w:rPr>
        <w:t xml:space="preserve">” can be derived from any </w:t>
      </w:r>
      <w:r w:rsidR="00A57513">
        <w:rPr>
          <w:rFonts w:ascii="Times New Roman" w:hAnsi="Times New Roman" w:cs="Times New Roman"/>
          <w:sz w:val="24"/>
          <w:szCs w:val="24"/>
        </w:rPr>
        <w:t xml:space="preserve">single-donor </w:t>
      </w:r>
      <w:r w:rsidR="00FB7720" w:rsidRPr="003F257E">
        <w:rPr>
          <w:rFonts w:ascii="Times New Roman" w:hAnsi="Times New Roman" w:cs="Times New Roman"/>
          <w:sz w:val="24"/>
          <w:szCs w:val="24"/>
        </w:rPr>
        <w:t xml:space="preserve">human washed </w:t>
      </w:r>
      <w:r>
        <w:rPr>
          <w:rFonts w:ascii="Times New Roman" w:hAnsi="Times New Roman" w:cs="Times New Roman"/>
          <w:sz w:val="24"/>
          <w:szCs w:val="24"/>
        </w:rPr>
        <w:t>erythrocyte</w:t>
      </w:r>
      <w:r w:rsidR="00FB7720" w:rsidRPr="003F257E">
        <w:rPr>
          <w:rFonts w:ascii="Times New Roman" w:hAnsi="Times New Roman" w:cs="Times New Roman"/>
          <w:sz w:val="24"/>
          <w:szCs w:val="24"/>
        </w:rPr>
        <w:t xml:space="preserve"> sample</w:t>
      </w:r>
      <w:r w:rsidR="00A57513">
        <w:rPr>
          <w:rFonts w:ascii="Times New Roman" w:hAnsi="Times New Roman" w:cs="Times New Roman"/>
          <w:sz w:val="24"/>
          <w:szCs w:val="24"/>
        </w:rPr>
        <w:t>, diluted 1:1 with physiological saline</w:t>
      </w:r>
      <w:r w:rsidR="00FB7720" w:rsidRPr="003F257E">
        <w:rPr>
          <w:rFonts w:ascii="Times New Roman" w:hAnsi="Times New Roman" w:cs="Times New Roman"/>
          <w:sz w:val="24"/>
          <w:szCs w:val="24"/>
        </w:rPr>
        <w:t xml:space="preserve">. This is to </w:t>
      </w:r>
      <w:r w:rsidR="00A57513">
        <w:rPr>
          <w:rFonts w:ascii="Times New Roman" w:hAnsi="Times New Roman" w:cs="Times New Roman"/>
          <w:sz w:val="24"/>
          <w:szCs w:val="24"/>
        </w:rPr>
        <w:t>assess</w:t>
      </w:r>
      <w:r w:rsidR="00A57513" w:rsidRPr="003F257E">
        <w:rPr>
          <w:rFonts w:ascii="Times New Roman" w:hAnsi="Times New Roman" w:cs="Times New Roman"/>
          <w:sz w:val="24"/>
          <w:szCs w:val="24"/>
        </w:rPr>
        <w:t xml:space="preserve"> </w:t>
      </w:r>
      <w:r w:rsidR="00A57513">
        <w:rPr>
          <w:rFonts w:ascii="Times New Roman" w:hAnsi="Times New Roman" w:cs="Times New Roman"/>
          <w:sz w:val="24"/>
          <w:szCs w:val="24"/>
        </w:rPr>
        <w:t xml:space="preserve">the </w:t>
      </w:r>
      <w:r w:rsidR="00FB7720" w:rsidRPr="003F257E">
        <w:rPr>
          <w:rFonts w:ascii="Times New Roman" w:hAnsi="Times New Roman" w:cs="Times New Roman"/>
          <w:sz w:val="24"/>
          <w:szCs w:val="24"/>
        </w:rPr>
        <w:t xml:space="preserve">robustness of </w:t>
      </w:r>
      <w:r w:rsidR="00A57513">
        <w:rPr>
          <w:rFonts w:ascii="Times New Roman" w:hAnsi="Times New Roman" w:cs="Times New Roman"/>
          <w:sz w:val="24"/>
          <w:szCs w:val="24"/>
        </w:rPr>
        <w:t xml:space="preserve">the </w:t>
      </w:r>
      <w:r w:rsidR="00FB7720" w:rsidRPr="003F257E">
        <w:rPr>
          <w:rFonts w:ascii="Times New Roman" w:hAnsi="Times New Roman" w:cs="Times New Roman"/>
          <w:sz w:val="24"/>
          <w:szCs w:val="24"/>
        </w:rPr>
        <w:t xml:space="preserve">assay in samples with lower concentration of enzyme </w:t>
      </w:r>
      <w:r w:rsidR="00A57513">
        <w:rPr>
          <w:rFonts w:ascii="Times New Roman" w:hAnsi="Times New Roman" w:cs="Times New Roman"/>
          <w:sz w:val="24"/>
          <w:szCs w:val="24"/>
        </w:rPr>
        <w:t>(for example in basal samples in thiamine deficiency)</w:t>
      </w:r>
      <w:r w:rsidR="004E1290">
        <w:rPr>
          <w:rFonts w:ascii="Times New Roman" w:hAnsi="Times New Roman" w:cs="Times New Roman"/>
          <w:sz w:val="24"/>
          <w:szCs w:val="24"/>
        </w:rPr>
        <w:t>.</w:t>
      </w:r>
      <w:r w:rsidR="00E95623">
        <w:rPr>
          <w:rFonts w:ascii="Times New Roman" w:hAnsi="Times New Roman" w:cs="Times New Roman"/>
          <w:sz w:val="24"/>
          <w:szCs w:val="24"/>
        </w:rPr>
        <w:br w:type="page"/>
      </w:r>
    </w:p>
    <w:p w14:paraId="1D7F1F23" w14:textId="1DD1798A" w:rsidR="004E1290" w:rsidRPr="004E1290" w:rsidRDefault="004E1290" w:rsidP="00E55925">
      <w:pPr>
        <w:spacing w:line="276" w:lineRule="auto"/>
        <w:rPr>
          <w:rFonts w:ascii="Times New Roman" w:hAnsi="Times New Roman" w:cs="Times New Roman"/>
          <w:b/>
          <w:sz w:val="24"/>
          <w:szCs w:val="24"/>
        </w:rPr>
      </w:pPr>
      <w:r w:rsidRPr="004E1290">
        <w:rPr>
          <w:rFonts w:ascii="Times New Roman" w:hAnsi="Times New Roman" w:cs="Times New Roman"/>
          <w:b/>
          <w:sz w:val="24"/>
          <w:szCs w:val="24"/>
        </w:rPr>
        <w:lastRenderedPageBreak/>
        <w:t>Notes</w:t>
      </w:r>
      <w:r>
        <w:rPr>
          <w:rFonts w:ascii="Times New Roman" w:hAnsi="Times New Roman" w:cs="Times New Roman"/>
          <w:b/>
          <w:sz w:val="24"/>
          <w:szCs w:val="24"/>
        </w:rPr>
        <w:t xml:space="preserve"> for the measurement of ETKAC</w:t>
      </w:r>
    </w:p>
    <w:p w14:paraId="6D62CEE2" w14:textId="21F7B2B8" w:rsidR="004E1290" w:rsidRPr="003F257E" w:rsidRDefault="004E1290" w:rsidP="004E1290">
      <w:pPr>
        <w:spacing w:line="276" w:lineRule="auto"/>
        <w:rPr>
          <w:rFonts w:ascii="Times New Roman" w:hAnsi="Times New Roman" w:cs="Times New Roman"/>
          <w:color w:val="333333"/>
          <w:sz w:val="24"/>
          <w:szCs w:val="24"/>
          <w:lang w:eastAsia="en-GB"/>
        </w:rPr>
      </w:pPr>
      <w:r w:rsidRPr="003F257E">
        <w:rPr>
          <w:rFonts w:ascii="Times New Roman" w:hAnsi="Times New Roman" w:cs="Times New Roman"/>
          <w:b/>
          <w:color w:val="333333"/>
          <w:sz w:val="24"/>
          <w:szCs w:val="24"/>
          <w:lang w:eastAsia="en-GB"/>
        </w:rPr>
        <w:t xml:space="preserve">Note </w:t>
      </w:r>
      <w:r>
        <w:rPr>
          <w:rFonts w:ascii="Times New Roman" w:hAnsi="Times New Roman" w:cs="Times New Roman"/>
          <w:b/>
          <w:color w:val="333333"/>
          <w:sz w:val="24"/>
          <w:szCs w:val="24"/>
          <w:lang w:eastAsia="en-GB"/>
        </w:rPr>
        <w:t>1</w:t>
      </w:r>
      <w:r w:rsidRPr="003F257E">
        <w:rPr>
          <w:rFonts w:ascii="Times New Roman" w:hAnsi="Times New Roman" w:cs="Times New Roman"/>
          <w:b/>
          <w:color w:val="333333"/>
          <w:sz w:val="24"/>
          <w:szCs w:val="24"/>
          <w:lang w:eastAsia="en-GB"/>
        </w:rPr>
        <w:t>.</w:t>
      </w:r>
      <w:r w:rsidRPr="003F257E">
        <w:rPr>
          <w:rFonts w:ascii="Times New Roman" w:hAnsi="Times New Roman" w:cs="Times New Roman"/>
          <w:color w:val="333333"/>
          <w:sz w:val="24"/>
          <w:szCs w:val="24"/>
          <w:lang w:eastAsia="en-GB"/>
        </w:rPr>
        <w:t xml:space="preserve"> To achieve acceptable analytical imprecision, it is </w:t>
      </w:r>
      <w:r>
        <w:rPr>
          <w:rFonts w:ascii="Times New Roman" w:hAnsi="Times New Roman" w:cs="Times New Roman"/>
          <w:color w:val="333333"/>
          <w:sz w:val="24"/>
          <w:szCs w:val="24"/>
          <w:lang w:eastAsia="en-GB"/>
        </w:rPr>
        <w:t>crucial</w:t>
      </w:r>
      <w:r w:rsidRPr="003F257E">
        <w:rPr>
          <w:rFonts w:ascii="Times New Roman" w:hAnsi="Times New Roman" w:cs="Times New Roman"/>
          <w:color w:val="333333"/>
          <w:sz w:val="24"/>
          <w:szCs w:val="24"/>
          <w:lang w:eastAsia="en-GB"/>
        </w:rPr>
        <w:t xml:space="preserve"> that the incubation temperature (37</w:t>
      </w:r>
      <w:r>
        <w:rPr>
          <w:rFonts w:ascii="Times New Roman" w:hAnsi="Times New Roman" w:cs="Times New Roman"/>
          <w:color w:val="333333"/>
          <w:sz w:val="24"/>
          <w:szCs w:val="24"/>
          <w:lang w:eastAsia="en-GB"/>
        </w:rPr>
        <w:t> </w:t>
      </w:r>
      <w:r w:rsidRPr="003F257E">
        <w:rPr>
          <w:rFonts w:ascii="Times New Roman" w:hAnsi="Times New Roman" w:cs="Times New Roman"/>
          <w:color w:val="333333"/>
          <w:sz w:val="24"/>
          <w:szCs w:val="24"/>
          <w:lang w:eastAsia="en-GB"/>
        </w:rPr>
        <w:t>°C) is maintained evenly across the plate during the read stage</w:t>
      </w:r>
      <w:r>
        <w:rPr>
          <w:rFonts w:ascii="Times New Roman" w:hAnsi="Times New Roman" w:cs="Times New Roman"/>
          <w:color w:val="333333"/>
          <w:sz w:val="24"/>
          <w:szCs w:val="24"/>
          <w:lang w:eastAsia="en-GB"/>
        </w:rPr>
        <w:t>; the activity of the enzymes used for these reactions is temperature-dependent</w:t>
      </w:r>
      <w:r w:rsidRPr="003F257E">
        <w:rPr>
          <w:rFonts w:ascii="Times New Roman" w:hAnsi="Times New Roman" w:cs="Times New Roman"/>
          <w:color w:val="333333"/>
          <w:sz w:val="24"/>
          <w:szCs w:val="24"/>
          <w:lang w:eastAsia="en-GB"/>
        </w:rPr>
        <w:t xml:space="preserve">. The Thermo Multiskan plate reader is specified because </w:t>
      </w:r>
      <w:r>
        <w:rPr>
          <w:rFonts w:ascii="Times New Roman" w:hAnsi="Times New Roman" w:cs="Times New Roman"/>
          <w:color w:val="333333"/>
          <w:sz w:val="24"/>
          <w:szCs w:val="24"/>
          <w:lang w:eastAsia="en-GB"/>
        </w:rPr>
        <w:t xml:space="preserve">of the </w:t>
      </w:r>
      <w:r w:rsidRPr="003F257E">
        <w:rPr>
          <w:rFonts w:ascii="Times New Roman" w:hAnsi="Times New Roman" w:cs="Times New Roman"/>
          <w:color w:val="333333"/>
          <w:sz w:val="24"/>
          <w:szCs w:val="24"/>
          <w:lang w:eastAsia="en-GB"/>
        </w:rPr>
        <w:t>design of the heating elements</w:t>
      </w:r>
      <w:r>
        <w:rPr>
          <w:rFonts w:ascii="Times New Roman" w:hAnsi="Times New Roman" w:cs="Times New Roman"/>
          <w:color w:val="333333"/>
          <w:sz w:val="24"/>
          <w:szCs w:val="24"/>
          <w:lang w:eastAsia="en-GB"/>
        </w:rPr>
        <w:t>; unusually, the chamber is heated by full-sized plates above and below the microplate</w:t>
      </w:r>
      <w:r w:rsidRPr="003F257E">
        <w:rPr>
          <w:rFonts w:ascii="Times New Roman" w:hAnsi="Times New Roman" w:cs="Times New Roman"/>
          <w:color w:val="333333"/>
          <w:sz w:val="24"/>
          <w:szCs w:val="24"/>
          <w:lang w:eastAsia="en-GB"/>
        </w:rPr>
        <w:t>.</w:t>
      </w:r>
      <w:r>
        <w:rPr>
          <w:rFonts w:ascii="Times New Roman" w:hAnsi="Times New Roman" w:cs="Times New Roman"/>
          <w:color w:val="333333"/>
          <w:sz w:val="24"/>
          <w:szCs w:val="24"/>
          <w:lang w:eastAsia="en-GB"/>
        </w:rPr>
        <w:t xml:space="preserve"> Most microplate readers have chambers heated from one corner and cannot be used for this assay.</w:t>
      </w:r>
      <w:r w:rsidRPr="003F257E">
        <w:rPr>
          <w:rFonts w:ascii="Times New Roman" w:hAnsi="Times New Roman" w:cs="Times New Roman"/>
          <w:color w:val="333333"/>
          <w:sz w:val="24"/>
          <w:szCs w:val="24"/>
          <w:lang w:eastAsia="en-GB"/>
        </w:rPr>
        <w:t xml:space="preserve"> </w:t>
      </w:r>
      <w:r w:rsidRPr="003F257E">
        <w:rPr>
          <w:rFonts w:ascii="Times New Roman" w:hAnsi="Times New Roman" w:cs="Times New Roman"/>
          <w:sz w:val="24"/>
          <w:szCs w:val="24"/>
          <w:lang w:eastAsia="en-GB"/>
        </w:rPr>
        <w:t xml:space="preserve">The protocol described in </w:t>
      </w:r>
      <w:r>
        <w:rPr>
          <w:rFonts w:ascii="Times New Roman" w:hAnsi="Times New Roman" w:cs="Times New Roman"/>
          <w:sz w:val="24"/>
          <w:szCs w:val="24"/>
          <w:lang w:eastAsia="en-GB"/>
        </w:rPr>
        <w:t>A</w:t>
      </w:r>
      <w:r w:rsidRPr="003F257E">
        <w:rPr>
          <w:rFonts w:ascii="Times New Roman" w:hAnsi="Times New Roman" w:cs="Times New Roman"/>
          <w:sz w:val="24"/>
          <w:szCs w:val="24"/>
          <w:lang w:eastAsia="en-GB"/>
        </w:rPr>
        <w:t xml:space="preserve">ppendix A can be followed to assess the imprecision of a plate reader specifically for this assay and it is recommended that this protocol is followed before commencing ETKAC analysis and then yearly, or when troubleshooting. The protocol in </w:t>
      </w:r>
      <w:r>
        <w:rPr>
          <w:rFonts w:ascii="Times New Roman" w:hAnsi="Times New Roman" w:cs="Times New Roman"/>
          <w:sz w:val="24"/>
          <w:szCs w:val="24"/>
          <w:lang w:eastAsia="en-GB"/>
        </w:rPr>
        <w:t>A</w:t>
      </w:r>
      <w:r w:rsidRPr="003F257E">
        <w:rPr>
          <w:rFonts w:ascii="Times New Roman" w:hAnsi="Times New Roman" w:cs="Times New Roman"/>
          <w:sz w:val="24"/>
          <w:szCs w:val="24"/>
          <w:lang w:eastAsia="en-GB"/>
        </w:rPr>
        <w:t xml:space="preserve">ppendix A can also be used when assessing other plate readers </w:t>
      </w:r>
      <w:r>
        <w:rPr>
          <w:rFonts w:ascii="Times New Roman" w:hAnsi="Times New Roman" w:cs="Times New Roman"/>
          <w:sz w:val="24"/>
          <w:szCs w:val="24"/>
          <w:lang w:eastAsia="en-GB"/>
        </w:rPr>
        <w:t>for suitability with this assay.</w:t>
      </w:r>
    </w:p>
    <w:p w14:paraId="02A79BF5" w14:textId="77777777" w:rsidR="004E1290" w:rsidRPr="003F257E" w:rsidRDefault="004E1290" w:rsidP="004E1290">
      <w:pPr>
        <w:spacing w:line="276" w:lineRule="auto"/>
        <w:rPr>
          <w:rFonts w:ascii="Times New Roman" w:hAnsi="Times New Roman" w:cs="Times New Roman"/>
          <w:sz w:val="24"/>
          <w:szCs w:val="24"/>
          <w:lang w:eastAsia="en-GB"/>
        </w:rPr>
      </w:pPr>
      <w:r w:rsidRPr="003F257E">
        <w:rPr>
          <w:rFonts w:ascii="Times New Roman" w:hAnsi="Times New Roman" w:cs="Times New Roman"/>
          <w:b/>
          <w:sz w:val="24"/>
          <w:szCs w:val="24"/>
          <w:lang w:eastAsia="en-GB"/>
        </w:rPr>
        <w:t xml:space="preserve">Note </w:t>
      </w:r>
      <w:r>
        <w:rPr>
          <w:rFonts w:ascii="Times New Roman" w:hAnsi="Times New Roman" w:cs="Times New Roman"/>
          <w:b/>
          <w:sz w:val="24"/>
          <w:szCs w:val="24"/>
          <w:lang w:eastAsia="en-GB"/>
        </w:rPr>
        <w:t>2</w:t>
      </w:r>
      <w:r w:rsidRPr="003F257E">
        <w:rPr>
          <w:rFonts w:ascii="Times New Roman" w:hAnsi="Times New Roman" w:cs="Times New Roman"/>
          <w:b/>
          <w:sz w:val="24"/>
          <w:szCs w:val="24"/>
          <w:lang w:eastAsia="en-GB"/>
        </w:rPr>
        <w:t>.</w:t>
      </w:r>
      <w:r w:rsidRPr="003F257E">
        <w:rPr>
          <w:rFonts w:ascii="Times New Roman" w:hAnsi="Times New Roman" w:cs="Times New Roman"/>
          <w:sz w:val="24"/>
          <w:szCs w:val="24"/>
          <w:lang w:eastAsia="en-GB"/>
        </w:rPr>
        <w:t xml:space="preserve"> Any pipettes which conform to ISO8655 can be used.</w:t>
      </w:r>
    </w:p>
    <w:p w14:paraId="144A910F" w14:textId="77777777" w:rsidR="004E1290" w:rsidRPr="0013298C" w:rsidRDefault="004E1290" w:rsidP="004E1290">
      <w:pPr>
        <w:pStyle w:val="CommentText"/>
        <w:rPr>
          <w:rFonts w:ascii="Times New Roman" w:eastAsia="Times New Roman" w:hAnsi="Times New Roman" w:cs="Times New Roman"/>
          <w:sz w:val="24"/>
          <w:szCs w:val="24"/>
        </w:rPr>
      </w:pPr>
      <w:r>
        <w:rPr>
          <w:rFonts w:ascii="Times New Roman" w:hAnsi="Times New Roman" w:cs="Times New Roman"/>
          <w:b/>
          <w:sz w:val="24"/>
          <w:szCs w:val="24"/>
        </w:rPr>
        <w:t xml:space="preserve">Note 3. </w:t>
      </w:r>
      <w:r w:rsidRPr="007B0BE0">
        <w:rPr>
          <w:rFonts w:ascii="Times New Roman" w:hAnsi="Times New Roman" w:cs="Times New Roman"/>
          <w:sz w:val="24"/>
          <w:szCs w:val="24"/>
        </w:rPr>
        <w:t>In the assay, a</w:t>
      </w:r>
      <w:r w:rsidRPr="007B0BE0">
        <w:rPr>
          <w:rFonts w:ascii="Times New Roman" w:eastAsia="Times New Roman" w:hAnsi="Times New Roman" w:cs="Times New Roman"/>
          <w:sz w:val="24"/>
          <w:szCs w:val="24"/>
        </w:rPr>
        <w:t>bsorbance</w:t>
      </w:r>
      <w:r w:rsidRPr="0013298C">
        <w:rPr>
          <w:rFonts w:ascii="Times New Roman" w:eastAsia="Times New Roman" w:hAnsi="Times New Roman" w:cs="Times New Roman"/>
          <w:sz w:val="24"/>
          <w:szCs w:val="24"/>
        </w:rPr>
        <w:t xml:space="preserve"> is read re</w:t>
      </w:r>
      <w:r>
        <w:rPr>
          <w:rFonts w:ascii="Times New Roman" w:eastAsia="Times New Roman" w:hAnsi="Times New Roman" w:cs="Times New Roman"/>
          <w:sz w:val="24"/>
          <w:szCs w:val="24"/>
        </w:rPr>
        <w:t xml:space="preserve">peatedly down through the well; </w:t>
      </w:r>
      <w:r w:rsidRPr="0013298C">
        <w:rPr>
          <w:rFonts w:ascii="Times New Roman" w:eastAsia="Times New Roman" w:hAnsi="Times New Roman" w:cs="Times New Roman"/>
          <w:sz w:val="24"/>
          <w:szCs w:val="24"/>
        </w:rPr>
        <w:t>each time the plate reader lands on one column of wells the position will be slightly different. Therefore</w:t>
      </w:r>
      <w:r>
        <w:rPr>
          <w:rFonts w:ascii="Times New Roman" w:eastAsia="Times New Roman" w:hAnsi="Times New Roman" w:cs="Times New Roman"/>
          <w:sz w:val="24"/>
          <w:szCs w:val="24"/>
        </w:rPr>
        <w:t>,</w:t>
      </w:r>
      <w:r w:rsidRPr="0013298C">
        <w:rPr>
          <w:rFonts w:ascii="Times New Roman" w:eastAsia="Times New Roman" w:hAnsi="Times New Roman" w:cs="Times New Roman"/>
          <w:sz w:val="24"/>
          <w:szCs w:val="24"/>
        </w:rPr>
        <w:t xml:space="preserve"> in order to have a constant path length it is necessary to ensure that the meniscus is flat, and </w:t>
      </w:r>
      <w:r>
        <w:rPr>
          <w:rFonts w:ascii="Times New Roman" w:eastAsia="Times New Roman" w:hAnsi="Times New Roman" w:cs="Times New Roman"/>
          <w:sz w:val="24"/>
          <w:szCs w:val="24"/>
        </w:rPr>
        <w:t>this is achieved with the use of Tween 20.</w:t>
      </w:r>
    </w:p>
    <w:p w14:paraId="0BAB9D02" w14:textId="0B41077D" w:rsidR="004E1290" w:rsidRDefault="004E1290" w:rsidP="004E1290">
      <w:pPr>
        <w:spacing w:line="276" w:lineRule="auto"/>
        <w:rPr>
          <w:rFonts w:ascii="Times New Roman" w:hAnsi="Times New Roman" w:cs="Times New Roman"/>
          <w:sz w:val="24"/>
          <w:szCs w:val="24"/>
        </w:rPr>
      </w:pPr>
      <w:r w:rsidRPr="003F257E">
        <w:rPr>
          <w:rFonts w:ascii="Times New Roman" w:hAnsi="Times New Roman" w:cs="Times New Roman"/>
          <w:b/>
          <w:sz w:val="24"/>
          <w:szCs w:val="24"/>
        </w:rPr>
        <w:t xml:space="preserve">Note </w:t>
      </w:r>
      <w:r>
        <w:rPr>
          <w:rFonts w:ascii="Times New Roman" w:hAnsi="Times New Roman" w:cs="Times New Roman"/>
          <w:b/>
          <w:sz w:val="24"/>
          <w:szCs w:val="24"/>
        </w:rPr>
        <w:t>4</w:t>
      </w:r>
      <w:r w:rsidRPr="003F257E">
        <w:rPr>
          <w:rFonts w:ascii="Times New Roman" w:hAnsi="Times New Roman" w:cs="Times New Roman"/>
          <w:b/>
          <w:sz w:val="24"/>
          <w:szCs w:val="24"/>
        </w:rPr>
        <w:t>.</w:t>
      </w:r>
      <w:r w:rsidRPr="003F257E">
        <w:rPr>
          <w:rFonts w:ascii="Times New Roman" w:hAnsi="Times New Roman" w:cs="Times New Roman"/>
          <w:sz w:val="24"/>
          <w:szCs w:val="24"/>
        </w:rPr>
        <w:t xml:space="preserve"> The use of a Pastette is recommended rather than a pipette du</w:t>
      </w:r>
      <w:r>
        <w:rPr>
          <w:rFonts w:ascii="Times New Roman" w:hAnsi="Times New Roman" w:cs="Times New Roman"/>
          <w:sz w:val="24"/>
          <w:szCs w:val="24"/>
        </w:rPr>
        <w:t>e to the viscosity of Tween 20.</w:t>
      </w:r>
    </w:p>
    <w:p w14:paraId="2A1557E8" w14:textId="15CE2B24" w:rsidR="004E1290" w:rsidRPr="007B0BE0" w:rsidRDefault="004E1290" w:rsidP="004E1290">
      <w:pPr>
        <w:spacing w:line="276" w:lineRule="auto"/>
        <w:rPr>
          <w:rFonts w:ascii="Times New Roman" w:hAnsi="Times New Roman" w:cs="Times New Roman"/>
          <w:sz w:val="24"/>
          <w:szCs w:val="24"/>
        </w:rPr>
      </w:pPr>
      <w:r>
        <w:rPr>
          <w:rFonts w:ascii="Times New Roman" w:hAnsi="Times New Roman" w:cs="Times New Roman"/>
          <w:b/>
          <w:sz w:val="24"/>
          <w:szCs w:val="24"/>
        </w:rPr>
        <w:t xml:space="preserve">Note 5. </w:t>
      </w:r>
      <w:r w:rsidRPr="007B0BE0">
        <w:rPr>
          <w:rFonts w:ascii="Times New Roman" w:hAnsi="Times New Roman" w:cs="Times New Roman"/>
          <w:sz w:val="24"/>
          <w:szCs w:val="24"/>
        </w:rPr>
        <w:t>The spec</w:t>
      </w:r>
      <w:r>
        <w:rPr>
          <w:rFonts w:ascii="Times New Roman" w:hAnsi="Times New Roman" w:cs="Times New Roman"/>
          <w:sz w:val="24"/>
          <w:szCs w:val="24"/>
        </w:rPr>
        <w:t>ifications of the plate reader state</w:t>
      </w:r>
      <w:r w:rsidRPr="007B0BE0">
        <w:rPr>
          <w:rFonts w:ascii="Times New Roman" w:hAnsi="Times New Roman" w:cs="Times New Roman"/>
          <w:sz w:val="24"/>
          <w:szCs w:val="24"/>
        </w:rPr>
        <w:t xml:space="preserve"> that </w:t>
      </w:r>
      <w:r>
        <w:rPr>
          <w:rFonts w:ascii="Times New Roman" w:hAnsi="Times New Roman" w:cs="Times New Roman"/>
          <w:sz w:val="24"/>
          <w:szCs w:val="24"/>
        </w:rPr>
        <w:t>the room temperature must be at least 5 C</w:t>
      </w:r>
      <w:r w:rsidR="002C68AE">
        <w:rPr>
          <w:rFonts w:ascii="Times New Roman" w:hAnsi="Times New Roman" w:cs="Times New Roman"/>
          <w:sz w:val="24"/>
          <w:szCs w:val="24"/>
        </w:rPr>
        <w:t>°</w:t>
      </w:r>
      <w:r w:rsidRPr="007B0BE0">
        <w:rPr>
          <w:rFonts w:ascii="Times New Roman" w:hAnsi="Times New Roman" w:cs="Times New Roman"/>
          <w:sz w:val="24"/>
          <w:szCs w:val="24"/>
        </w:rPr>
        <w:t xml:space="preserve"> </w:t>
      </w:r>
      <w:r>
        <w:rPr>
          <w:rFonts w:ascii="Times New Roman" w:hAnsi="Times New Roman" w:cs="Times New Roman"/>
          <w:sz w:val="24"/>
          <w:szCs w:val="24"/>
        </w:rPr>
        <w:t xml:space="preserve">below the set temperature and laboratories may require cooling air conditioning to achieve this. </w:t>
      </w:r>
    </w:p>
    <w:p w14:paraId="0FDA2DE2" w14:textId="77777777" w:rsidR="004E1290" w:rsidRPr="003F257E" w:rsidRDefault="004E1290" w:rsidP="004E1290">
      <w:pPr>
        <w:spacing w:line="276" w:lineRule="auto"/>
        <w:rPr>
          <w:rFonts w:ascii="Times New Roman" w:hAnsi="Times New Roman" w:cs="Times New Roman"/>
          <w:sz w:val="24"/>
          <w:szCs w:val="24"/>
        </w:rPr>
      </w:pPr>
      <w:r>
        <w:rPr>
          <w:rFonts w:ascii="Times New Roman" w:hAnsi="Times New Roman" w:cs="Times New Roman"/>
          <w:b/>
          <w:sz w:val="24"/>
          <w:szCs w:val="24"/>
        </w:rPr>
        <w:t xml:space="preserve">Note 6. </w:t>
      </w:r>
      <w:r w:rsidRPr="003F257E">
        <w:rPr>
          <w:rFonts w:ascii="Times New Roman" w:hAnsi="Times New Roman" w:cs="Times New Roman"/>
          <w:sz w:val="24"/>
          <w:szCs w:val="24"/>
        </w:rPr>
        <w:t xml:space="preserve">It is recommended that the plate </w:t>
      </w:r>
      <w:r>
        <w:rPr>
          <w:rFonts w:ascii="Times New Roman" w:hAnsi="Times New Roman" w:cs="Times New Roman"/>
          <w:sz w:val="24"/>
          <w:szCs w:val="24"/>
        </w:rPr>
        <w:t>reader is programmed to run the</w:t>
      </w:r>
      <w:r w:rsidRPr="003F257E">
        <w:rPr>
          <w:rFonts w:ascii="Times New Roman" w:hAnsi="Times New Roman" w:cs="Times New Roman"/>
          <w:sz w:val="24"/>
          <w:szCs w:val="24"/>
        </w:rPr>
        <w:t xml:space="preserve"> protocol before commencing analysis</w:t>
      </w:r>
      <w:r>
        <w:rPr>
          <w:rFonts w:ascii="Times New Roman" w:hAnsi="Times New Roman" w:cs="Times New Roman"/>
          <w:sz w:val="24"/>
          <w:szCs w:val="24"/>
        </w:rPr>
        <w:t>.</w:t>
      </w:r>
    </w:p>
    <w:p w14:paraId="401EFF55" w14:textId="77777777" w:rsidR="004E1290" w:rsidRPr="005243A0" w:rsidRDefault="004E1290" w:rsidP="004E1290">
      <w:pPr>
        <w:spacing w:line="276" w:lineRule="auto"/>
        <w:rPr>
          <w:rFonts w:ascii="Times New Roman" w:hAnsi="Times New Roman" w:cs="Times New Roman"/>
          <w:sz w:val="24"/>
          <w:szCs w:val="24"/>
        </w:rPr>
      </w:pPr>
      <w:r w:rsidRPr="003F257E">
        <w:rPr>
          <w:rFonts w:ascii="Times New Roman" w:hAnsi="Times New Roman" w:cs="Times New Roman"/>
          <w:b/>
          <w:sz w:val="24"/>
          <w:szCs w:val="24"/>
        </w:rPr>
        <w:t xml:space="preserve">Note </w:t>
      </w:r>
      <w:r>
        <w:rPr>
          <w:rFonts w:ascii="Times New Roman" w:hAnsi="Times New Roman" w:cs="Times New Roman"/>
          <w:b/>
          <w:sz w:val="24"/>
          <w:szCs w:val="24"/>
        </w:rPr>
        <w:t>7.</w:t>
      </w:r>
      <w:r w:rsidRPr="003F257E">
        <w:rPr>
          <w:rFonts w:ascii="Times New Roman" w:hAnsi="Times New Roman" w:cs="Times New Roman"/>
          <w:sz w:val="24"/>
          <w:szCs w:val="24"/>
        </w:rPr>
        <w:t xml:space="preserve"> For example, 200 µl washed erythrocytes and 400 µl of deionised water. The minimum recommended volume is 20 µl washed erythrocytes and 40 µ</w:t>
      </w:r>
      <w:r>
        <w:rPr>
          <w:rFonts w:ascii="Times New Roman" w:hAnsi="Times New Roman" w:cs="Times New Roman"/>
          <w:sz w:val="24"/>
          <w:szCs w:val="24"/>
        </w:rPr>
        <w:t>l</w:t>
      </w:r>
      <w:r w:rsidRPr="003F257E">
        <w:rPr>
          <w:rFonts w:ascii="Times New Roman" w:hAnsi="Times New Roman" w:cs="Times New Roman"/>
          <w:sz w:val="24"/>
          <w:szCs w:val="24"/>
        </w:rPr>
        <w:t xml:space="preserve"> of deionised water.</w:t>
      </w:r>
    </w:p>
    <w:p w14:paraId="185AFB5E" w14:textId="694637D6" w:rsidR="004E1290" w:rsidRPr="005243A0" w:rsidRDefault="004E1290" w:rsidP="004E1290">
      <w:pPr>
        <w:spacing w:line="276" w:lineRule="auto"/>
        <w:rPr>
          <w:rFonts w:ascii="Times New Roman" w:hAnsi="Times New Roman" w:cs="Times New Roman"/>
          <w:sz w:val="24"/>
          <w:szCs w:val="24"/>
        </w:rPr>
      </w:pPr>
      <w:r w:rsidRPr="003F257E">
        <w:rPr>
          <w:rFonts w:ascii="Times New Roman" w:hAnsi="Times New Roman" w:cs="Times New Roman"/>
          <w:b/>
          <w:sz w:val="24"/>
          <w:szCs w:val="24"/>
        </w:rPr>
        <w:t xml:space="preserve">Note </w:t>
      </w:r>
      <w:r>
        <w:rPr>
          <w:rFonts w:ascii="Times New Roman" w:hAnsi="Times New Roman" w:cs="Times New Roman"/>
          <w:b/>
          <w:sz w:val="24"/>
          <w:szCs w:val="24"/>
        </w:rPr>
        <w:t>8.</w:t>
      </w:r>
      <w:r w:rsidRPr="003F257E">
        <w:rPr>
          <w:rFonts w:ascii="Times New Roman" w:hAnsi="Times New Roman" w:cs="Times New Roman"/>
          <w:sz w:val="24"/>
          <w:szCs w:val="24"/>
        </w:rPr>
        <w:t xml:space="preserve"> The </w:t>
      </w:r>
      <w:r w:rsidR="00EE2882">
        <w:rPr>
          <w:rFonts w:ascii="Times New Roman" w:hAnsi="Times New Roman" w:cs="Times New Roman"/>
          <w:sz w:val="24"/>
          <w:szCs w:val="24"/>
        </w:rPr>
        <w:t>hemo</w:t>
      </w:r>
      <w:r w:rsidRPr="003F257E">
        <w:rPr>
          <w:rFonts w:ascii="Times New Roman" w:hAnsi="Times New Roman" w:cs="Times New Roman"/>
          <w:sz w:val="24"/>
          <w:szCs w:val="24"/>
        </w:rPr>
        <w:t>lysate can be stored at</w:t>
      </w:r>
      <w:r>
        <w:rPr>
          <w:rFonts w:ascii="Times New Roman" w:hAnsi="Times New Roman" w:cs="Times New Roman"/>
          <w:sz w:val="24"/>
          <w:szCs w:val="24"/>
        </w:rPr>
        <w:t xml:space="preserve"> </w:t>
      </w:r>
      <w:r w:rsidRPr="003F257E">
        <w:rPr>
          <w:rFonts w:ascii="Times New Roman" w:hAnsi="Times New Roman" w:cs="Times New Roman"/>
          <w:sz w:val="24"/>
          <w:szCs w:val="24"/>
        </w:rPr>
        <w:t>-</w:t>
      </w:r>
      <w:r>
        <w:rPr>
          <w:rFonts w:ascii="Times New Roman" w:hAnsi="Times New Roman" w:cs="Times New Roman"/>
          <w:sz w:val="24"/>
          <w:szCs w:val="24"/>
        </w:rPr>
        <w:t>7</w:t>
      </w:r>
      <w:r w:rsidRPr="003F257E">
        <w:rPr>
          <w:rFonts w:ascii="Times New Roman" w:hAnsi="Times New Roman" w:cs="Times New Roman"/>
          <w:sz w:val="24"/>
          <w:szCs w:val="24"/>
        </w:rPr>
        <w:t>0</w:t>
      </w:r>
      <w:r>
        <w:rPr>
          <w:rFonts w:ascii="Times New Roman" w:hAnsi="Times New Roman" w:cs="Times New Roman"/>
          <w:sz w:val="24"/>
          <w:szCs w:val="24"/>
        </w:rPr>
        <w:t> </w:t>
      </w:r>
      <w:r w:rsidRPr="003F257E">
        <w:rPr>
          <w:rFonts w:ascii="Times New Roman" w:hAnsi="Times New Roman" w:cs="Times New Roman"/>
          <w:sz w:val="24"/>
          <w:szCs w:val="24"/>
        </w:rPr>
        <w:t>°C post-analysis for r</w:t>
      </w:r>
      <w:r>
        <w:rPr>
          <w:rFonts w:ascii="Times New Roman" w:hAnsi="Times New Roman" w:cs="Times New Roman"/>
          <w:sz w:val="24"/>
          <w:szCs w:val="24"/>
        </w:rPr>
        <w:t xml:space="preserve">epeat batches or other assays. </w:t>
      </w:r>
    </w:p>
    <w:p w14:paraId="58C8EFB2" w14:textId="77777777" w:rsidR="004E1290" w:rsidRPr="003F257E" w:rsidRDefault="004E1290" w:rsidP="004E1290">
      <w:pPr>
        <w:spacing w:line="276" w:lineRule="auto"/>
        <w:rPr>
          <w:rFonts w:ascii="Times New Roman" w:hAnsi="Times New Roman" w:cs="Times New Roman"/>
          <w:sz w:val="24"/>
          <w:szCs w:val="24"/>
        </w:rPr>
      </w:pPr>
    </w:p>
    <w:p w14:paraId="6BEC75BC" w14:textId="2402E104" w:rsidR="005243A0" w:rsidRPr="00E55925" w:rsidRDefault="005243A0" w:rsidP="00E55925">
      <w:pPr>
        <w:spacing w:line="276" w:lineRule="auto"/>
        <w:rPr>
          <w:rFonts w:ascii="Times New Roman" w:hAnsi="Times New Roman" w:cs="Times New Roman"/>
          <w:sz w:val="24"/>
          <w:szCs w:val="24"/>
        </w:rPr>
      </w:pPr>
      <w:r>
        <w:rPr>
          <w:rFonts w:ascii="Times New Roman" w:hAnsi="Times New Roman" w:cs="Times New Roman"/>
          <w:b/>
          <w:bCs/>
          <w:sz w:val="24"/>
          <w:szCs w:val="24"/>
        </w:rPr>
        <w:br w:type="page"/>
      </w:r>
    </w:p>
    <w:p w14:paraId="01DCEEC2" w14:textId="41320EFE" w:rsidR="00FB7720" w:rsidRPr="005243A0" w:rsidRDefault="00FB7720" w:rsidP="003F257E">
      <w:pPr>
        <w:spacing w:line="276" w:lineRule="auto"/>
        <w:rPr>
          <w:rFonts w:ascii="Times New Roman" w:hAnsi="Times New Roman" w:cs="Times New Roman"/>
          <w:b/>
          <w:bCs/>
          <w:sz w:val="24"/>
          <w:szCs w:val="24"/>
        </w:rPr>
      </w:pPr>
      <w:r w:rsidRPr="003F257E">
        <w:rPr>
          <w:rFonts w:ascii="Times New Roman" w:hAnsi="Times New Roman" w:cs="Times New Roman"/>
          <w:b/>
          <w:bCs/>
          <w:sz w:val="24"/>
          <w:szCs w:val="24"/>
        </w:rPr>
        <w:lastRenderedPageBreak/>
        <w:t xml:space="preserve">Appendix A </w:t>
      </w:r>
      <w:r w:rsidR="00E95623">
        <w:rPr>
          <w:rFonts w:ascii="Times New Roman" w:hAnsi="Times New Roman" w:cs="Times New Roman"/>
          <w:b/>
          <w:bCs/>
          <w:sz w:val="24"/>
          <w:szCs w:val="24"/>
        </w:rPr>
        <w:t>–</w:t>
      </w:r>
      <w:r w:rsidRPr="003F257E">
        <w:rPr>
          <w:rFonts w:ascii="Times New Roman" w:hAnsi="Times New Roman" w:cs="Times New Roman"/>
          <w:b/>
          <w:bCs/>
          <w:sz w:val="24"/>
          <w:szCs w:val="24"/>
        </w:rPr>
        <w:t xml:space="preserve"> </w:t>
      </w:r>
      <w:r w:rsidR="00E95623">
        <w:rPr>
          <w:rFonts w:ascii="Times New Roman" w:hAnsi="Times New Roman" w:cs="Times New Roman"/>
          <w:b/>
          <w:bCs/>
          <w:sz w:val="24"/>
          <w:szCs w:val="24"/>
        </w:rPr>
        <w:t xml:space="preserve">Protocol to assess the </w:t>
      </w:r>
      <w:r w:rsidRPr="003F257E">
        <w:rPr>
          <w:rFonts w:ascii="Times New Roman" w:hAnsi="Times New Roman" w:cs="Times New Roman"/>
          <w:b/>
          <w:bCs/>
          <w:sz w:val="24"/>
          <w:szCs w:val="24"/>
        </w:rPr>
        <w:t>suitability of plate reader performance for</w:t>
      </w:r>
      <w:r w:rsidR="00E95623">
        <w:rPr>
          <w:rFonts w:ascii="Times New Roman" w:hAnsi="Times New Roman" w:cs="Times New Roman"/>
          <w:b/>
          <w:bCs/>
          <w:sz w:val="24"/>
          <w:szCs w:val="24"/>
        </w:rPr>
        <w:t xml:space="preserve"> the </w:t>
      </w:r>
      <w:r w:rsidR="005243A0">
        <w:rPr>
          <w:rFonts w:ascii="Times New Roman" w:hAnsi="Times New Roman" w:cs="Times New Roman"/>
          <w:b/>
          <w:bCs/>
          <w:sz w:val="24"/>
          <w:szCs w:val="24"/>
        </w:rPr>
        <w:t>ETKAC assay</w:t>
      </w:r>
    </w:p>
    <w:p w14:paraId="52CE3A09" w14:textId="0DE4CCED" w:rsidR="00FB7720" w:rsidRPr="003F257E" w:rsidRDefault="00FB7720" w:rsidP="003F257E">
      <w:pPr>
        <w:spacing w:line="276" w:lineRule="auto"/>
        <w:rPr>
          <w:rFonts w:ascii="Times New Roman" w:hAnsi="Times New Roman" w:cs="Times New Roman"/>
          <w:sz w:val="24"/>
          <w:szCs w:val="24"/>
        </w:rPr>
      </w:pPr>
      <w:r w:rsidRPr="003F257E">
        <w:rPr>
          <w:rFonts w:ascii="Times New Roman" w:hAnsi="Times New Roman" w:cs="Times New Roman"/>
          <w:sz w:val="24"/>
          <w:szCs w:val="24"/>
        </w:rPr>
        <w:t xml:space="preserve">The purpose of this procedure is to determine the level of within-plate imprecision due solely to the </w:t>
      </w:r>
      <w:r w:rsidR="00AE5CC9">
        <w:rPr>
          <w:rFonts w:ascii="Times New Roman" w:hAnsi="Times New Roman" w:cs="Times New Roman"/>
          <w:sz w:val="24"/>
          <w:szCs w:val="24"/>
        </w:rPr>
        <w:t xml:space="preserve">variation of temperature within the incubation chamber of the </w:t>
      </w:r>
      <w:r w:rsidRPr="003F257E">
        <w:rPr>
          <w:rFonts w:ascii="Times New Roman" w:hAnsi="Times New Roman" w:cs="Times New Roman"/>
          <w:sz w:val="24"/>
          <w:szCs w:val="24"/>
        </w:rPr>
        <w:t xml:space="preserve">plate reader. </w:t>
      </w:r>
      <w:r w:rsidR="00AE5CC9">
        <w:rPr>
          <w:rFonts w:ascii="Times New Roman" w:hAnsi="Times New Roman" w:cs="Times New Roman"/>
          <w:sz w:val="24"/>
          <w:szCs w:val="24"/>
        </w:rPr>
        <w:t xml:space="preserve"> It is not possible to measure this temperature directly in each well; the </w:t>
      </w:r>
      <w:r w:rsidR="007E7241">
        <w:rPr>
          <w:rFonts w:ascii="Times New Roman" w:hAnsi="Times New Roman" w:cs="Times New Roman"/>
          <w:sz w:val="24"/>
          <w:szCs w:val="24"/>
        </w:rPr>
        <w:t xml:space="preserve">plate reader </w:t>
      </w:r>
      <w:r w:rsidR="00AE5CC9">
        <w:rPr>
          <w:rFonts w:ascii="Times New Roman" w:hAnsi="Times New Roman" w:cs="Times New Roman"/>
          <w:sz w:val="24"/>
          <w:szCs w:val="24"/>
        </w:rPr>
        <w:t>recorded “37</w:t>
      </w:r>
      <w:r w:rsidR="00BD69B1">
        <w:rPr>
          <w:rFonts w:ascii="Times New Roman" w:hAnsi="Times New Roman" w:cs="Times New Roman"/>
          <w:sz w:val="24"/>
          <w:szCs w:val="24"/>
        </w:rPr>
        <w:t xml:space="preserve"> °</w:t>
      </w:r>
      <w:r w:rsidR="00AE5CC9">
        <w:rPr>
          <w:rFonts w:ascii="Times New Roman" w:hAnsi="Times New Roman" w:cs="Times New Roman"/>
          <w:sz w:val="24"/>
          <w:szCs w:val="24"/>
        </w:rPr>
        <w:t xml:space="preserve">C” applies only to a single site within the chamber. </w:t>
      </w:r>
      <w:r w:rsidRPr="003F257E">
        <w:rPr>
          <w:rFonts w:ascii="Times New Roman" w:hAnsi="Times New Roman" w:cs="Times New Roman"/>
          <w:sz w:val="24"/>
          <w:szCs w:val="24"/>
        </w:rPr>
        <w:t xml:space="preserve">In this procedure the normal protocol is followed except only one sample is used and processed in bulk before transferring to </w:t>
      </w:r>
      <w:r w:rsidR="00BD69B1">
        <w:rPr>
          <w:rFonts w:ascii="Times New Roman" w:hAnsi="Times New Roman" w:cs="Times New Roman"/>
          <w:sz w:val="24"/>
          <w:szCs w:val="24"/>
        </w:rPr>
        <w:t>96-</w:t>
      </w:r>
      <w:r w:rsidR="005243A0">
        <w:rPr>
          <w:rFonts w:ascii="Times New Roman" w:hAnsi="Times New Roman" w:cs="Times New Roman"/>
          <w:sz w:val="24"/>
          <w:szCs w:val="24"/>
        </w:rPr>
        <w:t xml:space="preserve">well plate for reading. </w:t>
      </w:r>
      <w:r w:rsidR="00C27BAB">
        <w:rPr>
          <w:rFonts w:ascii="Times New Roman" w:hAnsi="Times New Roman" w:cs="Times New Roman"/>
          <w:sz w:val="24"/>
          <w:szCs w:val="24"/>
        </w:rPr>
        <w:t>This means that any variation in rate between wells results only from temperature differences between the wells.</w:t>
      </w:r>
    </w:p>
    <w:p w14:paraId="586CD7C1" w14:textId="77B8D4A5" w:rsidR="00FB7720" w:rsidRPr="003F257E" w:rsidRDefault="00FB7720" w:rsidP="003F257E">
      <w:pPr>
        <w:spacing w:line="276" w:lineRule="auto"/>
        <w:rPr>
          <w:rFonts w:ascii="Times New Roman" w:hAnsi="Times New Roman" w:cs="Times New Roman"/>
          <w:sz w:val="24"/>
          <w:szCs w:val="24"/>
        </w:rPr>
      </w:pPr>
      <w:r w:rsidRPr="003F257E">
        <w:rPr>
          <w:rFonts w:ascii="Times New Roman" w:hAnsi="Times New Roman" w:cs="Times New Roman"/>
          <w:sz w:val="24"/>
          <w:szCs w:val="24"/>
        </w:rPr>
        <w:t xml:space="preserve">It is recommended that this procedure is run at least once a year </w:t>
      </w:r>
      <w:r w:rsidR="00AE5CC9">
        <w:rPr>
          <w:rFonts w:ascii="Times New Roman" w:hAnsi="Times New Roman" w:cs="Times New Roman"/>
          <w:sz w:val="24"/>
          <w:szCs w:val="24"/>
        </w:rPr>
        <w:t xml:space="preserve">and after any engineer service visit, </w:t>
      </w:r>
      <w:r w:rsidRPr="003F257E">
        <w:rPr>
          <w:rFonts w:ascii="Times New Roman" w:hAnsi="Times New Roman" w:cs="Times New Roman"/>
          <w:sz w:val="24"/>
          <w:szCs w:val="24"/>
        </w:rPr>
        <w:t>as the assay will require a plate reader to exceed the manufacturer specifications. It may also be useful to follow this</w:t>
      </w:r>
      <w:r w:rsidR="004E1290">
        <w:rPr>
          <w:rFonts w:ascii="Times New Roman" w:hAnsi="Times New Roman" w:cs="Times New Roman"/>
          <w:sz w:val="24"/>
          <w:szCs w:val="24"/>
        </w:rPr>
        <w:t xml:space="preserve"> procedure when troubleshooting. </w:t>
      </w:r>
      <w:r w:rsidRPr="003F257E">
        <w:rPr>
          <w:rFonts w:ascii="Times New Roman" w:hAnsi="Times New Roman" w:cs="Times New Roman"/>
          <w:sz w:val="24"/>
          <w:szCs w:val="24"/>
        </w:rPr>
        <w:t xml:space="preserve">Routine inspections and checks of the plate reader by an approved service engineer are also recommended. </w:t>
      </w:r>
    </w:p>
    <w:p w14:paraId="15B9F116" w14:textId="48B23F5B" w:rsidR="00B64666" w:rsidRDefault="005E0876" w:rsidP="003F257E">
      <w:pPr>
        <w:spacing w:line="276" w:lineRule="auto"/>
        <w:rPr>
          <w:rFonts w:ascii="Times New Roman" w:hAnsi="Times New Roman" w:cs="Times New Roman"/>
          <w:b/>
          <w:bCs/>
          <w:sz w:val="24"/>
          <w:szCs w:val="24"/>
        </w:rPr>
      </w:pPr>
      <w:r>
        <w:rPr>
          <w:rFonts w:ascii="Times New Roman" w:hAnsi="Times New Roman" w:cs="Times New Roman"/>
          <w:b/>
          <w:bCs/>
          <w:sz w:val="24"/>
          <w:szCs w:val="24"/>
        </w:rPr>
        <w:t xml:space="preserve">A1. </w:t>
      </w:r>
      <w:r w:rsidR="00E55925">
        <w:rPr>
          <w:rFonts w:ascii="Times New Roman" w:hAnsi="Times New Roman" w:cs="Times New Roman"/>
          <w:b/>
          <w:bCs/>
          <w:sz w:val="24"/>
          <w:szCs w:val="24"/>
        </w:rPr>
        <w:t>Procedure</w:t>
      </w:r>
    </w:p>
    <w:p w14:paraId="442CF551" w14:textId="6D7A2D21" w:rsidR="005A761E" w:rsidRPr="005A761E" w:rsidRDefault="005A761E" w:rsidP="008B70AB">
      <w:pPr>
        <w:pStyle w:val="ListParagraph"/>
        <w:numPr>
          <w:ilvl w:val="0"/>
          <w:numId w:val="26"/>
        </w:numPr>
        <w:spacing w:before="240" w:line="276" w:lineRule="auto"/>
        <w:rPr>
          <w:rFonts w:ascii="Times New Roman" w:hAnsi="Times New Roman" w:cs="Times New Roman"/>
          <w:bCs/>
          <w:sz w:val="24"/>
          <w:szCs w:val="24"/>
        </w:rPr>
      </w:pPr>
      <w:r w:rsidRPr="005A761E">
        <w:rPr>
          <w:rFonts w:ascii="Times New Roman" w:hAnsi="Times New Roman" w:cs="Times New Roman"/>
          <w:bCs/>
          <w:sz w:val="24"/>
          <w:szCs w:val="24"/>
        </w:rPr>
        <w:t>Turn on the incubator and allow it to reach 37 °C</w:t>
      </w:r>
    </w:p>
    <w:p w14:paraId="48496674" w14:textId="77777777" w:rsidR="00EE2882" w:rsidRDefault="005A761E" w:rsidP="00EE2882">
      <w:pPr>
        <w:pStyle w:val="ListParagraph"/>
        <w:numPr>
          <w:ilvl w:val="0"/>
          <w:numId w:val="26"/>
        </w:numPr>
        <w:spacing w:before="240" w:line="276" w:lineRule="auto"/>
        <w:rPr>
          <w:rFonts w:ascii="Times New Roman" w:hAnsi="Times New Roman" w:cs="Times New Roman"/>
          <w:bCs/>
          <w:sz w:val="24"/>
          <w:szCs w:val="24"/>
        </w:rPr>
      </w:pPr>
      <w:r w:rsidRPr="005A761E">
        <w:rPr>
          <w:rFonts w:ascii="Times New Roman" w:hAnsi="Times New Roman" w:cs="Times New Roman"/>
          <w:bCs/>
          <w:sz w:val="24"/>
          <w:szCs w:val="24"/>
        </w:rPr>
        <w:t>Turn on the plate reader and associated computer. Set temperature to 37 °C and allow at least 20 minutes for temperature to equilibrate</w:t>
      </w:r>
    </w:p>
    <w:p w14:paraId="1512E62C" w14:textId="3A67B212" w:rsidR="00EE2882" w:rsidRDefault="00EE2882" w:rsidP="00EE2882">
      <w:pPr>
        <w:pStyle w:val="ListParagraph"/>
        <w:numPr>
          <w:ilvl w:val="0"/>
          <w:numId w:val="26"/>
        </w:numPr>
        <w:spacing w:before="240" w:line="276" w:lineRule="auto"/>
        <w:rPr>
          <w:rFonts w:ascii="Times New Roman" w:hAnsi="Times New Roman" w:cs="Times New Roman"/>
          <w:bCs/>
          <w:sz w:val="24"/>
          <w:szCs w:val="24"/>
        </w:rPr>
      </w:pPr>
      <w:r w:rsidRPr="00EE2882">
        <w:rPr>
          <w:rFonts w:ascii="Times New Roman" w:hAnsi="Times New Roman" w:cs="Times New Roman"/>
          <w:bCs/>
          <w:sz w:val="24"/>
          <w:szCs w:val="24"/>
        </w:rPr>
        <w:t xml:space="preserve">Remove sufficient vials of a QC material to provide 300 </w:t>
      </w:r>
      <w:r w:rsidRPr="00EE2882">
        <w:rPr>
          <w:rStyle w:val="Heading1Char"/>
          <w:rFonts w:eastAsiaTheme="minorHAnsi"/>
        </w:rPr>
        <w:t xml:space="preserve">µl hemolysate </w:t>
      </w:r>
      <w:r w:rsidRPr="00EE2882">
        <w:rPr>
          <w:rFonts w:ascii="Times New Roman" w:hAnsi="Times New Roman" w:cs="Times New Roman"/>
          <w:bCs/>
          <w:sz w:val="24"/>
          <w:szCs w:val="24"/>
        </w:rPr>
        <w:t>and allow to equilibrate to room temperature on a roller mixer</w:t>
      </w:r>
    </w:p>
    <w:p w14:paraId="013D5DCB" w14:textId="119D425E" w:rsidR="00EE2882" w:rsidRPr="00EE2882" w:rsidRDefault="00EE2882" w:rsidP="00EE2882">
      <w:pPr>
        <w:pStyle w:val="ListParagraph"/>
        <w:numPr>
          <w:ilvl w:val="0"/>
          <w:numId w:val="26"/>
        </w:numPr>
        <w:spacing w:before="240" w:line="276" w:lineRule="auto"/>
        <w:rPr>
          <w:rFonts w:ascii="Times New Roman" w:hAnsi="Times New Roman" w:cs="Times New Roman"/>
          <w:bCs/>
          <w:sz w:val="24"/>
          <w:szCs w:val="24"/>
        </w:rPr>
      </w:pPr>
      <w:r w:rsidRPr="00EE2882">
        <w:rPr>
          <w:rFonts w:ascii="Times New Roman" w:hAnsi="Times New Roman" w:cs="Times New Roman"/>
          <w:bCs/>
          <w:sz w:val="24"/>
          <w:szCs w:val="24"/>
        </w:rPr>
        <w:t xml:space="preserve">Mix thoroughly by inversion. </w:t>
      </w:r>
      <w:r w:rsidRPr="00EE2882">
        <w:rPr>
          <w:rFonts w:ascii="Times New Roman" w:hAnsi="Times New Roman" w:cs="Times New Roman"/>
          <w:sz w:val="24"/>
          <w:szCs w:val="24"/>
        </w:rPr>
        <w:t>Centrifuge the samples and controls in the refrigerated centrifuge for 10 minutes at 4000 </w:t>
      </w:r>
      <w:r w:rsidRPr="00EE2882">
        <w:rPr>
          <w:rFonts w:ascii="Times New Roman" w:hAnsi="Times New Roman" w:cs="Times New Roman"/>
          <w:i/>
          <w:sz w:val="24"/>
          <w:szCs w:val="24"/>
        </w:rPr>
        <w:t>g</w:t>
      </w:r>
    </w:p>
    <w:p w14:paraId="421FCFB2" w14:textId="4E59A77F" w:rsidR="003A690C" w:rsidRPr="003A690C" w:rsidRDefault="00B64666" w:rsidP="00DD4162">
      <w:pPr>
        <w:pStyle w:val="ListParagraph"/>
        <w:numPr>
          <w:ilvl w:val="0"/>
          <w:numId w:val="26"/>
        </w:numPr>
        <w:spacing w:before="240" w:line="276" w:lineRule="auto"/>
        <w:rPr>
          <w:rStyle w:val="Heading1Char"/>
          <w:rFonts w:eastAsiaTheme="minorHAnsi"/>
          <w:bCs/>
          <w:szCs w:val="24"/>
        </w:rPr>
      </w:pPr>
      <w:r w:rsidRPr="003A690C">
        <w:rPr>
          <w:rFonts w:ascii="Times New Roman" w:hAnsi="Times New Roman" w:cs="Times New Roman"/>
          <w:bCs/>
          <w:sz w:val="24"/>
          <w:szCs w:val="24"/>
        </w:rPr>
        <w:t xml:space="preserve">Pipette 300 </w:t>
      </w:r>
      <w:r w:rsidRPr="003A690C">
        <w:rPr>
          <w:rStyle w:val="Heading1Char"/>
          <w:rFonts w:eastAsiaTheme="minorHAnsi"/>
        </w:rPr>
        <w:t xml:space="preserve">µl </w:t>
      </w:r>
      <w:r w:rsidR="00EE2882" w:rsidRPr="003A690C">
        <w:rPr>
          <w:rStyle w:val="Heading1Char"/>
          <w:rFonts w:eastAsiaTheme="minorHAnsi"/>
        </w:rPr>
        <w:t>QC material hemo</w:t>
      </w:r>
      <w:r w:rsidRPr="003A690C">
        <w:rPr>
          <w:rStyle w:val="Heading1Char"/>
          <w:rFonts w:eastAsiaTheme="minorHAnsi"/>
        </w:rPr>
        <w:t xml:space="preserve">lysate and 2.7 ml </w:t>
      </w:r>
      <w:r w:rsidR="00EE2882" w:rsidRPr="003A690C">
        <w:rPr>
          <w:rStyle w:val="Heading1Char"/>
          <w:rFonts w:eastAsiaTheme="minorHAnsi"/>
        </w:rPr>
        <w:t xml:space="preserve">Tris </w:t>
      </w:r>
      <w:r w:rsidRPr="003A690C">
        <w:rPr>
          <w:rStyle w:val="Heading1Char"/>
          <w:rFonts w:eastAsiaTheme="minorHAnsi"/>
        </w:rPr>
        <w:t xml:space="preserve">buffer into a conical flask </w:t>
      </w:r>
      <w:r w:rsidR="0015441C" w:rsidRPr="003A690C">
        <w:rPr>
          <w:rStyle w:val="Heading1Char"/>
          <w:rFonts w:eastAsiaTheme="minorHAnsi"/>
        </w:rPr>
        <w:t xml:space="preserve"> or Falcon tube</w:t>
      </w:r>
    </w:p>
    <w:p w14:paraId="408C2FCD" w14:textId="490E3BFA" w:rsidR="00B64666" w:rsidRPr="003A690C" w:rsidRDefault="00B64666" w:rsidP="00DD4162">
      <w:pPr>
        <w:pStyle w:val="ListParagraph"/>
        <w:numPr>
          <w:ilvl w:val="0"/>
          <w:numId w:val="26"/>
        </w:numPr>
        <w:spacing w:before="240" w:line="276" w:lineRule="auto"/>
        <w:rPr>
          <w:rStyle w:val="Heading1Char"/>
          <w:rFonts w:eastAsiaTheme="minorHAnsi"/>
          <w:bCs/>
          <w:szCs w:val="24"/>
        </w:rPr>
      </w:pPr>
      <w:r w:rsidRPr="003A690C">
        <w:rPr>
          <w:rFonts w:ascii="Times New Roman" w:hAnsi="Times New Roman" w:cs="Times New Roman"/>
          <w:bCs/>
          <w:sz w:val="24"/>
          <w:szCs w:val="24"/>
        </w:rPr>
        <w:t xml:space="preserve">Add 1.5 ml TPP </w:t>
      </w:r>
      <w:r w:rsidR="00E55925" w:rsidRPr="003A690C">
        <w:rPr>
          <w:rFonts w:ascii="Times New Roman" w:hAnsi="Times New Roman" w:cs="Times New Roman"/>
          <w:bCs/>
          <w:sz w:val="24"/>
          <w:szCs w:val="24"/>
        </w:rPr>
        <w:t xml:space="preserve">(to ensure higher rates) </w:t>
      </w:r>
      <w:r w:rsidRPr="003A690C">
        <w:rPr>
          <w:rStyle w:val="Heading1Char"/>
          <w:rFonts w:eastAsiaTheme="minorHAnsi"/>
        </w:rPr>
        <w:t>and swirl gently to mix</w:t>
      </w:r>
    </w:p>
    <w:p w14:paraId="4B2761B1" w14:textId="77777777" w:rsidR="003A690C" w:rsidRPr="003A690C" w:rsidRDefault="00B64666" w:rsidP="003A690C">
      <w:pPr>
        <w:pStyle w:val="ListParagraph"/>
        <w:numPr>
          <w:ilvl w:val="0"/>
          <w:numId w:val="26"/>
        </w:numPr>
        <w:spacing w:before="240" w:line="276" w:lineRule="auto"/>
        <w:rPr>
          <w:rStyle w:val="Heading1Char"/>
          <w:rFonts w:eastAsiaTheme="minorHAnsi"/>
          <w:bCs/>
          <w:szCs w:val="24"/>
        </w:rPr>
      </w:pPr>
      <w:r>
        <w:rPr>
          <w:rStyle w:val="Heading1Char"/>
          <w:rFonts w:eastAsiaTheme="minorHAnsi"/>
        </w:rPr>
        <w:t>Incubate for 15 minutes at 37</w:t>
      </w:r>
      <w:r w:rsidR="00BD69B1">
        <w:rPr>
          <w:rStyle w:val="Heading1Char"/>
          <w:rFonts w:eastAsiaTheme="minorHAnsi"/>
        </w:rPr>
        <w:t xml:space="preserve"> </w:t>
      </w:r>
      <w:r w:rsidR="00BD69B1" w:rsidRPr="00BD69B1">
        <w:rPr>
          <w:rStyle w:val="Heading1Char"/>
          <w:rFonts w:eastAsiaTheme="minorHAnsi"/>
        </w:rPr>
        <w:t>°</w:t>
      </w:r>
      <w:r>
        <w:rPr>
          <w:rStyle w:val="Heading1Char"/>
          <w:rFonts w:eastAsiaTheme="minorHAnsi"/>
        </w:rPr>
        <w:t>C</w:t>
      </w:r>
    </w:p>
    <w:p w14:paraId="5C47521A" w14:textId="6A38DF29" w:rsidR="003A690C" w:rsidRPr="003A690C" w:rsidRDefault="003A690C" w:rsidP="003A690C">
      <w:pPr>
        <w:pStyle w:val="ListParagraph"/>
        <w:numPr>
          <w:ilvl w:val="0"/>
          <w:numId w:val="26"/>
        </w:numPr>
        <w:spacing w:before="240" w:line="276" w:lineRule="auto"/>
        <w:rPr>
          <w:rStyle w:val="Heading1Char"/>
          <w:rFonts w:eastAsiaTheme="minorHAnsi"/>
          <w:bCs/>
          <w:szCs w:val="24"/>
        </w:rPr>
      </w:pPr>
      <w:r w:rsidRPr="003A690C">
        <w:rPr>
          <w:rStyle w:val="Heading1Char"/>
          <w:rFonts w:eastAsiaTheme="minorHAnsi"/>
        </w:rPr>
        <w:t xml:space="preserve">Prepare working reagent (see step 1.9 of </w:t>
      </w:r>
      <w:r>
        <w:rPr>
          <w:rStyle w:val="Heading1Char"/>
          <w:rFonts w:eastAsiaTheme="minorHAnsi"/>
        </w:rPr>
        <w:t>“</w:t>
      </w:r>
      <w:r w:rsidRPr="003A690C">
        <w:rPr>
          <w:rFonts w:ascii="Times New Roman" w:hAnsi="Times New Roman" w:cs="Times New Roman"/>
          <w:bCs/>
          <w:sz w:val="24"/>
          <w:szCs w:val="24"/>
        </w:rPr>
        <w:t>Protocol for the measurement of erythrocyte transketolase activity coefficient (ETKAC)</w:t>
      </w:r>
      <w:r>
        <w:rPr>
          <w:rFonts w:ascii="Times New Roman" w:hAnsi="Times New Roman" w:cs="Times New Roman"/>
          <w:bCs/>
          <w:sz w:val="24"/>
          <w:szCs w:val="24"/>
        </w:rPr>
        <w:t>”)</w:t>
      </w:r>
    </w:p>
    <w:p w14:paraId="310D9639" w14:textId="236715D5" w:rsidR="00B64666" w:rsidRPr="008B70AB" w:rsidRDefault="00B64666" w:rsidP="008B70AB">
      <w:pPr>
        <w:pStyle w:val="ListParagraph"/>
        <w:numPr>
          <w:ilvl w:val="0"/>
          <w:numId w:val="26"/>
        </w:numPr>
        <w:spacing w:before="240" w:line="276" w:lineRule="auto"/>
        <w:rPr>
          <w:rStyle w:val="Heading1Char"/>
          <w:rFonts w:eastAsiaTheme="minorHAnsi"/>
          <w:bCs/>
          <w:szCs w:val="24"/>
        </w:rPr>
      </w:pPr>
      <w:r>
        <w:rPr>
          <w:rStyle w:val="Heading1Char"/>
          <w:rFonts w:eastAsiaTheme="minorHAnsi"/>
        </w:rPr>
        <w:t>Add</w:t>
      </w:r>
      <w:r w:rsidR="00C27BAB">
        <w:rPr>
          <w:rStyle w:val="Heading1Char"/>
          <w:rFonts w:eastAsiaTheme="minorHAnsi"/>
        </w:rPr>
        <w:t xml:space="preserve"> </w:t>
      </w:r>
      <w:r w:rsidR="003A690C">
        <w:rPr>
          <w:rStyle w:val="Heading1Char"/>
          <w:rFonts w:eastAsiaTheme="minorHAnsi"/>
        </w:rPr>
        <w:t>19.2 ml working</w:t>
      </w:r>
      <w:r>
        <w:rPr>
          <w:rStyle w:val="Heading1Char"/>
          <w:rFonts w:eastAsiaTheme="minorHAnsi"/>
        </w:rPr>
        <w:t xml:space="preserve"> reagent</w:t>
      </w:r>
      <w:r w:rsidR="008B70AB">
        <w:rPr>
          <w:rStyle w:val="Heading1Char"/>
          <w:rFonts w:eastAsiaTheme="minorHAnsi"/>
        </w:rPr>
        <w:t xml:space="preserve"> and swirl gently to mix</w:t>
      </w:r>
    </w:p>
    <w:p w14:paraId="789A4709" w14:textId="1387AFC5" w:rsidR="008B70AB" w:rsidRPr="00B64666" w:rsidRDefault="008B70AB" w:rsidP="008B70AB">
      <w:pPr>
        <w:pStyle w:val="ListParagraph"/>
        <w:numPr>
          <w:ilvl w:val="0"/>
          <w:numId w:val="26"/>
        </w:numPr>
        <w:spacing w:before="240" w:line="276" w:lineRule="auto"/>
        <w:rPr>
          <w:rStyle w:val="Heading1Char"/>
          <w:rFonts w:eastAsiaTheme="minorHAnsi"/>
          <w:bCs/>
          <w:szCs w:val="24"/>
        </w:rPr>
      </w:pPr>
      <w:r>
        <w:rPr>
          <w:rStyle w:val="Heading1Char"/>
          <w:rFonts w:eastAsiaTheme="minorHAnsi"/>
        </w:rPr>
        <w:t xml:space="preserve">Pipette 200 </w:t>
      </w:r>
      <w:r w:rsidRPr="00B64666">
        <w:rPr>
          <w:rStyle w:val="Heading1Char"/>
          <w:rFonts w:eastAsiaTheme="minorHAnsi"/>
        </w:rPr>
        <w:t>µl</w:t>
      </w:r>
      <w:r>
        <w:rPr>
          <w:rStyle w:val="Heading1Char"/>
          <w:rFonts w:eastAsiaTheme="minorHAnsi"/>
        </w:rPr>
        <w:t xml:space="preserve"> </w:t>
      </w:r>
      <w:r w:rsidR="003A690C">
        <w:rPr>
          <w:rStyle w:val="Heading1Char"/>
          <w:rFonts w:eastAsiaTheme="minorHAnsi"/>
        </w:rPr>
        <w:t xml:space="preserve">of the mixture </w:t>
      </w:r>
      <w:r>
        <w:rPr>
          <w:rStyle w:val="Heading1Char"/>
          <w:rFonts w:eastAsiaTheme="minorHAnsi"/>
        </w:rPr>
        <w:t>into each well of the 96-well plate</w:t>
      </w:r>
    </w:p>
    <w:p w14:paraId="5280D929" w14:textId="77777777" w:rsidR="0015441C" w:rsidRDefault="0015441C" w:rsidP="008B70AB">
      <w:pPr>
        <w:pStyle w:val="ListParagraph"/>
        <w:numPr>
          <w:ilvl w:val="0"/>
          <w:numId w:val="26"/>
        </w:numPr>
        <w:spacing w:after="200" w:line="276" w:lineRule="auto"/>
        <w:rPr>
          <w:rFonts w:ascii="Times New Roman" w:hAnsi="Times New Roman" w:cs="Times New Roman"/>
          <w:sz w:val="24"/>
          <w:szCs w:val="24"/>
        </w:rPr>
      </w:pPr>
      <w:r w:rsidRPr="003F257E">
        <w:rPr>
          <w:rFonts w:ascii="Times New Roman" w:hAnsi="Times New Roman" w:cs="Times New Roman"/>
          <w:sz w:val="24"/>
          <w:szCs w:val="24"/>
        </w:rPr>
        <w:t>Mix on the plate shaker at 600 RPM for 30 seconds (do not cover)</w:t>
      </w:r>
    </w:p>
    <w:p w14:paraId="62E16178" w14:textId="76E522D4" w:rsidR="0015441C" w:rsidRPr="00C27BAB" w:rsidRDefault="0015441C" w:rsidP="00C27BAB">
      <w:pPr>
        <w:pStyle w:val="ListParagraph"/>
        <w:numPr>
          <w:ilvl w:val="0"/>
          <w:numId w:val="26"/>
        </w:numPr>
        <w:spacing w:after="200" w:line="276" w:lineRule="auto"/>
        <w:rPr>
          <w:rFonts w:ascii="Times New Roman" w:hAnsi="Times New Roman" w:cs="Times New Roman"/>
          <w:sz w:val="24"/>
          <w:szCs w:val="24"/>
        </w:rPr>
      </w:pPr>
      <w:r>
        <w:rPr>
          <w:rFonts w:ascii="Times New Roman" w:hAnsi="Times New Roman" w:cs="Times New Roman"/>
          <w:sz w:val="24"/>
          <w:szCs w:val="24"/>
        </w:rPr>
        <w:t>Inspect wells for bubbles, if one is present it is advisable to burst i</w:t>
      </w:r>
      <w:r w:rsidR="00BC0E60">
        <w:rPr>
          <w:rFonts w:ascii="Times New Roman" w:hAnsi="Times New Roman" w:cs="Times New Roman"/>
          <w:sz w:val="24"/>
          <w:szCs w:val="24"/>
        </w:rPr>
        <w:t>t with a clean micropipette tip</w:t>
      </w:r>
    </w:p>
    <w:p w14:paraId="71A26871" w14:textId="310A4271" w:rsidR="0015441C" w:rsidRDefault="0015441C" w:rsidP="0015441C">
      <w:pPr>
        <w:pStyle w:val="ListParagraph"/>
        <w:numPr>
          <w:ilvl w:val="0"/>
          <w:numId w:val="26"/>
        </w:numPr>
        <w:spacing w:after="200" w:line="276" w:lineRule="auto"/>
        <w:rPr>
          <w:rFonts w:ascii="Times New Roman" w:hAnsi="Times New Roman" w:cs="Times New Roman"/>
          <w:sz w:val="24"/>
          <w:szCs w:val="24"/>
        </w:rPr>
      </w:pPr>
      <w:r w:rsidRPr="003F257E">
        <w:rPr>
          <w:rFonts w:ascii="Times New Roman" w:hAnsi="Times New Roman" w:cs="Times New Roman"/>
          <w:sz w:val="24"/>
          <w:szCs w:val="24"/>
        </w:rPr>
        <w:t>Read each well of the plate at 340 nm 60 times at 1 minute intervals, with reader set to briefly shake the plate for 5 seconds before each read</w:t>
      </w:r>
    </w:p>
    <w:p w14:paraId="71A3A97D" w14:textId="77777777" w:rsidR="00E55925" w:rsidRDefault="00E55925" w:rsidP="00E55925">
      <w:pPr>
        <w:pStyle w:val="ListParagraph"/>
        <w:spacing w:after="200" w:line="276" w:lineRule="auto"/>
        <w:rPr>
          <w:rFonts w:ascii="Times New Roman" w:hAnsi="Times New Roman" w:cs="Times New Roman"/>
          <w:sz w:val="24"/>
          <w:szCs w:val="24"/>
        </w:rPr>
      </w:pPr>
    </w:p>
    <w:p w14:paraId="408C0517" w14:textId="203A2253" w:rsidR="00FB7720" w:rsidRPr="003F257E" w:rsidRDefault="005E0876" w:rsidP="0015441C">
      <w:pPr>
        <w:spacing w:line="276" w:lineRule="auto"/>
        <w:rPr>
          <w:rFonts w:ascii="Times New Roman" w:hAnsi="Times New Roman" w:cs="Times New Roman"/>
          <w:b/>
          <w:bCs/>
          <w:sz w:val="24"/>
          <w:szCs w:val="24"/>
        </w:rPr>
      </w:pPr>
      <w:r>
        <w:rPr>
          <w:rFonts w:ascii="Times New Roman" w:hAnsi="Times New Roman" w:cs="Times New Roman"/>
          <w:b/>
          <w:bCs/>
          <w:sz w:val="24"/>
          <w:szCs w:val="24"/>
        </w:rPr>
        <w:t xml:space="preserve">A2. </w:t>
      </w:r>
      <w:r w:rsidR="00FB7720" w:rsidRPr="003F257E">
        <w:rPr>
          <w:rFonts w:ascii="Times New Roman" w:hAnsi="Times New Roman" w:cs="Times New Roman"/>
          <w:b/>
          <w:bCs/>
          <w:sz w:val="24"/>
          <w:szCs w:val="24"/>
        </w:rPr>
        <w:t>Calculation of results</w:t>
      </w:r>
    </w:p>
    <w:p w14:paraId="21DAD081" w14:textId="77777777" w:rsidR="00FB7720" w:rsidRPr="003F257E" w:rsidRDefault="00FB7720" w:rsidP="005E0876">
      <w:pPr>
        <w:pStyle w:val="ListParagraph"/>
        <w:numPr>
          <w:ilvl w:val="0"/>
          <w:numId w:val="29"/>
        </w:numPr>
        <w:spacing w:after="200" w:line="276" w:lineRule="auto"/>
        <w:rPr>
          <w:rFonts w:ascii="Times New Roman" w:hAnsi="Times New Roman" w:cs="Times New Roman"/>
          <w:sz w:val="24"/>
          <w:szCs w:val="24"/>
        </w:rPr>
      </w:pPr>
      <w:r w:rsidRPr="003F257E">
        <w:rPr>
          <w:rFonts w:ascii="Times New Roman" w:hAnsi="Times New Roman" w:cs="Times New Roman"/>
          <w:sz w:val="24"/>
          <w:szCs w:val="24"/>
        </w:rPr>
        <w:t>The first 40 readings, where the temperature of the plate is being brought to that of the reader, are not included in the calculations</w:t>
      </w:r>
    </w:p>
    <w:p w14:paraId="627DB123" w14:textId="77777777" w:rsidR="00FB7720" w:rsidRDefault="00FB7720" w:rsidP="005E0876">
      <w:pPr>
        <w:pStyle w:val="ListParagraph"/>
        <w:numPr>
          <w:ilvl w:val="0"/>
          <w:numId w:val="29"/>
        </w:numPr>
        <w:spacing w:after="200" w:line="276" w:lineRule="auto"/>
        <w:rPr>
          <w:rFonts w:ascii="Times New Roman" w:hAnsi="Times New Roman" w:cs="Times New Roman"/>
          <w:sz w:val="24"/>
          <w:szCs w:val="24"/>
        </w:rPr>
      </w:pPr>
      <w:r w:rsidRPr="003F257E">
        <w:rPr>
          <w:rFonts w:ascii="Times New Roman" w:hAnsi="Times New Roman" w:cs="Times New Roman"/>
          <w:sz w:val="24"/>
          <w:szCs w:val="24"/>
        </w:rPr>
        <w:lastRenderedPageBreak/>
        <w:t>Calculate the Δ change in absorbance at 340 nm for the last 20 readings for each well of the plate</w:t>
      </w:r>
    </w:p>
    <w:p w14:paraId="0B7E380A" w14:textId="604C7DB1" w:rsidR="0015441C" w:rsidRPr="003F257E" w:rsidRDefault="0015441C" w:rsidP="005E0876">
      <w:pPr>
        <w:pStyle w:val="ListParagraph"/>
        <w:numPr>
          <w:ilvl w:val="0"/>
          <w:numId w:val="29"/>
        </w:numPr>
        <w:spacing w:after="200" w:line="276" w:lineRule="auto"/>
        <w:rPr>
          <w:rFonts w:ascii="Times New Roman" w:hAnsi="Times New Roman" w:cs="Times New Roman"/>
          <w:sz w:val="24"/>
          <w:szCs w:val="24"/>
        </w:rPr>
      </w:pPr>
      <w:r>
        <w:rPr>
          <w:rFonts w:ascii="Times New Roman" w:hAnsi="Times New Roman" w:cs="Times New Roman"/>
          <w:sz w:val="24"/>
          <w:szCs w:val="24"/>
        </w:rPr>
        <w:t>Inspect traces for “spikes” if any individual rate is aberrant</w:t>
      </w:r>
      <w:r w:rsidR="008B70AB">
        <w:rPr>
          <w:rFonts w:ascii="Times New Roman" w:hAnsi="Times New Roman" w:cs="Times New Roman"/>
          <w:sz w:val="24"/>
          <w:szCs w:val="24"/>
        </w:rPr>
        <w:t>. Wells in which the rate has been affected by a spike or non-linearity or from mis-pipetting should be excluded from the calculations</w:t>
      </w:r>
      <w:r>
        <w:rPr>
          <w:rFonts w:ascii="Times New Roman" w:hAnsi="Times New Roman" w:cs="Times New Roman"/>
          <w:sz w:val="24"/>
          <w:szCs w:val="24"/>
        </w:rPr>
        <w:t xml:space="preserve"> </w:t>
      </w:r>
    </w:p>
    <w:p w14:paraId="0B018879" w14:textId="2763316F" w:rsidR="00FB7720" w:rsidRDefault="00FB7720" w:rsidP="005E0876">
      <w:pPr>
        <w:pStyle w:val="ListParagraph"/>
        <w:numPr>
          <w:ilvl w:val="0"/>
          <w:numId w:val="29"/>
        </w:numPr>
        <w:spacing w:after="200" w:line="276" w:lineRule="auto"/>
        <w:rPr>
          <w:rFonts w:ascii="Times New Roman" w:hAnsi="Times New Roman" w:cs="Times New Roman"/>
          <w:sz w:val="24"/>
          <w:szCs w:val="24"/>
        </w:rPr>
      </w:pPr>
      <w:r w:rsidRPr="003F257E">
        <w:rPr>
          <w:rFonts w:ascii="Times New Roman" w:hAnsi="Times New Roman" w:cs="Times New Roman"/>
          <w:sz w:val="24"/>
          <w:szCs w:val="24"/>
        </w:rPr>
        <w:t>Calculate the mean, standard deviation and %CV of the  Δ change in absorbance measurements</w:t>
      </w:r>
      <w:r w:rsidR="0015441C">
        <w:rPr>
          <w:rFonts w:ascii="Times New Roman" w:hAnsi="Times New Roman" w:cs="Times New Roman"/>
          <w:sz w:val="24"/>
          <w:szCs w:val="24"/>
        </w:rPr>
        <w:t xml:space="preserve"> for each row, each column and for the whole plate</w:t>
      </w:r>
    </w:p>
    <w:p w14:paraId="7199A99A" w14:textId="64F7B5B0" w:rsidR="0015441C" w:rsidRPr="00E55925" w:rsidRDefault="0015441C" w:rsidP="005E0876">
      <w:pPr>
        <w:pStyle w:val="ListParagraph"/>
        <w:numPr>
          <w:ilvl w:val="0"/>
          <w:numId w:val="29"/>
        </w:numPr>
        <w:spacing w:after="200" w:line="276" w:lineRule="auto"/>
        <w:rPr>
          <w:rFonts w:ascii="Times New Roman" w:hAnsi="Times New Roman" w:cs="Times New Roman"/>
          <w:sz w:val="24"/>
          <w:szCs w:val="24"/>
        </w:rPr>
      </w:pPr>
      <w:r>
        <w:rPr>
          <w:rFonts w:ascii="Times New Roman" w:hAnsi="Times New Roman" w:cs="Times New Roman"/>
          <w:sz w:val="24"/>
          <w:szCs w:val="24"/>
        </w:rPr>
        <w:t>Inspect the results to look for trends in rate (i</w:t>
      </w:r>
      <w:r w:rsidR="00E55925">
        <w:rPr>
          <w:rFonts w:ascii="Times New Roman" w:hAnsi="Times New Roman" w:cs="Times New Roman"/>
          <w:sz w:val="24"/>
          <w:szCs w:val="24"/>
        </w:rPr>
        <w:t>.</w:t>
      </w:r>
      <w:r>
        <w:rPr>
          <w:rFonts w:ascii="Times New Roman" w:hAnsi="Times New Roman" w:cs="Times New Roman"/>
          <w:sz w:val="24"/>
          <w:szCs w:val="24"/>
        </w:rPr>
        <w:t>e</w:t>
      </w:r>
      <w:r w:rsidR="00E55925">
        <w:rPr>
          <w:rFonts w:ascii="Times New Roman" w:hAnsi="Times New Roman" w:cs="Times New Roman"/>
          <w:sz w:val="24"/>
          <w:szCs w:val="24"/>
        </w:rPr>
        <w:t>.</w:t>
      </w:r>
      <w:r>
        <w:rPr>
          <w:rFonts w:ascii="Times New Roman" w:hAnsi="Times New Roman" w:cs="Times New Roman"/>
          <w:sz w:val="24"/>
          <w:szCs w:val="24"/>
        </w:rPr>
        <w:t xml:space="preserve"> in temperature) and also to look for edge effects (centre warmer than edges)</w:t>
      </w:r>
    </w:p>
    <w:p w14:paraId="6045CBA4" w14:textId="171D2EA5" w:rsidR="0015441C" w:rsidRDefault="002E0CF0" w:rsidP="005E0876">
      <w:pPr>
        <w:pStyle w:val="ListParagraph"/>
        <w:numPr>
          <w:ilvl w:val="0"/>
          <w:numId w:val="29"/>
        </w:numPr>
        <w:spacing w:after="200" w:line="276" w:lineRule="auto"/>
        <w:rPr>
          <w:rFonts w:ascii="Times New Roman" w:hAnsi="Times New Roman" w:cs="Times New Roman"/>
          <w:sz w:val="24"/>
          <w:szCs w:val="24"/>
        </w:rPr>
      </w:pPr>
      <w:r>
        <w:rPr>
          <w:rFonts w:ascii="Times New Roman" w:hAnsi="Times New Roman" w:cs="Times New Roman"/>
          <w:sz w:val="24"/>
          <w:szCs w:val="24"/>
        </w:rPr>
        <w:t>If the CVs of the rows or columns demonstrate unevenness in the enzyme rate and thus in the temperature in the wells, or if there is an “edge effect”, the part of the plate affected</w:t>
      </w:r>
      <w:r w:rsidR="008B70AB">
        <w:rPr>
          <w:rFonts w:ascii="Times New Roman" w:hAnsi="Times New Roman" w:cs="Times New Roman"/>
          <w:sz w:val="24"/>
          <w:szCs w:val="24"/>
        </w:rPr>
        <w:t xml:space="preserve"> is not suitable for this assay. The recommendation is that for rows and columns with the plate the CV should be &lt; 2% and for the plate overall, &lt; 3%</w:t>
      </w:r>
    </w:p>
    <w:p w14:paraId="55931C39" w14:textId="4F930D45" w:rsidR="008B70AB" w:rsidRPr="008B70AB" w:rsidRDefault="008B70AB" w:rsidP="008B70AB">
      <w:pPr>
        <w:pStyle w:val="ListParagraph"/>
        <w:numPr>
          <w:ilvl w:val="0"/>
          <w:numId w:val="29"/>
        </w:numPr>
        <w:spacing w:after="0"/>
        <w:rPr>
          <w:rFonts w:ascii="Times New Roman" w:hAnsi="Times New Roman" w:cs="Times New Roman"/>
          <w:sz w:val="24"/>
          <w:szCs w:val="24"/>
        </w:rPr>
      </w:pPr>
      <w:r w:rsidRPr="008B70AB">
        <w:rPr>
          <w:rFonts w:ascii="Times New Roman" w:hAnsi="Times New Roman" w:cs="Times New Roman"/>
          <w:sz w:val="24"/>
          <w:szCs w:val="24"/>
        </w:rPr>
        <w:t>Using notional “blank” rates</w:t>
      </w:r>
      <w:r w:rsidR="003A690C">
        <w:rPr>
          <w:rFonts w:ascii="Times New Roman" w:hAnsi="Times New Roman" w:cs="Times New Roman"/>
          <w:sz w:val="24"/>
          <w:szCs w:val="24"/>
        </w:rPr>
        <w:t xml:space="preserve"> (e.g. average blank rates obtained from QC data)</w:t>
      </w:r>
      <w:r w:rsidRPr="008B70AB">
        <w:rPr>
          <w:rFonts w:ascii="Times New Roman" w:hAnsi="Times New Roman" w:cs="Times New Roman"/>
          <w:sz w:val="24"/>
          <w:szCs w:val="24"/>
        </w:rPr>
        <w:t>, calculate “ETKAC” for each set of four wells in the same way as would be done for an assay. Ideally each calculated ETKAC will be 1.00 because the same reaction is occurring in every well. Inspect the results for deviations from 1.00; this provides an indication of the within-batch imprecisi</w:t>
      </w:r>
      <w:r>
        <w:rPr>
          <w:rFonts w:ascii="Times New Roman" w:hAnsi="Times New Roman" w:cs="Times New Roman"/>
          <w:sz w:val="24"/>
          <w:szCs w:val="24"/>
        </w:rPr>
        <w:t>on to be expected from an assay</w:t>
      </w:r>
    </w:p>
    <w:p w14:paraId="142A8275" w14:textId="642458D7" w:rsidR="00F119CB" w:rsidRPr="00E55925" w:rsidRDefault="00F119CB" w:rsidP="00E55925">
      <w:pPr>
        <w:pStyle w:val="ListParagraph"/>
        <w:numPr>
          <w:ilvl w:val="0"/>
          <w:numId w:val="15"/>
        </w:numPr>
        <w:spacing w:after="200" w:line="276" w:lineRule="auto"/>
        <w:rPr>
          <w:rFonts w:ascii="Times New Roman" w:hAnsi="Times New Roman" w:cs="Times New Roman"/>
          <w:sz w:val="24"/>
          <w:szCs w:val="24"/>
        </w:rPr>
      </w:pPr>
      <w:r w:rsidRPr="00E55925">
        <w:rPr>
          <w:rFonts w:ascii="Times New Roman" w:hAnsi="Times New Roman" w:cs="Times New Roman"/>
          <w:b/>
          <w:sz w:val="24"/>
          <w:szCs w:val="24"/>
        </w:rPr>
        <w:br w:type="page"/>
      </w:r>
    </w:p>
    <w:p w14:paraId="3982CF52" w14:textId="52153F4E" w:rsidR="003B0F89" w:rsidRPr="003F257E" w:rsidRDefault="003B0F89" w:rsidP="003F257E">
      <w:pPr>
        <w:spacing w:line="276" w:lineRule="auto"/>
        <w:rPr>
          <w:rFonts w:ascii="Times New Roman" w:hAnsi="Times New Roman" w:cs="Times New Roman"/>
          <w:b/>
          <w:sz w:val="24"/>
          <w:szCs w:val="24"/>
        </w:rPr>
      </w:pPr>
      <w:r w:rsidRPr="003F257E">
        <w:rPr>
          <w:rFonts w:ascii="Times New Roman" w:hAnsi="Times New Roman" w:cs="Times New Roman"/>
          <w:b/>
          <w:sz w:val="24"/>
          <w:szCs w:val="24"/>
        </w:rPr>
        <w:lastRenderedPageBreak/>
        <w:t>References</w:t>
      </w:r>
    </w:p>
    <w:p w14:paraId="14504CBC" w14:textId="74246DFA" w:rsidR="008D36B1" w:rsidRPr="008D36B1" w:rsidRDefault="00F119CB"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Pr>
          <w:rFonts w:ascii="Times New Roman" w:hAnsi="Times New Roman" w:cs="Times New Roman"/>
          <w:b/>
          <w:sz w:val="24"/>
          <w:szCs w:val="24"/>
        </w:rPr>
        <w:fldChar w:fldCharType="begin" w:fldLock="1"/>
      </w:r>
      <w:r>
        <w:rPr>
          <w:rFonts w:ascii="Times New Roman" w:hAnsi="Times New Roman" w:cs="Times New Roman"/>
          <w:b/>
          <w:sz w:val="24"/>
          <w:szCs w:val="24"/>
        </w:rPr>
        <w:instrText xml:space="preserve">ADDIN Mendeley Bibliography CSL_BIBLIOGRAPHY </w:instrText>
      </w:r>
      <w:r>
        <w:rPr>
          <w:rFonts w:ascii="Times New Roman" w:hAnsi="Times New Roman" w:cs="Times New Roman"/>
          <w:b/>
          <w:sz w:val="24"/>
          <w:szCs w:val="24"/>
        </w:rPr>
        <w:fldChar w:fldCharType="separate"/>
      </w:r>
      <w:r w:rsidR="008D36B1" w:rsidRPr="008D36B1">
        <w:rPr>
          <w:rFonts w:ascii="Times New Roman" w:hAnsi="Times New Roman" w:cs="Times New Roman"/>
          <w:noProof/>
          <w:sz w:val="24"/>
          <w:szCs w:val="24"/>
        </w:rPr>
        <w:t>1.</w:t>
      </w:r>
      <w:r w:rsidR="008D36B1" w:rsidRPr="008D36B1">
        <w:rPr>
          <w:rFonts w:ascii="Times New Roman" w:hAnsi="Times New Roman" w:cs="Times New Roman"/>
          <w:noProof/>
          <w:sz w:val="24"/>
          <w:szCs w:val="24"/>
        </w:rPr>
        <w:tab/>
        <w:t xml:space="preserve">Frank L.L. 2015. Thiamin in Clinical Practice. </w:t>
      </w:r>
      <w:r w:rsidR="008D36B1" w:rsidRPr="008D36B1">
        <w:rPr>
          <w:rFonts w:ascii="Times New Roman" w:hAnsi="Times New Roman" w:cs="Times New Roman"/>
          <w:i/>
          <w:iCs/>
          <w:noProof/>
          <w:sz w:val="24"/>
          <w:szCs w:val="24"/>
        </w:rPr>
        <w:t>JPEN. J. Parenter. Enteral Nutr.</w:t>
      </w:r>
      <w:r w:rsidR="008D36B1" w:rsidRPr="008D36B1">
        <w:rPr>
          <w:rFonts w:ascii="Times New Roman" w:hAnsi="Times New Roman" w:cs="Times New Roman"/>
          <w:noProof/>
          <w:sz w:val="24"/>
          <w:szCs w:val="24"/>
        </w:rPr>
        <w:t xml:space="preserve"> </w:t>
      </w:r>
      <w:r w:rsidR="008D36B1" w:rsidRPr="008D36B1">
        <w:rPr>
          <w:rFonts w:ascii="Times New Roman" w:hAnsi="Times New Roman" w:cs="Times New Roman"/>
          <w:b/>
          <w:bCs/>
          <w:noProof/>
          <w:sz w:val="24"/>
          <w:szCs w:val="24"/>
        </w:rPr>
        <w:t>39</w:t>
      </w:r>
      <w:r w:rsidR="008D36B1" w:rsidRPr="008D36B1">
        <w:rPr>
          <w:rFonts w:ascii="Times New Roman" w:hAnsi="Times New Roman" w:cs="Times New Roman"/>
          <w:noProof/>
          <w:sz w:val="24"/>
          <w:szCs w:val="24"/>
        </w:rPr>
        <w:t>: 503–520.</w:t>
      </w:r>
    </w:p>
    <w:p w14:paraId="679C8F7A"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2.</w:t>
      </w:r>
      <w:r w:rsidRPr="008D36B1">
        <w:rPr>
          <w:rFonts w:ascii="Times New Roman" w:hAnsi="Times New Roman" w:cs="Times New Roman"/>
          <w:noProof/>
          <w:sz w:val="24"/>
          <w:szCs w:val="24"/>
        </w:rPr>
        <w:tab/>
        <w:t xml:space="preserve">Whitfield K.C., M.W. Bourassa, B. Adamolekun, </w:t>
      </w:r>
      <w:r w:rsidRPr="008D36B1">
        <w:rPr>
          <w:rFonts w:ascii="Times New Roman" w:hAnsi="Times New Roman" w:cs="Times New Roman"/>
          <w:i/>
          <w:iCs/>
          <w:noProof/>
          <w:sz w:val="24"/>
          <w:szCs w:val="24"/>
        </w:rPr>
        <w:t>et al.</w:t>
      </w:r>
      <w:r w:rsidRPr="008D36B1">
        <w:rPr>
          <w:rFonts w:ascii="Times New Roman" w:hAnsi="Times New Roman" w:cs="Times New Roman"/>
          <w:noProof/>
          <w:sz w:val="24"/>
          <w:szCs w:val="24"/>
        </w:rPr>
        <w:t xml:space="preserve"> 2018. Thiamine deficiency disorders: diagnosis, prevalence, and a roadmap for global  control programs. </w:t>
      </w:r>
      <w:r w:rsidRPr="008D36B1">
        <w:rPr>
          <w:rFonts w:ascii="Times New Roman" w:hAnsi="Times New Roman" w:cs="Times New Roman"/>
          <w:i/>
          <w:iCs/>
          <w:noProof/>
          <w:sz w:val="24"/>
          <w:szCs w:val="24"/>
        </w:rPr>
        <w:t>Ann. N. Y. Acad. Sci.</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1430</w:t>
      </w:r>
      <w:r w:rsidRPr="008D36B1">
        <w:rPr>
          <w:rFonts w:ascii="Times New Roman" w:hAnsi="Times New Roman" w:cs="Times New Roman"/>
          <w:noProof/>
          <w:sz w:val="24"/>
          <w:szCs w:val="24"/>
        </w:rPr>
        <w:t>: 3–43.</w:t>
      </w:r>
    </w:p>
    <w:p w14:paraId="7C392A96"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3.</w:t>
      </w:r>
      <w:r w:rsidRPr="008D36B1">
        <w:rPr>
          <w:rFonts w:ascii="Times New Roman" w:hAnsi="Times New Roman" w:cs="Times New Roman"/>
          <w:noProof/>
          <w:sz w:val="24"/>
          <w:szCs w:val="24"/>
        </w:rPr>
        <w:tab/>
        <w:t xml:space="preserve">Hiffler L., B. Rakotoambinina, N. Lafferty, </w:t>
      </w:r>
      <w:r w:rsidRPr="008D36B1">
        <w:rPr>
          <w:rFonts w:ascii="Times New Roman" w:hAnsi="Times New Roman" w:cs="Times New Roman"/>
          <w:i/>
          <w:iCs/>
          <w:noProof/>
          <w:sz w:val="24"/>
          <w:szCs w:val="24"/>
        </w:rPr>
        <w:t>et al.</w:t>
      </w:r>
      <w:r w:rsidRPr="008D36B1">
        <w:rPr>
          <w:rFonts w:ascii="Times New Roman" w:hAnsi="Times New Roman" w:cs="Times New Roman"/>
          <w:noProof/>
          <w:sz w:val="24"/>
          <w:szCs w:val="24"/>
        </w:rPr>
        <w:t xml:space="preserve"> 2016. Thiamine Deficiency in Tropical Pediatrics: New Insights into a Neglected but Vital  Metabolic Challenge. </w:t>
      </w:r>
      <w:r w:rsidRPr="008D36B1">
        <w:rPr>
          <w:rFonts w:ascii="Times New Roman" w:hAnsi="Times New Roman" w:cs="Times New Roman"/>
          <w:i/>
          <w:iCs/>
          <w:noProof/>
          <w:sz w:val="24"/>
          <w:szCs w:val="24"/>
        </w:rPr>
        <w:t>Front. Nutr.</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3</w:t>
      </w:r>
      <w:r w:rsidRPr="008D36B1">
        <w:rPr>
          <w:rFonts w:ascii="Times New Roman" w:hAnsi="Times New Roman" w:cs="Times New Roman"/>
          <w:noProof/>
          <w:sz w:val="24"/>
          <w:szCs w:val="24"/>
        </w:rPr>
        <w:t>: 16.</w:t>
      </w:r>
    </w:p>
    <w:p w14:paraId="3823B294"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4.</w:t>
      </w:r>
      <w:r w:rsidRPr="008D36B1">
        <w:rPr>
          <w:rFonts w:ascii="Times New Roman" w:hAnsi="Times New Roman" w:cs="Times New Roman"/>
          <w:noProof/>
          <w:sz w:val="24"/>
          <w:szCs w:val="24"/>
        </w:rPr>
        <w:tab/>
        <w:t xml:space="preserve">McCann A., Ø. Midttun, K.C. Whitfield, </w:t>
      </w:r>
      <w:r w:rsidRPr="008D36B1">
        <w:rPr>
          <w:rFonts w:ascii="Times New Roman" w:hAnsi="Times New Roman" w:cs="Times New Roman"/>
          <w:i/>
          <w:iCs/>
          <w:noProof/>
          <w:sz w:val="24"/>
          <w:szCs w:val="24"/>
        </w:rPr>
        <w:t>et al.</w:t>
      </w:r>
      <w:r w:rsidRPr="008D36B1">
        <w:rPr>
          <w:rFonts w:ascii="Times New Roman" w:hAnsi="Times New Roman" w:cs="Times New Roman"/>
          <w:noProof/>
          <w:sz w:val="24"/>
          <w:szCs w:val="24"/>
        </w:rPr>
        <w:t xml:space="preserve"> 2017. Comparable Performance Characteristics of Plasma Thiamine and Erythrocyte Thiamine  Diphosphate in Response to Thiamine Fortification in Rural Cambodian Women. </w:t>
      </w:r>
      <w:r w:rsidRPr="008D36B1">
        <w:rPr>
          <w:rFonts w:ascii="Times New Roman" w:hAnsi="Times New Roman" w:cs="Times New Roman"/>
          <w:i/>
          <w:iCs/>
          <w:noProof/>
          <w:sz w:val="24"/>
          <w:szCs w:val="24"/>
        </w:rPr>
        <w:t>Nutrients</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9</w:t>
      </w:r>
      <w:r w:rsidRPr="008D36B1">
        <w:rPr>
          <w:rFonts w:ascii="Times New Roman" w:hAnsi="Times New Roman" w:cs="Times New Roman"/>
          <w:noProof/>
          <w:sz w:val="24"/>
          <w:szCs w:val="24"/>
        </w:rPr>
        <w:t>:.</w:t>
      </w:r>
    </w:p>
    <w:p w14:paraId="4C86BBCB"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5.</w:t>
      </w:r>
      <w:r w:rsidRPr="008D36B1">
        <w:rPr>
          <w:rFonts w:ascii="Times New Roman" w:hAnsi="Times New Roman" w:cs="Times New Roman"/>
          <w:noProof/>
          <w:sz w:val="24"/>
          <w:szCs w:val="24"/>
        </w:rPr>
        <w:tab/>
        <w:t>Gibson R.S. 2005. “</w:t>
      </w:r>
      <w:r w:rsidRPr="008D36B1">
        <w:rPr>
          <w:rFonts w:ascii="Times New Roman" w:hAnsi="Times New Roman" w:cs="Times New Roman"/>
          <w:i/>
          <w:iCs/>
          <w:noProof/>
          <w:sz w:val="24"/>
          <w:szCs w:val="24"/>
        </w:rPr>
        <w:t>Principles of Nutritional Assessment</w:t>
      </w:r>
      <w:r w:rsidRPr="008D36B1">
        <w:rPr>
          <w:rFonts w:ascii="Times New Roman" w:hAnsi="Times New Roman" w:cs="Times New Roman"/>
          <w:noProof/>
          <w:sz w:val="24"/>
          <w:szCs w:val="24"/>
        </w:rPr>
        <w:t>.,” Second New York: Oxford University Press.</w:t>
      </w:r>
    </w:p>
    <w:p w14:paraId="67DF4764"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6.</w:t>
      </w:r>
      <w:r w:rsidRPr="008D36B1">
        <w:rPr>
          <w:rFonts w:ascii="Times New Roman" w:hAnsi="Times New Roman" w:cs="Times New Roman"/>
          <w:noProof/>
          <w:sz w:val="24"/>
          <w:szCs w:val="24"/>
        </w:rPr>
        <w:tab/>
        <w:t xml:space="preserve">Collie J.T.B., R.F. Greaves, O.A.H. Jones, </w:t>
      </w:r>
      <w:r w:rsidRPr="008D36B1">
        <w:rPr>
          <w:rFonts w:ascii="Times New Roman" w:hAnsi="Times New Roman" w:cs="Times New Roman"/>
          <w:i/>
          <w:iCs/>
          <w:noProof/>
          <w:sz w:val="24"/>
          <w:szCs w:val="24"/>
        </w:rPr>
        <w:t>et al.</w:t>
      </w:r>
      <w:r w:rsidRPr="008D36B1">
        <w:rPr>
          <w:rFonts w:ascii="Times New Roman" w:hAnsi="Times New Roman" w:cs="Times New Roman"/>
          <w:noProof/>
          <w:sz w:val="24"/>
          <w:szCs w:val="24"/>
        </w:rPr>
        <w:t xml:space="preserve"> 2017. Vitamin B1 in critically ill patients: needs and challenges. </w:t>
      </w:r>
      <w:r w:rsidRPr="008D36B1">
        <w:rPr>
          <w:rFonts w:ascii="Times New Roman" w:hAnsi="Times New Roman" w:cs="Times New Roman"/>
          <w:i/>
          <w:iCs/>
          <w:noProof/>
          <w:sz w:val="24"/>
          <w:szCs w:val="24"/>
        </w:rPr>
        <w:t>Clin. Chem. Lab. Med.</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55</w:t>
      </w:r>
      <w:r w:rsidRPr="008D36B1">
        <w:rPr>
          <w:rFonts w:ascii="Times New Roman" w:hAnsi="Times New Roman" w:cs="Times New Roman"/>
          <w:noProof/>
          <w:sz w:val="24"/>
          <w:szCs w:val="24"/>
        </w:rPr>
        <w:t>: 1652–1668.</w:t>
      </w:r>
    </w:p>
    <w:p w14:paraId="7BC2AFB3"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7.</w:t>
      </w:r>
      <w:r w:rsidRPr="008D36B1">
        <w:rPr>
          <w:rFonts w:ascii="Times New Roman" w:hAnsi="Times New Roman" w:cs="Times New Roman"/>
          <w:noProof/>
          <w:sz w:val="24"/>
          <w:szCs w:val="24"/>
        </w:rPr>
        <w:tab/>
        <w:t xml:space="preserve">Brin M. 1962. Effects of thiamine deficiency and of oxythiamine on rat tissue transketolase. </w:t>
      </w:r>
      <w:r w:rsidRPr="008D36B1">
        <w:rPr>
          <w:rFonts w:ascii="Times New Roman" w:hAnsi="Times New Roman" w:cs="Times New Roman"/>
          <w:i/>
          <w:iCs/>
          <w:noProof/>
          <w:sz w:val="24"/>
          <w:szCs w:val="24"/>
        </w:rPr>
        <w:t>J. Nutr.</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78</w:t>
      </w:r>
      <w:r w:rsidRPr="008D36B1">
        <w:rPr>
          <w:rFonts w:ascii="Times New Roman" w:hAnsi="Times New Roman" w:cs="Times New Roman"/>
          <w:noProof/>
          <w:sz w:val="24"/>
          <w:szCs w:val="24"/>
        </w:rPr>
        <w:t>: 179–183.</w:t>
      </w:r>
    </w:p>
    <w:p w14:paraId="76DB6733"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8.</w:t>
      </w:r>
      <w:r w:rsidRPr="008D36B1">
        <w:rPr>
          <w:rFonts w:ascii="Times New Roman" w:hAnsi="Times New Roman" w:cs="Times New Roman"/>
          <w:noProof/>
          <w:sz w:val="24"/>
          <w:szCs w:val="24"/>
        </w:rPr>
        <w:tab/>
        <w:t xml:space="preserve">Smeets E.H., H. Muller &amp; J. de Wael. 1971. A NADH-dependent transketolase assay in erythrocyte hemolysates. </w:t>
      </w:r>
      <w:r w:rsidRPr="008D36B1">
        <w:rPr>
          <w:rFonts w:ascii="Times New Roman" w:hAnsi="Times New Roman" w:cs="Times New Roman"/>
          <w:i/>
          <w:iCs/>
          <w:noProof/>
          <w:sz w:val="24"/>
          <w:szCs w:val="24"/>
        </w:rPr>
        <w:t>Clin. Chim. Acta.</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33</w:t>
      </w:r>
      <w:r w:rsidRPr="008D36B1">
        <w:rPr>
          <w:rFonts w:ascii="Times New Roman" w:hAnsi="Times New Roman" w:cs="Times New Roman"/>
          <w:noProof/>
          <w:sz w:val="24"/>
          <w:szCs w:val="24"/>
        </w:rPr>
        <w:t>: 379–386.</w:t>
      </w:r>
    </w:p>
    <w:p w14:paraId="5A13156C"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9.</w:t>
      </w:r>
      <w:r w:rsidRPr="008D36B1">
        <w:rPr>
          <w:rFonts w:ascii="Times New Roman" w:hAnsi="Times New Roman" w:cs="Times New Roman"/>
          <w:noProof/>
          <w:sz w:val="24"/>
          <w:szCs w:val="24"/>
        </w:rPr>
        <w:tab/>
        <w:t xml:space="preserve">Mount J.N., E. Heduan, C. Herd, </w:t>
      </w:r>
      <w:r w:rsidRPr="008D36B1">
        <w:rPr>
          <w:rFonts w:ascii="Times New Roman" w:hAnsi="Times New Roman" w:cs="Times New Roman"/>
          <w:i/>
          <w:iCs/>
          <w:noProof/>
          <w:sz w:val="24"/>
          <w:szCs w:val="24"/>
        </w:rPr>
        <w:t>et al.</w:t>
      </w:r>
      <w:r w:rsidRPr="008D36B1">
        <w:rPr>
          <w:rFonts w:ascii="Times New Roman" w:hAnsi="Times New Roman" w:cs="Times New Roman"/>
          <w:noProof/>
          <w:sz w:val="24"/>
          <w:szCs w:val="24"/>
        </w:rPr>
        <w:t xml:space="preserve"> 1987. Adaptation of coenzyme stimulation assays for the nutritional assessment of vitamins  B1, B2 and B6 using the Cobas Bio centrifugal analyser. </w:t>
      </w:r>
      <w:r w:rsidRPr="008D36B1">
        <w:rPr>
          <w:rFonts w:ascii="Times New Roman" w:hAnsi="Times New Roman" w:cs="Times New Roman"/>
          <w:i/>
          <w:iCs/>
          <w:noProof/>
          <w:sz w:val="24"/>
          <w:szCs w:val="24"/>
        </w:rPr>
        <w:t>Ann. Clin. Biochem.</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24 ( Pt 1)</w:t>
      </w:r>
      <w:r w:rsidRPr="008D36B1">
        <w:rPr>
          <w:rFonts w:ascii="Times New Roman" w:hAnsi="Times New Roman" w:cs="Times New Roman"/>
          <w:noProof/>
          <w:sz w:val="24"/>
          <w:szCs w:val="24"/>
        </w:rPr>
        <w:t>: 41–46.</w:t>
      </w:r>
    </w:p>
    <w:p w14:paraId="2929C0DA"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10.</w:t>
      </w:r>
      <w:r w:rsidRPr="008D36B1">
        <w:rPr>
          <w:rFonts w:ascii="Times New Roman" w:hAnsi="Times New Roman" w:cs="Times New Roman"/>
          <w:noProof/>
          <w:sz w:val="24"/>
          <w:szCs w:val="24"/>
        </w:rPr>
        <w:tab/>
        <w:t xml:space="preserve">Vuilleumier J.P., H.E. Keller &amp; E. Keck. 1990. Clinical chemical methods for the routine assessment of the vitamin status in human  populations. Part III: The apoenzyme stimulation tests for vitamin B1, B2 and B6 adapted to the Cobas-Bio analyzer. </w:t>
      </w:r>
      <w:r w:rsidRPr="008D36B1">
        <w:rPr>
          <w:rFonts w:ascii="Times New Roman" w:hAnsi="Times New Roman" w:cs="Times New Roman"/>
          <w:i/>
          <w:iCs/>
          <w:noProof/>
          <w:sz w:val="24"/>
          <w:szCs w:val="24"/>
        </w:rPr>
        <w:t>Int. J. Vitam. Nutr. Res. Int. Zeitschrift  fur Vitamin- und Ernahrungsforschung. J. Int. Vitaminol. Nutr.</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60</w:t>
      </w:r>
      <w:r w:rsidRPr="008D36B1">
        <w:rPr>
          <w:rFonts w:ascii="Times New Roman" w:hAnsi="Times New Roman" w:cs="Times New Roman"/>
          <w:noProof/>
          <w:sz w:val="24"/>
          <w:szCs w:val="24"/>
        </w:rPr>
        <w:t>: 126–135.</w:t>
      </w:r>
    </w:p>
    <w:p w14:paraId="41D84542"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11.</w:t>
      </w:r>
      <w:r w:rsidRPr="008D36B1">
        <w:rPr>
          <w:rFonts w:ascii="Times New Roman" w:hAnsi="Times New Roman" w:cs="Times New Roman"/>
          <w:noProof/>
          <w:sz w:val="24"/>
          <w:szCs w:val="24"/>
        </w:rPr>
        <w:tab/>
        <w:t>Public Health England. 2014. “</w:t>
      </w:r>
      <w:r w:rsidRPr="008D36B1">
        <w:rPr>
          <w:rFonts w:ascii="Times New Roman" w:hAnsi="Times New Roman" w:cs="Times New Roman"/>
          <w:i/>
          <w:iCs/>
          <w:noProof/>
          <w:sz w:val="24"/>
          <w:szCs w:val="24"/>
        </w:rPr>
        <w:t>National Diet and Nutrition Survey Results from Years 1, 2, 3 and 4 (combined) of the Rolling Programme (2008/2009 – 2011/2012)</w:t>
      </w:r>
      <w:r w:rsidRPr="008D36B1">
        <w:rPr>
          <w:rFonts w:ascii="Times New Roman" w:hAnsi="Times New Roman" w:cs="Times New Roman"/>
          <w:noProof/>
          <w:sz w:val="24"/>
          <w:szCs w:val="24"/>
        </w:rPr>
        <w:t>.”</w:t>
      </w:r>
    </w:p>
    <w:p w14:paraId="20E5DB8E"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12.</w:t>
      </w:r>
      <w:r w:rsidRPr="008D36B1">
        <w:rPr>
          <w:rFonts w:ascii="Times New Roman" w:hAnsi="Times New Roman" w:cs="Times New Roman"/>
          <w:noProof/>
          <w:sz w:val="24"/>
          <w:szCs w:val="24"/>
        </w:rPr>
        <w:tab/>
        <w:t xml:space="preserve">Takeuchi T., E.H. Jung, K. Nishino, </w:t>
      </w:r>
      <w:r w:rsidRPr="008D36B1">
        <w:rPr>
          <w:rFonts w:ascii="Times New Roman" w:hAnsi="Times New Roman" w:cs="Times New Roman"/>
          <w:i/>
          <w:iCs/>
          <w:noProof/>
          <w:sz w:val="24"/>
          <w:szCs w:val="24"/>
        </w:rPr>
        <w:t>et al.</w:t>
      </w:r>
      <w:r w:rsidRPr="008D36B1">
        <w:rPr>
          <w:rFonts w:ascii="Times New Roman" w:hAnsi="Times New Roman" w:cs="Times New Roman"/>
          <w:noProof/>
          <w:sz w:val="24"/>
          <w:szCs w:val="24"/>
        </w:rPr>
        <w:t xml:space="preserve"> 1990. The relationship between the thiamin pyrophosphate effect and the saturation status  of the transketolase with its coenzyme in human erythrocytes. </w:t>
      </w:r>
      <w:r w:rsidRPr="008D36B1">
        <w:rPr>
          <w:rFonts w:ascii="Times New Roman" w:hAnsi="Times New Roman" w:cs="Times New Roman"/>
          <w:i/>
          <w:iCs/>
          <w:noProof/>
          <w:sz w:val="24"/>
          <w:szCs w:val="24"/>
        </w:rPr>
        <w:t>Int. J. Vitam. Nutr. Res. Int. Zeitschrift  fur Vitamin- und Ernahrungsforschung. J. Int. Vitaminol. Nutr.</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60</w:t>
      </w:r>
      <w:r w:rsidRPr="008D36B1">
        <w:rPr>
          <w:rFonts w:ascii="Times New Roman" w:hAnsi="Times New Roman" w:cs="Times New Roman"/>
          <w:noProof/>
          <w:sz w:val="24"/>
          <w:szCs w:val="24"/>
        </w:rPr>
        <w:t>: 112–120.</w:t>
      </w:r>
    </w:p>
    <w:p w14:paraId="2D24A39D"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13.</w:t>
      </w:r>
      <w:r w:rsidRPr="008D36B1">
        <w:rPr>
          <w:rFonts w:ascii="Times New Roman" w:hAnsi="Times New Roman" w:cs="Times New Roman"/>
          <w:noProof/>
          <w:sz w:val="24"/>
          <w:szCs w:val="24"/>
        </w:rPr>
        <w:tab/>
        <w:t xml:space="preserve">EFSA Panel on Dietetic Products N. and A. (NDA), D. Turck, J.-L. Bresson, </w:t>
      </w:r>
      <w:r w:rsidRPr="008D36B1">
        <w:rPr>
          <w:rFonts w:ascii="Times New Roman" w:hAnsi="Times New Roman" w:cs="Times New Roman"/>
          <w:i/>
          <w:iCs/>
          <w:noProof/>
          <w:sz w:val="24"/>
          <w:szCs w:val="24"/>
        </w:rPr>
        <w:t>et al.</w:t>
      </w:r>
      <w:r w:rsidRPr="008D36B1">
        <w:rPr>
          <w:rFonts w:ascii="Times New Roman" w:hAnsi="Times New Roman" w:cs="Times New Roman"/>
          <w:noProof/>
          <w:sz w:val="24"/>
          <w:szCs w:val="24"/>
        </w:rPr>
        <w:t xml:space="preserve"> 2016. Dietary reference values for thiamin. </w:t>
      </w:r>
      <w:r w:rsidRPr="008D36B1">
        <w:rPr>
          <w:rFonts w:ascii="Times New Roman" w:hAnsi="Times New Roman" w:cs="Times New Roman"/>
          <w:i/>
          <w:iCs/>
          <w:noProof/>
          <w:sz w:val="24"/>
          <w:szCs w:val="24"/>
        </w:rPr>
        <w:t>EFSA J.</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14</w:t>
      </w:r>
      <w:r w:rsidRPr="008D36B1">
        <w:rPr>
          <w:rFonts w:ascii="Times New Roman" w:hAnsi="Times New Roman" w:cs="Times New Roman"/>
          <w:noProof/>
          <w:sz w:val="24"/>
          <w:szCs w:val="24"/>
        </w:rPr>
        <w:t>: e04653.</w:t>
      </w:r>
    </w:p>
    <w:p w14:paraId="71A58D62"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14.</w:t>
      </w:r>
      <w:r w:rsidRPr="008D36B1">
        <w:rPr>
          <w:rFonts w:ascii="Times New Roman" w:hAnsi="Times New Roman" w:cs="Times New Roman"/>
          <w:noProof/>
          <w:sz w:val="24"/>
          <w:szCs w:val="24"/>
        </w:rPr>
        <w:tab/>
        <w:t>Medicine I. of. 1998. “</w:t>
      </w:r>
      <w:r w:rsidRPr="008D36B1">
        <w:rPr>
          <w:rFonts w:ascii="Times New Roman" w:hAnsi="Times New Roman" w:cs="Times New Roman"/>
          <w:i/>
          <w:iCs/>
          <w:noProof/>
          <w:sz w:val="24"/>
          <w:szCs w:val="24"/>
        </w:rPr>
        <w:t>Dietary Reference Intakes for Thiamin, Riboflavin, Niacin, Vitamin B 6, Folate, Vitamin B 12, Pantothenic Acid, Biotin, and Choline</w:t>
      </w:r>
      <w:r w:rsidRPr="008D36B1">
        <w:rPr>
          <w:rFonts w:ascii="Times New Roman" w:hAnsi="Times New Roman" w:cs="Times New Roman"/>
          <w:noProof/>
          <w:sz w:val="24"/>
          <w:szCs w:val="24"/>
        </w:rPr>
        <w:t>.” Washington (DC).</w:t>
      </w:r>
    </w:p>
    <w:p w14:paraId="772DD026"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15.</w:t>
      </w:r>
      <w:r w:rsidRPr="008D36B1">
        <w:rPr>
          <w:rFonts w:ascii="Times New Roman" w:hAnsi="Times New Roman" w:cs="Times New Roman"/>
          <w:noProof/>
          <w:sz w:val="24"/>
          <w:szCs w:val="24"/>
        </w:rPr>
        <w:tab/>
        <w:t xml:space="preserve">Shaw N.-S., J.-L. Wang, W.-H. Pan, </w:t>
      </w:r>
      <w:r w:rsidRPr="008D36B1">
        <w:rPr>
          <w:rFonts w:ascii="Times New Roman" w:hAnsi="Times New Roman" w:cs="Times New Roman"/>
          <w:i/>
          <w:iCs/>
          <w:noProof/>
          <w:sz w:val="24"/>
          <w:szCs w:val="24"/>
        </w:rPr>
        <w:t>et al.</w:t>
      </w:r>
      <w:r w:rsidRPr="008D36B1">
        <w:rPr>
          <w:rFonts w:ascii="Times New Roman" w:hAnsi="Times New Roman" w:cs="Times New Roman"/>
          <w:noProof/>
          <w:sz w:val="24"/>
          <w:szCs w:val="24"/>
        </w:rPr>
        <w:t xml:space="preserve"> 2007. Thiamin and riboflavin status of Taiwanese elementary schoolchildren. </w:t>
      </w:r>
      <w:r w:rsidRPr="008D36B1">
        <w:rPr>
          <w:rFonts w:ascii="Times New Roman" w:hAnsi="Times New Roman" w:cs="Times New Roman"/>
          <w:i/>
          <w:iCs/>
          <w:noProof/>
          <w:sz w:val="24"/>
          <w:szCs w:val="24"/>
        </w:rPr>
        <w:t>Asia Pac. J. Clin. Nutr.</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16 Suppl 2</w:t>
      </w:r>
      <w:r w:rsidRPr="008D36B1">
        <w:rPr>
          <w:rFonts w:ascii="Times New Roman" w:hAnsi="Times New Roman" w:cs="Times New Roman"/>
          <w:noProof/>
          <w:sz w:val="24"/>
          <w:szCs w:val="24"/>
        </w:rPr>
        <w:t>: 564–571.</w:t>
      </w:r>
    </w:p>
    <w:p w14:paraId="33974335"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lastRenderedPageBreak/>
        <w:t>16.</w:t>
      </w:r>
      <w:r w:rsidRPr="008D36B1">
        <w:rPr>
          <w:rFonts w:ascii="Times New Roman" w:hAnsi="Times New Roman" w:cs="Times New Roman"/>
          <w:noProof/>
          <w:sz w:val="24"/>
          <w:szCs w:val="24"/>
        </w:rPr>
        <w:tab/>
        <w:t xml:space="preserve">Bates C.J. 1997. Vitamin Analysis. </w:t>
      </w:r>
      <w:r w:rsidRPr="008D36B1">
        <w:rPr>
          <w:rFonts w:ascii="Times New Roman" w:hAnsi="Times New Roman" w:cs="Times New Roman"/>
          <w:i/>
          <w:iCs/>
          <w:noProof/>
          <w:sz w:val="24"/>
          <w:szCs w:val="24"/>
        </w:rPr>
        <w:t>Ann. Clin. Biochem.</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34</w:t>
      </w:r>
      <w:r w:rsidRPr="008D36B1">
        <w:rPr>
          <w:rFonts w:ascii="Times New Roman" w:hAnsi="Times New Roman" w:cs="Times New Roman"/>
          <w:noProof/>
          <w:sz w:val="24"/>
          <w:szCs w:val="24"/>
        </w:rPr>
        <w:t>: 599–626.</w:t>
      </w:r>
    </w:p>
    <w:p w14:paraId="4CFA1667"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17.</w:t>
      </w:r>
      <w:r w:rsidRPr="008D36B1">
        <w:rPr>
          <w:rFonts w:ascii="Times New Roman" w:hAnsi="Times New Roman" w:cs="Times New Roman"/>
          <w:noProof/>
          <w:sz w:val="24"/>
          <w:szCs w:val="24"/>
        </w:rPr>
        <w:tab/>
        <w:t xml:space="preserve">Wood B., K.J. Breen &amp; D.G. Penington. 1977. Thiamine status in alcoholism. </w:t>
      </w:r>
      <w:r w:rsidRPr="008D36B1">
        <w:rPr>
          <w:rFonts w:ascii="Times New Roman" w:hAnsi="Times New Roman" w:cs="Times New Roman"/>
          <w:i/>
          <w:iCs/>
          <w:noProof/>
          <w:sz w:val="24"/>
          <w:szCs w:val="24"/>
        </w:rPr>
        <w:t>Aust. N. Z. J. Med.</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7</w:t>
      </w:r>
      <w:r w:rsidRPr="008D36B1">
        <w:rPr>
          <w:rFonts w:ascii="Times New Roman" w:hAnsi="Times New Roman" w:cs="Times New Roman"/>
          <w:noProof/>
          <w:sz w:val="24"/>
          <w:szCs w:val="24"/>
        </w:rPr>
        <w:t>: 475–484.</w:t>
      </w:r>
    </w:p>
    <w:p w14:paraId="313A5891"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18.</w:t>
      </w:r>
      <w:r w:rsidRPr="008D36B1">
        <w:rPr>
          <w:rFonts w:ascii="Times New Roman" w:hAnsi="Times New Roman" w:cs="Times New Roman"/>
          <w:noProof/>
          <w:sz w:val="24"/>
          <w:szCs w:val="24"/>
        </w:rPr>
        <w:tab/>
        <w:t xml:space="preserve">Soukaloun D., S.J. Lee, K. Chamberlain, </w:t>
      </w:r>
      <w:r w:rsidRPr="008D36B1">
        <w:rPr>
          <w:rFonts w:ascii="Times New Roman" w:hAnsi="Times New Roman" w:cs="Times New Roman"/>
          <w:i/>
          <w:iCs/>
          <w:noProof/>
          <w:sz w:val="24"/>
          <w:szCs w:val="24"/>
        </w:rPr>
        <w:t>et al.</w:t>
      </w:r>
      <w:r w:rsidRPr="008D36B1">
        <w:rPr>
          <w:rFonts w:ascii="Times New Roman" w:hAnsi="Times New Roman" w:cs="Times New Roman"/>
          <w:noProof/>
          <w:sz w:val="24"/>
          <w:szCs w:val="24"/>
        </w:rPr>
        <w:t xml:space="preserve"> 2011. Erythrocyte Transketolase Activity, Markers of Cardiac Dysfunction and the Diagnosis of Infantile Beriberi. </w:t>
      </w:r>
      <w:r w:rsidRPr="008D36B1">
        <w:rPr>
          <w:rFonts w:ascii="Times New Roman" w:hAnsi="Times New Roman" w:cs="Times New Roman"/>
          <w:i/>
          <w:iCs/>
          <w:noProof/>
          <w:sz w:val="24"/>
          <w:szCs w:val="24"/>
        </w:rPr>
        <w:t>PLoS Negl. Trop. Dis.</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5</w:t>
      </w:r>
      <w:r w:rsidRPr="008D36B1">
        <w:rPr>
          <w:rFonts w:ascii="Times New Roman" w:hAnsi="Times New Roman" w:cs="Times New Roman"/>
          <w:noProof/>
          <w:sz w:val="24"/>
          <w:szCs w:val="24"/>
        </w:rPr>
        <w:t>: e971.</w:t>
      </w:r>
    </w:p>
    <w:p w14:paraId="266482C7"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19.</w:t>
      </w:r>
      <w:r w:rsidRPr="008D36B1">
        <w:rPr>
          <w:rFonts w:ascii="Times New Roman" w:hAnsi="Times New Roman" w:cs="Times New Roman"/>
          <w:noProof/>
          <w:sz w:val="24"/>
          <w:szCs w:val="24"/>
        </w:rPr>
        <w:tab/>
        <w:t xml:space="preserve">Taylor A.J., D. Talwar, S.J. Lee, </w:t>
      </w:r>
      <w:r w:rsidRPr="008D36B1">
        <w:rPr>
          <w:rFonts w:ascii="Times New Roman" w:hAnsi="Times New Roman" w:cs="Times New Roman"/>
          <w:i/>
          <w:iCs/>
          <w:noProof/>
          <w:sz w:val="24"/>
          <w:szCs w:val="24"/>
        </w:rPr>
        <w:t>et al.</w:t>
      </w:r>
      <w:r w:rsidRPr="008D36B1">
        <w:rPr>
          <w:rFonts w:ascii="Times New Roman" w:hAnsi="Times New Roman" w:cs="Times New Roman"/>
          <w:noProof/>
          <w:sz w:val="24"/>
          <w:szCs w:val="24"/>
        </w:rPr>
        <w:t xml:space="preserve"> 2020. Comparison of Thiamin Diphosphate High-Performance Liquid Chromatography and  Erythrocyte Transketolase Assays for Evaluating Thiamin Status in Malaria Patients without Beriberi. </w:t>
      </w:r>
      <w:r w:rsidRPr="008D36B1">
        <w:rPr>
          <w:rFonts w:ascii="Times New Roman" w:hAnsi="Times New Roman" w:cs="Times New Roman"/>
          <w:i/>
          <w:iCs/>
          <w:noProof/>
          <w:sz w:val="24"/>
          <w:szCs w:val="24"/>
        </w:rPr>
        <w:t>Am. J. Trop. Med. Hyg.</w:t>
      </w:r>
    </w:p>
    <w:p w14:paraId="78F9C66F"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20.</w:t>
      </w:r>
      <w:r w:rsidRPr="008D36B1">
        <w:rPr>
          <w:rFonts w:ascii="Times New Roman" w:hAnsi="Times New Roman" w:cs="Times New Roman"/>
          <w:noProof/>
          <w:sz w:val="24"/>
          <w:szCs w:val="24"/>
        </w:rPr>
        <w:tab/>
        <w:t xml:space="preserve">Buttery J.E. &amp; P.R. Pannall. 1985. Kinetic transketolase assay: use of whole-blood hemolysate as the sample. </w:t>
      </w:r>
      <w:r w:rsidRPr="008D36B1">
        <w:rPr>
          <w:rFonts w:ascii="Times New Roman" w:hAnsi="Times New Roman" w:cs="Times New Roman"/>
          <w:i/>
          <w:iCs/>
          <w:noProof/>
          <w:sz w:val="24"/>
          <w:szCs w:val="24"/>
        </w:rPr>
        <w:t>Clin. Chem.</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31</w:t>
      </w:r>
      <w:r w:rsidRPr="008D36B1">
        <w:rPr>
          <w:rFonts w:ascii="Times New Roman" w:hAnsi="Times New Roman" w:cs="Times New Roman"/>
          <w:noProof/>
          <w:sz w:val="24"/>
          <w:szCs w:val="24"/>
        </w:rPr>
        <w:t>: 1086.</w:t>
      </w:r>
    </w:p>
    <w:p w14:paraId="213E8EBB"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21.</w:t>
      </w:r>
      <w:r w:rsidRPr="008D36B1">
        <w:rPr>
          <w:rFonts w:ascii="Times New Roman" w:hAnsi="Times New Roman" w:cs="Times New Roman"/>
          <w:noProof/>
          <w:sz w:val="24"/>
          <w:szCs w:val="24"/>
        </w:rPr>
        <w:tab/>
        <w:t xml:space="preserve">Cheng C.H., M. Koch &amp; R.E. Shank. 1976. Leukocyte transketolase activity as an indicator of thiamin nutriture in rats. </w:t>
      </w:r>
      <w:r w:rsidRPr="008D36B1">
        <w:rPr>
          <w:rFonts w:ascii="Times New Roman" w:hAnsi="Times New Roman" w:cs="Times New Roman"/>
          <w:i/>
          <w:iCs/>
          <w:noProof/>
          <w:sz w:val="24"/>
          <w:szCs w:val="24"/>
        </w:rPr>
        <w:t>J. Nutr.</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106</w:t>
      </w:r>
      <w:r w:rsidRPr="008D36B1">
        <w:rPr>
          <w:rFonts w:ascii="Times New Roman" w:hAnsi="Times New Roman" w:cs="Times New Roman"/>
          <w:noProof/>
          <w:sz w:val="24"/>
          <w:szCs w:val="24"/>
        </w:rPr>
        <w:t>: 1678–1685.</w:t>
      </w:r>
    </w:p>
    <w:p w14:paraId="77F65FE4"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22.</w:t>
      </w:r>
      <w:r w:rsidRPr="008D36B1">
        <w:rPr>
          <w:rFonts w:ascii="Times New Roman" w:hAnsi="Times New Roman" w:cs="Times New Roman"/>
          <w:noProof/>
          <w:sz w:val="24"/>
          <w:szCs w:val="24"/>
        </w:rPr>
        <w:tab/>
        <w:t xml:space="preserve">Leukocyte transketolase activity: an indicator of thiamin nutriture. 1977. </w:t>
      </w:r>
      <w:r w:rsidRPr="008D36B1">
        <w:rPr>
          <w:rFonts w:ascii="Times New Roman" w:hAnsi="Times New Roman" w:cs="Times New Roman"/>
          <w:i/>
          <w:iCs/>
          <w:noProof/>
          <w:sz w:val="24"/>
          <w:szCs w:val="24"/>
        </w:rPr>
        <w:t>Nutr. Rev.</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35</w:t>
      </w:r>
      <w:r w:rsidRPr="008D36B1">
        <w:rPr>
          <w:rFonts w:ascii="Times New Roman" w:hAnsi="Times New Roman" w:cs="Times New Roman"/>
          <w:noProof/>
          <w:sz w:val="24"/>
          <w:szCs w:val="24"/>
        </w:rPr>
        <w:t>: 185–187.</w:t>
      </w:r>
    </w:p>
    <w:p w14:paraId="41C9A45D"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23.</w:t>
      </w:r>
      <w:r w:rsidRPr="008D36B1">
        <w:rPr>
          <w:rFonts w:ascii="Times New Roman" w:hAnsi="Times New Roman" w:cs="Times New Roman"/>
          <w:noProof/>
          <w:sz w:val="24"/>
          <w:szCs w:val="24"/>
        </w:rPr>
        <w:tab/>
        <w:t xml:space="preserve">Ali M., C.J. Gubler, J. Al Saleh, </w:t>
      </w:r>
      <w:r w:rsidRPr="008D36B1">
        <w:rPr>
          <w:rFonts w:ascii="Times New Roman" w:hAnsi="Times New Roman" w:cs="Times New Roman"/>
          <w:i/>
          <w:iCs/>
          <w:noProof/>
          <w:sz w:val="24"/>
          <w:szCs w:val="24"/>
        </w:rPr>
        <w:t>et al.</w:t>
      </w:r>
      <w:r w:rsidRPr="008D36B1">
        <w:rPr>
          <w:rFonts w:ascii="Times New Roman" w:hAnsi="Times New Roman" w:cs="Times New Roman"/>
          <w:noProof/>
          <w:sz w:val="24"/>
          <w:szCs w:val="24"/>
        </w:rPr>
        <w:t xml:space="preserve"> 1987. A comparison of transketolase assay and transketolase and lactate dehydrogenase  activity levels in whole blood and red cell hemolysates and in leukocytes. </w:t>
      </w:r>
      <w:r w:rsidRPr="008D36B1">
        <w:rPr>
          <w:rFonts w:ascii="Times New Roman" w:hAnsi="Times New Roman" w:cs="Times New Roman"/>
          <w:i/>
          <w:iCs/>
          <w:noProof/>
          <w:sz w:val="24"/>
          <w:szCs w:val="24"/>
        </w:rPr>
        <w:t>Comp. Biochem. Physiol. B.</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87</w:t>
      </w:r>
      <w:r w:rsidRPr="008D36B1">
        <w:rPr>
          <w:rFonts w:ascii="Times New Roman" w:hAnsi="Times New Roman" w:cs="Times New Roman"/>
          <w:noProof/>
          <w:sz w:val="24"/>
          <w:szCs w:val="24"/>
        </w:rPr>
        <w:t>: 833–835.</w:t>
      </w:r>
    </w:p>
    <w:p w14:paraId="6FB36B69"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24.</w:t>
      </w:r>
      <w:r w:rsidRPr="008D36B1">
        <w:rPr>
          <w:rFonts w:ascii="Times New Roman" w:hAnsi="Times New Roman" w:cs="Times New Roman"/>
          <w:noProof/>
          <w:sz w:val="24"/>
          <w:szCs w:val="24"/>
        </w:rPr>
        <w:tab/>
        <w:t xml:space="preserve">Anderson S.H. &amp; A.D. Nicol. 1985. Kinetic transketolase assay: use of whole-blood hemolysate as the sample. </w:t>
      </w:r>
      <w:r w:rsidRPr="008D36B1">
        <w:rPr>
          <w:rFonts w:ascii="Times New Roman" w:hAnsi="Times New Roman" w:cs="Times New Roman"/>
          <w:i/>
          <w:iCs/>
          <w:noProof/>
          <w:sz w:val="24"/>
          <w:szCs w:val="24"/>
        </w:rPr>
        <w:t>Clin. Chem.</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31</w:t>
      </w:r>
      <w:r w:rsidRPr="008D36B1">
        <w:rPr>
          <w:rFonts w:ascii="Times New Roman" w:hAnsi="Times New Roman" w:cs="Times New Roman"/>
          <w:noProof/>
          <w:sz w:val="24"/>
          <w:szCs w:val="24"/>
        </w:rPr>
        <w:t>: 2044.</w:t>
      </w:r>
    </w:p>
    <w:p w14:paraId="512C7D00"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25.</w:t>
      </w:r>
      <w:r w:rsidRPr="008D36B1">
        <w:rPr>
          <w:rFonts w:ascii="Times New Roman" w:hAnsi="Times New Roman" w:cs="Times New Roman"/>
          <w:noProof/>
          <w:sz w:val="24"/>
          <w:szCs w:val="24"/>
        </w:rPr>
        <w:tab/>
        <w:t xml:space="preserve">Anderson S.H. &amp; A.D. Nicol. 1986. A fluorimetric method for measurement of erythrocyte transketolase activity. </w:t>
      </w:r>
      <w:r w:rsidRPr="008D36B1">
        <w:rPr>
          <w:rFonts w:ascii="Times New Roman" w:hAnsi="Times New Roman" w:cs="Times New Roman"/>
          <w:i/>
          <w:iCs/>
          <w:noProof/>
          <w:sz w:val="24"/>
          <w:szCs w:val="24"/>
        </w:rPr>
        <w:t>Ann. Clin. Biochem.</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23 ( Pt 2)</w:t>
      </w:r>
      <w:r w:rsidRPr="008D36B1">
        <w:rPr>
          <w:rFonts w:ascii="Times New Roman" w:hAnsi="Times New Roman" w:cs="Times New Roman"/>
          <w:noProof/>
          <w:sz w:val="24"/>
          <w:szCs w:val="24"/>
        </w:rPr>
        <w:t>: 180–189.</w:t>
      </w:r>
    </w:p>
    <w:p w14:paraId="32C44B88"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26.</w:t>
      </w:r>
      <w:r w:rsidRPr="008D36B1">
        <w:rPr>
          <w:rFonts w:ascii="Times New Roman" w:hAnsi="Times New Roman" w:cs="Times New Roman"/>
          <w:noProof/>
          <w:sz w:val="24"/>
          <w:szCs w:val="24"/>
        </w:rPr>
        <w:tab/>
        <w:t xml:space="preserve">Puxty J.A., A.E. Haskew, J.G. Ratcliffe, </w:t>
      </w:r>
      <w:r w:rsidRPr="008D36B1">
        <w:rPr>
          <w:rFonts w:ascii="Times New Roman" w:hAnsi="Times New Roman" w:cs="Times New Roman"/>
          <w:i/>
          <w:iCs/>
          <w:noProof/>
          <w:sz w:val="24"/>
          <w:szCs w:val="24"/>
        </w:rPr>
        <w:t>et al.</w:t>
      </w:r>
      <w:r w:rsidRPr="008D36B1">
        <w:rPr>
          <w:rFonts w:ascii="Times New Roman" w:hAnsi="Times New Roman" w:cs="Times New Roman"/>
          <w:noProof/>
          <w:sz w:val="24"/>
          <w:szCs w:val="24"/>
        </w:rPr>
        <w:t xml:space="preserve"> 1985. Changes in erythrocyte transketolase activity and the thiamine pyrophosphate effect  during storage of blood. </w:t>
      </w:r>
      <w:r w:rsidRPr="008D36B1">
        <w:rPr>
          <w:rFonts w:ascii="Times New Roman" w:hAnsi="Times New Roman" w:cs="Times New Roman"/>
          <w:i/>
          <w:iCs/>
          <w:noProof/>
          <w:sz w:val="24"/>
          <w:szCs w:val="24"/>
        </w:rPr>
        <w:t>Ann. Clin. Biochem.</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22 ( Pt 4)</w:t>
      </w:r>
      <w:r w:rsidRPr="008D36B1">
        <w:rPr>
          <w:rFonts w:ascii="Times New Roman" w:hAnsi="Times New Roman" w:cs="Times New Roman"/>
          <w:noProof/>
          <w:sz w:val="24"/>
          <w:szCs w:val="24"/>
        </w:rPr>
        <w:t>: 423–427.</w:t>
      </w:r>
    </w:p>
    <w:p w14:paraId="2F9274C7"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27.</w:t>
      </w:r>
      <w:r w:rsidRPr="008D36B1">
        <w:rPr>
          <w:rFonts w:ascii="Times New Roman" w:hAnsi="Times New Roman" w:cs="Times New Roman"/>
          <w:noProof/>
          <w:sz w:val="24"/>
          <w:szCs w:val="24"/>
        </w:rPr>
        <w:tab/>
        <w:t xml:space="preserve">Bayoumi R.A. &amp; S.B. Rosalki. 1976. Evaluation of methods of coenzyme activation of erythrocyte enzymes for detection of  deficiency of vitamins B1, B2, and B6. </w:t>
      </w:r>
      <w:r w:rsidRPr="008D36B1">
        <w:rPr>
          <w:rFonts w:ascii="Times New Roman" w:hAnsi="Times New Roman" w:cs="Times New Roman"/>
          <w:i/>
          <w:iCs/>
          <w:noProof/>
          <w:sz w:val="24"/>
          <w:szCs w:val="24"/>
        </w:rPr>
        <w:t>Clin. Chem.</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22</w:t>
      </w:r>
      <w:r w:rsidRPr="008D36B1">
        <w:rPr>
          <w:rFonts w:ascii="Times New Roman" w:hAnsi="Times New Roman" w:cs="Times New Roman"/>
          <w:noProof/>
          <w:sz w:val="24"/>
          <w:szCs w:val="24"/>
        </w:rPr>
        <w:t>: 327–335.</w:t>
      </w:r>
    </w:p>
    <w:p w14:paraId="2096BE00"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28.</w:t>
      </w:r>
      <w:r w:rsidRPr="008D36B1">
        <w:rPr>
          <w:rFonts w:ascii="Times New Roman" w:hAnsi="Times New Roman" w:cs="Times New Roman"/>
          <w:noProof/>
          <w:sz w:val="24"/>
          <w:szCs w:val="24"/>
        </w:rPr>
        <w:tab/>
        <w:t xml:space="preserve">van Dokkum W., J. Schrijver &amp; J.A. Wesstra. 1990. Variability in man of the levels of some indices of nutritional status over a 60-d  period on a constant diet. </w:t>
      </w:r>
      <w:r w:rsidRPr="008D36B1">
        <w:rPr>
          <w:rFonts w:ascii="Times New Roman" w:hAnsi="Times New Roman" w:cs="Times New Roman"/>
          <w:i/>
          <w:iCs/>
          <w:noProof/>
          <w:sz w:val="24"/>
          <w:szCs w:val="24"/>
        </w:rPr>
        <w:t>Eur. J. Clin. Nutr.</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44</w:t>
      </w:r>
      <w:r w:rsidRPr="008D36B1">
        <w:rPr>
          <w:rFonts w:ascii="Times New Roman" w:hAnsi="Times New Roman" w:cs="Times New Roman"/>
          <w:noProof/>
          <w:sz w:val="24"/>
          <w:szCs w:val="24"/>
        </w:rPr>
        <w:t>: 665–674.</w:t>
      </w:r>
    </w:p>
    <w:p w14:paraId="5203D952"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29.</w:t>
      </w:r>
      <w:r w:rsidRPr="008D36B1">
        <w:rPr>
          <w:rFonts w:ascii="Times New Roman" w:hAnsi="Times New Roman" w:cs="Times New Roman"/>
          <w:noProof/>
          <w:sz w:val="24"/>
          <w:szCs w:val="24"/>
        </w:rPr>
        <w:tab/>
        <w:t>Public Health England. 2018. “</w:t>
      </w:r>
      <w:r w:rsidRPr="008D36B1">
        <w:rPr>
          <w:rFonts w:ascii="Times New Roman" w:hAnsi="Times New Roman" w:cs="Times New Roman"/>
          <w:i/>
          <w:iCs/>
          <w:noProof/>
          <w:sz w:val="24"/>
          <w:szCs w:val="24"/>
        </w:rPr>
        <w:t>National Diet and Nutrition Survey. Results from Years 7 and 8 (combined) of the Rolling Programme (2014/15 to 2015/16)</w:t>
      </w:r>
      <w:r w:rsidRPr="008D36B1">
        <w:rPr>
          <w:rFonts w:ascii="Times New Roman" w:hAnsi="Times New Roman" w:cs="Times New Roman"/>
          <w:noProof/>
          <w:sz w:val="24"/>
          <w:szCs w:val="24"/>
        </w:rPr>
        <w:t>.”</w:t>
      </w:r>
    </w:p>
    <w:p w14:paraId="78B4F807"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30.</w:t>
      </w:r>
      <w:r w:rsidRPr="008D36B1">
        <w:rPr>
          <w:rFonts w:ascii="Times New Roman" w:hAnsi="Times New Roman" w:cs="Times New Roman"/>
          <w:noProof/>
          <w:sz w:val="24"/>
          <w:szCs w:val="24"/>
        </w:rPr>
        <w:tab/>
        <w:t xml:space="preserve">Kaczmarek M.J. &amp; P.F. Nixon. 1983. Variants of transketolase from human erythrocytes. </w:t>
      </w:r>
      <w:r w:rsidRPr="008D36B1">
        <w:rPr>
          <w:rFonts w:ascii="Times New Roman" w:hAnsi="Times New Roman" w:cs="Times New Roman"/>
          <w:i/>
          <w:iCs/>
          <w:noProof/>
          <w:sz w:val="24"/>
          <w:szCs w:val="24"/>
        </w:rPr>
        <w:t>Clin. Chim. Acta.</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130</w:t>
      </w:r>
      <w:r w:rsidRPr="008D36B1">
        <w:rPr>
          <w:rFonts w:ascii="Times New Roman" w:hAnsi="Times New Roman" w:cs="Times New Roman"/>
          <w:noProof/>
          <w:sz w:val="24"/>
          <w:szCs w:val="24"/>
        </w:rPr>
        <w:t>: 349–356.</w:t>
      </w:r>
    </w:p>
    <w:p w14:paraId="519C0B32"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31.</w:t>
      </w:r>
      <w:r w:rsidRPr="008D36B1">
        <w:rPr>
          <w:rFonts w:ascii="Times New Roman" w:hAnsi="Times New Roman" w:cs="Times New Roman"/>
          <w:noProof/>
          <w:sz w:val="24"/>
          <w:szCs w:val="24"/>
        </w:rPr>
        <w:tab/>
        <w:t xml:space="preserve">Nixon P.F., M.J. Kaczmarek, J. Tate, </w:t>
      </w:r>
      <w:r w:rsidRPr="008D36B1">
        <w:rPr>
          <w:rFonts w:ascii="Times New Roman" w:hAnsi="Times New Roman" w:cs="Times New Roman"/>
          <w:i/>
          <w:iCs/>
          <w:noProof/>
          <w:sz w:val="24"/>
          <w:szCs w:val="24"/>
        </w:rPr>
        <w:t>et al.</w:t>
      </w:r>
      <w:r w:rsidRPr="008D36B1">
        <w:rPr>
          <w:rFonts w:ascii="Times New Roman" w:hAnsi="Times New Roman" w:cs="Times New Roman"/>
          <w:noProof/>
          <w:sz w:val="24"/>
          <w:szCs w:val="24"/>
        </w:rPr>
        <w:t xml:space="preserve"> 1984. An erythrocyte transketolase isoenzyme pattern associated with the  Wernicke-Korsakoff syndrome. </w:t>
      </w:r>
      <w:r w:rsidRPr="008D36B1">
        <w:rPr>
          <w:rFonts w:ascii="Times New Roman" w:hAnsi="Times New Roman" w:cs="Times New Roman"/>
          <w:i/>
          <w:iCs/>
          <w:noProof/>
          <w:sz w:val="24"/>
          <w:szCs w:val="24"/>
        </w:rPr>
        <w:t>Eur. J. Clin. Invest.</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14</w:t>
      </w:r>
      <w:r w:rsidRPr="008D36B1">
        <w:rPr>
          <w:rFonts w:ascii="Times New Roman" w:hAnsi="Times New Roman" w:cs="Times New Roman"/>
          <w:noProof/>
          <w:sz w:val="24"/>
          <w:szCs w:val="24"/>
        </w:rPr>
        <w:t>: 278–281.</w:t>
      </w:r>
    </w:p>
    <w:p w14:paraId="6A66514E"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32.</w:t>
      </w:r>
      <w:r w:rsidRPr="008D36B1">
        <w:rPr>
          <w:rFonts w:ascii="Times New Roman" w:hAnsi="Times New Roman" w:cs="Times New Roman"/>
          <w:noProof/>
          <w:sz w:val="24"/>
          <w:szCs w:val="24"/>
        </w:rPr>
        <w:tab/>
        <w:t xml:space="preserve">Kaufmann A., S. Uhlhaas, W. Friedl, </w:t>
      </w:r>
      <w:r w:rsidRPr="008D36B1">
        <w:rPr>
          <w:rFonts w:ascii="Times New Roman" w:hAnsi="Times New Roman" w:cs="Times New Roman"/>
          <w:i/>
          <w:iCs/>
          <w:noProof/>
          <w:sz w:val="24"/>
          <w:szCs w:val="24"/>
        </w:rPr>
        <w:t>et al.</w:t>
      </w:r>
      <w:r w:rsidRPr="008D36B1">
        <w:rPr>
          <w:rFonts w:ascii="Times New Roman" w:hAnsi="Times New Roman" w:cs="Times New Roman"/>
          <w:noProof/>
          <w:sz w:val="24"/>
          <w:szCs w:val="24"/>
        </w:rPr>
        <w:t xml:space="preserve"> 1987. Human erythrocyte transketolase: no evidence for variants. </w:t>
      </w:r>
      <w:r w:rsidRPr="008D36B1">
        <w:rPr>
          <w:rFonts w:ascii="Times New Roman" w:hAnsi="Times New Roman" w:cs="Times New Roman"/>
          <w:i/>
          <w:iCs/>
          <w:noProof/>
          <w:sz w:val="24"/>
          <w:szCs w:val="24"/>
        </w:rPr>
        <w:t>Clin. Chim. Acta.</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162</w:t>
      </w:r>
      <w:r w:rsidRPr="008D36B1">
        <w:rPr>
          <w:rFonts w:ascii="Times New Roman" w:hAnsi="Times New Roman" w:cs="Times New Roman"/>
          <w:noProof/>
          <w:sz w:val="24"/>
          <w:szCs w:val="24"/>
        </w:rPr>
        <w:t>: 215–219.</w:t>
      </w:r>
    </w:p>
    <w:p w14:paraId="724A1CDC"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lastRenderedPageBreak/>
        <w:t>33.</w:t>
      </w:r>
      <w:r w:rsidRPr="008D36B1">
        <w:rPr>
          <w:rFonts w:ascii="Times New Roman" w:hAnsi="Times New Roman" w:cs="Times New Roman"/>
          <w:noProof/>
          <w:sz w:val="24"/>
          <w:szCs w:val="24"/>
        </w:rPr>
        <w:tab/>
        <w:t xml:space="preserve">Tate J.R. &amp; P.F. Nixon. 1987. Measurement of Michaelis constant for human erythrocyte transketolase and thiamin  diphosphate. </w:t>
      </w:r>
      <w:r w:rsidRPr="008D36B1">
        <w:rPr>
          <w:rFonts w:ascii="Times New Roman" w:hAnsi="Times New Roman" w:cs="Times New Roman"/>
          <w:i/>
          <w:iCs/>
          <w:noProof/>
          <w:sz w:val="24"/>
          <w:szCs w:val="24"/>
        </w:rPr>
        <w:t>Anal. Biochem.</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160</w:t>
      </w:r>
      <w:r w:rsidRPr="008D36B1">
        <w:rPr>
          <w:rFonts w:ascii="Times New Roman" w:hAnsi="Times New Roman" w:cs="Times New Roman"/>
          <w:noProof/>
          <w:sz w:val="24"/>
          <w:szCs w:val="24"/>
        </w:rPr>
        <w:t>: 78–87.</w:t>
      </w:r>
    </w:p>
    <w:p w14:paraId="204229F9"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34.</w:t>
      </w:r>
      <w:r w:rsidRPr="008D36B1">
        <w:rPr>
          <w:rFonts w:ascii="Times New Roman" w:hAnsi="Times New Roman" w:cs="Times New Roman"/>
          <w:noProof/>
          <w:sz w:val="24"/>
          <w:szCs w:val="24"/>
        </w:rPr>
        <w:tab/>
        <w:t xml:space="preserve">Martin P.R., B.A. McCool &amp; C.K. Singleton. 1995. Molecular genetics of transketolase in the pathogenesis of the Wernicke-Korsakoff  syndrome. </w:t>
      </w:r>
      <w:r w:rsidRPr="008D36B1">
        <w:rPr>
          <w:rFonts w:ascii="Times New Roman" w:hAnsi="Times New Roman" w:cs="Times New Roman"/>
          <w:i/>
          <w:iCs/>
          <w:noProof/>
          <w:sz w:val="24"/>
          <w:szCs w:val="24"/>
        </w:rPr>
        <w:t>Metab. Brain Dis.</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10</w:t>
      </w:r>
      <w:r w:rsidRPr="008D36B1">
        <w:rPr>
          <w:rFonts w:ascii="Times New Roman" w:hAnsi="Times New Roman" w:cs="Times New Roman"/>
          <w:noProof/>
          <w:sz w:val="24"/>
          <w:szCs w:val="24"/>
        </w:rPr>
        <w:t>: 45–55.</w:t>
      </w:r>
    </w:p>
    <w:p w14:paraId="2550E749"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35.</w:t>
      </w:r>
      <w:r w:rsidRPr="008D36B1">
        <w:rPr>
          <w:rFonts w:ascii="Times New Roman" w:hAnsi="Times New Roman" w:cs="Times New Roman"/>
          <w:noProof/>
          <w:sz w:val="24"/>
          <w:szCs w:val="24"/>
        </w:rPr>
        <w:tab/>
        <w:t xml:space="preserve">Blansjaar B.A., R. Zwang &amp; B.G. Blijenberg. 1991. No transketolase abnormalities in Wernicke-Korsakoff patients. </w:t>
      </w:r>
      <w:r w:rsidRPr="008D36B1">
        <w:rPr>
          <w:rFonts w:ascii="Times New Roman" w:hAnsi="Times New Roman" w:cs="Times New Roman"/>
          <w:i/>
          <w:iCs/>
          <w:noProof/>
          <w:sz w:val="24"/>
          <w:szCs w:val="24"/>
        </w:rPr>
        <w:t>J. Neurol. Sci.</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106</w:t>
      </w:r>
      <w:r w:rsidRPr="008D36B1">
        <w:rPr>
          <w:rFonts w:ascii="Times New Roman" w:hAnsi="Times New Roman" w:cs="Times New Roman"/>
          <w:noProof/>
          <w:sz w:val="24"/>
          <w:szCs w:val="24"/>
        </w:rPr>
        <w:t>: 88–90.</w:t>
      </w:r>
    </w:p>
    <w:p w14:paraId="2BC5AD58"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36.</w:t>
      </w:r>
      <w:r w:rsidRPr="008D36B1">
        <w:rPr>
          <w:rFonts w:ascii="Times New Roman" w:hAnsi="Times New Roman" w:cs="Times New Roman"/>
          <w:noProof/>
          <w:sz w:val="24"/>
          <w:szCs w:val="24"/>
        </w:rPr>
        <w:tab/>
        <w:t xml:space="preserve">Kochetov G.A. &amp; O.N. Solovjeva. 2014. Structure and functioning mechanism of transketolase. </w:t>
      </w:r>
      <w:r w:rsidRPr="008D36B1">
        <w:rPr>
          <w:rFonts w:ascii="Times New Roman" w:hAnsi="Times New Roman" w:cs="Times New Roman"/>
          <w:i/>
          <w:iCs/>
          <w:noProof/>
          <w:sz w:val="24"/>
          <w:szCs w:val="24"/>
        </w:rPr>
        <w:t>Biochim. Biophys. Acta</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1844</w:t>
      </w:r>
      <w:r w:rsidRPr="008D36B1">
        <w:rPr>
          <w:rFonts w:ascii="Times New Roman" w:hAnsi="Times New Roman" w:cs="Times New Roman"/>
          <w:noProof/>
          <w:sz w:val="24"/>
          <w:szCs w:val="24"/>
        </w:rPr>
        <w:t>: 1608–1618.</w:t>
      </w:r>
    </w:p>
    <w:p w14:paraId="5997C9EE"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37.</w:t>
      </w:r>
      <w:r w:rsidRPr="008D36B1">
        <w:rPr>
          <w:rFonts w:ascii="Times New Roman" w:hAnsi="Times New Roman" w:cs="Times New Roman"/>
          <w:noProof/>
          <w:sz w:val="24"/>
          <w:szCs w:val="24"/>
        </w:rPr>
        <w:tab/>
        <w:t xml:space="preserve">Huang Y., R.A. Gibson &amp; T.J. Green. 2020. Measuring thiamine status in dried blood spots. </w:t>
      </w:r>
      <w:r w:rsidRPr="008D36B1">
        <w:rPr>
          <w:rFonts w:ascii="Times New Roman" w:hAnsi="Times New Roman" w:cs="Times New Roman"/>
          <w:i/>
          <w:iCs/>
          <w:noProof/>
          <w:sz w:val="24"/>
          <w:szCs w:val="24"/>
        </w:rPr>
        <w:t>Clin. Chim. Acta</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509</w:t>
      </w:r>
      <w:r w:rsidRPr="008D36B1">
        <w:rPr>
          <w:rFonts w:ascii="Times New Roman" w:hAnsi="Times New Roman" w:cs="Times New Roman"/>
          <w:noProof/>
          <w:sz w:val="24"/>
          <w:szCs w:val="24"/>
        </w:rPr>
        <w:t>: 52–59.</w:t>
      </w:r>
    </w:p>
    <w:p w14:paraId="2F2A9BCF"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38.</w:t>
      </w:r>
      <w:r w:rsidRPr="008D36B1">
        <w:rPr>
          <w:rFonts w:ascii="Times New Roman" w:hAnsi="Times New Roman" w:cs="Times New Roman"/>
          <w:noProof/>
          <w:sz w:val="24"/>
          <w:szCs w:val="24"/>
        </w:rPr>
        <w:tab/>
        <w:t xml:space="preserve">DREYFUS P.M. 1962. Clinical application of blood transketolase determinations. </w:t>
      </w:r>
      <w:r w:rsidRPr="008D36B1">
        <w:rPr>
          <w:rFonts w:ascii="Times New Roman" w:hAnsi="Times New Roman" w:cs="Times New Roman"/>
          <w:i/>
          <w:iCs/>
          <w:noProof/>
          <w:sz w:val="24"/>
          <w:szCs w:val="24"/>
        </w:rPr>
        <w:t>N. Engl. J. Med.</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267</w:t>
      </w:r>
      <w:r w:rsidRPr="008D36B1">
        <w:rPr>
          <w:rFonts w:ascii="Times New Roman" w:hAnsi="Times New Roman" w:cs="Times New Roman"/>
          <w:noProof/>
          <w:sz w:val="24"/>
          <w:szCs w:val="24"/>
        </w:rPr>
        <w:t>: 596–598.</w:t>
      </w:r>
    </w:p>
    <w:p w14:paraId="10A820B4"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39.</w:t>
      </w:r>
      <w:r w:rsidRPr="008D36B1">
        <w:rPr>
          <w:rFonts w:ascii="Times New Roman" w:hAnsi="Times New Roman" w:cs="Times New Roman"/>
          <w:noProof/>
          <w:sz w:val="24"/>
          <w:szCs w:val="24"/>
        </w:rPr>
        <w:tab/>
        <w:t xml:space="preserve">Pekovich S.R., P.R. Martin &amp; C.K. Singleton. 1996. Thiamine pyrophosphate-requiring enzymes are altered during pyrithiamine-induced  thiamine deficiency in cultured human lymphoblasts. </w:t>
      </w:r>
      <w:r w:rsidRPr="008D36B1">
        <w:rPr>
          <w:rFonts w:ascii="Times New Roman" w:hAnsi="Times New Roman" w:cs="Times New Roman"/>
          <w:i/>
          <w:iCs/>
          <w:noProof/>
          <w:sz w:val="24"/>
          <w:szCs w:val="24"/>
        </w:rPr>
        <w:t>J. Nutr.</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126</w:t>
      </w:r>
      <w:r w:rsidRPr="008D36B1">
        <w:rPr>
          <w:rFonts w:ascii="Times New Roman" w:hAnsi="Times New Roman" w:cs="Times New Roman"/>
          <w:noProof/>
          <w:sz w:val="24"/>
          <w:szCs w:val="24"/>
        </w:rPr>
        <w:t>: 1791–1798.</w:t>
      </w:r>
    </w:p>
    <w:p w14:paraId="1CFB5E54"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40.</w:t>
      </w:r>
      <w:r w:rsidRPr="008D36B1">
        <w:rPr>
          <w:rFonts w:ascii="Times New Roman" w:hAnsi="Times New Roman" w:cs="Times New Roman"/>
          <w:noProof/>
          <w:sz w:val="24"/>
          <w:szCs w:val="24"/>
        </w:rPr>
        <w:tab/>
        <w:t xml:space="preserve">Price J., A.E. Clague, R.A. Kerr, </w:t>
      </w:r>
      <w:r w:rsidRPr="008D36B1">
        <w:rPr>
          <w:rFonts w:ascii="Times New Roman" w:hAnsi="Times New Roman" w:cs="Times New Roman"/>
          <w:i/>
          <w:iCs/>
          <w:noProof/>
          <w:sz w:val="24"/>
          <w:szCs w:val="24"/>
        </w:rPr>
        <w:t>et al.</w:t>
      </w:r>
      <w:r w:rsidRPr="008D36B1">
        <w:rPr>
          <w:rFonts w:ascii="Times New Roman" w:hAnsi="Times New Roman" w:cs="Times New Roman"/>
          <w:noProof/>
          <w:sz w:val="24"/>
          <w:szCs w:val="24"/>
        </w:rPr>
        <w:t xml:space="preserve"> 1991. In thiamine deficiency, activation of erythrocyte transketolase by thiamine in vivo  exceeds activation by cofactor in vitro. </w:t>
      </w:r>
      <w:r w:rsidRPr="008D36B1">
        <w:rPr>
          <w:rFonts w:ascii="Times New Roman" w:hAnsi="Times New Roman" w:cs="Times New Roman"/>
          <w:i/>
          <w:iCs/>
          <w:noProof/>
          <w:sz w:val="24"/>
          <w:szCs w:val="24"/>
        </w:rPr>
        <w:t>Clin. Chim. Acta.</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202</w:t>
      </w:r>
      <w:r w:rsidRPr="008D36B1">
        <w:rPr>
          <w:rFonts w:ascii="Times New Roman" w:hAnsi="Times New Roman" w:cs="Times New Roman"/>
          <w:noProof/>
          <w:sz w:val="24"/>
          <w:szCs w:val="24"/>
        </w:rPr>
        <w:t>: 39–45.</w:t>
      </w:r>
    </w:p>
    <w:p w14:paraId="725E742F"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41.</w:t>
      </w:r>
      <w:r w:rsidRPr="008D36B1">
        <w:rPr>
          <w:rFonts w:ascii="Times New Roman" w:hAnsi="Times New Roman" w:cs="Times New Roman"/>
          <w:noProof/>
          <w:sz w:val="24"/>
          <w:szCs w:val="24"/>
        </w:rPr>
        <w:tab/>
        <w:t xml:space="preserve">Spooner R.J., R.A. Percy &amp; A.G. Rumley. 1979. The effect of erythrocyte ageing on some vitamin and mineral dependent enzymes. </w:t>
      </w:r>
      <w:r w:rsidRPr="008D36B1">
        <w:rPr>
          <w:rFonts w:ascii="Times New Roman" w:hAnsi="Times New Roman" w:cs="Times New Roman"/>
          <w:i/>
          <w:iCs/>
          <w:noProof/>
          <w:sz w:val="24"/>
          <w:szCs w:val="24"/>
        </w:rPr>
        <w:t>Clin. Biochem.</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12</w:t>
      </w:r>
      <w:r w:rsidRPr="008D36B1">
        <w:rPr>
          <w:rFonts w:ascii="Times New Roman" w:hAnsi="Times New Roman" w:cs="Times New Roman"/>
          <w:noProof/>
          <w:sz w:val="24"/>
          <w:szCs w:val="24"/>
        </w:rPr>
        <w:t>: 289–290.</w:t>
      </w:r>
    </w:p>
    <w:p w14:paraId="2C9C2DB4"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szCs w:val="24"/>
        </w:rPr>
      </w:pPr>
      <w:r w:rsidRPr="008D36B1">
        <w:rPr>
          <w:rFonts w:ascii="Times New Roman" w:hAnsi="Times New Roman" w:cs="Times New Roman"/>
          <w:noProof/>
          <w:sz w:val="24"/>
          <w:szCs w:val="24"/>
        </w:rPr>
        <w:t>42.</w:t>
      </w:r>
      <w:r w:rsidRPr="008D36B1">
        <w:rPr>
          <w:rFonts w:ascii="Times New Roman" w:hAnsi="Times New Roman" w:cs="Times New Roman"/>
          <w:noProof/>
          <w:sz w:val="24"/>
          <w:szCs w:val="24"/>
        </w:rPr>
        <w:tab/>
        <w:t xml:space="preserve">Talwar D., H. Davidson, J. Cooney, </w:t>
      </w:r>
      <w:r w:rsidRPr="008D36B1">
        <w:rPr>
          <w:rFonts w:ascii="Times New Roman" w:hAnsi="Times New Roman" w:cs="Times New Roman"/>
          <w:i/>
          <w:iCs/>
          <w:noProof/>
          <w:sz w:val="24"/>
          <w:szCs w:val="24"/>
        </w:rPr>
        <w:t>et al.</w:t>
      </w:r>
      <w:r w:rsidRPr="008D36B1">
        <w:rPr>
          <w:rFonts w:ascii="Times New Roman" w:hAnsi="Times New Roman" w:cs="Times New Roman"/>
          <w:noProof/>
          <w:sz w:val="24"/>
          <w:szCs w:val="24"/>
        </w:rPr>
        <w:t xml:space="preserve"> 2000. Vitamin B(1) status assessed by direct measurement of thiamin pyrophosphate in  erythrocytes or whole blood by HPLC: comparison with erythrocyte transketolase activation assay. </w:t>
      </w:r>
      <w:r w:rsidRPr="008D36B1">
        <w:rPr>
          <w:rFonts w:ascii="Times New Roman" w:hAnsi="Times New Roman" w:cs="Times New Roman"/>
          <w:i/>
          <w:iCs/>
          <w:noProof/>
          <w:sz w:val="24"/>
          <w:szCs w:val="24"/>
        </w:rPr>
        <w:t>Clin. Chem.</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46</w:t>
      </w:r>
      <w:r w:rsidRPr="008D36B1">
        <w:rPr>
          <w:rFonts w:ascii="Times New Roman" w:hAnsi="Times New Roman" w:cs="Times New Roman"/>
          <w:noProof/>
          <w:sz w:val="24"/>
          <w:szCs w:val="24"/>
        </w:rPr>
        <w:t>: 704–710.</w:t>
      </w:r>
    </w:p>
    <w:p w14:paraId="7E922B54" w14:textId="77777777" w:rsidR="008D36B1" w:rsidRPr="008D36B1" w:rsidRDefault="008D36B1" w:rsidP="008D36B1">
      <w:pPr>
        <w:widowControl w:val="0"/>
        <w:autoSpaceDE w:val="0"/>
        <w:autoSpaceDN w:val="0"/>
        <w:adjustRightInd w:val="0"/>
        <w:spacing w:line="240" w:lineRule="auto"/>
        <w:ind w:left="640" w:hanging="640"/>
        <w:rPr>
          <w:rFonts w:ascii="Times New Roman" w:hAnsi="Times New Roman" w:cs="Times New Roman"/>
          <w:noProof/>
          <w:sz w:val="24"/>
        </w:rPr>
      </w:pPr>
      <w:r w:rsidRPr="008D36B1">
        <w:rPr>
          <w:rFonts w:ascii="Times New Roman" w:hAnsi="Times New Roman" w:cs="Times New Roman"/>
          <w:noProof/>
          <w:sz w:val="24"/>
          <w:szCs w:val="24"/>
        </w:rPr>
        <w:t>43.</w:t>
      </w:r>
      <w:r w:rsidRPr="008D36B1">
        <w:rPr>
          <w:rFonts w:ascii="Times New Roman" w:hAnsi="Times New Roman" w:cs="Times New Roman"/>
          <w:noProof/>
          <w:sz w:val="24"/>
          <w:szCs w:val="24"/>
        </w:rPr>
        <w:tab/>
        <w:t xml:space="preserve">Howard J.M. 2000. Assessment of vitamin B(1) status. </w:t>
      </w:r>
      <w:r w:rsidRPr="008D36B1">
        <w:rPr>
          <w:rFonts w:ascii="Times New Roman" w:hAnsi="Times New Roman" w:cs="Times New Roman"/>
          <w:i/>
          <w:iCs/>
          <w:noProof/>
          <w:sz w:val="24"/>
          <w:szCs w:val="24"/>
        </w:rPr>
        <w:t>Clin. Chem.</w:t>
      </w:r>
      <w:r w:rsidRPr="008D36B1">
        <w:rPr>
          <w:rFonts w:ascii="Times New Roman" w:hAnsi="Times New Roman" w:cs="Times New Roman"/>
          <w:noProof/>
          <w:sz w:val="24"/>
          <w:szCs w:val="24"/>
        </w:rPr>
        <w:t xml:space="preserve"> </w:t>
      </w:r>
      <w:r w:rsidRPr="008D36B1">
        <w:rPr>
          <w:rFonts w:ascii="Times New Roman" w:hAnsi="Times New Roman" w:cs="Times New Roman"/>
          <w:b/>
          <w:bCs/>
          <w:noProof/>
          <w:sz w:val="24"/>
          <w:szCs w:val="24"/>
        </w:rPr>
        <w:t>46</w:t>
      </w:r>
      <w:r w:rsidRPr="008D36B1">
        <w:rPr>
          <w:rFonts w:ascii="Times New Roman" w:hAnsi="Times New Roman" w:cs="Times New Roman"/>
          <w:noProof/>
          <w:sz w:val="24"/>
          <w:szCs w:val="24"/>
        </w:rPr>
        <w:t>: 1867–1868.</w:t>
      </w:r>
    </w:p>
    <w:p w14:paraId="6A583E20" w14:textId="420CDD38" w:rsidR="00FB7720" w:rsidRDefault="00F119CB" w:rsidP="003F257E">
      <w:pPr>
        <w:spacing w:line="276" w:lineRule="auto"/>
        <w:rPr>
          <w:rFonts w:ascii="Times New Roman" w:hAnsi="Times New Roman" w:cs="Times New Roman"/>
          <w:b/>
          <w:sz w:val="24"/>
          <w:szCs w:val="24"/>
        </w:rPr>
      </w:pPr>
      <w:r>
        <w:rPr>
          <w:rFonts w:ascii="Times New Roman" w:hAnsi="Times New Roman" w:cs="Times New Roman"/>
          <w:b/>
          <w:sz w:val="24"/>
          <w:szCs w:val="24"/>
        </w:rPr>
        <w:fldChar w:fldCharType="end"/>
      </w:r>
    </w:p>
    <w:p w14:paraId="04FEE2D9" w14:textId="77777777" w:rsidR="00A0475E" w:rsidRDefault="00A0475E">
      <w:pPr>
        <w:rPr>
          <w:rFonts w:ascii="Times New Roman" w:hAnsi="Times New Roman" w:cs="Times New Roman"/>
          <w:b/>
          <w:sz w:val="24"/>
          <w:szCs w:val="24"/>
        </w:rPr>
      </w:pPr>
      <w:r>
        <w:rPr>
          <w:rFonts w:ascii="Times New Roman" w:hAnsi="Times New Roman" w:cs="Times New Roman"/>
          <w:b/>
          <w:sz w:val="24"/>
          <w:szCs w:val="24"/>
        </w:rPr>
        <w:br w:type="page"/>
      </w:r>
    </w:p>
    <w:p w14:paraId="028F914D" w14:textId="789EF3E0" w:rsidR="00A0475E" w:rsidRDefault="00A0475E" w:rsidP="003F257E">
      <w:pPr>
        <w:spacing w:line="276" w:lineRule="auto"/>
        <w:rPr>
          <w:rFonts w:ascii="Times New Roman" w:hAnsi="Times New Roman" w:cs="Times New Roman"/>
          <w:b/>
          <w:sz w:val="24"/>
          <w:szCs w:val="24"/>
        </w:rPr>
      </w:pPr>
      <w:r>
        <w:rPr>
          <w:rFonts w:ascii="Times New Roman" w:hAnsi="Times New Roman" w:cs="Times New Roman"/>
          <w:b/>
          <w:sz w:val="24"/>
          <w:szCs w:val="24"/>
        </w:rPr>
        <w:lastRenderedPageBreak/>
        <w:t>Figure Legends</w:t>
      </w:r>
    </w:p>
    <w:p w14:paraId="05C3F549" w14:textId="77777777" w:rsidR="00A0475E" w:rsidRDefault="00A0475E" w:rsidP="00A0475E">
      <w:pPr>
        <w:rPr>
          <w:rFonts w:ascii="Times New Roman" w:hAnsi="Times New Roman" w:cs="Times New Roman"/>
          <w:b/>
          <w:sz w:val="24"/>
          <w:szCs w:val="24"/>
        </w:rPr>
      </w:pPr>
      <w:r w:rsidRPr="00CB3ECF">
        <w:rPr>
          <w:rFonts w:ascii="Times New Roman" w:hAnsi="Times New Roman" w:cs="Times New Roman"/>
          <w:b/>
          <w:sz w:val="24"/>
          <w:szCs w:val="24"/>
        </w:rPr>
        <w:t xml:space="preserve">Figure 1. The enzymatic reactions in the </w:t>
      </w:r>
      <w:r>
        <w:rPr>
          <w:rFonts w:ascii="Times New Roman" w:hAnsi="Times New Roman" w:cs="Times New Roman"/>
          <w:b/>
          <w:sz w:val="24"/>
          <w:szCs w:val="24"/>
        </w:rPr>
        <w:t>ETK activity</w:t>
      </w:r>
      <w:r w:rsidRPr="00CB3ECF">
        <w:rPr>
          <w:rFonts w:ascii="Times New Roman" w:hAnsi="Times New Roman" w:cs="Times New Roman"/>
          <w:b/>
          <w:sz w:val="24"/>
          <w:szCs w:val="24"/>
        </w:rPr>
        <w:t xml:space="preserve"> assay. </w:t>
      </w:r>
      <w:r w:rsidRPr="00B20558">
        <w:rPr>
          <w:rFonts w:ascii="Times New Roman" w:hAnsi="Times New Roman" w:cs="Times New Roman"/>
          <w:sz w:val="24"/>
          <w:szCs w:val="24"/>
        </w:rPr>
        <w:t>The assay monitors the decrease in abs</w:t>
      </w:r>
      <w:r>
        <w:rPr>
          <w:rFonts w:ascii="Times New Roman" w:hAnsi="Times New Roman" w:cs="Times New Roman"/>
          <w:sz w:val="24"/>
          <w:szCs w:val="24"/>
        </w:rPr>
        <w:t>orbance at 340 nm related to</w:t>
      </w:r>
      <w:r w:rsidRPr="00B20558">
        <w:rPr>
          <w:rFonts w:ascii="Times New Roman" w:hAnsi="Times New Roman" w:cs="Times New Roman"/>
          <w:sz w:val="24"/>
          <w:szCs w:val="24"/>
        </w:rPr>
        <w:t xml:space="preserve"> NADH oxidation.</w:t>
      </w:r>
      <w:r w:rsidRPr="00CB3ECF">
        <w:rPr>
          <w:rFonts w:ascii="Times New Roman" w:hAnsi="Times New Roman" w:cs="Times New Roman"/>
          <w:b/>
          <w:sz w:val="24"/>
          <w:szCs w:val="24"/>
        </w:rPr>
        <w:t xml:space="preserve">  </w:t>
      </w:r>
    </w:p>
    <w:p w14:paraId="3E0AFB98" w14:textId="13E73352" w:rsidR="00A0475E" w:rsidRDefault="00A0475E" w:rsidP="00A0475E">
      <w:pPr>
        <w:spacing w:line="276" w:lineRule="auto"/>
        <w:rPr>
          <w:rFonts w:ascii="Times New Roman" w:hAnsi="Times New Roman" w:cs="Times New Roman"/>
          <w:sz w:val="24"/>
          <w:szCs w:val="24"/>
        </w:rPr>
      </w:pPr>
      <w:r w:rsidRPr="00E35435">
        <w:rPr>
          <w:rFonts w:ascii="Times New Roman" w:hAnsi="Times New Roman" w:cs="Times New Roman"/>
          <w:b/>
          <w:sz w:val="24"/>
          <w:szCs w:val="24"/>
        </w:rPr>
        <w:t>Figure 2.</w:t>
      </w:r>
      <w:r w:rsidRPr="00B83817">
        <w:rPr>
          <w:rFonts w:ascii="Times New Roman" w:hAnsi="Times New Roman" w:cs="Times New Roman"/>
          <w:b/>
          <w:sz w:val="24"/>
          <w:szCs w:val="24"/>
        </w:rPr>
        <w:t xml:space="preserve"> Deming regression of ETKAC measured in </w:t>
      </w:r>
      <w:r>
        <w:rPr>
          <w:rFonts w:ascii="Times New Roman" w:hAnsi="Times New Roman" w:cs="Times New Roman"/>
          <w:b/>
          <w:sz w:val="24"/>
          <w:szCs w:val="24"/>
        </w:rPr>
        <w:t>erythrocytes</w:t>
      </w:r>
      <w:r w:rsidRPr="00B83817">
        <w:rPr>
          <w:rFonts w:ascii="Times New Roman" w:hAnsi="Times New Roman" w:cs="Times New Roman"/>
          <w:b/>
          <w:sz w:val="24"/>
          <w:szCs w:val="24"/>
        </w:rPr>
        <w:t xml:space="preserve"> hemolysates collected in either ETDA or lithium heparin (LH) blood tubes</w:t>
      </w:r>
      <w:r>
        <w:rPr>
          <w:rFonts w:ascii="Times New Roman" w:hAnsi="Times New Roman" w:cs="Times New Roman"/>
          <w:b/>
          <w:sz w:val="24"/>
          <w:szCs w:val="24"/>
        </w:rPr>
        <w:t xml:space="preserve"> from 15 adults</w:t>
      </w:r>
      <w:r>
        <w:rPr>
          <w:rFonts w:ascii="Times New Roman" w:hAnsi="Times New Roman" w:cs="Times New Roman"/>
          <w:sz w:val="24"/>
          <w:szCs w:val="24"/>
        </w:rPr>
        <w:t xml:space="preserve">. </w:t>
      </w:r>
      <w:r w:rsidRPr="00C46DC4">
        <w:rPr>
          <w:rFonts w:ascii="Times New Roman" w:hAnsi="Times New Roman" w:cs="Times New Roman"/>
          <w:sz w:val="24"/>
          <w:szCs w:val="24"/>
        </w:rPr>
        <w:t xml:space="preserve">Open circles, observed data points; solid line, regression line; dashed line, line of equality. Slope (95% CI)  = </w:t>
      </w:r>
      <w:r>
        <w:rPr>
          <w:rFonts w:ascii="Times New Roman" w:hAnsi="Times New Roman" w:cs="Times New Roman"/>
          <w:sz w:val="24"/>
          <w:szCs w:val="24"/>
        </w:rPr>
        <w:t>0.88</w:t>
      </w:r>
      <w:r w:rsidRPr="00C46DC4">
        <w:rPr>
          <w:rFonts w:ascii="Times New Roman" w:hAnsi="Times New Roman" w:cs="Times New Roman"/>
          <w:sz w:val="24"/>
          <w:szCs w:val="24"/>
        </w:rPr>
        <w:t xml:space="preserve"> (</w:t>
      </w:r>
      <w:r>
        <w:rPr>
          <w:rFonts w:ascii="Times New Roman" w:hAnsi="Times New Roman" w:cs="Times New Roman"/>
          <w:sz w:val="24"/>
          <w:szCs w:val="24"/>
        </w:rPr>
        <w:t>0.37, 1.39</w:t>
      </w:r>
      <w:r w:rsidRPr="00C46DC4">
        <w:rPr>
          <w:rFonts w:ascii="Times New Roman" w:hAnsi="Times New Roman" w:cs="Times New Roman"/>
          <w:sz w:val="24"/>
          <w:szCs w:val="24"/>
        </w:rPr>
        <w:t xml:space="preserve">), intercept (95% CI) = </w:t>
      </w:r>
      <w:r>
        <w:rPr>
          <w:rFonts w:ascii="Times New Roman" w:hAnsi="Times New Roman" w:cs="Times New Roman"/>
          <w:sz w:val="24"/>
          <w:szCs w:val="24"/>
        </w:rPr>
        <w:t>0.26</w:t>
      </w:r>
      <w:r w:rsidRPr="00C46DC4">
        <w:rPr>
          <w:rFonts w:ascii="Times New Roman" w:hAnsi="Times New Roman" w:cs="Times New Roman"/>
          <w:sz w:val="24"/>
          <w:szCs w:val="24"/>
        </w:rPr>
        <w:t xml:space="preserve"> (</w:t>
      </w:r>
      <w:r>
        <w:rPr>
          <w:rFonts w:ascii="Times New Roman" w:hAnsi="Times New Roman" w:cs="Times New Roman"/>
          <w:sz w:val="24"/>
          <w:szCs w:val="24"/>
        </w:rPr>
        <w:t>-0.44, 0.68</w:t>
      </w:r>
      <w:r w:rsidRPr="00C46DC4">
        <w:rPr>
          <w:rFonts w:ascii="Times New Roman" w:hAnsi="Times New Roman" w:cs="Times New Roman"/>
          <w:sz w:val="24"/>
          <w:szCs w:val="24"/>
        </w:rPr>
        <w:t>).</w:t>
      </w:r>
    </w:p>
    <w:p w14:paraId="27A8913B" w14:textId="6D797159" w:rsidR="00A0475E" w:rsidRDefault="00A0475E" w:rsidP="00A0475E">
      <w:pPr>
        <w:spacing w:line="276" w:lineRule="auto"/>
        <w:rPr>
          <w:rFonts w:ascii="Times New Roman" w:hAnsi="Times New Roman" w:cs="Times New Roman"/>
          <w:sz w:val="24"/>
          <w:szCs w:val="24"/>
        </w:rPr>
      </w:pPr>
      <w:r w:rsidRPr="00E35435">
        <w:rPr>
          <w:rFonts w:ascii="Times New Roman" w:hAnsi="Times New Roman" w:cs="Times New Roman"/>
          <w:b/>
          <w:color w:val="000000"/>
          <w:sz w:val="24"/>
          <w:szCs w:val="24"/>
        </w:rPr>
        <w:t>Figure 3. Deming</w:t>
      </w:r>
      <w:r w:rsidRPr="00B83817">
        <w:rPr>
          <w:rFonts w:ascii="Times New Roman" w:hAnsi="Times New Roman" w:cs="Times New Roman"/>
          <w:b/>
          <w:color w:val="000000"/>
          <w:sz w:val="24"/>
          <w:szCs w:val="24"/>
        </w:rPr>
        <w:t xml:space="preserve"> regression of ETKAC measured in erythrocyte hemolysates prepared from LH and EDTA whole blood collected from 15 adults and processed with 2 h of collection or after refrigeration for 24 h</w:t>
      </w:r>
      <w:r>
        <w:rPr>
          <w:rFonts w:ascii="Times New Roman" w:hAnsi="Times New Roman" w:cs="Times New Roman"/>
          <w:color w:val="000000"/>
          <w:sz w:val="24"/>
          <w:szCs w:val="24"/>
        </w:rPr>
        <w:t>. D</w:t>
      </w:r>
      <w:r w:rsidRPr="00CB3ECF">
        <w:rPr>
          <w:rFonts w:ascii="Times New Roman" w:hAnsi="Times New Roman" w:cs="Times New Roman"/>
          <w:sz w:val="24"/>
          <w:szCs w:val="24"/>
        </w:rPr>
        <w:t xml:space="preserve">ashed line </w:t>
      </w:r>
      <w:r>
        <w:rPr>
          <w:rFonts w:ascii="Times New Roman" w:hAnsi="Times New Roman" w:cs="Times New Roman"/>
          <w:sz w:val="24"/>
          <w:szCs w:val="24"/>
        </w:rPr>
        <w:t>is the line of equality.</w:t>
      </w:r>
    </w:p>
    <w:p w14:paraId="6287B972" w14:textId="77777777" w:rsidR="00A0475E" w:rsidRDefault="00A0475E" w:rsidP="00A0475E">
      <w:pPr>
        <w:rPr>
          <w:rFonts w:ascii="Times New Roman" w:hAnsi="Times New Roman" w:cs="Times New Roman"/>
          <w:b/>
          <w:sz w:val="24"/>
          <w:szCs w:val="24"/>
        </w:rPr>
      </w:pPr>
      <w:r w:rsidRPr="00E35435">
        <w:rPr>
          <w:rFonts w:ascii="Times New Roman" w:hAnsi="Times New Roman" w:cs="Times New Roman"/>
          <w:b/>
          <w:sz w:val="24"/>
          <w:szCs w:val="24"/>
        </w:rPr>
        <w:t>Figure 4. Deming</w:t>
      </w:r>
      <w:r w:rsidRPr="00C46DC4">
        <w:rPr>
          <w:rFonts w:ascii="Times New Roman" w:hAnsi="Times New Roman" w:cs="Times New Roman"/>
          <w:b/>
          <w:sz w:val="24"/>
          <w:szCs w:val="24"/>
        </w:rPr>
        <w:t xml:space="preserve"> regression of repeat analysis of </w:t>
      </w:r>
      <w:r>
        <w:rPr>
          <w:rFonts w:ascii="Times New Roman" w:hAnsi="Times New Roman" w:cs="Times New Roman"/>
          <w:b/>
          <w:sz w:val="24"/>
          <w:szCs w:val="24"/>
        </w:rPr>
        <w:t>erythrocyte</w:t>
      </w:r>
      <w:r w:rsidRPr="00C46DC4">
        <w:rPr>
          <w:rFonts w:ascii="Times New Roman" w:hAnsi="Times New Roman" w:cs="Times New Roman"/>
          <w:b/>
          <w:sz w:val="24"/>
          <w:szCs w:val="24"/>
        </w:rPr>
        <w:t xml:space="preserve"> hemolysates after storage </w:t>
      </w:r>
      <w:r>
        <w:rPr>
          <w:rFonts w:ascii="Times New Roman" w:hAnsi="Times New Roman" w:cs="Times New Roman"/>
          <w:b/>
          <w:sz w:val="24"/>
          <w:szCs w:val="24"/>
        </w:rPr>
        <w:t xml:space="preserve">for 6 </w:t>
      </w:r>
      <w:r w:rsidRPr="009A2DE6">
        <w:rPr>
          <w:rFonts w:ascii="Times New Roman" w:hAnsi="Times New Roman" w:cs="Times New Roman"/>
          <w:b/>
          <w:sz w:val="24"/>
          <w:szCs w:val="24"/>
        </w:rPr>
        <w:t>months at -70</w:t>
      </w:r>
      <w:r>
        <w:rPr>
          <w:rFonts w:ascii="Times New Roman" w:hAnsi="Times New Roman" w:cs="Times New Roman"/>
          <w:b/>
          <w:sz w:val="24"/>
          <w:szCs w:val="24"/>
        </w:rPr>
        <w:t xml:space="preserve"> </w:t>
      </w:r>
      <w:r w:rsidRPr="009A2DE6">
        <w:rPr>
          <w:rFonts w:ascii="Times New Roman" w:hAnsi="Times New Roman" w:cs="Times New Roman"/>
          <w:b/>
          <w:sz w:val="24"/>
          <w:szCs w:val="24"/>
        </w:rPr>
        <w:t>°C.</w:t>
      </w:r>
      <w:r w:rsidRPr="00C46DC4">
        <w:rPr>
          <w:rFonts w:ascii="Times New Roman" w:hAnsi="Times New Roman" w:cs="Times New Roman"/>
          <w:b/>
          <w:sz w:val="24"/>
          <w:szCs w:val="24"/>
        </w:rPr>
        <w:t xml:space="preserve"> </w:t>
      </w:r>
      <w:r w:rsidRPr="00C46DC4">
        <w:rPr>
          <w:rFonts w:ascii="Times New Roman" w:hAnsi="Times New Roman" w:cs="Times New Roman"/>
          <w:sz w:val="24"/>
          <w:szCs w:val="24"/>
        </w:rPr>
        <w:t>Open circles, observed data points; solid line, regression line; dashed line, line of equality. Slope (95% CI)  = 1.06 (0.92, 1.20), intercept (95% CI) = -0.07 (-0.24, 0.09)</w:t>
      </w:r>
      <w:r>
        <w:rPr>
          <w:rFonts w:ascii="Times New Roman" w:hAnsi="Times New Roman" w:cs="Times New Roman"/>
          <w:sz w:val="24"/>
          <w:szCs w:val="24"/>
        </w:rPr>
        <w:t xml:space="preserve"> (n=59)</w:t>
      </w:r>
      <w:r w:rsidRPr="00C46DC4">
        <w:rPr>
          <w:rFonts w:ascii="Times New Roman" w:hAnsi="Times New Roman" w:cs="Times New Roman"/>
          <w:sz w:val="24"/>
          <w:szCs w:val="24"/>
        </w:rPr>
        <w:t>.</w:t>
      </w:r>
      <w:r>
        <w:rPr>
          <w:rFonts w:ascii="Times New Roman" w:hAnsi="Times New Roman" w:cs="Times New Roman"/>
          <w:b/>
          <w:sz w:val="24"/>
          <w:szCs w:val="24"/>
        </w:rPr>
        <w:t xml:space="preserve"> </w:t>
      </w:r>
    </w:p>
    <w:p w14:paraId="2DEB4FB0" w14:textId="48DD5105" w:rsidR="00A0475E" w:rsidRPr="00774E56" w:rsidRDefault="00A0475E" w:rsidP="00774E56">
      <w:pPr>
        <w:pStyle w:val="SOPText"/>
        <w:tabs>
          <w:tab w:val="left" w:pos="284"/>
        </w:tabs>
        <w:spacing w:line="276" w:lineRule="auto"/>
        <w:rPr>
          <w:rFonts w:ascii="Times New Roman" w:eastAsiaTheme="minorHAnsi" w:hAnsi="Times New Roman"/>
          <w:sz w:val="24"/>
        </w:rPr>
      </w:pPr>
      <w:r w:rsidRPr="00A0475E">
        <w:rPr>
          <w:rFonts w:ascii="Times New Roman" w:eastAsiaTheme="minorHAnsi" w:hAnsi="Times New Roman"/>
          <w:b/>
          <w:sz w:val="24"/>
        </w:rPr>
        <w:t>Figure P1. Plate map for ETKAC analysis.</w:t>
      </w:r>
      <w:r w:rsidRPr="00A0475E">
        <w:rPr>
          <w:rFonts w:ascii="Times New Roman" w:eastAsiaTheme="minorHAnsi" w:hAnsi="Times New Roman"/>
          <w:sz w:val="24"/>
        </w:rPr>
        <w:t xml:space="preserve"> Sample and QC (30 µl) are added to each of four wells on the plate. To the shaded rows A, B, E, F (basal wells) is added 15 µl Tris buffer and to rows C, D, G, H (activated wells) 15 µl TPP is added. Abbreviations: BLK, reagent blank (Tris buffer); QC, internal quality</w:t>
      </w:r>
      <w:r w:rsidR="00774E56">
        <w:rPr>
          <w:rFonts w:ascii="Times New Roman" w:eastAsiaTheme="minorHAnsi" w:hAnsi="Times New Roman"/>
          <w:sz w:val="24"/>
        </w:rPr>
        <w:t xml:space="preserve"> control sample; 1-20, samples.</w:t>
      </w:r>
    </w:p>
    <w:sectPr w:rsidR="00A0475E" w:rsidRPr="00774E56" w:rsidSect="009A78BC">
      <w:headerReference w:type="default" r:id="rId11"/>
      <w:footerReference w:type="default" r:id="rId12"/>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B2FECF" w14:textId="77777777" w:rsidR="0042481B" w:rsidRDefault="0042481B" w:rsidP="003B0F89">
      <w:pPr>
        <w:spacing w:after="0" w:line="240" w:lineRule="auto"/>
      </w:pPr>
      <w:r>
        <w:separator/>
      </w:r>
    </w:p>
  </w:endnote>
  <w:endnote w:type="continuationSeparator" w:id="0">
    <w:p w14:paraId="70B49BF7" w14:textId="77777777" w:rsidR="0042481B" w:rsidRDefault="0042481B" w:rsidP="003B0F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AdvPSMP13">
    <w:panose1 w:val="00000000000000000000"/>
    <w:charset w:val="00"/>
    <w:family w:val="roman"/>
    <w:notTrueType/>
    <w:pitch w:val="default"/>
  </w:font>
  <w:font w:name="AdvTT62f2e734+20">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Wingdings 3">
    <w:panose1 w:val="050401020108070707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rPr>
      <w:id w:val="-532111926"/>
      <w:docPartObj>
        <w:docPartGallery w:val="Page Numbers (Bottom of Page)"/>
        <w:docPartUnique/>
      </w:docPartObj>
    </w:sdtPr>
    <w:sdtEndPr>
      <w:rPr>
        <w:noProof/>
      </w:rPr>
    </w:sdtEndPr>
    <w:sdtContent>
      <w:p w14:paraId="7AD6CB2C" w14:textId="2C59ECA4" w:rsidR="0042481B" w:rsidRPr="009A78BC" w:rsidRDefault="0042481B">
        <w:pPr>
          <w:pStyle w:val="Footer"/>
          <w:jc w:val="right"/>
          <w:rPr>
            <w:rFonts w:ascii="Times New Roman" w:hAnsi="Times New Roman" w:cs="Times New Roman"/>
          </w:rPr>
        </w:pPr>
        <w:r w:rsidRPr="009A78BC">
          <w:rPr>
            <w:rFonts w:ascii="Times New Roman" w:hAnsi="Times New Roman" w:cs="Times New Roman"/>
          </w:rPr>
          <w:fldChar w:fldCharType="begin"/>
        </w:r>
        <w:r w:rsidRPr="009A78BC">
          <w:rPr>
            <w:rFonts w:ascii="Times New Roman" w:hAnsi="Times New Roman" w:cs="Times New Roman"/>
          </w:rPr>
          <w:instrText xml:space="preserve"> PAGE   \* MERGEFORMAT </w:instrText>
        </w:r>
        <w:r w:rsidRPr="009A78BC">
          <w:rPr>
            <w:rFonts w:ascii="Times New Roman" w:hAnsi="Times New Roman" w:cs="Times New Roman"/>
          </w:rPr>
          <w:fldChar w:fldCharType="separate"/>
        </w:r>
        <w:r w:rsidR="00D739EC">
          <w:rPr>
            <w:rFonts w:ascii="Times New Roman" w:hAnsi="Times New Roman" w:cs="Times New Roman"/>
            <w:noProof/>
          </w:rPr>
          <w:t>1</w:t>
        </w:r>
        <w:r w:rsidRPr="009A78BC">
          <w:rPr>
            <w:rFonts w:ascii="Times New Roman" w:hAnsi="Times New Roman" w:cs="Times New Roman"/>
            <w:noProof/>
          </w:rPr>
          <w:fldChar w:fldCharType="end"/>
        </w:r>
      </w:p>
    </w:sdtContent>
  </w:sdt>
  <w:p w14:paraId="1D3D4881" w14:textId="77777777" w:rsidR="0042481B" w:rsidRDefault="0042481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A31577" w14:textId="77777777" w:rsidR="0042481B" w:rsidRDefault="0042481B" w:rsidP="003B0F89">
      <w:pPr>
        <w:spacing w:after="0" w:line="240" w:lineRule="auto"/>
      </w:pPr>
      <w:r>
        <w:separator/>
      </w:r>
    </w:p>
  </w:footnote>
  <w:footnote w:type="continuationSeparator" w:id="0">
    <w:p w14:paraId="2DC6E82F" w14:textId="77777777" w:rsidR="0042481B" w:rsidRDefault="0042481B" w:rsidP="003B0F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5EC675" w14:textId="77777777" w:rsidR="0042481B" w:rsidRPr="00B365DD" w:rsidRDefault="0042481B">
    <w:pPr>
      <w:pStyle w:val="Header"/>
      <w:rPr>
        <w:rFonts w:ascii="Times New Roman" w:hAnsi="Times New Roman" w:cs="Times New Roman"/>
      </w:rPr>
    </w:pPr>
    <w:r w:rsidRPr="00B365DD">
      <w:rPr>
        <w:rFonts w:ascii="Times New Roman" w:hAnsi="Times New Roman" w:cs="Times New Roman"/>
      </w:rPr>
      <w:t>ETKAC assay protocol</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4E429872"/>
    <w:lvl w:ilvl="0">
      <w:start w:val="1"/>
      <w:numFmt w:val="bullet"/>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C0D4FA48"/>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E5E8B83E"/>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1C646B9E"/>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4154AE44"/>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0491734"/>
    <w:multiLevelType w:val="hybridMultilevel"/>
    <w:tmpl w:val="E6FE4B0C"/>
    <w:lvl w:ilvl="0" w:tplc="FD1808D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6034C63"/>
    <w:multiLevelType w:val="hybridMultilevel"/>
    <w:tmpl w:val="D43461D6"/>
    <w:lvl w:ilvl="0" w:tplc="0809000F">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7" w15:restartNumberingAfterBreak="0">
    <w:nsid w:val="140C4236"/>
    <w:multiLevelType w:val="multilevel"/>
    <w:tmpl w:val="0809001F"/>
    <w:lvl w:ilvl="0">
      <w:start w:val="1"/>
      <w:numFmt w:val="decimal"/>
      <w:lvlText w:val="%1."/>
      <w:lvlJc w:val="left"/>
      <w:pPr>
        <w:ind w:left="717" w:hanging="360"/>
      </w:pPr>
    </w:lvl>
    <w:lvl w:ilvl="1">
      <w:start w:val="1"/>
      <w:numFmt w:val="decimal"/>
      <w:lvlText w:val="%1.%2."/>
      <w:lvlJc w:val="left"/>
      <w:pPr>
        <w:ind w:left="1149" w:hanging="432"/>
      </w:pPr>
    </w:lvl>
    <w:lvl w:ilvl="2">
      <w:start w:val="1"/>
      <w:numFmt w:val="decimal"/>
      <w:lvlText w:val="%1.%2.%3."/>
      <w:lvlJc w:val="left"/>
      <w:pPr>
        <w:ind w:left="1581" w:hanging="504"/>
      </w:pPr>
    </w:lvl>
    <w:lvl w:ilvl="3">
      <w:start w:val="1"/>
      <w:numFmt w:val="decimal"/>
      <w:lvlText w:val="%1.%2.%3.%4."/>
      <w:lvlJc w:val="left"/>
      <w:pPr>
        <w:ind w:left="2085" w:hanging="648"/>
      </w:pPr>
    </w:lvl>
    <w:lvl w:ilvl="4">
      <w:start w:val="1"/>
      <w:numFmt w:val="decimal"/>
      <w:lvlText w:val="%1.%2.%3.%4.%5."/>
      <w:lvlJc w:val="left"/>
      <w:pPr>
        <w:ind w:left="2589" w:hanging="792"/>
      </w:pPr>
    </w:lvl>
    <w:lvl w:ilvl="5">
      <w:start w:val="1"/>
      <w:numFmt w:val="decimal"/>
      <w:lvlText w:val="%1.%2.%3.%4.%5.%6."/>
      <w:lvlJc w:val="left"/>
      <w:pPr>
        <w:ind w:left="3093" w:hanging="936"/>
      </w:pPr>
    </w:lvl>
    <w:lvl w:ilvl="6">
      <w:start w:val="1"/>
      <w:numFmt w:val="decimal"/>
      <w:lvlText w:val="%1.%2.%3.%4.%5.%6.%7."/>
      <w:lvlJc w:val="left"/>
      <w:pPr>
        <w:ind w:left="3597" w:hanging="1080"/>
      </w:pPr>
    </w:lvl>
    <w:lvl w:ilvl="7">
      <w:start w:val="1"/>
      <w:numFmt w:val="decimal"/>
      <w:lvlText w:val="%1.%2.%3.%4.%5.%6.%7.%8."/>
      <w:lvlJc w:val="left"/>
      <w:pPr>
        <w:ind w:left="4101" w:hanging="1224"/>
      </w:pPr>
    </w:lvl>
    <w:lvl w:ilvl="8">
      <w:start w:val="1"/>
      <w:numFmt w:val="decimal"/>
      <w:lvlText w:val="%1.%2.%3.%4.%5.%6.%7.%8.%9."/>
      <w:lvlJc w:val="left"/>
      <w:pPr>
        <w:ind w:left="4677" w:hanging="1440"/>
      </w:pPr>
    </w:lvl>
  </w:abstractNum>
  <w:abstractNum w:abstractNumId="8" w15:restartNumberingAfterBreak="0">
    <w:nsid w:val="1C360CC9"/>
    <w:multiLevelType w:val="multilevel"/>
    <w:tmpl w:val="0809001F"/>
    <w:lvl w:ilvl="0">
      <w:start w:val="1"/>
      <w:numFmt w:val="decimal"/>
      <w:lvlText w:val="%1."/>
      <w:lvlJc w:val="left"/>
      <w:pPr>
        <w:ind w:left="717" w:hanging="360"/>
      </w:pPr>
    </w:lvl>
    <w:lvl w:ilvl="1">
      <w:start w:val="1"/>
      <w:numFmt w:val="decimal"/>
      <w:lvlText w:val="%1.%2."/>
      <w:lvlJc w:val="left"/>
      <w:pPr>
        <w:ind w:left="1149" w:hanging="432"/>
      </w:pPr>
    </w:lvl>
    <w:lvl w:ilvl="2">
      <w:start w:val="1"/>
      <w:numFmt w:val="decimal"/>
      <w:lvlText w:val="%1.%2.%3."/>
      <w:lvlJc w:val="left"/>
      <w:pPr>
        <w:ind w:left="1581" w:hanging="504"/>
      </w:pPr>
    </w:lvl>
    <w:lvl w:ilvl="3">
      <w:start w:val="1"/>
      <w:numFmt w:val="decimal"/>
      <w:lvlText w:val="%1.%2.%3.%4."/>
      <w:lvlJc w:val="left"/>
      <w:pPr>
        <w:ind w:left="2085" w:hanging="648"/>
      </w:pPr>
    </w:lvl>
    <w:lvl w:ilvl="4">
      <w:start w:val="1"/>
      <w:numFmt w:val="decimal"/>
      <w:lvlText w:val="%1.%2.%3.%4.%5."/>
      <w:lvlJc w:val="left"/>
      <w:pPr>
        <w:ind w:left="2589" w:hanging="792"/>
      </w:pPr>
    </w:lvl>
    <w:lvl w:ilvl="5">
      <w:start w:val="1"/>
      <w:numFmt w:val="decimal"/>
      <w:lvlText w:val="%1.%2.%3.%4.%5.%6."/>
      <w:lvlJc w:val="left"/>
      <w:pPr>
        <w:ind w:left="3093" w:hanging="936"/>
      </w:pPr>
    </w:lvl>
    <w:lvl w:ilvl="6">
      <w:start w:val="1"/>
      <w:numFmt w:val="decimal"/>
      <w:lvlText w:val="%1.%2.%3.%4.%5.%6.%7."/>
      <w:lvlJc w:val="left"/>
      <w:pPr>
        <w:ind w:left="3597" w:hanging="1080"/>
      </w:pPr>
    </w:lvl>
    <w:lvl w:ilvl="7">
      <w:start w:val="1"/>
      <w:numFmt w:val="decimal"/>
      <w:lvlText w:val="%1.%2.%3.%4.%5.%6.%7.%8."/>
      <w:lvlJc w:val="left"/>
      <w:pPr>
        <w:ind w:left="4101" w:hanging="1224"/>
      </w:pPr>
    </w:lvl>
    <w:lvl w:ilvl="8">
      <w:start w:val="1"/>
      <w:numFmt w:val="decimal"/>
      <w:lvlText w:val="%1.%2.%3.%4.%5.%6.%7.%8.%9."/>
      <w:lvlJc w:val="left"/>
      <w:pPr>
        <w:ind w:left="4677" w:hanging="1440"/>
      </w:pPr>
    </w:lvl>
  </w:abstractNum>
  <w:abstractNum w:abstractNumId="9" w15:restartNumberingAfterBreak="0">
    <w:nsid w:val="1E491C36"/>
    <w:multiLevelType w:val="hybridMultilevel"/>
    <w:tmpl w:val="E376A97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BD1EA124">
      <w:start w:val="1"/>
      <w:numFmt w:val="decimal"/>
      <w:lvlText w:val="%4."/>
      <w:lvlJc w:val="left"/>
      <w:pPr>
        <w:ind w:left="1778" w:hanging="360"/>
      </w:pPr>
      <w:rPr>
        <w:b w:val="0"/>
      </w:r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22B76F06"/>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853399E"/>
    <w:multiLevelType w:val="hybridMultilevel"/>
    <w:tmpl w:val="D6FAC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6E44CA"/>
    <w:multiLevelType w:val="hybridMultilevel"/>
    <w:tmpl w:val="064E33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CD94E7B"/>
    <w:multiLevelType w:val="hybridMultilevel"/>
    <w:tmpl w:val="B84E09E0"/>
    <w:lvl w:ilvl="0" w:tplc="8EB4F2F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D6B245B"/>
    <w:multiLevelType w:val="hybridMultilevel"/>
    <w:tmpl w:val="D97E76E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DCB77C2"/>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96578B3"/>
    <w:multiLevelType w:val="hybridMultilevel"/>
    <w:tmpl w:val="1FD20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CC43CFF"/>
    <w:multiLevelType w:val="hybridMultilevel"/>
    <w:tmpl w:val="A800B58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4D6136FD"/>
    <w:multiLevelType w:val="hybridMultilevel"/>
    <w:tmpl w:val="A46AE922"/>
    <w:lvl w:ilvl="0" w:tplc="7562A3E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E363D18"/>
    <w:multiLevelType w:val="multilevel"/>
    <w:tmpl w:val="0809001F"/>
    <w:lvl w:ilvl="0">
      <w:start w:val="1"/>
      <w:numFmt w:val="decimal"/>
      <w:lvlText w:val="%1."/>
      <w:lvlJc w:val="left"/>
      <w:pPr>
        <w:ind w:left="717" w:hanging="360"/>
      </w:pPr>
    </w:lvl>
    <w:lvl w:ilvl="1">
      <w:start w:val="1"/>
      <w:numFmt w:val="decimal"/>
      <w:lvlText w:val="%1.%2."/>
      <w:lvlJc w:val="left"/>
      <w:pPr>
        <w:ind w:left="1149" w:hanging="432"/>
      </w:pPr>
    </w:lvl>
    <w:lvl w:ilvl="2">
      <w:start w:val="1"/>
      <w:numFmt w:val="decimal"/>
      <w:lvlText w:val="%1.%2.%3."/>
      <w:lvlJc w:val="left"/>
      <w:pPr>
        <w:ind w:left="1581" w:hanging="504"/>
      </w:pPr>
    </w:lvl>
    <w:lvl w:ilvl="3">
      <w:start w:val="1"/>
      <w:numFmt w:val="decimal"/>
      <w:lvlText w:val="%1.%2.%3.%4."/>
      <w:lvlJc w:val="left"/>
      <w:pPr>
        <w:ind w:left="2085" w:hanging="648"/>
      </w:pPr>
    </w:lvl>
    <w:lvl w:ilvl="4">
      <w:start w:val="1"/>
      <w:numFmt w:val="decimal"/>
      <w:lvlText w:val="%1.%2.%3.%4.%5."/>
      <w:lvlJc w:val="left"/>
      <w:pPr>
        <w:ind w:left="2589" w:hanging="792"/>
      </w:pPr>
    </w:lvl>
    <w:lvl w:ilvl="5">
      <w:start w:val="1"/>
      <w:numFmt w:val="decimal"/>
      <w:lvlText w:val="%1.%2.%3.%4.%5.%6."/>
      <w:lvlJc w:val="left"/>
      <w:pPr>
        <w:ind w:left="3093" w:hanging="936"/>
      </w:pPr>
    </w:lvl>
    <w:lvl w:ilvl="6">
      <w:start w:val="1"/>
      <w:numFmt w:val="decimal"/>
      <w:lvlText w:val="%1.%2.%3.%4.%5.%6.%7."/>
      <w:lvlJc w:val="left"/>
      <w:pPr>
        <w:ind w:left="3597" w:hanging="1080"/>
      </w:pPr>
    </w:lvl>
    <w:lvl w:ilvl="7">
      <w:start w:val="1"/>
      <w:numFmt w:val="decimal"/>
      <w:lvlText w:val="%1.%2.%3.%4.%5.%6.%7.%8."/>
      <w:lvlJc w:val="left"/>
      <w:pPr>
        <w:ind w:left="4101" w:hanging="1224"/>
      </w:pPr>
    </w:lvl>
    <w:lvl w:ilvl="8">
      <w:start w:val="1"/>
      <w:numFmt w:val="decimal"/>
      <w:lvlText w:val="%1.%2.%3.%4.%5.%6.%7.%8.%9."/>
      <w:lvlJc w:val="left"/>
      <w:pPr>
        <w:ind w:left="4677" w:hanging="1440"/>
      </w:pPr>
    </w:lvl>
  </w:abstractNum>
  <w:abstractNum w:abstractNumId="20" w15:restartNumberingAfterBreak="0">
    <w:nsid w:val="50F223EE"/>
    <w:multiLevelType w:val="hybridMultilevel"/>
    <w:tmpl w:val="D5EA0D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3A23022"/>
    <w:multiLevelType w:val="hybridMultilevel"/>
    <w:tmpl w:val="E9226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9BA7B81"/>
    <w:multiLevelType w:val="hybridMultilevel"/>
    <w:tmpl w:val="8E32B1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2BD33DA"/>
    <w:multiLevelType w:val="hybridMultilevel"/>
    <w:tmpl w:val="E8C8F1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E8A7090"/>
    <w:multiLevelType w:val="hybridMultilevel"/>
    <w:tmpl w:val="72D0298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7A380DDC"/>
    <w:multiLevelType w:val="hybridMultilevel"/>
    <w:tmpl w:val="AD2E3C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B176A3C"/>
    <w:multiLevelType w:val="multilevel"/>
    <w:tmpl w:val="0809001F"/>
    <w:lvl w:ilvl="0">
      <w:start w:val="1"/>
      <w:numFmt w:val="decimal"/>
      <w:lvlText w:val="%1."/>
      <w:lvlJc w:val="left"/>
      <w:pPr>
        <w:ind w:left="717" w:hanging="360"/>
      </w:pPr>
    </w:lvl>
    <w:lvl w:ilvl="1">
      <w:start w:val="1"/>
      <w:numFmt w:val="decimal"/>
      <w:lvlText w:val="%1.%2."/>
      <w:lvlJc w:val="left"/>
      <w:pPr>
        <w:ind w:left="1149" w:hanging="432"/>
      </w:pPr>
    </w:lvl>
    <w:lvl w:ilvl="2">
      <w:start w:val="1"/>
      <w:numFmt w:val="decimal"/>
      <w:lvlText w:val="%1.%2.%3."/>
      <w:lvlJc w:val="left"/>
      <w:pPr>
        <w:ind w:left="1581" w:hanging="504"/>
      </w:pPr>
    </w:lvl>
    <w:lvl w:ilvl="3">
      <w:start w:val="1"/>
      <w:numFmt w:val="decimal"/>
      <w:lvlText w:val="%1.%2.%3.%4."/>
      <w:lvlJc w:val="left"/>
      <w:pPr>
        <w:ind w:left="2085" w:hanging="648"/>
      </w:pPr>
    </w:lvl>
    <w:lvl w:ilvl="4">
      <w:start w:val="1"/>
      <w:numFmt w:val="decimal"/>
      <w:lvlText w:val="%1.%2.%3.%4.%5."/>
      <w:lvlJc w:val="left"/>
      <w:pPr>
        <w:ind w:left="2589" w:hanging="792"/>
      </w:pPr>
    </w:lvl>
    <w:lvl w:ilvl="5">
      <w:start w:val="1"/>
      <w:numFmt w:val="decimal"/>
      <w:lvlText w:val="%1.%2.%3.%4.%5.%6."/>
      <w:lvlJc w:val="left"/>
      <w:pPr>
        <w:ind w:left="3093" w:hanging="936"/>
      </w:pPr>
    </w:lvl>
    <w:lvl w:ilvl="6">
      <w:start w:val="1"/>
      <w:numFmt w:val="decimal"/>
      <w:lvlText w:val="%1.%2.%3.%4.%5.%6.%7."/>
      <w:lvlJc w:val="left"/>
      <w:pPr>
        <w:ind w:left="3597" w:hanging="1080"/>
      </w:pPr>
    </w:lvl>
    <w:lvl w:ilvl="7">
      <w:start w:val="1"/>
      <w:numFmt w:val="decimal"/>
      <w:lvlText w:val="%1.%2.%3.%4.%5.%6.%7.%8."/>
      <w:lvlJc w:val="left"/>
      <w:pPr>
        <w:ind w:left="4101" w:hanging="1224"/>
      </w:pPr>
    </w:lvl>
    <w:lvl w:ilvl="8">
      <w:start w:val="1"/>
      <w:numFmt w:val="decimal"/>
      <w:lvlText w:val="%1.%2.%3.%4.%5.%6.%7.%8.%9."/>
      <w:lvlJc w:val="left"/>
      <w:pPr>
        <w:ind w:left="4677" w:hanging="1440"/>
      </w:pPr>
    </w:lvl>
  </w:abstractNum>
  <w:abstractNum w:abstractNumId="27" w15:restartNumberingAfterBreak="0">
    <w:nsid w:val="7BE1359D"/>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DAD27B4"/>
    <w:multiLevelType w:val="hybridMultilevel"/>
    <w:tmpl w:val="064E33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0"/>
  </w:num>
  <w:num w:numId="2">
    <w:abstractNumId w:val="14"/>
  </w:num>
  <w:num w:numId="3">
    <w:abstractNumId w:val="13"/>
  </w:num>
  <w:num w:numId="4">
    <w:abstractNumId w:val="5"/>
  </w:num>
  <w:num w:numId="5">
    <w:abstractNumId w:val="4"/>
  </w:num>
  <w:num w:numId="6">
    <w:abstractNumId w:val="3"/>
  </w:num>
  <w:num w:numId="7">
    <w:abstractNumId w:val="2"/>
  </w:num>
  <w:num w:numId="8">
    <w:abstractNumId w:val="1"/>
  </w:num>
  <w:num w:numId="9">
    <w:abstractNumId w:val="0"/>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2"/>
  </w:num>
  <w:num w:numId="12">
    <w:abstractNumId w:val="16"/>
  </w:num>
  <w:num w:numId="13">
    <w:abstractNumId w:val="15"/>
  </w:num>
  <w:num w:numId="14">
    <w:abstractNumId w:val="24"/>
  </w:num>
  <w:num w:numId="15">
    <w:abstractNumId w:val="6"/>
  </w:num>
  <w:num w:numId="16">
    <w:abstractNumId w:val="21"/>
  </w:num>
  <w:num w:numId="17">
    <w:abstractNumId w:val="17"/>
  </w:num>
  <w:num w:numId="18">
    <w:abstractNumId w:val="11"/>
  </w:num>
  <w:num w:numId="19">
    <w:abstractNumId w:val="10"/>
  </w:num>
  <w:num w:numId="20">
    <w:abstractNumId w:val="28"/>
  </w:num>
  <w:num w:numId="21">
    <w:abstractNumId w:val="7"/>
  </w:num>
  <w:num w:numId="22">
    <w:abstractNumId w:val="26"/>
  </w:num>
  <w:num w:numId="23">
    <w:abstractNumId w:val="8"/>
  </w:num>
  <w:num w:numId="24">
    <w:abstractNumId w:val="19"/>
  </w:num>
  <w:num w:numId="25">
    <w:abstractNumId w:val="25"/>
  </w:num>
  <w:num w:numId="26">
    <w:abstractNumId w:val="23"/>
  </w:num>
  <w:num w:numId="27">
    <w:abstractNumId w:val="27"/>
  </w:num>
  <w:num w:numId="28">
    <w:abstractNumId w:val="27"/>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rPr>
      </w:lvl>
    </w:lvlOverride>
    <w:lvlOverride w:ilvl="2">
      <w:lvl w:ilvl="2">
        <w:start w:val="1"/>
        <w:numFmt w:val="decimal"/>
        <w:suff w:val="space"/>
        <w:lvlText w:val="%1.%2.%3."/>
        <w:lvlJc w:val="left"/>
        <w:pPr>
          <w:ind w:left="794" w:hanging="437"/>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9">
    <w:abstractNumId w:val="18"/>
  </w:num>
  <w:num w:numId="3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trackRevisions/>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258E"/>
    <w:rsid w:val="00000812"/>
    <w:rsid w:val="000055F1"/>
    <w:rsid w:val="000135C5"/>
    <w:rsid w:val="00013F7B"/>
    <w:rsid w:val="00016D44"/>
    <w:rsid w:val="00033F44"/>
    <w:rsid w:val="00036BBD"/>
    <w:rsid w:val="00044144"/>
    <w:rsid w:val="00045A2D"/>
    <w:rsid w:val="00054D8C"/>
    <w:rsid w:val="000676E4"/>
    <w:rsid w:val="00072D3A"/>
    <w:rsid w:val="00085B8E"/>
    <w:rsid w:val="00090A27"/>
    <w:rsid w:val="0009675E"/>
    <w:rsid w:val="000A20D1"/>
    <w:rsid w:val="000A4E1D"/>
    <w:rsid w:val="000B7075"/>
    <w:rsid w:val="000C27C1"/>
    <w:rsid w:val="000C3448"/>
    <w:rsid w:val="000D0135"/>
    <w:rsid w:val="000D2FB5"/>
    <w:rsid w:val="000F1877"/>
    <w:rsid w:val="001144B3"/>
    <w:rsid w:val="0013298C"/>
    <w:rsid w:val="00133770"/>
    <w:rsid w:val="00146463"/>
    <w:rsid w:val="001517B4"/>
    <w:rsid w:val="0015441C"/>
    <w:rsid w:val="001619D1"/>
    <w:rsid w:val="00164360"/>
    <w:rsid w:val="00182E3B"/>
    <w:rsid w:val="00192F02"/>
    <w:rsid w:val="001A4FF2"/>
    <w:rsid w:val="001A6ADA"/>
    <w:rsid w:val="001B721B"/>
    <w:rsid w:val="001B7EB2"/>
    <w:rsid w:val="001C0FD3"/>
    <w:rsid w:val="001C6468"/>
    <w:rsid w:val="001C7923"/>
    <w:rsid w:val="001D283C"/>
    <w:rsid w:val="001D61F0"/>
    <w:rsid w:val="001F635C"/>
    <w:rsid w:val="00207ED4"/>
    <w:rsid w:val="00212BFF"/>
    <w:rsid w:val="00214582"/>
    <w:rsid w:val="00223E24"/>
    <w:rsid w:val="00235D56"/>
    <w:rsid w:val="00241EED"/>
    <w:rsid w:val="002528F7"/>
    <w:rsid w:val="00257B2E"/>
    <w:rsid w:val="00264AC9"/>
    <w:rsid w:val="002726FC"/>
    <w:rsid w:val="00296009"/>
    <w:rsid w:val="002A0494"/>
    <w:rsid w:val="002B3871"/>
    <w:rsid w:val="002B469C"/>
    <w:rsid w:val="002B67D9"/>
    <w:rsid w:val="002C68AE"/>
    <w:rsid w:val="002D25EA"/>
    <w:rsid w:val="002E0CF0"/>
    <w:rsid w:val="002E3BD4"/>
    <w:rsid w:val="003037E6"/>
    <w:rsid w:val="00316C98"/>
    <w:rsid w:val="00334CF7"/>
    <w:rsid w:val="00336252"/>
    <w:rsid w:val="0034258E"/>
    <w:rsid w:val="0034353E"/>
    <w:rsid w:val="003457F3"/>
    <w:rsid w:val="00375286"/>
    <w:rsid w:val="00391523"/>
    <w:rsid w:val="00391A7B"/>
    <w:rsid w:val="00392143"/>
    <w:rsid w:val="00394D04"/>
    <w:rsid w:val="003A690C"/>
    <w:rsid w:val="003B0F89"/>
    <w:rsid w:val="003C2000"/>
    <w:rsid w:val="003D45E4"/>
    <w:rsid w:val="003E306B"/>
    <w:rsid w:val="003E68BA"/>
    <w:rsid w:val="003F1DE0"/>
    <w:rsid w:val="003F257E"/>
    <w:rsid w:val="004209E1"/>
    <w:rsid w:val="00421D8A"/>
    <w:rsid w:val="0042481B"/>
    <w:rsid w:val="004318C3"/>
    <w:rsid w:val="004400C7"/>
    <w:rsid w:val="00476099"/>
    <w:rsid w:val="004776BB"/>
    <w:rsid w:val="004941BF"/>
    <w:rsid w:val="004A04E5"/>
    <w:rsid w:val="004C16EF"/>
    <w:rsid w:val="004D0FEB"/>
    <w:rsid w:val="004D4DD4"/>
    <w:rsid w:val="004E1290"/>
    <w:rsid w:val="00517204"/>
    <w:rsid w:val="005243A0"/>
    <w:rsid w:val="00524A53"/>
    <w:rsid w:val="005261A9"/>
    <w:rsid w:val="0053280A"/>
    <w:rsid w:val="00533AD8"/>
    <w:rsid w:val="005376C5"/>
    <w:rsid w:val="0054119E"/>
    <w:rsid w:val="00541566"/>
    <w:rsid w:val="00542767"/>
    <w:rsid w:val="005820DB"/>
    <w:rsid w:val="005832E5"/>
    <w:rsid w:val="00583836"/>
    <w:rsid w:val="005A761E"/>
    <w:rsid w:val="005B4B66"/>
    <w:rsid w:val="005E0876"/>
    <w:rsid w:val="005F7996"/>
    <w:rsid w:val="0060792E"/>
    <w:rsid w:val="006209FD"/>
    <w:rsid w:val="0062268F"/>
    <w:rsid w:val="00626831"/>
    <w:rsid w:val="0063044A"/>
    <w:rsid w:val="00632D96"/>
    <w:rsid w:val="006508DC"/>
    <w:rsid w:val="0065450B"/>
    <w:rsid w:val="0066765D"/>
    <w:rsid w:val="006740BC"/>
    <w:rsid w:val="00681820"/>
    <w:rsid w:val="0068509E"/>
    <w:rsid w:val="00696EA3"/>
    <w:rsid w:val="006A6E57"/>
    <w:rsid w:val="006C26FC"/>
    <w:rsid w:val="007243EA"/>
    <w:rsid w:val="00727F5B"/>
    <w:rsid w:val="00732AC5"/>
    <w:rsid w:val="00746A4A"/>
    <w:rsid w:val="007577E8"/>
    <w:rsid w:val="00764081"/>
    <w:rsid w:val="00770AD8"/>
    <w:rsid w:val="0077180F"/>
    <w:rsid w:val="00771A94"/>
    <w:rsid w:val="00773BCD"/>
    <w:rsid w:val="00774E56"/>
    <w:rsid w:val="007765B3"/>
    <w:rsid w:val="007A150D"/>
    <w:rsid w:val="007A4234"/>
    <w:rsid w:val="007B0BE0"/>
    <w:rsid w:val="007B1B69"/>
    <w:rsid w:val="007B3B26"/>
    <w:rsid w:val="007B518C"/>
    <w:rsid w:val="007B5CE3"/>
    <w:rsid w:val="007C13DA"/>
    <w:rsid w:val="007D03BF"/>
    <w:rsid w:val="007D50AE"/>
    <w:rsid w:val="007D5D35"/>
    <w:rsid w:val="007D6C99"/>
    <w:rsid w:val="007D70B9"/>
    <w:rsid w:val="007D7106"/>
    <w:rsid w:val="007E3F19"/>
    <w:rsid w:val="007E7241"/>
    <w:rsid w:val="007F74EE"/>
    <w:rsid w:val="008061E7"/>
    <w:rsid w:val="00811125"/>
    <w:rsid w:val="00851B2E"/>
    <w:rsid w:val="00863C74"/>
    <w:rsid w:val="0088576E"/>
    <w:rsid w:val="008A1CF8"/>
    <w:rsid w:val="008A5761"/>
    <w:rsid w:val="008A7BF9"/>
    <w:rsid w:val="008B4E2A"/>
    <w:rsid w:val="008B70AB"/>
    <w:rsid w:val="008D36B1"/>
    <w:rsid w:val="008D5F5B"/>
    <w:rsid w:val="008D6DC6"/>
    <w:rsid w:val="008E7CAA"/>
    <w:rsid w:val="00913FFC"/>
    <w:rsid w:val="00921408"/>
    <w:rsid w:val="0092254E"/>
    <w:rsid w:val="009226BF"/>
    <w:rsid w:val="00923487"/>
    <w:rsid w:val="0093113B"/>
    <w:rsid w:val="00935132"/>
    <w:rsid w:val="00946F4D"/>
    <w:rsid w:val="00967256"/>
    <w:rsid w:val="00980904"/>
    <w:rsid w:val="00986AA3"/>
    <w:rsid w:val="009903D1"/>
    <w:rsid w:val="009925A8"/>
    <w:rsid w:val="009937EF"/>
    <w:rsid w:val="00996361"/>
    <w:rsid w:val="0099750E"/>
    <w:rsid w:val="009A2DE6"/>
    <w:rsid w:val="009A78BC"/>
    <w:rsid w:val="009B57B4"/>
    <w:rsid w:val="009C4F19"/>
    <w:rsid w:val="009F4CFA"/>
    <w:rsid w:val="00A0475E"/>
    <w:rsid w:val="00A27AB7"/>
    <w:rsid w:val="00A31FD9"/>
    <w:rsid w:val="00A3243B"/>
    <w:rsid w:val="00A368CD"/>
    <w:rsid w:val="00A468A4"/>
    <w:rsid w:val="00A57513"/>
    <w:rsid w:val="00A737E4"/>
    <w:rsid w:val="00A90025"/>
    <w:rsid w:val="00A97C38"/>
    <w:rsid w:val="00AB7FC3"/>
    <w:rsid w:val="00AC6996"/>
    <w:rsid w:val="00AD228F"/>
    <w:rsid w:val="00AD33C1"/>
    <w:rsid w:val="00AE0456"/>
    <w:rsid w:val="00AE0F64"/>
    <w:rsid w:val="00AE5CC9"/>
    <w:rsid w:val="00B025E0"/>
    <w:rsid w:val="00B02DF2"/>
    <w:rsid w:val="00B04D9B"/>
    <w:rsid w:val="00B14A81"/>
    <w:rsid w:val="00B20558"/>
    <w:rsid w:val="00B2295E"/>
    <w:rsid w:val="00B346CF"/>
    <w:rsid w:val="00B365DD"/>
    <w:rsid w:val="00B54C37"/>
    <w:rsid w:val="00B563F6"/>
    <w:rsid w:val="00B618FC"/>
    <w:rsid w:val="00B6418A"/>
    <w:rsid w:val="00B64666"/>
    <w:rsid w:val="00B71820"/>
    <w:rsid w:val="00B71CC5"/>
    <w:rsid w:val="00B83817"/>
    <w:rsid w:val="00B94DA2"/>
    <w:rsid w:val="00BA33DE"/>
    <w:rsid w:val="00BA4339"/>
    <w:rsid w:val="00BB5A39"/>
    <w:rsid w:val="00BC0E60"/>
    <w:rsid w:val="00BD67F6"/>
    <w:rsid w:val="00BD69B1"/>
    <w:rsid w:val="00BE384D"/>
    <w:rsid w:val="00C07D96"/>
    <w:rsid w:val="00C202AB"/>
    <w:rsid w:val="00C27BAB"/>
    <w:rsid w:val="00C34ADF"/>
    <w:rsid w:val="00C448BC"/>
    <w:rsid w:val="00C46DC4"/>
    <w:rsid w:val="00C524EC"/>
    <w:rsid w:val="00C6251A"/>
    <w:rsid w:val="00C723FF"/>
    <w:rsid w:val="00C7707F"/>
    <w:rsid w:val="00C82166"/>
    <w:rsid w:val="00C84543"/>
    <w:rsid w:val="00C867E5"/>
    <w:rsid w:val="00C90949"/>
    <w:rsid w:val="00C94796"/>
    <w:rsid w:val="00CA47EB"/>
    <w:rsid w:val="00CA706B"/>
    <w:rsid w:val="00CB2038"/>
    <w:rsid w:val="00CB3ECF"/>
    <w:rsid w:val="00CD28F4"/>
    <w:rsid w:val="00CE7343"/>
    <w:rsid w:val="00CF0C4F"/>
    <w:rsid w:val="00D17D67"/>
    <w:rsid w:val="00D30D25"/>
    <w:rsid w:val="00D47D23"/>
    <w:rsid w:val="00D60648"/>
    <w:rsid w:val="00D739EC"/>
    <w:rsid w:val="00D81D6E"/>
    <w:rsid w:val="00D81D79"/>
    <w:rsid w:val="00D82476"/>
    <w:rsid w:val="00D83171"/>
    <w:rsid w:val="00DA02C6"/>
    <w:rsid w:val="00DA1C42"/>
    <w:rsid w:val="00DA3FAD"/>
    <w:rsid w:val="00DB14BC"/>
    <w:rsid w:val="00DB383E"/>
    <w:rsid w:val="00DC575C"/>
    <w:rsid w:val="00DC5ECF"/>
    <w:rsid w:val="00DD4162"/>
    <w:rsid w:val="00DE1381"/>
    <w:rsid w:val="00E11E93"/>
    <w:rsid w:val="00E2382E"/>
    <w:rsid w:val="00E24F64"/>
    <w:rsid w:val="00E26D60"/>
    <w:rsid w:val="00E26E76"/>
    <w:rsid w:val="00E31691"/>
    <w:rsid w:val="00E329AA"/>
    <w:rsid w:val="00E35435"/>
    <w:rsid w:val="00E41587"/>
    <w:rsid w:val="00E5436E"/>
    <w:rsid w:val="00E55764"/>
    <w:rsid w:val="00E55925"/>
    <w:rsid w:val="00E57474"/>
    <w:rsid w:val="00E60CCF"/>
    <w:rsid w:val="00E74A20"/>
    <w:rsid w:val="00E80291"/>
    <w:rsid w:val="00E806E3"/>
    <w:rsid w:val="00E95623"/>
    <w:rsid w:val="00E96EA8"/>
    <w:rsid w:val="00EB1791"/>
    <w:rsid w:val="00EC2790"/>
    <w:rsid w:val="00EC3ABE"/>
    <w:rsid w:val="00EC5A26"/>
    <w:rsid w:val="00EC7397"/>
    <w:rsid w:val="00ED4E99"/>
    <w:rsid w:val="00EE2882"/>
    <w:rsid w:val="00EE7EDE"/>
    <w:rsid w:val="00EF7E25"/>
    <w:rsid w:val="00F0084E"/>
    <w:rsid w:val="00F119CB"/>
    <w:rsid w:val="00F1257B"/>
    <w:rsid w:val="00F17880"/>
    <w:rsid w:val="00F17D31"/>
    <w:rsid w:val="00F55571"/>
    <w:rsid w:val="00F56677"/>
    <w:rsid w:val="00F61751"/>
    <w:rsid w:val="00F76CC9"/>
    <w:rsid w:val="00FB0DD3"/>
    <w:rsid w:val="00FB5CB8"/>
    <w:rsid w:val="00FB7720"/>
    <w:rsid w:val="00FD16EA"/>
    <w:rsid w:val="00FD1FC4"/>
    <w:rsid w:val="00FF26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57FD9FAD"/>
  <w15:chartTrackingRefBased/>
  <w15:docId w15:val="{7380CAF4-BD93-4054-AEBC-CA4628F00F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A78BC"/>
  </w:style>
  <w:style w:type="paragraph" w:styleId="Heading1">
    <w:name w:val="heading 1"/>
    <w:basedOn w:val="Normal"/>
    <w:next w:val="Normal"/>
    <w:link w:val="Heading1Char"/>
    <w:qFormat/>
    <w:rsid w:val="00FB7720"/>
    <w:pPr>
      <w:keepNext/>
      <w:spacing w:before="240" w:after="60" w:line="240" w:lineRule="auto"/>
      <w:ind w:left="360"/>
      <w:outlineLvl w:val="0"/>
    </w:pPr>
    <w:rPr>
      <w:rFonts w:ascii="Times New Roman" w:eastAsia="Times New Roman" w:hAnsi="Times New Roman"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A31FD9"/>
    <w:rPr>
      <w:rFonts w:ascii="Arial" w:hAnsi="Arial" w:cs="Arial" w:hint="default"/>
      <w:b w:val="0"/>
      <w:bCs w:val="0"/>
      <w:i w:val="0"/>
      <w:iCs w:val="0"/>
      <w:color w:val="000000"/>
      <w:sz w:val="24"/>
      <w:szCs w:val="24"/>
    </w:rPr>
  </w:style>
  <w:style w:type="character" w:customStyle="1" w:styleId="fontstyle21">
    <w:name w:val="fontstyle21"/>
    <w:basedOn w:val="DefaultParagraphFont"/>
    <w:rsid w:val="00A31FD9"/>
    <w:rPr>
      <w:rFonts w:ascii="Arial" w:hAnsi="Arial" w:cs="Arial" w:hint="default"/>
      <w:b w:val="0"/>
      <w:bCs w:val="0"/>
      <w:i/>
      <w:iCs/>
      <w:color w:val="000000"/>
      <w:sz w:val="24"/>
      <w:szCs w:val="24"/>
    </w:rPr>
  </w:style>
  <w:style w:type="character" w:styleId="CommentReference">
    <w:name w:val="annotation reference"/>
    <w:basedOn w:val="DefaultParagraphFont"/>
    <w:uiPriority w:val="99"/>
    <w:semiHidden/>
    <w:unhideWhenUsed/>
    <w:rsid w:val="000F1877"/>
    <w:rPr>
      <w:sz w:val="16"/>
      <w:szCs w:val="16"/>
    </w:rPr>
  </w:style>
  <w:style w:type="paragraph" w:styleId="CommentText">
    <w:name w:val="annotation text"/>
    <w:basedOn w:val="Normal"/>
    <w:link w:val="CommentTextChar"/>
    <w:uiPriority w:val="99"/>
    <w:unhideWhenUsed/>
    <w:rsid w:val="000F1877"/>
    <w:pPr>
      <w:spacing w:line="240" w:lineRule="auto"/>
    </w:pPr>
    <w:rPr>
      <w:sz w:val="20"/>
      <w:szCs w:val="20"/>
    </w:rPr>
  </w:style>
  <w:style w:type="character" w:customStyle="1" w:styleId="CommentTextChar">
    <w:name w:val="Comment Text Char"/>
    <w:basedOn w:val="DefaultParagraphFont"/>
    <w:link w:val="CommentText"/>
    <w:uiPriority w:val="99"/>
    <w:rsid w:val="000F1877"/>
    <w:rPr>
      <w:sz w:val="20"/>
      <w:szCs w:val="20"/>
    </w:rPr>
  </w:style>
  <w:style w:type="paragraph" w:styleId="BalloonText">
    <w:name w:val="Balloon Text"/>
    <w:basedOn w:val="Normal"/>
    <w:link w:val="BalloonTextChar"/>
    <w:uiPriority w:val="99"/>
    <w:semiHidden/>
    <w:unhideWhenUsed/>
    <w:rsid w:val="000F187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F1877"/>
    <w:rPr>
      <w:rFonts w:ascii="Segoe UI" w:hAnsi="Segoe UI" w:cs="Segoe UI"/>
      <w:sz w:val="18"/>
      <w:szCs w:val="18"/>
    </w:rPr>
  </w:style>
  <w:style w:type="paragraph" w:styleId="ListContinue">
    <w:name w:val="List Continue"/>
    <w:basedOn w:val="Normal"/>
    <w:uiPriority w:val="99"/>
    <w:rsid w:val="00E11E93"/>
    <w:pPr>
      <w:spacing w:after="120" w:line="240" w:lineRule="auto"/>
    </w:pPr>
    <w:rPr>
      <w:rFonts w:ascii="Times" w:eastAsia="Times New Roman" w:hAnsi="Times" w:cs="Times New Roman"/>
      <w:sz w:val="24"/>
      <w:szCs w:val="20"/>
    </w:rPr>
  </w:style>
  <w:style w:type="character" w:customStyle="1" w:styleId="fontstyle31">
    <w:name w:val="fontstyle31"/>
    <w:basedOn w:val="DefaultParagraphFont"/>
    <w:rsid w:val="00AE0456"/>
    <w:rPr>
      <w:rFonts w:ascii="AdvPSMP13" w:hAnsi="AdvPSMP13" w:hint="default"/>
      <w:b w:val="0"/>
      <w:bCs w:val="0"/>
      <w:i w:val="0"/>
      <w:iCs w:val="0"/>
      <w:color w:val="242021"/>
      <w:sz w:val="20"/>
      <w:szCs w:val="20"/>
    </w:rPr>
  </w:style>
  <w:style w:type="character" w:customStyle="1" w:styleId="fontstyle41">
    <w:name w:val="fontstyle41"/>
    <w:basedOn w:val="DefaultParagraphFont"/>
    <w:rsid w:val="00AE0456"/>
    <w:rPr>
      <w:rFonts w:ascii="AdvTT62f2e734+20" w:hAnsi="AdvTT62f2e734+20" w:hint="default"/>
      <w:b w:val="0"/>
      <w:bCs w:val="0"/>
      <w:i w:val="0"/>
      <w:iCs w:val="0"/>
      <w:color w:val="242021"/>
      <w:sz w:val="20"/>
      <w:szCs w:val="20"/>
    </w:rPr>
  </w:style>
  <w:style w:type="paragraph" w:styleId="ListParagraph">
    <w:name w:val="List Paragraph"/>
    <w:basedOn w:val="Normal"/>
    <w:uiPriority w:val="34"/>
    <w:qFormat/>
    <w:rsid w:val="007B3B26"/>
    <w:pPr>
      <w:ind w:left="720"/>
      <w:contextualSpacing/>
    </w:pPr>
  </w:style>
  <w:style w:type="paragraph" w:styleId="Header">
    <w:name w:val="header"/>
    <w:basedOn w:val="Normal"/>
    <w:link w:val="HeaderChar"/>
    <w:uiPriority w:val="99"/>
    <w:unhideWhenUsed/>
    <w:rsid w:val="003B0F89"/>
    <w:pPr>
      <w:tabs>
        <w:tab w:val="center" w:pos="4513"/>
        <w:tab w:val="right" w:pos="9026"/>
      </w:tabs>
      <w:spacing w:after="0" w:line="240" w:lineRule="auto"/>
    </w:pPr>
  </w:style>
  <w:style w:type="character" w:customStyle="1" w:styleId="HeaderChar">
    <w:name w:val="Header Char"/>
    <w:basedOn w:val="DefaultParagraphFont"/>
    <w:link w:val="Header"/>
    <w:uiPriority w:val="99"/>
    <w:rsid w:val="003B0F89"/>
  </w:style>
  <w:style w:type="paragraph" w:styleId="Footer">
    <w:name w:val="footer"/>
    <w:basedOn w:val="Normal"/>
    <w:link w:val="FooterChar"/>
    <w:uiPriority w:val="99"/>
    <w:unhideWhenUsed/>
    <w:rsid w:val="003B0F89"/>
    <w:pPr>
      <w:tabs>
        <w:tab w:val="center" w:pos="4513"/>
        <w:tab w:val="right" w:pos="9026"/>
      </w:tabs>
      <w:spacing w:after="0" w:line="240" w:lineRule="auto"/>
    </w:pPr>
  </w:style>
  <w:style w:type="character" w:customStyle="1" w:styleId="FooterChar">
    <w:name w:val="Footer Char"/>
    <w:basedOn w:val="DefaultParagraphFont"/>
    <w:link w:val="Footer"/>
    <w:uiPriority w:val="99"/>
    <w:rsid w:val="003B0F89"/>
  </w:style>
  <w:style w:type="character" w:styleId="LineNumber">
    <w:name w:val="line number"/>
    <w:basedOn w:val="DefaultParagraphFont"/>
    <w:uiPriority w:val="99"/>
    <w:unhideWhenUsed/>
    <w:rsid w:val="009A78BC"/>
    <w:rPr>
      <w:rFonts w:ascii="Times New Roman" w:hAnsi="Times New Roman"/>
      <w:sz w:val="22"/>
    </w:rPr>
  </w:style>
  <w:style w:type="paragraph" w:styleId="CommentSubject">
    <w:name w:val="annotation subject"/>
    <w:basedOn w:val="CommentText"/>
    <w:next w:val="CommentText"/>
    <w:link w:val="CommentSubjectChar"/>
    <w:uiPriority w:val="99"/>
    <w:semiHidden/>
    <w:unhideWhenUsed/>
    <w:rsid w:val="003E68BA"/>
    <w:rPr>
      <w:b/>
      <w:bCs/>
    </w:rPr>
  </w:style>
  <w:style w:type="character" w:customStyle="1" w:styleId="CommentSubjectChar">
    <w:name w:val="Comment Subject Char"/>
    <w:basedOn w:val="CommentTextChar"/>
    <w:link w:val="CommentSubject"/>
    <w:uiPriority w:val="99"/>
    <w:semiHidden/>
    <w:rsid w:val="003E68BA"/>
    <w:rPr>
      <w:b/>
      <w:bCs/>
      <w:sz w:val="20"/>
      <w:szCs w:val="20"/>
    </w:rPr>
  </w:style>
  <w:style w:type="table" w:styleId="TableGrid">
    <w:name w:val="Table Grid"/>
    <w:basedOn w:val="TableNormal"/>
    <w:uiPriority w:val="39"/>
    <w:rsid w:val="007D70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FB7720"/>
    <w:rPr>
      <w:rFonts w:ascii="Times New Roman" w:eastAsia="Times New Roman" w:hAnsi="Times New Roman" w:cs="Times New Roman"/>
      <w:sz w:val="24"/>
      <w:szCs w:val="20"/>
    </w:rPr>
  </w:style>
  <w:style w:type="paragraph" w:customStyle="1" w:styleId="SOPText">
    <w:name w:val="SOP Text"/>
    <w:basedOn w:val="Normal"/>
    <w:link w:val="SOPTextChar"/>
    <w:qFormat/>
    <w:rsid w:val="00FB7720"/>
    <w:pPr>
      <w:tabs>
        <w:tab w:val="left" w:pos="1080"/>
      </w:tabs>
      <w:spacing w:after="80" w:line="240" w:lineRule="auto"/>
    </w:pPr>
    <w:rPr>
      <w:rFonts w:ascii="Verdana" w:eastAsia="Times New Roman" w:hAnsi="Verdana" w:cs="Times New Roman"/>
      <w:sz w:val="20"/>
      <w:szCs w:val="24"/>
    </w:rPr>
  </w:style>
  <w:style w:type="character" w:customStyle="1" w:styleId="SOPTextChar">
    <w:name w:val="SOP Text Char"/>
    <w:link w:val="SOPText"/>
    <w:locked/>
    <w:rsid w:val="00FB7720"/>
    <w:rPr>
      <w:rFonts w:ascii="Verdana" w:eastAsia="Times New Roman" w:hAnsi="Verdana"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BDD4A1BA54B174E9E1F7DD80873E436" ma:contentTypeVersion="13" ma:contentTypeDescription="Create a new document." ma:contentTypeScope="" ma:versionID="784db24456158b5e9de2818c67aeb7ed">
  <xsd:schema xmlns:xsd="http://www.w3.org/2001/XMLSchema" xmlns:xs="http://www.w3.org/2001/XMLSchema" xmlns:p="http://schemas.microsoft.com/office/2006/metadata/properties" xmlns:ns3="8c874e85-716f-43ea-b60e-82c7f9f803ed" xmlns:ns4="ff94995e-c15e-4169-bc85-7857446936d0" targetNamespace="http://schemas.microsoft.com/office/2006/metadata/properties" ma:root="true" ma:fieldsID="237c18a6a43f508403d084d2364d4a99" ns3:_="" ns4:_="">
    <xsd:import namespace="8c874e85-716f-43ea-b60e-82c7f9f803ed"/>
    <xsd:import namespace="ff94995e-c15e-4169-bc85-7857446936d0"/>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874e85-716f-43ea-b60e-82c7f9f803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f94995e-c15e-4169-bc85-7857446936d0"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002E92-FA5F-43F7-B7A9-BD7454D66F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874e85-716f-43ea-b60e-82c7f9f803ed"/>
    <ds:schemaRef ds:uri="ff94995e-c15e-4169-bc85-7857446936d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03A4D41-8203-45A3-8032-F7B961CEDDE8}">
  <ds:schemaRefs>
    <ds:schemaRef ds:uri="http://schemas.microsoft.com/sharepoint/v3/contenttype/forms"/>
  </ds:schemaRefs>
</ds:datastoreItem>
</file>

<file path=customXml/itemProps3.xml><?xml version="1.0" encoding="utf-8"?>
<ds:datastoreItem xmlns:ds="http://schemas.openxmlformats.org/officeDocument/2006/customXml" ds:itemID="{B93A02DF-E5AE-4CC3-8161-6120D66F0400}">
  <ds:schemaRefs>
    <ds:schemaRef ds:uri="http://www.w3.org/XML/1998/namespace"/>
    <ds:schemaRef ds:uri="http://purl.org/dc/elements/1.1/"/>
    <ds:schemaRef ds:uri="http://schemas.openxmlformats.org/package/2006/metadata/core-properties"/>
    <ds:schemaRef ds:uri="http://schemas.microsoft.com/office/2006/documentManagement/types"/>
    <ds:schemaRef ds:uri="http://purl.org/dc/dcmitype/"/>
    <ds:schemaRef ds:uri="http://purl.org/dc/terms/"/>
    <ds:schemaRef ds:uri="http://schemas.microsoft.com/office/infopath/2007/PartnerControls"/>
    <ds:schemaRef ds:uri="8c874e85-716f-43ea-b60e-82c7f9f803ed"/>
    <ds:schemaRef ds:uri="ff94995e-c15e-4169-bc85-7857446936d0"/>
    <ds:schemaRef ds:uri="http://schemas.microsoft.com/office/2006/metadata/properties"/>
  </ds:schemaRefs>
</ds:datastoreItem>
</file>

<file path=customXml/itemProps4.xml><?xml version="1.0" encoding="utf-8"?>
<ds:datastoreItem xmlns:ds="http://schemas.openxmlformats.org/officeDocument/2006/customXml" ds:itemID="{F59F7F68-8850-4B8D-86F9-AAD77714C7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Pages>
  <Words>29186</Words>
  <Characters>166361</Characters>
  <Application>Microsoft Office Word</Application>
  <DocSecurity>0</DocSecurity>
  <Lines>1386</Lines>
  <Paragraphs>390</Paragraphs>
  <ScaleCrop>false</ScaleCrop>
  <HeadingPairs>
    <vt:vector size="2" baseType="variant">
      <vt:variant>
        <vt:lpstr>Title</vt:lpstr>
      </vt:variant>
      <vt:variant>
        <vt:i4>1</vt:i4>
      </vt:variant>
    </vt:vector>
  </HeadingPairs>
  <TitlesOfParts>
    <vt:vector size="1" baseType="lpstr">
      <vt:lpstr/>
    </vt:vector>
  </TitlesOfParts>
  <Company>MRC Epidemiology Unit</Company>
  <LinksUpToDate>false</LinksUpToDate>
  <CharactersWithSpaces>195157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Kerry Jones</dc:creator>
  <cp:keywords/>
  <dc:description/>
  <cp:lastModifiedBy>Kerry Jones</cp:lastModifiedBy>
  <cp:revision>2</cp:revision>
  <dcterms:created xsi:type="dcterms:W3CDTF">2020-11-19T16:18:00Z</dcterms:created>
  <dcterms:modified xsi:type="dcterms:W3CDTF">2020-11-19T16:18:00Z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http://www.zotero.org/styles/annals-of-the-new-york-academy-of-sciences</vt:lpwstr>
  </property>
  <property fmtid="{D5CDD505-2E9C-101B-9397-08002B2CF9AE}" pid="11" name="Mendeley Recent Style Name 4_1">
    <vt:lpwstr>Annals of the New York Academy of Sciences</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http://www.zotero.org/styles/harvard-cite-them-right</vt:lpwstr>
  </property>
  <property fmtid="{D5CDD505-2E9C-101B-9397-08002B2CF9AE}" pid="15" name="Mendeley Recent Style Name 6_1">
    <vt:lpwstr>Cite Them Right 10th edition - Harvard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y fmtid="{D5CDD505-2E9C-101B-9397-08002B2CF9AE}" pid="22" name="Mendeley Document_1">
    <vt:lpwstr>True</vt:lpwstr>
  </property>
  <property fmtid="{D5CDD505-2E9C-101B-9397-08002B2CF9AE}" pid="23" name="Mendeley Unique User Id_1">
    <vt:lpwstr>fb9e9f65-e3f7-3dba-a350-1666687e9254</vt:lpwstr>
  </property>
  <property fmtid="{D5CDD505-2E9C-101B-9397-08002B2CF9AE}" pid="24" name="Mendeley Citation Style_1">
    <vt:lpwstr>http://www.zotero.org/styles/annals-of-the-new-york-academy-of-sciences</vt:lpwstr>
  </property>
  <property fmtid="{D5CDD505-2E9C-101B-9397-08002B2CF9AE}" pid="25" name="ContentTypeId">
    <vt:lpwstr>0x0101000BDD4A1BA54B174E9E1F7DD80873E436</vt:lpwstr>
  </property>
</Properties>
</file>