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D7B7F7" w14:textId="563C8121" w:rsidR="00E30FB6" w:rsidRPr="00575912" w:rsidRDefault="002F7563" w:rsidP="00AA06A5">
      <w:pPr>
        <w:spacing w:line="360" w:lineRule="auto"/>
        <w:jc w:val="both"/>
        <w:rPr>
          <w:rFonts w:ascii="Times New Roman" w:hAnsi="Times New Roman" w:cs="Times New Roman"/>
          <w:b/>
          <w:lang w:val="en-GB"/>
        </w:rPr>
      </w:pPr>
      <w:bookmarkStart w:id="0" w:name="_GoBack"/>
      <w:bookmarkEnd w:id="0"/>
      <w:r w:rsidRPr="00575912">
        <w:rPr>
          <w:rFonts w:ascii="Times New Roman" w:hAnsi="Times New Roman" w:cs="Times New Roman"/>
          <w:b/>
          <w:bCs/>
          <w:szCs w:val="28"/>
          <w:lang w:val="en-GB"/>
        </w:rPr>
        <w:t xml:space="preserve">Title: </w:t>
      </w:r>
      <w:r w:rsidR="0079352C" w:rsidRPr="00575912">
        <w:rPr>
          <w:rFonts w:ascii="Times New Roman" w:hAnsi="Times New Roman" w:cs="Times New Roman"/>
          <w:b/>
          <w:lang w:val="en-GB"/>
        </w:rPr>
        <w:t xml:space="preserve">Patients Presenting </w:t>
      </w:r>
      <w:r w:rsidR="002E4544" w:rsidRPr="00575912">
        <w:rPr>
          <w:rFonts w:ascii="Times New Roman" w:hAnsi="Times New Roman" w:cs="Times New Roman"/>
          <w:b/>
          <w:lang w:val="en-GB"/>
        </w:rPr>
        <w:t>with</w:t>
      </w:r>
      <w:r w:rsidR="0079352C" w:rsidRPr="00575912">
        <w:rPr>
          <w:rFonts w:ascii="Times New Roman" w:hAnsi="Times New Roman" w:cs="Times New Roman"/>
          <w:b/>
          <w:lang w:val="en-GB"/>
        </w:rPr>
        <w:t xml:space="preserve"> </w:t>
      </w:r>
      <w:r w:rsidRPr="00575912">
        <w:rPr>
          <w:rFonts w:ascii="Times New Roman" w:hAnsi="Times New Roman" w:cs="Times New Roman"/>
          <w:b/>
          <w:lang w:val="en-GB"/>
        </w:rPr>
        <w:t>a</w:t>
      </w:r>
      <w:r w:rsidR="0079352C" w:rsidRPr="00575912">
        <w:rPr>
          <w:rFonts w:ascii="Times New Roman" w:hAnsi="Times New Roman" w:cs="Times New Roman"/>
          <w:b/>
          <w:lang w:val="en-GB"/>
        </w:rPr>
        <w:t xml:space="preserve"> Hot, Swollen Joint: </w:t>
      </w:r>
      <w:r w:rsidRPr="00575912">
        <w:rPr>
          <w:rFonts w:ascii="Times New Roman" w:hAnsi="Times New Roman" w:cs="Times New Roman"/>
          <w:b/>
          <w:lang w:val="en-GB"/>
        </w:rPr>
        <w:t xml:space="preserve">a </w:t>
      </w:r>
      <w:r w:rsidR="0079352C" w:rsidRPr="00575912">
        <w:rPr>
          <w:rFonts w:ascii="Times New Roman" w:hAnsi="Times New Roman" w:cs="Times New Roman"/>
          <w:b/>
          <w:lang w:val="en-GB"/>
        </w:rPr>
        <w:t>Single-Centre Retrospective A</w:t>
      </w:r>
      <w:r w:rsidR="00CE3D92" w:rsidRPr="00575912">
        <w:rPr>
          <w:rFonts w:ascii="Times New Roman" w:hAnsi="Times New Roman" w:cs="Times New Roman"/>
          <w:b/>
          <w:lang w:val="en-GB"/>
        </w:rPr>
        <w:t>nalysis</w:t>
      </w:r>
    </w:p>
    <w:p w14:paraId="3D0F0C03" w14:textId="496524A7" w:rsidR="005C077B" w:rsidRPr="00575912" w:rsidRDefault="00E30FB6" w:rsidP="00AA06A5">
      <w:pPr>
        <w:spacing w:line="360" w:lineRule="auto"/>
        <w:jc w:val="both"/>
        <w:rPr>
          <w:rFonts w:ascii="Times New Roman" w:hAnsi="Times New Roman" w:cs="Times New Roman"/>
          <w:vertAlign w:val="superscript"/>
          <w:lang w:val="en-GB"/>
        </w:rPr>
      </w:pPr>
      <w:r w:rsidRPr="00575912">
        <w:rPr>
          <w:rFonts w:ascii="Times New Roman" w:hAnsi="Times New Roman" w:cs="Times New Roman"/>
          <w:b/>
          <w:bCs/>
          <w:lang w:val="en-GB"/>
        </w:rPr>
        <w:t>Emanuele Chisari</w:t>
      </w:r>
      <w:r w:rsidR="00F64FEE" w:rsidRPr="00575912">
        <w:rPr>
          <w:rFonts w:ascii="Times New Roman" w:hAnsi="Times New Roman" w:cs="Times New Roman"/>
          <w:b/>
          <w:bCs/>
          <w:lang w:val="en-GB"/>
        </w:rPr>
        <w:t xml:space="preserve"> </w:t>
      </w:r>
      <w:r w:rsidR="00F64FEE" w:rsidRPr="00575912">
        <w:rPr>
          <w:rFonts w:ascii="Times New Roman" w:hAnsi="Times New Roman" w:cs="Times New Roman"/>
          <w:b/>
          <w:bCs/>
          <w:vertAlign w:val="superscript"/>
          <w:lang w:val="en-GB"/>
        </w:rPr>
        <w:t>*1</w:t>
      </w:r>
      <w:r w:rsidR="00926021" w:rsidRPr="00575912">
        <w:rPr>
          <w:rFonts w:ascii="Times New Roman" w:hAnsi="Times New Roman" w:cs="Times New Roman"/>
          <w:b/>
          <w:bCs/>
          <w:vertAlign w:val="superscript"/>
          <w:lang w:val="en-GB"/>
        </w:rPr>
        <w:t>,2</w:t>
      </w:r>
      <w:r w:rsidRPr="00575912">
        <w:rPr>
          <w:rFonts w:ascii="Times New Roman" w:hAnsi="Times New Roman" w:cs="Times New Roman"/>
          <w:lang w:val="en-GB"/>
        </w:rPr>
        <w:t xml:space="preserve">, Khaled M. </w:t>
      </w:r>
      <w:proofErr w:type="spellStart"/>
      <w:r w:rsidRPr="00575912">
        <w:rPr>
          <w:rFonts w:ascii="Times New Roman" w:hAnsi="Times New Roman" w:cs="Times New Roman"/>
          <w:lang w:val="en-GB"/>
        </w:rPr>
        <w:t>Yaghmour</w:t>
      </w:r>
      <w:proofErr w:type="spellEnd"/>
      <w:r w:rsidR="00F64FEE" w:rsidRPr="00575912">
        <w:rPr>
          <w:rFonts w:ascii="Times New Roman" w:hAnsi="Times New Roman" w:cs="Times New Roman"/>
          <w:lang w:val="en-GB"/>
        </w:rPr>
        <w:t xml:space="preserve"> </w:t>
      </w:r>
      <w:r w:rsidR="004D6CA0" w:rsidRPr="00575912">
        <w:rPr>
          <w:rFonts w:ascii="Times New Roman" w:hAnsi="Times New Roman" w:cs="Times New Roman"/>
          <w:vertAlign w:val="superscript"/>
          <w:lang w:val="en-GB"/>
        </w:rPr>
        <w:t>1</w:t>
      </w:r>
      <w:r w:rsidRPr="00575912">
        <w:rPr>
          <w:rFonts w:ascii="Times New Roman" w:hAnsi="Times New Roman" w:cs="Times New Roman"/>
          <w:lang w:val="en-GB"/>
        </w:rPr>
        <w:t>, Fidel Peat</w:t>
      </w:r>
      <w:r w:rsidR="00F64FEE" w:rsidRPr="00575912">
        <w:rPr>
          <w:rFonts w:ascii="Times New Roman" w:hAnsi="Times New Roman" w:cs="Times New Roman"/>
          <w:lang w:val="en-GB"/>
        </w:rPr>
        <w:t xml:space="preserve"> </w:t>
      </w:r>
      <w:r w:rsidR="004D6CA0" w:rsidRPr="00575912">
        <w:rPr>
          <w:rFonts w:ascii="Times New Roman" w:hAnsi="Times New Roman" w:cs="Times New Roman"/>
          <w:vertAlign w:val="superscript"/>
          <w:lang w:val="en-GB"/>
        </w:rPr>
        <w:t>1</w:t>
      </w:r>
      <w:r w:rsidRPr="00575912">
        <w:rPr>
          <w:rFonts w:ascii="Times New Roman" w:hAnsi="Times New Roman" w:cs="Times New Roman"/>
          <w:lang w:val="en-GB"/>
        </w:rPr>
        <w:t>, Wasim Khan</w:t>
      </w:r>
      <w:r w:rsidR="00F64FEE" w:rsidRPr="00575912">
        <w:rPr>
          <w:rFonts w:ascii="Times New Roman" w:hAnsi="Times New Roman" w:cs="Times New Roman"/>
          <w:vertAlign w:val="superscript"/>
          <w:lang w:val="en-GB"/>
        </w:rPr>
        <w:t xml:space="preserve"> </w:t>
      </w:r>
      <w:r w:rsidR="004D6CA0" w:rsidRPr="00575912">
        <w:rPr>
          <w:rFonts w:ascii="Times New Roman" w:hAnsi="Times New Roman" w:cs="Times New Roman"/>
          <w:vertAlign w:val="superscript"/>
          <w:lang w:val="en-GB"/>
        </w:rPr>
        <w:t>1</w:t>
      </w:r>
    </w:p>
    <w:p w14:paraId="53E70F8D" w14:textId="2BB25862" w:rsidR="00C65191" w:rsidRPr="00575912" w:rsidRDefault="00C65191" w:rsidP="00C65191">
      <w:pPr>
        <w:pStyle w:val="MDPI16affiliation"/>
        <w:rPr>
          <w:rFonts w:ascii="Times New Roman" w:hAnsi="Times New Roman"/>
          <w:color w:val="auto"/>
        </w:rPr>
      </w:pPr>
      <w:r w:rsidRPr="00575912">
        <w:rPr>
          <w:rFonts w:ascii="Times New Roman" w:hAnsi="Times New Roman"/>
          <w:color w:val="auto"/>
          <w:vertAlign w:val="superscript"/>
        </w:rPr>
        <w:t>1</w:t>
      </w:r>
      <w:r w:rsidRPr="00575912">
        <w:rPr>
          <w:rFonts w:ascii="Times New Roman" w:hAnsi="Times New Roman"/>
          <w:color w:val="auto"/>
        </w:rPr>
        <w:tab/>
        <w:t xml:space="preserve">Division of Trauma &amp; </w:t>
      </w:r>
      <w:proofErr w:type="spellStart"/>
      <w:r w:rsidRPr="00575912">
        <w:rPr>
          <w:rFonts w:ascii="Times New Roman" w:hAnsi="Times New Roman"/>
          <w:color w:val="auto"/>
        </w:rPr>
        <w:t>Orthopaedics</w:t>
      </w:r>
      <w:proofErr w:type="spellEnd"/>
      <w:r w:rsidRPr="00575912">
        <w:rPr>
          <w:rFonts w:ascii="Times New Roman" w:hAnsi="Times New Roman"/>
          <w:color w:val="auto"/>
        </w:rPr>
        <w:t xml:space="preserve">, </w:t>
      </w:r>
      <w:proofErr w:type="spellStart"/>
      <w:r w:rsidRPr="00575912">
        <w:rPr>
          <w:rFonts w:ascii="Times New Roman" w:hAnsi="Times New Roman"/>
          <w:color w:val="auto"/>
        </w:rPr>
        <w:t>Addenbrooke’s</w:t>
      </w:r>
      <w:proofErr w:type="spellEnd"/>
      <w:r w:rsidRPr="00575912">
        <w:rPr>
          <w:rFonts w:ascii="Times New Roman" w:hAnsi="Times New Roman"/>
          <w:color w:val="auto"/>
        </w:rPr>
        <w:t xml:space="preserve"> Hospital, University of Cambridge, Cambridge, CB2 0QQ, UK. </w:t>
      </w:r>
      <w:r w:rsidRPr="00575912">
        <w:rPr>
          <w:rFonts w:ascii="Times New Roman" w:hAnsi="Times New Roman"/>
          <w:color w:val="auto"/>
          <w:szCs w:val="20"/>
        </w:rPr>
        <w:t>chisari.emanuele@gmail.com (E.C)</w:t>
      </w:r>
      <w:r w:rsidRPr="00575912">
        <w:rPr>
          <w:rFonts w:ascii="Times New Roman" w:hAnsi="Times New Roman"/>
          <w:color w:val="auto"/>
        </w:rPr>
        <w:t xml:space="preserve">; khalid.yagh@gmail.com (K.M.Y); wk280@cam.ac.uk (W.K.), </w:t>
      </w:r>
    </w:p>
    <w:p w14:paraId="624C752E" w14:textId="77777777" w:rsidR="00C65191" w:rsidRPr="00575912" w:rsidRDefault="00C65191" w:rsidP="00C65191">
      <w:pPr>
        <w:pStyle w:val="MDPI16affiliation"/>
        <w:rPr>
          <w:rFonts w:ascii="Times New Roman" w:hAnsi="Times New Roman"/>
          <w:color w:val="auto"/>
        </w:rPr>
      </w:pPr>
    </w:p>
    <w:p w14:paraId="2A384133" w14:textId="77777777" w:rsidR="00C65191" w:rsidRPr="00575912" w:rsidRDefault="00C65191" w:rsidP="00C65191">
      <w:pPr>
        <w:pStyle w:val="MDPI16affiliation"/>
        <w:rPr>
          <w:rFonts w:ascii="Times New Roman" w:hAnsi="Times New Roman"/>
          <w:color w:val="auto"/>
          <w:szCs w:val="20"/>
        </w:rPr>
      </w:pPr>
      <w:r w:rsidRPr="00575912">
        <w:rPr>
          <w:rFonts w:ascii="Times New Roman" w:hAnsi="Times New Roman"/>
          <w:color w:val="auto"/>
          <w:szCs w:val="20"/>
          <w:vertAlign w:val="superscript"/>
        </w:rPr>
        <w:t>2</w:t>
      </w:r>
      <w:r w:rsidRPr="00575912">
        <w:rPr>
          <w:rFonts w:ascii="Times New Roman" w:hAnsi="Times New Roman"/>
          <w:color w:val="auto"/>
          <w:szCs w:val="20"/>
        </w:rPr>
        <w:tab/>
        <w:t xml:space="preserve">Department of General Surgery and Medical Surgical Specialties, Section of </w:t>
      </w:r>
      <w:proofErr w:type="spellStart"/>
      <w:r w:rsidRPr="00575912">
        <w:rPr>
          <w:rFonts w:ascii="Times New Roman" w:hAnsi="Times New Roman"/>
          <w:color w:val="auto"/>
          <w:szCs w:val="20"/>
        </w:rPr>
        <w:t>Orthopaedics</w:t>
      </w:r>
      <w:proofErr w:type="spellEnd"/>
      <w:r w:rsidRPr="00575912">
        <w:rPr>
          <w:rFonts w:ascii="Times New Roman" w:hAnsi="Times New Roman"/>
          <w:color w:val="auto"/>
          <w:szCs w:val="20"/>
        </w:rPr>
        <w:t xml:space="preserve"> and Traumatology, University Hospital </w:t>
      </w:r>
      <w:proofErr w:type="spellStart"/>
      <w:r w:rsidRPr="00575912">
        <w:rPr>
          <w:rFonts w:ascii="Times New Roman" w:hAnsi="Times New Roman"/>
          <w:color w:val="auto"/>
          <w:szCs w:val="20"/>
        </w:rPr>
        <w:t>Policlinico</w:t>
      </w:r>
      <w:proofErr w:type="spellEnd"/>
      <w:r w:rsidRPr="00575912">
        <w:rPr>
          <w:rFonts w:ascii="Times New Roman" w:hAnsi="Times New Roman"/>
          <w:color w:val="auto"/>
          <w:szCs w:val="20"/>
        </w:rPr>
        <w:t>, University of Catania, Catania, 95123, Italy. chisari.emanuele@gmail.com</w:t>
      </w:r>
    </w:p>
    <w:p w14:paraId="66618201" w14:textId="77777777" w:rsidR="005C077B" w:rsidRPr="00575912" w:rsidRDefault="005C077B" w:rsidP="00AA06A5">
      <w:pPr>
        <w:spacing w:line="360" w:lineRule="auto"/>
        <w:jc w:val="both"/>
        <w:rPr>
          <w:rFonts w:ascii="Times New Roman" w:hAnsi="Times New Roman" w:cs="Times New Roman"/>
          <w:lang w:val="en-US"/>
        </w:rPr>
      </w:pPr>
    </w:p>
    <w:p w14:paraId="357FA4C4" w14:textId="3326F940" w:rsidR="005C077B" w:rsidRPr="00575912" w:rsidRDefault="005C077B"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 xml:space="preserve">ORCID numbers: </w:t>
      </w:r>
      <w:r w:rsidRPr="00575912">
        <w:rPr>
          <w:rFonts w:ascii="Times New Roman" w:hAnsi="Times New Roman" w:cs="Times New Roman"/>
          <w:lang w:val="en-GB"/>
        </w:rPr>
        <w:t xml:space="preserve">Emanuele </w:t>
      </w:r>
      <w:proofErr w:type="spellStart"/>
      <w:r w:rsidRPr="00575912">
        <w:rPr>
          <w:rFonts w:ascii="Times New Roman" w:hAnsi="Times New Roman" w:cs="Times New Roman"/>
          <w:lang w:val="en-GB"/>
        </w:rPr>
        <w:t>Chisari</w:t>
      </w:r>
      <w:proofErr w:type="spellEnd"/>
      <w:r w:rsidRPr="00575912">
        <w:rPr>
          <w:rFonts w:ascii="Times New Roman" w:hAnsi="Times New Roman" w:cs="Times New Roman"/>
          <w:lang w:val="en-GB"/>
        </w:rPr>
        <w:t xml:space="preserve"> (0000-0003-0933-6806)</w:t>
      </w:r>
      <w:r w:rsidR="00F64FEE" w:rsidRPr="00575912">
        <w:rPr>
          <w:rFonts w:ascii="Times New Roman" w:hAnsi="Times New Roman" w:cs="Times New Roman"/>
          <w:lang w:val="en-GB"/>
        </w:rPr>
        <w:t xml:space="preserve">; Khaled </w:t>
      </w:r>
      <w:proofErr w:type="spellStart"/>
      <w:r w:rsidR="00F64FEE" w:rsidRPr="00575912">
        <w:rPr>
          <w:rFonts w:ascii="Times New Roman" w:hAnsi="Times New Roman" w:cs="Times New Roman"/>
          <w:lang w:val="en-GB"/>
        </w:rPr>
        <w:t>Yaghmour</w:t>
      </w:r>
      <w:proofErr w:type="spellEnd"/>
      <w:r w:rsidR="00A538CF" w:rsidRPr="00575912">
        <w:rPr>
          <w:rFonts w:ascii="Times New Roman" w:hAnsi="Times New Roman" w:cs="Times New Roman"/>
          <w:lang w:val="en-GB"/>
        </w:rPr>
        <w:t xml:space="preserve"> (0000-0003-4157-1793)</w:t>
      </w:r>
    </w:p>
    <w:p w14:paraId="7CE0C1F3" w14:textId="77777777" w:rsidR="005C077B" w:rsidRPr="00575912" w:rsidRDefault="005C077B" w:rsidP="00AA06A5">
      <w:pPr>
        <w:spacing w:line="360" w:lineRule="auto"/>
        <w:jc w:val="both"/>
        <w:rPr>
          <w:rFonts w:ascii="Times New Roman" w:hAnsi="Times New Roman" w:cs="Times New Roman"/>
          <w:lang w:val="en-GB"/>
        </w:rPr>
      </w:pPr>
    </w:p>
    <w:p w14:paraId="557D83CF" w14:textId="77777777" w:rsidR="005C077B" w:rsidRPr="00575912" w:rsidRDefault="005C077B" w:rsidP="00AA06A5">
      <w:pPr>
        <w:spacing w:line="360" w:lineRule="auto"/>
        <w:jc w:val="both"/>
        <w:rPr>
          <w:rFonts w:ascii="Times New Roman" w:hAnsi="Times New Roman" w:cs="Times New Roman"/>
          <w:lang w:val="en-GB"/>
        </w:rPr>
      </w:pPr>
    </w:p>
    <w:p w14:paraId="25C28DEB" w14:textId="70F39FDA" w:rsidR="00A538CF" w:rsidRPr="00575912" w:rsidRDefault="005C077B"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Correspondence</w:t>
      </w:r>
      <w:r w:rsidR="00A538CF" w:rsidRPr="00575912">
        <w:rPr>
          <w:rFonts w:ascii="Times New Roman" w:eastAsiaTheme="minorHAnsi" w:hAnsi="Times New Roman" w:cs="Times New Roman"/>
          <w:b/>
          <w:sz w:val="24"/>
          <w:szCs w:val="24"/>
          <w:lang w:val="en-US"/>
        </w:rPr>
        <w:t xml:space="preserve"> </w:t>
      </w:r>
      <w:r w:rsidR="00A538CF" w:rsidRPr="00575912">
        <w:rPr>
          <w:rFonts w:ascii="Times New Roman" w:hAnsi="Times New Roman" w:cs="Times New Roman"/>
          <w:b/>
          <w:lang w:val="en-US"/>
        </w:rPr>
        <w:t>should be addressed to:</w:t>
      </w:r>
      <w:r w:rsidRPr="00575912">
        <w:rPr>
          <w:rFonts w:ascii="Times New Roman" w:hAnsi="Times New Roman" w:cs="Times New Roman"/>
          <w:b/>
          <w:lang w:val="en-GB"/>
        </w:rPr>
        <w:t xml:space="preserve"> </w:t>
      </w:r>
      <w:r w:rsidR="00A538CF" w:rsidRPr="00575912">
        <w:rPr>
          <w:rFonts w:ascii="Times New Roman" w:hAnsi="Times New Roman" w:cs="Times New Roman"/>
          <w:b/>
          <w:lang w:val="en-GB"/>
        </w:rPr>
        <w:tab/>
      </w:r>
      <w:r w:rsidR="00A538CF" w:rsidRPr="00575912">
        <w:rPr>
          <w:rFonts w:ascii="Times New Roman" w:hAnsi="Times New Roman" w:cs="Times New Roman"/>
          <w:b/>
          <w:lang w:val="en-GB"/>
        </w:rPr>
        <w:br/>
        <w:t xml:space="preserve">* Emanuele Chisari, </w:t>
      </w:r>
      <w:r w:rsidR="00A538CF" w:rsidRPr="00575912">
        <w:rPr>
          <w:rFonts w:ascii="Times New Roman" w:hAnsi="Times New Roman" w:cs="Times New Roman"/>
          <w:lang w:val="en-GB"/>
        </w:rPr>
        <w:t xml:space="preserve">Department of General Surgery and Medical Surgical Specialties, Section of Orthopaedics and Traumatology, University Hospital </w:t>
      </w:r>
      <w:proofErr w:type="spellStart"/>
      <w:r w:rsidR="00A538CF" w:rsidRPr="00575912">
        <w:rPr>
          <w:rFonts w:ascii="Times New Roman" w:hAnsi="Times New Roman" w:cs="Times New Roman"/>
          <w:lang w:val="en-GB"/>
        </w:rPr>
        <w:t>Policlinico</w:t>
      </w:r>
      <w:proofErr w:type="spellEnd"/>
      <w:r w:rsidR="00A538CF" w:rsidRPr="00575912">
        <w:rPr>
          <w:rFonts w:ascii="Times New Roman" w:hAnsi="Times New Roman" w:cs="Times New Roman"/>
          <w:lang w:val="en-GB"/>
        </w:rPr>
        <w:t>-Vittorio Emanuele, University of Catania, Via Santa Sofia, 78, 95123, Catania, Italy. Mail: chisari.emanuele@gmail.com</w:t>
      </w:r>
    </w:p>
    <w:p w14:paraId="4B3671D8" w14:textId="1C35DE02" w:rsidR="005C077B" w:rsidRPr="00575912" w:rsidRDefault="005C077B" w:rsidP="00AA06A5">
      <w:pPr>
        <w:spacing w:line="360" w:lineRule="auto"/>
        <w:jc w:val="both"/>
        <w:rPr>
          <w:rFonts w:ascii="Times New Roman" w:hAnsi="Times New Roman" w:cs="Times New Roman"/>
          <w:lang w:val="en-GB"/>
        </w:rPr>
      </w:pPr>
    </w:p>
    <w:p w14:paraId="02BA368D" w14:textId="77777777" w:rsidR="005C077B" w:rsidRPr="00575912" w:rsidRDefault="005C077B" w:rsidP="00AA06A5">
      <w:pPr>
        <w:spacing w:line="360" w:lineRule="auto"/>
        <w:jc w:val="both"/>
        <w:rPr>
          <w:rFonts w:ascii="Times New Roman" w:hAnsi="Times New Roman" w:cs="Times New Roman"/>
          <w:lang w:val="en-GB"/>
        </w:rPr>
      </w:pPr>
    </w:p>
    <w:p w14:paraId="3CCB72D9" w14:textId="77777777" w:rsidR="005C077B" w:rsidRPr="00575912" w:rsidRDefault="005C077B" w:rsidP="00AA06A5">
      <w:pPr>
        <w:spacing w:line="360" w:lineRule="auto"/>
        <w:jc w:val="both"/>
        <w:rPr>
          <w:rFonts w:ascii="Times New Roman" w:hAnsi="Times New Roman" w:cs="Times New Roman"/>
          <w:b/>
          <w:lang w:val="en-GB"/>
        </w:rPr>
      </w:pPr>
    </w:p>
    <w:p w14:paraId="6401CE71" w14:textId="77777777" w:rsidR="005C077B" w:rsidRPr="00575912" w:rsidRDefault="005C077B" w:rsidP="00AA06A5">
      <w:pPr>
        <w:spacing w:line="360" w:lineRule="auto"/>
        <w:jc w:val="both"/>
        <w:rPr>
          <w:rFonts w:ascii="Times New Roman" w:hAnsi="Times New Roman" w:cs="Times New Roman"/>
          <w:b/>
          <w:lang w:val="en-GB"/>
        </w:rPr>
      </w:pPr>
    </w:p>
    <w:p w14:paraId="3459AD34" w14:textId="77777777" w:rsidR="005C077B" w:rsidRPr="00575912" w:rsidRDefault="005C077B" w:rsidP="00AA06A5">
      <w:pPr>
        <w:spacing w:line="360" w:lineRule="auto"/>
        <w:jc w:val="both"/>
        <w:rPr>
          <w:rFonts w:ascii="Times New Roman" w:hAnsi="Times New Roman" w:cs="Times New Roman"/>
          <w:b/>
          <w:lang w:val="en-GB"/>
        </w:rPr>
      </w:pPr>
    </w:p>
    <w:p w14:paraId="6F5669CC" w14:textId="77777777" w:rsidR="005C077B" w:rsidRPr="00575912" w:rsidRDefault="005C077B" w:rsidP="00AA06A5">
      <w:pPr>
        <w:spacing w:line="360" w:lineRule="auto"/>
        <w:jc w:val="both"/>
        <w:rPr>
          <w:rFonts w:ascii="Times New Roman" w:hAnsi="Times New Roman" w:cs="Times New Roman"/>
          <w:b/>
          <w:lang w:val="en-GB"/>
        </w:rPr>
      </w:pPr>
    </w:p>
    <w:p w14:paraId="6125A301" w14:textId="77777777" w:rsidR="005C077B" w:rsidRPr="00575912" w:rsidRDefault="005C077B" w:rsidP="00AA06A5">
      <w:pPr>
        <w:spacing w:line="360" w:lineRule="auto"/>
        <w:jc w:val="both"/>
        <w:rPr>
          <w:rFonts w:ascii="Times New Roman" w:hAnsi="Times New Roman" w:cs="Times New Roman"/>
          <w:b/>
          <w:lang w:val="en-GB"/>
        </w:rPr>
      </w:pPr>
    </w:p>
    <w:p w14:paraId="7BEB4CC7" w14:textId="77777777" w:rsidR="005C077B" w:rsidRPr="00575912" w:rsidRDefault="005C077B" w:rsidP="00AA06A5">
      <w:pPr>
        <w:spacing w:line="360" w:lineRule="auto"/>
        <w:jc w:val="both"/>
        <w:rPr>
          <w:rFonts w:ascii="Times New Roman" w:hAnsi="Times New Roman" w:cs="Times New Roman"/>
          <w:b/>
          <w:lang w:val="en-GB"/>
        </w:rPr>
      </w:pPr>
    </w:p>
    <w:p w14:paraId="0CED7252" w14:textId="77777777" w:rsidR="005C077B" w:rsidRPr="00575912" w:rsidRDefault="005C077B" w:rsidP="00AA06A5">
      <w:pPr>
        <w:spacing w:line="360" w:lineRule="auto"/>
        <w:jc w:val="both"/>
        <w:rPr>
          <w:rFonts w:ascii="Times New Roman" w:hAnsi="Times New Roman" w:cs="Times New Roman"/>
          <w:b/>
          <w:lang w:val="en-GB"/>
        </w:rPr>
      </w:pPr>
    </w:p>
    <w:p w14:paraId="0C47695E" w14:textId="77777777" w:rsidR="005C077B" w:rsidRPr="00575912" w:rsidRDefault="005C077B" w:rsidP="00AA06A5">
      <w:pPr>
        <w:spacing w:line="360" w:lineRule="auto"/>
        <w:jc w:val="both"/>
        <w:rPr>
          <w:rFonts w:ascii="Times New Roman" w:hAnsi="Times New Roman" w:cs="Times New Roman"/>
          <w:b/>
          <w:lang w:val="en-GB"/>
        </w:rPr>
      </w:pPr>
    </w:p>
    <w:p w14:paraId="2AA1E9C1" w14:textId="77777777" w:rsidR="005C077B" w:rsidRPr="00575912" w:rsidRDefault="005C077B" w:rsidP="00AA06A5">
      <w:pPr>
        <w:spacing w:line="360" w:lineRule="auto"/>
        <w:jc w:val="both"/>
        <w:rPr>
          <w:rFonts w:ascii="Times New Roman" w:hAnsi="Times New Roman" w:cs="Times New Roman"/>
          <w:b/>
          <w:lang w:val="en-GB"/>
        </w:rPr>
      </w:pPr>
    </w:p>
    <w:p w14:paraId="20916A35" w14:textId="77777777" w:rsidR="005C077B" w:rsidRPr="00575912" w:rsidRDefault="005C077B" w:rsidP="00AA06A5">
      <w:pPr>
        <w:spacing w:line="360" w:lineRule="auto"/>
        <w:jc w:val="both"/>
        <w:rPr>
          <w:rFonts w:ascii="Times New Roman" w:hAnsi="Times New Roman" w:cs="Times New Roman"/>
          <w:b/>
          <w:lang w:val="en-GB"/>
        </w:rPr>
      </w:pPr>
    </w:p>
    <w:p w14:paraId="05A4259C" w14:textId="77777777" w:rsidR="005C077B" w:rsidRPr="00575912" w:rsidRDefault="005C077B" w:rsidP="00AA06A5">
      <w:pPr>
        <w:spacing w:line="360" w:lineRule="auto"/>
        <w:jc w:val="both"/>
        <w:rPr>
          <w:rFonts w:ascii="Times New Roman" w:hAnsi="Times New Roman" w:cs="Times New Roman"/>
          <w:b/>
          <w:lang w:val="en-GB"/>
        </w:rPr>
      </w:pPr>
    </w:p>
    <w:p w14:paraId="0543878D" w14:textId="77777777" w:rsidR="005C077B" w:rsidRPr="00575912" w:rsidRDefault="005C077B" w:rsidP="00AA06A5">
      <w:pPr>
        <w:spacing w:line="360" w:lineRule="auto"/>
        <w:jc w:val="both"/>
        <w:rPr>
          <w:rFonts w:ascii="Times New Roman" w:hAnsi="Times New Roman" w:cs="Times New Roman"/>
          <w:b/>
          <w:lang w:val="en-GB"/>
        </w:rPr>
      </w:pPr>
    </w:p>
    <w:p w14:paraId="0AB3D057" w14:textId="4E214AD5" w:rsidR="005C077B" w:rsidRPr="00575912" w:rsidRDefault="005C077B" w:rsidP="00AA06A5">
      <w:pPr>
        <w:spacing w:line="360" w:lineRule="auto"/>
        <w:jc w:val="both"/>
        <w:rPr>
          <w:rFonts w:ascii="Times New Roman" w:hAnsi="Times New Roman" w:cs="Times New Roman"/>
          <w:b/>
          <w:lang w:val="en-GB"/>
        </w:rPr>
      </w:pPr>
    </w:p>
    <w:p w14:paraId="6E40B633" w14:textId="77777777" w:rsidR="002F7563" w:rsidRPr="00575912" w:rsidRDefault="002F7563" w:rsidP="00AA06A5">
      <w:pPr>
        <w:spacing w:line="360" w:lineRule="auto"/>
        <w:jc w:val="both"/>
        <w:rPr>
          <w:rFonts w:ascii="Times New Roman" w:hAnsi="Times New Roman" w:cs="Times New Roman"/>
          <w:b/>
          <w:lang w:val="en-GB"/>
        </w:rPr>
      </w:pPr>
    </w:p>
    <w:p w14:paraId="2F4C6236" w14:textId="77777777" w:rsidR="005C077B" w:rsidRPr="00575912" w:rsidRDefault="005C077B" w:rsidP="00AA06A5">
      <w:pPr>
        <w:spacing w:line="360" w:lineRule="auto"/>
        <w:jc w:val="both"/>
        <w:rPr>
          <w:rFonts w:ascii="Times New Roman" w:hAnsi="Times New Roman" w:cs="Times New Roman"/>
          <w:b/>
          <w:lang w:val="en-GB"/>
        </w:rPr>
      </w:pPr>
      <w:r w:rsidRPr="00575912">
        <w:rPr>
          <w:rFonts w:ascii="Times New Roman" w:hAnsi="Times New Roman" w:cs="Times New Roman"/>
          <w:b/>
          <w:lang w:val="en-GB"/>
        </w:rPr>
        <w:t xml:space="preserve">Investigation was performed at the </w:t>
      </w:r>
      <w:bookmarkStart w:id="1" w:name="_Hlk529953903"/>
      <w:r w:rsidRPr="00575912">
        <w:rPr>
          <w:rFonts w:ascii="Times New Roman" w:hAnsi="Times New Roman" w:cs="Times New Roman"/>
          <w:b/>
          <w:lang w:val="en-GB"/>
        </w:rPr>
        <w:t>Addenbrooke’s Hospital, Cambridge University Hospital, Trauma &amp; Orthopaedics Division, Cambridge, UK</w:t>
      </w:r>
    </w:p>
    <w:bookmarkEnd w:id="1"/>
    <w:p w14:paraId="55358BD0" w14:textId="77777777" w:rsidR="00CC73B3" w:rsidRPr="00575912" w:rsidRDefault="00CC73B3" w:rsidP="00AA06A5">
      <w:pPr>
        <w:spacing w:line="360" w:lineRule="auto"/>
        <w:jc w:val="both"/>
        <w:rPr>
          <w:rFonts w:ascii="Times New Roman" w:hAnsi="Times New Roman" w:cs="Times New Roman"/>
          <w:b/>
          <w:bCs/>
          <w:lang w:val="en-GB"/>
        </w:rPr>
      </w:pPr>
    </w:p>
    <w:p w14:paraId="73106156" w14:textId="77777777" w:rsidR="00EA1768" w:rsidRPr="00575912" w:rsidRDefault="00EA1768" w:rsidP="00AA06A5">
      <w:pPr>
        <w:spacing w:line="360" w:lineRule="auto"/>
        <w:jc w:val="both"/>
        <w:rPr>
          <w:rFonts w:ascii="Times New Roman" w:hAnsi="Times New Roman" w:cs="Times New Roman"/>
          <w:b/>
          <w:bCs/>
          <w:lang w:val="en-GB"/>
        </w:rPr>
      </w:pPr>
    </w:p>
    <w:p w14:paraId="0D0B63B5" w14:textId="6FC1A629" w:rsidR="00E30FB6" w:rsidRPr="00575912" w:rsidRDefault="00E30FB6" w:rsidP="00AA06A5">
      <w:pPr>
        <w:spacing w:line="360" w:lineRule="auto"/>
        <w:jc w:val="both"/>
        <w:rPr>
          <w:rFonts w:ascii="Times New Roman" w:hAnsi="Times New Roman" w:cs="Times New Roman"/>
          <w:b/>
          <w:bCs/>
          <w:lang w:val="en-GB"/>
        </w:rPr>
      </w:pPr>
      <w:r w:rsidRPr="00575912">
        <w:rPr>
          <w:rFonts w:ascii="Times New Roman" w:hAnsi="Times New Roman" w:cs="Times New Roman"/>
          <w:b/>
          <w:bCs/>
          <w:lang w:val="en-GB"/>
        </w:rPr>
        <w:lastRenderedPageBreak/>
        <w:t>Abstract</w:t>
      </w:r>
    </w:p>
    <w:p w14:paraId="76A16EE0" w14:textId="0687249A" w:rsidR="00E30FB6" w:rsidRPr="00575912" w:rsidRDefault="002E4544" w:rsidP="00AA06A5">
      <w:pPr>
        <w:spacing w:line="360" w:lineRule="auto"/>
        <w:jc w:val="both"/>
        <w:rPr>
          <w:rFonts w:ascii="Times New Roman" w:hAnsi="Times New Roman" w:cs="Times New Roman"/>
          <w:lang w:val="en-GB"/>
        </w:rPr>
      </w:pPr>
      <w:r w:rsidRPr="00575912">
        <w:rPr>
          <w:rFonts w:ascii="Times New Roman" w:hAnsi="Times New Roman" w:cs="Times New Roman"/>
          <w:lang w:val="en-GB"/>
        </w:rPr>
        <w:t>A hot, swollen joint</w:t>
      </w:r>
      <w:r w:rsidR="00E30FB6" w:rsidRPr="00575912">
        <w:rPr>
          <w:rFonts w:ascii="Times New Roman" w:hAnsi="Times New Roman" w:cs="Times New Roman"/>
          <w:lang w:val="en-GB"/>
        </w:rPr>
        <w:t xml:space="preserve"> is a common clinical condition encountered in the ED and elective orthopaedic and rheumatology clinics. </w:t>
      </w:r>
      <w:r w:rsidRPr="00575912">
        <w:rPr>
          <w:rFonts w:ascii="Times New Roman" w:hAnsi="Times New Roman" w:cs="Times New Roman"/>
          <w:lang w:val="en-GB"/>
        </w:rPr>
        <w:t>These patients</w:t>
      </w:r>
      <w:r w:rsidR="00E30FB6" w:rsidRPr="00575912">
        <w:rPr>
          <w:rFonts w:ascii="Times New Roman" w:hAnsi="Times New Roman" w:cs="Times New Roman"/>
          <w:lang w:val="en-GB"/>
        </w:rPr>
        <w:t xml:space="preserve"> can be difficult to manage </w:t>
      </w:r>
      <w:r w:rsidR="00F5385B" w:rsidRPr="00575912">
        <w:rPr>
          <w:rFonts w:ascii="Times New Roman" w:hAnsi="Times New Roman" w:cs="Times New Roman"/>
          <w:lang w:val="en-GB"/>
        </w:rPr>
        <w:t>and properly treat</w:t>
      </w:r>
      <w:r w:rsidR="00E30FB6" w:rsidRPr="00575912">
        <w:rPr>
          <w:rFonts w:ascii="Times New Roman" w:hAnsi="Times New Roman" w:cs="Times New Roman"/>
          <w:lang w:val="en-GB"/>
        </w:rPr>
        <w:t>. </w:t>
      </w:r>
      <w:r w:rsidRPr="00575912">
        <w:rPr>
          <w:rFonts w:ascii="Times New Roman" w:hAnsi="Times New Roman" w:cs="Times New Roman"/>
          <w:lang w:val="en-GB"/>
        </w:rPr>
        <w:t xml:space="preserve"> </w:t>
      </w:r>
      <w:r w:rsidR="00E30FB6" w:rsidRPr="00575912">
        <w:rPr>
          <w:rFonts w:ascii="Times New Roman" w:hAnsi="Times New Roman" w:cs="Times New Roman"/>
          <w:lang w:val="en-GB"/>
        </w:rPr>
        <w:t xml:space="preserve">The aim of this </w:t>
      </w:r>
      <w:r w:rsidR="009D38E1" w:rsidRPr="00575912">
        <w:rPr>
          <w:rFonts w:ascii="Times New Roman" w:hAnsi="Times New Roman" w:cs="Times New Roman"/>
          <w:lang w:val="en-GB"/>
        </w:rPr>
        <w:t>study</w:t>
      </w:r>
      <w:r w:rsidR="00E30FB6" w:rsidRPr="00575912">
        <w:rPr>
          <w:rFonts w:ascii="Times New Roman" w:hAnsi="Times New Roman" w:cs="Times New Roman"/>
          <w:lang w:val="en-GB"/>
        </w:rPr>
        <w:t xml:space="preserve"> </w:t>
      </w:r>
      <w:r w:rsidR="009D38E1" w:rsidRPr="00575912">
        <w:rPr>
          <w:rFonts w:ascii="Times New Roman" w:hAnsi="Times New Roman" w:cs="Times New Roman"/>
          <w:lang w:val="en-GB"/>
        </w:rPr>
        <w:t>was</w:t>
      </w:r>
      <w:r w:rsidR="00E30FB6" w:rsidRPr="00575912">
        <w:rPr>
          <w:rFonts w:ascii="Times New Roman" w:hAnsi="Times New Roman" w:cs="Times New Roman"/>
          <w:lang w:val="en-GB"/>
        </w:rPr>
        <w:t xml:space="preserve"> to report a single </w:t>
      </w:r>
      <w:r w:rsidR="004A450D" w:rsidRPr="00575912">
        <w:rPr>
          <w:rFonts w:ascii="Times New Roman" w:hAnsi="Times New Roman" w:cs="Times New Roman"/>
          <w:lang w:val="en-GB"/>
        </w:rPr>
        <w:t>centre</w:t>
      </w:r>
      <w:r w:rsidR="00E30FB6" w:rsidRPr="00575912">
        <w:rPr>
          <w:rFonts w:ascii="Times New Roman" w:hAnsi="Times New Roman" w:cs="Times New Roman"/>
          <w:lang w:val="en-GB"/>
        </w:rPr>
        <w:t xml:space="preserve"> retrospective analysis of patients presenting to </w:t>
      </w:r>
      <w:r w:rsidR="00F5385B" w:rsidRPr="00575912">
        <w:rPr>
          <w:rFonts w:ascii="Times New Roman" w:hAnsi="Times New Roman" w:cs="Times New Roman"/>
          <w:lang w:val="en-GB"/>
        </w:rPr>
        <w:t>our institution</w:t>
      </w:r>
      <w:r w:rsidR="00E30FB6" w:rsidRPr="00575912">
        <w:rPr>
          <w:rFonts w:ascii="Times New Roman" w:hAnsi="Times New Roman" w:cs="Times New Roman"/>
          <w:lang w:val="en-GB"/>
        </w:rPr>
        <w:t xml:space="preserve"> for </w:t>
      </w:r>
      <w:r w:rsidR="00A7743B" w:rsidRPr="00575912">
        <w:rPr>
          <w:rFonts w:ascii="Times New Roman" w:hAnsi="Times New Roman" w:cs="Times New Roman"/>
          <w:lang w:val="en-GB"/>
        </w:rPr>
        <w:t xml:space="preserve">a </w:t>
      </w:r>
      <w:r w:rsidR="00E30FB6" w:rsidRPr="00575912">
        <w:rPr>
          <w:rFonts w:ascii="Times New Roman" w:hAnsi="Times New Roman" w:cs="Times New Roman"/>
          <w:lang w:val="en-GB"/>
        </w:rPr>
        <w:t xml:space="preserve">hot, swollen joint over a </w:t>
      </w:r>
      <w:r w:rsidRPr="00575912">
        <w:rPr>
          <w:rFonts w:ascii="Times New Roman" w:hAnsi="Times New Roman" w:cs="Times New Roman"/>
          <w:lang w:val="en-GB"/>
        </w:rPr>
        <w:t>three-month</w:t>
      </w:r>
      <w:r w:rsidR="00E30FB6" w:rsidRPr="00575912">
        <w:rPr>
          <w:rFonts w:ascii="Times New Roman" w:hAnsi="Times New Roman" w:cs="Times New Roman"/>
          <w:lang w:val="en-GB"/>
        </w:rPr>
        <w:t xml:space="preserve"> period</w:t>
      </w:r>
      <w:r w:rsidR="00B77FDC" w:rsidRPr="00575912">
        <w:rPr>
          <w:rFonts w:ascii="Times New Roman" w:hAnsi="Times New Roman" w:cs="Times New Roman"/>
          <w:lang w:val="en-GB"/>
        </w:rPr>
        <w:t xml:space="preserve">. </w:t>
      </w:r>
      <w:r w:rsidR="00E30FB6" w:rsidRPr="00575912">
        <w:rPr>
          <w:rFonts w:ascii="Times New Roman" w:hAnsi="Times New Roman" w:cs="Times New Roman"/>
          <w:lang w:val="en-GB"/>
        </w:rPr>
        <w:t>The study included patients presenting with a hot, swollen joint to ED or electively to clinic</w:t>
      </w:r>
      <w:r w:rsidR="00553639" w:rsidRPr="00575912">
        <w:rPr>
          <w:rFonts w:ascii="Times New Roman" w:hAnsi="Times New Roman" w:cs="Times New Roman"/>
          <w:lang w:val="en-GB"/>
        </w:rPr>
        <w:t>s</w:t>
      </w:r>
      <w:r w:rsidR="00E30FB6" w:rsidRPr="00575912">
        <w:rPr>
          <w:rFonts w:ascii="Times New Roman" w:hAnsi="Times New Roman" w:cs="Times New Roman"/>
          <w:lang w:val="en-GB"/>
        </w:rPr>
        <w:t>. The synovial fluid was aspirated and sent for microbiological and cytological investigation. P</w:t>
      </w:r>
      <w:r w:rsidR="00F5385B" w:rsidRPr="00575912">
        <w:rPr>
          <w:rFonts w:ascii="Times New Roman" w:hAnsi="Times New Roman" w:cs="Times New Roman"/>
          <w:lang w:val="en-GB"/>
        </w:rPr>
        <w:t xml:space="preserve"> value was set to</w:t>
      </w:r>
      <w:r w:rsidR="00E30FB6" w:rsidRPr="00575912">
        <w:rPr>
          <w:rFonts w:ascii="Times New Roman" w:hAnsi="Times New Roman" w:cs="Times New Roman"/>
          <w:lang w:val="en-GB"/>
        </w:rPr>
        <w:t xml:space="preserve"> &lt; 0.001</w:t>
      </w:r>
      <w:r w:rsidR="00F5385B" w:rsidRPr="00575912">
        <w:rPr>
          <w:rFonts w:ascii="Times New Roman" w:hAnsi="Times New Roman" w:cs="Times New Roman"/>
          <w:lang w:val="en-GB"/>
        </w:rPr>
        <w:t xml:space="preserve">. </w:t>
      </w:r>
      <w:r w:rsidR="00E30FB6" w:rsidRPr="00575912">
        <w:rPr>
          <w:rFonts w:ascii="Times New Roman" w:hAnsi="Times New Roman" w:cs="Times New Roman"/>
          <w:lang w:val="en-GB"/>
        </w:rPr>
        <w:t>36 patients (22 M, 14 F) with a mean age of 72.8 ± 17.4 years</w:t>
      </w:r>
      <w:r w:rsidRPr="00575912">
        <w:rPr>
          <w:rFonts w:ascii="Times New Roman" w:hAnsi="Times New Roman" w:cs="Times New Roman"/>
          <w:lang w:val="en-GB"/>
        </w:rPr>
        <w:t xml:space="preserve"> met our criteria</w:t>
      </w:r>
      <w:r w:rsidR="00E30FB6" w:rsidRPr="00575912">
        <w:rPr>
          <w:rFonts w:ascii="Times New Roman" w:hAnsi="Times New Roman" w:cs="Times New Roman"/>
          <w:lang w:val="en-GB"/>
        </w:rPr>
        <w:t xml:space="preserve">. </w:t>
      </w:r>
      <w:r w:rsidR="00BB00E1" w:rsidRPr="00575912">
        <w:rPr>
          <w:rFonts w:ascii="Times New Roman" w:hAnsi="Times New Roman" w:cs="Times New Roman"/>
          <w:lang w:val="en-GB"/>
        </w:rPr>
        <w:t>20 cases (55.6 %)</w:t>
      </w:r>
      <w:r w:rsidR="00E30FB6" w:rsidRPr="00575912">
        <w:rPr>
          <w:rFonts w:ascii="Times New Roman" w:hAnsi="Times New Roman" w:cs="Times New Roman"/>
          <w:lang w:val="en-GB"/>
        </w:rPr>
        <w:t xml:space="preserve"> involved the knee joint</w:t>
      </w:r>
      <w:r w:rsidR="0098485A" w:rsidRPr="00575912">
        <w:rPr>
          <w:rFonts w:ascii="Times New Roman" w:hAnsi="Times New Roman" w:cs="Times New Roman"/>
          <w:lang w:val="en-GB"/>
        </w:rPr>
        <w:t>,</w:t>
      </w:r>
      <w:r w:rsidR="00E30FB6" w:rsidRPr="00575912">
        <w:rPr>
          <w:rFonts w:ascii="Times New Roman" w:hAnsi="Times New Roman" w:cs="Times New Roman"/>
          <w:lang w:val="en-GB"/>
        </w:rPr>
        <w:t xml:space="preserve"> the wrist in 10 cases (27.8</w:t>
      </w:r>
      <w:r w:rsidR="00734FE7" w:rsidRPr="00575912">
        <w:rPr>
          <w:rFonts w:ascii="Times New Roman" w:hAnsi="Times New Roman" w:cs="Times New Roman"/>
          <w:lang w:val="en-GB"/>
        </w:rPr>
        <w:t>%</w:t>
      </w:r>
      <w:r w:rsidR="00E30FB6" w:rsidRPr="00575912">
        <w:rPr>
          <w:rFonts w:ascii="Times New Roman" w:hAnsi="Times New Roman" w:cs="Times New Roman"/>
          <w:lang w:val="en-GB"/>
        </w:rPr>
        <w:t>), the elbow in 3 cases (8.3%) and the shoulder in 3 cases (8.3%). Of the 36 synovial fluid samples collected, only 7 (19.4%)</w:t>
      </w:r>
      <w:r w:rsidR="00535544" w:rsidRPr="00575912">
        <w:rPr>
          <w:rFonts w:ascii="Times New Roman" w:hAnsi="Times New Roman" w:cs="Times New Roman"/>
          <w:lang w:val="en-GB"/>
        </w:rPr>
        <w:t xml:space="preserve"> reported evidence of infection.</w:t>
      </w:r>
      <w:r w:rsidR="00E30FB6" w:rsidRPr="00575912">
        <w:rPr>
          <w:rFonts w:ascii="Times New Roman" w:hAnsi="Times New Roman" w:cs="Times New Roman"/>
          <w:lang w:val="en-GB"/>
        </w:rPr>
        <w:t xml:space="preserve"> </w:t>
      </w:r>
      <w:r w:rsidR="00012A63" w:rsidRPr="00575912">
        <w:rPr>
          <w:rFonts w:ascii="Times New Roman" w:hAnsi="Times New Roman" w:cs="Times New Roman"/>
          <w:lang w:val="en-GB"/>
        </w:rPr>
        <w:t>On cytological examination of the synovial fluid</w:t>
      </w:r>
      <w:r w:rsidR="00C46C63" w:rsidRPr="00575912">
        <w:rPr>
          <w:rFonts w:ascii="Times New Roman" w:hAnsi="Times New Roman" w:cs="Times New Roman"/>
          <w:lang w:val="en-GB"/>
        </w:rPr>
        <w:t>,</w:t>
      </w:r>
      <w:r w:rsidR="00012A63" w:rsidRPr="00575912">
        <w:rPr>
          <w:rFonts w:ascii="Times New Roman" w:hAnsi="Times New Roman" w:cs="Times New Roman"/>
          <w:lang w:val="en-GB"/>
        </w:rPr>
        <w:t xml:space="preserve"> </w:t>
      </w:r>
      <w:r w:rsidR="00E30FB6" w:rsidRPr="00575912">
        <w:rPr>
          <w:rFonts w:ascii="Times New Roman" w:hAnsi="Times New Roman" w:cs="Times New Roman"/>
          <w:lang w:val="en-GB"/>
        </w:rPr>
        <w:t>21 (58.3%) reported presence of calcium pyrophosphates crystals (Pseudogout), 4 (11.1 %) reported presence of uric acid crystals (Gout) and 11 (30.5%) reported absence of crystals</w:t>
      </w:r>
      <w:r w:rsidRPr="00575912">
        <w:rPr>
          <w:rFonts w:ascii="Times New Roman" w:hAnsi="Times New Roman" w:cs="Times New Roman"/>
          <w:lang w:val="en-GB"/>
        </w:rPr>
        <w:t>.</w:t>
      </w:r>
      <w:r w:rsidR="00E30FB6" w:rsidRPr="00575912">
        <w:rPr>
          <w:rFonts w:ascii="Times New Roman" w:hAnsi="Times New Roman" w:cs="Times New Roman"/>
          <w:lang w:val="en-GB"/>
        </w:rPr>
        <w:t xml:space="preserve"> </w:t>
      </w:r>
      <w:r w:rsidR="00E50A13" w:rsidRPr="00575912">
        <w:rPr>
          <w:rFonts w:ascii="Times New Roman" w:hAnsi="Times New Roman" w:cs="Times New Roman"/>
          <w:lang w:val="en-GB"/>
        </w:rPr>
        <w:t>We</w:t>
      </w:r>
      <w:r w:rsidR="00E30FB6" w:rsidRPr="00575912">
        <w:rPr>
          <w:rFonts w:ascii="Times New Roman" w:hAnsi="Times New Roman" w:cs="Times New Roman"/>
          <w:lang w:val="en-GB"/>
        </w:rPr>
        <w:t xml:space="preserve"> found a significant </w:t>
      </w:r>
      <w:r w:rsidR="00CE08C1" w:rsidRPr="00575912">
        <w:rPr>
          <w:rFonts w:ascii="Times New Roman" w:hAnsi="Times New Roman" w:cs="Times New Roman"/>
          <w:lang w:val="en-GB"/>
        </w:rPr>
        <w:t>correlation</w:t>
      </w:r>
      <w:r w:rsidR="00E30FB6" w:rsidRPr="00575912">
        <w:rPr>
          <w:rFonts w:ascii="Times New Roman" w:hAnsi="Times New Roman" w:cs="Times New Roman"/>
          <w:lang w:val="en-GB"/>
        </w:rPr>
        <w:t xml:space="preserve"> between age </w:t>
      </w:r>
      <w:r w:rsidR="005F5ECA" w:rsidRPr="00575912">
        <w:rPr>
          <w:rFonts w:ascii="Times New Roman" w:hAnsi="Times New Roman" w:cs="Times New Roman"/>
          <w:lang w:val="en-GB"/>
        </w:rPr>
        <w:t>and the diagnosis of pseudogout</w:t>
      </w:r>
      <w:r w:rsidR="00F5385B" w:rsidRPr="00575912">
        <w:rPr>
          <w:rFonts w:ascii="Times New Roman" w:hAnsi="Times New Roman" w:cs="Times New Roman"/>
          <w:lang w:val="en-GB"/>
        </w:rPr>
        <w:t xml:space="preserve"> and between</w:t>
      </w:r>
      <w:r w:rsidRPr="00575912">
        <w:rPr>
          <w:rFonts w:ascii="Times New Roman" w:hAnsi="Times New Roman" w:cs="Times New Roman"/>
          <w:lang w:val="en-GB"/>
        </w:rPr>
        <w:t xml:space="preserve"> </w:t>
      </w:r>
      <w:r w:rsidR="00E30FB6" w:rsidRPr="00575912">
        <w:rPr>
          <w:rFonts w:ascii="Times New Roman" w:hAnsi="Times New Roman" w:cs="Times New Roman"/>
          <w:lang w:val="en-GB"/>
        </w:rPr>
        <w:t>previous antibiotic treatment and ED presentation. Our study sheds light on the high incidence of crystal</w:t>
      </w:r>
      <w:r w:rsidR="00C46C63" w:rsidRPr="00575912">
        <w:rPr>
          <w:rFonts w:ascii="Times New Roman" w:hAnsi="Times New Roman" w:cs="Times New Roman"/>
          <w:lang w:val="en-GB"/>
        </w:rPr>
        <w:t>-</w:t>
      </w:r>
      <w:r w:rsidR="00E30FB6" w:rsidRPr="00575912">
        <w:rPr>
          <w:rFonts w:ascii="Times New Roman" w:hAnsi="Times New Roman" w:cs="Times New Roman"/>
          <w:lang w:val="en-GB"/>
        </w:rPr>
        <w:t xml:space="preserve">related pathologies. In order to improve our management of this common </w:t>
      </w:r>
      <w:r w:rsidRPr="00575912">
        <w:rPr>
          <w:rFonts w:ascii="Times New Roman" w:hAnsi="Times New Roman" w:cs="Times New Roman"/>
          <w:lang w:val="en-GB"/>
        </w:rPr>
        <w:t>condition and</w:t>
      </w:r>
      <w:r w:rsidR="00E30FB6" w:rsidRPr="00575912">
        <w:rPr>
          <w:rFonts w:ascii="Times New Roman" w:hAnsi="Times New Roman" w:cs="Times New Roman"/>
          <w:lang w:val="en-GB"/>
        </w:rPr>
        <w:t xml:space="preserve"> enhance our understanding of the clinical diagnosis in certain patient population, further high-profile clinical studies are needed.</w:t>
      </w:r>
      <w:r w:rsidR="00B409C1" w:rsidRPr="00575912">
        <w:rPr>
          <w:rFonts w:ascii="Times New Roman" w:hAnsi="Times New Roman" w:cs="Times New Roman"/>
          <w:lang w:val="en-GB"/>
        </w:rPr>
        <w:t xml:space="preserve"> </w:t>
      </w:r>
    </w:p>
    <w:p w14:paraId="251A5A9A" w14:textId="5CDFA625" w:rsidR="00E30FB6" w:rsidRPr="00575912" w:rsidRDefault="002F7563"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 xml:space="preserve">Keywords: </w:t>
      </w:r>
      <w:r w:rsidRPr="00575912">
        <w:rPr>
          <w:rFonts w:ascii="Times New Roman" w:hAnsi="Times New Roman" w:cs="Times New Roman"/>
          <w:lang w:val="en-GB"/>
        </w:rPr>
        <w:t>Hot joint; swollen join</w:t>
      </w:r>
      <w:r w:rsidR="00C46C63" w:rsidRPr="00575912">
        <w:rPr>
          <w:rFonts w:ascii="Times New Roman" w:hAnsi="Times New Roman" w:cs="Times New Roman"/>
          <w:lang w:val="en-GB"/>
        </w:rPr>
        <w:t>t</w:t>
      </w:r>
      <w:r w:rsidRPr="00575912">
        <w:rPr>
          <w:rFonts w:ascii="Times New Roman" w:hAnsi="Times New Roman" w:cs="Times New Roman"/>
          <w:lang w:val="en-GB"/>
        </w:rPr>
        <w:t xml:space="preserve">; crystal </w:t>
      </w:r>
      <w:proofErr w:type="spellStart"/>
      <w:r w:rsidRPr="00575912">
        <w:rPr>
          <w:rFonts w:ascii="Times New Roman" w:hAnsi="Times New Roman" w:cs="Times New Roman"/>
          <w:lang w:val="en-GB"/>
        </w:rPr>
        <w:t>arthropathies</w:t>
      </w:r>
      <w:proofErr w:type="spellEnd"/>
      <w:r w:rsidRPr="00575912">
        <w:rPr>
          <w:rFonts w:ascii="Times New Roman" w:hAnsi="Times New Roman" w:cs="Times New Roman"/>
          <w:lang w:val="en-GB"/>
        </w:rPr>
        <w:t xml:space="preserve">; </w:t>
      </w:r>
      <w:proofErr w:type="spellStart"/>
      <w:r w:rsidRPr="00575912">
        <w:rPr>
          <w:rFonts w:ascii="Times New Roman" w:hAnsi="Times New Roman" w:cs="Times New Roman"/>
          <w:lang w:val="en-GB"/>
        </w:rPr>
        <w:t>pseudogout</w:t>
      </w:r>
      <w:proofErr w:type="spellEnd"/>
      <w:r w:rsidRPr="00575912">
        <w:rPr>
          <w:rFonts w:ascii="Times New Roman" w:hAnsi="Times New Roman" w:cs="Times New Roman"/>
          <w:lang w:val="en-GB"/>
        </w:rPr>
        <w:t>; gout</w:t>
      </w:r>
      <w:r w:rsidR="00534F71" w:rsidRPr="00575912">
        <w:rPr>
          <w:rFonts w:ascii="Times New Roman" w:hAnsi="Times New Roman" w:cs="Times New Roman"/>
          <w:lang w:val="en-GB"/>
        </w:rPr>
        <w:t xml:space="preserve">; </w:t>
      </w:r>
      <w:proofErr w:type="spellStart"/>
      <w:r w:rsidR="00534F71" w:rsidRPr="00575912">
        <w:rPr>
          <w:rFonts w:ascii="Times New Roman" w:hAnsi="Times New Roman" w:cs="Times New Roman"/>
          <w:lang w:val="en-GB"/>
        </w:rPr>
        <w:t>monoarthritis</w:t>
      </w:r>
      <w:proofErr w:type="spellEnd"/>
      <w:r w:rsidR="00534F71" w:rsidRPr="00575912">
        <w:rPr>
          <w:rFonts w:ascii="Times New Roman" w:hAnsi="Times New Roman" w:cs="Times New Roman"/>
          <w:lang w:val="en-GB"/>
        </w:rPr>
        <w:t xml:space="preserve">; </w:t>
      </w:r>
    </w:p>
    <w:p w14:paraId="5EB99FD2" w14:textId="77777777" w:rsidR="002F7563" w:rsidRPr="00575912" w:rsidRDefault="002F7563" w:rsidP="00AA06A5">
      <w:pPr>
        <w:spacing w:line="360" w:lineRule="auto"/>
        <w:jc w:val="both"/>
        <w:rPr>
          <w:rFonts w:ascii="Times New Roman" w:hAnsi="Times New Roman" w:cs="Times New Roman"/>
          <w:b/>
          <w:lang w:val="en-GB"/>
        </w:rPr>
      </w:pPr>
    </w:p>
    <w:p w14:paraId="2C0B9E86" w14:textId="77777777" w:rsidR="002F7563" w:rsidRPr="00575912" w:rsidRDefault="002F7563" w:rsidP="00AA06A5">
      <w:pPr>
        <w:spacing w:line="360" w:lineRule="auto"/>
        <w:jc w:val="both"/>
        <w:rPr>
          <w:rFonts w:ascii="Times New Roman" w:hAnsi="Times New Roman" w:cs="Times New Roman"/>
          <w:b/>
          <w:lang w:val="en-GB"/>
        </w:rPr>
      </w:pPr>
    </w:p>
    <w:p w14:paraId="25E170C6" w14:textId="77777777" w:rsidR="002F7563" w:rsidRPr="00575912" w:rsidRDefault="002F7563" w:rsidP="00AA06A5">
      <w:pPr>
        <w:spacing w:line="360" w:lineRule="auto"/>
        <w:jc w:val="both"/>
        <w:rPr>
          <w:rFonts w:ascii="Times New Roman" w:hAnsi="Times New Roman" w:cs="Times New Roman"/>
          <w:b/>
          <w:lang w:val="en-GB"/>
        </w:rPr>
      </w:pPr>
    </w:p>
    <w:p w14:paraId="77502053" w14:textId="77777777" w:rsidR="002F7563" w:rsidRPr="00575912" w:rsidRDefault="002F7563" w:rsidP="00AA06A5">
      <w:pPr>
        <w:spacing w:line="360" w:lineRule="auto"/>
        <w:jc w:val="both"/>
        <w:rPr>
          <w:rFonts w:ascii="Times New Roman" w:hAnsi="Times New Roman" w:cs="Times New Roman"/>
          <w:b/>
          <w:lang w:val="en-GB"/>
        </w:rPr>
      </w:pPr>
    </w:p>
    <w:p w14:paraId="6BBA7FBA" w14:textId="090931BD" w:rsidR="002F7563" w:rsidRPr="00575912" w:rsidRDefault="002F7563" w:rsidP="00AA06A5">
      <w:pPr>
        <w:spacing w:line="360" w:lineRule="auto"/>
        <w:jc w:val="both"/>
        <w:rPr>
          <w:rFonts w:ascii="Times New Roman" w:hAnsi="Times New Roman" w:cs="Times New Roman"/>
          <w:b/>
          <w:lang w:val="en-GB"/>
        </w:rPr>
      </w:pPr>
    </w:p>
    <w:p w14:paraId="40C5E066" w14:textId="023E8080" w:rsidR="00F5385B" w:rsidRPr="00575912" w:rsidRDefault="00F5385B" w:rsidP="00AA06A5">
      <w:pPr>
        <w:spacing w:line="360" w:lineRule="auto"/>
        <w:jc w:val="both"/>
        <w:rPr>
          <w:rFonts w:ascii="Times New Roman" w:hAnsi="Times New Roman" w:cs="Times New Roman"/>
          <w:b/>
          <w:lang w:val="en-GB"/>
        </w:rPr>
      </w:pPr>
    </w:p>
    <w:p w14:paraId="32D46101" w14:textId="189A272E" w:rsidR="00F5385B" w:rsidRPr="00575912" w:rsidRDefault="00F5385B" w:rsidP="00AA06A5">
      <w:pPr>
        <w:spacing w:line="360" w:lineRule="auto"/>
        <w:jc w:val="both"/>
        <w:rPr>
          <w:rFonts w:ascii="Times New Roman" w:hAnsi="Times New Roman" w:cs="Times New Roman"/>
          <w:b/>
          <w:lang w:val="en-GB"/>
        </w:rPr>
      </w:pPr>
    </w:p>
    <w:p w14:paraId="6CDDC296" w14:textId="127EDB26" w:rsidR="00F5385B" w:rsidRPr="00575912" w:rsidRDefault="00F5385B" w:rsidP="00AA06A5">
      <w:pPr>
        <w:spacing w:line="360" w:lineRule="auto"/>
        <w:jc w:val="both"/>
        <w:rPr>
          <w:rFonts w:ascii="Times New Roman" w:hAnsi="Times New Roman" w:cs="Times New Roman"/>
          <w:b/>
          <w:lang w:val="en-GB"/>
        </w:rPr>
      </w:pPr>
    </w:p>
    <w:p w14:paraId="27A9EE96" w14:textId="3D32C9A8" w:rsidR="00F5385B" w:rsidRPr="00575912" w:rsidRDefault="00F5385B" w:rsidP="00AA06A5">
      <w:pPr>
        <w:spacing w:line="360" w:lineRule="auto"/>
        <w:jc w:val="both"/>
        <w:rPr>
          <w:rFonts w:ascii="Times New Roman" w:hAnsi="Times New Roman" w:cs="Times New Roman"/>
          <w:b/>
          <w:lang w:val="en-GB"/>
        </w:rPr>
      </w:pPr>
    </w:p>
    <w:p w14:paraId="606F11B7" w14:textId="20077199" w:rsidR="00F5385B" w:rsidRPr="00575912" w:rsidRDefault="00F5385B" w:rsidP="00AA06A5">
      <w:pPr>
        <w:spacing w:line="360" w:lineRule="auto"/>
        <w:jc w:val="both"/>
        <w:rPr>
          <w:rFonts w:ascii="Times New Roman" w:hAnsi="Times New Roman" w:cs="Times New Roman"/>
          <w:b/>
          <w:lang w:val="en-GB"/>
        </w:rPr>
      </w:pPr>
    </w:p>
    <w:p w14:paraId="589DC56F" w14:textId="37AC1EC6" w:rsidR="00F5385B" w:rsidRPr="00575912" w:rsidRDefault="00F5385B" w:rsidP="00AA06A5">
      <w:pPr>
        <w:spacing w:line="360" w:lineRule="auto"/>
        <w:jc w:val="both"/>
        <w:rPr>
          <w:rFonts w:ascii="Times New Roman" w:hAnsi="Times New Roman" w:cs="Times New Roman"/>
          <w:b/>
          <w:lang w:val="en-GB"/>
        </w:rPr>
      </w:pPr>
    </w:p>
    <w:p w14:paraId="61255789" w14:textId="709C1927" w:rsidR="00F5385B" w:rsidRPr="00575912" w:rsidRDefault="00F5385B" w:rsidP="00AA06A5">
      <w:pPr>
        <w:spacing w:line="360" w:lineRule="auto"/>
        <w:jc w:val="both"/>
        <w:rPr>
          <w:rFonts w:ascii="Times New Roman" w:hAnsi="Times New Roman" w:cs="Times New Roman"/>
          <w:b/>
          <w:lang w:val="en-GB"/>
        </w:rPr>
      </w:pPr>
    </w:p>
    <w:p w14:paraId="2F7DED12" w14:textId="0CFCA7C7" w:rsidR="00F5385B" w:rsidRPr="00575912" w:rsidRDefault="00F5385B" w:rsidP="00AA06A5">
      <w:pPr>
        <w:spacing w:line="360" w:lineRule="auto"/>
        <w:jc w:val="both"/>
        <w:rPr>
          <w:rFonts w:ascii="Times New Roman" w:hAnsi="Times New Roman" w:cs="Times New Roman"/>
          <w:b/>
          <w:lang w:val="en-GB"/>
        </w:rPr>
      </w:pPr>
    </w:p>
    <w:p w14:paraId="53BD47C5" w14:textId="77777777" w:rsidR="00F5385B" w:rsidRPr="00575912" w:rsidRDefault="00F5385B" w:rsidP="00AA06A5">
      <w:pPr>
        <w:spacing w:line="360" w:lineRule="auto"/>
        <w:jc w:val="both"/>
        <w:rPr>
          <w:rFonts w:ascii="Times New Roman" w:hAnsi="Times New Roman" w:cs="Times New Roman"/>
          <w:b/>
          <w:lang w:val="en-GB"/>
        </w:rPr>
      </w:pPr>
    </w:p>
    <w:p w14:paraId="7FEF7FC3" w14:textId="59DBD0C8" w:rsidR="002F7563" w:rsidRPr="00575912" w:rsidRDefault="002F7563" w:rsidP="00AA06A5">
      <w:pPr>
        <w:spacing w:line="360" w:lineRule="auto"/>
        <w:jc w:val="both"/>
        <w:rPr>
          <w:rFonts w:ascii="Times New Roman" w:hAnsi="Times New Roman" w:cs="Times New Roman"/>
          <w:b/>
          <w:lang w:val="en-GB"/>
        </w:rPr>
      </w:pPr>
    </w:p>
    <w:p w14:paraId="60E56497" w14:textId="7FCDC6EB" w:rsidR="00CC73B3" w:rsidRPr="00575912" w:rsidRDefault="00CC73B3" w:rsidP="00AA06A5">
      <w:pPr>
        <w:spacing w:line="360" w:lineRule="auto"/>
        <w:jc w:val="both"/>
        <w:rPr>
          <w:rFonts w:ascii="Times New Roman" w:hAnsi="Times New Roman" w:cs="Times New Roman"/>
          <w:b/>
          <w:lang w:val="en-GB"/>
        </w:rPr>
      </w:pPr>
    </w:p>
    <w:p w14:paraId="145524C1" w14:textId="52615533" w:rsidR="00CC73B3" w:rsidRPr="00575912" w:rsidRDefault="00CC73B3" w:rsidP="00AA06A5">
      <w:pPr>
        <w:spacing w:line="360" w:lineRule="auto"/>
        <w:jc w:val="both"/>
        <w:rPr>
          <w:rFonts w:ascii="Times New Roman" w:hAnsi="Times New Roman" w:cs="Times New Roman"/>
          <w:b/>
          <w:lang w:val="en-GB"/>
        </w:rPr>
      </w:pPr>
    </w:p>
    <w:p w14:paraId="6094D1B5" w14:textId="77777777" w:rsidR="005E308B" w:rsidRPr="00575912" w:rsidRDefault="005E308B" w:rsidP="00AA06A5">
      <w:pPr>
        <w:spacing w:line="360" w:lineRule="auto"/>
        <w:jc w:val="both"/>
        <w:rPr>
          <w:rFonts w:ascii="Times New Roman" w:hAnsi="Times New Roman" w:cs="Times New Roman"/>
          <w:b/>
          <w:lang w:val="en-GB"/>
        </w:rPr>
        <w:sectPr w:rsidR="005E308B" w:rsidRPr="00575912" w:rsidSect="00F80532">
          <w:pgSz w:w="11906" w:h="16838"/>
          <w:pgMar w:top="1417" w:right="1134" w:bottom="1134" w:left="1134" w:header="708" w:footer="708" w:gutter="0"/>
          <w:cols w:space="708"/>
          <w:docGrid w:linePitch="360"/>
        </w:sectPr>
      </w:pPr>
    </w:p>
    <w:p w14:paraId="672DCE4C" w14:textId="77777777" w:rsidR="008F50A4" w:rsidRPr="00575912" w:rsidRDefault="008F50A4" w:rsidP="00AA06A5">
      <w:pPr>
        <w:pStyle w:val="06-Heading-1"/>
      </w:pPr>
      <w:bookmarkStart w:id="2" w:name="_Hlk529638291"/>
    </w:p>
    <w:p w14:paraId="12C4ABEB" w14:textId="77777777" w:rsidR="008F50A4" w:rsidRPr="00575912" w:rsidRDefault="008F50A4" w:rsidP="00AA06A5">
      <w:pPr>
        <w:pStyle w:val="06-Heading-1"/>
      </w:pPr>
    </w:p>
    <w:p w14:paraId="1B65223B" w14:textId="77777777" w:rsidR="008F50A4" w:rsidRPr="00575912" w:rsidRDefault="008F50A4" w:rsidP="00AA06A5">
      <w:pPr>
        <w:pStyle w:val="06-Heading-1"/>
      </w:pPr>
    </w:p>
    <w:p w14:paraId="324DAA4C" w14:textId="77777777" w:rsidR="008F50A4" w:rsidRPr="00575912" w:rsidRDefault="008F50A4" w:rsidP="00AA06A5">
      <w:pPr>
        <w:pStyle w:val="06-Heading-1"/>
      </w:pPr>
    </w:p>
    <w:bookmarkEnd w:id="2"/>
    <w:p w14:paraId="688AE8AB" w14:textId="77777777" w:rsidR="008F50A4" w:rsidRPr="00575912" w:rsidRDefault="008F50A4" w:rsidP="008F50A4">
      <w:pPr>
        <w:pStyle w:val="06-Heading-1"/>
        <w:rPr>
          <w:bCs/>
        </w:rPr>
      </w:pPr>
      <w:r w:rsidRPr="00575912">
        <w:lastRenderedPageBreak/>
        <w:t xml:space="preserve">1. </w:t>
      </w:r>
      <w:r w:rsidRPr="00575912">
        <w:rPr>
          <w:bCs/>
        </w:rPr>
        <w:t>INTRODUCTION</w:t>
      </w:r>
    </w:p>
    <w:p w14:paraId="340CD7C4" w14:textId="77777777" w:rsidR="008F50A4" w:rsidRPr="00575912" w:rsidRDefault="008F50A4" w:rsidP="008F50A4">
      <w:pPr>
        <w:pStyle w:val="06-Heading-1"/>
        <w:rPr>
          <w:bCs/>
        </w:rPr>
      </w:pPr>
    </w:p>
    <w:p w14:paraId="6BBE4667" w14:textId="058D0B32" w:rsidR="008F50A4" w:rsidRPr="00575912" w:rsidRDefault="008F50A4" w:rsidP="008F50A4">
      <w:pPr>
        <w:widowControl w:val="0"/>
        <w:autoSpaceDE w:val="0"/>
        <w:autoSpaceDN w:val="0"/>
        <w:adjustRightInd w:val="0"/>
        <w:spacing w:after="240" w:line="360" w:lineRule="auto"/>
        <w:jc w:val="both"/>
        <w:rPr>
          <w:rFonts w:ascii="Times New Roman" w:hAnsi="Times New Roman" w:cs="Times New Roman"/>
          <w:lang w:val="en-GB"/>
        </w:rPr>
      </w:pPr>
      <w:r w:rsidRPr="00575912">
        <w:rPr>
          <w:rFonts w:ascii="Times New Roman" w:hAnsi="Times New Roman" w:cs="Times New Roman"/>
          <w:lang w:val="en-GB"/>
        </w:rPr>
        <w:t xml:space="preserve">Acute </w:t>
      </w:r>
      <w:proofErr w:type="spellStart"/>
      <w:r w:rsidRPr="00575912">
        <w:rPr>
          <w:rFonts w:ascii="Times New Roman" w:hAnsi="Times New Roman" w:cs="Times New Roman"/>
          <w:lang w:val="en-GB"/>
        </w:rPr>
        <w:t>monoarthritis</w:t>
      </w:r>
      <w:proofErr w:type="spellEnd"/>
      <w:r w:rsidRPr="00575912">
        <w:rPr>
          <w:rFonts w:ascii="Times New Roman" w:hAnsi="Times New Roman" w:cs="Times New Roman"/>
          <w:lang w:val="en-GB"/>
        </w:rPr>
        <w:t xml:space="preserve"> is a common clinical presentation seen in the emergency departments (ED), general practitioner (GP), and elective clinic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aa951d84-8810-3d73-bfe7-4dbf342c08a5","http://www.mendeley.com/documents/?uuid=9f5835c1-f19f-4460-bda9-7babbc46f5ea"]}],"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{"citationItems":[{"id":"ITEM-1","itemData":{"DOI":"10.1097/MEJ.0b013e328348d8f8","ISBN":"0969-9546","ISSN":"0969-9546","PMID":"21730866","author":[{"dropping-particle":"","family":"Reed","given":"Matthew J","non-dropping-particle":"","parse-names":false,"suffix":""},{"dropping-particle":"","family":"Carachi","given":"Andrew","non-dropping-particle":"","parse-names":false,"suffix":""}],"container-title":"European Journal of Emergency Medicine","id":"ITEM-1","issue":"2","issued":{"date-parts":[["2012","4"]]},"page":"103-107","publisher":"Wolters Kluwer Health | Lippincott Williams &amp; Wilkins","title":"Management of the nontraumatic hot swollen joint","type":"article-journal","volume":"19"},"uris":["http://www.mendeley.com/documents/?uuid=d0603ca1-1cc5-4413-92c7-995065c08eb8"]}],"mendeley":{"formattedCitation":"[2]","plainTextFormattedCitation":"[2]","previouslyFormattedCitation":"[2]"},"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[2]</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Patients that present with a hot swollen joint can be difficult to manage due to the fact that there are numerous differential diagnoses to consider. This presentation should be dealt with a high level of vigilance and suspicion since the delay or mismanagement can lead to very serious health consequences. </w:t>
      </w:r>
    </w:p>
    <w:p w14:paraId="7D9FD334" w14:textId="77114748" w:rsidR="008F50A4" w:rsidRPr="00575912" w:rsidRDefault="008F50A4" w:rsidP="008F50A4">
      <w:pPr>
        <w:widowControl w:val="0"/>
        <w:autoSpaceDE w:val="0"/>
        <w:autoSpaceDN w:val="0"/>
        <w:adjustRightInd w:val="0"/>
        <w:spacing w:after="240" w:line="360" w:lineRule="auto"/>
        <w:jc w:val="both"/>
        <w:rPr>
          <w:rFonts w:ascii="Times New Roman" w:hAnsi="Times New Roman" w:cs="Times New Roman"/>
          <w:lang w:val="en-US"/>
        </w:rPr>
      </w:pPr>
      <w:r w:rsidRPr="00575912">
        <w:rPr>
          <w:rFonts w:ascii="Times New Roman" w:hAnsi="Times New Roman" w:cs="Times New Roman"/>
          <w:lang w:val="en-GB"/>
        </w:rPr>
        <w:t xml:space="preserve">Patients presenting with a hot swollen joint can be classified into three different categories; these include </w:t>
      </w:r>
      <w:bookmarkStart w:id="3" w:name="_Hlk529638324"/>
      <w:r w:rsidRPr="00575912">
        <w:rPr>
          <w:rFonts w:ascii="Times New Roman" w:hAnsi="Times New Roman" w:cs="Times New Roman"/>
          <w:lang w:val="en-GB"/>
        </w:rPr>
        <w:t>crystal induced joint damage, infectious causes, and non-infectious causes</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Conditions that cause joint damage secondary to crysta</w:t>
      </w:r>
      <w:r w:rsidR="00B640BD" w:rsidRPr="00575912">
        <w:rPr>
          <w:rFonts w:ascii="Times New Roman" w:hAnsi="Times New Roman" w:cs="Times New Roman"/>
          <w:lang w:val="en-GB"/>
        </w:rPr>
        <w:t>ls include gout and pseudogout. Pseudogout</w:t>
      </w:r>
      <w:r w:rsidR="00E21F6F" w:rsidRPr="00575912">
        <w:rPr>
          <w:rFonts w:ascii="Times New Roman" w:hAnsi="Times New Roman" w:cs="Times New Roman"/>
          <w:lang w:val="en-GB"/>
        </w:rPr>
        <w:t xml:space="preserve"> flares present either as monoarticular or oligoarticular </w:t>
      </w:r>
      <w:r w:rsidR="001C6BA6"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{"citationItems":[{"id":"ITEM-1","itemData":{"PMID":"10443078","abstract":"The clinical features and laboratory findings of 91 Thai patients (33 males and 58 females) with CPPD crystal deposition disease were studied. Their average age was 71.54 years. Acute monoarthritis and oligoarthritis were the two most common forms of presentation and were seen in 89 per cent of cases. The knee, wrist and ankle were the three most common joints involved. Associated diseases were common and included hypertension (30 cases), renal insufficiency (23 cases), chronic obstructive pulmonary disease (17 cases), coronary heart disease (13 cases) and diabetes mellitus (12 cases). Eleven patients had malignancies. Five patients had concomitant gout and CPPD crystal deposition disease. The knee and the wrist were the two most common sites of chondrocalcinosis. Of 67 patients who had thyroid function tested, 2 had hyperthyroidism and 5 had hypothyroidism. Hypomagnesemia was seen in 19 per cent. None had hypercalcemia, hypophosphatasia, hemochromatosis or hyperparathyroidism. In contrast to the western series, acute arthritis in our series responded well to oral colchicine alone.","author":[{"dropping-particle":"","family":"Louthrenoo","given":"W","non-dropping-particle":"","parse-names":false,"suffix":""},{"dropping-particle":"","family":"Sukitawut","given":"W","non-dropping-particle":"","parse-names":false,"suffix":""}],"container-title":"Journal of the Medical Association of Thailand = Chotmaihet thangphaet","id":"ITEM-1","issue":"6","issued":{"date-parts":[["1999","6"]]},"page":"569-76","title":"Calcium pyrophosphate dihydrate crystal deposition: a clinical and laboratory analysis of 91 Thai patients.","type":"article-journal","volume":"82"},"uris":["http://www.mendeley.com/documents/?uuid=c5fb9d7f-31df-3e31-ad4a-f809c95ced63","http://www.mendeley.com/documents/?uuid=dd1f04ab-f6c6-40a4-9345-218224ca42e7"]}],"mendeley":{"formattedCitation":"[4]","plainTextFormattedCitation":"[4]","previouslyFormattedCitation":"[4]"},"properties":{"noteIndex":0},"schema":"https://github.com/citation-style-language/schema/raw/master/csl-citation.json"}</w:instrText>
      </w:r>
      <w:r w:rsidR="001C6BA6" w:rsidRPr="00575912">
        <w:rPr>
          <w:rFonts w:ascii="Times New Roman" w:hAnsi="Times New Roman" w:cs="Times New Roman"/>
          <w:lang w:val="en-GB"/>
        </w:rPr>
        <w:fldChar w:fldCharType="separate"/>
      </w:r>
      <w:r w:rsidR="001C6BA6" w:rsidRPr="00575912">
        <w:rPr>
          <w:rFonts w:ascii="Times New Roman" w:hAnsi="Times New Roman" w:cs="Times New Roman"/>
          <w:noProof/>
          <w:lang w:val="en-GB"/>
        </w:rPr>
        <w:t>[4]</w:t>
      </w:r>
      <w:r w:rsidR="001C6BA6" w:rsidRPr="00575912">
        <w:rPr>
          <w:rFonts w:ascii="Times New Roman" w:hAnsi="Times New Roman" w:cs="Times New Roman"/>
          <w:lang w:val="en-GB"/>
        </w:rPr>
        <w:fldChar w:fldCharType="end"/>
      </w:r>
      <w:r w:rsidR="006D513B" w:rsidRPr="00575912">
        <w:rPr>
          <w:rFonts w:ascii="Times New Roman" w:hAnsi="Times New Roman" w:cs="Times New Roman"/>
          <w:lang w:val="en-GB"/>
        </w:rPr>
        <w:t xml:space="preserve">; </w:t>
      </w:r>
      <w:r w:rsidR="000336AA" w:rsidRPr="00575912">
        <w:rPr>
          <w:rFonts w:ascii="Times New Roman" w:hAnsi="Times New Roman" w:cs="Times New Roman"/>
          <w:lang w:val="en-GB"/>
        </w:rPr>
        <w:t>but it usually presents</w:t>
      </w:r>
      <w:r w:rsidR="006D513B" w:rsidRPr="00575912">
        <w:rPr>
          <w:rFonts w:ascii="Times New Roman" w:hAnsi="Times New Roman" w:cs="Times New Roman"/>
          <w:lang w:val="en-GB"/>
        </w:rPr>
        <w:t xml:space="preserve"> </w:t>
      </w:r>
      <w:r w:rsidR="000336AA" w:rsidRPr="00575912">
        <w:rPr>
          <w:rFonts w:ascii="Times New Roman" w:hAnsi="Times New Roman" w:cs="Times New Roman"/>
          <w:lang w:val="en-GB"/>
        </w:rPr>
        <w:t>in a</w:t>
      </w:r>
      <w:r w:rsidR="006D513B" w:rsidRPr="00575912">
        <w:rPr>
          <w:rFonts w:ascii="Times New Roman" w:hAnsi="Times New Roman" w:cs="Times New Roman"/>
          <w:lang w:val="en-GB"/>
        </w:rPr>
        <w:t xml:space="preserve"> polyarticular  </w:t>
      </w:r>
      <w:r w:rsidR="000336AA" w:rsidRPr="00575912">
        <w:rPr>
          <w:rFonts w:ascii="Times New Roman" w:hAnsi="Times New Roman" w:cs="Times New Roman"/>
          <w:lang w:val="en-GB"/>
        </w:rPr>
        <w:t>manner, how</w:t>
      </w:r>
      <w:r w:rsidR="00E51DE2" w:rsidRPr="00575912">
        <w:rPr>
          <w:rFonts w:ascii="Times New Roman" w:hAnsi="Times New Roman" w:cs="Times New Roman"/>
          <w:lang w:val="en-GB"/>
        </w:rPr>
        <w:t xml:space="preserve">ever it can initially manifest as a monoarticular disease </w:t>
      </w:r>
      <w:r w:rsidR="00EB4EC2"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{"citationItems":[{"id":"ITEM-1","itemData":{"DOI":"10.1302/0301-620X.91B4.21707","PMID":"19336817","abstract":"Idiopathic calcium pyrophosphate deposition disease (pseudogout) has a variable presentation. Many joints are usually affected; single joint disease is uncommon. We present a case report of primary monoarticular pseudogout affecting the hip. The diagnosis was made on the appearance and analysis of specimens obtained at arthroscopy. Monoarticular pseudogout is rare, but should be considered in the differential diagnosis of any presentation of joint pain.","author":[{"dropping-particle":"","family":"Hamilton","given":"L C","non-dropping-particle":"","parse-names":false,"suffix":""},{"dropping-particle":"","family":"Biant","given":"L C","non-dropping-particle":"","parse-names":false,"suffix":""},{"dropping-particle":"","family":"Temple","given":"L N","non-dropping-particle":"","parse-names":false,"suffix":""},{"dropping-particle":"","family":"Field","given":"R E","non-dropping-particle":"","parse-names":false,"suffix":""}],"container-title":"The Journal of bone and joint surgery. British volume","id":"ITEM-1","issue":"4","issued":{"date-parts":[["2009","4"]]},"page":"533-5","title":"Isolated pseudogout diagnosed on hip arthroscopy.","type":"article-journal","volume":"91"},"uris":["http://www.mendeley.com/documents/?uuid=7d505f3c-0a39-31dc-ac4a-a858b8a6186d","http://www.mendeley.com/documents/?uuid=295b04c1-c802-4970-8822-3953e8a9eadb"]}],"mendeley":{"formattedCitation":"[5]","plainTextFormattedCitation":"[5]","previouslyFormattedCitation":"[5]"},"properties":{"noteIndex":0},"schema":"https://github.com/citation-style-language/schema/raw/master/csl-citation.json"}</w:instrText>
      </w:r>
      <w:r w:rsidR="00EB4EC2" w:rsidRPr="00575912">
        <w:rPr>
          <w:rFonts w:ascii="Times New Roman" w:hAnsi="Times New Roman" w:cs="Times New Roman"/>
          <w:lang w:val="en-GB"/>
        </w:rPr>
        <w:fldChar w:fldCharType="separate"/>
      </w:r>
      <w:r w:rsidR="00EB4EC2" w:rsidRPr="00575912">
        <w:rPr>
          <w:rFonts w:ascii="Times New Roman" w:hAnsi="Times New Roman" w:cs="Times New Roman"/>
          <w:noProof/>
          <w:lang w:val="en-GB"/>
        </w:rPr>
        <w:t>[5]</w:t>
      </w:r>
      <w:r w:rsidR="00EB4EC2" w:rsidRPr="00575912">
        <w:rPr>
          <w:rFonts w:ascii="Times New Roman" w:hAnsi="Times New Roman" w:cs="Times New Roman"/>
          <w:lang w:val="en-GB"/>
        </w:rPr>
        <w:fldChar w:fldCharType="end"/>
      </w:r>
      <w:r w:rsidR="00A77A87" w:rsidRPr="00575912">
        <w:rPr>
          <w:rFonts w:ascii="Times New Roman" w:hAnsi="Times New Roman" w:cs="Times New Roman"/>
          <w:lang w:val="en-GB"/>
        </w:rPr>
        <w:t>.</w:t>
      </w:r>
      <w:r w:rsidR="000E1CAD" w:rsidRPr="00575912">
        <w:rPr>
          <w:rFonts w:ascii="Times New Roman" w:hAnsi="Times New Roman" w:cs="Times New Roman"/>
          <w:lang w:val="en-US"/>
        </w:rPr>
        <w:t xml:space="preserve"> </w:t>
      </w:r>
      <w:r w:rsidR="00080807" w:rsidRPr="00575912">
        <w:rPr>
          <w:rFonts w:ascii="Times New Roman" w:hAnsi="Times New Roman" w:cs="Times New Roman"/>
          <w:lang w:val="en-GB"/>
        </w:rPr>
        <w:t xml:space="preserve">Previous published literature reported </w:t>
      </w:r>
      <w:r w:rsidR="000E1CAD" w:rsidRPr="00575912">
        <w:rPr>
          <w:rFonts w:ascii="Times New Roman" w:hAnsi="Times New Roman" w:cs="Times New Roman"/>
          <w:lang w:val="en-GB"/>
        </w:rPr>
        <w:t xml:space="preserve">that </w:t>
      </w:r>
      <w:r w:rsidR="00080807" w:rsidRPr="00575912">
        <w:rPr>
          <w:rFonts w:ascii="Times New Roman" w:hAnsi="Times New Roman" w:cs="Times New Roman"/>
          <w:lang w:val="en-GB"/>
        </w:rPr>
        <w:t xml:space="preserve">monoarticular form of pseudogout </w:t>
      </w:r>
      <w:r w:rsidR="004356B0" w:rsidRPr="00575912">
        <w:rPr>
          <w:rFonts w:ascii="Times New Roman" w:hAnsi="Times New Roman" w:cs="Times New Roman"/>
          <w:lang w:val="en-GB"/>
        </w:rPr>
        <w:t>is</w:t>
      </w:r>
      <w:r w:rsidR="00080807" w:rsidRPr="00575912">
        <w:rPr>
          <w:rFonts w:ascii="Times New Roman" w:hAnsi="Times New Roman" w:cs="Times New Roman"/>
          <w:lang w:val="en-GB"/>
        </w:rPr>
        <w:t xml:space="preserve"> relatively rare</w:t>
      </w:r>
      <w:r w:rsidR="000E1CAD" w:rsidRPr="00575912">
        <w:rPr>
          <w:rFonts w:ascii="Times New Roman" w:hAnsi="Times New Roman" w:cs="Times New Roman"/>
          <w:lang w:val="en-GB"/>
        </w:rPr>
        <w:t xml:space="preserve"> </w:t>
      </w:r>
      <w:r w:rsidR="000E1CAD"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{"citationItems":[{"id":"ITEM-1","itemData":{"DOI":"10.1155/2015/302389","PMID":"25838961","abstract":"Pseudogout is the acutest form of arthritis in the elderly. Although clinical manifestations vary widely, polyarticular involvement is typical mimicking osteoarthritis or rheumatoid arthritis. Monoarticular involvement is relatively rare and is generally provoked by another medical condition. There are reported cases of hip involvement by pseudogout in monoarticular form. However, all of the cases were presented as septic arthritis. In this report, we present a case of monoarticular hip involvement mimicking soft tissue abscess. We confirmed the pseudogout diagnosis after ultrasonographic evaluation of the involved hip joint and pathological and biochemical analysis of synovial fluid analysis. Diagnosis is important to avoid unnecessary medical and surgical treatment in cases of the bizarre involvement of hip in pseudogout.","author":[{"dropping-particle":"","family":"Kocyigit","given":"Figen","non-dropping-particle":"","parse-names":false,"suffix":""},{"dropping-particle":"","family":"Kuyucu","given":"Ersin","non-dropping-particle":"","parse-names":false,"suffix":""},{"dropping-particle":"","family":"Kocyigit","given":"Ali","non-dropping-particle":"","parse-names":false,"suffix":""}],"container-title":"Case reports in rheumatology","id":"ITEM-1","issued":{"date-parts":[["2015"]]},"page":"302389","title":"Monoarticular hip involvement in pseudogout.","type":"article-journal","volume":"2015"},"uris":["http://www.mendeley.com/documents/?uuid=2bd2118d-5169-341e-8841-ede5a1b3b77e","http://www.mendeley.com/documents/?uuid=9654a901-e693-4bfc-aacb-760e8faadf2f"]}],"mendeley":{"formattedCitation":"[6]","plainTextFormattedCitation":"[6]","previouslyFormattedCitation":"[6]"},"properties":{"noteIndex":0},"schema":"https://github.com/citation-style-language/schema/raw/master/csl-citation.json"}</w:instrText>
      </w:r>
      <w:r w:rsidR="000E1CAD" w:rsidRPr="00575912">
        <w:rPr>
          <w:rFonts w:ascii="Times New Roman" w:hAnsi="Times New Roman" w:cs="Times New Roman"/>
          <w:lang w:val="en-GB"/>
        </w:rPr>
        <w:fldChar w:fldCharType="separate"/>
      </w:r>
      <w:r w:rsidR="000E1CAD" w:rsidRPr="00575912">
        <w:rPr>
          <w:rFonts w:ascii="Times New Roman" w:hAnsi="Times New Roman" w:cs="Times New Roman"/>
          <w:noProof/>
          <w:lang w:val="en-GB"/>
        </w:rPr>
        <w:t>[6]</w:t>
      </w:r>
      <w:r w:rsidR="000E1CAD" w:rsidRPr="00575912">
        <w:rPr>
          <w:rFonts w:ascii="Times New Roman" w:hAnsi="Times New Roman" w:cs="Times New Roman"/>
          <w:lang w:val="en-GB"/>
        </w:rPr>
        <w:fldChar w:fldCharType="end"/>
      </w:r>
      <w:r w:rsidR="00080807" w:rsidRPr="00575912">
        <w:rPr>
          <w:rFonts w:ascii="Times New Roman" w:hAnsi="Times New Roman" w:cs="Times New Roman"/>
          <w:lang w:val="en-GB"/>
        </w:rPr>
        <w:t xml:space="preserve">, </w:t>
      </w:r>
      <w:r w:rsidR="000E1CAD" w:rsidRPr="00575912">
        <w:rPr>
          <w:rFonts w:ascii="Times New Roman" w:hAnsi="Times New Roman" w:cs="Times New Roman"/>
          <w:lang w:val="en-GB"/>
        </w:rPr>
        <w:t>however</w:t>
      </w:r>
      <w:r w:rsidR="005E09DF" w:rsidRPr="00575912">
        <w:rPr>
          <w:rFonts w:ascii="Times New Roman" w:hAnsi="Times New Roman" w:cs="Times New Roman"/>
          <w:lang w:val="en-GB"/>
        </w:rPr>
        <w:t xml:space="preserve"> in a cross-sectional study </w:t>
      </w:r>
      <w:r w:rsidR="006477CE" w:rsidRPr="00575912">
        <w:rPr>
          <w:rFonts w:ascii="Times New Roman" w:hAnsi="Times New Roman" w:cs="Times New Roman"/>
          <w:lang w:val="en-GB"/>
        </w:rPr>
        <w:t xml:space="preserve">investigating 103 patients presenting with crystal induced arthritis it was noted that 59% of </w:t>
      </w:r>
      <w:r w:rsidR="00F834BD" w:rsidRPr="00575912">
        <w:rPr>
          <w:rFonts w:ascii="Times New Roman" w:hAnsi="Times New Roman" w:cs="Times New Roman"/>
          <w:lang w:val="en-GB"/>
        </w:rPr>
        <w:t xml:space="preserve">the </w:t>
      </w:r>
      <w:r w:rsidR="006477CE" w:rsidRPr="00575912">
        <w:rPr>
          <w:rFonts w:ascii="Times New Roman" w:hAnsi="Times New Roman" w:cs="Times New Roman"/>
          <w:lang w:val="en-GB"/>
        </w:rPr>
        <w:t xml:space="preserve">pseudogout cases were </w:t>
      </w:r>
      <w:r w:rsidR="00D75682" w:rsidRPr="00575912">
        <w:rPr>
          <w:rFonts w:ascii="Times New Roman" w:hAnsi="Times New Roman" w:cs="Times New Roman"/>
          <w:lang w:val="en-GB"/>
        </w:rPr>
        <w:t xml:space="preserve">monoarticular </w:t>
      </w:r>
      <w:r w:rsidR="00F90FCF"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{"citationItems":[{"id":"ITEM-1","itemData":{"DOI":"10.1007/s00296-017-3891-2","PMID":"29214345","abstract":"OBJECTIVES To identify independent risk factors that differentiate gout from pseudogout in patients that present with crystal-induced acute arthritis. METHODS This cross-sectional study was conducted at Siriraj Hospital (Bangkok, Thailand) during the 25 May 2014-28 November 2014 study period. Patients who presented with crystal-induced acute arthritis were eligible for inclusion. Diagnosis of gout or pseudogout was made by microscopic visualization and analysis of crystals in synovial fluid. Patients with other causes of acute arthritis were excluded. Patients diagnosed with gout were compared with patients diagnosed with pseudogout and factors with a p value less than 0.05 were included in logistic regression analysis. RESULTS A total of 103 patients were included. Gout and pseudogout were established in 59 (56.7%) and 44 (42.3%) patients, respectively. Gout patients were younger than pseudogout patients (66.9 ± 14.5 vs. 78.9 ± 12.0 years; p = 0.0001); had higher BMI (22.9 ± 2.5 vs. 21.0 ± 2.5 kg/m2; p = 0.001); had history of recurrent arthritis (91.5 vs. 9.1%; p = 0.001); had higher prevalence of below-knee arthritis (66.1 vs. 31.8%; p = 0.001); had less periarticular soft tissue swelling (57.6 vs. 81.8%; p = 0.01); and had hyperuricemia (8.0 ± 2.5 vs. 5.6 ± 2.7; p = 0.001). In adjusted multivariate analysis, hyperuricemia during acute arthritis/gouty attack characterized gout (OR 2.08, 95% CI 1.2-3.6), while monoarticular attack (OR 4.12, 95% CI 1.3-13.0) and periarticular soft tissue swelling (OR 4.03, 95% CI 1.1-14.9) were indications for pseudogout. CONCLUSIONS The independent risk factors were found to differentiate gout from pseudogout: Gout: hyperuricemia during gouty attack; Pseudogout: monoarticular attack and periarticular soft tissue swelling.","author":[{"dropping-particle":"","family":"Muangchan","given":"Chayawee","non-dropping-particle":"","parse-names":false,"suffix":""},{"dropping-particle":"","family":"Bhurihirun","given":"Thitirat","non-dropping-particle":"","parse-names":false,"suffix":""}],"container-title":"Rheumatology international","id":"ITEM-1","issue":"1","issued":{"date-parts":[["2018","1"]]},"page":"89-95","title":"An investigation of the independent risk factors that differentiate gout from pseudogout in patients with crystal-induced acute arthritis: a cross-sectional study.","type":"article-journal","volume":"38"},"uris":["http://www.mendeley.com/documents/?uuid=9b9fedac-2acf-3e5f-932f-69feec84843c","http://www.mendeley.com/documents/?uuid=516ea266-be62-4512-baeb-fc1d948d97f7"]}],"mendeley":{"formattedCitation":"[7]","plainTextFormattedCitation":"[7]","previouslyFormattedCitation":"[7]"},"properties":{"noteIndex":0},"schema":"https://github.com/citation-style-language/schema/raw/master/csl-citation.json"}</w:instrText>
      </w:r>
      <w:r w:rsidR="00F90FCF" w:rsidRPr="00575912">
        <w:rPr>
          <w:rFonts w:ascii="Times New Roman" w:hAnsi="Times New Roman" w:cs="Times New Roman"/>
          <w:lang w:val="en-GB"/>
        </w:rPr>
        <w:fldChar w:fldCharType="separate"/>
      </w:r>
      <w:r w:rsidR="000E1CAD" w:rsidRPr="00575912">
        <w:rPr>
          <w:rFonts w:ascii="Times New Roman" w:hAnsi="Times New Roman" w:cs="Times New Roman"/>
          <w:noProof/>
          <w:lang w:val="en-GB"/>
        </w:rPr>
        <w:t>[7]</w:t>
      </w:r>
      <w:r w:rsidR="00F90FCF" w:rsidRPr="00575912">
        <w:rPr>
          <w:rFonts w:ascii="Times New Roman" w:hAnsi="Times New Roman" w:cs="Times New Roman"/>
          <w:lang w:val="en-GB"/>
        </w:rPr>
        <w:fldChar w:fldCharType="end"/>
      </w:r>
      <w:r w:rsidR="004A1950" w:rsidRPr="00575912">
        <w:rPr>
          <w:rFonts w:ascii="Times New Roman" w:hAnsi="Times New Roman" w:cs="Times New Roman"/>
          <w:lang w:val="en-GB"/>
        </w:rPr>
        <w:t>.</w:t>
      </w:r>
      <w:r w:rsidR="009C5BA5" w:rsidRPr="00575912">
        <w:rPr>
          <w:rFonts w:ascii="Times New Roman" w:hAnsi="Times New Roman" w:cs="Times New Roman"/>
          <w:lang w:val="en-US"/>
        </w:rPr>
        <w:t xml:space="preserve"> Other causes include </w:t>
      </w:r>
      <w:r w:rsidR="009C5BA5" w:rsidRPr="00575912">
        <w:rPr>
          <w:rFonts w:ascii="Times New Roman" w:hAnsi="Times New Roman" w:cs="Times New Roman"/>
          <w:lang w:val="en-GB"/>
        </w:rPr>
        <w:t>infections</w:t>
      </w:r>
      <w:r w:rsidRPr="00575912">
        <w:rPr>
          <w:rFonts w:ascii="Times New Roman" w:hAnsi="Times New Roman" w:cs="Times New Roman"/>
          <w:lang w:val="en-GB"/>
        </w:rPr>
        <w:t xml:space="preserve"> </w:t>
      </w:r>
      <w:r w:rsidR="009C5BA5" w:rsidRPr="00575912">
        <w:rPr>
          <w:rFonts w:ascii="Times New Roman" w:hAnsi="Times New Roman" w:cs="Times New Roman"/>
          <w:lang w:val="en-GB"/>
        </w:rPr>
        <w:t>such as</w:t>
      </w:r>
      <w:r w:rsidRPr="00575912">
        <w:rPr>
          <w:rFonts w:ascii="Times New Roman" w:hAnsi="Times New Roman" w:cs="Times New Roman"/>
          <w:lang w:val="en-GB"/>
        </w:rPr>
        <w:t xml:space="preserve"> bacteria, viruses, fungus, and </w:t>
      </w:r>
      <w:r w:rsidR="00575912" w:rsidRPr="00575912">
        <w:rPr>
          <w:rFonts w:ascii="Times New Roman" w:hAnsi="Times New Roman" w:cs="Times New Roman"/>
          <w:lang w:val="en-GB"/>
        </w:rPr>
        <w:t>Lyme</w:t>
      </w:r>
      <w:r w:rsidRPr="00575912">
        <w:rPr>
          <w:rFonts w:ascii="Times New Roman" w:hAnsi="Times New Roman" w:cs="Times New Roman"/>
          <w:lang w:val="en-GB"/>
        </w:rPr>
        <w:t xml:space="preserve"> disease</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One of the most common and serious infectious causes of a hot swollen joint includes septic arthritis</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10.1111/ijcp.12580","ISBN":"1368-5031","ISSN":"17421241","PMID":"25650874","author":[{"dropping-particle":"","family":"Farah","given":"Z","non-dropping-particle":"","parse-names":false,"suffix":""},{"dropping-particle":"","family":"Reddy","given":"V","non-dropping-particle":"","parse-names":false,"suffix":""},{"dropping-particle":"","family":"Matthews","given":"W","non-dropping-particle":"","parse-names":false,"suffix":""},{"dropping-particle":"","family":"Giles","given":"I","non-dropping-particle":"","parse-names":false,"suffix":""}],"id":"ITEM-1","issue":"5","issued":{"date-parts":[["2015","5"]]},"title":"Poor adherence to guidelines on early management of acute hot swollen joint(s): an evaluation of clinical practice and implications for training.","type":"article-journal","volume":"69"},"uris":["http://www.mendeley.com/documents/?uuid=c63ff3c9-7f7c-4337-90b3-7ac2c9cdcd1e"]},{"id":"ITEM-2","itemData":{"DOI":"10.1503/cmaj.080183","ISBN":"0820-3946,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Journal","id":"ITEM-2","issue":"1","issued":{"date-parts":[["2009","1","6"]]},"page":"59-65","title":"Acute monoarthritis: What is the cause of my patient's painful swollen joint?","type":"article","volume":"180"},"uris":["http://www.mendeley.com/documents/?uuid=9f5835c1-f19f-4460-bda9-7babbc46f5ea","http://www.mendeley.com/documents/?uuid=aa951d84-8810-3d73-bfe7-4dbf342c08a5"]},{"id":"ITEM-3","itemData":{"DOI":"10.1097/MEJ.0b013e328348d8f8","ISBN":"0969-9546","ISSN":"0969-9546","PMID":"21730866","author":[{"dropping-particle":"","family":"Reed","given":"Matthew J","non-dropping-particle":"","parse-names":false,"suffix":""},{"dropping-particle":"","family":"Carachi","given":"Andrew","non-dropping-particle":"","parse-names":false,"suffix":""}],"container-title":"European Journal of Emergency Medicine","id":"ITEM-3","issue":"2","issued":{"date-parts":[["2012","4"]]},"page":"103-107","publisher":"Wolters Kluwer Health | Lippincott Williams &amp; Wilkins","title":"Management of the nontraumatic hot swollen joint","type":"article-journal","volume":"19"},"uris":["http://www.mendeley.com/documents/?uuid=d0603ca1-1cc5-4413-92c7-995065c08eb8"]},{"id":"ITEM-4","itemData":{"ISSN":"1532-0650","PMID":"27929277","abstract":"Acute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physician","id":"ITEM-4","issue":"10","issued":{"date-parts":[["2016","11","15"]]},"page":"810-816","title":"Acute Monoarthritis: Diagnosis in Adults.","type":"article-journal","volume":"94"},"uris":["http://www.mendeley.com/documents/?uuid=ed83af49-03bf-45de-8d71-424259024d51"]}],"mendeley":{"formattedCitation":"[1]–[3], [8]","plainTextFormattedCitation":"[1]–[3], [8]","previouslyFormattedCitation":"[1]–[3], [8]"},"properties":{"noteIndex":0},"schema":"https://github.com/citation-style-language/schema/raw/master/csl-citation.json"}</w:instrText>
      </w:r>
      <w:r w:rsidRPr="00575912">
        <w:rPr>
          <w:rFonts w:ascii="Times New Roman" w:hAnsi="Times New Roman" w:cs="Times New Roman"/>
          <w:lang w:val="en-GB"/>
        </w:rPr>
        <w:fldChar w:fldCharType="separate"/>
      </w:r>
      <w:r w:rsidR="000E1CAD" w:rsidRPr="00575912">
        <w:rPr>
          <w:rFonts w:ascii="Times New Roman" w:hAnsi="Times New Roman" w:cs="Times New Roman"/>
          <w:noProof/>
          <w:lang w:val="en-GB"/>
        </w:rPr>
        <w:t>[1]–[3], [8]</w:t>
      </w:r>
      <w:r w:rsidRPr="00575912">
        <w:rPr>
          <w:rFonts w:ascii="Times New Roman" w:hAnsi="Times New Roman" w:cs="Times New Roman"/>
          <w:lang w:val="en-GB"/>
        </w:rPr>
        <w:fldChar w:fldCharType="end"/>
      </w:r>
      <w:r w:rsidRPr="00575912">
        <w:rPr>
          <w:rFonts w:ascii="Times New Roman" w:hAnsi="Times New Roman" w:cs="Times New Roman"/>
          <w:lang w:val="en-GB"/>
        </w:rPr>
        <w:t>.</w:t>
      </w:r>
      <w:bookmarkEnd w:id="3"/>
      <w:r w:rsidRPr="00575912">
        <w:rPr>
          <w:rFonts w:ascii="Times New Roman" w:hAnsi="Times New Roman" w:cs="Times New Roman"/>
          <w:lang w:val="en-GB"/>
        </w:rPr>
        <w:t xml:space="preserve"> Its incidence is 2–10 cases per 100,000, and if undiagnosed it could result in bacteraemia, sepsis, joint degeneration eventually leading to total joint arthroplasty or even death</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{"citationItems":[{"id":"ITEM-1","itemData":{"DOI":"10.1097/MEJ.0b013e328348d8f8","ISBN":"0969-9546","ISSN":"0969-9546","PMID":"21730866","author":[{"dropping-particle":"","family":"Reed","given":"Matthew J","non-dropping-particle":"","parse-names":false,"suffix":""},{"dropping-particle":"","family":"Carachi","given":"Andrew","non-dropping-particle":"","parse-names":false,"suffix":""}],"container-title":"European Journal of Emergency Medicine","id":"ITEM-1","issue":"2","issued":{"date-parts":[["2012","4"]]},"page":"103-107","publisher":"Wolters Kluwer Health | Lippincott Williams &amp; Wilkins","title":"Management of the nontraumatic hot swollen joint","type":"article-journal","volume":"19"},"uris":["http://www.mendeley.com/documents/?uuid=d0603ca1-1cc5-4413-92c7-995065c08eb8"]}],"mendeley":{"formattedCitation":"[2]","plainTextFormattedCitation":"[2]","previouslyFormattedCitation":"[2]"},"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[2]</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bookmarkStart w:id="4" w:name="_Hlk529638339"/>
      <w:r w:rsidRPr="00575912">
        <w:rPr>
          <w:rFonts w:ascii="Times New Roman" w:hAnsi="Times New Roman" w:cs="Times New Roman"/>
          <w:lang w:val="en-GB"/>
        </w:rPr>
        <w:t>Non-infectious causes include the spectrum of diseases leading to internal joint degeneration; these include osteoarthritis, rheumatoid arthritis, and trauma</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Despite this long list of potential causes of acute hot swollen joints, the most commonly encountered diagnoses are crystal arthritis, septic arthritis and reactive arthritis</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10.1111/ijcp.12580","ISBN":"1368-5031","ISSN":"17421241","PMID":"25650874","author":[{"dropping-particle":"","family":"Farah","given":"Z","non-dropping-particle":"","parse-names":false,"suffix":""},{"dropping-particle":"","family":"Reddy","given":"V","non-dropping-particle":"","parse-names":false,"suffix":""},{"dropping-particle":"","family":"Matthews","given":"W","non-dropping-particle":"","parse-names":false,"suffix":""},{"dropping-particle":"","family":"Giles","given":"I","non-dropping-particle":"","parse-names":false,"suffix":""}],"id":"ITEM-1","issue":"5","issued":{"date-parts":[["2015","5"]]},"title":"Poor adherence to guidelines on early management of acute hot swollen joint(s): an evaluation of clinical practice and implications for training.","type":"article-journal","volume":"69"},"uris":["http://www.mendeley.com/documents/?uuid=c63ff3c9-7f7c-4337-90b3-7ac2c9cdcd1e"]}],"mendeley":{"formattedCitation":"[8]","plainTextFormattedCitation":"[8]","previouslyFormattedCitation":"[8]"},"properties":{"noteIndex":0},"schema":"https://github.com/citation-style-language/schema/raw/master/csl-citation.json"}</w:instrText>
      </w:r>
      <w:r w:rsidRPr="00575912">
        <w:rPr>
          <w:rFonts w:ascii="Times New Roman" w:hAnsi="Times New Roman" w:cs="Times New Roman"/>
          <w:lang w:val="en-GB"/>
        </w:rPr>
        <w:fldChar w:fldCharType="separate"/>
      </w:r>
      <w:r w:rsidR="000E1CAD" w:rsidRPr="00575912">
        <w:rPr>
          <w:rFonts w:ascii="Times New Roman" w:hAnsi="Times New Roman" w:cs="Times New Roman"/>
          <w:noProof/>
          <w:lang w:val="en-GB"/>
        </w:rPr>
        <w:t>[8]</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p>
    <w:bookmarkEnd w:id="4"/>
    <w:p w14:paraId="77766068" w14:textId="7ED0E40B" w:rsidR="008F50A4" w:rsidRPr="00575912" w:rsidRDefault="008F50A4" w:rsidP="008F50A4">
      <w:pPr>
        <w:widowControl w:val="0"/>
        <w:autoSpaceDE w:val="0"/>
        <w:autoSpaceDN w:val="0"/>
        <w:adjustRightInd w:val="0"/>
        <w:spacing w:after="240" w:line="360" w:lineRule="auto"/>
        <w:jc w:val="both"/>
        <w:rPr>
          <w:rFonts w:ascii="Times New Roman" w:hAnsi="Times New Roman" w:cs="Times New Roman"/>
          <w:lang w:val="en-GB"/>
        </w:rPr>
      </w:pPr>
      <w:r w:rsidRPr="00575912">
        <w:rPr>
          <w:rFonts w:ascii="Times New Roman" w:hAnsi="Times New Roman" w:cs="Times New Roman"/>
          <w:lang w:val="en-GB"/>
        </w:rPr>
        <w:t xml:space="preserve">Proper management of a hot swollen joint is crucial </w:t>
      </w:r>
      <w:r w:rsidRPr="00575912">
        <w:rPr>
          <w:rFonts w:ascii="Times New Roman" w:hAnsi="Times New Roman" w:cs="Times New Roman"/>
          <w:lang w:val="en-GB"/>
        </w:rPr>
        <w:t>given the clinical consequences of a misdiagnosis. The initial approach should involve the completion of both a detailed history and a physical examination</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bookmarkStart w:id="5" w:name="_Hlk529640460"/>
      <w:r w:rsidRPr="00575912">
        <w:rPr>
          <w:rFonts w:ascii="Times New Roman" w:hAnsi="Times New Roman" w:cs="Times New Roman"/>
          <w:lang w:val="en-GB"/>
        </w:rPr>
        <w:t>The history should include a review of systems, current medications and comorbidities. However, in this setting it is necessary for the history to include an extensive review of certain risk factors such as previous joint disease or surgery, recent trauma, family history of crystal related diseases or joint diseases</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In addition, sexual, diet, and travel history are very important in this presentation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Additionally, tick bites, alcohol use, intravenous drug use, and an occupational assessment can aid in guiding the diagnosis and management of the patient</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p>
    <w:bookmarkEnd w:id="5"/>
    <w:p w14:paraId="135D72FD" w14:textId="668749D1" w:rsidR="008F50A4" w:rsidRPr="00575912" w:rsidRDefault="008F50A4" w:rsidP="008F50A4">
      <w:pPr>
        <w:widowControl w:val="0"/>
        <w:autoSpaceDE w:val="0"/>
        <w:autoSpaceDN w:val="0"/>
        <w:adjustRightInd w:val="0"/>
        <w:spacing w:after="240" w:line="360" w:lineRule="auto"/>
        <w:jc w:val="both"/>
        <w:rPr>
          <w:rFonts w:ascii="Times New Roman" w:hAnsi="Times New Roman" w:cs="Times New Roman"/>
          <w:lang w:val="en-GB"/>
        </w:rPr>
      </w:pPr>
      <w:r w:rsidRPr="00575912">
        <w:rPr>
          <w:rFonts w:ascii="Times New Roman" w:hAnsi="Times New Roman" w:cs="Times New Roman"/>
          <w:lang w:val="en-GB"/>
        </w:rPr>
        <w:t>Multiple diagnostic modalities have been used to assist in investigating a hot swollen joint. The tests include a complete blood count, erythrocyte sedimentation rate (ESR), C-reactive protein (CRP), and uric acid level</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Also, radiographs of the involved joint, and synovial fluid analysis of the cell count and differential, white blood cell count, gram stain, cultures, and crystal evaluation should be performed</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{"citationItems":[{"id":"ITEM-1","itemData":{"DOI":"10.1503/cmaj.080183","ISBN":"0820-3946, 1488-2329","ISSN":"14882329","PMID":"19124791","abstract":"Key points Most common causes of acute monoarthritis: • Gout • Septic arthritis • Rheumatoid arthritis Initial clinical approach for acute monoarthritis: • History and physical examination • Radiography of affected and contralateral joints • Analysis of synovial fluid (gross appearance, crystals, cell count, Gram staining and culture) Important findings in the diagnosis of gout: • Presence of monosodium urate crystals, detected by polarized microscopy • Presence of tophi Important early findings in the diagnosis of septic arthritis: • Leukocyte count in synovial fluid &gt; 50.0 × 109/L • 90% polymorphonuclear cells in the synovial fluid • History of recent joint injury • Presence of overlying skin infection in person with prosthetic hip or knee","author":[{"dropping-particle":"","family":"Ma","given":"Lingling","non-dropping-particle":"","parse-names":false,"suffix":""},{"dropping-particle":"","family":"Cranney","given":"Ann","non-dropping-particle":"","parse-names":false,"suffix":""},{"dropping-particle":"","family":"Holroyd-Leduc","given":"Jayna M.","non-dropping-particle":"","parse-names":false,"suffix":""}],"container-title":"Canadian Medical Association Journal","id":"ITEM-1","issue":"1","issued":{"date-parts":[["2009","1","6"]]},"page":"59-65","title":"Acute monoarthritis: What is the cause of my patient's painful swollen joint?","type":"article","volume":"180"},"uris":["http://www.mendeley.com/documents/?uuid=9f5835c1-f19f-4460-bda9-7babbc46f5ea","http://www.mendeley.com/documents/?uuid=aa951d84-8810-3d73-bfe7-4dbf342c08a5"]}],"mendeley":{"formattedCitation":"[1]","plainTextFormattedCitation":"[1]","previouslyFormattedCitation":"[1]"},"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[1]</w:t>
      </w:r>
      <w:r w:rsidRPr="00575912">
        <w:rPr>
          <w:rFonts w:ascii="Times New Roman" w:hAnsi="Times New Roman" w:cs="Times New Roman"/>
          <w:lang w:val="en-GB"/>
        </w:rPr>
        <w:fldChar w:fldCharType="end"/>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The gram-stain results aid in the primary antibiotic choice, and the analysis of synovial fluid may be helpful in quickly discriminating inflammatory causes from non-inflammatory causes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w:t>
      </w:r>
    </w:p>
    <w:p w14:paraId="03111B79" w14:textId="77777777" w:rsidR="008F50A4" w:rsidRPr="00575912" w:rsidRDefault="008F50A4" w:rsidP="008F50A4">
      <w:pPr>
        <w:widowControl w:val="0"/>
        <w:autoSpaceDE w:val="0"/>
        <w:autoSpaceDN w:val="0"/>
        <w:adjustRightInd w:val="0"/>
        <w:spacing w:after="240" w:line="360" w:lineRule="auto"/>
        <w:jc w:val="both"/>
        <w:rPr>
          <w:rFonts w:ascii="Times New Roman" w:hAnsi="Times New Roman" w:cs="Times New Roman"/>
          <w:b/>
          <w:lang w:val="en-GB"/>
        </w:rPr>
      </w:pPr>
      <w:r w:rsidRPr="00575912">
        <w:rPr>
          <w:rFonts w:ascii="Times New Roman" w:hAnsi="Times New Roman" w:cs="Times New Roman"/>
          <w:lang w:val="en-GB"/>
        </w:rPr>
        <w:t>The aim of this study was to retrospectively analyse the patients presented to both ED and clinics with a hot, swollen joint.</w:t>
      </w:r>
    </w:p>
    <w:p w14:paraId="42578FFA"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bCs/>
          <w:lang w:val="en-US"/>
        </w:rPr>
        <w:t>2. MATERIALS AND METHOD</w:t>
      </w:r>
    </w:p>
    <w:p w14:paraId="343B4B4E"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lang w:val="en-GB"/>
        </w:rPr>
        <w:t xml:space="preserve">2.1. Study characteristic </w:t>
      </w:r>
    </w:p>
    <w:p w14:paraId="61C4C5E0" w14:textId="77777777" w:rsidR="008F50A4" w:rsidRPr="00575912" w:rsidRDefault="008F50A4" w:rsidP="008F50A4">
      <w:pPr>
        <w:spacing w:line="360" w:lineRule="auto"/>
        <w:jc w:val="both"/>
        <w:rPr>
          <w:rFonts w:ascii="Times New Roman" w:hAnsi="Times New Roman" w:cs="Times New Roman"/>
          <w:lang w:val="en-GB"/>
        </w:rPr>
      </w:pPr>
      <w:bookmarkStart w:id="6" w:name="_Hlk529638580"/>
      <w:r w:rsidRPr="00575912">
        <w:rPr>
          <w:rFonts w:ascii="Times New Roman" w:hAnsi="Times New Roman" w:cs="Times New Roman"/>
          <w:lang w:val="en-GB"/>
        </w:rPr>
        <w:t xml:space="preserve">After obtaining institutional trust approval, we retrospectively evaluated all of the patients that presented to the emergency department or clinics at one single centre (Addenbrooke’s Hospital, Cambridge University Hospital, Cambridge UK) between May 2018 and July 2018. N=48 patients were recruited </w:t>
      </w:r>
      <w:r w:rsidRPr="00575912">
        <w:rPr>
          <w:rFonts w:ascii="Times New Roman" w:hAnsi="Times New Roman" w:cs="Times New Roman"/>
          <w:lang w:val="en-GB"/>
        </w:rPr>
        <w:lastRenderedPageBreak/>
        <w:t>through a retrospective medical registry analysis. Ultimately, N=36 patients (22 males, 14 females) met inclusion criteria.</w:t>
      </w:r>
      <w:bookmarkEnd w:id="6"/>
      <w:r w:rsidRPr="00575912">
        <w:rPr>
          <w:rFonts w:ascii="Times New Roman" w:hAnsi="Times New Roman" w:cs="Times New Roman"/>
          <w:lang w:val="en-GB"/>
        </w:rPr>
        <w:t xml:space="preserve"> All the patients were clinically and radiologically assessed and then underwent aseptic joint aspiration for microbiological and cytological investigations. Data included in the study were collected from the NHS Addenbrooke’s registry database. </w:t>
      </w:r>
      <w:bookmarkStart w:id="7" w:name="_Hlk529639377"/>
      <w:r w:rsidRPr="00575912">
        <w:rPr>
          <w:rFonts w:ascii="Times New Roman" w:hAnsi="Times New Roman" w:cs="Times New Roman"/>
          <w:lang w:val="en-GB"/>
        </w:rPr>
        <w:t xml:space="preserve">When the information was inaccurate, the records of the senior investigator were evaluated. </w:t>
      </w:r>
      <w:r w:rsidRPr="00575912">
        <w:rPr>
          <w:rFonts w:ascii="Times New Roman" w:hAnsi="Times New Roman" w:cs="Times New Roman"/>
          <w:lang w:val="en-GB"/>
        </w:rPr>
        <w:tab/>
      </w:r>
    </w:p>
    <w:bookmarkEnd w:id="7"/>
    <w:p w14:paraId="54E81AB5" w14:textId="77777777" w:rsidR="008F50A4" w:rsidRPr="00575912" w:rsidRDefault="008F50A4" w:rsidP="008F50A4">
      <w:pPr>
        <w:spacing w:line="360" w:lineRule="auto"/>
        <w:jc w:val="both"/>
        <w:rPr>
          <w:rFonts w:ascii="Times New Roman" w:hAnsi="Times New Roman" w:cs="Times New Roman"/>
          <w:lang w:val="en-GB"/>
        </w:rPr>
      </w:pPr>
    </w:p>
    <w:p w14:paraId="67558704"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lang w:val="en-GB"/>
        </w:rPr>
        <w:t xml:space="preserve">2.2. Selection criteria </w:t>
      </w:r>
    </w:p>
    <w:p w14:paraId="5729888E" w14:textId="77777777" w:rsidR="008F50A4" w:rsidRPr="00575912" w:rsidRDefault="008F50A4" w:rsidP="008F50A4">
      <w:pPr>
        <w:spacing w:line="360" w:lineRule="auto"/>
        <w:jc w:val="both"/>
        <w:rPr>
          <w:rFonts w:ascii="Times New Roman" w:hAnsi="Times New Roman" w:cs="Times New Roman"/>
          <w:lang w:val="en-GB"/>
        </w:rPr>
      </w:pPr>
      <w:bookmarkStart w:id="8" w:name="_Hlk529638604"/>
      <w:r w:rsidRPr="00575912">
        <w:rPr>
          <w:rFonts w:ascii="Times New Roman" w:hAnsi="Times New Roman" w:cs="Times New Roman"/>
          <w:lang w:val="en-GB"/>
        </w:rPr>
        <w:t>Inclusion criteria: patients presenting with a hot, swollen joint to the ED or electively to the clinic. Exclusion criteria: patients with joint prostheses or other metal implants (plates, wires, screws etc) in the joint. The diagnosis of the included patients was confirmed by an experienced orthopaedic surgeon or by a rheumatologist</w:t>
      </w:r>
      <w:bookmarkEnd w:id="8"/>
      <w:r w:rsidRPr="00575912">
        <w:rPr>
          <w:rFonts w:ascii="Times New Roman" w:hAnsi="Times New Roman" w:cs="Times New Roman"/>
          <w:lang w:val="en-GB"/>
        </w:rPr>
        <w:t xml:space="preserve">. Plain radiographs were used to exclude alternative causes of joint pain such as fractures, soft tissues trauma and osteoarthritis. </w:t>
      </w:r>
    </w:p>
    <w:p w14:paraId="6F68A333" w14:textId="77777777" w:rsidR="008F50A4" w:rsidRPr="00575912" w:rsidRDefault="008F50A4" w:rsidP="008F50A4">
      <w:pPr>
        <w:spacing w:line="360" w:lineRule="auto"/>
        <w:jc w:val="both"/>
        <w:rPr>
          <w:rFonts w:ascii="Times New Roman" w:hAnsi="Times New Roman" w:cs="Times New Roman"/>
          <w:lang w:val="en-GB"/>
        </w:rPr>
      </w:pPr>
    </w:p>
    <w:p w14:paraId="1C49BFC9"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b/>
          <w:lang w:val="en-GB"/>
        </w:rPr>
        <w:t>2.3. Joint Aspiration and management</w:t>
      </w:r>
    </w:p>
    <w:p w14:paraId="544F36FE" w14:textId="77777777" w:rsidR="008F50A4" w:rsidRPr="00575912" w:rsidRDefault="008F50A4" w:rsidP="008F50A4">
      <w:pPr>
        <w:spacing w:line="360" w:lineRule="auto"/>
        <w:jc w:val="both"/>
        <w:rPr>
          <w:rFonts w:ascii="Times New Roman" w:hAnsi="Times New Roman" w:cs="Times New Roman"/>
          <w:lang w:val="en-GB"/>
        </w:rPr>
      </w:pPr>
      <w:bookmarkStart w:id="9" w:name="_Hlk529638655"/>
      <w:bookmarkStart w:id="10" w:name="_Hlk529639244"/>
      <w:r w:rsidRPr="00575912">
        <w:rPr>
          <w:rFonts w:ascii="Times New Roman" w:hAnsi="Times New Roman" w:cs="Times New Roman"/>
          <w:lang w:val="en-GB"/>
        </w:rPr>
        <w:t>All of the patients underwent aseptic joint aspiration. The appropriate needle was used depending on the joint involved (range 18 to 24 gauge). Synovial fluid collected was sent for microbiological and cytological investigation.</w:t>
      </w:r>
      <w:bookmarkEnd w:id="9"/>
      <w:r w:rsidRPr="00575912">
        <w:rPr>
          <w:rFonts w:ascii="Times New Roman" w:hAnsi="Times New Roman" w:cs="Times New Roman"/>
          <w:lang w:val="en-GB"/>
        </w:rPr>
        <w:t xml:space="preserve"> When the analysis of the fluid was associated with an infection, empiric antibiotic therapy was initiated according to the hospital guidelines.</w:t>
      </w:r>
      <w:bookmarkEnd w:id="10"/>
    </w:p>
    <w:p w14:paraId="7DFD9838" w14:textId="77777777" w:rsidR="008F50A4" w:rsidRPr="00575912" w:rsidRDefault="008F50A4" w:rsidP="008F50A4">
      <w:pPr>
        <w:spacing w:line="360" w:lineRule="auto"/>
        <w:jc w:val="both"/>
        <w:rPr>
          <w:rFonts w:ascii="Times New Roman" w:hAnsi="Times New Roman" w:cs="Times New Roman"/>
          <w:b/>
          <w:lang w:val="en-GB"/>
        </w:rPr>
      </w:pPr>
    </w:p>
    <w:p w14:paraId="04C59668"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lang w:val="en-GB"/>
        </w:rPr>
        <w:t>2.4. Statistical Methods and analysis</w:t>
      </w:r>
    </w:p>
    <w:p w14:paraId="2B27C336"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All statistical analyses were performed with SPSS software (version 17.0; IBM, Armonk, NY). Quantitative variables were presented as mean, standard deviation or median and interquartile range. </w:t>
      </w:r>
      <w:bookmarkStart w:id="11" w:name="_Hlk529638763"/>
      <w:r w:rsidRPr="00575912">
        <w:rPr>
          <w:rFonts w:ascii="Times New Roman" w:hAnsi="Times New Roman" w:cs="Times New Roman"/>
          <w:lang w:val="en-GB"/>
        </w:rPr>
        <w:t xml:space="preserve">We analysed the association between the quantitative variables involving the demographic characteristics of the patients and the final clinical diagnosis. In order to </w:t>
      </w:r>
      <w:r w:rsidRPr="00575912">
        <w:rPr>
          <w:rFonts w:ascii="Times New Roman" w:hAnsi="Times New Roman" w:cs="Times New Roman"/>
          <w:lang w:val="en-GB"/>
        </w:rPr>
        <w:t>assess the correlation of the quantitative data with the final diagnosis, a Pearson correlation test was done. Due to the limited sample differences only results with a P &lt; 0.001 were considered statistically significant.</w:t>
      </w:r>
    </w:p>
    <w:bookmarkEnd w:id="11"/>
    <w:p w14:paraId="2F78C7A2" w14:textId="77777777" w:rsidR="008F50A4" w:rsidRPr="00575912" w:rsidRDefault="008F50A4" w:rsidP="008F50A4">
      <w:pPr>
        <w:spacing w:line="360" w:lineRule="auto"/>
        <w:jc w:val="both"/>
        <w:rPr>
          <w:rFonts w:ascii="Times New Roman" w:hAnsi="Times New Roman" w:cs="Times New Roman"/>
          <w:b/>
          <w:lang w:val="en-GB"/>
        </w:rPr>
      </w:pPr>
    </w:p>
    <w:p w14:paraId="478F6399"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bCs/>
          <w:lang w:val="en-US"/>
        </w:rPr>
        <w:t xml:space="preserve">4. RESULTS </w:t>
      </w:r>
    </w:p>
    <w:p w14:paraId="62ECC4F0" w14:textId="4C310405" w:rsidR="008F50A4" w:rsidRPr="00575912" w:rsidRDefault="008F50A4" w:rsidP="008F50A4">
      <w:pPr>
        <w:spacing w:line="360" w:lineRule="auto"/>
        <w:jc w:val="both"/>
        <w:rPr>
          <w:rFonts w:ascii="Times New Roman" w:hAnsi="Times New Roman" w:cs="Times New Roman"/>
          <w:lang w:val="en-GB"/>
        </w:rPr>
      </w:pPr>
      <w:bookmarkStart w:id="12" w:name="_Hlk529638697"/>
      <w:bookmarkStart w:id="13" w:name="_Hlk529639291"/>
      <w:r w:rsidRPr="00575912">
        <w:rPr>
          <w:rFonts w:ascii="Times New Roman" w:hAnsi="Times New Roman" w:cs="Times New Roman"/>
          <w:lang w:val="en-GB" w:eastAsia="en-GB"/>
        </w:rPr>
        <w:t>We included 36 (22 M, 14 F) patients that presented with a hot, swollen joint to the ED and elective clinics</w:t>
      </w:r>
      <w:bookmarkEnd w:id="12"/>
      <w:r w:rsidRPr="00575912">
        <w:rPr>
          <w:rFonts w:ascii="Times New Roman" w:hAnsi="Times New Roman" w:cs="Times New Roman"/>
          <w:lang w:val="en-GB" w:eastAsia="en-GB"/>
        </w:rPr>
        <w:t xml:space="preserve"> over three months (May 2018 – July 2018). </w:t>
      </w:r>
      <w:bookmarkStart w:id="14" w:name="_Hlk529638718"/>
      <w:r w:rsidRPr="00575912">
        <w:rPr>
          <w:rFonts w:ascii="Times New Roman" w:hAnsi="Times New Roman" w:cs="Times New Roman"/>
          <w:lang w:val="en-GB" w:eastAsia="en-GB"/>
        </w:rPr>
        <w:t xml:space="preserve">Mean age was 72.8 ± 17.4, 18 patients presented to the clinics and 18 to ED. </w:t>
      </w:r>
      <w:r w:rsidRPr="00575912">
        <w:rPr>
          <w:rFonts w:ascii="Times New Roman" w:hAnsi="Times New Roman" w:cs="Times New Roman"/>
          <w:lang w:val="en-GB"/>
        </w:rPr>
        <w:t xml:space="preserve">Patients presenting to the ED typically complained of acute progressive joint pain. Patients presenting to the clinic usually reported episodic joint pain for the past 12 months. </w:t>
      </w:r>
      <w:r w:rsidRPr="00575912">
        <w:rPr>
          <w:rFonts w:ascii="Times New Roman" w:hAnsi="Times New Roman" w:cs="Times New Roman"/>
          <w:lang w:val="en-GB" w:eastAsia="en-GB"/>
        </w:rPr>
        <w:t>Each patient was initially clinically assessed then underwent imaging, blood test, and synovial fluid investigations</w:t>
      </w:r>
      <w:bookmarkEnd w:id="14"/>
      <w:r w:rsidRPr="00575912">
        <w:rPr>
          <w:rFonts w:ascii="Times New Roman" w:hAnsi="Times New Roman" w:cs="Times New Roman"/>
          <w:lang w:val="en-GB" w:eastAsia="en-GB"/>
        </w:rPr>
        <w:t xml:space="preserve">. </w:t>
      </w:r>
      <w:r w:rsidRPr="00575912">
        <w:rPr>
          <w:rFonts w:ascii="Times New Roman" w:hAnsi="Times New Roman" w:cs="Times New Roman"/>
          <w:lang w:val="en-GB"/>
        </w:rPr>
        <w:t xml:space="preserve">On </w:t>
      </w:r>
      <w:r w:rsidR="003675A9">
        <w:rPr>
          <w:rFonts w:ascii="Times New Roman" w:hAnsi="Times New Roman" w:cs="Times New Roman"/>
          <w:lang w:val="en-GB"/>
        </w:rPr>
        <w:t xml:space="preserve">physical </w:t>
      </w:r>
      <w:r w:rsidRPr="00575912">
        <w:rPr>
          <w:rFonts w:ascii="Times New Roman" w:hAnsi="Times New Roman" w:cs="Times New Roman"/>
          <w:lang w:val="en-GB"/>
        </w:rPr>
        <w:t>examination, a painful passive and active range of movement (ROM) was found. The joint involved was erythematous, swollen and tender.</w:t>
      </w:r>
      <w:r w:rsidRPr="00575912">
        <w:rPr>
          <w:rFonts w:ascii="Times New Roman" w:hAnsi="Times New Roman" w:cs="Times New Roman"/>
          <w:b/>
          <w:lang w:val="en-GB"/>
        </w:rPr>
        <w:t xml:space="preserve"> </w:t>
      </w:r>
      <w:r w:rsidRPr="00575912">
        <w:rPr>
          <w:rFonts w:ascii="Tahoma" w:hAnsi="Tahoma" w:cs="Tahoma"/>
          <w:b/>
          <w:lang w:val="en-GB"/>
        </w:rPr>
        <w:t>﻿</w:t>
      </w:r>
      <w:r w:rsidRPr="00575912">
        <w:rPr>
          <w:rFonts w:ascii="Times New Roman" w:hAnsi="Times New Roman" w:cs="Times New Roman"/>
          <w:b/>
          <w:lang w:val="en-GB"/>
        </w:rPr>
        <w:t xml:space="preserve"> </w:t>
      </w:r>
      <w:bookmarkStart w:id="15" w:name="_Hlk529638749"/>
      <w:r w:rsidRPr="00575912">
        <w:rPr>
          <w:rFonts w:ascii="Times New Roman" w:hAnsi="Times New Roman" w:cs="Times New Roman"/>
          <w:lang w:val="en-GB"/>
        </w:rPr>
        <w:t>No significant differences were found across the study group. Of the 36 patients, 20 cases involved the knee joint (55.6 %), the wrist</w:t>
      </w:r>
      <w:r w:rsidR="003675A9">
        <w:rPr>
          <w:rFonts w:ascii="Times New Roman" w:hAnsi="Times New Roman" w:cs="Times New Roman"/>
          <w:lang w:val="en-GB"/>
        </w:rPr>
        <w:t xml:space="preserve"> was involved</w:t>
      </w:r>
      <w:r w:rsidRPr="00575912">
        <w:rPr>
          <w:rFonts w:ascii="Times New Roman" w:hAnsi="Times New Roman" w:cs="Times New Roman"/>
          <w:lang w:val="en-GB"/>
        </w:rPr>
        <w:t xml:space="preserve"> in 10 cases (27.8), the elbow in 3 cases (8.3%) and the shoulder in 3 cases (8.3%).</w:t>
      </w:r>
      <w:bookmarkEnd w:id="13"/>
      <w:bookmarkEnd w:id="15"/>
      <w:r w:rsidRPr="00575912">
        <w:rPr>
          <w:rFonts w:ascii="Times New Roman" w:hAnsi="Times New Roman" w:cs="Times New Roman"/>
          <w:lang w:val="en-GB"/>
        </w:rPr>
        <w:t xml:space="preserve"> Patients characteristics and frequency of the joint involved were reported (Table 1.).  </w:t>
      </w:r>
    </w:p>
    <w:p w14:paraId="304C1BA8" w14:textId="77777777" w:rsidR="008F50A4" w:rsidRPr="00575912" w:rsidRDefault="008F50A4" w:rsidP="008F50A4">
      <w:pPr>
        <w:spacing w:line="360" w:lineRule="auto"/>
        <w:jc w:val="both"/>
        <w:rPr>
          <w:rFonts w:ascii="Times New Roman" w:hAnsi="Times New Roman" w:cs="Times New Roman"/>
          <w:lang w:val="en-GB"/>
        </w:rPr>
      </w:pPr>
    </w:p>
    <w:p w14:paraId="72CDC828"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b/>
          <w:lang w:val="en-GB"/>
        </w:rPr>
        <w:t>Table 1.</w:t>
      </w:r>
      <w:r w:rsidRPr="00575912">
        <w:rPr>
          <w:rFonts w:ascii="Times New Roman" w:hAnsi="Times New Roman" w:cs="Times New Roman"/>
          <w:lang w:val="en-GB"/>
        </w:rPr>
        <w:t xml:space="preserve"> </w:t>
      </w:r>
      <w:r w:rsidRPr="00575912">
        <w:rPr>
          <w:rFonts w:ascii="Times New Roman" w:hAnsi="Times New Roman" w:cs="Times New Roman"/>
          <w:i/>
          <w:lang w:val="en-GB"/>
        </w:rPr>
        <w:t>Patients Characteristics and frequency of the joint involved</w:t>
      </w:r>
    </w:p>
    <w:p w14:paraId="5B849559" w14:textId="77777777" w:rsidR="008F50A4" w:rsidRPr="00575912" w:rsidRDefault="008F50A4" w:rsidP="008F50A4">
      <w:pPr>
        <w:spacing w:line="360" w:lineRule="auto"/>
        <w:jc w:val="both"/>
        <w:rPr>
          <w:rFonts w:ascii="Times New Roman" w:hAnsi="Times New Roman" w:cs="Times New Roman"/>
          <w:lang w:val="en-GB"/>
        </w:rPr>
      </w:pPr>
    </w:p>
    <w:p w14:paraId="08626A0D" w14:textId="77777777" w:rsidR="008F50A4" w:rsidRPr="00575912" w:rsidRDefault="008F50A4" w:rsidP="008F50A4">
      <w:pPr>
        <w:spacing w:line="360" w:lineRule="auto"/>
        <w:jc w:val="both"/>
        <w:rPr>
          <w:rFonts w:ascii="Times New Roman" w:hAnsi="Times New Roman" w:cs="Times New Roman"/>
          <w:lang w:val="en-GB"/>
        </w:rPr>
      </w:pPr>
    </w:p>
    <w:p w14:paraId="428B2BB8" w14:textId="77777777" w:rsidR="008F50A4" w:rsidRPr="00575912" w:rsidRDefault="008F50A4" w:rsidP="008F50A4">
      <w:pPr>
        <w:spacing w:line="360" w:lineRule="auto"/>
        <w:jc w:val="both"/>
        <w:rPr>
          <w:rFonts w:ascii="Times New Roman" w:hAnsi="Times New Roman" w:cs="Times New Roman"/>
          <w:lang w:val="en-GB"/>
        </w:rPr>
      </w:pPr>
    </w:p>
    <w:p w14:paraId="7019181E" w14:textId="32E85E13"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All the joints were aspirated under sterile conditions. The synovial fluid sample was sent for microbiological and cytological analysis. </w:t>
      </w:r>
      <w:bookmarkStart w:id="16" w:name="_Hlk529638786"/>
      <w:r w:rsidRPr="00575912">
        <w:rPr>
          <w:rFonts w:ascii="Times New Roman" w:hAnsi="Times New Roman" w:cs="Times New Roman"/>
          <w:lang w:val="en-GB"/>
        </w:rPr>
        <w:t xml:space="preserve">Of the 36 synovial fluid samples collected, only 7 (19.4%) reported evidence of infection, 21 (58.3%) reported presence of calcium pyrophosphates crystals (Pseudogout), 4 (11.1 %) reported presence of uric acid crystals (Gout) and 11 </w:t>
      </w:r>
      <w:r w:rsidRPr="00575912">
        <w:rPr>
          <w:rFonts w:ascii="Times New Roman" w:hAnsi="Times New Roman" w:cs="Times New Roman"/>
          <w:lang w:val="en-GB"/>
        </w:rPr>
        <w:lastRenderedPageBreak/>
        <w:t>(30.5%) reported absence of crystals.</w:t>
      </w:r>
      <w:bookmarkEnd w:id="16"/>
      <w:r w:rsidRPr="00575912">
        <w:rPr>
          <w:rFonts w:ascii="Times New Roman" w:hAnsi="Times New Roman" w:cs="Times New Roman"/>
          <w:lang w:val="en-GB"/>
        </w:rPr>
        <w:t xml:space="preserve"> Results of cytological analysis split by joint sampled were reported (Table </w:t>
      </w:r>
      <w:r w:rsidR="003675A9">
        <w:rPr>
          <w:rFonts w:ascii="Times New Roman" w:hAnsi="Times New Roman" w:cs="Times New Roman"/>
          <w:lang w:val="en-GB"/>
        </w:rPr>
        <w:t>2</w:t>
      </w:r>
      <w:r w:rsidRPr="00575912">
        <w:rPr>
          <w:rFonts w:ascii="Times New Roman" w:hAnsi="Times New Roman" w:cs="Times New Roman"/>
          <w:lang w:val="en-GB"/>
        </w:rPr>
        <w:t xml:space="preserve">.) </w:t>
      </w:r>
    </w:p>
    <w:p w14:paraId="0DBF34C8" w14:textId="77777777" w:rsidR="008F50A4" w:rsidRPr="00575912" w:rsidRDefault="008F50A4" w:rsidP="008F50A4">
      <w:pPr>
        <w:spacing w:line="360" w:lineRule="auto"/>
        <w:jc w:val="both"/>
        <w:rPr>
          <w:rFonts w:ascii="Times New Roman" w:hAnsi="Times New Roman" w:cs="Times New Roman"/>
          <w:lang w:val="en-GB"/>
        </w:rPr>
      </w:pPr>
    </w:p>
    <w:p w14:paraId="7B58961F" w14:textId="77777777" w:rsidR="008F50A4" w:rsidRPr="00575912" w:rsidRDefault="008F50A4" w:rsidP="008F50A4">
      <w:pPr>
        <w:spacing w:line="360" w:lineRule="auto"/>
        <w:jc w:val="both"/>
        <w:rPr>
          <w:rFonts w:ascii="Times New Roman" w:hAnsi="Times New Roman" w:cs="Times New Roman"/>
          <w:b/>
          <w:lang w:val="en-GB"/>
        </w:rPr>
      </w:pPr>
    </w:p>
    <w:p w14:paraId="10842FAE"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b/>
          <w:lang w:val="en-GB"/>
        </w:rPr>
        <w:t xml:space="preserve">Table2. </w:t>
      </w:r>
      <w:r w:rsidRPr="00575912">
        <w:rPr>
          <w:rFonts w:ascii="Times New Roman" w:hAnsi="Times New Roman" w:cs="Times New Roman"/>
          <w:i/>
          <w:lang w:val="en-GB"/>
        </w:rPr>
        <w:t>Cytological exam results</w:t>
      </w:r>
    </w:p>
    <w:p w14:paraId="3A25E8F9" w14:textId="77777777" w:rsidR="008F50A4" w:rsidRPr="00575912" w:rsidRDefault="008F50A4" w:rsidP="008F50A4">
      <w:pPr>
        <w:spacing w:line="360" w:lineRule="auto"/>
        <w:jc w:val="both"/>
        <w:rPr>
          <w:rFonts w:ascii="Times New Roman" w:hAnsi="Times New Roman" w:cs="Times New Roman"/>
          <w:lang w:val="en-GB"/>
        </w:rPr>
      </w:pPr>
    </w:p>
    <w:p w14:paraId="5B676C3A" w14:textId="77777777" w:rsidR="008F50A4" w:rsidRPr="00575912" w:rsidRDefault="008F50A4" w:rsidP="008F50A4">
      <w:pPr>
        <w:spacing w:line="360" w:lineRule="auto"/>
        <w:jc w:val="both"/>
        <w:rPr>
          <w:rFonts w:ascii="Times New Roman" w:hAnsi="Times New Roman" w:cs="Times New Roman"/>
          <w:lang w:val="en-GB"/>
        </w:rPr>
      </w:pPr>
      <w:bookmarkStart w:id="17" w:name="_Hlk529638827"/>
      <w:r w:rsidRPr="00575912">
        <w:rPr>
          <w:rFonts w:ascii="Times New Roman" w:hAnsi="Times New Roman" w:cs="Times New Roman"/>
          <w:lang w:val="en-GB"/>
        </w:rPr>
        <w:t>We did not find any significant association (p &gt; 0.001) between age, sex, referral (ED or clinics), ROM and the final diagnosis after lab analysis. However, we found a significant correlation between age and the diagnosis of Pseudogout compared to the diagnosis of Gout and no reported crystal presence (Person’s R= -0.533 p&lt;0.001). Another significant correlation is previous antibiotic treatment and ED access (Person’s R= 0.041 p&lt;0.001).  In addition, a possible but not significant (p=0.014) correlation between age and ED admission was reported.</w:t>
      </w:r>
    </w:p>
    <w:p w14:paraId="29AFC9C2" w14:textId="77777777" w:rsidR="008F50A4" w:rsidRPr="00575912" w:rsidRDefault="008F50A4" w:rsidP="008F50A4">
      <w:pPr>
        <w:spacing w:line="360" w:lineRule="auto"/>
        <w:jc w:val="both"/>
        <w:rPr>
          <w:rFonts w:ascii="Times New Roman" w:hAnsi="Times New Roman" w:cs="Times New Roman"/>
          <w:lang w:val="en-GB"/>
        </w:rPr>
      </w:pPr>
    </w:p>
    <w:p w14:paraId="57DBE567"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lang w:val="en-GB"/>
        </w:rPr>
        <w:t>5. DISCUSSION</w:t>
      </w:r>
    </w:p>
    <w:p w14:paraId="465E460F" w14:textId="14536EB3" w:rsidR="006C2CC4" w:rsidRPr="00575912" w:rsidRDefault="00421830" w:rsidP="008F50A4">
      <w:pPr>
        <w:spacing w:line="360" w:lineRule="auto"/>
        <w:jc w:val="both"/>
        <w:rPr>
          <w:rFonts w:ascii="Times New Roman" w:hAnsi="Times New Roman" w:cs="Times New Roman"/>
          <w:lang w:val="en-US"/>
        </w:rPr>
      </w:pPr>
      <w:r w:rsidRPr="00575912">
        <w:rPr>
          <w:rFonts w:ascii="Times New Roman" w:hAnsi="Times New Roman" w:cs="Times New Roman"/>
          <w:lang w:val="en-GB"/>
        </w:rPr>
        <w:t>Gout is well correlated with m</w:t>
      </w:r>
      <w:r w:rsidR="00B240D7" w:rsidRPr="00575912">
        <w:rPr>
          <w:rFonts w:ascii="Times New Roman" w:hAnsi="Times New Roman" w:cs="Times New Roman"/>
          <w:lang w:val="en-GB"/>
        </w:rPr>
        <w:t>onosodium urate (MSU) crystals</w:t>
      </w:r>
      <w:r w:rsidRPr="00575912">
        <w:rPr>
          <w:rFonts w:ascii="Times New Roman" w:hAnsi="Times New Roman" w:cs="Times New Roman"/>
          <w:lang w:val="en-GB"/>
        </w:rPr>
        <w:t xml:space="preserve">, while </w:t>
      </w:r>
      <w:r w:rsidR="00575912" w:rsidRPr="00575912">
        <w:rPr>
          <w:rFonts w:ascii="Times New Roman" w:hAnsi="Times New Roman" w:cs="Times New Roman"/>
          <w:lang w:val="en-GB"/>
        </w:rPr>
        <w:t>pseudogout</w:t>
      </w:r>
      <w:r w:rsidRPr="00575912">
        <w:rPr>
          <w:rFonts w:ascii="Times New Roman" w:hAnsi="Times New Roman" w:cs="Times New Roman"/>
          <w:lang w:val="en-GB"/>
        </w:rPr>
        <w:t xml:space="preserve"> is linked to calcium pyrophosphate dihydrate (CPPD) crystals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{"citationItems":[{"id":"ITEM-1","itemData":{"DOI":"10.1007/s00296-017-3891-2","PMID":"29214345","abstract":"OBJECTIVES To identify independent risk factors that differentiate gout from pseudogout in patients that present with crystal-induced acute arthritis. METHODS This cross-sectional study was conducted at Siriraj Hospital (Bangkok, Thailand) during the 25 May 2014-28 November 2014 study period. Patients who presented with crystal-induced acute arthritis were eligible for inclusion. Diagnosis of gout or pseudogout was made by microscopic visualization and analysis of crystals in synovial fluid. Patients with other causes of acute arthritis were excluded. Patients diagnosed with gout were compared with patients diagnosed with pseudogout and factors with a p value less than 0.05 were included in logistic regression analysis. RESULTS A total of 103 patients were included. Gout and pseudogout were established in 59 (56.7%) and 44 (42.3%) patients, respectively. Gout patients were younger than pseudogout patients (66.9 ± 14.5 vs. 78.9 ± 12.0 years; p = 0.0001); had higher BMI (22.9 ± 2.5 vs. 21.0 ± 2.5 kg/m2; p = 0.001); had history of recurrent arthritis (91.5 vs. 9.1%; p = 0.001); had higher prevalence of below-knee arthritis (66.1 vs. 31.8%; p = 0.001); had less periarticular soft tissue swelling (57.6 vs. 81.8%; p = 0.01); and had hyperuricemia (8.0 ± 2.5 vs. 5.6 ± 2.7; p = 0.001). In adjusted multivariate analysis, hyperuricemia during acute arthritis/gouty attack characterized gout (OR 2.08, 95% CI 1.2-3.6), while monoarticular attack (OR 4.12, 95% CI 1.3-13.0) and periarticular soft tissue swelling (OR 4.03, 95% CI 1.1-14.9) were indications for pseudogout. CONCLUSIONS The independent risk factors were found to differentiate gout from pseudogout: Gout: hyperuricemia during gouty attack; Pseudogout: monoarticular attack and periarticular soft tissue swelling.","author":[{"dropping-particle":"","family":"Muangchan","given":"Chayawee","non-dropping-particle":"","parse-names":false,"suffix":""},{"dropping-particle":"","family":"Bhurihirun","given":"Thitirat","non-dropping-particle":"","parse-names":false,"suffix":""}],"container-title":"Rheumatology international","id":"ITEM-1","issue":"1","issued":{"date-parts":[["2018","1"]]},"page":"89-95","title":"An investigation of the independent risk factors that differentiate gout from pseudogout in patients with crystal-induced acute arthritis: a cross-sectional study.","type":"article-journal","volume":"38"},"uris":["http://www.mendeley.com/documents/?uuid=516ea266-be62-4512-baeb-fc1d948d97f7","http://www.mendeley.com/documents/?uuid=9b9fedac-2acf-3e5f-932f-69feec84843c"]}],"mendeley":{"formattedCitation":"[7]","plainTextFormattedCitation":"[7]","previouslyFormattedCitation":"[7]"},"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[7]</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r w:rsidR="00B45927" w:rsidRPr="00575912">
        <w:rPr>
          <w:rFonts w:ascii="Times New Roman" w:hAnsi="Times New Roman" w:cs="Times New Roman"/>
          <w:lang w:val="en-GB"/>
        </w:rPr>
        <w:t>Distinguishing between the two forms of crystal disease clinically is difficult, therefore syno</w:t>
      </w:r>
      <w:r w:rsidR="00216E02" w:rsidRPr="00575912">
        <w:rPr>
          <w:rFonts w:ascii="Times New Roman" w:hAnsi="Times New Roman" w:cs="Times New Roman"/>
          <w:lang w:val="en-GB"/>
        </w:rPr>
        <w:t>vial fluid analysis and micro</w:t>
      </w:r>
      <w:r w:rsidR="00B45927" w:rsidRPr="00575912">
        <w:rPr>
          <w:rFonts w:ascii="Times New Roman" w:hAnsi="Times New Roman" w:cs="Times New Roman"/>
          <w:lang w:val="en-GB"/>
        </w:rPr>
        <w:t xml:space="preserve">scopic visualization of </w:t>
      </w:r>
      <w:r w:rsidR="00216E02" w:rsidRPr="00575912">
        <w:rPr>
          <w:rFonts w:ascii="Times New Roman" w:hAnsi="Times New Roman" w:cs="Times New Roman"/>
          <w:lang w:val="en-GB"/>
        </w:rPr>
        <w:t xml:space="preserve">the </w:t>
      </w:r>
      <w:r w:rsidR="00B45927" w:rsidRPr="00575912">
        <w:rPr>
          <w:rFonts w:ascii="Times New Roman" w:hAnsi="Times New Roman" w:cs="Times New Roman"/>
          <w:lang w:val="en-GB"/>
        </w:rPr>
        <w:t>crystals</w:t>
      </w:r>
      <w:r w:rsidR="00216E02" w:rsidRPr="00575912">
        <w:rPr>
          <w:rFonts w:ascii="Times New Roman" w:hAnsi="Times New Roman" w:cs="Times New Roman"/>
          <w:lang w:val="en-GB"/>
        </w:rPr>
        <w:t xml:space="preserve"> is very beneficial in diagnosing either disease</w:t>
      </w:r>
      <w:r w:rsidR="00535ADC" w:rsidRPr="00575912">
        <w:rPr>
          <w:rFonts w:ascii="Times New Roman" w:hAnsi="Times New Roman" w:cs="Times New Roman"/>
          <w:lang w:val="en-GB"/>
        </w:rPr>
        <w:t xml:space="preserve"> </w:t>
      </w:r>
      <w:r w:rsidR="00535ADC"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{"citationItems":[{"id":"ITEM-1","itemData":{"DOI":"10.1007/s00296-017-3891-2","PMID":"29214345","abstract":"OBJECTIVES To identify independent risk factors that differentiate gout from pseudogout in patients that present with crystal-induced acute arthritis. METHODS This cross-sectional study was conducted at Siriraj Hospital (Bangkok, Thailand) during the 25 May 2014-28 November 2014 study period. Patients who presented with crystal-induced acute arthritis were eligible for inclusion. Diagnosis of gout or pseudogout was made by microscopic visualization and analysis of crystals in synovial fluid. Patients with other causes of acute arthritis were excluded. Patients diagnosed with gout were compared with patients diagnosed with pseudogout and factors with a p value less than 0.05 were included in logistic regression analysis. RESULTS A total of 103 patients were included. Gout and pseudogout were established in 59 (56.7%) and 44 (42.3%) patients, respectively. Gout patients were younger than pseudogout patients (66.9 ± 14.5 vs. 78.9 ± 12.0 years; p = 0.0001); had higher BMI (22.9 ± 2.5 vs. 21.0 ± 2.5 kg/m2; p = 0.001); had history of recurrent arthritis (91.5 vs. 9.1%; p = 0.001); had higher prevalence of below-knee arthritis (66.1 vs. 31.8%; p = 0.001); had less periarticular soft tissue swelling (57.6 vs. 81.8%; p = 0.01); and had hyperuricemia (8.0 ± 2.5 vs. 5.6 ± 2.7; p = 0.001). In adjusted multivariate analysis, hyperuricemia during acute arthritis/gouty attack characterized gout (OR 2.08, 95% CI 1.2-3.6), while monoarticular attack (OR 4.12, 95% CI 1.3-13.0) and periarticular soft tissue swelling (OR 4.03, 95% CI 1.1-14.9) were indications for pseudogout. CONCLUSIONS The independent risk factors were found to differentiate gout from pseudogout: Gout: hyperuricemia during gouty attack; Pseudogout: monoarticular attack and periarticular soft tissue swelling.","author":[{"dropping-particle":"","family":"Muangchan","given":"Chayawee","non-dropping-particle":"","parse-names":false,"suffix":""},{"dropping-particle":"","family":"Bhurihirun","given":"Thitirat","non-dropping-particle":"","parse-names":false,"suffix":""}],"container-title":"Rheumatology international","id":"ITEM-1","issue":"1","issued":{"date-parts":[["2018","1"]]},"page":"89-95","title":"An investigation of the independent risk factors that differentiate gout from pseudogout in patients with crystal-induced acute arthritis: a cross-sectional study.","type":"article-journal","volume":"38"},"uris":["http://www.mendeley.com/documents/?uuid=516ea266-be62-4512-baeb-fc1d948d97f7","http://www.mendeley.com/documents/?uuid=9b9fedac-2acf-3e5f-932f-69feec84843c"]}],"mendeley":{"formattedCitation":"[7]","plainTextFormattedCitation":"[7]","previouslyFormattedCitation":"[7]"},"properties":{"noteIndex":0},"schema":"https://github.com/citation-style-language/schema/raw/master/csl-citation.json"}</w:instrText>
      </w:r>
      <w:r w:rsidR="00535ADC" w:rsidRPr="00575912">
        <w:rPr>
          <w:rFonts w:ascii="Times New Roman" w:hAnsi="Times New Roman" w:cs="Times New Roman"/>
          <w:lang w:val="en-GB"/>
        </w:rPr>
        <w:fldChar w:fldCharType="separate"/>
      </w:r>
      <w:r w:rsidR="00535ADC" w:rsidRPr="00575912">
        <w:rPr>
          <w:rFonts w:ascii="Times New Roman" w:hAnsi="Times New Roman" w:cs="Times New Roman"/>
          <w:noProof/>
          <w:lang w:val="en-GB"/>
        </w:rPr>
        <w:t>[7]</w:t>
      </w:r>
      <w:r w:rsidR="00535ADC" w:rsidRPr="00575912">
        <w:rPr>
          <w:rFonts w:ascii="Times New Roman" w:hAnsi="Times New Roman" w:cs="Times New Roman"/>
          <w:lang w:val="en-GB"/>
        </w:rPr>
        <w:fldChar w:fldCharType="end"/>
      </w:r>
      <w:r w:rsidR="00216E02" w:rsidRPr="00575912">
        <w:rPr>
          <w:rFonts w:ascii="Times New Roman" w:hAnsi="Times New Roman" w:cs="Times New Roman"/>
          <w:lang w:val="en-GB"/>
        </w:rPr>
        <w:t xml:space="preserve">. </w:t>
      </w:r>
      <w:r w:rsidR="00542013" w:rsidRPr="00575912">
        <w:rPr>
          <w:rFonts w:ascii="Times New Roman" w:hAnsi="Times New Roman" w:cs="Times New Roman"/>
          <w:lang w:val="en-GB"/>
        </w:rPr>
        <w:t xml:space="preserve">Under polarized light microscopy MSU crystals are seen as strongly negatively birefringent, needle-shaped crystals; while, CPPD crystals </w:t>
      </w:r>
      <w:r w:rsidR="002829E5" w:rsidRPr="00575912">
        <w:rPr>
          <w:rFonts w:ascii="Times New Roman" w:hAnsi="Times New Roman" w:cs="Times New Roman"/>
          <w:lang w:val="en-GB"/>
        </w:rPr>
        <w:t>appear as</w:t>
      </w:r>
      <w:r w:rsidR="00542013" w:rsidRPr="00575912">
        <w:rPr>
          <w:rFonts w:ascii="Times New Roman" w:hAnsi="Times New Roman" w:cs="Times New Roman"/>
          <w:lang w:val="en-GB"/>
        </w:rPr>
        <w:t xml:space="preserve"> weakly positive birefringent, rod-shaped or rhomboid-shaped crystals</w:t>
      </w:r>
      <w:r w:rsidR="00EA779E" w:rsidRPr="00575912">
        <w:rPr>
          <w:rFonts w:ascii="Times New Roman" w:hAnsi="Times New Roman" w:cs="Times New Roman"/>
          <w:lang w:val="en-GB"/>
        </w:rPr>
        <w:t xml:space="preserve"> </w:t>
      </w:r>
      <w:r w:rsidR="00EA779E"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{"citationItems":[{"id":"ITEM-1","itemData":{"PMID":"8604727","abstract":"The most common crystal-related arthropathies-gout, calcium pyrophosphate dihydrate disease or \"pseudogout,\" and calcific periarthritis/tendinitis-may be appropriately diagnosed and managed by the primary care physician. Definitive diagnosis via synovial tap is recommended, as the clinical picture may not identify some cases. The acute pain and swelling of attacks, regardless of etiology, generally respond to treatment with nonsteroidal anti-inflammatory drugs and local or occasionally systemic corticosteroids. Once a causative crystal has been identified and a diagnosis established, a plan for long-term management and prevention of recurrences may be devised. Thus, uric-acid-lowering therapy may be indicated in a patient who has experienced recurrent attacks of gout, whereas control of serum phosphate levels might be effective in some individuals with hyperphosphatemia and hydroxyapatite-associated periarthritis or arthritis. Crystal deposits in joints can be destructive as well as painful. Treatment, therefore, has two objectives: To relieve the pain of the acute attack, thus restoring normal function, and to prevent the accumulation of crystals that can lead to degenerative disease. Identification and subsequent treatment of preventable or correctable underlying disorders may be one of the most gratifying aspects of managing crystal-induced arthropathies.","author":[{"dropping-particle":"","family":"Schumacher","given":"H R","non-dropping-particle":"","parse-names":false,"suffix":""}],"container-title":"The American journal of medicine","id":"ITEM-1","issue":"2A","issued":{"date-parts":[["1996","2"]]},"page":"46S-52S","title":"Crystal-induced arthritis: an overview.","type":"article-journal","volume":"100"},"uris":["http://www.mendeley.com/documents/?uuid=7d9e0cc4-216e-32c1-a15a-0cfb7fe95e2a","http://www.mendeley.com/documents/?uuid=1b43bf42-ee7e-4fd9-bc49-245983eb1261"]}],"mendeley":{"formattedCitation":"[9]","plainTextFormattedCitation":"[9]","previouslyFormattedCitation":"[9]"},"properties":{"noteIndex":0},"schema":"https://github.com/citation-style-language/schema/raw/master/csl-citation.json"}</w:instrText>
      </w:r>
      <w:r w:rsidR="00EA779E" w:rsidRPr="00575912">
        <w:rPr>
          <w:rFonts w:ascii="Times New Roman" w:hAnsi="Times New Roman" w:cs="Times New Roman"/>
          <w:lang w:val="en-GB"/>
        </w:rPr>
        <w:fldChar w:fldCharType="separate"/>
      </w:r>
      <w:r w:rsidR="00EA779E" w:rsidRPr="00575912">
        <w:rPr>
          <w:rFonts w:ascii="Times New Roman" w:hAnsi="Times New Roman" w:cs="Times New Roman"/>
          <w:noProof/>
          <w:lang w:val="en-GB"/>
        </w:rPr>
        <w:t>[9]</w:t>
      </w:r>
      <w:r w:rsidR="00EA779E" w:rsidRPr="00575912">
        <w:rPr>
          <w:rFonts w:ascii="Times New Roman" w:hAnsi="Times New Roman" w:cs="Times New Roman"/>
          <w:lang w:val="en-GB"/>
        </w:rPr>
        <w:fldChar w:fldCharType="end"/>
      </w:r>
      <w:r w:rsidR="000F24AC" w:rsidRPr="00575912">
        <w:rPr>
          <w:rFonts w:ascii="Times New Roman" w:hAnsi="Times New Roman" w:cs="Times New Roman"/>
          <w:lang w:val="en-GB"/>
        </w:rPr>
        <w:t xml:space="preserve">. </w:t>
      </w:r>
      <w:r w:rsidR="000D1B42" w:rsidRPr="00575912">
        <w:rPr>
          <w:rFonts w:ascii="Times New Roman" w:hAnsi="Times New Roman" w:cs="Times New Roman"/>
          <w:lang w:val="en-GB"/>
        </w:rPr>
        <w:t xml:space="preserve">Gout has been reported to be prevalent in at an older age in women when compared to men, 70 and </w:t>
      </w:r>
      <w:r w:rsidR="004644CA" w:rsidRPr="00575912">
        <w:rPr>
          <w:rFonts w:ascii="Times New Roman" w:hAnsi="Times New Roman" w:cs="Times New Roman"/>
          <w:lang w:val="en-GB"/>
        </w:rPr>
        <w:t>58</w:t>
      </w:r>
      <w:r w:rsidR="000D1B42" w:rsidRPr="00575912">
        <w:rPr>
          <w:rFonts w:ascii="Times New Roman" w:hAnsi="Times New Roman" w:cs="Times New Roman"/>
          <w:lang w:val="en-GB"/>
        </w:rPr>
        <w:t xml:space="preserve"> </w:t>
      </w:r>
      <w:r w:rsidR="004644CA" w:rsidRPr="00575912">
        <w:rPr>
          <w:rFonts w:ascii="Times New Roman" w:hAnsi="Times New Roman" w:cs="Times New Roman"/>
          <w:lang w:val="en-GB"/>
        </w:rPr>
        <w:t xml:space="preserve">years of age, respectively </w:t>
      </w:r>
      <w:r w:rsidR="004644CA"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{"citationItems":[{"id":"ITEM-1","itemData":{"DOI":"10.1136/ard.2006.051649","PMID":"16644784","abstract":"BACKGROUND Little is known about the characteristics, evaluation and treatment of women with gout. OBJECTIVE To examine the epidemiological differences and differences in treatment between men and women in a large patient population. METHODS The data from approximately 1.4 million people who were members of seven managed care plans in the USA for at least 1 year between 1 January 1999 and 31 December 2003 were examined. Adult members who had pharmacy benefits and at least two ambulatory claims specifying a diagnosis of gout were identified. In addition, men and women who were new users of urate-lowering drugs (ULDs) were identified to assess adherence with recommended surveillance of serum urate levels within 6 months of initiating urate-lowering treatment. RESULTS A total of 6133 people (4975 men and 1158 women) with two or more International Classification of Disease-9 codes for gout were identified. As compared with men with gout, women were older (mean age 70 (SD 13) v 58 (SD 14), p&lt;0.001) and had comorbidities and received diuretics more often (77% v 40%; p&lt;0.001). Only 37% of new users of urate-lowering treatment had appropriate surveillance of serum urate levels post-initiation of urate-lowering treatment. After controlling for age, comorbidities, gout treatments, number of ULD dispensings and health plan, women were more likely (odds ratio 1.36, 95% confidence interval 1.11 to 1.67) to receive the recommended serum urate level testing. CONCLUSIONS Women with gout were older, had greater comorbidities and more often used diuretics and received appropriate surveillance of serum urate levels, suggesting that the factors leading to gout as well as monitoring of treatment are very different in women and men.","author":[{"dropping-particle":"","family":"Harrold","given":"L R","non-dropping-particle":"","parse-names":false,"suffix":""},{"dropping-particle":"","family":"Yood","given":"R A","non-dropping-particle":"","parse-names":false,"suffix":""},{"dropping-particle":"","family":"Mikuls","given":"T R","non-dropping-particle":"","parse-names":false,"suffix":""},{"dropping-particle":"","family":"Andrade","given":"S E","non-dropping-particle":"","parse-names":false,"suffix":""},{"dropping-particle":"","family":"Davis","given":"J","non-dropping-particle":"","parse-names":false,"suffix":""},{"dropping-particle":"","family":"Fuller","given":"J","non-dropping-particle":"","parse-names":false,"suffix":""},{"dropping-particle":"","family":"Chan","given":"K A","non-dropping-particle":"","parse-names":false,"suffix":""},{"dropping-particle":"","family":"Roblin","given":"D","non-dropping-particle":"","parse-names":false,"suffix":""},{"dropping-particle":"","family":"Raebel","given":"M A","non-dropping-particle":"","parse-names":false,"suffix":""},{"dropping-particle":"","family":"Worley","given":"A","non-dropping-particle":"Von","parse-names":false,"suffix":""},{"dropping-particle":"","family":"Platt","given":"R","non-dropping-particle":"","parse-names":false,"suffix":""},{"dropping-particle":"","family":"Saag","given":"K G","non-dropping-particle":"","parse-names":false,"suffix":""}],"container-title":"Annals of the rheumatic diseases","id":"ITEM-1","issue":"10","issued":{"date-parts":[["2006","10"]]},"page":"1368-72","publisher":"BMJ Publishing Group","title":"Sex differences in gout epidemiology: evaluation and treatment.","type":"article-journal","volume":"65"},"uris":["http://www.mendeley.com/documents/?uuid=77a3f8cd-1265-3041-a2b3-6776cb2511fd","http://www.mendeley.com/documents/?uuid=b6693d86-8f6a-429c-ae5f-1c63213c2f2a"]}],"mendeley":{"formattedCitation":"[10]","plainTextFormattedCitation":"[10]","previouslyFormattedCitation":"[10]"},"properties":{"noteIndex":0},"schema":"https://github.com/citation-style-language/schema/raw/master/csl-citation.json"}</w:instrText>
      </w:r>
      <w:r w:rsidR="004644CA" w:rsidRPr="00575912">
        <w:rPr>
          <w:rFonts w:ascii="Times New Roman" w:hAnsi="Times New Roman" w:cs="Times New Roman"/>
          <w:lang w:val="en-GB"/>
        </w:rPr>
        <w:fldChar w:fldCharType="separate"/>
      </w:r>
      <w:r w:rsidR="004644CA" w:rsidRPr="00575912">
        <w:rPr>
          <w:rFonts w:ascii="Times New Roman" w:hAnsi="Times New Roman" w:cs="Times New Roman"/>
          <w:noProof/>
          <w:lang w:val="en-GB"/>
        </w:rPr>
        <w:t>[10]</w:t>
      </w:r>
      <w:r w:rsidR="004644CA" w:rsidRPr="00575912">
        <w:rPr>
          <w:rFonts w:ascii="Times New Roman" w:hAnsi="Times New Roman" w:cs="Times New Roman"/>
          <w:lang w:val="en-GB"/>
        </w:rPr>
        <w:fldChar w:fldCharType="end"/>
      </w:r>
      <w:r w:rsidR="004644CA" w:rsidRPr="00575912">
        <w:rPr>
          <w:rFonts w:ascii="Times New Roman" w:hAnsi="Times New Roman" w:cs="Times New Roman"/>
          <w:lang w:val="en-GB"/>
        </w:rPr>
        <w:t xml:space="preserve">, </w:t>
      </w:r>
      <w:r w:rsidR="0073594B" w:rsidRPr="00575912">
        <w:rPr>
          <w:rFonts w:ascii="Times New Roman" w:hAnsi="Times New Roman" w:cs="Times New Roman"/>
          <w:lang w:val="en-US"/>
        </w:rPr>
        <w:t xml:space="preserve">while it has been reported </w:t>
      </w:r>
      <w:r w:rsidR="00223A3E" w:rsidRPr="00575912">
        <w:rPr>
          <w:rFonts w:ascii="Times New Roman" w:hAnsi="Times New Roman" w:cs="Times New Roman"/>
          <w:lang w:val="en-US"/>
        </w:rPr>
        <w:t xml:space="preserve">that </w:t>
      </w:r>
      <w:r w:rsidR="00784C22" w:rsidRPr="00575912">
        <w:rPr>
          <w:rFonts w:ascii="Times New Roman" w:hAnsi="Times New Roman" w:cs="Times New Roman"/>
          <w:lang w:val="en-US"/>
        </w:rPr>
        <w:t>pseudogout</w:t>
      </w:r>
      <w:r w:rsidR="00223A3E" w:rsidRPr="00575912">
        <w:rPr>
          <w:rFonts w:ascii="Times New Roman" w:hAnsi="Times New Roman" w:cs="Times New Roman"/>
          <w:lang w:val="en-US"/>
        </w:rPr>
        <w:t xml:space="preserve"> implicates both genders equally over the age of 50</w:t>
      </w:r>
      <w:r w:rsidR="00E02445" w:rsidRPr="00575912">
        <w:rPr>
          <w:rFonts w:ascii="Times New Roman" w:hAnsi="Times New Roman" w:cs="Times New Roman"/>
          <w:lang w:val="en-US"/>
        </w:rPr>
        <w:t xml:space="preserve"> </w:t>
      </w:r>
      <w:r w:rsidR="00891BE9" w:rsidRPr="00575912">
        <w:rPr>
          <w:rFonts w:ascii="Times New Roman" w:hAnsi="Times New Roman" w:cs="Times New Roman"/>
          <w:lang w:val="en-US"/>
        </w:rPr>
        <w:fldChar w:fldCharType="begin" w:fldLock="1"/>
      </w:r>
      <w:r w:rsidR="00575912" w:rsidRPr="00575912">
        <w:rPr>
          <w:rFonts w:ascii="Times New Roman" w:hAnsi="Times New Roman" w:cs="Times New Roman"/>
          <w:lang w:val="en-US"/>
        </w:rPr>
        <w:instrText>ADDIN CSL_CITATION {"citationItems":[{"id":"ITEM-1","itemData":{"DOI":"10.1093/rheumatology/kep081","author":[{"dropping-particle":"","family":"Richette","given":"P.","non-dropping-particle":"","parse-names":false,"suffix":""},{"dropping-particle":"","family":"Bardin","given":"T.","non-dropping-particle":"","parse-names":false,"suffix":""},{"dropping-particle":"","family":"Doherty","given":"M.","non-dropping-particle":"","parse-names":false,"suffix":""}],"container-title":"Rheumatology","id":"ITEM-1","issue":"7","issued":{"date-parts":[["2009","7"]]},"page":"711-715","publisher":"Oxford University Press","title":"An update on the epidemiology of calcium pyrophosphate dihydrate crystal deposition disease","type":"article-journal","volume":"48"},"uris":["http://www.mendeley.com/documents/?uuid=2f2b036f-ab84-3d47-9de0-5f243700e47b","http://www.mendeley.com/documents/?uuid=bca57f61-9ef8-41e3-b32f-3f216accde3b"]}],"mendeley":{"formattedCitation":"[11]","plainTextFormattedCitation":"[11]","previouslyFormattedCitation":"[11]"},"properties":{"noteIndex":0},"schema":"https://github.com/citation-style-language/schema/raw/master/csl-citation.json"}</w:instrText>
      </w:r>
      <w:r w:rsidR="00891BE9" w:rsidRPr="00575912">
        <w:rPr>
          <w:rFonts w:ascii="Times New Roman" w:hAnsi="Times New Roman" w:cs="Times New Roman"/>
          <w:lang w:val="en-US"/>
        </w:rPr>
        <w:fldChar w:fldCharType="separate"/>
      </w:r>
      <w:r w:rsidR="00891BE9" w:rsidRPr="00575912">
        <w:rPr>
          <w:rFonts w:ascii="Times New Roman" w:hAnsi="Times New Roman" w:cs="Times New Roman"/>
          <w:noProof/>
          <w:lang w:val="en-US"/>
        </w:rPr>
        <w:t>[11]</w:t>
      </w:r>
      <w:r w:rsidR="00891BE9" w:rsidRPr="00575912">
        <w:rPr>
          <w:rFonts w:ascii="Times New Roman" w:hAnsi="Times New Roman" w:cs="Times New Roman"/>
          <w:lang w:val="en-US"/>
        </w:rPr>
        <w:fldChar w:fldCharType="end"/>
      </w:r>
      <w:r w:rsidR="00891BE9" w:rsidRPr="00575912">
        <w:rPr>
          <w:rFonts w:ascii="Times New Roman" w:hAnsi="Times New Roman" w:cs="Times New Roman"/>
          <w:lang w:val="en-US"/>
        </w:rPr>
        <w:t>.</w:t>
      </w:r>
    </w:p>
    <w:p w14:paraId="1A659F8A" w14:textId="77777777" w:rsidR="00421830" w:rsidRPr="00575912" w:rsidRDefault="00421830" w:rsidP="008F50A4">
      <w:pPr>
        <w:spacing w:line="360" w:lineRule="auto"/>
        <w:jc w:val="both"/>
        <w:rPr>
          <w:rFonts w:ascii="Times New Roman" w:hAnsi="Times New Roman" w:cs="Times New Roman"/>
          <w:lang w:val="en-GB"/>
        </w:rPr>
      </w:pPr>
    </w:p>
    <w:p w14:paraId="55610DDB" w14:textId="4793B45A"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In our study we investigated a common clinical presentation of a hot, swollen joint. As previously reported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{"citationItems":[{"id":"ITEM-1","itemData":{"ISSN":"1532-0650","PMID":"27929277","abstract":"Acute monoarthritis can be the initial manifestation of many joint disorders. The most common diagnoses in the primary care setting are osteoarthritis, gout, and trauma. It is important to understand the prevalence of specific etiologies and to use the appropriate diagnostic modalities. A delay in diagnosis and treatment, particularly in septic arthritis, can have catastrophic results including sepsis, bacteremia, joint destruction, or death. The history and physical examination can help guide the use of laboratory and imaging studies. The presence of focal bone pain or recent trauma requires radiography of the affected joint to rule out metabolic bone disease, tumor, or fracture. If there is a joint effusion in the absence of trauma or recent surgery, and signs of infection (e.g., fever, erythema, warmth) are present, subsequent arthrocentesis should be performed. Inflammatory synovial fluid containing monosodium urate crystals indicates a high probability of gout. Noninflammatory synovial fluid suggests osteoarthritis or internal derangement. Pitfalls in the diagnosis and early treatment of acute monoarthritis include failure to perform arthrocentesis, administering antibiotics before aspirating the joint when septic arthritis is suspected (or failing to start antibiotics after aspiration), and starting treatment based solely on laboratory data, such as an elevated uric acid level.","author":[{"dropping-particle":"","family":"Becker","given":"Jonathan A","non-dropping-particle":"","parse-names":false,"suffix":""},{"dropping-particle":"","family":"Daily","given":"Jennifer P","non-dropping-particle":"","parse-names":false,"suffix":""},{"dropping-particle":"","family":"Pohlgeers","given":"Katherine M","non-dropping-particle":"","parse-names":false,"suffix":""}],"container-title":"American family physician","id":"ITEM-1","issue":"10","issued":{"date-parts":[["2016","11","15"]]},"page":"810-816","title":"Acute Monoarthritis: Diagnosis in Adults.","type":"article-journal","volume":"94"},"uris":["http://www.mendeley.com/documents/?uuid=ed83af49-03bf-45de-8d71-424259024d51"]}],"mendeley":{"formattedCitation":"[3]","plainTextFormattedCitation":"[3]","previouslyFormattedCitation":"[3]"},"properties":{"noteIndex":0},"schema":"https://github.com/citation-style-language/schema/raw/master/csl-citation.json"}</w:instrText>
      </w:r>
      <w:r w:rsidRPr="00575912">
        <w:rPr>
          <w:rFonts w:ascii="Times New Roman" w:hAnsi="Times New Roman" w:cs="Times New Roman"/>
          <w:lang w:val="en-GB"/>
        </w:rPr>
        <w:fldChar w:fldCharType="separate"/>
      </w:r>
      <w:r w:rsidRPr="00575912">
        <w:rPr>
          <w:rFonts w:ascii="Times New Roman" w:hAnsi="Times New Roman" w:cs="Times New Roman"/>
          <w:noProof/>
          <w:lang w:val="en-GB"/>
        </w:rPr>
        <w:t>[3]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several differential diagnoses should be considered when this condition is encountered. However, in our study we found interesting results related to the outcome of the cytological studies. In our cohort of patients, the frequency of Pseudogout was higher (21/36) and significantly (p&lt; 0.001) correlated with elderly patients. All these findings were in agreement to a recent published article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{"citationItems":[{"id":"ITEM-1","itemData":{"DOI":"10.1016/j.jbspin.2015.01.011","ISBN":"1297-319x","PMID":"25881756","abstract":"Objective: To describe the hospital burden of microcrystal arthropathies in France. Methods: Data were extracted from the 2009-2011 French hospital national databases. We selected all hospital stays for microcrystal arthropathies (gout, chondrocalcinosis, other) encoded as primary or secondary diagnoses in patients older than 18. A descriptive analysis focused on number of patients and hospital stays, age, gender, comorbidities related to metabolic syndrome, and hospital costs based on 2012 public-sector costs. Results: 132,275 hospitalizations involving 109,734 patients were related to microcrystal arthropathies encoded as primary or secondary diagnosis (61% related to gout, 34% to chondrocalcinosis, and 5% to other microcrystal arthropathies). 23,362 hospitalizations involving 25,105 patients were due to microcrystal diseases, encoded as primary diagnosis, (48% related to gout, 43% to chondrocalcinosis, and 9% to other microcrystal arthropathies). In this population, patients with chondrocalcinosis were older (mean 75.6 ± 13.5 versus 71 ± 16 years for other microcrystal arthropathies and 69.7 ± 14.7 for gout). Men represented 70% of the patients with gout, 39% of those with chondrocalcinosis and 52% of the patients with other microcrystal arthropathies. Hypertension, diabetes, dyslipidemia, cardiac ischemia, and renal failure were more frequent in patients with gout than other patients. The hospital costs for microcrystal arthropathies encoded as primary diagnosis were 82.3 million Euros, 45% related to gout, 45% to chondrocalcinosis and 11% to other microcrystals. Conclusion: In terms of hospital costs, gout and chondrocalcinosis represented the main part of the economic burden of crystal arthropathies and a high level of diseases belonging to the metabolic syndrome. Specific education programs favouring accurate microcrystal diagnosis and adherence to treatment could diminish this hospital economic burden.","author":[{"dropping-particle":"","family":"Maravic","given":"Milka","non-dropping-particle":"","parse-names":false,"suffix":""},{"dropping-particle":"","family":"Ea","given":"Hang-Korng Korng","non-dropping-particle":"","parse-names":false,"suffix":""}],"container-title":"Joint Bone Spine","id":"ITEM-1","issue":"5","issued":{"date-parts":[["2015","10"]]},"page":"326-329","title":"Hospital burden of gout, pseudogout and other crystal arthropathies in France","type":"article-journal","volume":"82"},"uris":["http://www.mendeley.com/documents/?uuid=2f2b35ac-28d1-46df-b944-342a2eda4e04"]},{"id":"ITEM-2","itemData":{"DOI":"10.1097/BOR.0000000000000246","ISSN":"1040-8711","PMID":"26626724","abstract":"PURPOSE OF REVIEW The purpose of this review is to summarize the recent advances in the epidemiology of calcium pyrophosphate deposition disease (CPPD), and to discuss their implications. This review is particularly timely as several epidemiological studies that enhance the understanding of CPPD have been published recently. RECENT FINDINGS This article will review recent findings on the prevalence of chondrocalcinosis; discuss new data on the associations between bone mineral density and chondrocalcinosis; and between diuretic use, chronic kidney disease 5 and 'pseudogout' (now termed acute calcium pyrophosphate crystal arthritis). It will summarize findings from a large dataset which reported that chondrocalcinosis results from a systemic predisposition, and that the association between chondrocalcinosis and polymorphisms in ANKH gene is independent of age and osteoarthritis. It will also review recent data which suggest that the association between chondrocalcinosis and osteoarthritis may be joint specific, and that chondrocalcinosis associates with radiographic attrition in knees with osteoarthritis. SUMMARY The studies reviewed suggest that CPPD occurs due to a generalized predisposition, and that it modifies the radiographic phenotype of osteoarthritis. However, further research is required to confirm if CPPD modifies the clinical phenotype of osteoarthritis.","author":[{"dropping-particle":"","family":"Abhishek","given":"Abhishek","non-dropping-particle":"","parse-names":false,"suffix":""}],"container-title":"Current Opinion in Rheumatology","id":"ITEM-2","issue":"2","issued":{"date-parts":[["2016","3"]]},"page":"133-139","title":"Calcium pyrophosphate deposition disease","type":"article-journal","volume":"28"},"uris":["http://www.mendeley.com/documents/?uuid=582a7f31-b169-3abc-a946-61ad127e8cb3"]}],"mendeley":{"formattedCitation":"[12], [13]","plainTextFormattedCitation":"[12], [13]","previouslyFormattedCitation":"[12], [13]"},"properties":{"noteIndex":0},"schema":"https://github.com/citation-style-language/schema/raw/master/csl-citation.json"}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[12], [13]</w:t>
      </w:r>
      <w:r w:rsidRPr="00575912">
        <w:rPr>
          <w:rFonts w:ascii="Times New Roman" w:hAnsi="Times New Roman" w:cs="Times New Roman"/>
          <w:lang w:val="en-GB"/>
        </w:rPr>
        <w:fldChar w:fldCharType="end"/>
      </w:r>
      <w:r w:rsidRPr="00575912">
        <w:rPr>
          <w:rFonts w:ascii="Times New Roman" w:hAnsi="Times New Roman" w:cs="Times New Roman"/>
          <w:lang w:val="en-GB"/>
        </w:rPr>
        <w:t>.</w:t>
      </w:r>
    </w:p>
    <w:p w14:paraId="075D69F2" w14:textId="0931EB3F"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Gout disease was found to be prevalent in the wrist joint in our cohort of patients (Figure 1.). This could be explained by the tendency of the disease to involve distal joints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{"citationItems":[{"id":"ITEM-1","itemData":{"DOI":"10.1016/S0140-6736(16)00346-9","ISBN":"9781780841892","PMID":"27112094","abstract":"Gout is a chronic disease of deposition of monosodium urate crystals, which form in the presence of increased urate concentrations. Although environmental factors contribute to hyperuricaemia, renal and gut excretion of urate is central to regulation of serum urate, and genetic factors are important. Activation of the NLRP3 inflammasome and release of interleukin 1β have key roles in initiation of acute gout flares. A “treat to target serum urate” approach is essential for effective gout management; long-term lowering of serum urate to less than 360 μmol/L leads to crystal dissolution and ultimately to suppression of flares. An allopurinol dose-escalation strategy is frequently effective for achieving treatment targets, and several new urate-lowering drugs are also available. Worldwide, rates of initiation and continuation of urate-lowering therapy are very low, and, consequently, achievement of serum urate targets is infrequent. Strategies to improve quality of gout care are needed.","author":[{"dropping-particle":"","family":"Dalbeth","given":"Nicola","non-dropping-particle":"","parse-names":false,"suffix":""},{"dropping-particle":"","family":"Merriman","given":"Tony R","non-dropping-particle":"","parse-names":false,"suffix":""},{"dropping-particle":"","family":"Stamp","given":"Lisa K","non-dropping-particle":"","parse-names":false,"suffix":""}],"container-title":"The Lancet","id":"ITEM-1","issue":"10055","issued":{"date-parts":[["2016","10","22"]]},"page":"2039-2052","publisher":"Elsevier","title":"Gout","type":"bill","volume":"388"},"uris":["http://www.mendeley.com/documents/?uuid=640a2c30-3edd-4ea8-90a9-619aae496475"]}],"mendeley":{"formattedCitation":"[14]","plainTextFormattedCitation":"[14]","previouslyFormattedCitation":"[14]"},"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[14]</w:t>
      </w:r>
      <w:r w:rsidRPr="00575912">
        <w:rPr>
          <w:rFonts w:ascii="Times New Roman" w:hAnsi="Times New Roman" w:cs="Times New Roman"/>
          <w:lang w:val="en-GB"/>
        </w:rPr>
        <w:fldChar w:fldCharType="end"/>
      </w:r>
      <w:r w:rsidRPr="00575912">
        <w:rPr>
          <w:rFonts w:ascii="Times New Roman" w:hAnsi="Times New Roman" w:cs="Times New Roman"/>
          <w:lang w:val="en-GB"/>
        </w:rPr>
        <w:t>. Pseudogout, was more frequently found in the knee (13/21), and less frequently in the wrist (4/21), elbow (2/21) and shoulder (2/21) (Figure 2.).</w:t>
      </w:r>
    </w:p>
    <w:p w14:paraId="25B62529" w14:textId="77777777" w:rsidR="008F50A4" w:rsidRPr="00575912" w:rsidRDefault="008F50A4" w:rsidP="008F50A4">
      <w:pPr>
        <w:spacing w:line="360" w:lineRule="auto"/>
        <w:jc w:val="both"/>
        <w:rPr>
          <w:rFonts w:ascii="Times New Roman" w:hAnsi="Times New Roman" w:cs="Times New Roman"/>
          <w:b/>
          <w:bCs/>
          <w:lang w:val="en-GB"/>
        </w:rPr>
      </w:pPr>
    </w:p>
    <w:p w14:paraId="57BC4ADE" w14:textId="77777777" w:rsidR="008F50A4" w:rsidRPr="00575912" w:rsidRDefault="008F50A4" w:rsidP="008F50A4">
      <w:pPr>
        <w:spacing w:line="360" w:lineRule="auto"/>
        <w:jc w:val="both"/>
        <w:rPr>
          <w:rFonts w:ascii="Times New Roman" w:hAnsi="Times New Roman" w:cs="Times New Roman"/>
          <w:b/>
          <w:bCs/>
          <w:lang w:val="en-GB"/>
        </w:rPr>
      </w:pPr>
    </w:p>
    <w:p w14:paraId="6D911098" w14:textId="77777777" w:rsidR="008F50A4" w:rsidRPr="00575912" w:rsidRDefault="008F50A4" w:rsidP="008F50A4">
      <w:pPr>
        <w:spacing w:line="360" w:lineRule="auto"/>
        <w:jc w:val="both"/>
        <w:rPr>
          <w:rFonts w:ascii="Times New Roman" w:hAnsi="Times New Roman" w:cs="Times New Roman"/>
          <w:b/>
          <w:bCs/>
          <w:lang w:val="en-GB"/>
        </w:rPr>
      </w:pPr>
      <w:r w:rsidRPr="00575912">
        <w:rPr>
          <w:rFonts w:ascii="Times New Roman" w:hAnsi="Times New Roman" w:cs="Times New Roman"/>
          <w:b/>
          <w:bCs/>
          <w:lang w:val="en-GB"/>
        </w:rPr>
        <w:t>Figure 1 and figure 2.</w:t>
      </w:r>
    </w:p>
    <w:p w14:paraId="71369146" w14:textId="77777777" w:rsidR="008F50A4" w:rsidRPr="00575912" w:rsidRDefault="008F50A4" w:rsidP="008F50A4">
      <w:pPr>
        <w:spacing w:line="360" w:lineRule="auto"/>
        <w:jc w:val="both"/>
        <w:rPr>
          <w:rFonts w:ascii="Times New Roman" w:hAnsi="Times New Roman" w:cs="Times New Roman"/>
          <w:b/>
          <w:bCs/>
          <w:lang w:val="en-GB"/>
        </w:rPr>
      </w:pPr>
    </w:p>
    <w:p w14:paraId="55702696" w14:textId="77777777" w:rsidR="008F50A4" w:rsidRPr="00575912" w:rsidRDefault="008F50A4" w:rsidP="008F50A4">
      <w:pPr>
        <w:spacing w:line="360" w:lineRule="auto"/>
        <w:jc w:val="both"/>
        <w:rPr>
          <w:rFonts w:ascii="Times New Roman" w:hAnsi="Times New Roman" w:cs="Times New Roman"/>
          <w:b/>
          <w:lang w:val="en-GB"/>
        </w:rPr>
      </w:pPr>
    </w:p>
    <w:p w14:paraId="4A852195" w14:textId="190AFBAA"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 Although the incidence and the prevalence of these crystal arthropathies is undetermined till this day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{"citationItems":[{"id":"ITEM-1","itemData":{"DOI":"10.1097/BOR.0000000000000246","ISSN":"1040-8711","PMID":"26626724","abstract":"PURPOSE OF REVIEW The purpose of this review is to summarize the recent advances in the epidemiology of calcium pyrophosphate deposition disease (CPPD), and to discuss their implications. This review is particularly timely as several epidemiological studies that enhance the understanding of CPPD have been published recently. RECENT FINDINGS This article will review recent findings on the prevalence of chondrocalcinosis; discuss new data on the associations between bone mineral density and chondrocalcinosis; and between diuretic use, chronic kidney disease 5 and 'pseudogout' (now termed acute calcium pyrophosphate crystal arthritis). It will summarize findings from a large dataset which reported that chondrocalcinosis results from a systemic predisposition, and that the association between chondrocalcinosis and polymorphisms in ANKH gene is independent of age and osteoarthritis. It will also review recent data which suggest that the association between chondrocalcinosis and osteoarthritis may be joint specific, and that chondrocalcinosis associates with radiographic attrition in knees with osteoarthritis. SUMMARY The studies reviewed suggest that CPPD occurs due to a generalized predisposition, and that it modifies the radiographic phenotype of osteoarthritis. However, further research is required to confirm if CPPD modifies the clinical phenotype of osteoarthritis.","author":[{"dropping-particle":"","family":"Abhishek","given":"Abhishek","non-dropping-particle":"","parse-names":false,"suffix":""}],"container-title":"Current Opinion in Rheumatology","id":"ITEM-1","issue":"2","issued":{"date-parts":[["2016","3"]]},"page":"133-139","title":"Calcium pyrophosphate deposition disease","type":"article-journal","volume":"28"},"uris":["http://www.mendeley.com/documents/?uuid=582a7f31-b169-3abc-a946-61ad127e8cb3"]}],"mendeley":{"formattedCitation":"[13]","plainTextFormattedCitation":"[13]","previouslyFormattedCitation":"[13]"},"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the socio-economic burden of these pathology is consistent. For instance, a large epidemiological study held in France reported 10,691 hospital admissions for pseudogout arthritis between 2009 and 2011 which resulted in 37.1 million Euros of expenses.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{"citationItems":[{"id":"ITEM-1","itemData":{"DOI":"10.1016/j.jbspin.2015.01.011","ISBN":"1297-319x","PMID":"25881756","abstract":"Objective: To describe the hospital burden of microcrystal arthropathies in France. Methods: Data were extracted from the 2009-2011 French hospital national databases. We selected all hospital stays for microcrystal arthropathies (gout, chondrocalcinosis, other) encoded as primary or secondary diagnoses in patients older than 18. A descriptive analysis focused on number of patients and hospital stays, age, gender, comorbidities related to metabolic syndrome, and hospital costs based on 2012 public-sector costs. Results: 132,275 hospitalizations involving 109,734 patients were related to microcrystal arthropathies encoded as primary or secondary diagnosis (61% related to gout, 34% to chondrocalcinosis, and 5% to other microcrystal arthropathies). 23,362 hospitalizations involving 25,105 patients were due to microcrystal diseases, encoded as primary diagnosis, (48% related to gout, 43% to chondrocalcinosis, and 9% to other microcrystal arthropathies). In this population, patients with chondrocalcinosis were older (mean 75.6 ± 13.5 versus 71 ± 16 years for other microcrystal arthropathies and 69.7 ± 14.7 for gout). Men represented 70% of the patients with gout, 39% of those with chondrocalcinosis and 52% of the patients with other microcrystal arthropathies. Hypertension, diabetes, dyslipidemia, cardiac ischemia, and renal failure were more frequent in patients with gout than other patients. The hospital costs for microcrystal arthropathies encoded as primary diagnosis were 82.3 million Euros, 45% related to gout, 45% to chondrocalcinosis and 11% to other microcrystals. Conclusion: In terms of hospital costs, gout and chondrocalcinosis represented the main part of the economic burden of crystal arthropathies and a high level of diseases belonging to the metabolic syndrome. Specific education programs favouring accurate microcrystal diagnosis and adherence to treatment could diminish this hospital economic burden.","author":[{"dropping-particle":"","family":"Maravic","given":"Milka","non-dropping-particle":"","parse-names":false,"suffix":""},{"dropping-particle":"","family":"Ea","given":"Hang-Korng Korng","non-dropping-particle":"","parse-names":false,"suffix":""}],"container-title":"Joint Bone Spine","id":"ITEM-1","issue":"5","issued":{"date-parts":[["2015","10"]]},"page":"326-329","title":"Hospital burden of gout, pseudogout and other crystal arthropathies in France","type":"article-journal","volume":"82"},"uris":["http://www.mendeley.com/documents/?uuid=2f2b35ac-28d1-46df-b944-342a2eda4e04"]}],"mendeley":{"formattedCitation":"[12]","plainTextFormattedCitation":"[12]","previouslyFormattedCitation":"[12]"},"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[12]</w:t>
      </w:r>
      <w:r w:rsidRPr="00575912">
        <w:rPr>
          <w:rFonts w:ascii="Times New Roman" w:hAnsi="Times New Roman" w:cs="Times New Roman"/>
          <w:lang w:val="en-GB"/>
        </w:rPr>
        <w:fldChar w:fldCharType="end"/>
      </w:r>
      <w:r w:rsidRPr="00575912">
        <w:rPr>
          <w:rFonts w:ascii="Times New Roman" w:hAnsi="Times New Roman" w:cs="Times New Roman"/>
          <w:lang w:val="en-GB"/>
        </w:rPr>
        <w:tab/>
      </w:r>
      <w:r w:rsidRPr="00575912">
        <w:rPr>
          <w:rFonts w:ascii="Times New Roman" w:hAnsi="Times New Roman" w:cs="Times New Roman"/>
          <w:lang w:val="en-GB"/>
        </w:rPr>
        <w:br/>
        <w:t xml:space="preserve">If we further consider any kind of hospitalization for crystal arthropathies as primary or secondary diagnosis, 132,275 hospitalizations involving 109,734 patients were reported (61% related to gout, 34% to chondrocalcinosis, and 5% to other microcrystal arthropathies)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{"citationItems":[{"id":"ITEM-1","itemData":{"DOI":"10.1016/j.jbspin.2015.01.011","ISBN":"1297-319x","PMID":"25881756","abstract":"Objective: To describe the hospital burden of microcrystal arthropathies in France. Methods: Data were extracted from the 2009-2011 French hospital national databases. We selected all hospital stays for microcrystal arthropathies (gout, chondrocalcinosis, other) encoded as primary or secondary diagnoses in patients older than 18. A descriptive analysis focused on number of patients and hospital stays, age, gender, comorbidities related to metabolic syndrome, and hospital costs based on 2012 public-sector costs. Results: 132,275 hospitalizations involving 109,734 patients were related to microcrystal arthropathies encoded as primary or secondary diagnosis (61% related to gout, 34% to chondrocalcinosis, and 5% to other microcrystal arthropathies). 23,362 hospitalizations involving 25,105 patients were due to microcrystal diseases, encoded as primary diagnosis, (48% related to gout, 43% to chondrocalcinosis, and 9% to other microcrystal arthropathies). In this population, patients with chondrocalcinosis were older (mean 75.6 ± 13.5 versus 71 ± 16 years for other microcrystal arthropathies and 69.7 ± 14.7 for gout). Men represented 70% of the patients with gout, 39% of those with chondrocalcinosis and 52% of the patients with other microcrystal arthropathies. Hypertension, diabetes, dyslipidemia, cardiac ischemia, and renal failure were more frequent in patients with gout than other patients. The hospital costs for microcrystal arthropathies encoded as primary diagnosis were 82.3 million Euros, 45% related to gout, 45% to chondrocalcinosis and 11% to other microcrystals. Conclusion: In terms of hospital costs, gout and chondrocalcinosis represented the main part of the economic burden of crystal arthropathies and a high level of diseases belonging to the metabolic syndrome. Specific education programs favouring accurate microcrystal diagnosis and adherence to treatment could diminish this hospital economic burden.","author":[{"dropping-particle":"","family":"Maravic","given":"Milka","non-dropping-particle":"","parse-names":false,"suffix":""},{"dropping-particle":"","family":"Ea","given":"Hang-Korng Korng","non-dropping-particle":"","parse-names":false,"suffix":""}],"container-title":"Joint Bone Spine","id":"ITEM-1","issue":"5","issued":{"date-parts":[["2015","10"]]},"page":"326-329","title":"Hospital burden of gout, pseudogout and other crystal arthropathies in France","type":"article-journal","volume":"82"},"uris":["http://www.mendeley.com/documents/?uuid=2f2b35ac-28d1-46df-b944-342a2eda4e04"]}],"mendeley":{"formattedCitation":"[12]","plainTextFormattedCitation":"[12]","previouslyFormattedCitation":"[12]"},"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[12]</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The overall hospital costs for microcrystal arthropathies encoded as primary diagnosis were 82.3 million Euros, 45% related to gout, 45% to pseudogout/chondrocalcinosis and 11% to other microcrystals.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{"citationItems":[{"id":"ITEM-1","itemData":{"DOI":"10.1016/j.jbspin.2015.01.011","ISBN":"1297-319x","PMID":"25881756","abstract":"Objective: To describe the hospital burden of microcrystal arthropathies in France. Methods: Data were extracted from the 2009-2011 French hospital national databases. We selected all hospital stays for microcrystal arthropathies (gout, chondrocalcinosis, other) encoded as primary or secondary diagnoses in patients older than 18. A descriptive analysis focused on number of patients and hospital stays, age, gender, comorbidities related to metabolic syndrome, and hospital costs based on 2012 public-sector costs. Results: 132,275 hospitalizations involving 109,734 patients were related to microcrystal arthropathies encoded as primary or secondary diagnosis (61% related to gout, 34% to chondrocalcinosis, and 5% to other microcrystal arthropathies). 23,362 hospitalizations involving 25,105 patients were due to microcrystal diseases, encoded as primary diagnosis, (48% related to gout, 43% to chondrocalcinosis, and 9% to other microcrystal arthropathies). In this population, patients with chondrocalcinosis were older (mean 75.6 ± 13.5 versus 71 ± 16 years for other microcrystal arthropathies and 69.7 ± 14.7 for gout). Men represented 70% of the patients with gout, 39% of those with chondrocalcinosis and 52% of the patients with other microcrystal arthropathies. Hypertension, diabetes, dyslipidemia, cardiac ischemia, and renal failure were more frequent in patients with gout than other patients. The hospital costs for microcrystal arthropathies encoded as primary diagnosis were 82.3 million Euros, 45% related to gout, 45% to chondrocalcinosis and 11% to other microcrystals. Conclusion: In terms of hospital costs, gout and chondrocalcinosis represented the main part of the economic burden of crystal arthropathies and a high level of diseases belonging to the metabolic syndrome. Specific education programs favouring accurate microcrystal diagnosis and adherence to treatment could diminish this hospital economic burden.","author":[{"dropping-particle":"","family":"Maravic","given":"Milka","non-dropping-particle":"","parse-names":false,"suffix":""},{"dropping-particle":"","family":"Ea","given":"Hang-Korng Korng","non-dropping-particle":"","parse-names":false,"suffix":""}],"container-title":"Joint Bone Spine","id":"ITEM-1","issue":"5","issued":{"date-parts":[["2015","10"]]},"page":"326-329","title":"Hospital burden of gout, pseudogout and other crystal arthropathies in France","type":"article-journal","volume":"82"},"uris":["http://www.mendeley.com/documents/?uuid=2f2b35ac-28d1-46df-b944-342a2eda4e04"]}],"mendeley":{"formattedCitation":"[12]","plainTextFormattedCitation":"[12]","previouslyFormattedCitation":"[12]"},"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[12]</w:t>
      </w:r>
      <w:r w:rsidRPr="00575912">
        <w:rPr>
          <w:rFonts w:ascii="Times New Roman" w:hAnsi="Times New Roman" w:cs="Times New Roman"/>
          <w:lang w:val="en-GB"/>
        </w:rPr>
        <w:fldChar w:fldCharType="end"/>
      </w:r>
      <w:r w:rsidRPr="00575912">
        <w:rPr>
          <w:rFonts w:ascii="Times New Roman" w:hAnsi="Times New Roman" w:cs="Times New Roman"/>
          <w:lang w:val="en-GB"/>
        </w:rPr>
        <w:tab/>
        <w:t xml:space="preserve"> </w:t>
      </w:r>
      <w:r w:rsidRPr="00575912">
        <w:rPr>
          <w:rFonts w:ascii="Times New Roman" w:hAnsi="Times New Roman" w:cs="Times New Roman"/>
          <w:lang w:val="en-GB"/>
        </w:rPr>
        <w:tab/>
      </w:r>
    </w:p>
    <w:p w14:paraId="706629D7"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b/>
          <w:lang w:val="en-GB"/>
        </w:rPr>
        <w:lastRenderedPageBreak/>
        <w:t xml:space="preserve">Figure 3. </w:t>
      </w:r>
      <w:r w:rsidRPr="00575912">
        <w:rPr>
          <w:rFonts w:ascii="Times New Roman" w:hAnsi="Times New Roman" w:cs="Times New Roman"/>
          <w:lang w:val="en-GB"/>
        </w:rPr>
        <w:t>Descriptive plot of crystal results and age.</w:t>
      </w:r>
    </w:p>
    <w:p w14:paraId="1A601FB5" w14:textId="27BA99EB"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The older age of the patients presenting with pseudogout (Figure 3) can be partially explained as part of the common risk factors associated with this disease, this includes higher BMI, use of thiazide and loop diuretics, and osteoarthritis.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{"citationItems":[{"id":"ITEM-1","itemData":{"DOI":"10.1093/rheumatology/kes204","ISBN":"1462-0324","PMID":"22886340","abstract":"Objective. To evaluate the association between the purported risk factors for chondrocalcinosis and gout and the risk of pseudogout in the general population. Methods. We conducted a case-control study nested within a UK general practice database (The Health Improvement Network) by identifying incident cases of pseudogout between 1986 and 2007 and up to 10 control subjects matched to each case, based on age, sex and follow-up time. We evaluated the purported risk factors for chondrocalcinosis (i.e. OA, RA, hyperparathyroidism and diuretics) and established risk factors for gout (as comparison exposures) using conditional logistic regression analysis. Results. We identified 795 cases of pseudogout and 7770 matched control subjects. The risk of pseudogout was associated with hyperparathyroidism [odds ratio (OR) 4.87; 95% CI 2.10, 11.3], OA (OR 2.91; 95% CI 2.48, 3.43) and loop diuretic use (OR 1.35; 95% CI 1.09, 1.67). RA, thiazide diuretic use, BMI and other gout risk factors were not associated with the risk of pseudogout, except for chronic renal failure (OR 2.29; 95% CI 1.30, 4.01). Conclusion. This general population study based on physician-recorded pseudogout suggests that most of the previously observed associations with chondrocalcinosis are replicable with the risk of pseudogout, but there are notable differences, such as thiazide diuretics, RA and chronic renal failure, highlighting the need to study the clinical outcome, pseudogout. Avoiding loop diuretics may help individuals with recurrent pseudogout.","author":[{"dropping-particle":"","family":"Rho","given":"Young Hee","non-dropping-particle":"","parse-names":false,"suffix":""},{"dropping-particle":"","family":"Zhu","given":"Yanyan","non-dropping-particle":"","parse-names":false,"suffix":""},{"dropping-particle":"","family":"Zhang","given":"Yuqing","non-dropping-particle":"","parse-names":false,"suffix":""},{"dropping-particle":"","family":"Reginato","given":"Anthony M","non-dropping-particle":"","parse-names":false,"suffix":""},{"dropping-particle":"","family":"Choi","given":"Hyon K","non-dropping-particle":"","parse-names":false,"suffix":""}],"id":"ITEM-1","issue":"11","issued":{"date-parts":[["2012","11","1"]]},"page":"2070-2074","publisher":"Oxford University Press","title":"Risk factors for pseudogout in the general population","type":"article-journal","volume":"51"},"uris":["http://www.mendeley.com/documents/?uuid=256ce54f-e569-424e-bf16-2b0d64cfc106"]}],"mendeley":{"formattedCitation":"[15]","plainTextFormattedCitation":"[15]","previouslyFormattedCitation":"[15]"},"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[15]</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However, these risk factors seems common to other crystal arthropathies such as Gout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{"citationItems":[{"id":"ITEM-1","itemData":{"DOI":"10.1016/S0140-6736(16)00346-9","ISBN":"9781780841892","PMID":"27112094","abstract":"Gout is a chronic disease of deposition of monosodium urate crystals, which form in the presence of increased urate concentrations. Although environmental factors contribute to hyperuricaemia, renal and gut excretion of urate is central to regulation of serum urate, and genetic factors are important. Activation of the NLRP3 inflammasome and release of interleukin 1β have key roles in initiation of acute gout flares. A “treat to target serum urate” approach is essential for effective gout management; long-term lowering of serum urate to less than 360 μmol/L leads to crystal dissolution and ultimately to suppression of flares. An allopurinol dose-escalation strategy is frequently effective for achieving treatment targets, and several new urate-lowering drugs are also available. Worldwide, rates of initiation and continuation of urate-lowering therapy are very low, and, consequently, achievement of serum urate targets is infrequent. Strategies to improve quality of gout care are needed.","author":[{"dropping-particle":"","family":"Dalbeth","given":"Nicola","non-dropping-particle":"","parse-names":false,"suffix":""},{"dropping-particle":"","family":"Merriman","given":"Tony R","non-dropping-particle":"","parse-names":false,"suffix":""},{"dropping-particle":"","family":"Stamp","given":"Lisa K","non-dropping-particle":"","parse-names":false,"suffix":""}],"container-title":"The Lancet","id":"ITEM-1","issue":"10055","issued":{"date-parts":[["2016","10","22"]]},"page":"2039-2052","publisher":"Elsevier","title":"Gout","type":"bill","volume":"388"},"uris":["http://www.mendeley.com/documents/?uuid=640a2c30-3edd-4ea8-90a9-619aae496475"]}],"mendeley":{"formattedCitation":"[14]","plainTextFormattedCitation":"[14]","previouslyFormattedCitation":"[14]"},"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[14]</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which in our study was less diagnosed (4/36). This can be explained by the improved management of the disease which reduces the number of acute presentations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{"citationItems":[{"id":"ITEM-1","itemData":{"DOI":"10.1016/S0140-6736(16)00346-9","ISBN":"9781780841892","PMID":"27112094","abstract":"Gout is a chronic disease of deposition of monosodium urate crystals, which form in the presence of increased urate concentrations. Although environmental factors contribute to hyperuricaemia, renal and gut excretion of urate is central to regulation of serum urate, and genetic factors are important. Activation of the NLRP3 inflammasome and release of interleukin 1β have key roles in initiation of acute gout flares. A “treat to target serum urate” approach is essential for effective gout management; long-term lowering of serum urate to less than 360 μmol/L leads to crystal dissolution and ultimately to suppression of flares. An allopurinol dose-escalation strategy is frequently effective for achieving treatment targets, and several new urate-lowering drugs are also available. Worldwide, rates of initiation and continuation of urate-lowering therapy are very low, and, consequently, achievement of serum urate targets is infrequent. Strategies to improve quality of gout care are needed.","author":[{"dropping-particle":"","family":"Dalbeth","given":"Nicola","non-dropping-particle":"","parse-names":false,"suffix":""},{"dropping-particle":"","family":"Merriman","given":"Tony R","non-dropping-particle":"","parse-names":false,"suffix":""},{"dropping-particle":"","family":"Stamp","given":"Lisa K","non-dropping-particle":"","parse-names":false,"suffix":""}],"container-title":"The Lancet","id":"ITEM-1","issue":"10055","issued":{"date-parts":[["2016","10","22"]]},"page":"2039-2052","publisher":"Elsevier","title":"Gout","type":"bill","volume":"388"},"uris":["http://www.mendeley.com/documents/?uuid=640a2c30-3edd-4ea8-90a9-619aae496475"]}],"mendeley":{"formattedCitation":"[14]","plainTextFormattedCitation":"[14]","previouslyFormattedCitation":"[14]"},"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[14]</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The lack of definitive management for Pseudogout leads to more frequent acute presentations.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{"citationItems":[{"id":"ITEM-1","itemData":{"DOI":"10.1097/BOR.0000000000000246","ISSN":"1040-8711","PMID":"26626724","abstract":"PURPOSE OF REVIEW The purpose of this review is to summarize the recent advances in the epidemiology of calcium pyrophosphate deposition disease (CPPD), and to discuss their implications. This review is particularly timely as several epidemiological studies that enhance the understanding of CPPD have been published recently. RECENT FINDINGS This article will review recent findings on the prevalence of chondrocalcinosis; discuss new data on the associations between bone mineral density and chondrocalcinosis; and between diuretic use, chronic kidney disease 5 and 'pseudogout' (now termed acute calcium pyrophosphate crystal arthritis). It will summarize findings from a large dataset which reported that chondrocalcinosis results from a systemic predisposition, and that the association between chondrocalcinosis and polymorphisms in ANKH gene is independent of age and osteoarthritis. It will also review recent data which suggest that the association between chondrocalcinosis and osteoarthritis may be joint specific, and that chondrocalcinosis associates with radiographic attrition in knees with osteoarthritis. SUMMARY The studies reviewed suggest that CPPD occurs due to a generalized predisposition, and that it modifies the radiographic phenotype of osteoarthritis. However, further research is required to confirm if CPPD modifies the clinical phenotype of osteoarthritis.","author":[{"dropping-particle":"","family":"Abhishek","given":"Abhishek","non-dropping-particle":"","parse-names":false,"suffix":""}],"container-title":"Current Opinion in Rheumatology","id":"ITEM-1","issue":"2","issued":{"date-parts":[["2016","3"]]},"page":"133-139","title":"Calcium pyrophosphate deposition disease","type":"article-journal","volume":"28"},"uris":["http://www.mendeley.com/documents/?uuid=582a7f31-b169-3abc-a946-61ad127e8cb3"]}],"mendeley":{"formattedCitation":"[13]","plainTextFormattedCitation":"[13]","previouslyFormattedCitation":"[13]"},"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[13]</w:t>
      </w:r>
      <w:r w:rsidRPr="00575912">
        <w:rPr>
          <w:rFonts w:ascii="Times New Roman" w:hAnsi="Times New Roman" w:cs="Times New Roman"/>
          <w:lang w:val="en-GB"/>
        </w:rPr>
        <w:fldChar w:fldCharType="end"/>
      </w:r>
      <w:r w:rsidRPr="00575912">
        <w:rPr>
          <w:rFonts w:ascii="Times New Roman" w:hAnsi="Times New Roman" w:cs="Times New Roman"/>
          <w:lang w:val="en-GB"/>
        </w:rPr>
        <w:tab/>
      </w:r>
      <w:r w:rsidRPr="00575912">
        <w:rPr>
          <w:rFonts w:ascii="Times New Roman" w:hAnsi="Times New Roman" w:cs="Times New Roman"/>
          <w:lang w:val="en-GB"/>
        </w:rPr>
        <w:br/>
        <w:t xml:space="preserve">In our study we did not find significant difference between patients presenting to the ED and patients presenting to elective clinics.  Even though, subgroup analysis split by crystal microscopy diagnosis was done, no significant evidence was found. This may be explained by the variability of the severity of symptoms of the disease, which can present in different grade of severity even in acute events. </w:t>
      </w:r>
      <w:r w:rsidRPr="00575912">
        <w:rPr>
          <w:rFonts w:ascii="Times New Roman" w:hAnsi="Times New Roman" w:cs="Times New Roman"/>
          <w:lang w:val="en-GB"/>
        </w:rPr>
        <w:fldChar w:fldCharType="begin" w:fldLock="1"/>
      </w:r>
      <w:r w:rsidR="00575912" w:rsidRPr="00575912">
        <w:rPr>
          <w:rFonts w:ascii="Times New Roman" w:hAnsi="Times New Roman" w:cs="Times New Roman"/>
          <w:lang w:val="en-GB"/>
        </w:rPr>
        <w:instrText>ADDIN CSL_CITATION {"citationItems":[{"id":"ITEM-1","itemData":{"DOI":"10.1097/BOR.0000000000000246","ISSN":"1040-8711","PMID":"26626724","abstract":"PURPOSE OF REVIEW The purpose of this review is to summarize the recent advances in the epidemiology of calcium pyrophosphate deposition disease (CPPD), and to discuss their implications. This review is particularly timely as several epidemiological studies that enhance the understanding of CPPD have been published recently. RECENT FINDINGS This article will review recent findings on the prevalence of chondrocalcinosis; discuss new data on the associations between bone mineral density and chondrocalcinosis; and between diuretic use, chronic kidney disease 5 and 'pseudogout' (now termed acute calcium pyrophosphate crystal arthritis). It will summarize findings from a large dataset which reported that chondrocalcinosis results from a systemic predisposition, and that the association between chondrocalcinosis and polymorphisms in ANKH gene is independent of age and osteoarthritis. It will also review recent data which suggest that the association between chondrocalcinosis and osteoarthritis may be joint specific, and that chondrocalcinosis associates with radiographic attrition in knees with osteoarthritis. SUMMARY The studies reviewed suggest that CPPD occurs due to a generalized predisposition, and that it modifies the radiographic phenotype of osteoarthritis. However, further research is required to confirm if CPPD modifies the clinical phenotype of osteoarthritis.","author":[{"dropping-particle":"","family":"Abhishek","given":"Abhishek","non-dropping-particle":"","parse-names":false,"suffix":""}],"container-title":"Current Opinion in Rheumatology","id":"ITEM-1","issue":"2","issued":{"date-parts":[["2016","3"]]},"page":"133-139","title":"Calcium pyrophosphate deposition disease","type":"article-journal","volume":"28"},"uris":["http://www.mendeley.com/documents/?uuid=582a7f31-b169-3abc-a946-61ad127e8cb3"]}],"mendeley":{"formattedCitation":"[13]","plainTextFormattedCitation":"[13]","previouslyFormattedCitation":"[13]"},"properties":{"noteIndex":0},"schema":"https://github.com/citation-style-language/schema/raw/master/csl-citation.json"}</w:instrText>
      </w:r>
      <w:r w:rsidRPr="00575912">
        <w:rPr>
          <w:rFonts w:ascii="Times New Roman" w:hAnsi="Times New Roman" w:cs="Times New Roman"/>
          <w:lang w:val="en-GB"/>
        </w:rPr>
        <w:fldChar w:fldCharType="separate"/>
      </w:r>
      <w:r w:rsidR="00891BE9" w:rsidRPr="00575912">
        <w:rPr>
          <w:rFonts w:ascii="Times New Roman" w:hAnsi="Times New Roman" w:cs="Times New Roman"/>
          <w:noProof/>
          <w:lang w:val="en-GB"/>
        </w:rPr>
        <w:t>[13]</w:t>
      </w:r>
      <w:r w:rsidRPr="00575912">
        <w:rPr>
          <w:rFonts w:ascii="Times New Roman" w:hAnsi="Times New Roman" w:cs="Times New Roman"/>
          <w:lang w:val="en-GB"/>
        </w:rPr>
        <w:fldChar w:fldCharType="end"/>
      </w:r>
      <w:r w:rsidRPr="00575912">
        <w:rPr>
          <w:rFonts w:ascii="Times New Roman" w:hAnsi="Times New Roman" w:cs="Times New Roman"/>
          <w:lang w:val="en-GB"/>
        </w:rPr>
        <w:t xml:space="preserve"> </w:t>
      </w:r>
    </w:p>
    <w:p w14:paraId="74AD2D4E"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 xml:space="preserve">The high incidence of Pseudogout and gout in our study group sheds light on the importance of the crystal arthropathies in patients presenting with a hot swollen joint. When managing this common condition, both in the ED and in the clinics, it should be taken into account the possibility of a monoarthritic due to crystal deposition. In a similar condition, we recommend </w:t>
      </w:r>
      <w:r w:rsidRPr="00575912">
        <w:rPr>
          <w:rFonts w:ascii="Times New Roman" w:hAnsi="Times New Roman" w:cs="Times New Roman"/>
          <w:lang w:val="en-GB"/>
        </w:rPr>
        <w:t>aspirating the joint and sending the sample for further analysis.</w:t>
      </w:r>
    </w:p>
    <w:bookmarkEnd w:id="17"/>
    <w:p w14:paraId="32AFFF46" w14:textId="77777777" w:rsidR="008F50A4" w:rsidRPr="00575912" w:rsidRDefault="008F50A4" w:rsidP="008F50A4">
      <w:pPr>
        <w:spacing w:line="360" w:lineRule="auto"/>
        <w:jc w:val="both"/>
        <w:rPr>
          <w:rFonts w:ascii="Times New Roman" w:hAnsi="Times New Roman" w:cs="Times New Roman"/>
          <w:b/>
          <w:lang w:val="en-GB"/>
        </w:rPr>
      </w:pPr>
      <w:r w:rsidRPr="00575912">
        <w:rPr>
          <w:rFonts w:ascii="Times New Roman" w:hAnsi="Times New Roman" w:cs="Times New Roman"/>
          <w:b/>
          <w:lang w:val="en-GB"/>
        </w:rPr>
        <w:t>CONCLUSION</w:t>
      </w:r>
    </w:p>
    <w:p w14:paraId="24E0F6AD" w14:textId="77777777" w:rsidR="008F50A4" w:rsidRPr="00575912" w:rsidRDefault="008F50A4" w:rsidP="008F50A4">
      <w:pPr>
        <w:spacing w:line="360" w:lineRule="auto"/>
        <w:jc w:val="both"/>
        <w:rPr>
          <w:rFonts w:ascii="Times New Roman" w:hAnsi="Times New Roman" w:cs="Times New Roman"/>
          <w:lang w:val="en-GB"/>
        </w:rPr>
      </w:pPr>
      <w:r w:rsidRPr="00575912">
        <w:rPr>
          <w:rFonts w:ascii="Times New Roman" w:hAnsi="Times New Roman" w:cs="Times New Roman"/>
          <w:lang w:val="en-GB"/>
        </w:rPr>
        <w:t>A hot, swollen joint is a common presentation to both ED and elective clinics. Literature lacks definitive evidence on the incidence of the different pathologies involved in this clinical presentation. Our single-centre retrospective study sheds light on the high incidence of crystal related pathologies. In particular, elderly patients presenting to both ED and clinics with a hot swollen joint are more commonly affected by Pseudogout. In order to improve our management of this common condition and enhance our understanding of the clinical diagnosis in certain patient population, further high-profile clinical studies are needed.</w:t>
      </w:r>
    </w:p>
    <w:p w14:paraId="656400F2" w14:textId="77777777" w:rsidR="008F50A4" w:rsidRPr="00575912" w:rsidRDefault="008F50A4" w:rsidP="008F50A4">
      <w:pPr>
        <w:spacing w:line="360" w:lineRule="auto"/>
        <w:jc w:val="both"/>
        <w:rPr>
          <w:rFonts w:ascii="Times New Roman" w:hAnsi="Times New Roman" w:cs="Times New Roman"/>
          <w:lang w:val="en-GB"/>
        </w:rPr>
      </w:pPr>
    </w:p>
    <w:p w14:paraId="4885234C" w14:textId="77777777" w:rsidR="008F50A4" w:rsidRPr="00575912" w:rsidRDefault="008F50A4" w:rsidP="008F50A4">
      <w:pPr>
        <w:pStyle w:val="05-ArticleText"/>
        <w:spacing w:line="360" w:lineRule="auto"/>
        <w:rPr>
          <w:b/>
        </w:rPr>
      </w:pPr>
      <w:r w:rsidRPr="00575912">
        <w:rPr>
          <w:b/>
        </w:rPr>
        <w:t>LIST OF ABBREVIATIONS</w:t>
      </w:r>
    </w:p>
    <w:p w14:paraId="36A7FD37" w14:textId="77777777" w:rsidR="008F50A4" w:rsidRPr="00575912" w:rsidRDefault="008F50A4" w:rsidP="008F50A4">
      <w:pPr>
        <w:pStyle w:val="05-ArticleText"/>
        <w:spacing w:line="360" w:lineRule="auto"/>
      </w:pPr>
      <w:r w:rsidRPr="00575912">
        <w:t>ED: Emergency Department</w:t>
      </w:r>
      <w:r w:rsidRPr="00575912">
        <w:tab/>
      </w:r>
    </w:p>
    <w:p w14:paraId="65AA0251" w14:textId="77777777" w:rsidR="008F50A4" w:rsidRPr="00575912" w:rsidRDefault="008F50A4" w:rsidP="008F50A4">
      <w:pPr>
        <w:pStyle w:val="05-ArticleText"/>
        <w:spacing w:line="360" w:lineRule="auto"/>
      </w:pPr>
      <w:r w:rsidRPr="00575912">
        <w:t xml:space="preserve">GP: General practitioner  </w:t>
      </w:r>
    </w:p>
    <w:p w14:paraId="4627C760" w14:textId="77777777" w:rsidR="008F50A4" w:rsidRPr="00575912" w:rsidRDefault="008F50A4" w:rsidP="008F50A4">
      <w:pPr>
        <w:pStyle w:val="05-ArticleText"/>
        <w:spacing w:line="360" w:lineRule="auto"/>
        <w:rPr>
          <w:lang w:val="en-GB"/>
        </w:rPr>
      </w:pPr>
      <w:r w:rsidRPr="00575912">
        <w:rPr>
          <w:lang w:val="en-GB"/>
        </w:rPr>
        <w:t>ESR: erythrocyte sedimentation rate</w:t>
      </w:r>
    </w:p>
    <w:p w14:paraId="7F188191" w14:textId="77777777" w:rsidR="008F50A4" w:rsidRPr="00575912" w:rsidRDefault="008F50A4" w:rsidP="008F50A4">
      <w:pPr>
        <w:pStyle w:val="05-ArticleText"/>
        <w:spacing w:line="360" w:lineRule="auto"/>
      </w:pPr>
      <w:r w:rsidRPr="00575912">
        <w:rPr>
          <w:lang w:val="en-GB"/>
        </w:rPr>
        <w:t>CRP: C-reactive protein</w:t>
      </w:r>
    </w:p>
    <w:p w14:paraId="6A2F93C1" w14:textId="77777777" w:rsidR="008F50A4" w:rsidRPr="00575912" w:rsidRDefault="008F50A4" w:rsidP="008F50A4">
      <w:pPr>
        <w:pStyle w:val="05-ArticleText"/>
        <w:spacing w:before="240" w:line="360" w:lineRule="auto"/>
        <w:rPr>
          <w:b/>
          <w:bCs/>
        </w:rPr>
      </w:pPr>
      <w:r w:rsidRPr="00575912">
        <w:rPr>
          <w:b/>
          <w:bCs/>
          <w:lang w:val="en-GB"/>
        </w:rPr>
        <w:t>CONFLICT OF INTEREST</w:t>
      </w:r>
    </w:p>
    <w:p w14:paraId="3E444B86" w14:textId="77777777" w:rsidR="008F50A4" w:rsidRPr="00575912" w:rsidRDefault="008F50A4" w:rsidP="008F50A4">
      <w:pPr>
        <w:pStyle w:val="05-ArticleText"/>
        <w:spacing w:line="360" w:lineRule="auto"/>
        <w:rPr>
          <w:lang w:val="en-GB" w:bidi="fa-IR"/>
        </w:rPr>
      </w:pPr>
      <w:r w:rsidRPr="00575912">
        <w:rPr>
          <w:lang w:bidi="fa-IR"/>
        </w:rPr>
        <w:tab/>
      </w:r>
      <w:r w:rsidRPr="00575912">
        <w:rPr>
          <w:lang w:val="en-GB" w:bidi="fa-IR"/>
        </w:rPr>
        <w:t>All the authors of the present paper declare no conflict of interest and nothing to disclose.</w:t>
      </w:r>
    </w:p>
    <w:p w14:paraId="5D12298C" w14:textId="77777777" w:rsidR="008F50A4" w:rsidRPr="00575912" w:rsidRDefault="008F50A4" w:rsidP="008F50A4">
      <w:pPr>
        <w:pStyle w:val="06-Heading-1"/>
        <w:spacing w:before="240" w:line="360" w:lineRule="auto"/>
        <w:sectPr w:rsidR="008F50A4" w:rsidRPr="00575912" w:rsidSect="00F80532">
          <w:type w:val="continuous"/>
          <w:pgSz w:w="11906" w:h="16838"/>
          <w:pgMar w:top="1417" w:right="1134" w:bottom="1134" w:left="1134" w:header="708" w:footer="708" w:gutter="0"/>
          <w:cols w:num="2" w:space="708"/>
          <w:docGrid w:linePitch="360"/>
        </w:sectPr>
      </w:pPr>
    </w:p>
    <w:p w14:paraId="1CD0BFD8" w14:textId="77777777" w:rsidR="008F50A4" w:rsidRPr="00575912" w:rsidRDefault="008F50A4" w:rsidP="008F50A4">
      <w:pPr>
        <w:spacing w:line="360" w:lineRule="auto"/>
        <w:jc w:val="both"/>
        <w:rPr>
          <w:rFonts w:ascii="Times New Roman" w:hAnsi="Times New Roman" w:cs="Times New Roman"/>
          <w:lang w:val="en-GB"/>
        </w:rPr>
      </w:pPr>
    </w:p>
    <w:p w14:paraId="0CC6843C" w14:textId="50D16530" w:rsidR="005E308B" w:rsidRPr="00575912" w:rsidRDefault="005E308B" w:rsidP="00AA06A5">
      <w:pPr>
        <w:pStyle w:val="06-Heading-1"/>
        <w:spacing w:before="240" w:line="360" w:lineRule="auto"/>
        <w:rPr>
          <w:lang w:val="en-GB"/>
        </w:rPr>
        <w:sectPr w:rsidR="005E308B" w:rsidRPr="00575912" w:rsidSect="00F80532">
          <w:type w:val="continuous"/>
          <w:pgSz w:w="11906" w:h="16838"/>
          <w:pgMar w:top="1417" w:right="1134" w:bottom="1134" w:left="1134" w:header="708" w:footer="708" w:gutter="0"/>
          <w:cols w:num="2" w:space="708"/>
          <w:docGrid w:linePitch="360"/>
        </w:sectPr>
      </w:pPr>
    </w:p>
    <w:p w14:paraId="336B96E4" w14:textId="483DFAAC" w:rsidR="00D82484" w:rsidRPr="00575912" w:rsidRDefault="00D82484" w:rsidP="00AA06A5">
      <w:pPr>
        <w:spacing w:line="360" w:lineRule="auto"/>
        <w:jc w:val="both"/>
        <w:rPr>
          <w:rFonts w:ascii="Times New Roman" w:hAnsi="Times New Roman" w:cs="Times New Roman"/>
          <w:lang w:val="en-GB"/>
        </w:rPr>
      </w:pPr>
    </w:p>
    <w:p w14:paraId="6C582DDD" w14:textId="77777777" w:rsidR="00AA06A5" w:rsidRPr="00575912" w:rsidRDefault="00AA06A5" w:rsidP="00AA06A5">
      <w:pPr>
        <w:spacing w:line="360" w:lineRule="auto"/>
        <w:jc w:val="both"/>
        <w:rPr>
          <w:rFonts w:ascii="Times New Roman" w:hAnsi="Times New Roman" w:cs="Times New Roman"/>
          <w:b/>
          <w:lang w:val="en-GB"/>
        </w:rPr>
      </w:pPr>
    </w:p>
    <w:p w14:paraId="10D72770" w14:textId="77777777" w:rsidR="00AA06A5" w:rsidRPr="00575912" w:rsidRDefault="00AA06A5" w:rsidP="00AA06A5">
      <w:pPr>
        <w:spacing w:line="360" w:lineRule="auto"/>
        <w:jc w:val="both"/>
        <w:rPr>
          <w:rFonts w:ascii="Times New Roman" w:hAnsi="Times New Roman" w:cs="Times New Roman"/>
          <w:b/>
          <w:lang w:val="en-GB"/>
        </w:rPr>
      </w:pPr>
    </w:p>
    <w:p w14:paraId="0181CA0F" w14:textId="77777777" w:rsidR="00AA06A5" w:rsidRPr="00575912" w:rsidRDefault="00AA06A5" w:rsidP="00AA06A5">
      <w:pPr>
        <w:spacing w:line="360" w:lineRule="auto"/>
        <w:jc w:val="both"/>
        <w:rPr>
          <w:rFonts w:ascii="Times New Roman" w:hAnsi="Times New Roman" w:cs="Times New Roman"/>
          <w:b/>
          <w:lang w:val="en-GB"/>
        </w:rPr>
      </w:pPr>
    </w:p>
    <w:p w14:paraId="5F93AE42" w14:textId="77777777" w:rsidR="00AA06A5" w:rsidRPr="00575912" w:rsidRDefault="00AA06A5" w:rsidP="00AA06A5">
      <w:pPr>
        <w:spacing w:line="360" w:lineRule="auto"/>
        <w:jc w:val="both"/>
        <w:rPr>
          <w:rFonts w:ascii="Times New Roman" w:hAnsi="Times New Roman" w:cs="Times New Roman"/>
          <w:b/>
          <w:lang w:val="en-GB"/>
        </w:rPr>
      </w:pPr>
    </w:p>
    <w:p w14:paraId="3B197A3B" w14:textId="77777777" w:rsidR="00AA06A5" w:rsidRPr="00575912" w:rsidRDefault="00AA06A5" w:rsidP="00AA06A5">
      <w:pPr>
        <w:spacing w:line="360" w:lineRule="auto"/>
        <w:jc w:val="both"/>
        <w:rPr>
          <w:rFonts w:ascii="Times New Roman" w:hAnsi="Times New Roman" w:cs="Times New Roman"/>
          <w:b/>
          <w:lang w:val="en-GB"/>
        </w:rPr>
      </w:pPr>
    </w:p>
    <w:p w14:paraId="653D7284" w14:textId="77777777" w:rsidR="00AA06A5" w:rsidRPr="00575912" w:rsidRDefault="00AA06A5" w:rsidP="00AA06A5">
      <w:pPr>
        <w:spacing w:line="360" w:lineRule="auto"/>
        <w:jc w:val="both"/>
        <w:rPr>
          <w:rFonts w:ascii="Times New Roman" w:hAnsi="Times New Roman" w:cs="Times New Roman"/>
          <w:b/>
          <w:lang w:val="en-GB"/>
        </w:rPr>
      </w:pPr>
    </w:p>
    <w:p w14:paraId="0E65BAF3" w14:textId="77777777" w:rsidR="00EA1768" w:rsidRPr="00575912" w:rsidRDefault="00EA1768" w:rsidP="00AA06A5">
      <w:pPr>
        <w:spacing w:line="360" w:lineRule="auto"/>
        <w:jc w:val="both"/>
        <w:rPr>
          <w:rFonts w:ascii="Times New Roman" w:hAnsi="Times New Roman" w:cs="Times New Roman"/>
          <w:b/>
          <w:lang w:val="en-GB"/>
        </w:rPr>
      </w:pPr>
    </w:p>
    <w:p w14:paraId="77BFE292" w14:textId="78D7EB2B" w:rsidR="005C077B" w:rsidRPr="00575912" w:rsidRDefault="005C077B" w:rsidP="00AA06A5">
      <w:pPr>
        <w:spacing w:line="360" w:lineRule="auto"/>
        <w:jc w:val="both"/>
        <w:rPr>
          <w:rFonts w:ascii="Times New Roman" w:hAnsi="Times New Roman" w:cs="Times New Roman"/>
          <w:b/>
          <w:lang w:val="en-GB"/>
        </w:rPr>
      </w:pPr>
      <w:r w:rsidRPr="00575912">
        <w:rPr>
          <w:rFonts w:ascii="Times New Roman" w:hAnsi="Times New Roman" w:cs="Times New Roman"/>
          <w:b/>
          <w:lang w:val="en-GB"/>
        </w:rPr>
        <w:lastRenderedPageBreak/>
        <w:t>References</w:t>
      </w:r>
    </w:p>
    <w:p w14:paraId="1763F51A" w14:textId="77777777" w:rsidR="005C077B" w:rsidRPr="00575912" w:rsidRDefault="005C077B" w:rsidP="00AA06A5">
      <w:pPr>
        <w:spacing w:line="360" w:lineRule="auto"/>
        <w:jc w:val="both"/>
        <w:rPr>
          <w:rFonts w:ascii="Times New Roman" w:hAnsi="Times New Roman" w:cs="Times New Roman"/>
          <w:b/>
          <w:lang w:val="en-GB"/>
        </w:rPr>
      </w:pPr>
    </w:p>
    <w:p w14:paraId="0E976EA6" w14:textId="7E818FC0" w:rsidR="00575912" w:rsidRPr="003675A9" w:rsidRDefault="00101806"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575912">
        <w:rPr>
          <w:rFonts w:ascii="Times New Roman" w:hAnsi="Times New Roman" w:cs="Times New Roman"/>
          <w:lang w:val="en-GB"/>
        </w:rPr>
        <w:fldChar w:fldCharType="begin" w:fldLock="1"/>
      </w:r>
      <w:r w:rsidRPr="00575912">
        <w:rPr>
          <w:rFonts w:ascii="Times New Roman" w:hAnsi="Times New Roman" w:cs="Times New Roman"/>
          <w:lang w:val="en-GB"/>
        </w:rPr>
        <w:instrText xml:space="preserve">ADDIN Mendeley Bibliography CSL_BIBLIOGRAPHY </w:instrText>
      </w:r>
      <w:r w:rsidRPr="00575912">
        <w:rPr>
          <w:rFonts w:ascii="Times New Roman" w:hAnsi="Times New Roman" w:cs="Times New Roman"/>
          <w:lang w:val="en-GB"/>
        </w:rPr>
        <w:fldChar w:fldCharType="separate"/>
      </w:r>
      <w:r w:rsidR="00575912" w:rsidRPr="003675A9">
        <w:rPr>
          <w:rFonts w:ascii="Times New Roman" w:hAnsi="Times New Roman" w:cs="Times New Roman"/>
          <w:noProof/>
          <w:szCs w:val="24"/>
          <w:lang w:val="en-GB"/>
        </w:rPr>
        <w:t>[1]</w:t>
      </w:r>
      <w:r w:rsidR="00575912" w:rsidRPr="003675A9">
        <w:rPr>
          <w:rFonts w:ascii="Times New Roman" w:hAnsi="Times New Roman" w:cs="Times New Roman"/>
          <w:noProof/>
          <w:szCs w:val="24"/>
          <w:lang w:val="en-GB"/>
        </w:rPr>
        <w:tab/>
        <w:t xml:space="preserve">L. Ma, A. Cranney, and J. M. Holroyd-Leduc, “Acute monoarthritis: What is the cause of my patient’s painful swollen joint?,” </w:t>
      </w:r>
      <w:r w:rsidR="00575912" w:rsidRPr="003675A9">
        <w:rPr>
          <w:rFonts w:ascii="Times New Roman" w:hAnsi="Times New Roman" w:cs="Times New Roman"/>
          <w:i/>
          <w:iCs/>
          <w:noProof/>
          <w:szCs w:val="24"/>
          <w:lang w:val="en-GB"/>
        </w:rPr>
        <w:t>Canadian Medical Association Journal</w:t>
      </w:r>
      <w:r w:rsidR="00575912" w:rsidRPr="003675A9">
        <w:rPr>
          <w:rFonts w:ascii="Times New Roman" w:hAnsi="Times New Roman" w:cs="Times New Roman"/>
          <w:noProof/>
          <w:szCs w:val="24"/>
          <w:lang w:val="en-GB"/>
        </w:rPr>
        <w:t>, vol. 180, no. 1. pp. 59–65, 06-Jan-2009.</w:t>
      </w:r>
    </w:p>
    <w:p w14:paraId="627C9DDC"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[2]</w:t>
      </w:r>
      <w:r w:rsidRPr="003675A9">
        <w:rPr>
          <w:rFonts w:ascii="Times New Roman" w:hAnsi="Times New Roman" w:cs="Times New Roman"/>
          <w:noProof/>
          <w:szCs w:val="24"/>
          <w:lang w:val="en-GB"/>
        </w:rPr>
        <w:tab/>
        <w:t xml:space="preserve">M. J. Reed and A. Carachi, “Management of the nontraumatic hot swollen joint,” </w:t>
      </w:r>
      <w:r w:rsidRPr="003675A9">
        <w:rPr>
          <w:rFonts w:ascii="Times New Roman" w:hAnsi="Times New Roman" w:cs="Times New Roman"/>
          <w:i/>
          <w:iCs/>
          <w:noProof/>
          <w:szCs w:val="24"/>
          <w:lang w:val="en-GB"/>
        </w:rPr>
        <w:t>Eur. J. Emerg. Med.</w:t>
      </w:r>
      <w:r w:rsidRPr="003675A9">
        <w:rPr>
          <w:rFonts w:ascii="Times New Roman" w:hAnsi="Times New Roman" w:cs="Times New Roman"/>
          <w:noProof/>
          <w:szCs w:val="24"/>
          <w:lang w:val="en-GB"/>
        </w:rPr>
        <w:t>, vol. 19, no. 2, pp. 103–107, Apr. 2012.</w:t>
      </w:r>
    </w:p>
    <w:p w14:paraId="61C0ECAB"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[3]</w:t>
      </w:r>
      <w:r w:rsidRPr="003675A9">
        <w:rPr>
          <w:rFonts w:ascii="Times New Roman" w:hAnsi="Times New Roman" w:cs="Times New Roman"/>
          <w:noProof/>
          <w:szCs w:val="24"/>
          <w:lang w:val="en-GB"/>
        </w:rPr>
        <w:tab/>
        <w:t xml:space="preserve">J. A. Becker, J. P. Daily, and K. M. Pohlgeers, “Acute Monoarthritis: Diagnosis in Adults.,” </w:t>
      </w:r>
      <w:r w:rsidRPr="003675A9">
        <w:rPr>
          <w:rFonts w:ascii="Times New Roman" w:hAnsi="Times New Roman" w:cs="Times New Roman"/>
          <w:i/>
          <w:iCs/>
          <w:noProof/>
          <w:szCs w:val="24"/>
          <w:lang w:val="en-GB"/>
        </w:rPr>
        <w:t>Am. Fam. Physician</w:t>
      </w:r>
      <w:r w:rsidRPr="003675A9">
        <w:rPr>
          <w:rFonts w:ascii="Times New Roman" w:hAnsi="Times New Roman" w:cs="Times New Roman"/>
          <w:noProof/>
          <w:szCs w:val="24"/>
          <w:lang w:val="en-GB"/>
        </w:rPr>
        <w:t>, vol. 94, no. 10, pp. 810–816, Nov. 2016.</w:t>
      </w:r>
    </w:p>
    <w:p w14:paraId="41443D9A"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[4]</w:t>
      </w:r>
      <w:r w:rsidRPr="003675A9">
        <w:rPr>
          <w:rFonts w:ascii="Times New Roman" w:hAnsi="Times New Roman" w:cs="Times New Roman"/>
          <w:noProof/>
          <w:szCs w:val="24"/>
          <w:lang w:val="en-GB"/>
        </w:rPr>
        <w:tab/>
        <w:t xml:space="preserve">W. Louthrenoo and W. Sukitawut, “Calcium pyrophosphate dihydrate crystal deposition: a clinical and laboratory analysis of 91 Thai patients.,” </w:t>
      </w:r>
      <w:r w:rsidRPr="003675A9">
        <w:rPr>
          <w:rFonts w:ascii="Times New Roman" w:hAnsi="Times New Roman" w:cs="Times New Roman"/>
          <w:i/>
          <w:iCs/>
          <w:noProof/>
          <w:szCs w:val="24"/>
          <w:lang w:val="en-GB"/>
        </w:rPr>
        <w:t>J. Med. Assoc. Thai.</w:t>
      </w:r>
      <w:r w:rsidRPr="003675A9">
        <w:rPr>
          <w:rFonts w:ascii="Times New Roman" w:hAnsi="Times New Roman" w:cs="Times New Roman"/>
          <w:noProof/>
          <w:szCs w:val="24"/>
          <w:lang w:val="en-GB"/>
        </w:rPr>
        <w:t>, vol. 82, no. 6, pp. 569–76, Jun. 1999.</w:t>
      </w:r>
    </w:p>
    <w:p w14:paraId="71FC22D8"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[5]</w:t>
      </w:r>
      <w:r w:rsidRPr="003675A9">
        <w:rPr>
          <w:rFonts w:ascii="Times New Roman" w:hAnsi="Times New Roman" w:cs="Times New Roman"/>
          <w:noProof/>
          <w:szCs w:val="24"/>
          <w:lang w:val="en-GB"/>
        </w:rPr>
        <w:tab/>
        <w:t xml:space="preserve">L. C. Hamilton, L. C. Biant, L. N. Temple, and R. E. Field, “Isolated pseudogout diagnosed on hip arthroscopy.,” </w:t>
      </w:r>
      <w:r w:rsidRPr="003675A9">
        <w:rPr>
          <w:rFonts w:ascii="Times New Roman" w:hAnsi="Times New Roman" w:cs="Times New Roman"/>
          <w:i/>
          <w:iCs/>
          <w:noProof/>
          <w:szCs w:val="24"/>
          <w:lang w:val="en-GB"/>
        </w:rPr>
        <w:t>J. Bone Joint Surg. Br.</w:t>
      </w:r>
      <w:r w:rsidRPr="003675A9">
        <w:rPr>
          <w:rFonts w:ascii="Times New Roman" w:hAnsi="Times New Roman" w:cs="Times New Roman"/>
          <w:noProof/>
          <w:szCs w:val="24"/>
          <w:lang w:val="en-GB"/>
        </w:rPr>
        <w:t>, vol. 91, no. 4, pp. 533–5, Apr. 2009.</w:t>
      </w:r>
    </w:p>
    <w:p w14:paraId="70D1B9DE"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[6]</w:t>
      </w:r>
      <w:r w:rsidRPr="003675A9">
        <w:rPr>
          <w:rFonts w:ascii="Times New Roman" w:hAnsi="Times New Roman" w:cs="Times New Roman"/>
          <w:noProof/>
          <w:szCs w:val="24"/>
          <w:lang w:val="en-GB"/>
        </w:rPr>
        <w:tab/>
        <w:t xml:space="preserve">F. Kocyigit, E. Kuyucu, and A. Kocyigit, “Monoarticular hip involvement in pseudogout.,” </w:t>
      </w:r>
      <w:r w:rsidRPr="003675A9">
        <w:rPr>
          <w:rFonts w:ascii="Times New Roman" w:hAnsi="Times New Roman" w:cs="Times New Roman"/>
          <w:i/>
          <w:iCs/>
          <w:noProof/>
          <w:szCs w:val="24"/>
          <w:lang w:val="en-GB"/>
        </w:rPr>
        <w:t>Case Rep. Rheumatol.</w:t>
      </w:r>
      <w:r w:rsidRPr="003675A9">
        <w:rPr>
          <w:rFonts w:ascii="Times New Roman" w:hAnsi="Times New Roman" w:cs="Times New Roman"/>
          <w:noProof/>
          <w:szCs w:val="24"/>
          <w:lang w:val="en-GB"/>
        </w:rPr>
        <w:t>, vol. 2015, p. 302389, 2015.</w:t>
      </w:r>
    </w:p>
    <w:p w14:paraId="38D46E2A"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[7]</w:t>
      </w:r>
      <w:r w:rsidRPr="003675A9">
        <w:rPr>
          <w:rFonts w:ascii="Times New Roman" w:hAnsi="Times New Roman" w:cs="Times New Roman"/>
          <w:noProof/>
          <w:szCs w:val="24"/>
          <w:lang w:val="en-GB"/>
        </w:rPr>
        <w:tab/>
        <w:t xml:space="preserve">C. Muangchan and T. Bhurihirun, “An investigation of the independent risk factors that differentiate gout from pseudogout in patients with crystal-induced acute arthritis: a cross-sectional study.,” </w:t>
      </w:r>
      <w:r w:rsidRPr="003675A9">
        <w:rPr>
          <w:rFonts w:ascii="Times New Roman" w:hAnsi="Times New Roman" w:cs="Times New Roman"/>
          <w:i/>
          <w:iCs/>
          <w:noProof/>
          <w:szCs w:val="24"/>
          <w:lang w:val="en-GB"/>
        </w:rPr>
        <w:t>Rheumatol. Int.</w:t>
      </w:r>
      <w:r w:rsidRPr="003675A9">
        <w:rPr>
          <w:rFonts w:ascii="Times New Roman" w:hAnsi="Times New Roman" w:cs="Times New Roman"/>
          <w:noProof/>
          <w:szCs w:val="24"/>
          <w:lang w:val="en-GB"/>
        </w:rPr>
        <w:t>, vol. 38, no. 1, pp. 89–95, Jan. 2018.</w:t>
      </w:r>
    </w:p>
    <w:p w14:paraId="4893061E"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[8]</w:t>
      </w:r>
      <w:r w:rsidRPr="003675A9">
        <w:rPr>
          <w:rFonts w:ascii="Times New Roman" w:hAnsi="Times New Roman" w:cs="Times New Roman"/>
          <w:noProof/>
          <w:szCs w:val="24"/>
          <w:lang w:val="en-GB"/>
        </w:rPr>
        <w:tab/>
        <w:t>Z. Farah, V. Reddy, W. Matthews, and I. Giles, “Poor adherence to guidelines on early management of acute hot swollen joint(s): an evaluation of clinical practice and implications for training.,” vol. 69, no. 5, May 2015.</w:t>
      </w:r>
    </w:p>
    <w:p w14:paraId="4B5E83F7"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[9]</w:t>
      </w:r>
      <w:r w:rsidRPr="003675A9">
        <w:rPr>
          <w:rFonts w:ascii="Times New Roman" w:hAnsi="Times New Roman" w:cs="Times New Roman"/>
          <w:noProof/>
          <w:szCs w:val="24"/>
          <w:lang w:val="en-GB"/>
        </w:rPr>
        <w:tab/>
        <w:t xml:space="preserve">H. R. Schumacher, “Crystal-induced arthritis: an overview.,” </w:t>
      </w:r>
      <w:r w:rsidRPr="003675A9">
        <w:rPr>
          <w:rFonts w:ascii="Times New Roman" w:hAnsi="Times New Roman" w:cs="Times New Roman"/>
          <w:i/>
          <w:iCs/>
          <w:noProof/>
          <w:szCs w:val="24"/>
          <w:lang w:val="en-GB"/>
        </w:rPr>
        <w:t>Am. J. Med.</w:t>
      </w:r>
      <w:r w:rsidRPr="003675A9">
        <w:rPr>
          <w:rFonts w:ascii="Times New Roman" w:hAnsi="Times New Roman" w:cs="Times New Roman"/>
          <w:noProof/>
          <w:szCs w:val="24"/>
          <w:lang w:val="en-GB"/>
        </w:rPr>
        <w:t>, vol. 100, no. 2A, p. 46S–52S, Feb. 1996.</w:t>
      </w:r>
    </w:p>
    <w:p w14:paraId="03F9771F"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[10]</w:t>
      </w:r>
      <w:r w:rsidRPr="003675A9">
        <w:rPr>
          <w:rFonts w:ascii="Times New Roman" w:hAnsi="Times New Roman" w:cs="Times New Roman"/>
          <w:noProof/>
          <w:szCs w:val="24"/>
          <w:lang w:val="en-GB"/>
        </w:rPr>
        <w:tab/>
        <w:t xml:space="preserve">L. R. Harrold </w:t>
      </w:r>
      <w:r w:rsidRPr="003675A9">
        <w:rPr>
          <w:rFonts w:ascii="Times New Roman" w:hAnsi="Times New Roman" w:cs="Times New Roman"/>
          <w:i/>
          <w:iCs/>
          <w:noProof/>
          <w:szCs w:val="24"/>
          <w:lang w:val="en-GB"/>
        </w:rPr>
        <w:t>et al.</w:t>
      </w:r>
      <w:r w:rsidRPr="003675A9">
        <w:rPr>
          <w:rFonts w:ascii="Times New Roman" w:hAnsi="Times New Roman" w:cs="Times New Roman"/>
          <w:noProof/>
          <w:szCs w:val="24"/>
          <w:lang w:val="en-GB"/>
        </w:rPr>
        <w:t xml:space="preserve">, “Sex differences in gout epidemiology: evaluation and treatment.,” </w:t>
      </w:r>
      <w:r w:rsidRPr="003675A9">
        <w:rPr>
          <w:rFonts w:ascii="Times New Roman" w:hAnsi="Times New Roman" w:cs="Times New Roman"/>
          <w:i/>
          <w:iCs/>
          <w:noProof/>
          <w:szCs w:val="24"/>
          <w:lang w:val="en-GB"/>
        </w:rPr>
        <w:t>Ann. Rheum. Dis.</w:t>
      </w:r>
      <w:r w:rsidRPr="003675A9">
        <w:rPr>
          <w:rFonts w:ascii="Times New Roman" w:hAnsi="Times New Roman" w:cs="Times New Roman"/>
          <w:noProof/>
          <w:szCs w:val="24"/>
          <w:lang w:val="en-GB"/>
        </w:rPr>
        <w:t>, vol. 65, no. 10, pp. 1368–72, Oct. 2006.</w:t>
      </w:r>
    </w:p>
    <w:p w14:paraId="145B9251"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[11]</w:t>
      </w:r>
      <w:r w:rsidRPr="003675A9">
        <w:rPr>
          <w:rFonts w:ascii="Times New Roman" w:hAnsi="Times New Roman" w:cs="Times New Roman"/>
          <w:noProof/>
          <w:szCs w:val="24"/>
          <w:lang w:val="en-GB"/>
        </w:rPr>
        <w:tab/>
        <w:t xml:space="preserve">P. Richette, T. Bardin, and M. Doherty, “An update on the epidemiology of calcium pyrophosphate dihydrate crystal deposition disease,” </w:t>
      </w:r>
      <w:r w:rsidRPr="003675A9">
        <w:rPr>
          <w:rFonts w:ascii="Times New Roman" w:hAnsi="Times New Roman" w:cs="Times New Roman"/>
          <w:i/>
          <w:iCs/>
          <w:noProof/>
          <w:szCs w:val="24"/>
          <w:lang w:val="en-GB"/>
        </w:rPr>
        <w:t>Rheumatology</w:t>
      </w:r>
      <w:r w:rsidRPr="003675A9">
        <w:rPr>
          <w:rFonts w:ascii="Times New Roman" w:hAnsi="Times New Roman" w:cs="Times New Roman"/>
          <w:noProof/>
          <w:szCs w:val="24"/>
          <w:lang w:val="en-GB"/>
        </w:rPr>
        <w:t>, vol. 48, no. 7, pp. 711–715, Jul. 2009.</w:t>
      </w:r>
    </w:p>
    <w:p w14:paraId="1808EDCB"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[12]</w:t>
      </w:r>
      <w:r w:rsidRPr="003675A9">
        <w:rPr>
          <w:rFonts w:ascii="Times New Roman" w:hAnsi="Times New Roman" w:cs="Times New Roman"/>
          <w:noProof/>
          <w:szCs w:val="24"/>
          <w:lang w:val="en-GB"/>
        </w:rPr>
        <w:tab/>
        <w:t xml:space="preserve">M. Maravic and H.-K. K. Ea, “Hospital burden of gout, pseudogout and other crystal arthropathies in France,” </w:t>
      </w:r>
      <w:r w:rsidRPr="003675A9">
        <w:rPr>
          <w:rFonts w:ascii="Times New Roman" w:hAnsi="Times New Roman" w:cs="Times New Roman"/>
          <w:i/>
          <w:iCs/>
          <w:noProof/>
          <w:szCs w:val="24"/>
          <w:lang w:val="en-GB"/>
        </w:rPr>
        <w:t>Jt. Bone Spine</w:t>
      </w:r>
      <w:r w:rsidRPr="003675A9">
        <w:rPr>
          <w:rFonts w:ascii="Times New Roman" w:hAnsi="Times New Roman" w:cs="Times New Roman"/>
          <w:noProof/>
          <w:szCs w:val="24"/>
          <w:lang w:val="en-GB"/>
        </w:rPr>
        <w:t>, vol. 82, no. 5, pp. 326–329, Oct. 2015.</w:t>
      </w:r>
    </w:p>
    <w:p w14:paraId="29973959"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[13]</w:t>
      </w:r>
      <w:r w:rsidRPr="003675A9">
        <w:rPr>
          <w:rFonts w:ascii="Times New Roman" w:hAnsi="Times New Roman" w:cs="Times New Roman"/>
          <w:noProof/>
          <w:szCs w:val="24"/>
          <w:lang w:val="en-GB"/>
        </w:rPr>
        <w:tab/>
        <w:t xml:space="preserve">A. Abhishek, “Calcium pyrophosphate deposition disease,” </w:t>
      </w:r>
      <w:r w:rsidRPr="003675A9">
        <w:rPr>
          <w:rFonts w:ascii="Times New Roman" w:hAnsi="Times New Roman" w:cs="Times New Roman"/>
          <w:i/>
          <w:iCs/>
          <w:noProof/>
          <w:szCs w:val="24"/>
          <w:lang w:val="en-GB"/>
        </w:rPr>
        <w:t>Curr. Opin. Rheumatol.</w:t>
      </w:r>
      <w:r w:rsidRPr="003675A9">
        <w:rPr>
          <w:rFonts w:ascii="Times New Roman" w:hAnsi="Times New Roman" w:cs="Times New Roman"/>
          <w:noProof/>
          <w:szCs w:val="24"/>
          <w:lang w:val="en-GB"/>
        </w:rPr>
        <w:t>, vol. 28, no. 2, pp. 133–139, Mar. 2016.</w:t>
      </w:r>
    </w:p>
    <w:p w14:paraId="297FD271"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szCs w:val="24"/>
          <w:lang w:val="en-GB"/>
        </w:rPr>
      </w:pPr>
      <w:r w:rsidRPr="003675A9">
        <w:rPr>
          <w:rFonts w:ascii="Times New Roman" w:hAnsi="Times New Roman" w:cs="Times New Roman"/>
          <w:noProof/>
          <w:szCs w:val="24"/>
          <w:lang w:val="en-GB"/>
        </w:rPr>
        <w:t>[14]</w:t>
      </w:r>
      <w:r w:rsidRPr="003675A9">
        <w:rPr>
          <w:rFonts w:ascii="Times New Roman" w:hAnsi="Times New Roman" w:cs="Times New Roman"/>
          <w:noProof/>
          <w:szCs w:val="24"/>
          <w:lang w:val="en-GB"/>
        </w:rPr>
        <w:tab/>
        <w:t xml:space="preserve">N. Dalbeth, T. R. Merriman, and L. K. Stamp, </w:t>
      </w:r>
      <w:r w:rsidRPr="003675A9">
        <w:rPr>
          <w:rFonts w:ascii="Times New Roman" w:hAnsi="Times New Roman" w:cs="Times New Roman"/>
          <w:i/>
          <w:iCs/>
          <w:noProof/>
          <w:szCs w:val="24"/>
          <w:lang w:val="en-GB"/>
        </w:rPr>
        <w:t>Gout</w:t>
      </w:r>
      <w:r w:rsidRPr="003675A9">
        <w:rPr>
          <w:rFonts w:ascii="Times New Roman" w:hAnsi="Times New Roman" w:cs="Times New Roman"/>
          <w:noProof/>
          <w:szCs w:val="24"/>
          <w:lang w:val="en-GB"/>
        </w:rPr>
        <w:t>, vol. 388, no. 10055. Elsevier, 2016, pp. 2039–2052.</w:t>
      </w:r>
    </w:p>
    <w:p w14:paraId="27B8FAFD" w14:textId="77777777" w:rsidR="00575912" w:rsidRPr="003675A9" w:rsidRDefault="00575912" w:rsidP="00575912">
      <w:pPr>
        <w:widowControl w:val="0"/>
        <w:autoSpaceDE w:val="0"/>
        <w:autoSpaceDN w:val="0"/>
        <w:adjustRightInd w:val="0"/>
        <w:spacing w:line="360" w:lineRule="auto"/>
        <w:ind w:left="640" w:hanging="640"/>
        <w:rPr>
          <w:rFonts w:ascii="Times New Roman" w:hAnsi="Times New Roman" w:cs="Times New Roman"/>
          <w:noProof/>
          <w:lang w:val="en-GB"/>
        </w:rPr>
      </w:pPr>
      <w:r w:rsidRPr="003675A9">
        <w:rPr>
          <w:rFonts w:ascii="Times New Roman" w:hAnsi="Times New Roman" w:cs="Times New Roman"/>
          <w:noProof/>
          <w:szCs w:val="24"/>
          <w:lang w:val="en-GB"/>
        </w:rPr>
        <w:t>[15]</w:t>
      </w:r>
      <w:r w:rsidRPr="003675A9">
        <w:rPr>
          <w:rFonts w:ascii="Times New Roman" w:hAnsi="Times New Roman" w:cs="Times New Roman"/>
          <w:noProof/>
          <w:szCs w:val="24"/>
          <w:lang w:val="en-GB"/>
        </w:rPr>
        <w:tab/>
        <w:t>Y. H. Rho, Y. Zhu, Y. Zhang, A. M. Reginato, and H. K. Choi, “Risk factors for pseudogout in the general population,” vol. 51, no. 11, pp. 2070–2074, Nov. 2012.</w:t>
      </w:r>
    </w:p>
    <w:p w14:paraId="45C0FB4E" w14:textId="3B55A623" w:rsidR="0087421F" w:rsidRPr="00575912" w:rsidRDefault="00101806" w:rsidP="006E40F2">
      <w:pPr>
        <w:widowControl w:val="0"/>
        <w:autoSpaceDE w:val="0"/>
        <w:autoSpaceDN w:val="0"/>
        <w:adjustRightInd w:val="0"/>
        <w:spacing w:line="360" w:lineRule="auto"/>
        <w:ind w:left="640" w:hanging="640"/>
        <w:rPr>
          <w:rFonts w:ascii="Times New Roman" w:hAnsi="Times New Roman" w:cs="Times New Roman"/>
          <w:lang w:val="en-GB"/>
        </w:rPr>
      </w:pPr>
      <w:r w:rsidRPr="00575912">
        <w:rPr>
          <w:rFonts w:ascii="Times New Roman" w:hAnsi="Times New Roman" w:cs="Times New Roman"/>
          <w:lang w:val="en-GB"/>
        </w:rPr>
        <w:fldChar w:fldCharType="end"/>
      </w:r>
    </w:p>
    <w:p w14:paraId="5FD360DC" w14:textId="77777777" w:rsidR="006E40F2" w:rsidRPr="00575912" w:rsidRDefault="006E40F2" w:rsidP="006E40F2">
      <w:pPr>
        <w:widowControl w:val="0"/>
        <w:autoSpaceDE w:val="0"/>
        <w:autoSpaceDN w:val="0"/>
        <w:adjustRightInd w:val="0"/>
        <w:spacing w:line="360" w:lineRule="auto"/>
        <w:ind w:left="640" w:hanging="640"/>
        <w:rPr>
          <w:rFonts w:ascii="Times New Roman" w:hAnsi="Times New Roman" w:cs="Times New Roman"/>
          <w:lang w:val="en-GB"/>
        </w:rPr>
      </w:pPr>
    </w:p>
    <w:p w14:paraId="1BAF551D" w14:textId="77777777" w:rsidR="0087421F" w:rsidRPr="00575912" w:rsidRDefault="0087421F" w:rsidP="00AA06A5">
      <w:pPr>
        <w:spacing w:line="360" w:lineRule="auto"/>
        <w:jc w:val="both"/>
        <w:rPr>
          <w:rFonts w:ascii="Times New Roman" w:hAnsi="Times New Roman" w:cs="Times New Roman"/>
          <w:b/>
          <w:bCs/>
          <w:lang w:val="en-GB"/>
        </w:rPr>
      </w:pPr>
    </w:p>
    <w:p w14:paraId="54CF2162" w14:textId="30610AC2" w:rsidR="00CC73B3" w:rsidRPr="00575912" w:rsidRDefault="00CC73B3" w:rsidP="00AA06A5">
      <w:pPr>
        <w:spacing w:line="360" w:lineRule="auto"/>
        <w:jc w:val="both"/>
        <w:rPr>
          <w:rFonts w:ascii="Times New Roman" w:hAnsi="Times New Roman" w:cs="Times New Roman"/>
          <w:b/>
          <w:bCs/>
          <w:lang w:val="en-GB"/>
        </w:rPr>
      </w:pPr>
      <w:r w:rsidRPr="00575912">
        <w:rPr>
          <w:rFonts w:ascii="Times New Roman" w:hAnsi="Times New Roman" w:cs="Times New Roman"/>
          <w:b/>
          <w:bCs/>
          <w:lang w:val="en-GB"/>
        </w:rPr>
        <w:lastRenderedPageBreak/>
        <w:t xml:space="preserve">Figure 1. </w:t>
      </w:r>
      <w:r w:rsidRPr="00575912">
        <w:rPr>
          <w:rFonts w:ascii="Times New Roman" w:hAnsi="Times New Roman" w:cs="Times New Roman"/>
          <w:bCs/>
          <w:i/>
          <w:lang w:val="en-GB"/>
        </w:rPr>
        <w:t xml:space="preserve">Gout frequency                                                  </w:t>
      </w:r>
    </w:p>
    <w:p w14:paraId="11CF5CF7" w14:textId="77777777" w:rsidR="006E40F2" w:rsidRPr="00575912" w:rsidRDefault="00EA1768" w:rsidP="0087421F">
      <w:pPr>
        <w:spacing w:line="360" w:lineRule="auto"/>
        <w:jc w:val="both"/>
        <w:rPr>
          <w:rFonts w:ascii="Times New Roman" w:hAnsi="Times New Roman" w:cs="Times New Roman"/>
          <w:b/>
          <w:bCs/>
          <w:lang w:val="en-GB"/>
        </w:rPr>
      </w:pPr>
      <w:r w:rsidRPr="00575912">
        <w:rPr>
          <w:rFonts w:ascii="Times New Roman" w:hAnsi="Times New Roman" w:cs="Times New Roman"/>
          <w:b/>
          <w:bCs/>
          <w:noProof/>
          <w:lang w:val="en-GB" w:eastAsia="en-GB"/>
        </w:rPr>
        <w:drawing>
          <wp:inline distT="0" distB="0" distL="0" distR="0" wp14:anchorId="6BADB568" wp14:editId="100382AE">
            <wp:extent cx="6115050" cy="7915275"/>
            <wp:effectExtent l="0" t="0" r="0" b="9525"/>
            <wp:docPr id="1" name="Immagine 1" descr="C:\Users\Admin\Downloads\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Figure 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15050" cy="7915275"/>
                    </a:xfrm>
                    <a:prstGeom prst="rect">
                      <a:avLst/>
                    </a:prstGeom>
                    <a:noFill/>
                    <a:ln>
                      <a:noFill/>
                    </a:ln>
                  </pic:spPr>
                </pic:pic>
              </a:graphicData>
            </a:graphic>
          </wp:inline>
        </w:drawing>
      </w:r>
    </w:p>
    <w:p w14:paraId="6AF3D3C8" w14:textId="329178AD" w:rsidR="0087421F" w:rsidRPr="00575912" w:rsidRDefault="0087421F" w:rsidP="0087421F">
      <w:pPr>
        <w:spacing w:line="360" w:lineRule="auto"/>
        <w:jc w:val="both"/>
        <w:rPr>
          <w:rFonts w:ascii="Times New Roman" w:hAnsi="Times New Roman" w:cs="Times New Roman"/>
          <w:b/>
          <w:bCs/>
          <w:lang w:val="en-GB"/>
        </w:rPr>
      </w:pPr>
      <w:r w:rsidRPr="00575912">
        <w:rPr>
          <w:rFonts w:ascii="Times New Roman" w:hAnsi="Times New Roman" w:cs="Times New Roman"/>
          <w:b/>
          <w:bCs/>
          <w:lang w:val="en-GB"/>
        </w:rPr>
        <w:t>Figure 2.</w:t>
      </w:r>
      <w:r w:rsidRPr="00575912">
        <w:rPr>
          <w:rFonts w:ascii="Times New Roman" w:hAnsi="Times New Roman" w:cs="Times New Roman"/>
          <w:b/>
          <w:bCs/>
          <w:i/>
          <w:lang w:val="en-GB"/>
        </w:rPr>
        <w:t xml:space="preserve"> </w:t>
      </w:r>
      <w:r w:rsidRPr="00575912">
        <w:rPr>
          <w:rFonts w:ascii="Times New Roman" w:hAnsi="Times New Roman" w:cs="Times New Roman"/>
          <w:bCs/>
          <w:i/>
          <w:lang w:val="en-GB"/>
        </w:rPr>
        <w:t xml:space="preserve"> Pseudogout frequency</w:t>
      </w:r>
    </w:p>
    <w:p w14:paraId="1087F4A8" w14:textId="050C036B" w:rsidR="00AA06A5" w:rsidRPr="00575912" w:rsidRDefault="00EA1768" w:rsidP="00A37F46">
      <w:pPr>
        <w:widowControl w:val="0"/>
        <w:autoSpaceDE w:val="0"/>
        <w:autoSpaceDN w:val="0"/>
        <w:adjustRightInd w:val="0"/>
        <w:spacing w:line="360" w:lineRule="auto"/>
        <w:ind w:left="640" w:hanging="640"/>
        <w:jc w:val="both"/>
        <w:rPr>
          <w:rFonts w:ascii="Times New Roman" w:hAnsi="Times New Roman" w:cs="Times New Roman"/>
          <w:lang w:val="en-GB"/>
        </w:rPr>
      </w:pPr>
      <w:r w:rsidRPr="00575912">
        <w:rPr>
          <w:rFonts w:ascii="Times New Roman" w:hAnsi="Times New Roman" w:cs="Times New Roman"/>
          <w:b/>
          <w:noProof/>
          <w:lang w:val="en-GB" w:eastAsia="en-GB"/>
        </w:rPr>
        <w:lastRenderedPageBreak/>
        <w:drawing>
          <wp:inline distT="0" distB="0" distL="0" distR="0" wp14:anchorId="1CB6C299" wp14:editId="2354BE0F">
            <wp:extent cx="6115050" cy="7915275"/>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15050" cy="7915275"/>
                    </a:xfrm>
                    <a:prstGeom prst="rect">
                      <a:avLst/>
                    </a:prstGeom>
                    <a:noFill/>
                    <a:ln>
                      <a:noFill/>
                    </a:ln>
                  </pic:spPr>
                </pic:pic>
              </a:graphicData>
            </a:graphic>
          </wp:inline>
        </w:drawing>
      </w:r>
    </w:p>
    <w:p w14:paraId="7D9ABA2C" w14:textId="77777777" w:rsidR="00AA06A5" w:rsidRPr="00575912" w:rsidRDefault="00AA06A5" w:rsidP="00AA06A5">
      <w:pPr>
        <w:spacing w:line="360" w:lineRule="auto"/>
        <w:jc w:val="both"/>
        <w:rPr>
          <w:rFonts w:ascii="Times New Roman" w:hAnsi="Times New Roman" w:cs="Times New Roman"/>
          <w:b/>
          <w:lang w:val="en-GB"/>
        </w:rPr>
      </w:pPr>
    </w:p>
    <w:p w14:paraId="178A5194" w14:textId="77777777" w:rsidR="006E40F2" w:rsidRPr="00575912" w:rsidRDefault="006E40F2" w:rsidP="00AA06A5">
      <w:pPr>
        <w:spacing w:line="360" w:lineRule="auto"/>
        <w:jc w:val="both"/>
        <w:rPr>
          <w:rFonts w:ascii="Times New Roman" w:hAnsi="Times New Roman" w:cs="Times New Roman"/>
          <w:b/>
          <w:lang w:val="en-GB"/>
        </w:rPr>
      </w:pPr>
    </w:p>
    <w:p w14:paraId="6385A9B4" w14:textId="5B2E3A95" w:rsidR="00CC73B3" w:rsidRPr="00575912" w:rsidRDefault="00A37F46"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F</w:t>
      </w:r>
      <w:r w:rsidR="00CC73B3" w:rsidRPr="00575912">
        <w:rPr>
          <w:rFonts w:ascii="Times New Roman" w:hAnsi="Times New Roman" w:cs="Times New Roman"/>
          <w:b/>
          <w:lang w:val="en-GB"/>
        </w:rPr>
        <w:t xml:space="preserve">igure 3. </w:t>
      </w:r>
      <w:r w:rsidR="00CC73B3" w:rsidRPr="00575912">
        <w:rPr>
          <w:rFonts w:ascii="Times New Roman" w:hAnsi="Times New Roman" w:cs="Times New Roman"/>
          <w:lang w:val="en-GB"/>
        </w:rPr>
        <w:t>Descriptive plot of crystal results and age.</w:t>
      </w:r>
    </w:p>
    <w:p w14:paraId="757DFA95" w14:textId="77777777" w:rsidR="00A37F46" w:rsidRPr="00575912" w:rsidRDefault="00A37F46" w:rsidP="00AA06A5">
      <w:pPr>
        <w:widowControl w:val="0"/>
        <w:autoSpaceDE w:val="0"/>
        <w:autoSpaceDN w:val="0"/>
        <w:adjustRightInd w:val="0"/>
        <w:spacing w:line="360" w:lineRule="auto"/>
        <w:ind w:left="640" w:hanging="640"/>
        <w:jc w:val="both"/>
        <w:rPr>
          <w:rFonts w:ascii="Times New Roman" w:hAnsi="Times New Roman" w:cs="Times New Roman"/>
          <w:lang w:val="en-GB"/>
        </w:rPr>
      </w:pPr>
    </w:p>
    <w:p w14:paraId="7B2D1831" w14:textId="24743CF2" w:rsidR="00CC73B3" w:rsidRPr="00575912" w:rsidRDefault="00EA1768" w:rsidP="00AA06A5">
      <w:pPr>
        <w:widowControl w:val="0"/>
        <w:autoSpaceDE w:val="0"/>
        <w:autoSpaceDN w:val="0"/>
        <w:adjustRightInd w:val="0"/>
        <w:spacing w:line="360" w:lineRule="auto"/>
        <w:ind w:left="640" w:hanging="640"/>
        <w:jc w:val="both"/>
        <w:rPr>
          <w:rFonts w:ascii="Times New Roman" w:hAnsi="Times New Roman" w:cs="Times New Roman"/>
          <w:lang w:val="en-GB"/>
        </w:rPr>
      </w:pPr>
      <w:r w:rsidRPr="00575912">
        <w:rPr>
          <w:rFonts w:ascii="Times New Roman" w:hAnsi="Times New Roman" w:cs="Times New Roman"/>
          <w:noProof/>
          <w:lang w:val="en-GB" w:eastAsia="en-GB"/>
        </w:rPr>
        <w:drawing>
          <wp:inline distT="0" distB="0" distL="0" distR="0" wp14:anchorId="4A420B51" wp14:editId="0DBBCDEE">
            <wp:extent cx="6115050" cy="7915275"/>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15050" cy="7915275"/>
                    </a:xfrm>
                    <a:prstGeom prst="rect">
                      <a:avLst/>
                    </a:prstGeom>
                    <a:noFill/>
                    <a:ln>
                      <a:noFill/>
                    </a:ln>
                  </pic:spPr>
                </pic:pic>
              </a:graphicData>
            </a:graphic>
          </wp:inline>
        </w:drawing>
      </w:r>
    </w:p>
    <w:p w14:paraId="738860F9" w14:textId="77777777" w:rsidR="00CC73B3" w:rsidRPr="00575912" w:rsidRDefault="00CC73B3" w:rsidP="00AA06A5">
      <w:pPr>
        <w:spacing w:line="360" w:lineRule="auto"/>
        <w:jc w:val="both"/>
        <w:rPr>
          <w:rFonts w:ascii="Times New Roman" w:hAnsi="Times New Roman" w:cs="Times New Roman"/>
          <w:b/>
          <w:lang w:val="en-GB"/>
        </w:rPr>
      </w:pPr>
    </w:p>
    <w:p w14:paraId="30A1A6F2" w14:textId="2EC0B5F5" w:rsidR="00CC73B3" w:rsidRPr="00575912" w:rsidRDefault="00CC73B3"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Table 1.</w:t>
      </w:r>
      <w:r w:rsidRPr="00575912">
        <w:rPr>
          <w:rFonts w:ascii="Times New Roman" w:hAnsi="Times New Roman" w:cs="Times New Roman"/>
          <w:lang w:val="en-GB"/>
        </w:rPr>
        <w:t xml:space="preserve"> </w:t>
      </w:r>
      <w:r w:rsidRPr="00575912">
        <w:rPr>
          <w:rFonts w:ascii="Times New Roman" w:hAnsi="Times New Roman" w:cs="Times New Roman"/>
          <w:i/>
          <w:lang w:val="en-GB"/>
        </w:rPr>
        <w:t>Patients Characteristics and frequency of the joint involved</w:t>
      </w:r>
    </w:p>
    <w:tbl>
      <w:tblPr>
        <w:tblW w:w="0" w:type="auto"/>
        <w:tblCellMar>
          <w:top w:w="15" w:type="dxa"/>
          <w:left w:w="15" w:type="dxa"/>
          <w:bottom w:w="15" w:type="dxa"/>
          <w:right w:w="15" w:type="dxa"/>
        </w:tblCellMar>
        <w:tblLook w:val="04A0" w:firstRow="1" w:lastRow="0" w:firstColumn="1" w:lastColumn="0" w:noHBand="0" w:noVBand="1"/>
      </w:tblPr>
      <w:tblGrid>
        <w:gridCol w:w="340"/>
        <w:gridCol w:w="50"/>
        <w:gridCol w:w="897"/>
        <w:gridCol w:w="101"/>
        <w:gridCol w:w="749"/>
        <w:gridCol w:w="430"/>
        <w:gridCol w:w="612"/>
        <w:gridCol w:w="49"/>
        <w:gridCol w:w="1362"/>
        <w:gridCol w:w="36"/>
        <w:gridCol w:w="36"/>
      </w:tblGrid>
      <w:tr w:rsidR="00575912" w:rsidRPr="00575912" w14:paraId="01107362" w14:textId="77777777" w:rsidTr="00AA06A5">
        <w:trPr>
          <w:gridAfter w:val="1"/>
          <w:tblHeader/>
        </w:trPr>
        <w:tc>
          <w:tcPr>
            <w:tcW w:w="0" w:type="auto"/>
            <w:gridSpan w:val="2"/>
            <w:tcBorders>
              <w:top w:val="nil"/>
              <w:left w:val="nil"/>
              <w:bottom w:val="single" w:sz="6" w:space="0" w:color="000000"/>
              <w:right w:val="nil"/>
            </w:tcBorders>
            <w:vAlign w:val="center"/>
            <w:hideMark/>
          </w:tcPr>
          <w:p w14:paraId="448E57F9" w14:textId="77777777" w:rsidR="00CC73B3" w:rsidRPr="00575912" w:rsidRDefault="00CC73B3" w:rsidP="00AA06A5">
            <w:pPr>
              <w:spacing w:after="0" w:line="360" w:lineRule="auto"/>
              <w:jc w:val="both"/>
              <w:rPr>
                <w:rFonts w:ascii="Times New Roman" w:eastAsia="Times New Roman" w:hAnsi="Times New Roman" w:cs="Times New Roman"/>
                <w:b/>
                <w:bCs/>
                <w:sz w:val="24"/>
                <w:szCs w:val="24"/>
                <w:lang w:val="en-GB" w:eastAsia="en-GB"/>
              </w:rPr>
            </w:pPr>
            <w:r w:rsidRPr="00575912">
              <w:rPr>
                <w:rFonts w:ascii="Times New Roman" w:eastAsia="Times New Roman" w:hAnsi="Times New Roman" w:cs="Times New Roman"/>
                <w:b/>
                <w:bCs/>
                <w:sz w:val="24"/>
                <w:szCs w:val="24"/>
                <w:lang w:val="en-GB" w:eastAsia="en-GB"/>
              </w:rPr>
              <w:lastRenderedPageBreak/>
              <w:t xml:space="preserve">Sex </w:t>
            </w:r>
          </w:p>
        </w:tc>
        <w:tc>
          <w:tcPr>
            <w:tcW w:w="0" w:type="auto"/>
            <w:tcBorders>
              <w:top w:val="nil"/>
              <w:left w:val="nil"/>
              <w:bottom w:val="single" w:sz="6" w:space="0" w:color="000000"/>
              <w:right w:val="nil"/>
            </w:tcBorders>
            <w:vAlign w:val="center"/>
            <w:hideMark/>
          </w:tcPr>
          <w:p w14:paraId="23D1BEEE" w14:textId="55E38D46" w:rsidR="00CC73B3" w:rsidRPr="00575912" w:rsidRDefault="00AA06A5" w:rsidP="00AA06A5">
            <w:pPr>
              <w:spacing w:after="0" w:line="360" w:lineRule="auto"/>
              <w:jc w:val="both"/>
              <w:rPr>
                <w:rFonts w:ascii="Times New Roman" w:eastAsia="Times New Roman" w:hAnsi="Times New Roman" w:cs="Times New Roman"/>
                <w:b/>
                <w:bCs/>
                <w:sz w:val="24"/>
                <w:szCs w:val="24"/>
                <w:lang w:val="en-GB" w:eastAsia="en-GB"/>
              </w:rPr>
            </w:pPr>
            <w:r w:rsidRPr="00575912">
              <w:rPr>
                <w:rFonts w:ascii="Times New Roman" w:eastAsia="Times New Roman" w:hAnsi="Times New Roman" w:cs="Times New Roman"/>
                <w:b/>
                <w:bCs/>
                <w:sz w:val="24"/>
                <w:szCs w:val="24"/>
                <w:lang w:val="en-GB" w:eastAsia="en-GB"/>
              </w:rPr>
              <w:t xml:space="preserve"> </w:t>
            </w:r>
            <w:r w:rsidR="00CC73B3" w:rsidRPr="00575912">
              <w:rPr>
                <w:rFonts w:ascii="Times New Roman" w:eastAsia="Times New Roman" w:hAnsi="Times New Roman" w:cs="Times New Roman"/>
                <w:b/>
                <w:bCs/>
                <w:sz w:val="24"/>
                <w:szCs w:val="24"/>
                <w:lang w:val="en-GB" w:eastAsia="en-GB"/>
              </w:rPr>
              <w:t>Joint</w:t>
            </w:r>
          </w:p>
        </w:tc>
        <w:tc>
          <w:tcPr>
            <w:tcW w:w="1280" w:type="dxa"/>
            <w:gridSpan w:val="3"/>
            <w:tcBorders>
              <w:top w:val="nil"/>
              <w:left w:val="nil"/>
              <w:bottom w:val="single" w:sz="6" w:space="0" w:color="000000"/>
              <w:right w:val="nil"/>
            </w:tcBorders>
            <w:vAlign w:val="center"/>
            <w:hideMark/>
          </w:tcPr>
          <w:p w14:paraId="40967146" w14:textId="77777777" w:rsidR="00CC73B3" w:rsidRPr="00575912" w:rsidRDefault="00CC73B3" w:rsidP="00AA06A5">
            <w:pPr>
              <w:spacing w:after="0" w:line="360" w:lineRule="auto"/>
              <w:jc w:val="both"/>
              <w:rPr>
                <w:rFonts w:ascii="Times New Roman" w:eastAsia="Times New Roman" w:hAnsi="Times New Roman" w:cs="Times New Roman"/>
                <w:b/>
                <w:bCs/>
                <w:sz w:val="24"/>
                <w:szCs w:val="24"/>
                <w:lang w:val="en-GB" w:eastAsia="en-GB"/>
              </w:rPr>
            </w:pPr>
            <w:r w:rsidRPr="00575912">
              <w:rPr>
                <w:rFonts w:ascii="Times New Roman" w:eastAsia="Times New Roman" w:hAnsi="Times New Roman" w:cs="Times New Roman"/>
                <w:b/>
                <w:bCs/>
                <w:sz w:val="24"/>
                <w:szCs w:val="24"/>
                <w:lang w:val="en-GB" w:eastAsia="en-GB"/>
              </w:rPr>
              <w:t xml:space="preserve">Frequency </w:t>
            </w:r>
          </w:p>
        </w:tc>
        <w:tc>
          <w:tcPr>
            <w:tcW w:w="661" w:type="dxa"/>
            <w:gridSpan w:val="2"/>
            <w:tcBorders>
              <w:top w:val="nil"/>
              <w:left w:val="nil"/>
              <w:bottom w:val="single" w:sz="6" w:space="0" w:color="000000"/>
              <w:right w:val="nil"/>
            </w:tcBorders>
            <w:vAlign w:val="center"/>
            <w:hideMark/>
          </w:tcPr>
          <w:p w14:paraId="668468D6" w14:textId="18D7EB3F" w:rsidR="00CC73B3" w:rsidRPr="00575912" w:rsidRDefault="008F50A4" w:rsidP="00AA06A5">
            <w:pPr>
              <w:spacing w:after="0" w:line="360" w:lineRule="auto"/>
              <w:jc w:val="both"/>
              <w:rPr>
                <w:rFonts w:ascii="Times New Roman" w:eastAsia="Times New Roman" w:hAnsi="Times New Roman" w:cs="Times New Roman"/>
                <w:b/>
                <w:bCs/>
                <w:sz w:val="24"/>
                <w:szCs w:val="24"/>
                <w:lang w:val="en-GB" w:eastAsia="en-GB"/>
              </w:rPr>
            </w:pPr>
            <w:r w:rsidRPr="00575912">
              <w:rPr>
                <w:rFonts w:ascii="Times New Roman" w:eastAsia="Times New Roman" w:hAnsi="Times New Roman" w:cs="Times New Roman"/>
                <w:b/>
                <w:bCs/>
                <w:sz w:val="24"/>
                <w:szCs w:val="24"/>
                <w:lang w:val="en-GB" w:eastAsia="en-GB"/>
              </w:rPr>
              <w:t xml:space="preserve">  %</w:t>
            </w:r>
            <w:r w:rsidR="00CC73B3" w:rsidRPr="00575912">
              <w:rPr>
                <w:rFonts w:ascii="Times New Roman" w:eastAsia="Times New Roman" w:hAnsi="Times New Roman" w:cs="Times New Roman"/>
                <w:b/>
                <w:bCs/>
                <w:sz w:val="24"/>
                <w:szCs w:val="24"/>
                <w:lang w:val="en-GB" w:eastAsia="en-GB"/>
              </w:rPr>
              <w:t xml:space="preserve"> </w:t>
            </w:r>
          </w:p>
        </w:tc>
        <w:tc>
          <w:tcPr>
            <w:tcW w:w="0" w:type="auto"/>
            <w:gridSpan w:val="2"/>
            <w:tcBorders>
              <w:top w:val="nil"/>
              <w:left w:val="nil"/>
              <w:bottom w:val="single" w:sz="6" w:space="0" w:color="000000"/>
              <w:right w:val="nil"/>
            </w:tcBorders>
            <w:vAlign w:val="center"/>
            <w:hideMark/>
          </w:tcPr>
          <w:p w14:paraId="00B6D4DB" w14:textId="5C76C7F2" w:rsidR="00CC73B3" w:rsidRPr="00575912" w:rsidRDefault="00AA06A5" w:rsidP="00AA06A5">
            <w:pPr>
              <w:spacing w:after="0" w:line="360" w:lineRule="auto"/>
              <w:jc w:val="both"/>
              <w:rPr>
                <w:rFonts w:ascii="Times New Roman" w:eastAsia="Times New Roman" w:hAnsi="Times New Roman" w:cs="Times New Roman"/>
                <w:b/>
                <w:bCs/>
                <w:sz w:val="24"/>
                <w:szCs w:val="24"/>
                <w:lang w:val="en-GB" w:eastAsia="en-GB"/>
              </w:rPr>
            </w:pPr>
            <w:r w:rsidRPr="00575912">
              <w:rPr>
                <w:rFonts w:ascii="Times New Roman" w:eastAsia="Times New Roman" w:hAnsi="Times New Roman" w:cs="Times New Roman"/>
                <w:b/>
                <w:bCs/>
                <w:sz w:val="24"/>
                <w:szCs w:val="24"/>
                <w:lang w:val="en-GB" w:eastAsia="en-GB"/>
              </w:rPr>
              <w:t xml:space="preserve">   </w:t>
            </w:r>
            <w:r w:rsidR="00CC73B3" w:rsidRPr="00575912">
              <w:rPr>
                <w:rFonts w:ascii="Times New Roman" w:eastAsia="Times New Roman" w:hAnsi="Times New Roman" w:cs="Times New Roman"/>
                <w:b/>
                <w:bCs/>
                <w:sz w:val="24"/>
                <w:szCs w:val="24"/>
                <w:lang w:val="en-GB" w:eastAsia="en-GB"/>
              </w:rPr>
              <w:t>Mean age</w:t>
            </w:r>
          </w:p>
        </w:tc>
      </w:tr>
      <w:tr w:rsidR="00575912" w:rsidRPr="00575912" w14:paraId="267B7C68" w14:textId="77777777" w:rsidTr="00AA06A5">
        <w:tc>
          <w:tcPr>
            <w:tcW w:w="0" w:type="auto"/>
            <w:tcBorders>
              <w:top w:val="nil"/>
              <w:left w:val="nil"/>
              <w:bottom w:val="single" w:sz="4" w:space="0" w:color="auto"/>
              <w:right w:val="nil"/>
            </w:tcBorders>
            <w:vAlign w:val="center"/>
          </w:tcPr>
          <w:p w14:paraId="6F27355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M</w:t>
            </w:r>
          </w:p>
        </w:tc>
        <w:tc>
          <w:tcPr>
            <w:tcW w:w="0" w:type="auto"/>
            <w:tcBorders>
              <w:top w:val="nil"/>
              <w:left w:val="nil"/>
              <w:bottom w:val="single" w:sz="4" w:space="0" w:color="auto"/>
              <w:right w:val="nil"/>
            </w:tcBorders>
            <w:vAlign w:val="center"/>
          </w:tcPr>
          <w:p w14:paraId="4E354B0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6D8C8B6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43CE022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51349FE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274" w:type="dxa"/>
            <w:tcBorders>
              <w:top w:val="nil"/>
              <w:left w:val="nil"/>
              <w:bottom w:val="single" w:sz="4" w:space="0" w:color="auto"/>
              <w:right w:val="nil"/>
            </w:tcBorders>
            <w:vAlign w:val="center"/>
          </w:tcPr>
          <w:p w14:paraId="6AE73AA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single" w:sz="4" w:space="0" w:color="auto"/>
              <w:right w:val="nil"/>
            </w:tcBorders>
            <w:vAlign w:val="center"/>
          </w:tcPr>
          <w:p w14:paraId="43C3164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2E3A7F6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1535810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70.36 ± 18.03</w:t>
            </w:r>
          </w:p>
        </w:tc>
        <w:tc>
          <w:tcPr>
            <w:tcW w:w="0" w:type="auto"/>
            <w:tcBorders>
              <w:top w:val="nil"/>
              <w:left w:val="nil"/>
              <w:bottom w:val="single" w:sz="4" w:space="0" w:color="auto"/>
              <w:right w:val="nil"/>
            </w:tcBorders>
            <w:vAlign w:val="center"/>
          </w:tcPr>
          <w:p w14:paraId="40A4E79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tcPr>
          <w:p w14:paraId="1155DFE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49CC888C" w14:textId="77777777" w:rsidTr="00AA06A5">
        <w:tc>
          <w:tcPr>
            <w:tcW w:w="0" w:type="auto"/>
            <w:tcBorders>
              <w:top w:val="single" w:sz="4" w:space="0" w:color="auto"/>
              <w:left w:val="nil"/>
              <w:bottom w:val="nil"/>
              <w:right w:val="nil"/>
            </w:tcBorders>
            <w:vAlign w:val="center"/>
            <w:hideMark/>
          </w:tcPr>
          <w:p w14:paraId="6A60734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113442C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1CF315D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Knee </w:t>
            </w:r>
          </w:p>
        </w:tc>
        <w:tc>
          <w:tcPr>
            <w:tcW w:w="0" w:type="auto"/>
            <w:tcBorders>
              <w:top w:val="single" w:sz="4" w:space="0" w:color="auto"/>
              <w:left w:val="nil"/>
              <w:bottom w:val="nil"/>
              <w:right w:val="nil"/>
            </w:tcBorders>
            <w:vAlign w:val="center"/>
            <w:hideMark/>
          </w:tcPr>
          <w:p w14:paraId="349A173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1678D28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15 </w:t>
            </w:r>
          </w:p>
        </w:tc>
        <w:tc>
          <w:tcPr>
            <w:tcW w:w="274" w:type="dxa"/>
            <w:tcBorders>
              <w:top w:val="single" w:sz="4" w:space="0" w:color="auto"/>
              <w:left w:val="nil"/>
              <w:bottom w:val="nil"/>
              <w:right w:val="nil"/>
            </w:tcBorders>
            <w:vAlign w:val="center"/>
            <w:hideMark/>
          </w:tcPr>
          <w:p w14:paraId="3432289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single" w:sz="4" w:space="0" w:color="auto"/>
              <w:left w:val="nil"/>
              <w:bottom w:val="nil"/>
              <w:right w:val="nil"/>
            </w:tcBorders>
            <w:vAlign w:val="center"/>
            <w:hideMark/>
          </w:tcPr>
          <w:p w14:paraId="034BF9A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68.2 </w:t>
            </w:r>
          </w:p>
        </w:tc>
        <w:tc>
          <w:tcPr>
            <w:tcW w:w="0" w:type="auto"/>
            <w:tcBorders>
              <w:top w:val="single" w:sz="4" w:space="0" w:color="auto"/>
              <w:left w:val="nil"/>
              <w:bottom w:val="nil"/>
              <w:right w:val="nil"/>
            </w:tcBorders>
            <w:vAlign w:val="center"/>
            <w:hideMark/>
          </w:tcPr>
          <w:p w14:paraId="14B467F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680607D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4A68878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2724CCA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6BC35235" w14:textId="77777777" w:rsidTr="00AA06A5">
        <w:tc>
          <w:tcPr>
            <w:tcW w:w="0" w:type="auto"/>
            <w:tcBorders>
              <w:top w:val="nil"/>
              <w:left w:val="nil"/>
              <w:bottom w:val="nil"/>
              <w:right w:val="nil"/>
            </w:tcBorders>
            <w:vAlign w:val="center"/>
            <w:hideMark/>
          </w:tcPr>
          <w:p w14:paraId="469F473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677ADE9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6FBA451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Wrist </w:t>
            </w:r>
          </w:p>
        </w:tc>
        <w:tc>
          <w:tcPr>
            <w:tcW w:w="0" w:type="auto"/>
            <w:tcBorders>
              <w:top w:val="nil"/>
              <w:left w:val="nil"/>
              <w:bottom w:val="nil"/>
              <w:right w:val="nil"/>
            </w:tcBorders>
            <w:vAlign w:val="center"/>
            <w:hideMark/>
          </w:tcPr>
          <w:p w14:paraId="57FA1F7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3196A97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4 </w:t>
            </w:r>
          </w:p>
        </w:tc>
        <w:tc>
          <w:tcPr>
            <w:tcW w:w="274" w:type="dxa"/>
            <w:tcBorders>
              <w:top w:val="nil"/>
              <w:left w:val="nil"/>
              <w:bottom w:val="nil"/>
              <w:right w:val="nil"/>
            </w:tcBorders>
            <w:vAlign w:val="center"/>
            <w:hideMark/>
          </w:tcPr>
          <w:p w14:paraId="7BF1319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6F097B5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18.2 </w:t>
            </w:r>
          </w:p>
        </w:tc>
        <w:tc>
          <w:tcPr>
            <w:tcW w:w="0" w:type="auto"/>
            <w:tcBorders>
              <w:top w:val="nil"/>
              <w:left w:val="nil"/>
              <w:bottom w:val="nil"/>
              <w:right w:val="nil"/>
            </w:tcBorders>
            <w:vAlign w:val="center"/>
            <w:hideMark/>
          </w:tcPr>
          <w:p w14:paraId="59CDF666"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4D7284A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3D575C66"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5B80803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5E557073" w14:textId="77777777" w:rsidTr="00AA06A5">
        <w:tc>
          <w:tcPr>
            <w:tcW w:w="0" w:type="auto"/>
            <w:tcBorders>
              <w:top w:val="nil"/>
              <w:left w:val="nil"/>
              <w:bottom w:val="nil"/>
              <w:right w:val="nil"/>
            </w:tcBorders>
            <w:vAlign w:val="center"/>
            <w:hideMark/>
          </w:tcPr>
          <w:p w14:paraId="3F35BD1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0BA4866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41C5163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Elbow </w:t>
            </w:r>
          </w:p>
        </w:tc>
        <w:tc>
          <w:tcPr>
            <w:tcW w:w="0" w:type="auto"/>
            <w:tcBorders>
              <w:top w:val="nil"/>
              <w:left w:val="nil"/>
              <w:bottom w:val="nil"/>
              <w:right w:val="nil"/>
            </w:tcBorders>
            <w:vAlign w:val="center"/>
            <w:hideMark/>
          </w:tcPr>
          <w:p w14:paraId="40F19B3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0FDD3E8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2 </w:t>
            </w:r>
          </w:p>
        </w:tc>
        <w:tc>
          <w:tcPr>
            <w:tcW w:w="274" w:type="dxa"/>
            <w:tcBorders>
              <w:top w:val="nil"/>
              <w:left w:val="nil"/>
              <w:bottom w:val="nil"/>
              <w:right w:val="nil"/>
            </w:tcBorders>
            <w:vAlign w:val="center"/>
            <w:hideMark/>
          </w:tcPr>
          <w:p w14:paraId="35B503A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7C592CF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9.1 </w:t>
            </w:r>
          </w:p>
        </w:tc>
        <w:tc>
          <w:tcPr>
            <w:tcW w:w="0" w:type="auto"/>
            <w:tcBorders>
              <w:top w:val="nil"/>
              <w:left w:val="nil"/>
              <w:bottom w:val="nil"/>
              <w:right w:val="nil"/>
            </w:tcBorders>
            <w:vAlign w:val="center"/>
            <w:hideMark/>
          </w:tcPr>
          <w:p w14:paraId="041F457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3EB8CD8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52B2ACE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2BA1195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2604C6B2" w14:textId="77777777" w:rsidTr="00AA06A5">
        <w:tc>
          <w:tcPr>
            <w:tcW w:w="0" w:type="auto"/>
            <w:tcBorders>
              <w:top w:val="nil"/>
              <w:left w:val="nil"/>
              <w:bottom w:val="nil"/>
              <w:right w:val="nil"/>
            </w:tcBorders>
            <w:vAlign w:val="center"/>
            <w:hideMark/>
          </w:tcPr>
          <w:p w14:paraId="0EC7C9D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219608D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13DD85C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Shoulder </w:t>
            </w:r>
          </w:p>
        </w:tc>
        <w:tc>
          <w:tcPr>
            <w:tcW w:w="0" w:type="auto"/>
            <w:tcBorders>
              <w:top w:val="nil"/>
              <w:left w:val="nil"/>
              <w:bottom w:val="nil"/>
              <w:right w:val="nil"/>
            </w:tcBorders>
            <w:vAlign w:val="center"/>
            <w:hideMark/>
          </w:tcPr>
          <w:p w14:paraId="3463130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57DE535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 </w:t>
            </w:r>
          </w:p>
        </w:tc>
        <w:tc>
          <w:tcPr>
            <w:tcW w:w="274" w:type="dxa"/>
            <w:tcBorders>
              <w:top w:val="nil"/>
              <w:left w:val="nil"/>
              <w:bottom w:val="nil"/>
              <w:right w:val="nil"/>
            </w:tcBorders>
            <w:vAlign w:val="center"/>
            <w:hideMark/>
          </w:tcPr>
          <w:p w14:paraId="0730930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6D85BD5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4.5 </w:t>
            </w:r>
          </w:p>
        </w:tc>
        <w:tc>
          <w:tcPr>
            <w:tcW w:w="0" w:type="auto"/>
            <w:tcBorders>
              <w:top w:val="nil"/>
              <w:left w:val="nil"/>
              <w:bottom w:val="nil"/>
              <w:right w:val="nil"/>
            </w:tcBorders>
            <w:vAlign w:val="center"/>
            <w:hideMark/>
          </w:tcPr>
          <w:p w14:paraId="3EBCF91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72ABA17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3D5E5D7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6833CB2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43E41B57" w14:textId="77777777" w:rsidTr="00AA06A5">
        <w:tc>
          <w:tcPr>
            <w:tcW w:w="0" w:type="auto"/>
            <w:tcBorders>
              <w:top w:val="nil"/>
              <w:left w:val="nil"/>
              <w:bottom w:val="single" w:sz="4" w:space="0" w:color="auto"/>
              <w:right w:val="nil"/>
            </w:tcBorders>
            <w:vAlign w:val="center"/>
            <w:hideMark/>
          </w:tcPr>
          <w:p w14:paraId="2047715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single" w:sz="4" w:space="0" w:color="auto"/>
              <w:right w:val="nil"/>
            </w:tcBorders>
            <w:vAlign w:val="center"/>
            <w:hideMark/>
          </w:tcPr>
          <w:p w14:paraId="6FD48FF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hideMark/>
          </w:tcPr>
          <w:p w14:paraId="48A3E3C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Total </w:t>
            </w:r>
          </w:p>
        </w:tc>
        <w:tc>
          <w:tcPr>
            <w:tcW w:w="0" w:type="auto"/>
            <w:tcBorders>
              <w:top w:val="nil"/>
              <w:left w:val="nil"/>
              <w:bottom w:val="single" w:sz="4" w:space="0" w:color="auto"/>
              <w:right w:val="nil"/>
            </w:tcBorders>
            <w:vAlign w:val="center"/>
            <w:hideMark/>
          </w:tcPr>
          <w:p w14:paraId="526521A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hideMark/>
          </w:tcPr>
          <w:p w14:paraId="0CC9DD6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22 </w:t>
            </w:r>
          </w:p>
        </w:tc>
        <w:tc>
          <w:tcPr>
            <w:tcW w:w="274" w:type="dxa"/>
            <w:tcBorders>
              <w:top w:val="nil"/>
              <w:left w:val="nil"/>
              <w:bottom w:val="single" w:sz="4" w:space="0" w:color="auto"/>
              <w:right w:val="nil"/>
            </w:tcBorders>
            <w:vAlign w:val="center"/>
            <w:hideMark/>
          </w:tcPr>
          <w:p w14:paraId="373EFC4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single" w:sz="4" w:space="0" w:color="auto"/>
              <w:right w:val="nil"/>
            </w:tcBorders>
            <w:vAlign w:val="center"/>
            <w:hideMark/>
          </w:tcPr>
          <w:p w14:paraId="0660029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100.0 </w:t>
            </w:r>
          </w:p>
        </w:tc>
        <w:tc>
          <w:tcPr>
            <w:tcW w:w="0" w:type="auto"/>
            <w:tcBorders>
              <w:top w:val="nil"/>
              <w:left w:val="nil"/>
              <w:bottom w:val="single" w:sz="4" w:space="0" w:color="auto"/>
              <w:right w:val="nil"/>
            </w:tcBorders>
            <w:vAlign w:val="center"/>
            <w:hideMark/>
          </w:tcPr>
          <w:p w14:paraId="2C4F0397"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hideMark/>
          </w:tcPr>
          <w:p w14:paraId="6E4970F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single" w:sz="4" w:space="0" w:color="auto"/>
              <w:right w:val="nil"/>
            </w:tcBorders>
            <w:vAlign w:val="center"/>
            <w:hideMark/>
          </w:tcPr>
          <w:p w14:paraId="127F03D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single" w:sz="4" w:space="0" w:color="auto"/>
              <w:right w:val="nil"/>
            </w:tcBorders>
            <w:vAlign w:val="center"/>
            <w:hideMark/>
          </w:tcPr>
          <w:p w14:paraId="2DC3997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0819DEA3" w14:textId="77777777" w:rsidTr="00AA06A5">
        <w:tc>
          <w:tcPr>
            <w:tcW w:w="0" w:type="auto"/>
            <w:tcBorders>
              <w:top w:val="single" w:sz="4" w:space="0" w:color="auto"/>
              <w:left w:val="nil"/>
              <w:right w:val="nil"/>
            </w:tcBorders>
            <w:vAlign w:val="center"/>
          </w:tcPr>
          <w:p w14:paraId="20F9A4A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F </w:t>
            </w:r>
          </w:p>
        </w:tc>
        <w:tc>
          <w:tcPr>
            <w:tcW w:w="0" w:type="auto"/>
            <w:tcBorders>
              <w:top w:val="single" w:sz="4" w:space="0" w:color="auto"/>
              <w:left w:val="nil"/>
              <w:right w:val="nil"/>
            </w:tcBorders>
            <w:vAlign w:val="center"/>
          </w:tcPr>
          <w:p w14:paraId="242EA8E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right w:val="nil"/>
            </w:tcBorders>
            <w:vAlign w:val="center"/>
          </w:tcPr>
          <w:p w14:paraId="2D11B68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right w:val="nil"/>
            </w:tcBorders>
            <w:vAlign w:val="center"/>
          </w:tcPr>
          <w:p w14:paraId="1B93228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right w:val="nil"/>
            </w:tcBorders>
            <w:vAlign w:val="center"/>
          </w:tcPr>
          <w:p w14:paraId="76A00FD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274" w:type="dxa"/>
            <w:tcBorders>
              <w:top w:val="single" w:sz="4" w:space="0" w:color="auto"/>
              <w:left w:val="nil"/>
              <w:right w:val="nil"/>
            </w:tcBorders>
            <w:vAlign w:val="center"/>
          </w:tcPr>
          <w:p w14:paraId="758DC9C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single" w:sz="4" w:space="0" w:color="auto"/>
              <w:left w:val="nil"/>
              <w:right w:val="nil"/>
            </w:tcBorders>
            <w:vAlign w:val="center"/>
          </w:tcPr>
          <w:p w14:paraId="5B81F91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right w:val="nil"/>
            </w:tcBorders>
            <w:vAlign w:val="center"/>
          </w:tcPr>
          <w:p w14:paraId="243E74B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right w:val="nil"/>
            </w:tcBorders>
            <w:vAlign w:val="center"/>
          </w:tcPr>
          <w:p w14:paraId="0B10B6F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76.71 ±16.45</w:t>
            </w:r>
          </w:p>
        </w:tc>
        <w:tc>
          <w:tcPr>
            <w:tcW w:w="0" w:type="auto"/>
            <w:tcBorders>
              <w:top w:val="single" w:sz="4" w:space="0" w:color="auto"/>
              <w:left w:val="nil"/>
              <w:bottom w:val="nil"/>
              <w:right w:val="nil"/>
            </w:tcBorders>
            <w:vAlign w:val="center"/>
          </w:tcPr>
          <w:p w14:paraId="1B48392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tcPr>
          <w:p w14:paraId="3CC5B76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1ADA20DE" w14:textId="77777777" w:rsidTr="00AA06A5">
        <w:tc>
          <w:tcPr>
            <w:tcW w:w="0" w:type="auto"/>
            <w:vMerge w:val="restart"/>
            <w:tcBorders>
              <w:top w:val="single" w:sz="4" w:space="0" w:color="auto"/>
              <w:left w:val="nil"/>
              <w:right w:val="nil"/>
            </w:tcBorders>
            <w:vAlign w:val="center"/>
          </w:tcPr>
          <w:p w14:paraId="637EBC2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val="restart"/>
            <w:tcBorders>
              <w:top w:val="single" w:sz="4" w:space="0" w:color="auto"/>
              <w:left w:val="nil"/>
              <w:right w:val="nil"/>
            </w:tcBorders>
            <w:vAlign w:val="center"/>
          </w:tcPr>
          <w:p w14:paraId="1003F836"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val="restart"/>
            <w:tcBorders>
              <w:top w:val="single" w:sz="4" w:space="0" w:color="auto"/>
              <w:left w:val="nil"/>
              <w:right w:val="nil"/>
            </w:tcBorders>
            <w:vAlign w:val="center"/>
          </w:tcPr>
          <w:p w14:paraId="0355E84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Knee </w:t>
            </w:r>
          </w:p>
        </w:tc>
        <w:tc>
          <w:tcPr>
            <w:tcW w:w="0" w:type="auto"/>
            <w:vMerge w:val="restart"/>
            <w:tcBorders>
              <w:top w:val="single" w:sz="4" w:space="0" w:color="auto"/>
              <w:left w:val="nil"/>
              <w:right w:val="nil"/>
            </w:tcBorders>
            <w:vAlign w:val="center"/>
          </w:tcPr>
          <w:p w14:paraId="11BC387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val="restart"/>
            <w:tcBorders>
              <w:top w:val="single" w:sz="4" w:space="0" w:color="auto"/>
              <w:left w:val="nil"/>
              <w:right w:val="nil"/>
            </w:tcBorders>
            <w:vAlign w:val="center"/>
          </w:tcPr>
          <w:p w14:paraId="7CCF1D2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5 </w:t>
            </w:r>
          </w:p>
        </w:tc>
        <w:tc>
          <w:tcPr>
            <w:tcW w:w="274" w:type="dxa"/>
            <w:vMerge w:val="restart"/>
            <w:tcBorders>
              <w:top w:val="single" w:sz="4" w:space="0" w:color="auto"/>
              <w:left w:val="nil"/>
              <w:right w:val="nil"/>
            </w:tcBorders>
            <w:vAlign w:val="center"/>
          </w:tcPr>
          <w:p w14:paraId="309F091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vMerge w:val="restart"/>
            <w:tcBorders>
              <w:top w:val="single" w:sz="4" w:space="0" w:color="auto"/>
              <w:left w:val="nil"/>
              <w:right w:val="nil"/>
            </w:tcBorders>
            <w:vAlign w:val="center"/>
          </w:tcPr>
          <w:p w14:paraId="602B69D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35.7 </w:t>
            </w:r>
          </w:p>
        </w:tc>
        <w:tc>
          <w:tcPr>
            <w:tcW w:w="0" w:type="auto"/>
            <w:vMerge w:val="restart"/>
            <w:tcBorders>
              <w:top w:val="single" w:sz="4" w:space="0" w:color="auto"/>
              <w:left w:val="nil"/>
              <w:right w:val="nil"/>
            </w:tcBorders>
            <w:vAlign w:val="center"/>
          </w:tcPr>
          <w:p w14:paraId="7C87BAA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val="restart"/>
            <w:tcBorders>
              <w:top w:val="single" w:sz="4" w:space="0" w:color="auto"/>
              <w:left w:val="nil"/>
              <w:right w:val="nil"/>
            </w:tcBorders>
            <w:vAlign w:val="center"/>
          </w:tcPr>
          <w:p w14:paraId="7E0FEA2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single" w:sz="4" w:space="0" w:color="auto"/>
              <w:left w:val="nil"/>
              <w:bottom w:val="nil"/>
              <w:right w:val="nil"/>
            </w:tcBorders>
            <w:vAlign w:val="center"/>
          </w:tcPr>
          <w:p w14:paraId="4396225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val="restart"/>
            <w:tcBorders>
              <w:top w:val="single" w:sz="4" w:space="0" w:color="auto"/>
              <w:left w:val="nil"/>
              <w:right w:val="nil"/>
            </w:tcBorders>
            <w:vAlign w:val="center"/>
          </w:tcPr>
          <w:p w14:paraId="71B07DE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08EE0B1F" w14:textId="77777777" w:rsidTr="00AA06A5">
        <w:tc>
          <w:tcPr>
            <w:tcW w:w="0" w:type="auto"/>
            <w:vMerge/>
            <w:tcBorders>
              <w:left w:val="nil"/>
              <w:bottom w:val="nil"/>
              <w:right w:val="nil"/>
            </w:tcBorders>
            <w:vAlign w:val="center"/>
            <w:hideMark/>
          </w:tcPr>
          <w:p w14:paraId="3D2BAF8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4FF8ACF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120FABE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7E41F37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4326DBF3"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274" w:type="dxa"/>
            <w:vMerge/>
            <w:tcBorders>
              <w:left w:val="nil"/>
              <w:bottom w:val="nil"/>
              <w:right w:val="nil"/>
            </w:tcBorders>
            <w:vAlign w:val="center"/>
            <w:hideMark/>
          </w:tcPr>
          <w:p w14:paraId="44D0D58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vMerge/>
            <w:tcBorders>
              <w:left w:val="nil"/>
              <w:bottom w:val="nil"/>
              <w:right w:val="nil"/>
            </w:tcBorders>
            <w:vAlign w:val="center"/>
            <w:hideMark/>
          </w:tcPr>
          <w:p w14:paraId="1A9BF36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6BD6B1E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2674D1A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single" w:sz="4" w:space="0" w:color="auto"/>
              <w:left w:val="nil"/>
              <w:bottom w:val="nil"/>
              <w:right w:val="nil"/>
            </w:tcBorders>
            <w:vAlign w:val="center"/>
            <w:hideMark/>
          </w:tcPr>
          <w:p w14:paraId="6A9CA7F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vMerge/>
            <w:tcBorders>
              <w:left w:val="nil"/>
              <w:bottom w:val="nil"/>
              <w:right w:val="nil"/>
            </w:tcBorders>
            <w:vAlign w:val="center"/>
            <w:hideMark/>
          </w:tcPr>
          <w:p w14:paraId="16E5CCC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6FB319B3" w14:textId="77777777" w:rsidTr="00AA06A5">
        <w:tc>
          <w:tcPr>
            <w:tcW w:w="0" w:type="auto"/>
            <w:tcBorders>
              <w:top w:val="nil"/>
              <w:left w:val="nil"/>
              <w:bottom w:val="nil"/>
              <w:right w:val="nil"/>
            </w:tcBorders>
            <w:vAlign w:val="center"/>
            <w:hideMark/>
          </w:tcPr>
          <w:p w14:paraId="2F2D5E6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7A8B93D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57B2C98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Wrist </w:t>
            </w:r>
          </w:p>
        </w:tc>
        <w:tc>
          <w:tcPr>
            <w:tcW w:w="0" w:type="auto"/>
            <w:tcBorders>
              <w:top w:val="nil"/>
              <w:left w:val="nil"/>
              <w:bottom w:val="nil"/>
              <w:right w:val="nil"/>
            </w:tcBorders>
            <w:vAlign w:val="center"/>
            <w:hideMark/>
          </w:tcPr>
          <w:p w14:paraId="00EA7C7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3EB69A9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6 </w:t>
            </w:r>
          </w:p>
        </w:tc>
        <w:tc>
          <w:tcPr>
            <w:tcW w:w="274" w:type="dxa"/>
            <w:tcBorders>
              <w:top w:val="nil"/>
              <w:left w:val="nil"/>
              <w:bottom w:val="nil"/>
              <w:right w:val="nil"/>
            </w:tcBorders>
            <w:vAlign w:val="center"/>
            <w:hideMark/>
          </w:tcPr>
          <w:p w14:paraId="7E55116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208AA35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42.9 </w:t>
            </w:r>
          </w:p>
        </w:tc>
        <w:tc>
          <w:tcPr>
            <w:tcW w:w="0" w:type="auto"/>
            <w:tcBorders>
              <w:top w:val="nil"/>
              <w:left w:val="nil"/>
              <w:bottom w:val="nil"/>
              <w:right w:val="nil"/>
            </w:tcBorders>
            <w:vAlign w:val="center"/>
            <w:hideMark/>
          </w:tcPr>
          <w:p w14:paraId="01A84C1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307BFD4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1FAF538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24230CE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21DEEEC3" w14:textId="77777777" w:rsidTr="00AA06A5">
        <w:tc>
          <w:tcPr>
            <w:tcW w:w="0" w:type="auto"/>
            <w:tcBorders>
              <w:top w:val="nil"/>
              <w:left w:val="nil"/>
              <w:bottom w:val="nil"/>
              <w:right w:val="nil"/>
            </w:tcBorders>
            <w:vAlign w:val="center"/>
            <w:hideMark/>
          </w:tcPr>
          <w:p w14:paraId="44EDE26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75142B2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21C8D39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Elbow </w:t>
            </w:r>
          </w:p>
        </w:tc>
        <w:tc>
          <w:tcPr>
            <w:tcW w:w="0" w:type="auto"/>
            <w:tcBorders>
              <w:top w:val="nil"/>
              <w:left w:val="nil"/>
              <w:bottom w:val="nil"/>
              <w:right w:val="nil"/>
            </w:tcBorders>
            <w:vAlign w:val="center"/>
            <w:hideMark/>
          </w:tcPr>
          <w:p w14:paraId="306ACA22"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0BD9589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 </w:t>
            </w:r>
          </w:p>
        </w:tc>
        <w:tc>
          <w:tcPr>
            <w:tcW w:w="274" w:type="dxa"/>
            <w:tcBorders>
              <w:top w:val="nil"/>
              <w:left w:val="nil"/>
              <w:bottom w:val="nil"/>
              <w:right w:val="nil"/>
            </w:tcBorders>
            <w:vAlign w:val="center"/>
            <w:hideMark/>
          </w:tcPr>
          <w:p w14:paraId="2C2945D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46693BE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7.1 </w:t>
            </w:r>
          </w:p>
        </w:tc>
        <w:tc>
          <w:tcPr>
            <w:tcW w:w="0" w:type="auto"/>
            <w:tcBorders>
              <w:top w:val="nil"/>
              <w:left w:val="nil"/>
              <w:bottom w:val="nil"/>
              <w:right w:val="nil"/>
            </w:tcBorders>
            <w:vAlign w:val="center"/>
            <w:hideMark/>
          </w:tcPr>
          <w:p w14:paraId="4E2BA48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7B53647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49424DD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0FB15A39"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575912" w:rsidRPr="00575912" w14:paraId="16CBE58D" w14:textId="77777777" w:rsidTr="00AA06A5">
        <w:tc>
          <w:tcPr>
            <w:tcW w:w="0" w:type="auto"/>
            <w:tcBorders>
              <w:top w:val="nil"/>
              <w:left w:val="nil"/>
              <w:bottom w:val="nil"/>
              <w:right w:val="nil"/>
            </w:tcBorders>
            <w:vAlign w:val="center"/>
            <w:hideMark/>
          </w:tcPr>
          <w:p w14:paraId="007A6F35"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7408F8D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173FB0AB"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Shoulder </w:t>
            </w:r>
          </w:p>
        </w:tc>
        <w:tc>
          <w:tcPr>
            <w:tcW w:w="0" w:type="auto"/>
            <w:tcBorders>
              <w:top w:val="nil"/>
              <w:left w:val="nil"/>
              <w:bottom w:val="nil"/>
              <w:right w:val="nil"/>
            </w:tcBorders>
            <w:vAlign w:val="center"/>
            <w:hideMark/>
          </w:tcPr>
          <w:p w14:paraId="01695DA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423B694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2 </w:t>
            </w:r>
          </w:p>
        </w:tc>
        <w:tc>
          <w:tcPr>
            <w:tcW w:w="274" w:type="dxa"/>
            <w:tcBorders>
              <w:top w:val="nil"/>
              <w:left w:val="nil"/>
              <w:bottom w:val="nil"/>
              <w:right w:val="nil"/>
            </w:tcBorders>
            <w:vAlign w:val="center"/>
            <w:hideMark/>
          </w:tcPr>
          <w:p w14:paraId="7C4186F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78E3279D"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14.3 </w:t>
            </w:r>
          </w:p>
        </w:tc>
        <w:tc>
          <w:tcPr>
            <w:tcW w:w="0" w:type="auto"/>
            <w:tcBorders>
              <w:top w:val="nil"/>
              <w:left w:val="nil"/>
              <w:bottom w:val="nil"/>
              <w:right w:val="nil"/>
            </w:tcBorders>
            <w:vAlign w:val="center"/>
            <w:hideMark/>
          </w:tcPr>
          <w:p w14:paraId="3D739E4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178D024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179E60B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31F172B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r w:rsidR="00AA06A5" w:rsidRPr="00575912" w14:paraId="3F93930A" w14:textId="77777777" w:rsidTr="00AA06A5">
        <w:tc>
          <w:tcPr>
            <w:tcW w:w="0" w:type="auto"/>
            <w:tcBorders>
              <w:top w:val="nil"/>
              <w:left w:val="nil"/>
              <w:bottom w:val="nil"/>
              <w:right w:val="nil"/>
            </w:tcBorders>
            <w:vAlign w:val="center"/>
            <w:hideMark/>
          </w:tcPr>
          <w:p w14:paraId="273215BC"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47789A06"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78B9B20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Total </w:t>
            </w:r>
          </w:p>
        </w:tc>
        <w:tc>
          <w:tcPr>
            <w:tcW w:w="0" w:type="auto"/>
            <w:tcBorders>
              <w:top w:val="nil"/>
              <w:left w:val="nil"/>
              <w:bottom w:val="nil"/>
              <w:right w:val="nil"/>
            </w:tcBorders>
            <w:vAlign w:val="center"/>
            <w:hideMark/>
          </w:tcPr>
          <w:p w14:paraId="06EF3B7E"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22CA03F4"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14 </w:t>
            </w:r>
          </w:p>
        </w:tc>
        <w:tc>
          <w:tcPr>
            <w:tcW w:w="274" w:type="dxa"/>
            <w:tcBorders>
              <w:top w:val="nil"/>
              <w:left w:val="nil"/>
              <w:bottom w:val="nil"/>
              <w:right w:val="nil"/>
            </w:tcBorders>
            <w:vAlign w:val="center"/>
            <w:hideMark/>
          </w:tcPr>
          <w:p w14:paraId="3B065D71"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612" w:type="dxa"/>
            <w:tcBorders>
              <w:top w:val="nil"/>
              <w:left w:val="nil"/>
              <w:bottom w:val="nil"/>
              <w:right w:val="nil"/>
            </w:tcBorders>
            <w:vAlign w:val="center"/>
            <w:hideMark/>
          </w:tcPr>
          <w:p w14:paraId="7E3B7B8F"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100.0 </w:t>
            </w:r>
          </w:p>
        </w:tc>
        <w:tc>
          <w:tcPr>
            <w:tcW w:w="0" w:type="auto"/>
            <w:tcBorders>
              <w:top w:val="nil"/>
              <w:left w:val="nil"/>
              <w:bottom w:val="nil"/>
              <w:right w:val="nil"/>
            </w:tcBorders>
            <w:vAlign w:val="center"/>
            <w:hideMark/>
          </w:tcPr>
          <w:p w14:paraId="4B00100A"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5C742978"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r w:rsidRPr="00575912">
              <w:rPr>
                <w:rFonts w:ascii="Times New Roman" w:eastAsia="Times New Roman" w:hAnsi="Times New Roman" w:cs="Times New Roman"/>
                <w:sz w:val="24"/>
                <w:szCs w:val="24"/>
                <w:lang w:val="en-GB" w:eastAsia="en-GB"/>
              </w:rPr>
              <w:t xml:space="preserve">  </w:t>
            </w:r>
          </w:p>
        </w:tc>
        <w:tc>
          <w:tcPr>
            <w:tcW w:w="0" w:type="auto"/>
            <w:tcBorders>
              <w:top w:val="nil"/>
              <w:left w:val="nil"/>
              <w:bottom w:val="nil"/>
              <w:right w:val="nil"/>
            </w:tcBorders>
            <w:vAlign w:val="center"/>
            <w:hideMark/>
          </w:tcPr>
          <w:p w14:paraId="6F67D8A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c>
          <w:tcPr>
            <w:tcW w:w="0" w:type="auto"/>
            <w:tcBorders>
              <w:top w:val="nil"/>
              <w:left w:val="nil"/>
              <w:bottom w:val="nil"/>
              <w:right w:val="nil"/>
            </w:tcBorders>
            <w:vAlign w:val="center"/>
            <w:hideMark/>
          </w:tcPr>
          <w:p w14:paraId="7DEE71E0" w14:textId="77777777" w:rsidR="00CC73B3" w:rsidRPr="00575912" w:rsidRDefault="00CC73B3" w:rsidP="00AA06A5">
            <w:pPr>
              <w:spacing w:after="0" w:line="360" w:lineRule="auto"/>
              <w:jc w:val="both"/>
              <w:rPr>
                <w:rFonts w:ascii="Times New Roman" w:eastAsia="Times New Roman" w:hAnsi="Times New Roman" w:cs="Times New Roman"/>
                <w:sz w:val="24"/>
                <w:szCs w:val="24"/>
                <w:lang w:val="en-GB" w:eastAsia="en-GB"/>
              </w:rPr>
            </w:pPr>
          </w:p>
        </w:tc>
      </w:tr>
    </w:tbl>
    <w:p w14:paraId="0C842172" w14:textId="77777777" w:rsidR="00AA06A5" w:rsidRPr="00575912" w:rsidRDefault="00AA06A5" w:rsidP="00AA06A5">
      <w:pPr>
        <w:spacing w:line="360" w:lineRule="auto"/>
        <w:jc w:val="both"/>
        <w:rPr>
          <w:rFonts w:ascii="Times New Roman" w:hAnsi="Times New Roman" w:cs="Times New Roman"/>
          <w:b/>
          <w:lang w:val="en-GB"/>
        </w:rPr>
      </w:pPr>
    </w:p>
    <w:p w14:paraId="0503715F" w14:textId="276FF12D" w:rsidR="00CC73B3" w:rsidRPr="00575912" w:rsidRDefault="00CC73B3" w:rsidP="00AA06A5">
      <w:pPr>
        <w:spacing w:line="360" w:lineRule="auto"/>
        <w:jc w:val="both"/>
        <w:rPr>
          <w:rFonts w:ascii="Times New Roman" w:hAnsi="Times New Roman" w:cs="Times New Roman"/>
          <w:lang w:val="en-GB"/>
        </w:rPr>
      </w:pPr>
      <w:r w:rsidRPr="00575912">
        <w:rPr>
          <w:rFonts w:ascii="Times New Roman" w:hAnsi="Times New Roman" w:cs="Times New Roman"/>
          <w:b/>
          <w:lang w:val="en-GB"/>
        </w:rPr>
        <w:t xml:space="preserve">Table2. </w:t>
      </w:r>
      <w:r w:rsidRPr="00575912">
        <w:rPr>
          <w:rFonts w:ascii="Times New Roman" w:hAnsi="Times New Roman" w:cs="Times New Roman"/>
          <w:i/>
          <w:lang w:val="en-GB"/>
        </w:rPr>
        <w:t>Cytological exam results</w:t>
      </w:r>
    </w:p>
    <w:tbl>
      <w:tblPr>
        <w:tblStyle w:val="Tabellasemplice-11"/>
        <w:tblW w:w="7054" w:type="dxa"/>
        <w:tblLook w:val="04A0" w:firstRow="1" w:lastRow="0" w:firstColumn="1" w:lastColumn="0" w:noHBand="0" w:noVBand="1"/>
      </w:tblPr>
      <w:tblGrid>
        <w:gridCol w:w="3350"/>
        <w:gridCol w:w="1323"/>
        <w:gridCol w:w="1507"/>
        <w:gridCol w:w="874"/>
      </w:tblGrid>
      <w:tr w:rsidR="00575912" w:rsidRPr="00575912" w14:paraId="3DD7131E" w14:textId="77777777" w:rsidTr="00D46B0B">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D0CECE" w:themeFill="background2" w:themeFillShade="E6"/>
            <w:hideMark/>
          </w:tcPr>
          <w:p w14:paraId="70210E71" w14:textId="579B9984" w:rsidR="00CC73B3" w:rsidRPr="00575912" w:rsidRDefault="00CC73B3" w:rsidP="00D46B0B">
            <w:pPr>
              <w:spacing w:line="360" w:lineRule="auto"/>
              <w:jc w:val="center"/>
              <w:rPr>
                <w:rFonts w:ascii="Times New Roman" w:hAnsi="Times New Roman" w:cs="Times New Roman"/>
                <w:b w:val="0"/>
                <w:bCs w:val="0"/>
                <w:lang w:val="en-GB" w:eastAsia="it-IT"/>
              </w:rPr>
            </w:pPr>
            <w:r w:rsidRPr="00575912">
              <w:rPr>
                <w:rFonts w:ascii="Times New Roman" w:hAnsi="Times New Roman" w:cs="Times New Roman"/>
                <w:lang w:val="en-GB" w:eastAsia="it-IT"/>
              </w:rPr>
              <w:t>Crystal result</w:t>
            </w:r>
          </w:p>
        </w:tc>
        <w:tc>
          <w:tcPr>
            <w:tcW w:w="1323" w:type="dxa"/>
            <w:shd w:val="clear" w:color="auto" w:fill="D0CECE" w:themeFill="background2" w:themeFillShade="E6"/>
            <w:hideMark/>
          </w:tcPr>
          <w:p w14:paraId="3F340973" w14:textId="075D48B4" w:rsidR="00CC73B3" w:rsidRPr="00575912" w:rsidRDefault="00CC73B3" w:rsidP="00D46B0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GB" w:eastAsia="it-IT"/>
              </w:rPr>
            </w:pPr>
            <w:r w:rsidRPr="00575912">
              <w:rPr>
                <w:rFonts w:ascii="Times New Roman" w:hAnsi="Times New Roman" w:cs="Times New Roman"/>
                <w:lang w:val="en-GB" w:eastAsia="it-IT"/>
              </w:rPr>
              <w:t>Joint</w:t>
            </w:r>
          </w:p>
        </w:tc>
        <w:tc>
          <w:tcPr>
            <w:tcW w:w="1507" w:type="dxa"/>
            <w:shd w:val="clear" w:color="auto" w:fill="D0CECE" w:themeFill="background2" w:themeFillShade="E6"/>
            <w:hideMark/>
          </w:tcPr>
          <w:p w14:paraId="4A5B591E" w14:textId="20BADC83" w:rsidR="00CC73B3" w:rsidRPr="00575912" w:rsidRDefault="00CC73B3" w:rsidP="00D46B0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GB" w:eastAsia="it-IT"/>
              </w:rPr>
            </w:pPr>
            <w:r w:rsidRPr="00575912">
              <w:rPr>
                <w:rFonts w:ascii="Times New Roman" w:hAnsi="Times New Roman" w:cs="Times New Roman"/>
                <w:lang w:val="en-GB" w:eastAsia="it-IT"/>
              </w:rPr>
              <w:t>Frequency</w:t>
            </w:r>
          </w:p>
        </w:tc>
        <w:tc>
          <w:tcPr>
            <w:tcW w:w="874" w:type="dxa"/>
            <w:shd w:val="clear" w:color="auto" w:fill="D0CECE" w:themeFill="background2" w:themeFillShade="E6"/>
            <w:hideMark/>
          </w:tcPr>
          <w:p w14:paraId="2D76B3A9" w14:textId="0F5DC608" w:rsidR="00CC73B3" w:rsidRPr="00575912" w:rsidRDefault="00CC73B3" w:rsidP="00D46B0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GB" w:eastAsia="it-IT"/>
              </w:rPr>
            </w:pPr>
            <w:r w:rsidRPr="00575912">
              <w:rPr>
                <w:rFonts w:ascii="Times New Roman" w:hAnsi="Times New Roman" w:cs="Times New Roman"/>
                <w:lang w:val="en-GB" w:eastAsia="it-IT"/>
              </w:rPr>
              <w:t>%</w:t>
            </w:r>
          </w:p>
        </w:tc>
      </w:tr>
      <w:tr w:rsidR="00575912" w:rsidRPr="00575912" w14:paraId="527245CB"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E7E6E6" w:themeFill="background2"/>
            <w:hideMark/>
          </w:tcPr>
          <w:p w14:paraId="7F052CA1" w14:textId="5A65ADAB" w:rsidR="00CC73B3" w:rsidRPr="00575912" w:rsidRDefault="00CC73B3" w:rsidP="00D46B0B">
            <w:pPr>
              <w:spacing w:line="360" w:lineRule="auto"/>
              <w:jc w:val="center"/>
              <w:rPr>
                <w:rFonts w:ascii="Times New Roman" w:hAnsi="Times New Roman" w:cs="Times New Roman"/>
                <w:lang w:val="en-GB" w:eastAsia="it-IT"/>
              </w:rPr>
            </w:pPr>
            <w:r w:rsidRPr="00575912">
              <w:rPr>
                <w:rFonts w:ascii="Times New Roman" w:hAnsi="Times New Roman" w:cs="Times New Roman"/>
                <w:lang w:val="en-GB" w:eastAsia="it-IT"/>
              </w:rPr>
              <w:t>Pseudogout</w:t>
            </w:r>
            <w:r w:rsidR="00D46B0B" w:rsidRPr="00575912">
              <w:rPr>
                <w:rFonts w:ascii="Times New Roman" w:hAnsi="Times New Roman" w:cs="Times New Roman"/>
                <w:lang w:val="en-GB" w:eastAsia="it-IT"/>
              </w:rPr>
              <w:t xml:space="preserve"> </w:t>
            </w:r>
            <w:r w:rsidRPr="00575912">
              <w:rPr>
                <w:rFonts w:ascii="Times New Roman" w:hAnsi="Times New Roman" w:cs="Times New Roman"/>
                <w:lang w:val="en-GB" w:eastAsia="it-IT"/>
              </w:rPr>
              <w:t>(Calcium Pyrophosphate)</w:t>
            </w:r>
          </w:p>
        </w:tc>
        <w:tc>
          <w:tcPr>
            <w:tcW w:w="1323" w:type="dxa"/>
            <w:shd w:val="clear" w:color="auto" w:fill="FFFFFF" w:themeFill="background1"/>
            <w:hideMark/>
          </w:tcPr>
          <w:p w14:paraId="048E0850"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Knee</w:t>
            </w:r>
          </w:p>
        </w:tc>
        <w:tc>
          <w:tcPr>
            <w:tcW w:w="1507" w:type="dxa"/>
            <w:shd w:val="clear" w:color="auto" w:fill="FFFFFF" w:themeFill="background1"/>
            <w:hideMark/>
          </w:tcPr>
          <w:p w14:paraId="57E1A739"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13</w:t>
            </w:r>
          </w:p>
        </w:tc>
        <w:tc>
          <w:tcPr>
            <w:tcW w:w="874" w:type="dxa"/>
            <w:shd w:val="clear" w:color="auto" w:fill="FFFFFF" w:themeFill="background1"/>
            <w:hideMark/>
          </w:tcPr>
          <w:p w14:paraId="06D91E76"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61.9</w:t>
            </w:r>
          </w:p>
        </w:tc>
      </w:tr>
      <w:tr w:rsidR="00575912" w:rsidRPr="00575912" w14:paraId="048A6B66"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hideMark/>
          </w:tcPr>
          <w:p w14:paraId="04EC6E0B"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hideMark/>
          </w:tcPr>
          <w:p w14:paraId="7D4641AE"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Wrist</w:t>
            </w:r>
          </w:p>
        </w:tc>
        <w:tc>
          <w:tcPr>
            <w:tcW w:w="1507" w:type="dxa"/>
            <w:hideMark/>
          </w:tcPr>
          <w:p w14:paraId="0B52BE6E"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4</w:t>
            </w:r>
          </w:p>
        </w:tc>
        <w:tc>
          <w:tcPr>
            <w:tcW w:w="874" w:type="dxa"/>
            <w:hideMark/>
          </w:tcPr>
          <w:p w14:paraId="00602C26"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19.0</w:t>
            </w:r>
          </w:p>
        </w:tc>
      </w:tr>
      <w:tr w:rsidR="00575912" w:rsidRPr="00575912" w14:paraId="36A2D340"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4D46E75F"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3426FC05"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Elbow</w:t>
            </w:r>
          </w:p>
        </w:tc>
        <w:tc>
          <w:tcPr>
            <w:tcW w:w="1507" w:type="dxa"/>
            <w:shd w:val="clear" w:color="auto" w:fill="auto"/>
            <w:hideMark/>
          </w:tcPr>
          <w:p w14:paraId="569F0A9B"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2</w:t>
            </w:r>
          </w:p>
        </w:tc>
        <w:tc>
          <w:tcPr>
            <w:tcW w:w="874" w:type="dxa"/>
            <w:shd w:val="clear" w:color="auto" w:fill="auto"/>
            <w:hideMark/>
          </w:tcPr>
          <w:p w14:paraId="2E66BE64"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9.5</w:t>
            </w:r>
          </w:p>
        </w:tc>
      </w:tr>
      <w:tr w:rsidR="00575912" w:rsidRPr="00575912" w14:paraId="748242F2" w14:textId="77777777" w:rsidTr="00D46B0B">
        <w:trPr>
          <w:trHeight w:val="104"/>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1F8F1EAF"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5098F0A5"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Shoulder</w:t>
            </w:r>
          </w:p>
        </w:tc>
        <w:tc>
          <w:tcPr>
            <w:tcW w:w="1507" w:type="dxa"/>
            <w:shd w:val="clear" w:color="auto" w:fill="auto"/>
            <w:hideMark/>
          </w:tcPr>
          <w:p w14:paraId="1654D850"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2</w:t>
            </w:r>
          </w:p>
        </w:tc>
        <w:tc>
          <w:tcPr>
            <w:tcW w:w="874" w:type="dxa"/>
            <w:shd w:val="clear" w:color="auto" w:fill="auto"/>
            <w:hideMark/>
          </w:tcPr>
          <w:p w14:paraId="4FFB3DE4"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9.5</w:t>
            </w:r>
          </w:p>
        </w:tc>
      </w:tr>
      <w:tr w:rsidR="00575912" w:rsidRPr="00575912" w14:paraId="20AEAA26"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444F2611" w14:textId="77777777" w:rsidR="00CC73B3" w:rsidRPr="00575912" w:rsidRDefault="00CC73B3" w:rsidP="00D46B0B">
            <w:pPr>
              <w:spacing w:line="360" w:lineRule="auto"/>
              <w:jc w:val="center"/>
              <w:rPr>
                <w:rFonts w:ascii="Times New Roman" w:hAnsi="Times New Roman" w:cs="Times New Roman"/>
                <w:lang w:val="en-GB" w:eastAsia="it-IT"/>
              </w:rPr>
            </w:pPr>
          </w:p>
        </w:tc>
        <w:tc>
          <w:tcPr>
            <w:tcW w:w="1323" w:type="dxa"/>
            <w:shd w:val="clear" w:color="auto" w:fill="auto"/>
            <w:hideMark/>
          </w:tcPr>
          <w:p w14:paraId="2B74203C"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Total</w:t>
            </w:r>
          </w:p>
        </w:tc>
        <w:tc>
          <w:tcPr>
            <w:tcW w:w="1507" w:type="dxa"/>
            <w:shd w:val="clear" w:color="auto" w:fill="auto"/>
            <w:hideMark/>
          </w:tcPr>
          <w:p w14:paraId="21057145"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21</w:t>
            </w:r>
          </w:p>
        </w:tc>
        <w:tc>
          <w:tcPr>
            <w:tcW w:w="874" w:type="dxa"/>
            <w:shd w:val="clear" w:color="auto" w:fill="auto"/>
            <w:hideMark/>
          </w:tcPr>
          <w:p w14:paraId="68D724E1"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100.0</w:t>
            </w:r>
          </w:p>
        </w:tc>
      </w:tr>
      <w:tr w:rsidR="00575912" w:rsidRPr="00575912" w14:paraId="3F99E050"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E7E6E6" w:themeFill="background2"/>
            <w:hideMark/>
          </w:tcPr>
          <w:p w14:paraId="67C2488C" w14:textId="77777777" w:rsidR="00CC73B3" w:rsidRPr="00575912" w:rsidRDefault="00CC73B3" w:rsidP="00D46B0B">
            <w:pPr>
              <w:spacing w:line="360" w:lineRule="auto"/>
              <w:jc w:val="center"/>
              <w:rPr>
                <w:rFonts w:ascii="Times New Roman" w:hAnsi="Times New Roman" w:cs="Times New Roman"/>
                <w:lang w:val="en-GB" w:eastAsia="it-IT"/>
              </w:rPr>
            </w:pPr>
            <w:r w:rsidRPr="00575912">
              <w:rPr>
                <w:rFonts w:ascii="Times New Roman" w:hAnsi="Times New Roman" w:cs="Times New Roman"/>
                <w:lang w:val="en-GB" w:eastAsia="it-IT"/>
              </w:rPr>
              <w:t>Gout (Uric Acid)</w:t>
            </w:r>
          </w:p>
        </w:tc>
        <w:tc>
          <w:tcPr>
            <w:tcW w:w="1323" w:type="dxa"/>
            <w:shd w:val="clear" w:color="auto" w:fill="FFFFFF" w:themeFill="background1"/>
            <w:hideMark/>
          </w:tcPr>
          <w:p w14:paraId="23660D69"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Knee</w:t>
            </w:r>
          </w:p>
        </w:tc>
        <w:tc>
          <w:tcPr>
            <w:tcW w:w="1507" w:type="dxa"/>
            <w:shd w:val="clear" w:color="auto" w:fill="FFFFFF" w:themeFill="background1"/>
            <w:hideMark/>
          </w:tcPr>
          <w:p w14:paraId="1D1D33DD"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w:t>
            </w:r>
          </w:p>
        </w:tc>
        <w:tc>
          <w:tcPr>
            <w:tcW w:w="874" w:type="dxa"/>
            <w:shd w:val="clear" w:color="auto" w:fill="FFFFFF" w:themeFill="background1"/>
            <w:hideMark/>
          </w:tcPr>
          <w:p w14:paraId="045B5A0A"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25.0</w:t>
            </w:r>
          </w:p>
        </w:tc>
      </w:tr>
      <w:tr w:rsidR="00575912" w:rsidRPr="00575912" w14:paraId="7E8CE5E9"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0D3F3D20"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4E18A2DB"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Wrist</w:t>
            </w:r>
          </w:p>
        </w:tc>
        <w:tc>
          <w:tcPr>
            <w:tcW w:w="1507" w:type="dxa"/>
            <w:shd w:val="clear" w:color="auto" w:fill="auto"/>
            <w:hideMark/>
          </w:tcPr>
          <w:p w14:paraId="222C882C"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3</w:t>
            </w:r>
          </w:p>
        </w:tc>
        <w:tc>
          <w:tcPr>
            <w:tcW w:w="874" w:type="dxa"/>
            <w:shd w:val="clear" w:color="auto" w:fill="auto"/>
            <w:hideMark/>
          </w:tcPr>
          <w:p w14:paraId="2170C6F2"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75.0</w:t>
            </w:r>
          </w:p>
        </w:tc>
      </w:tr>
      <w:tr w:rsidR="00575912" w:rsidRPr="00575912" w14:paraId="38985106"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7E5D1E17"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555861B3"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Elbow</w:t>
            </w:r>
          </w:p>
        </w:tc>
        <w:tc>
          <w:tcPr>
            <w:tcW w:w="1507" w:type="dxa"/>
            <w:shd w:val="clear" w:color="auto" w:fill="auto"/>
            <w:hideMark/>
          </w:tcPr>
          <w:p w14:paraId="3AA8E7EB"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0</w:t>
            </w:r>
          </w:p>
        </w:tc>
        <w:tc>
          <w:tcPr>
            <w:tcW w:w="874" w:type="dxa"/>
            <w:shd w:val="clear" w:color="auto" w:fill="auto"/>
            <w:hideMark/>
          </w:tcPr>
          <w:p w14:paraId="7CD5FEAE"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0.0</w:t>
            </w:r>
          </w:p>
        </w:tc>
      </w:tr>
      <w:tr w:rsidR="00575912" w:rsidRPr="00575912" w14:paraId="2E0025FD"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466917BD"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48C08F37"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Shoulder</w:t>
            </w:r>
          </w:p>
        </w:tc>
        <w:tc>
          <w:tcPr>
            <w:tcW w:w="1507" w:type="dxa"/>
            <w:shd w:val="clear" w:color="auto" w:fill="auto"/>
            <w:hideMark/>
          </w:tcPr>
          <w:p w14:paraId="1E431DDB"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0</w:t>
            </w:r>
          </w:p>
        </w:tc>
        <w:tc>
          <w:tcPr>
            <w:tcW w:w="874" w:type="dxa"/>
            <w:shd w:val="clear" w:color="auto" w:fill="auto"/>
            <w:hideMark/>
          </w:tcPr>
          <w:p w14:paraId="0FDD0B1E"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0.0</w:t>
            </w:r>
          </w:p>
        </w:tc>
      </w:tr>
      <w:tr w:rsidR="00575912" w:rsidRPr="00575912" w14:paraId="0A54711B"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56BE1534" w14:textId="77777777" w:rsidR="00CC73B3" w:rsidRPr="00575912" w:rsidRDefault="00CC73B3" w:rsidP="00D46B0B">
            <w:pPr>
              <w:spacing w:line="360" w:lineRule="auto"/>
              <w:jc w:val="center"/>
              <w:rPr>
                <w:rFonts w:ascii="Times New Roman" w:hAnsi="Times New Roman" w:cs="Times New Roman"/>
                <w:lang w:val="en-GB" w:eastAsia="it-IT"/>
              </w:rPr>
            </w:pPr>
          </w:p>
        </w:tc>
        <w:tc>
          <w:tcPr>
            <w:tcW w:w="1323" w:type="dxa"/>
            <w:shd w:val="clear" w:color="auto" w:fill="auto"/>
            <w:hideMark/>
          </w:tcPr>
          <w:p w14:paraId="554051DE"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Total</w:t>
            </w:r>
          </w:p>
        </w:tc>
        <w:tc>
          <w:tcPr>
            <w:tcW w:w="1507" w:type="dxa"/>
            <w:shd w:val="clear" w:color="auto" w:fill="auto"/>
            <w:hideMark/>
          </w:tcPr>
          <w:p w14:paraId="1F9193A8"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4</w:t>
            </w:r>
          </w:p>
        </w:tc>
        <w:tc>
          <w:tcPr>
            <w:tcW w:w="874" w:type="dxa"/>
            <w:shd w:val="clear" w:color="auto" w:fill="auto"/>
            <w:hideMark/>
          </w:tcPr>
          <w:p w14:paraId="2EDA5DFD"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100.0</w:t>
            </w:r>
          </w:p>
        </w:tc>
      </w:tr>
      <w:tr w:rsidR="00575912" w:rsidRPr="00575912" w14:paraId="1418D248"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E7E6E6" w:themeFill="background2"/>
            <w:hideMark/>
          </w:tcPr>
          <w:p w14:paraId="6483C324" w14:textId="77777777" w:rsidR="00CC73B3" w:rsidRPr="00575912" w:rsidRDefault="00CC73B3" w:rsidP="00D46B0B">
            <w:pPr>
              <w:spacing w:line="360" w:lineRule="auto"/>
              <w:jc w:val="center"/>
              <w:rPr>
                <w:rFonts w:ascii="Times New Roman" w:hAnsi="Times New Roman" w:cs="Times New Roman"/>
                <w:lang w:val="en-GB" w:eastAsia="it-IT"/>
              </w:rPr>
            </w:pPr>
            <w:r w:rsidRPr="00575912">
              <w:rPr>
                <w:rFonts w:ascii="Times New Roman" w:hAnsi="Times New Roman" w:cs="Times New Roman"/>
                <w:lang w:val="en-GB" w:eastAsia="it-IT"/>
              </w:rPr>
              <w:t>No crystals</w:t>
            </w:r>
          </w:p>
        </w:tc>
        <w:tc>
          <w:tcPr>
            <w:tcW w:w="1323" w:type="dxa"/>
            <w:shd w:val="clear" w:color="auto" w:fill="FFFFFF" w:themeFill="background1"/>
            <w:hideMark/>
          </w:tcPr>
          <w:p w14:paraId="2DE22DF8"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Knee</w:t>
            </w:r>
          </w:p>
        </w:tc>
        <w:tc>
          <w:tcPr>
            <w:tcW w:w="1507" w:type="dxa"/>
            <w:shd w:val="clear" w:color="auto" w:fill="FFFFFF" w:themeFill="background1"/>
            <w:hideMark/>
          </w:tcPr>
          <w:p w14:paraId="590A6087"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6</w:t>
            </w:r>
          </w:p>
        </w:tc>
        <w:tc>
          <w:tcPr>
            <w:tcW w:w="874" w:type="dxa"/>
            <w:shd w:val="clear" w:color="auto" w:fill="FFFFFF" w:themeFill="background1"/>
            <w:hideMark/>
          </w:tcPr>
          <w:p w14:paraId="7E260849"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54.5</w:t>
            </w:r>
          </w:p>
        </w:tc>
      </w:tr>
      <w:tr w:rsidR="00575912" w:rsidRPr="00575912" w14:paraId="3288D1B1"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1747CE14"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38B99867"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Wrist</w:t>
            </w:r>
          </w:p>
        </w:tc>
        <w:tc>
          <w:tcPr>
            <w:tcW w:w="1507" w:type="dxa"/>
            <w:shd w:val="clear" w:color="auto" w:fill="auto"/>
            <w:hideMark/>
          </w:tcPr>
          <w:p w14:paraId="431877AB"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3</w:t>
            </w:r>
          </w:p>
        </w:tc>
        <w:tc>
          <w:tcPr>
            <w:tcW w:w="874" w:type="dxa"/>
            <w:shd w:val="clear" w:color="auto" w:fill="auto"/>
            <w:hideMark/>
          </w:tcPr>
          <w:p w14:paraId="1CB3A334"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27.3</w:t>
            </w:r>
          </w:p>
        </w:tc>
      </w:tr>
      <w:tr w:rsidR="00575912" w:rsidRPr="00575912" w14:paraId="16056F68" w14:textId="77777777" w:rsidTr="00D46B0B">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45E137EF"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6C2BB459"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Elbow</w:t>
            </w:r>
          </w:p>
        </w:tc>
        <w:tc>
          <w:tcPr>
            <w:tcW w:w="1507" w:type="dxa"/>
            <w:shd w:val="clear" w:color="auto" w:fill="auto"/>
            <w:hideMark/>
          </w:tcPr>
          <w:p w14:paraId="63B2A314"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w:t>
            </w:r>
          </w:p>
        </w:tc>
        <w:tc>
          <w:tcPr>
            <w:tcW w:w="874" w:type="dxa"/>
            <w:shd w:val="clear" w:color="auto" w:fill="auto"/>
            <w:hideMark/>
          </w:tcPr>
          <w:p w14:paraId="57273412"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9.1</w:t>
            </w:r>
          </w:p>
        </w:tc>
      </w:tr>
      <w:tr w:rsidR="00575912" w:rsidRPr="00575912" w14:paraId="14A8D506" w14:textId="77777777" w:rsidTr="00D46B0B">
        <w:trPr>
          <w:trHeight w:val="381"/>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698FAC97"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47DD0575"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Shoulder</w:t>
            </w:r>
          </w:p>
        </w:tc>
        <w:tc>
          <w:tcPr>
            <w:tcW w:w="1507" w:type="dxa"/>
            <w:shd w:val="clear" w:color="auto" w:fill="auto"/>
            <w:hideMark/>
          </w:tcPr>
          <w:p w14:paraId="052722DD"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w:t>
            </w:r>
          </w:p>
        </w:tc>
        <w:tc>
          <w:tcPr>
            <w:tcW w:w="874" w:type="dxa"/>
            <w:shd w:val="clear" w:color="auto" w:fill="auto"/>
            <w:hideMark/>
          </w:tcPr>
          <w:p w14:paraId="49712518" w14:textId="77777777" w:rsidR="00CC73B3" w:rsidRPr="00575912" w:rsidRDefault="00CC73B3" w:rsidP="00D46B0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9.1</w:t>
            </w:r>
          </w:p>
        </w:tc>
      </w:tr>
      <w:tr w:rsidR="00575912" w:rsidRPr="00575912" w14:paraId="2186F09E" w14:textId="77777777" w:rsidTr="00D46B0B">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3350" w:type="dxa"/>
            <w:shd w:val="clear" w:color="auto" w:fill="auto"/>
            <w:hideMark/>
          </w:tcPr>
          <w:p w14:paraId="2C010FB6" w14:textId="77777777" w:rsidR="00CC73B3" w:rsidRPr="00575912" w:rsidRDefault="00CC73B3" w:rsidP="00AA06A5">
            <w:pPr>
              <w:spacing w:line="360" w:lineRule="auto"/>
              <w:jc w:val="both"/>
              <w:rPr>
                <w:rFonts w:ascii="Times New Roman" w:hAnsi="Times New Roman" w:cs="Times New Roman"/>
                <w:lang w:val="en-GB" w:eastAsia="it-IT"/>
              </w:rPr>
            </w:pPr>
          </w:p>
        </w:tc>
        <w:tc>
          <w:tcPr>
            <w:tcW w:w="1323" w:type="dxa"/>
            <w:shd w:val="clear" w:color="auto" w:fill="auto"/>
            <w:hideMark/>
          </w:tcPr>
          <w:p w14:paraId="3FC48C5D"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Total</w:t>
            </w:r>
          </w:p>
        </w:tc>
        <w:tc>
          <w:tcPr>
            <w:tcW w:w="1507" w:type="dxa"/>
            <w:shd w:val="clear" w:color="auto" w:fill="auto"/>
            <w:hideMark/>
          </w:tcPr>
          <w:p w14:paraId="72499E0E"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11</w:t>
            </w:r>
          </w:p>
        </w:tc>
        <w:tc>
          <w:tcPr>
            <w:tcW w:w="874" w:type="dxa"/>
            <w:shd w:val="clear" w:color="auto" w:fill="auto"/>
            <w:hideMark/>
          </w:tcPr>
          <w:p w14:paraId="0D4169DD" w14:textId="77777777" w:rsidR="00CC73B3" w:rsidRPr="00575912" w:rsidRDefault="00CC73B3" w:rsidP="00D46B0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eastAsia="it-IT"/>
              </w:rPr>
            </w:pPr>
            <w:r w:rsidRPr="00575912">
              <w:rPr>
                <w:rFonts w:ascii="Times New Roman" w:hAnsi="Times New Roman" w:cs="Times New Roman"/>
                <w:lang w:val="en-GB" w:eastAsia="it-IT"/>
              </w:rPr>
              <w:t>100.0</w:t>
            </w:r>
          </w:p>
        </w:tc>
      </w:tr>
    </w:tbl>
    <w:p w14:paraId="50C9B31E" w14:textId="77777777" w:rsidR="00CC73B3" w:rsidRPr="00575912" w:rsidRDefault="00CC73B3" w:rsidP="00AA06A5">
      <w:pPr>
        <w:spacing w:line="360" w:lineRule="auto"/>
        <w:jc w:val="both"/>
        <w:rPr>
          <w:rFonts w:ascii="Times New Roman" w:hAnsi="Times New Roman" w:cs="Times New Roman"/>
          <w:lang w:val="en-GB"/>
        </w:rPr>
      </w:pPr>
    </w:p>
    <w:sectPr w:rsidR="00CC73B3" w:rsidRPr="00575912" w:rsidSect="00F80532">
      <w:type w:val="continuous"/>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77B"/>
    <w:rsid w:val="000015A6"/>
    <w:rsid w:val="00011514"/>
    <w:rsid w:val="00012A63"/>
    <w:rsid w:val="00012B7E"/>
    <w:rsid w:val="000157E1"/>
    <w:rsid w:val="000327BE"/>
    <w:rsid w:val="000336AA"/>
    <w:rsid w:val="00040F2D"/>
    <w:rsid w:val="00041EAE"/>
    <w:rsid w:val="000428F9"/>
    <w:rsid w:val="000512A5"/>
    <w:rsid w:val="00066320"/>
    <w:rsid w:val="00075D99"/>
    <w:rsid w:val="00080807"/>
    <w:rsid w:val="000920D1"/>
    <w:rsid w:val="000A068C"/>
    <w:rsid w:val="000D1B42"/>
    <w:rsid w:val="000D2DB2"/>
    <w:rsid w:val="000E1CAD"/>
    <w:rsid w:val="000E3F1F"/>
    <w:rsid w:val="000E6DAC"/>
    <w:rsid w:val="000E780A"/>
    <w:rsid w:val="000F1AB4"/>
    <w:rsid w:val="000F24AC"/>
    <w:rsid w:val="001015AD"/>
    <w:rsid w:val="00101806"/>
    <w:rsid w:val="0011624D"/>
    <w:rsid w:val="00117A70"/>
    <w:rsid w:val="0014146B"/>
    <w:rsid w:val="00151F57"/>
    <w:rsid w:val="00156DE2"/>
    <w:rsid w:val="0016149E"/>
    <w:rsid w:val="0016368B"/>
    <w:rsid w:val="00173A9D"/>
    <w:rsid w:val="0018697D"/>
    <w:rsid w:val="00187AEE"/>
    <w:rsid w:val="00190C07"/>
    <w:rsid w:val="001A1540"/>
    <w:rsid w:val="001B0B43"/>
    <w:rsid w:val="001C6BA6"/>
    <w:rsid w:val="001C7CB1"/>
    <w:rsid w:val="001D06DA"/>
    <w:rsid w:val="001D25D2"/>
    <w:rsid w:val="001D4A92"/>
    <w:rsid w:val="001D66BD"/>
    <w:rsid w:val="001E4DBA"/>
    <w:rsid w:val="001F25DD"/>
    <w:rsid w:val="001F5A8A"/>
    <w:rsid w:val="00207620"/>
    <w:rsid w:val="00212D92"/>
    <w:rsid w:val="00216E02"/>
    <w:rsid w:val="00216E46"/>
    <w:rsid w:val="002219EC"/>
    <w:rsid w:val="00223A3E"/>
    <w:rsid w:val="00236B55"/>
    <w:rsid w:val="002453F6"/>
    <w:rsid w:val="00245975"/>
    <w:rsid w:val="002461D8"/>
    <w:rsid w:val="00272E96"/>
    <w:rsid w:val="002768C5"/>
    <w:rsid w:val="00277321"/>
    <w:rsid w:val="00280592"/>
    <w:rsid w:val="002829E5"/>
    <w:rsid w:val="0029653D"/>
    <w:rsid w:val="002A599E"/>
    <w:rsid w:val="002D1BB6"/>
    <w:rsid w:val="002E4544"/>
    <w:rsid w:val="002F7563"/>
    <w:rsid w:val="003009CC"/>
    <w:rsid w:val="00312072"/>
    <w:rsid w:val="0031294D"/>
    <w:rsid w:val="003144E3"/>
    <w:rsid w:val="003157A5"/>
    <w:rsid w:val="00324C7D"/>
    <w:rsid w:val="00352CF9"/>
    <w:rsid w:val="003567E2"/>
    <w:rsid w:val="003675A9"/>
    <w:rsid w:val="00372869"/>
    <w:rsid w:val="003816F0"/>
    <w:rsid w:val="00381D46"/>
    <w:rsid w:val="00390FCD"/>
    <w:rsid w:val="003963F8"/>
    <w:rsid w:val="00396943"/>
    <w:rsid w:val="003C7BE5"/>
    <w:rsid w:val="003E0BDD"/>
    <w:rsid w:val="004101ED"/>
    <w:rsid w:val="00416945"/>
    <w:rsid w:val="00416D1C"/>
    <w:rsid w:val="00421830"/>
    <w:rsid w:val="004356B0"/>
    <w:rsid w:val="004403F8"/>
    <w:rsid w:val="00442409"/>
    <w:rsid w:val="004644CA"/>
    <w:rsid w:val="0047702F"/>
    <w:rsid w:val="00477583"/>
    <w:rsid w:val="00492EDE"/>
    <w:rsid w:val="004A1950"/>
    <w:rsid w:val="004A450D"/>
    <w:rsid w:val="004B0459"/>
    <w:rsid w:val="004C6F3B"/>
    <w:rsid w:val="004D63BA"/>
    <w:rsid w:val="004D6CA0"/>
    <w:rsid w:val="004F0D79"/>
    <w:rsid w:val="004F6FC8"/>
    <w:rsid w:val="004F7DD2"/>
    <w:rsid w:val="00514745"/>
    <w:rsid w:val="00522FAF"/>
    <w:rsid w:val="0053357C"/>
    <w:rsid w:val="00534F71"/>
    <w:rsid w:val="00535544"/>
    <w:rsid w:val="00535ADC"/>
    <w:rsid w:val="00537FF3"/>
    <w:rsid w:val="00542013"/>
    <w:rsid w:val="00553639"/>
    <w:rsid w:val="00575912"/>
    <w:rsid w:val="00580782"/>
    <w:rsid w:val="00584322"/>
    <w:rsid w:val="00587E44"/>
    <w:rsid w:val="00596370"/>
    <w:rsid w:val="005A144F"/>
    <w:rsid w:val="005A6281"/>
    <w:rsid w:val="005C077B"/>
    <w:rsid w:val="005C3ED2"/>
    <w:rsid w:val="005C5954"/>
    <w:rsid w:val="005D0C13"/>
    <w:rsid w:val="005D2033"/>
    <w:rsid w:val="005D4912"/>
    <w:rsid w:val="005E09DF"/>
    <w:rsid w:val="005E308B"/>
    <w:rsid w:val="005E4E41"/>
    <w:rsid w:val="005F5ECA"/>
    <w:rsid w:val="0061473B"/>
    <w:rsid w:val="00617E42"/>
    <w:rsid w:val="00626977"/>
    <w:rsid w:val="00631A4E"/>
    <w:rsid w:val="0064409D"/>
    <w:rsid w:val="00646E54"/>
    <w:rsid w:val="006477CE"/>
    <w:rsid w:val="0065338E"/>
    <w:rsid w:val="006572CD"/>
    <w:rsid w:val="0066527C"/>
    <w:rsid w:val="0066641A"/>
    <w:rsid w:val="006738AE"/>
    <w:rsid w:val="006829E0"/>
    <w:rsid w:val="00683C25"/>
    <w:rsid w:val="00686590"/>
    <w:rsid w:val="00692723"/>
    <w:rsid w:val="00694EC8"/>
    <w:rsid w:val="006B01F6"/>
    <w:rsid w:val="006B7A35"/>
    <w:rsid w:val="006C2CC4"/>
    <w:rsid w:val="006C6938"/>
    <w:rsid w:val="006D513B"/>
    <w:rsid w:val="006E40F2"/>
    <w:rsid w:val="006E72F2"/>
    <w:rsid w:val="006F6C15"/>
    <w:rsid w:val="007064EF"/>
    <w:rsid w:val="007067C1"/>
    <w:rsid w:val="00707952"/>
    <w:rsid w:val="007221D8"/>
    <w:rsid w:val="00725130"/>
    <w:rsid w:val="00732D1B"/>
    <w:rsid w:val="00734FE7"/>
    <w:rsid w:val="0073594B"/>
    <w:rsid w:val="00756FFA"/>
    <w:rsid w:val="00757FB4"/>
    <w:rsid w:val="00762422"/>
    <w:rsid w:val="00774F7A"/>
    <w:rsid w:val="0077509B"/>
    <w:rsid w:val="00784C22"/>
    <w:rsid w:val="0079352C"/>
    <w:rsid w:val="007946DB"/>
    <w:rsid w:val="007A3BC1"/>
    <w:rsid w:val="007A4249"/>
    <w:rsid w:val="007C4514"/>
    <w:rsid w:val="007C61FA"/>
    <w:rsid w:val="007D16BD"/>
    <w:rsid w:val="007E3AC1"/>
    <w:rsid w:val="007E751D"/>
    <w:rsid w:val="007F1371"/>
    <w:rsid w:val="007F6329"/>
    <w:rsid w:val="008018D3"/>
    <w:rsid w:val="008038DB"/>
    <w:rsid w:val="00810CC0"/>
    <w:rsid w:val="008278F2"/>
    <w:rsid w:val="00832246"/>
    <w:rsid w:val="00843488"/>
    <w:rsid w:val="00847FB8"/>
    <w:rsid w:val="00851066"/>
    <w:rsid w:val="0087421F"/>
    <w:rsid w:val="00891BE9"/>
    <w:rsid w:val="00894F91"/>
    <w:rsid w:val="008978A3"/>
    <w:rsid w:val="008B63E9"/>
    <w:rsid w:val="008B6D37"/>
    <w:rsid w:val="008C23AD"/>
    <w:rsid w:val="008D7118"/>
    <w:rsid w:val="008F50A4"/>
    <w:rsid w:val="00901535"/>
    <w:rsid w:val="0090387E"/>
    <w:rsid w:val="00905D32"/>
    <w:rsid w:val="00914BFB"/>
    <w:rsid w:val="009253C8"/>
    <w:rsid w:val="00926021"/>
    <w:rsid w:val="00942AFD"/>
    <w:rsid w:val="009725E9"/>
    <w:rsid w:val="0098485A"/>
    <w:rsid w:val="009956C4"/>
    <w:rsid w:val="009A3B9B"/>
    <w:rsid w:val="009C0522"/>
    <w:rsid w:val="009C5BA5"/>
    <w:rsid w:val="009D1C25"/>
    <w:rsid w:val="009D38E1"/>
    <w:rsid w:val="009E2EEE"/>
    <w:rsid w:val="00A07B4F"/>
    <w:rsid w:val="00A21B74"/>
    <w:rsid w:val="00A3665B"/>
    <w:rsid w:val="00A37F46"/>
    <w:rsid w:val="00A449BA"/>
    <w:rsid w:val="00A47A85"/>
    <w:rsid w:val="00A52E04"/>
    <w:rsid w:val="00A538CF"/>
    <w:rsid w:val="00A541CC"/>
    <w:rsid w:val="00A66F86"/>
    <w:rsid w:val="00A7743B"/>
    <w:rsid w:val="00A77A87"/>
    <w:rsid w:val="00A8125F"/>
    <w:rsid w:val="00A92354"/>
    <w:rsid w:val="00AA06A5"/>
    <w:rsid w:val="00AB0888"/>
    <w:rsid w:val="00AB1DF8"/>
    <w:rsid w:val="00AB6CC7"/>
    <w:rsid w:val="00AF1C36"/>
    <w:rsid w:val="00AF2A7F"/>
    <w:rsid w:val="00AF546E"/>
    <w:rsid w:val="00B029F0"/>
    <w:rsid w:val="00B176F8"/>
    <w:rsid w:val="00B2261C"/>
    <w:rsid w:val="00B240D7"/>
    <w:rsid w:val="00B25AD3"/>
    <w:rsid w:val="00B32B7E"/>
    <w:rsid w:val="00B346E8"/>
    <w:rsid w:val="00B409C1"/>
    <w:rsid w:val="00B440FF"/>
    <w:rsid w:val="00B45927"/>
    <w:rsid w:val="00B459BC"/>
    <w:rsid w:val="00B50A37"/>
    <w:rsid w:val="00B632D2"/>
    <w:rsid w:val="00B640BD"/>
    <w:rsid w:val="00B67234"/>
    <w:rsid w:val="00B71EC5"/>
    <w:rsid w:val="00B7571F"/>
    <w:rsid w:val="00B77FDC"/>
    <w:rsid w:val="00B92946"/>
    <w:rsid w:val="00B95A59"/>
    <w:rsid w:val="00B96F12"/>
    <w:rsid w:val="00BA283A"/>
    <w:rsid w:val="00BA34A5"/>
    <w:rsid w:val="00BB00E1"/>
    <w:rsid w:val="00BC7602"/>
    <w:rsid w:val="00BC7BC9"/>
    <w:rsid w:val="00BD6B7A"/>
    <w:rsid w:val="00BE3DEB"/>
    <w:rsid w:val="00BF4303"/>
    <w:rsid w:val="00BF6F31"/>
    <w:rsid w:val="00BF7098"/>
    <w:rsid w:val="00C10101"/>
    <w:rsid w:val="00C30B22"/>
    <w:rsid w:val="00C4269C"/>
    <w:rsid w:val="00C46C63"/>
    <w:rsid w:val="00C55E84"/>
    <w:rsid w:val="00C603D5"/>
    <w:rsid w:val="00C6455E"/>
    <w:rsid w:val="00C65191"/>
    <w:rsid w:val="00C76FBA"/>
    <w:rsid w:val="00CC56B2"/>
    <w:rsid w:val="00CC5CD3"/>
    <w:rsid w:val="00CC73B3"/>
    <w:rsid w:val="00CD561F"/>
    <w:rsid w:val="00CD5D6D"/>
    <w:rsid w:val="00CD6F45"/>
    <w:rsid w:val="00CE08C1"/>
    <w:rsid w:val="00CE3D92"/>
    <w:rsid w:val="00CE7946"/>
    <w:rsid w:val="00CF2BA5"/>
    <w:rsid w:val="00D46B0B"/>
    <w:rsid w:val="00D57863"/>
    <w:rsid w:val="00D60012"/>
    <w:rsid w:val="00D75682"/>
    <w:rsid w:val="00D82484"/>
    <w:rsid w:val="00D9269A"/>
    <w:rsid w:val="00D92E27"/>
    <w:rsid w:val="00DB5500"/>
    <w:rsid w:val="00DB596F"/>
    <w:rsid w:val="00DB6AF8"/>
    <w:rsid w:val="00DE0A03"/>
    <w:rsid w:val="00DE33B1"/>
    <w:rsid w:val="00DF04B6"/>
    <w:rsid w:val="00E02445"/>
    <w:rsid w:val="00E21F6F"/>
    <w:rsid w:val="00E227C3"/>
    <w:rsid w:val="00E30FB6"/>
    <w:rsid w:val="00E40719"/>
    <w:rsid w:val="00E46DFE"/>
    <w:rsid w:val="00E50A13"/>
    <w:rsid w:val="00E51DE2"/>
    <w:rsid w:val="00E57104"/>
    <w:rsid w:val="00E6660B"/>
    <w:rsid w:val="00E6691E"/>
    <w:rsid w:val="00E77161"/>
    <w:rsid w:val="00EA1768"/>
    <w:rsid w:val="00EA3506"/>
    <w:rsid w:val="00EA779E"/>
    <w:rsid w:val="00EB3485"/>
    <w:rsid w:val="00EB4EC2"/>
    <w:rsid w:val="00EC2D18"/>
    <w:rsid w:val="00EC5883"/>
    <w:rsid w:val="00EC7AD4"/>
    <w:rsid w:val="00ED2840"/>
    <w:rsid w:val="00EE727D"/>
    <w:rsid w:val="00EF1DF1"/>
    <w:rsid w:val="00F07A70"/>
    <w:rsid w:val="00F176EA"/>
    <w:rsid w:val="00F177D8"/>
    <w:rsid w:val="00F2714A"/>
    <w:rsid w:val="00F30918"/>
    <w:rsid w:val="00F339D7"/>
    <w:rsid w:val="00F37050"/>
    <w:rsid w:val="00F37BBA"/>
    <w:rsid w:val="00F40FCA"/>
    <w:rsid w:val="00F46705"/>
    <w:rsid w:val="00F5385B"/>
    <w:rsid w:val="00F61F6D"/>
    <w:rsid w:val="00F64FEE"/>
    <w:rsid w:val="00F73E6A"/>
    <w:rsid w:val="00F80532"/>
    <w:rsid w:val="00F834BD"/>
    <w:rsid w:val="00F90FCF"/>
    <w:rsid w:val="00FB00F2"/>
    <w:rsid w:val="00FB235C"/>
    <w:rsid w:val="00FC31C5"/>
    <w:rsid w:val="00FE4A68"/>
    <w:rsid w:val="00FE5129"/>
    <w:rsid w:val="00FE792C"/>
    <w:rsid w:val="00FF0834"/>
    <w:rsid w:val="00FF761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82FA81"/>
  <w15:docId w15:val="{CC9EC768-1F30-4537-8E29-D2C33B69E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it-IT"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0459"/>
  </w:style>
  <w:style w:type="paragraph" w:styleId="Heading1">
    <w:name w:val="heading 1"/>
    <w:basedOn w:val="Normal"/>
    <w:next w:val="Normal"/>
    <w:link w:val="Heading1Char"/>
    <w:uiPriority w:val="9"/>
    <w:qFormat/>
    <w:rsid w:val="004B0459"/>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4B0459"/>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4B0459"/>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4B0459"/>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unhideWhenUsed/>
    <w:qFormat/>
    <w:rsid w:val="004B0459"/>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4B0459"/>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4B0459"/>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4B0459"/>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4B0459"/>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4B0459"/>
    <w:rPr>
      <w:rFonts w:asciiTheme="majorHAnsi" w:eastAsiaTheme="majorEastAsia" w:hAnsiTheme="majorHAnsi" w:cstheme="majorBidi"/>
      <w:color w:val="44546A" w:themeColor="text2"/>
      <w:sz w:val="22"/>
      <w:szCs w:val="22"/>
    </w:rPr>
  </w:style>
  <w:style w:type="paragraph" w:styleId="NormalWeb">
    <w:name w:val="Normal (Web)"/>
    <w:basedOn w:val="Normal"/>
    <w:uiPriority w:val="99"/>
    <w:unhideWhenUsed/>
    <w:rsid w:val="005C077B"/>
    <w:pPr>
      <w:spacing w:before="100" w:beforeAutospacing="1" w:after="100" w:afterAutospacing="1"/>
    </w:pPr>
  </w:style>
  <w:style w:type="character" w:styleId="LineNumber">
    <w:name w:val="line number"/>
    <w:basedOn w:val="DefaultParagraphFont"/>
    <w:uiPriority w:val="99"/>
    <w:semiHidden/>
    <w:unhideWhenUsed/>
    <w:rsid w:val="005C077B"/>
  </w:style>
  <w:style w:type="character" w:customStyle="1" w:styleId="Heading4Char">
    <w:name w:val="Heading 4 Char"/>
    <w:basedOn w:val="DefaultParagraphFont"/>
    <w:link w:val="Heading4"/>
    <w:uiPriority w:val="9"/>
    <w:semiHidden/>
    <w:rsid w:val="004B0459"/>
    <w:rPr>
      <w:rFonts w:asciiTheme="majorHAnsi" w:eastAsiaTheme="majorEastAsia" w:hAnsiTheme="majorHAnsi" w:cstheme="majorBidi"/>
      <w:sz w:val="22"/>
      <w:szCs w:val="22"/>
    </w:rPr>
  </w:style>
  <w:style w:type="character" w:customStyle="1" w:styleId="Heading6Char">
    <w:name w:val="Heading 6 Char"/>
    <w:basedOn w:val="DefaultParagraphFont"/>
    <w:link w:val="Heading6"/>
    <w:uiPriority w:val="9"/>
    <w:semiHidden/>
    <w:rsid w:val="004B0459"/>
    <w:rPr>
      <w:rFonts w:asciiTheme="majorHAnsi" w:eastAsiaTheme="majorEastAsia" w:hAnsiTheme="majorHAnsi" w:cstheme="majorBidi"/>
      <w:i/>
      <w:iCs/>
      <w:color w:val="44546A" w:themeColor="text2"/>
      <w:sz w:val="21"/>
      <w:szCs w:val="21"/>
    </w:rPr>
  </w:style>
  <w:style w:type="character" w:customStyle="1" w:styleId="Heading3Char">
    <w:name w:val="Heading 3 Char"/>
    <w:basedOn w:val="DefaultParagraphFont"/>
    <w:link w:val="Heading3"/>
    <w:uiPriority w:val="9"/>
    <w:semiHidden/>
    <w:rsid w:val="004B0459"/>
    <w:rPr>
      <w:rFonts w:asciiTheme="majorHAnsi" w:eastAsiaTheme="majorEastAsia" w:hAnsiTheme="majorHAnsi" w:cstheme="majorBidi"/>
      <w:color w:val="44546A" w:themeColor="text2"/>
      <w:sz w:val="24"/>
      <w:szCs w:val="24"/>
    </w:rPr>
  </w:style>
  <w:style w:type="paragraph" w:styleId="BalloonText">
    <w:name w:val="Balloon Text"/>
    <w:basedOn w:val="Normal"/>
    <w:link w:val="BalloonTextChar"/>
    <w:uiPriority w:val="99"/>
    <w:semiHidden/>
    <w:unhideWhenUsed/>
    <w:rsid w:val="008978A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978A3"/>
    <w:rPr>
      <w:rFonts w:ascii="Lucida Grande" w:eastAsia="Times New Roman" w:hAnsi="Lucida Grande" w:cs="Lucida Grande"/>
      <w:sz w:val="18"/>
      <w:szCs w:val="18"/>
      <w:lang w:val="en-US"/>
    </w:rPr>
  </w:style>
  <w:style w:type="table" w:customStyle="1" w:styleId="Tabellasemplice-11">
    <w:name w:val="Tabella semplice - 11"/>
    <w:basedOn w:val="TableNormal"/>
    <w:uiPriority w:val="99"/>
    <w:rsid w:val="004B045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4B045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4B0459"/>
    <w:rPr>
      <w:rFonts w:asciiTheme="majorHAnsi" w:eastAsiaTheme="majorEastAsia" w:hAnsiTheme="majorHAnsi" w:cstheme="majorBidi"/>
      <w:color w:val="404040" w:themeColor="text1" w:themeTint="BF"/>
      <w:sz w:val="28"/>
      <w:szCs w:val="28"/>
    </w:rPr>
  </w:style>
  <w:style w:type="character" w:customStyle="1" w:styleId="Heading7Char">
    <w:name w:val="Heading 7 Char"/>
    <w:basedOn w:val="DefaultParagraphFont"/>
    <w:link w:val="Heading7"/>
    <w:uiPriority w:val="9"/>
    <w:semiHidden/>
    <w:rsid w:val="004B0459"/>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4B0459"/>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4B0459"/>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4B0459"/>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4B0459"/>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4B0459"/>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4B0459"/>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4B0459"/>
    <w:rPr>
      <w:rFonts w:asciiTheme="majorHAnsi" w:eastAsiaTheme="majorEastAsia" w:hAnsiTheme="majorHAnsi" w:cstheme="majorBidi"/>
      <w:sz w:val="24"/>
      <w:szCs w:val="24"/>
    </w:rPr>
  </w:style>
  <w:style w:type="character" w:styleId="Strong">
    <w:name w:val="Strong"/>
    <w:basedOn w:val="DefaultParagraphFont"/>
    <w:uiPriority w:val="22"/>
    <w:qFormat/>
    <w:rsid w:val="004B0459"/>
    <w:rPr>
      <w:b/>
      <w:bCs/>
    </w:rPr>
  </w:style>
  <w:style w:type="character" w:styleId="Emphasis">
    <w:name w:val="Emphasis"/>
    <w:basedOn w:val="DefaultParagraphFont"/>
    <w:uiPriority w:val="20"/>
    <w:qFormat/>
    <w:rsid w:val="004B0459"/>
    <w:rPr>
      <w:i/>
      <w:iCs/>
    </w:rPr>
  </w:style>
  <w:style w:type="paragraph" w:styleId="NoSpacing">
    <w:name w:val="No Spacing"/>
    <w:uiPriority w:val="1"/>
    <w:qFormat/>
    <w:rsid w:val="004B0459"/>
    <w:pPr>
      <w:spacing w:after="0" w:line="240" w:lineRule="auto"/>
    </w:pPr>
  </w:style>
  <w:style w:type="paragraph" w:styleId="Quote">
    <w:name w:val="Quote"/>
    <w:basedOn w:val="Normal"/>
    <w:next w:val="Normal"/>
    <w:link w:val="QuoteChar"/>
    <w:uiPriority w:val="29"/>
    <w:qFormat/>
    <w:rsid w:val="004B0459"/>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4B0459"/>
    <w:rPr>
      <w:i/>
      <w:iCs/>
      <w:color w:val="404040" w:themeColor="text1" w:themeTint="BF"/>
    </w:rPr>
  </w:style>
  <w:style w:type="paragraph" w:styleId="IntenseQuote">
    <w:name w:val="Intense Quote"/>
    <w:basedOn w:val="Normal"/>
    <w:next w:val="Normal"/>
    <w:link w:val="IntenseQuoteChar"/>
    <w:uiPriority w:val="30"/>
    <w:qFormat/>
    <w:rsid w:val="004B0459"/>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4B0459"/>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4B0459"/>
    <w:rPr>
      <w:i/>
      <w:iCs/>
      <w:color w:val="404040" w:themeColor="text1" w:themeTint="BF"/>
    </w:rPr>
  </w:style>
  <w:style w:type="character" w:styleId="IntenseEmphasis">
    <w:name w:val="Intense Emphasis"/>
    <w:basedOn w:val="DefaultParagraphFont"/>
    <w:uiPriority w:val="21"/>
    <w:qFormat/>
    <w:rsid w:val="004B0459"/>
    <w:rPr>
      <w:b/>
      <w:bCs/>
      <w:i/>
      <w:iCs/>
    </w:rPr>
  </w:style>
  <w:style w:type="character" w:styleId="SubtleReference">
    <w:name w:val="Subtle Reference"/>
    <w:basedOn w:val="DefaultParagraphFont"/>
    <w:uiPriority w:val="31"/>
    <w:qFormat/>
    <w:rsid w:val="004B0459"/>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4B0459"/>
    <w:rPr>
      <w:b/>
      <w:bCs/>
      <w:smallCaps/>
      <w:spacing w:val="5"/>
      <w:u w:val="single"/>
    </w:rPr>
  </w:style>
  <w:style w:type="character" w:styleId="BookTitle">
    <w:name w:val="Book Title"/>
    <w:basedOn w:val="DefaultParagraphFont"/>
    <w:uiPriority w:val="33"/>
    <w:qFormat/>
    <w:rsid w:val="004B0459"/>
    <w:rPr>
      <w:b/>
      <w:bCs/>
      <w:smallCaps/>
    </w:rPr>
  </w:style>
  <w:style w:type="paragraph" w:styleId="TOCHeading">
    <w:name w:val="TOC Heading"/>
    <w:basedOn w:val="Heading1"/>
    <w:next w:val="Normal"/>
    <w:uiPriority w:val="39"/>
    <w:semiHidden/>
    <w:unhideWhenUsed/>
    <w:qFormat/>
    <w:rsid w:val="004B0459"/>
    <w:pPr>
      <w:outlineLvl w:val="9"/>
    </w:pPr>
  </w:style>
  <w:style w:type="paragraph" w:customStyle="1" w:styleId="05-ArticleText">
    <w:name w:val="05-Article Text"/>
    <w:basedOn w:val="Normal"/>
    <w:rsid w:val="005E308B"/>
    <w:pPr>
      <w:tabs>
        <w:tab w:val="left" w:pos="284"/>
      </w:tabs>
      <w:spacing w:line="220" w:lineRule="exact"/>
      <w:jc w:val="both"/>
    </w:pPr>
    <w:rPr>
      <w:rFonts w:ascii="Times New Roman" w:eastAsia="Times" w:hAnsi="Times New Roman" w:cs="Times New Roman"/>
      <w:lang w:val="en-US" w:eastAsia="zh-CN"/>
    </w:rPr>
  </w:style>
  <w:style w:type="paragraph" w:customStyle="1" w:styleId="06-Heading-1">
    <w:name w:val="06-Heading-1"/>
    <w:basedOn w:val="Normal"/>
    <w:rsid w:val="005E308B"/>
    <w:pPr>
      <w:spacing w:before="120" w:line="220" w:lineRule="exact"/>
      <w:jc w:val="both"/>
    </w:pPr>
    <w:rPr>
      <w:rFonts w:ascii="Times New Roman" w:eastAsia="Times" w:hAnsi="Times New Roman" w:cs="Times New Roman"/>
      <w:b/>
      <w:caps/>
      <w:lang w:val="en-US" w:eastAsia="zh-CN"/>
    </w:rPr>
  </w:style>
  <w:style w:type="paragraph" w:customStyle="1" w:styleId="MDPI16affiliation">
    <w:name w:val="MDPI_1.6_affiliation"/>
    <w:basedOn w:val="Normal"/>
    <w:qFormat/>
    <w:rsid w:val="00C65191"/>
    <w:pPr>
      <w:adjustRightInd w:val="0"/>
      <w:snapToGrid w:val="0"/>
      <w:spacing w:after="0" w:line="200" w:lineRule="atLeast"/>
      <w:ind w:left="311" w:hanging="198"/>
    </w:pPr>
    <w:rPr>
      <w:rFonts w:ascii="Palatino Linotype" w:eastAsia="Times New Roman" w:hAnsi="Palatino Linotype" w:cs="Times New Roman"/>
      <w:color w:val="000000"/>
      <w:sz w:val="18"/>
      <w:szCs w:val="18"/>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080690">
      <w:bodyDiv w:val="1"/>
      <w:marLeft w:val="0"/>
      <w:marRight w:val="0"/>
      <w:marTop w:val="0"/>
      <w:marBottom w:val="0"/>
      <w:divBdr>
        <w:top w:val="none" w:sz="0" w:space="0" w:color="auto"/>
        <w:left w:val="none" w:sz="0" w:space="0" w:color="auto"/>
        <w:bottom w:val="none" w:sz="0" w:space="0" w:color="auto"/>
        <w:right w:val="none" w:sz="0" w:space="0" w:color="auto"/>
      </w:divBdr>
      <w:divsChild>
        <w:div w:id="1297174981">
          <w:marLeft w:val="0"/>
          <w:marRight w:val="108"/>
          <w:marTop w:val="18"/>
          <w:marBottom w:val="108"/>
          <w:divBdr>
            <w:top w:val="none" w:sz="0" w:space="0" w:color="auto"/>
            <w:left w:val="none" w:sz="0" w:space="0" w:color="auto"/>
            <w:bottom w:val="none" w:sz="0" w:space="0" w:color="auto"/>
            <w:right w:val="none" w:sz="0" w:space="0" w:color="auto"/>
          </w:divBdr>
          <w:divsChild>
            <w:div w:id="1330864287">
              <w:marLeft w:val="0"/>
              <w:marRight w:val="0"/>
              <w:marTop w:val="0"/>
              <w:marBottom w:val="0"/>
              <w:divBdr>
                <w:top w:val="none" w:sz="0" w:space="0" w:color="auto"/>
                <w:left w:val="none" w:sz="0" w:space="0" w:color="auto"/>
                <w:bottom w:val="none" w:sz="0" w:space="0" w:color="auto"/>
                <w:right w:val="none" w:sz="0" w:space="0" w:color="auto"/>
              </w:divBdr>
              <w:divsChild>
                <w:div w:id="1586960781">
                  <w:marLeft w:val="0"/>
                  <w:marRight w:val="0"/>
                  <w:marTop w:val="0"/>
                  <w:marBottom w:val="0"/>
                  <w:divBdr>
                    <w:top w:val="none" w:sz="0" w:space="0" w:color="auto"/>
                    <w:left w:val="none" w:sz="0" w:space="0" w:color="auto"/>
                    <w:bottom w:val="none" w:sz="0" w:space="0" w:color="auto"/>
                    <w:right w:val="none" w:sz="0" w:space="0" w:color="auto"/>
                  </w:divBdr>
                  <w:divsChild>
                    <w:div w:id="1080643040">
                      <w:marLeft w:val="0"/>
                      <w:marRight w:val="0"/>
                      <w:marTop w:val="0"/>
                      <w:marBottom w:val="0"/>
                      <w:divBdr>
                        <w:top w:val="none" w:sz="0" w:space="0" w:color="auto"/>
                        <w:left w:val="none" w:sz="0" w:space="0" w:color="auto"/>
                        <w:bottom w:val="none" w:sz="0" w:space="0" w:color="auto"/>
                        <w:right w:val="none" w:sz="0" w:space="0" w:color="auto"/>
                      </w:divBdr>
                      <w:divsChild>
                        <w:div w:id="29159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6858101">
      <w:bodyDiv w:val="1"/>
      <w:marLeft w:val="0"/>
      <w:marRight w:val="0"/>
      <w:marTop w:val="0"/>
      <w:marBottom w:val="0"/>
      <w:divBdr>
        <w:top w:val="none" w:sz="0" w:space="0" w:color="auto"/>
        <w:left w:val="none" w:sz="0" w:space="0" w:color="auto"/>
        <w:bottom w:val="none" w:sz="0" w:space="0" w:color="auto"/>
        <w:right w:val="none" w:sz="0" w:space="0" w:color="auto"/>
      </w:divBdr>
      <w:divsChild>
        <w:div w:id="1118068486">
          <w:marLeft w:val="0"/>
          <w:marRight w:val="108"/>
          <w:marTop w:val="108"/>
          <w:marBottom w:val="108"/>
          <w:divBdr>
            <w:top w:val="none" w:sz="0" w:space="0" w:color="auto"/>
            <w:left w:val="none" w:sz="0" w:space="0" w:color="auto"/>
            <w:bottom w:val="none" w:sz="0" w:space="0" w:color="auto"/>
            <w:right w:val="none" w:sz="0" w:space="0" w:color="auto"/>
          </w:divBdr>
          <w:divsChild>
            <w:div w:id="2141460670">
              <w:marLeft w:val="0"/>
              <w:marRight w:val="0"/>
              <w:marTop w:val="0"/>
              <w:marBottom w:val="0"/>
              <w:divBdr>
                <w:top w:val="none" w:sz="0" w:space="0" w:color="auto"/>
                <w:left w:val="none" w:sz="0" w:space="0" w:color="auto"/>
                <w:bottom w:val="none" w:sz="0" w:space="0" w:color="auto"/>
                <w:right w:val="none" w:sz="0" w:space="0" w:color="auto"/>
              </w:divBdr>
              <w:divsChild>
                <w:div w:id="185958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742396">
      <w:bodyDiv w:val="1"/>
      <w:marLeft w:val="0"/>
      <w:marRight w:val="0"/>
      <w:marTop w:val="0"/>
      <w:marBottom w:val="0"/>
      <w:divBdr>
        <w:top w:val="none" w:sz="0" w:space="0" w:color="auto"/>
        <w:left w:val="none" w:sz="0" w:space="0" w:color="auto"/>
        <w:bottom w:val="none" w:sz="0" w:space="0" w:color="auto"/>
        <w:right w:val="none" w:sz="0" w:space="0" w:color="auto"/>
      </w:divBdr>
      <w:divsChild>
        <w:div w:id="343702194">
          <w:marLeft w:val="0"/>
          <w:marRight w:val="108"/>
          <w:marTop w:val="18"/>
          <w:marBottom w:val="108"/>
          <w:divBdr>
            <w:top w:val="none" w:sz="0" w:space="0" w:color="auto"/>
            <w:left w:val="none" w:sz="0" w:space="0" w:color="auto"/>
            <w:bottom w:val="none" w:sz="0" w:space="0" w:color="auto"/>
            <w:right w:val="none" w:sz="0" w:space="0" w:color="auto"/>
          </w:divBdr>
          <w:divsChild>
            <w:div w:id="116611065">
              <w:marLeft w:val="0"/>
              <w:marRight w:val="0"/>
              <w:marTop w:val="0"/>
              <w:marBottom w:val="0"/>
              <w:divBdr>
                <w:top w:val="none" w:sz="0" w:space="0" w:color="auto"/>
                <w:left w:val="none" w:sz="0" w:space="0" w:color="auto"/>
                <w:bottom w:val="none" w:sz="0" w:space="0" w:color="auto"/>
                <w:right w:val="none" w:sz="0" w:space="0" w:color="auto"/>
              </w:divBdr>
              <w:divsChild>
                <w:div w:id="1288970549">
                  <w:marLeft w:val="0"/>
                  <w:marRight w:val="0"/>
                  <w:marTop w:val="0"/>
                  <w:marBottom w:val="0"/>
                  <w:divBdr>
                    <w:top w:val="none" w:sz="0" w:space="0" w:color="auto"/>
                    <w:left w:val="none" w:sz="0" w:space="0" w:color="auto"/>
                    <w:bottom w:val="none" w:sz="0" w:space="0" w:color="auto"/>
                    <w:right w:val="none" w:sz="0" w:space="0" w:color="auto"/>
                  </w:divBdr>
                  <w:divsChild>
                    <w:div w:id="1656763989">
                      <w:marLeft w:val="0"/>
                      <w:marRight w:val="0"/>
                      <w:marTop w:val="0"/>
                      <w:marBottom w:val="0"/>
                      <w:divBdr>
                        <w:top w:val="none" w:sz="0" w:space="0" w:color="auto"/>
                        <w:left w:val="none" w:sz="0" w:space="0" w:color="auto"/>
                        <w:bottom w:val="none" w:sz="0" w:space="0" w:color="auto"/>
                        <w:right w:val="none" w:sz="0" w:space="0" w:color="auto"/>
                      </w:divBdr>
                      <w:divsChild>
                        <w:div w:id="99707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045762">
      <w:bodyDiv w:val="1"/>
      <w:marLeft w:val="0"/>
      <w:marRight w:val="0"/>
      <w:marTop w:val="0"/>
      <w:marBottom w:val="0"/>
      <w:divBdr>
        <w:top w:val="none" w:sz="0" w:space="0" w:color="auto"/>
        <w:left w:val="none" w:sz="0" w:space="0" w:color="auto"/>
        <w:bottom w:val="none" w:sz="0" w:space="0" w:color="auto"/>
        <w:right w:val="none" w:sz="0" w:space="0" w:color="auto"/>
      </w:divBdr>
      <w:divsChild>
        <w:div w:id="1657372175">
          <w:marLeft w:val="0"/>
          <w:marRight w:val="108"/>
          <w:marTop w:val="18"/>
          <w:marBottom w:val="108"/>
          <w:divBdr>
            <w:top w:val="none" w:sz="0" w:space="0" w:color="auto"/>
            <w:left w:val="none" w:sz="0" w:space="0" w:color="auto"/>
            <w:bottom w:val="none" w:sz="0" w:space="0" w:color="auto"/>
            <w:right w:val="none" w:sz="0" w:space="0" w:color="auto"/>
          </w:divBdr>
          <w:divsChild>
            <w:div w:id="2142570172">
              <w:marLeft w:val="0"/>
              <w:marRight w:val="0"/>
              <w:marTop w:val="0"/>
              <w:marBottom w:val="0"/>
              <w:divBdr>
                <w:top w:val="none" w:sz="0" w:space="0" w:color="auto"/>
                <w:left w:val="none" w:sz="0" w:space="0" w:color="auto"/>
                <w:bottom w:val="none" w:sz="0" w:space="0" w:color="auto"/>
                <w:right w:val="none" w:sz="0" w:space="0" w:color="auto"/>
              </w:divBdr>
              <w:divsChild>
                <w:div w:id="1924995964">
                  <w:marLeft w:val="0"/>
                  <w:marRight w:val="0"/>
                  <w:marTop w:val="0"/>
                  <w:marBottom w:val="0"/>
                  <w:divBdr>
                    <w:top w:val="none" w:sz="0" w:space="0" w:color="auto"/>
                    <w:left w:val="none" w:sz="0" w:space="0" w:color="auto"/>
                    <w:bottom w:val="none" w:sz="0" w:space="0" w:color="auto"/>
                    <w:right w:val="none" w:sz="0" w:space="0" w:color="auto"/>
                  </w:divBdr>
                  <w:divsChild>
                    <w:div w:id="1614749386">
                      <w:marLeft w:val="0"/>
                      <w:marRight w:val="0"/>
                      <w:marTop w:val="0"/>
                      <w:marBottom w:val="0"/>
                      <w:divBdr>
                        <w:top w:val="none" w:sz="0" w:space="0" w:color="auto"/>
                        <w:left w:val="none" w:sz="0" w:space="0" w:color="auto"/>
                        <w:bottom w:val="none" w:sz="0" w:space="0" w:color="auto"/>
                        <w:right w:val="none" w:sz="0" w:space="0" w:color="auto"/>
                      </w:divBdr>
                      <w:divsChild>
                        <w:div w:id="2818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6581137">
      <w:bodyDiv w:val="1"/>
      <w:marLeft w:val="0"/>
      <w:marRight w:val="0"/>
      <w:marTop w:val="0"/>
      <w:marBottom w:val="0"/>
      <w:divBdr>
        <w:top w:val="none" w:sz="0" w:space="0" w:color="auto"/>
        <w:left w:val="none" w:sz="0" w:space="0" w:color="auto"/>
        <w:bottom w:val="none" w:sz="0" w:space="0" w:color="auto"/>
        <w:right w:val="none" w:sz="0" w:space="0" w:color="auto"/>
      </w:divBdr>
      <w:divsChild>
        <w:div w:id="864831130">
          <w:marLeft w:val="0"/>
          <w:marRight w:val="108"/>
          <w:marTop w:val="18"/>
          <w:marBottom w:val="108"/>
          <w:divBdr>
            <w:top w:val="none" w:sz="0" w:space="0" w:color="auto"/>
            <w:left w:val="none" w:sz="0" w:space="0" w:color="auto"/>
            <w:bottom w:val="none" w:sz="0" w:space="0" w:color="auto"/>
            <w:right w:val="none" w:sz="0" w:space="0" w:color="auto"/>
          </w:divBdr>
          <w:divsChild>
            <w:div w:id="463893723">
              <w:marLeft w:val="0"/>
              <w:marRight w:val="0"/>
              <w:marTop w:val="0"/>
              <w:marBottom w:val="0"/>
              <w:divBdr>
                <w:top w:val="none" w:sz="0" w:space="0" w:color="auto"/>
                <w:left w:val="none" w:sz="0" w:space="0" w:color="auto"/>
                <w:bottom w:val="none" w:sz="0" w:space="0" w:color="auto"/>
                <w:right w:val="none" w:sz="0" w:space="0" w:color="auto"/>
              </w:divBdr>
              <w:divsChild>
                <w:div w:id="1682270323">
                  <w:marLeft w:val="0"/>
                  <w:marRight w:val="0"/>
                  <w:marTop w:val="0"/>
                  <w:marBottom w:val="0"/>
                  <w:divBdr>
                    <w:top w:val="none" w:sz="0" w:space="0" w:color="auto"/>
                    <w:left w:val="none" w:sz="0" w:space="0" w:color="auto"/>
                    <w:bottom w:val="none" w:sz="0" w:space="0" w:color="auto"/>
                    <w:right w:val="none" w:sz="0" w:space="0" w:color="auto"/>
                  </w:divBdr>
                  <w:divsChild>
                    <w:div w:id="874385377">
                      <w:marLeft w:val="0"/>
                      <w:marRight w:val="0"/>
                      <w:marTop w:val="0"/>
                      <w:marBottom w:val="0"/>
                      <w:divBdr>
                        <w:top w:val="none" w:sz="0" w:space="0" w:color="auto"/>
                        <w:left w:val="none" w:sz="0" w:space="0" w:color="auto"/>
                        <w:bottom w:val="none" w:sz="0" w:space="0" w:color="auto"/>
                        <w:right w:val="none" w:sz="0" w:space="0" w:color="auto"/>
                      </w:divBdr>
                      <w:divsChild>
                        <w:div w:id="199225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9585658">
      <w:bodyDiv w:val="1"/>
      <w:marLeft w:val="0"/>
      <w:marRight w:val="0"/>
      <w:marTop w:val="0"/>
      <w:marBottom w:val="0"/>
      <w:divBdr>
        <w:top w:val="none" w:sz="0" w:space="0" w:color="auto"/>
        <w:left w:val="none" w:sz="0" w:space="0" w:color="auto"/>
        <w:bottom w:val="none" w:sz="0" w:space="0" w:color="auto"/>
        <w:right w:val="none" w:sz="0" w:space="0" w:color="auto"/>
      </w:divBdr>
      <w:divsChild>
        <w:div w:id="493495760">
          <w:marLeft w:val="0"/>
          <w:marRight w:val="108"/>
          <w:marTop w:val="18"/>
          <w:marBottom w:val="108"/>
          <w:divBdr>
            <w:top w:val="none" w:sz="0" w:space="0" w:color="auto"/>
            <w:left w:val="none" w:sz="0" w:space="0" w:color="auto"/>
            <w:bottom w:val="none" w:sz="0" w:space="0" w:color="auto"/>
            <w:right w:val="none" w:sz="0" w:space="0" w:color="auto"/>
          </w:divBdr>
          <w:divsChild>
            <w:div w:id="178391955">
              <w:marLeft w:val="0"/>
              <w:marRight w:val="0"/>
              <w:marTop w:val="0"/>
              <w:marBottom w:val="0"/>
              <w:divBdr>
                <w:top w:val="none" w:sz="0" w:space="0" w:color="auto"/>
                <w:left w:val="none" w:sz="0" w:space="0" w:color="auto"/>
                <w:bottom w:val="none" w:sz="0" w:space="0" w:color="auto"/>
                <w:right w:val="none" w:sz="0" w:space="0" w:color="auto"/>
              </w:divBdr>
              <w:divsChild>
                <w:div w:id="68166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531908">
      <w:bodyDiv w:val="1"/>
      <w:marLeft w:val="0"/>
      <w:marRight w:val="0"/>
      <w:marTop w:val="0"/>
      <w:marBottom w:val="0"/>
      <w:divBdr>
        <w:top w:val="none" w:sz="0" w:space="0" w:color="auto"/>
        <w:left w:val="none" w:sz="0" w:space="0" w:color="auto"/>
        <w:bottom w:val="none" w:sz="0" w:space="0" w:color="auto"/>
        <w:right w:val="none" w:sz="0" w:space="0" w:color="auto"/>
      </w:divBdr>
    </w:div>
    <w:div w:id="1203324993">
      <w:bodyDiv w:val="1"/>
      <w:marLeft w:val="0"/>
      <w:marRight w:val="0"/>
      <w:marTop w:val="0"/>
      <w:marBottom w:val="0"/>
      <w:divBdr>
        <w:top w:val="none" w:sz="0" w:space="0" w:color="auto"/>
        <w:left w:val="none" w:sz="0" w:space="0" w:color="auto"/>
        <w:bottom w:val="none" w:sz="0" w:space="0" w:color="auto"/>
        <w:right w:val="none" w:sz="0" w:space="0" w:color="auto"/>
      </w:divBdr>
      <w:divsChild>
        <w:div w:id="220752208">
          <w:marLeft w:val="0"/>
          <w:marRight w:val="108"/>
          <w:marTop w:val="18"/>
          <w:marBottom w:val="108"/>
          <w:divBdr>
            <w:top w:val="none" w:sz="0" w:space="0" w:color="auto"/>
            <w:left w:val="none" w:sz="0" w:space="0" w:color="auto"/>
            <w:bottom w:val="none" w:sz="0" w:space="0" w:color="auto"/>
            <w:right w:val="none" w:sz="0" w:space="0" w:color="auto"/>
          </w:divBdr>
          <w:divsChild>
            <w:div w:id="1931769164">
              <w:marLeft w:val="0"/>
              <w:marRight w:val="0"/>
              <w:marTop w:val="0"/>
              <w:marBottom w:val="0"/>
              <w:divBdr>
                <w:top w:val="none" w:sz="0" w:space="0" w:color="auto"/>
                <w:left w:val="none" w:sz="0" w:space="0" w:color="auto"/>
                <w:bottom w:val="none" w:sz="0" w:space="0" w:color="auto"/>
                <w:right w:val="none" w:sz="0" w:space="0" w:color="auto"/>
              </w:divBdr>
              <w:divsChild>
                <w:div w:id="21787244">
                  <w:marLeft w:val="0"/>
                  <w:marRight w:val="0"/>
                  <w:marTop w:val="0"/>
                  <w:marBottom w:val="0"/>
                  <w:divBdr>
                    <w:top w:val="none" w:sz="0" w:space="0" w:color="auto"/>
                    <w:left w:val="none" w:sz="0" w:space="0" w:color="auto"/>
                    <w:bottom w:val="none" w:sz="0" w:space="0" w:color="auto"/>
                    <w:right w:val="none" w:sz="0" w:space="0" w:color="auto"/>
                  </w:divBdr>
                </w:div>
                <w:div w:id="2005084392">
                  <w:marLeft w:val="0"/>
                  <w:marRight w:val="108"/>
                  <w:marTop w:val="18"/>
                  <w:marBottom w:val="108"/>
                  <w:divBdr>
                    <w:top w:val="none" w:sz="0" w:space="0" w:color="auto"/>
                    <w:left w:val="none" w:sz="0" w:space="0" w:color="auto"/>
                    <w:bottom w:val="none" w:sz="0" w:space="0" w:color="auto"/>
                    <w:right w:val="none" w:sz="0" w:space="0" w:color="auto"/>
                  </w:divBdr>
                  <w:divsChild>
                    <w:div w:id="1546913385">
                      <w:marLeft w:val="0"/>
                      <w:marRight w:val="0"/>
                      <w:marTop w:val="0"/>
                      <w:marBottom w:val="0"/>
                      <w:divBdr>
                        <w:top w:val="none" w:sz="0" w:space="0" w:color="auto"/>
                        <w:left w:val="none" w:sz="0" w:space="0" w:color="auto"/>
                        <w:bottom w:val="none" w:sz="0" w:space="0" w:color="auto"/>
                        <w:right w:val="none" w:sz="0" w:space="0" w:color="auto"/>
                      </w:divBdr>
                      <w:divsChild>
                        <w:div w:id="996302053">
                          <w:marLeft w:val="0"/>
                          <w:marRight w:val="0"/>
                          <w:marTop w:val="0"/>
                          <w:marBottom w:val="0"/>
                          <w:divBdr>
                            <w:top w:val="none" w:sz="0" w:space="0" w:color="auto"/>
                            <w:left w:val="none" w:sz="0" w:space="0" w:color="auto"/>
                            <w:bottom w:val="none" w:sz="0" w:space="0" w:color="auto"/>
                            <w:right w:val="none" w:sz="0" w:space="0" w:color="auto"/>
                          </w:divBdr>
                        </w:div>
                        <w:div w:id="876621809">
                          <w:marLeft w:val="0"/>
                          <w:marRight w:val="108"/>
                          <w:marTop w:val="18"/>
                          <w:marBottom w:val="108"/>
                          <w:divBdr>
                            <w:top w:val="none" w:sz="0" w:space="0" w:color="auto"/>
                            <w:left w:val="none" w:sz="0" w:space="0" w:color="auto"/>
                            <w:bottom w:val="none" w:sz="0" w:space="0" w:color="auto"/>
                            <w:right w:val="none" w:sz="0" w:space="0" w:color="auto"/>
                          </w:divBdr>
                          <w:divsChild>
                            <w:div w:id="1503854833">
                              <w:marLeft w:val="0"/>
                              <w:marRight w:val="0"/>
                              <w:marTop w:val="0"/>
                              <w:marBottom w:val="0"/>
                              <w:divBdr>
                                <w:top w:val="none" w:sz="0" w:space="0" w:color="auto"/>
                                <w:left w:val="none" w:sz="0" w:space="0" w:color="auto"/>
                                <w:bottom w:val="none" w:sz="0" w:space="0" w:color="auto"/>
                                <w:right w:val="none" w:sz="0" w:space="0" w:color="auto"/>
                              </w:divBdr>
                              <w:divsChild>
                                <w:div w:id="184327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338999">
                          <w:marLeft w:val="0"/>
                          <w:marRight w:val="108"/>
                          <w:marTop w:val="108"/>
                          <w:marBottom w:val="108"/>
                          <w:divBdr>
                            <w:top w:val="none" w:sz="0" w:space="0" w:color="auto"/>
                            <w:left w:val="none" w:sz="0" w:space="0" w:color="auto"/>
                            <w:bottom w:val="none" w:sz="0" w:space="0" w:color="auto"/>
                            <w:right w:val="none" w:sz="0" w:space="0" w:color="auto"/>
                          </w:divBdr>
                          <w:divsChild>
                            <w:div w:id="419521786">
                              <w:marLeft w:val="0"/>
                              <w:marRight w:val="0"/>
                              <w:marTop w:val="0"/>
                              <w:marBottom w:val="0"/>
                              <w:divBdr>
                                <w:top w:val="none" w:sz="0" w:space="0" w:color="auto"/>
                                <w:left w:val="none" w:sz="0" w:space="0" w:color="auto"/>
                                <w:bottom w:val="none" w:sz="0" w:space="0" w:color="auto"/>
                                <w:right w:val="none" w:sz="0" w:space="0" w:color="auto"/>
                              </w:divBdr>
                              <w:divsChild>
                                <w:div w:id="108692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462539">
                          <w:marLeft w:val="0"/>
                          <w:marRight w:val="108"/>
                          <w:marTop w:val="108"/>
                          <w:marBottom w:val="108"/>
                          <w:divBdr>
                            <w:top w:val="none" w:sz="0" w:space="0" w:color="auto"/>
                            <w:left w:val="none" w:sz="0" w:space="0" w:color="auto"/>
                            <w:bottom w:val="none" w:sz="0" w:space="0" w:color="auto"/>
                            <w:right w:val="none" w:sz="0" w:space="0" w:color="auto"/>
                          </w:divBdr>
                          <w:divsChild>
                            <w:div w:id="278143984">
                              <w:marLeft w:val="0"/>
                              <w:marRight w:val="0"/>
                              <w:marTop w:val="0"/>
                              <w:marBottom w:val="0"/>
                              <w:divBdr>
                                <w:top w:val="none" w:sz="0" w:space="0" w:color="auto"/>
                                <w:left w:val="none" w:sz="0" w:space="0" w:color="auto"/>
                                <w:bottom w:val="none" w:sz="0" w:space="0" w:color="auto"/>
                                <w:right w:val="none" w:sz="0" w:space="0" w:color="auto"/>
                              </w:divBdr>
                              <w:divsChild>
                                <w:div w:id="13758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6132737">
      <w:bodyDiv w:val="1"/>
      <w:marLeft w:val="0"/>
      <w:marRight w:val="0"/>
      <w:marTop w:val="0"/>
      <w:marBottom w:val="0"/>
      <w:divBdr>
        <w:top w:val="none" w:sz="0" w:space="0" w:color="auto"/>
        <w:left w:val="none" w:sz="0" w:space="0" w:color="auto"/>
        <w:bottom w:val="none" w:sz="0" w:space="0" w:color="auto"/>
        <w:right w:val="none" w:sz="0" w:space="0" w:color="auto"/>
      </w:divBdr>
      <w:divsChild>
        <w:div w:id="1334184262">
          <w:marLeft w:val="0"/>
          <w:marRight w:val="108"/>
          <w:marTop w:val="18"/>
          <w:marBottom w:val="108"/>
          <w:divBdr>
            <w:top w:val="none" w:sz="0" w:space="0" w:color="auto"/>
            <w:left w:val="none" w:sz="0" w:space="0" w:color="auto"/>
            <w:bottom w:val="none" w:sz="0" w:space="0" w:color="auto"/>
            <w:right w:val="none" w:sz="0" w:space="0" w:color="auto"/>
          </w:divBdr>
          <w:divsChild>
            <w:div w:id="2103213844">
              <w:marLeft w:val="0"/>
              <w:marRight w:val="0"/>
              <w:marTop w:val="0"/>
              <w:marBottom w:val="0"/>
              <w:divBdr>
                <w:top w:val="none" w:sz="0" w:space="0" w:color="auto"/>
                <w:left w:val="none" w:sz="0" w:space="0" w:color="auto"/>
                <w:bottom w:val="none" w:sz="0" w:space="0" w:color="auto"/>
                <w:right w:val="none" w:sz="0" w:space="0" w:color="auto"/>
              </w:divBdr>
              <w:divsChild>
                <w:div w:id="2109033914">
                  <w:marLeft w:val="0"/>
                  <w:marRight w:val="0"/>
                  <w:marTop w:val="0"/>
                  <w:marBottom w:val="0"/>
                  <w:divBdr>
                    <w:top w:val="none" w:sz="0" w:space="0" w:color="auto"/>
                    <w:left w:val="none" w:sz="0" w:space="0" w:color="auto"/>
                    <w:bottom w:val="none" w:sz="0" w:space="0" w:color="auto"/>
                    <w:right w:val="none" w:sz="0" w:space="0" w:color="auto"/>
                  </w:divBdr>
                  <w:divsChild>
                    <w:div w:id="1596790104">
                      <w:marLeft w:val="0"/>
                      <w:marRight w:val="0"/>
                      <w:marTop w:val="0"/>
                      <w:marBottom w:val="0"/>
                      <w:divBdr>
                        <w:top w:val="none" w:sz="0" w:space="0" w:color="auto"/>
                        <w:left w:val="none" w:sz="0" w:space="0" w:color="auto"/>
                        <w:bottom w:val="none" w:sz="0" w:space="0" w:color="auto"/>
                        <w:right w:val="none" w:sz="0" w:space="0" w:color="auto"/>
                      </w:divBdr>
                      <w:divsChild>
                        <w:div w:id="127979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3058650">
      <w:bodyDiv w:val="1"/>
      <w:marLeft w:val="0"/>
      <w:marRight w:val="0"/>
      <w:marTop w:val="0"/>
      <w:marBottom w:val="0"/>
      <w:divBdr>
        <w:top w:val="none" w:sz="0" w:space="0" w:color="auto"/>
        <w:left w:val="none" w:sz="0" w:space="0" w:color="auto"/>
        <w:bottom w:val="none" w:sz="0" w:space="0" w:color="auto"/>
        <w:right w:val="none" w:sz="0" w:space="0" w:color="auto"/>
      </w:divBdr>
      <w:divsChild>
        <w:div w:id="874469264">
          <w:marLeft w:val="0"/>
          <w:marRight w:val="108"/>
          <w:marTop w:val="18"/>
          <w:marBottom w:val="108"/>
          <w:divBdr>
            <w:top w:val="none" w:sz="0" w:space="0" w:color="auto"/>
            <w:left w:val="none" w:sz="0" w:space="0" w:color="auto"/>
            <w:bottom w:val="none" w:sz="0" w:space="0" w:color="auto"/>
            <w:right w:val="none" w:sz="0" w:space="0" w:color="auto"/>
          </w:divBdr>
          <w:divsChild>
            <w:div w:id="1472987674">
              <w:marLeft w:val="0"/>
              <w:marRight w:val="0"/>
              <w:marTop w:val="0"/>
              <w:marBottom w:val="0"/>
              <w:divBdr>
                <w:top w:val="none" w:sz="0" w:space="0" w:color="auto"/>
                <w:left w:val="none" w:sz="0" w:space="0" w:color="auto"/>
                <w:bottom w:val="none" w:sz="0" w:space="0" w:color="auto"/>
                <w:right w:val="none" w:sz="0" w:space="0" w:color="auto"/>
              </w:divBdr>
              <w:divsChild>
                <w:div w:id="66004788">
                  <w:marLeft w:val="0"/>
                  <w:marRight w:val="0"/>
                  <w:marTop w:val="0"/>
                  <w:marBottom w:val="0"/>
                  <w:divBdr>
                    <w:top w:val="none" w:sz="0" w:space="0" w:color="auto"/>
                    <w:left w:val="none" w:sz="0" w:space="0" w:color="auto"/>
                    <w:bottom w:val="none" w:sz="0" w:space="0" w:color="auto"/>
                    <w:right w:val="none" w:sz="0" w:space="0" w:color="auto"/>
                  </w:divBdr>
                </w:div>
                <w:div w:id="513031141">
                  <w:marLeft w:val="0"/>
                  <w:marRight w:val="108"/>
                  <w:marTop w:val="18"/>
                  <w:marBottom w:val="108"/>
                  <w:divBdr>
                    <w:top w:val="none" w:sz="0" w:space="0" w:color="auto"/>
                    <w:left w:val="none" w:sz="0" w:space="0" w:color="auto"/>
                    <w:bottom w:val="none" w:sz="0" w:space="0" w:color="auto"/>
                    <w:right w:val="none" w:sz="0" w:space="0" w:color="auto"/>
                  </w:divBdr>
                  <w:divsChild>
                    <w:div w:id="1927227192">
                      <w:marLeft w:val="0"/>
                      <w:marRight w:val="0"/>
                      <w:marTop w:val="0"/>
                      <w:marBottom w:val="0"/>
                      <w:divBdr>
                        <w:top w:val="none" w:sz="0" w:space="0" w:color="auto"/>
                        <w:left w:val="none" w:sz="0" w:space="0" w:color="auto"/>
                        <w:bottom w:val="none" w:sz="0" w:space="0" w:color="auto"/>
                        <w:right w:val="none" w:sz="0" w:space="0" w:color="auto"/>
                      </w:divBdr>
                      <w:divsChild>
                        <w:div w:id="2067214748">
                          <w:marLeft w:val="0"/>
                          <w:marRight w:val="0"/>
                          <w:marTop w:val="0"/>
                          <w:marBottom w:val="0"/>
                          <w:divBdr>
                            <w:top w:val="none" w:sz="0" w:space="0" w:color="auto"/>
                            <w:left w:val="none" w:sz="0" w:space="0" w:color="auto"/>
                            <w:bottom w:val="none" w:sz="0" w:space="0" w:color="auto"/>
                            <w:right w:val="none" w:sz="0" w:space="0" w:color="auto"/>
                          </w:divBdr>
                        </w:div>
                        <w:div w:id="309482090">
                          <w:marLeft w:val="0"/>
                          <w:marRight w:val="108"/>
                          <w:marTop w:val="18"/>
                          <w:marBottom w:val="108"/>
                          <w:divBdr>
                            <w:top w:val="none" w:sz="0" w:space="0" w:color="auto"/>
                            <w:left w:val="none" w:sz="0" w:space="0" w:color="auto"/>
                            <w:bottom w:val="none" w:sz="0" w:space="0" w:color="auto"/>
                            <w:right w:val="none" w:sz="0" w:space="0" w:color="auto"/>
                          </w:divBdr>
                          <w:divsChild>
                            <w:div w:id="2001469630">
                              <w:marLeft w:val="0"/>
                              <w:marRight w:val="0"/>
                              <w:marTop w:val="0"/>
                              <w:marBottom w:val="0"/>
                              <w:divBdr>
                                <w:top w:val="none" w:sz="0" w:space="0" w:color="auto"/>
                                <w:left w:val="none" w:sz="0" w:space="0" w:color="auto"/>
                                <w:bottom w:val="none" w:sz="0" w:space="0" w:color="auto"/>
                                <w:right w:val="none" w:sz="0" w:space="0" w:color="auto"/>
                              </w:divBdr>
                              <w:divsChild>
                                <w:div w:id="96469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015563">
                          <w:marLeft w:val="0"/>
                          <w:marRight w:val="108"/>
                          <w:marTop w:val="108"/>
                          <w:marBottom w:val="108"/>
                          <w:divBdr>
                            <w:top w:val="none" w:sz="0" w:space="0" w:color="auto"/>
                            <w:left w:val="none" w:sz="0" w:space="0" w:color="auto"/>
                            <w:bottom w:val="none" w:sz="0" w:space="0" w:color="auto"/>
                            <w:right w:val="none" w:sz="0" w:space="0" w:color="auto"/>
                          </w:divBdr>
                          <w:divsChild>
                            <w:div w:id="1705010559">
                              <w:marLeft w:val="0"/>
                              <w:marRight w:val="0"/>
                              <w:marTop w:val="0"/>
                              <w:marBottom w:val="0"/>
                              <w:divBdr>
                                <w:top w:val="none" w:sz="0" w:space="0" w:color="auto"/>
                                <w:left w:val="none" w:sz="0" w:space="0" w:color="auto"/>
                                <w:bottom w:val="none" w:sz="0" w:space="0" w:color="auto"/>
                                <w:right w:val="none" w:sz="0" w:space="0" w:color="auto"/>
                              </w:divBdr>
                              <w:divsChild>
                                <w:div w:id="137777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921856">
                          <w:marLeft w:val="0"/>
                          <w:marRight w:val="108"/>
                          <w:marTop w:val="108"/>
                          <w:marBottom w:val="108"/>
                          <w:divBdr>
                            <w:top w:val="none" w:sz="0" w:space="0" w:color="auto"/>
                            <w:left w:val="none" w:sz="0" w:space="0" w:color="auto"/>
                            <w:bottom w:val="none" w:sz="0" w:space="0" w:color="auto"/>
                            <w:right w:val="none" w:sz="0" w:space="0" w:color="auto"/>
                          </w:divBdr>
                          <w:divsChild>
                            <w:div w:id="1387143867">
                              <w:marLeft w:val="0"/>
                              <w:marRight w:val="0"/>
                              <w:marTop w:val="0"/>
                              <w:marBottom w:val="0"/>
                              <w:divBdr>
                                <w:top w:val="none" w:sz="0" w:space="0" w:color="auto"/>
                                <w:left w:val="none" w:sz="0" w:space="0" w:color="auto"/>
                                <w:bottom w:val="none" w:sz="0" w:space="0" w:color="auto"/>
                                <w:right w:val="none" w:sz="0" w:space="0" w:color="auto"/>
                              </w:divBdr>
                              <w:divsChild>
                                <w:div w:id="156279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9761571">
      <w:bodyDiv w:val="1"/>
      <w:marLeft w:val="0"/>
      <w:marRight w:val="0"/>
      <w:marTop w:val="0"/>
      <w:marBottom w:val="0"/>
      <w:divBdr>
        <w:top w:val="none" w:sz="0" w:space="0" w:color="auto"/>
        <w:left w:val="none" w:sz="0" w:space="0" w:color="auto"/>
        <w:bottom w:val="none" w:sz="0" w:space="0" w:color="auto"/>
        <w:right w:val="none" w:sz="0" w:space="0" w:color="auto"/>
      </w:divBdr>
      <w:divsChild>
        <w:div w:id="236674717">
          <w:marLeft w:val="0"/>
          <w:marRight w:val="108"/>
          <w:marTop w:val="18"/>
          <w:marBottom w:val="108"/>
          <w:divBdr>
            <w:top w:val="none" w:sz="0" w:space="0" w:color="auto"/>
            <w:left w:val="none" w:sz="0" w:space="0" w:color="auto"/>
            <w:bottom w:val="none" w:sz="0" w:space="0" w:color="auto"/>
            <w:right w:val="none" w:sz="0" w:space="0" w:color="auto"/>
          </w:divBdr>
          <w:divsChild>
            <w:div w:id="1205291480">
              <w:marLeft w:val="0"/>
              <w:marRight w:val="0"/>
              <w:marTop w:val="0"/>
              <w:marBottom w:val="0"/>
              <w:divBdr>
                <w:top w:val="none" w:sz="0" w:space="0" w:color="auto"/>
                <w:left w:val="none" w:sz="0" w:space="0" w:color="auto"/>
                <w:bottom w:val="none" w:sz="0" w:space="0" w:color="auto"/>
                <w:right w:val="none" w:sz="0" w:space="0" w:color="auto"/>
              </w:divBdr>
              <w:divsChild>
                <w:div w:id="524053283">
                  <w:marLeft w:val="0"/>
                  <w:marRight w:val="0"/>
                  <w:marTop w:val="0"/>
                  <w:marBottom w:val="0"/>
                  <w:divBdr>
                    <w:top w:val="none" w:sz="0" w:space="0" w:color="auto"/>
                    <w:left w:val="none" w:sz="0" w:space="0" w:color="auto"/>
                    <w:bottom w:val="none" w:sz="0" w:space="0" w:color="auto"/>
                    <w:right w:val="none" w:sz="0" w:space="0" w:color="auto"/>
                  </w:divBdr>
                  <w:divsChild>
                    <w:div w:id="880551466">
                      <w:marLeft w:val="0"/>
                      <w:marRight w:val="0"/>
                      <w:marTop w:val="0"/>
                      <w:marBottom w:val="0"/>
                      <w:divBdr>
                        <w:top w:val="none" w:sz="0" w:space="0" w:color="auto"/>
                        <w:left w:val="none" w:sz="0" w:space="0" w:color="auto"/>
                        <w:bottom w:val="none" w:sz="0" w:space="0" w:color="auto"/>
                        <w:right w:val="none" w:sz="0" w:space="0" w:color="auto"/>
                      </w:divBdr>
                      <w:divsChild>
                        <w:div w:id="73767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1912699">
      <w:bodyDiv w:val="1"/>
      <w:marLeft w:val="0"/>
      <w:marRight w:val="0"/>
      <w:marTop w:val="0"/>
      <w:marBottom w:val="0"/>
      <w:divBdr>
        <w:top w:val="none" w:sz="0" w:space="0" w:color="auto"/>
        <w:left w:val="none" w:sz="0" w:space="0" w:color="auto"/>
        <w:bottom w:val="none" w:sz="0" w:space="0" w:color="auto"/>
        <w:right w:val="none" w:sz="0" w:space="0" w:color="auto"/>
      </w:divBdr>
      <w:divsChild>
        <w:div w:id="1229268326">
          <w:marLeft w:val="0"/>
          <w:marRight w:val="108"/>
          <w:marTop w:val="18"/>
          <w:marBottom w:val="108"/>
          <w:divBdr>
            <w:top w:val="none" w:sz="0" w:space="0" w:color="auto"/>
            <w:left w:val="none" w:sz="0" w:space="0" w:color="auto"/>
            <w:bottom w:val="none" w:sz="0" w:space="0" w:color="auto"/>
            <w:right w:val="none" w:sz="0" w:space="0" w:color="auto"/>
          </w:divBdr>
          <w:divsChild>
            <w:div w:id="2078937565">
              <w:marLeft w:val="0"/>
              <w:marRight w:val="0"/>
              <w:marTop w:val="0"/>
              <w:marBottom w:val="0"/>
              <w:divBdr>
                <w:top w:val="none" w:sz="0" w:space="0" w:color="auto"/>
                <w:left w:val="none" w:sz="0" w:space="0" w:color="auto"/>
                <w:bottom w:val="none" w:sz="0" w:space="0" w:color="auto"/>
                <w:right w:val="none" w:sz="0" w:space="0" w:color="auto"/>
              </w:divBdr>
              <w:divsChild>
                <w:div w:id="1314214614">
                  <w:marLeft w:val="0"/>
                  <w:marRight w:val="0"/>
                  <w:marTop w:val="0"/>
                  <w:marBottom w:val="0"/>
                  <w:divBdr>
                    <w:top w:val="none" w:sz="0" w:space="0" w:color="auto"/>
                    <w:left w:val="none" w:sz="0" w:space="0" w:color="auto"/>
                    <w:bottom w:val="none" w:sz="0" w:space="0" w:color="auto"/>
                    <w:right w:val="none" w:sz="0" w:space="0" w:color="auto"/>
                  </w:divBdr>
                  <w:divsChild>
                    <w:div w:id="1423338492">
                      <w:marLeft w:val="0"/>
                      <w:marRight w:val="0"/>
                      <w:marTop w:val="0"/>
                      <w:marBottom w:val="0"/>
                      <w:divBdr>
                        <w:top w:val="none" w:sz="0" w:space="0" w:color="auto"/>
                        <w:left w:val="none" w:sz="0" w:space="0" w:color="auto"/>
                        <w:bottom w:val="none" w:sz="0" w:space="0" w:color="auto"/>
                        <w:right w:val="none" w:sz="0" w:space="0" w:color="auto"/>
                      </w:divBdr>
                      <w:divsChild>
                        <w:div w:id="107088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145726">
      <w:bodyDiv w:val="1"/>
      <w:marLeft w:val="0"/>
      <w:marRight w:val="0"/>
      <w:marTop w:val="0"/>
      <w:marBottom w:val="0"/>
      <w:divBdr>
        <w:top w:val="none" w:sz="0" w:space="0" w:color="auto"/>
        <w:left w:val="none" w:sz="0" w:space="0" w:color="auto"/>
        <w:bottom w:val="none" w:sz="0" w:space="0" w:color="auto"/>
        <w:right w:val="none" w:sz="0" w:space="0" w:color="auto"/>
      </w:divBdr>
      <w:divsChild>
        <w:div w:id="549536392">
          <w:marLeft w:val="0"/>
          <w:marRight w:val="108"/>
          <w:marTop w:val="18"/>
          <w:marBottom w:val="108"/>
          <w:divBdr>
            <w:top w:val="none" w:sz="0" w:space="0" w:color="auto"/>
            <w:left w:val="none" w:sz="0" w:space="0" w:color="auto"/>
            <w:bottom w:val="none" w:sz="0" w:space="0" w:color="auto"/>
            <w:right w:val="none" w:sz="0" w:space="0" w:color="auto"/>
          </w:divBdr>
          <w:divsChild>
            <w:div w:id="1536238165">
              <w:marLeft w:val="0"/>
              <w:marRight w:val="0"/>
              <w:marTop w:val="0"/>
              <w:marBottom w:val="0"/>
              <w:divBdr>
                <w:top w:val="none" w:sz="0" w:space="0" w:color="auto"/>
                <w:left w:val="none" w:sz="0" w:space="0" w:color="auto"/>
                <w:bottom w:val="none" w:sz="0" w:space="0" w:color="auto"/>
                <w:right w:val="none" w:sz="0" w:space="0" w:color="auto"/>
              </w:divBdr>
              <w:divsChild>
                <w:div w:id="1530725325">
                  <w:marLeft w:val="0"/>
                  <w:marRight w:val="0"/>
                  <w:marTop w:val="0"/>
                  <w:marBottom w:val="0"/>
                  <w:divBdr>
                    <w:top w:val="none" w:sz="0" w:space="0" w:color="auto"/>
                    <w:left w:val="none" w:sz="0" w:space="0" w:color="auto"/>
                    <w:bottom w:val="none" w:sz="0" w:space="0" w:color="auto"/>
                    <w:right w:val="none" w:sz="0" w:space="0" w:color="auto"/>
                  </w:divBdr>
                  <w:divsChild>
                    <w:div w:id="1257440134">
                      <w:marLeft w:val="0"/>
                      <w:marRight w:val="0"/>
                      <w:marTop w:val="0"/>
                      <w:marBottom w:val="0"/>
                      <w:divBdr>
                        <w:top w:val="none" w:sz="0" w:space="0" w:color="auto"/>
                        <w:left w:val="none" w:sz="0" w:space="0" w:color="auto"/>
                        <w:bottom w:val="none" w:sz="0" w:space="0" w:color="auto"/>
                        <w:right w:val="none" w:sz="0" w:space="0" w:color="auto"/>
                      </w:divBdr>
                      <w:divsChild>
                        <w:div w:id="35750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194666">
      <w:bodyDiv w:val="1"/>
      <w:marLeft w:val="0"/>
      <w:marRight w:val="0"/>
      <w:marTop w:val="0"/>
      <w:marBottom w:val="0"/>
      <w:divBdr>
        <w:top w:val="none" w:sz="0" w:space="0" w:color="auto"/>
        <w:left w:val="none" w:sz="0" w:space="0" w:color="auto"/>
        <w:bottom w:val="none" w:sz="0" w:space="0" w:color="auto"/>
        <w:right w:val="none" w:sz="0" w:space="0" w:color="auto"/>
      </w:divBdr>
      <w:divsChild>
        <w:div w:id="146098398">
          <w:marLeft w:val="0"/>
          <w:marRight w:val="108"/>
          <w:marTop w:val="18"/>
          <w:marBottom w:val="108"/>
          <w:divBdr>
            <w:top w:val="none" w:sz="0" w:space="0" w:color="auto"/>
            <w:left w:val="none" w:sz="0" w:space="0" w:color="auto"/>
            <w:bottom w:val="none" w:sz="0" w:space="0" w:color="auto"/>
            <w:right w:val="none" w:sz="0" w:space="0" w:color="auto"/>
          </w:divBdr>
          <w:divsChild>
            <w:div w:id="1959990524">
              <w:marLeft w:val="0"/>
              <w:marRight w:val="0"/>
              <w:marTop w:val="0"/>
              <w:marBottom w:val="0"/>
              <w:divBdr>
                <w:top w:val="none" w:sz="0" w:space="0" w:color="auto"/>
                <w:left w:val="none" w:sz="0" w:space="0" w:color="auto"/>
                <w:bottom w:val="none" w:sz="0" w:space="0" w:color="auto"/>
                <w:right w:val="none" w:sz="0" w:space="0" w:color="auto"/>
              </w:divBdr>
              <w:divsChild>
                <w:div w:id="1011489463">
                  <w:marLeft w:val="0"/>
                  <w:marRight w:val="0"/>
                  <w:marTop w:val="0"/>
                  <w:marBottom w:val="0"/>
                  <w:divBdr>
                    <w:top w:val="none" w:sz="0" w:space="0" w:color="auto"/>
                    <w:left w:val="none" w:sz="0" w:space="0" w:color="auto"/>
                    <w:bottom w:val="none" w:sz="0" w:space="0" w:color="auto"/>
                    <w:right w:val="none" w:sz="0" w:space="0" w:color="auto"/>
                  </w:divBdr>
                  <w:divsChild>
                    <w:div w:id="791362909">
                      <w:marLeft w:val="0"/>
                      <w:marRight w:val="0"/>
                      <w:marTop w:val="0"/>
                      <w:marBottom w:val="0"/>
                      <w:divBdr>
                        <w:top w:val="none" w:sz="0" w:space="0" w:color="auto"/>
                        <w:left w:val="none" w:sz="0" w:space="0" w:color="auto"/>
                        <w:bottom w:val="none" w:sz="0" w:space="0" w:color="auto"/>
                        <w:right w:val="none" w:sz="0" w:space="0" w:color="auto"/>
                      </w:divBdr>
                      <w:divsChild>
                        <w:div w:id="113104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0DBE4B-3FB5-4BFC-A5F7-39494E023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17976</Words>
  <Characters>102468</Characters>
  <Application>Microsoft Office Word</Application>
  <DocSecurity>0</DocSecurity>
  <Lines>853</Lines>
  <Paragraphs>240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120204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Emanuele Chisari</dc:creator>
  <cp:keywords/>
  <dc:description/>
  <cp:lastModifiedBy>DTOS-WASIM</cp:lastModifiedBy>
  <cp:revision>2</cp:revision>
  <dcterms:created xsi:type="dcterms:W3CDTF">2019-01-21T16:11:00Z</dcterms:created>
  <dcterms:modified xsi:type="dcterms:W3CDTF">2019-01-21T16:11:00Z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2542e763-032b-3c31-a968-101cdb5308dc</vt:lpwstr>
  </property>
  <property fmtid="{D5CDD505-2E9C-101B-9397-08002B2CF9AE}" pid="24" name="Mendeley Citation Style_1">
    <vt:lpwstr>http://www.zotero.org/styles/ieee</vt:lpwstr>
  </property>
</Properties>
</file>